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60" w:rsidRPr="00B6553A" w:rsidRDefault="00DA3860" w:rsidP="00DA3860">
      <w:pPr>
        <w:spacing w:after="0" w:line="240" w:lineRule="auto"/>
        <w:ind w:right="42"/>
        <w:jc w:val="center"/>
        <w:rPr>
          <w:rFonts w:ascii="Times New Roman" w:eastAsia="Times New Roman" w:hAnsi="Times New Roman" w:cs="Times New Roman"/>
          <w:b/>
          <w:color w:val="000000"/>
          <w:sz w:val="28"/>
          <w:szCs w:val="28"/>
        </w:rPr>
      </w:pPr>
      <w:bookmarkStart w:id="0" w:name="OLE_LINK1"/>
      <w:bookmarkStart w:id="1" w:name="OLE_LINK2"/>
      <w:bookmarkStart w:id="2" w:name="OLE_LINK19"/>
      <w:bookmarkStart w:id="3" w:name="OLE_LINK20"/>
      <w:bookmarkStart w:id="4" w:name="OLE_LINK3"/>
      <w:bookmarkStart w:id="5" w:name="OLE_LINK4"/>
      <w:r w:rsidRPr="00B6553A">
        <w:rPr>
          <w:rFonts w:ascii="Times New Roman" w:eastAsia="Times New Roman" w:hAnsi="Times New Roman" w:cs="Times New Roman"/>
          <w:b/>
          <w:color w:val="000000"/>
          <w:sz w:val="28"/>
          <w:szCs w:val="28"/>
        </w:rPr>
        <w:t>Ministru kabineta noteikumu projekta "</w:t>
      </w:r>
      <w:r w:rsidRPr="00B6553A">
        <w:rPr>
          <w:rFonts w:ascii="Times New Roman" w:eastAsia="Times New Roman" w:hAnsi="Times New Roman" w:cs="Times New Roman"/>
          <w:b/>
          <w:bCs/>
          <w:color w:val="000000"/>
          <w:sz w:val="28"/>
          <w:szCs w:val="28"/>
        </w:rPr>
        <w:t>Grozījum</w:t>
      </w:r>
      <w:r w:rsidR="00EC03A9">
        <w:rPr>
          <w:rFonts w:ascii="Times New Roman" w:eastAsia="Times New Roman" w:hAnsi="Times New Roman" w:cs="Times New Roman"/>
          <w:b/>
          <w:bCs/>
          <w:color w:val="000000"/>
          <w:sz w:val="28"/>
          <w:szCs w:val="28"/>
        </w:rPr>
        <w:t>s</w:t>
      </w:r>
      <w:r w:rsidRPr="00B6553A">
        <w:rPr>
          <w:rFonts w:ascii="Times New Roman" w:eastAsia="Times New Roman" w:hAnsi="Times New Roman" w:cs="Times New Roman"/>
          <w:b/>
          <w:bCs/>
          <w:color w:val="000000"/>
          <w:sz w:val="28"/>
          <w:szCs w:val="28"/>
        </w:rPr>
        <w:t xml:space="preserve"> Ministru kabineta 200</w:t>
      </w:r>
      <w:r>
        <w:rPr>
          <w:rFonts w:ascii="Times New Roman" w:eastAsia="Times New Roman" w:hAnsi="Times New Roman" w:cs="Times New Roman"/>
          <w:b/>
          <w:bCs/>
          <w:color w:val="000000"/>
          <w:sz w:val="28"/>
          <w:szCs w:val="28"/>
        </w:rPr>
        <w:t>6</w:t>
      </w:r>
      <w:r w:rsidRPr="00B6553A">
        <w:rPr>
          <w:rFonts w:ascii="Times New Roman" w:eastAsia="Times New Roman" w:hAnsi="Times New Roman" w:cs="Times New Roman"/>
          <w:b/>
          <w:bCs/>
          <w:color w:val="000000"/>
          <w:sz w:val="28"/>
          <w:szCs w:val="28"/>
        </w:rPr>
        <w:t xml:space="preserve">.gada </w:t>
      </w:r>
      <w:r>
        <w:rPr>
          <w:rFonts w:ascii="Times New Roman" w:eastAsia="Times New Roman" w:hAnsi="Times New Roman" w:cs="Times New Roman"/>
          <w:b/>
          <w:bCs/>
          <w:color w:val="000000"/>
          <w:sz w:val="28"/>
          <w:szCs w:val="28"/>
        </w:rPr>
        <w:t>14</w:t>
      </w:r>
      <w:r w:rsidRPr="00B6553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februāra</w:t>
      </w:r>
      <w:r w:rsidRPr="00B6553A">
        <w:rPr>
          <w:rFonts w:ascii="Times New Roman" w:eastAsia="Times New Roman" w:hAnsi="Times New Roman" w:cs="Times New Roman"/>
          <w:b/>
          <w:bCs/>
          <w:color w:val="000000"/>
          <w:sz w:val="28"/>
          <w:szCs w:val="28"/>
        </w:rPr>
        <w:t xml:space="preserve"> noteikumos Nr.</w:t>
      </w:r>
      <w:r>
        <w:rPr>
          <w:rFonts w:ascii="Times New Roman" w:eastAsia="Times New Roman" w:hAnsi="Times New Roman" w:cs="Times New Roman"/>
          <w:b/>
          <w:bCs/>
          <w:color w:val="000000"/>
          <w:sz w:val="28"/>
          <w:szCs w:val="28"/>
        </w:rPr>
        <w:t>119</w:t>
      </w:r>
      <w:r w:rsidRPr="00B6553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color w:val="000000"/>
          <w:sz w:val="28"/>
          <w:szCs w:val="28"/>
        </w:rPr>
        <w:t>Kārtība, kādā preču ražotājs, izplatītājs vai pakalpojuma sniedzējs informē attiecīgās valsts uzraudzības un kontroles iestādes par precēm vai pakalpojumiem, kuri rada risku, kas nav savienojams ar vispārējām drošuma prasībām</w:t>
      </w:r>
      <w:r w:rsidRPr="00B6553A">
        <w:rPr>
          <w:rFonts w:ascii="Times New Roman" w:eastAsia="Times New Roman" w:hAnsi="Times New Roman" w:cs="Times New Roman"/>
          <w:b/>
          <w:bCs/>
          <w:color w:val="000000"/>
          <w:sz w:val="28"/>
          <w:szCs w:val="28"/>
        </w:rPr>
        <w:t>"</w:t>
      </w:r>
      <w:r w:rsidRPr="00B6553A">
        <w:rPr>
          <w:rFonts w:ascii="Times New Roman" w:eastAsia="Times New Roman" w:hAnsi="Times New Roman" w:cs="Times New Roman"/>
          <w:b/>
          <w:color w:val="000000"/>
          <w:sz w:val="28"/>
          <w:szCs w:val="28"/>
        </w:rPr>
        <w:t xml:space="preserve">" sākotnējās ietekmes novērtējuma </w:t>
      </w:r>
      <w:smartTag w:uri="schemas-tilde-lv/tildestengine" w:element="veidnes">
        <w:smartTagPr>
          <w:attr w:name="id" w:val="-1"/>
          <w:attr w:name="text" w:val="ziņojums&#10;"/>
          <w:attr w:name="baseform" w:val="ziņojums"/>
        </w:smartTagPr>
        <w:r w:rsidRPr="00B6553A">
          <w:rPr>
            <w:rFonts w:ascii="Times New Roman" w:eastAsia="Times New Roman" w:hAnsi="Times New Roman" w:cs="Times New Roman"/>
            <w:b/>
            <w:color w:val="000000"/>
            <w:sz w:val="28"/>
            <w:szCs w:val="28"/>
          </w:rPr>
          <w:t>ziņojums</w:t>
        </w:r>
      </w:smartTag>
    </w:p>
    <w:p w:rsidR="00DA3860" w:rsidRDefault="00DA3860" w:rsidP="00DA3860">
      <w:pPr>
        <w:spacing w:after="0" w:line="240" w:lineRule="auto"/>
        <w:jc w:val="center"/>
        <w:rPr>
          <w:rFonts w:ascii="Times New Roman" w:eastAsia="Times New Roman" w:hAnsi="Times New Roman" w:cs="Times New Roman"/>
          <w:b/>
          <w:color w:val="000000"/>
          <w:sz w:val="28"/>
          <w:szCs w:val="28"/>
        </w:rPr>
      </w:pPr>
      <w:r w:rsidRPr="00B6553A">
        <w:rPr>
          <w:rFonts w:ascii="Times New Roman" w:eastAsia="Times New Roman" w:hAnsi="Times New Roman" w:cs="Times New Roman"/>
          <w:b/>
          <w:color w:val="000000"/>
          <w:sz w:val="28"/>
          <w:szCs w:val="28"/>
        </w:rPr>
        <w:t>(anotācija)</w:t>
      </w:r>
      <w:bookmarkEnd w:id="0"/>
      <w:bookmarkEnd w:id="1"/>
      <w:bookmarkEnd w:id="2"/>
      <w:bookmarkEnd w:id="3"/>
      <w:bookmarkEnd w:id="4"/>
      <w:bookmarkEnd w:id="5"/>
    </w:p>
    <w:p w:rsidR="00DA3860" w:rsidRPr="00B6553A" w:rsidRDefault="00DA3860" w:rsidP="00DA3860">
      <w:pPr>
        <w:spacing w:after="0" w:line="240" w:lineRule="auto"/>
        <w:jc w:val="center"/>
        <w:rPr>
          <w:rFonts w:ascii="Times New Roman" w:eastAsia="Times New Roman" w:hAnsi="Times New Roman" w:cs="Times New Roman"/>
          <w:b/>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5"/>
        <w:gridCol w:w="2485"/>
        <w:gridCol w:w="5964"/>
      </w:tblGrid>
      <w:tr w:rsidR="00DA3860" w:rsidRPr="00B6553A" w:rsidTr="00A519C6">
        <w:tc>
          <w:tcPr>
            <w:tcW w:w="0" w:type="auto"/>
            <w:gridSpan w:val="3"/>
            <w:vAlign w:val="center"/>
          </w:tcPr>
          <w:p w:rsidR="00DA3860" w:rsidRPr="00B6553A" w:rsidRDefault="00DA3860" w:rsidP="00A519C6">
            <w:pPr>
              <w:spacing w:after="0" w:line="240" w:lineRule="auto"/>
              <w:jc w:val="center"/>
              <w:rPr>
                <w:rFonts w:ascii="Times New Roman" w:eastAsia="Times New Roman" w:hAnsi="Times New Roman" w:cs="Times New Roman"/>
                <w:b/>
                <w:bCs/>
                <w:color w:val="000000"/>
                <w:sz w:val="24"/>
                <w:szCs w:val="24"/>
                <w:lang w:eastAsia="lv-LV"/>
              </w:rPr>
            </w:pPr>
            <w:r w:rsidRPr="00B6553A">
              <w:rPr>
                <w:rFonts w:ascii="Times New Roman" w:eastAsia="Times New Roman" w:hAnsi="Times New Roman" w:cs="Times New Roman"/>
                <w:b/>
                <w:bCs/>
                <w:color w:val="000000"/>
                <w:sz w:val="28"/>
                <w:szCs w:val="24"/>
                <w:lang w:eastAsia="lv-LV"/>
              </w:rPr>
              <w:t>I. Tiesību akta projekta izstrādes nepieciešamība</w:t>
            </w:r>
          </w:p>
        </w:tc>
      </w:tr>
      <w:tr w:rsidR="00DA3860" w:rsidRPr="00B6553A" w:rsidTr="00A519C6">
        <w:tc>
          <w:tcPr>
            <w:tcW w:w="250" w:type="pct"/>
          </w:tcPr>
          <w:p w:rsidR="00DA3860" w:rsidRPr="00B96772" w:rsidRDefault="00DA3860" w:rsidP="00A519C6">
            <w:pPr>
              <w:spacing w:after="0" w:line="240" w:lineRule="auto"/>
              <w:jc w:val="center"/>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1.</w:t>
            </w:r>
          </w:p>
        </w:tc>
        <w:tc>
          <w:tcPr>
            <w:tcW w:w="1397"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Pamatojums</w:t>
            </w:r>
          </w:p>
        </w:tc>
        <w:tc>
          <w:tcPr>
            <w:tcW w:w="3353" w:type="pct"/>
          </w:tcPr>
          <w:p w:rsidR="00DA3860" w:rsidRPr="00B96772" w:rsidRDefault="00663FD4" w:rsidP="00BA41A8">
            <w:pPr>
              <w:pStyle w:val="naisf"/>
              <w:spacing w:before="0" w:after="0"/>
              <w:ind w:right="42" w:firstLine="189"/>
              <w:rPr>
                <w:sz w:val="25"/>
                <w:szCs w:val="25"/>
              </w:rPr>
            </w:pPr>
            <w:r w:rsidRPr="00B96772">
              <w:rPr>
                <w:sz w:val="25"/>
                <w:szCs w:val="25"/>
              </w:rPr>
              <w:t>Ministru kabineta noteikumu projekts „</w:t>
            </w:r>
            <w:r w:rsidRPr="00B96772">
              <w:rPr>
                <w:bCs/>
                <w:sz w:val="25"/>
                <w:szCs w:val="25"/>
              </w:rPr>
              <w:t>Grozījum</w:t>
            </w:r>
            <w:r w:rsidR="00BA41A8">
              <w:rPr>
                <w:bCs/>
                <w:sz w:val="25"/>
                <w:szCs w:val="25"/>
              </w:rPr>
              <w:t>s</w:t>
            </w:r>
            <w:r w:rsidRPr="00B96772">
              <w:rPr>
                <w:bCs/>
                <w:sz w:val="25"/>
                <w:szCs w:val="25"/>
              </w:rPr>
              <w:t xml:space="preserve"> Ministru kabineta 2006.gada 14.februāra noteikumos Nr.119 "</w:t>
            </w:r>
            <w:r w:rsidRPr="00B96772">
              <w:rPr>
                <w:sz w:val="25"/>
                <w:szCs w:val="25"/>
              </w:rPr>
              <w:t xml:space="preserve">Kārtība, kādā preču ražotājs, izplatītājs vai pakalpojuma sniedzējs informē attiecīgās valsts uzraudzības un kontroles iestādes par precēm vai pakalpojumiem, kuri rada risku, kas nav savienojams ar vispārējām drošuma prasībām” (turpmāk – Noteikumu projekts) ir izstrādāts pēc Ekonomikas ministrijas iniciatīvas, lai papildinātu Ministru kabineta </w:t>
            </w:r>
            <w:r w:rsidRPr="00B96772">
              <w:rPr>
                <w:bCs/>
                <w:sz w:val="25"/>
                <w:szCs w:val="25"/>
              </w:rPr>
              <w:t>2006.gada 14.februāra noteikumu Nr.119 "</w:t>
            </w:r>
            <w:r w:rsidRPr="00B96772">
              <w:rPr>
                <w:sz w:val="25"/>
                <w:szCs w:val="25"/>
              </w:rPr>
              <w:t>Kārtība, kādā preču ražotājs, izplatītājs vai pakalpojuma sniedzējs informē attiecīgās valsts uzraudzības un kontroles iestādes par precēm vai pakalpojumiem, kuri rada risku, kas nav savienojams ar vispārējām drošuma prasībām”  (turpmāk – Noteikumi Nr.119) normas, kurās ir iekļautas normas, kas izriet no Eiropas Parlamenta un Padomes 2001.gada 3.decembra Direktīvas 2001/95/EK par produktu vispārēju drošumu</w:t>
            </w:r>
            <w:r w:rsidR="00C533E9" w:rsidRPr="00B96772">
              <w:rPr>
                <w:sz w:val="25"/>
                <w:szCs w:val="25"/>
              </w:rPr>
              <w:t xml:space="preserve"> (turpmāk – Direktīva 2001/95/EK)</w:t>
            </w:r>
            <w:r w:rsidRPr="00B96772">
              <w:rPr>
                <w:sz w:val="25"/>
                <w:szCs w:val="25"/>
              </w:rPr>
              <w:t xml:space="preserve"> un Eiropas Komisijas 2004.gada 14.decembra Lēmuma 2004/905/EK, ar ko nosaka pamatnostādnes, lai ražotāji un izplatītāji dalībvalstu kompetentajām iestādēm ziņotu par bīstamiem patēriņa produktiem saskaņā ar Direktīvas 2001/95/EK 5.panta 3.punktu</w:t>
            </w:r>
            <w:r w:rsidR="00E826E0" w:rsidRPr="00B96772">
              <w:rPr>
                <w:sz w:val="25"/>
                <w:szCs w:val="25"/>
              </w:rPr>
              <w:t xml:space="preserve"> (turpmāk – Lēmums 2004/905/EK)</w:t>
            </w:r>
            <w:r w:rsidRPr="00B96772">
              <w:rPr>
                <w:sz w:val="25"/>
                <w:szCs w:val="25"/>
              </w:rPr>
              <w:t>.</w:t>
            </w:r>
          </w:p>
        </w:tc>
      </w:tr>
      <w:tr w:rsidR="00DA3860" w:rsidRPr="00B6553A" w:rsidTr="00A519C6">
        <w:tc>
          <w:tcPr>
            <w:tcW w:w="250" w:type="pct"/>
          </w:tcPr>
          <w:p w:rsidR="00DA3860" w:rsidRPr="00B96772" w:rsidRDefault="00DA3860" w:rsidP="00A519C6">
            <w:pPr>
              <w:spacing w:after="0" w:line="240" w:lineRule="auto"/>
              <w:jc w:val="center"/>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2.</w:t>
            </w:r>
          </w:p>
        </w:tc>
        <w:tc>
          <w:tcPr>
            <w:tcW w:w="1397"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 xml:space="preserve">Pašreizējā situācija </w:t>
            </w:r>
            <w:r w:rsidRPr="00B96772">
              <w:rPr>
                <w:rFonts w:ascii="Times New Roman" w:eastAsia="Times New Roman" w:hAnsi="Times New Roman" w:cs="Times New Roman"/>
                <w:color w:val="000000"/>
                <w:sz w:val="25"/>
                <w:szCs w:val="25"/>
              </w:rPr>
              <w:t>un problēmas, kuru risināšanai tiesību akta projekts izstrādāts, tiesiskā regulējuma mērķis un būtība</w:t>
            </w:r>
          </w:p>
        </w:tc>
        <w:tc>
          <w:tcPr>
            <w:tcW w:w="3353" w:type="pct"/>
          </w:tcPr>
          <w:p w:rsidR="00DA3860" w:rsidRPr="00B96772" w:rsidRDefault="00C533E9" w:rsidP="00801FCC">
            <w:pPr>
              <w:pStyle w:val="naisf"/>
              <w:spacing w:before="0" w:after="0"/>
              <w:ind w:right="42" w:firstLine="189"/>
              <w:rPr>
                <w:color w:val="auto"/>
                <w:sz w:val="25"/>
                <w:szCs w:val="25"/>
              </w:rPr>
            </w:pPr>
            <w:r w:rsidRPr="00B96772">
              <w:rPr>
                <w:sz w:val="25"/>
                <w:szCs w:val="25"/>
              </w:rPr>
              <w:t xml:space="preserve">Noteikumi Nr.119 </w:t>
            </w:r>
            <w:r w:rsidR="00333E7C" w:rsidRPr="00B96772">
              <w:rPr>
                <w:color w:val="auto"/>
                <w:sz w:val="25"/>
                <w:szCs w:val="25"/>
              </w:rPr>
              <w:t>nosak</w:t>
            </w:r>
            <w:r w:rsidR="00AE7C1E" w:rsidRPr="00B96772">
              <w:rPr>
                <w:color w:val="auto"/>
                <w:sz w:val="25"/>
                <w:szCs w:val="25"/>
              </w:rPr>
              <w:t>a veidu un termiņus, kā Latvijā</w:t>
            </w:r>
            <w:r w:rsidR="00333E7C" w:rsidRPr="00B96772">
              <w:rPr>
                <w:color w:val="auto"/>
                <w:sz w:val="25"/>
                <w:szCs w:val="25"/>
              </w:rPr>
              <w:t xml:space="preserve"> </w:t>
            </w:r>
            <w:r w:rsidR="00AE7C1E" w:rsidRPr="00B96772">
              <w:rPr>
                <w:color w:val="auto"/>
                <w:sz w:val="25"/>
                <w:szCs w:val="25"/>
              </w:rPr>
              <w:t xml:space="preserve">reģistrētajiem </w:t>
            </w:r>
            <w:r w:rsidR="00333E7C" w:rsidRPr="00B96772">
              <w:rPr>
                <w:color w:val="auto"/>
                <w:sz w:val="25"/>
                <w:szCs w:val="25"/>
              </w:rPr>
              <w:t>komersantiem jāpaziņo attiecīgajai kontroles un uzraudzības iestādei par preci vai pakalpojumu, kas rada risku</w:t>
            </w:r>
            <w:r w:rsidR="00333E7C" w:rsidRPr="00B96772">
              <w:rPr>
                <w:sz w:val="25"/>
                <w:szCs w:val="25"/>
              </w:rPr>
              <w:t>, kas nav savienojams ar vispārējām drošuma prasībām</w:t>
            </w:r>
            <w:r w:rsidR="00333E7C" w:rsidRPr="00B96772">
              <w:rPr>
                <w:color w:val="auto"/>
                <w:sz w:val="25"/>
                <w:szCs w:val="25"/>
              </w:rPr>
              <w:t xml:space="preserve">. </w:t>
            </w:r>
            <w:r w:rsidRPr="00B96772">
              <w:rPr>
                <w:sz w:val="25"/>
                <w:szCs w:val="25"/>
              </w:rPr>
              <w:t xml:space="preserve">Šāds komersantu </w:t>
            </w:r>
            <w:r w:rsidR="00B343F7" w:rsidRPr="00B96772">
              <w:rPr>
                <w:sz w:val="25"/>
                <w:szCs w:val="25"/>
              </w:rPr>
              <w:t xml:space="preserve">informēšanas </w:t>
            </w:r>
            <w:r w:rsidRPr="00B96772">
              <w:rPr>
                <w:sz w:val="25"/>
                <w:szCs w:val="25"/>
              </w:rPr>
              <w:t>pienākums izriet no Direktīvas 2001/95/EK 5.panta 3.punkta</w:t>
            </w:r>
            <w:r w:rsidR="00333E7C" w:rsidRPr="00B96772">
              <w:rPr>
                <w:sz w:val="25"/>
                <w:szCs w:val="25"/>
              </w:rPr>
              <w:t xml:space="preserve"> un Preču un pakalpojumu drošuma likuma 8.panta sestās daļas</w:t>
            </w:r>
            <w:r w:rsidRPr="00B96772">
              <w:rPr>
                <w:sz w:val="25"/>
                <w:szCs w:val="25"/>
              </w:rPr>
              <w:t>.</w:t>
            </w:r>
            <w:r w:rsidR="00E826E0" w:rsidRPr="00B96772">
              <w:rPr>
                <w:sz w:val="25"/>
                <w:szCs w:val="25"/>
              </w:rPr>
              <w:t xml:space="preserve"> Saskaņā ar L</w:t>
            </w:r>
            <w:r w:rsidR="00300FCB" w:rsidRPr="00B96772">
              <w:rPr>
                <w:sz w:val="25"/>
                <w:szCs w:val="25"/>
              </w:rPr>
              <w:t xml:space="preserve">ēmumu 2004/905/EK </w:t>
            </w:r>
            <w:r w:rsidR="00E826E0" w:rsidRPr="00B96772">
              <w:rPr>
                <w:sz w:val="25"/>
                <w:szCs w:val="25"/>
              </w:rPr>
              <w:t>visās Eiropas Savienības dalībvalstīs ir noteikta vienota paziņošanas veidlapas forma, kas ir ietverta Noteikumu Nr.119 pielikumā</w:t>
            </w:r>
            <w:r w:rsidR="00BC0F4E" w:rsidRPr="00B96772">
              <w:rPr>
                <w:sz w:val="25"/>
                <w:szCs w:val="25"/>
              </w:rPr>
              <w:t xml:space="preserve"> „Paziņojums par preci vai pakalpojumu, kurš rada risku, kas nav </w:t>
            </w:r>
            <w:r w:rsidR="00BC0F4E" w:rsidRPr="00B96772">
              <w:rPr>
                <w:sz w:val="25"/>
                <w:szCs w:val="25"/>
              </w:rPr>
              <w:lastRenderedPageBreak/>
              <w:t>savienojams ar vispārējām drošuma prasībām”</w:t>
            </w:r>
            <w:r w:rsidR="00801FCC" w:rsidRPr="00B96772">
              <w:rPr>
                <w:sz w:val="25"/>
                <w:szCs w:val="25"/>
              </w:rPr>
              <w:t>, kas komersantam ir jāaizpilda un jānosūta attiecīgajai iestādei.</w:t>
            </w:r>
          </w:p>
          <w:p w:rsidR="00D1107D" w:rsidRPr="00B96772" w:rsidRDefault="00D1107D" w:rsidP="00D1107D">
            <w:pPr>
              <w:spacing w:after="0" w:line="240" w:lineRule="auto"/>
              <w:ind w:firstLine="189"/>
              <w:jc w:val="both"/>
              <w:rPr>
                <w:rFonts w:ascii="Times New Roman" w:eastAsia="Times New Roman" w:hAnsi="Times New Roman" w:cs="Times New Roman"/>
                <w:sz w:val="25"/>
                <w:szCs w:val="25"/>
                <w:lang w:eastAsia="lv-LV"/>
              </w:rPr>
            </w:pPr>
            <w:r w:rsidRPr="00B96772">
              <w:rPr>
                <w:rFonts w:ascii="Times New Roman" w:eastAsia="Times New Roman" w:hAnsi="Times New Roman" w:cs="Times New Roman"/>
                <w:sz w:val="25"/>
                <w:szCs w:val="25"/>
                <w:lang w:eastAsia="lv-LV"/>
              </w:rPr>
              <w:t xml:space="preserve">Kopš 2009.gada 4.maija paralēli saskaņā ar Lēmumu </w:t>
            </w:r>
            <w:r w:rsidRPr="00B96772">
              <w:rPr>
                <w:rFonts w:ascii="Times New Roman" w:hAnsi="Times New Roman" w:cs="Times New Roman"/>
                <w:sz w:val="25"/>
                <w:szCs w:val="25"/>
              </w:rPr>
              <w:t>2004/905/EK izstrād</w:t>
            </w:r>
            <w:r w:rsidR="00D51B3B" w:rsidRPr="00B96772">
              <w:rPr>
                <w:rFonts w:ascii="Times New Roman" w:hAnsi="Times New Roman" w:cs="Times New Roman"/>
                <w:sz w:val="25"/>
                <w:szCs w:val="25"/>
              </w:rPr>
              <w:t>ātajai</w:t>
            </w:r>
            <w:r w:rsidRPr="00B96772">
              <w:rPr>
                <w:rFonts w:ascii="Times New Roman" w:hAnsi="Times New Roman" w:cs="Times New Roman"/>
                <w:sz w:val="25"/>
                <w:szCs w:val="25"/>
              </w:rPr>
              <w:t xml:space="preserve"> paziņo</w:t>
            </w:r>
            <w:r w:rsidR="00D51B3B" w:rsidRPr="00B96772">
              <w:rPr>
                <w:rFonts w:ascii="Times New Roman" w:hAnsi="Times New Roman" w:cs="Times New Roman"/>
                <w:sz w:val="25"/>
                <w:szCs w:val="25"/>
              </w:rPr>
              <w:t>šanas veidlapai</w:t>
            </w:r>
            <w:r w:rsidRPr="00B96772">
              <w:rPr>
                <w:rFonts w:ascii="Times New Roman" w:hAnsi="Times New Roman" w:cs="Times New Roman"/>
                <w:sz w:val="25"/>
                <w:szCs w:val="25"/>
              </w:rPr>
              <w:t xml:space="preserve"> </w:t>
            </w:r>
            <w:r w:rsidRPr="00B96772">
              <w:rPr>
                <w:rFonts w:ascii="Times New Roman" w:eastAsia="Times New Roman" w:hAnsi="Times New Roman" w:cs="Times New Roman"/>
                <w:sz w:val="25"/>
                <w:szCs w:val="25"/>
                <w:lang w:eastAsia="lv-LV"/>
              </w:rPr>
              <w:t xml:space="preserve">Eiropas Komisija ir izstrādājusi interneta </w:t>
            </w:r>
            <w:r w:rsidR="00D51B3B" w:rsidRPr="00B96772">
              <w:rPr>
                <w:rFonts w:ascii="Times New Roman" w:eastAsia="Times New Roman" w:hAnsi="Times New Roman" w:cs="Times New Roman"/>
                <w:sz w:val="25"/>
                <w:szCs w:val="25"/>
                <w:lang w:eastAsia="lv-LV"/>
              </w:rPr>
              <w:t xml:space="preserve">tiešsaistes </w:t>
            </w:r>
            <w:r w:rsidRPr="00B96772">
              <w:rPr>
                <w:rFonts w:ascii="Times New Roman" w:eastAsia="Times New Roman" w:hAnsi="Times New Roman" w:cs="Times New Roman"/>
                <w:sz w:val="25"/>
                <w:szCs w:val="25"/>
                <w:lang w:eastAsia="lv-LV"/>
              </w:rPr>
              <w:t>sistēmu "</w:t>
            </w:r>
            <w:r w:rsidRPr="00B96772">
              <w:rPr>
                <w:rFonts w:ascii="Times New Roman" w:eastAsia="Times New Roman" w:hAnsi="Times New Roman" w:cs="Times New Roman"/>
                <w:bCs/>
                <w:sz w:val="25"/>
                <w:szCs w:val="25"/>
                <w:lang w:eastAsia="lv-LV"/>
              </w:rPr>
              <w:t xml:space="preserve">GPSD </w:t>
            </w:r>
            <w:proofErr w:type="spellStart"/>
            <w:r w:rsidRPr="00B96772">
              <w:rPr>
                <w:rFonts w:ascii="Times New Roman" w:eastAsia="Times New Roman" w:hAnsi="Times New Roman" w:cs="Times New Roman"/>
                <w:bCs/>
                <w:sz w:val="25"/>
                <w:szCs w:val="25"/>
                <w:lang w:eastAsia="lv-LV"/>
              </w:rPr>
              <w:t>Business</w:t>
            </w:r>
            <w:proofErr w:type="spellEnd"/>
            <w:r w:rsidRPr="00B96772">
              <w:rPr>
                <w:rFonts w:ascii="Times New Roman" w:eastAsia="Times New Roman" w:hAnsi="Times New Roman" w:cs="Times New Roman"/>
                <w:bCs/>
                <w:sz w:val="25"/>
                <w:szCs w:val="25"/>
                <w:lang w:eastAsia="lv-LV"/>
              </w:rPr>
              <w:t xml:space="preserve"> </w:t>
            </w:r>
            <w:proofErr w:type="spellStart"/>
            <w:r w:rsidRPr="00B96772">
              <w:rPr>
                <w:rFonts w:ascii="Times New Roman" w:eastAsia="Times New Roman" w:hAnsi="Times New Roman" w:cs="Times New Roman"/>
                <w:bCs/>
                <w:sz w:val="25"/>
                <w:szCs w:val="25"/>
                <w:lang w:eastAsia="lv-LV"/>
              </w:rPr>
              <w:t>Application</w:t>
            </w:r>
            <w:proofErr w:type="spellEnd"/>
            <w:r w:rsidRPr="00B96772">
              <w:rPr>
                <w:rFonts w:ascii="Times New Roman" w:eastAsia="Times New Roman" w:hAnsi="Times New Roman" w:cs="Times New Roman"/>
                <w:bCs/>
                <w:sz w:val="25"/>
                <w:szCs w:val="25"/>
                <w:lang w:eastAsia="lv-LV"/>
              </w:rPr>
              <w:t>"</w:t>
            </w:r>
            <w:r w:rsidR="008469E2" w:rsidRPr="00B96772">
              <w:rPr>
                <w:rFonts w:ascii="Times New Roman" w:eastAsia="Times New Roman" w:hAnsi="Times New Roman" w:cs="Times New Roman"/>
                <w:bCs/>
                <w:sz w:val="25"/>
                <w:szCs w:val="25"/>
                <w:lang w:eastAsia="lv-LV"/>
              </w:rPr>
              <w:t xml:space="preserve"> (turpmāk – Sistēma)</w:t>
            </w:r>
            <w:r w:rsidRPr="00B96772">
              <w:rPr>
                <w:rFonts w:ascii="Times New Roman" w:eastAsia="Times New Roman" w:hAnsi="Times New Roman" w:cs="Times New Roman"/>
                <w:sz w:val="25"/>
                <w:szCs w:val="25"/>
                <w:lang w:eastAsia="lv-LV"/>
              </w:rPr>
              <w:t xml:space="preserve">, kas paredz komersantiem iespēju iepriekš minēto paziņojumu iesniegt elektroniski </w:t>
            </w:r>
            <w:r w:rsidR="00CB3986" w:rsidRPr="00B96772">
              <w:rPr>
                <w:rFonts w:ascii="Times New Roman" w:eastAsia="Times New Roman" w:hAnsi="Times New Roman" w:cs="Times New Roman"/>
                <w:sz w:val="25"/>
                <w:szCs w:val="25"/>
                <w:lang w:eastAsia="lv-LV"/>
              </w:rPr>
              <w:t xml:space="preserve">lejupielādējot </w:t>
            </w:r>
            <w:r w:rsidRPr="00B96772">
              <w:rPr>
                <w:rFonts w:ascii="Times New Roman" w:eastAsia="Times New Roman" w:hAnsi="Times New Roman" w:cs="Times New Roman"/>
                <w:sz w:val="25"/>
                <w:szCs w:val="25"/>
                <w:lang w:eastAsia="lv-LV"/>
              </w:rPr>
              <w:t>programm</w:t>
            </w:r>
            <w:r w:rsidR="00CB3986" w:rsidRPr="00B96772">
              <w:rPr>
                <w:rFonts w:ascii="Times New Roman" w:eastAsia="Times New Roman" w:hAnsi="Times New Roman" w:cs="Times New Roman"/>
                <w:sz w:val="25"/>
                <w:szCs w:val="25"/>
                <w:lang w:eastAsia="lv-LV"/>
              </w:rPr>
              <w:t>u</w:t>
            </w:r>
            <w:r w:rsidRPr="00B96772">
              <w:rPr>
                <w:rFonts w:ascii="Times New Roman" w:eastAsia="Times New Roman" w:hAnsi="Times New Roman" w:cs="Times New Roman"/>
                <w:sz w:val="25"/>
                <w:szCs w:val="25"/>
                <w:lang w:eastAsia="lv-LV"/>
              </w:rPr>
              <w:t xml:space="preserve">, kas atrodas Eiropas Komisijas interneta adresē: </w:t>
            </w:r>
            <w:hyperlink r:id="rId9" w:history="1">
              <w:r w:rsidRPr="00B96772">
                <w:rPr>
                  <w:rStyle w:val="Hyperlink"/>
                  <w:rFonts w:ascii="Times New Roman" w:eastAsia="Times New Roman" w:hAnsi="Times New Roman" w:cs="Times New Roman"/>
                  <w:sz w:val="25"/>
                  <w:szCs w:val="25"/>
                  <w:lang w:eastAsia="lv-LV"/>
                </w:rPr>
                <w:t>https://webgate.ec.europa.eu/gpsd-ba/</w:t>
              </w:r>
            </w:hyperlink>
            <w:r w:rsidRPr="00B96772">
              <w:rPr>
                <w:rFonts w:ascii="Times New Roman" w:eastAsia="Times New Roman" w:hAnsi="Times New Roman" w:cs="Times New Roman"/>
                <w:sz w:val="25"/>
                <w:szCs w:val="25"/>
                <w:lang w:eastAsia="lv-LV"/>
              </w:rPr>
              <w:t>.</w:t>
            </w:r>
            <w:r w:rsidR="00D51B3B" w:rsidRPr="00B96772">
              <w:rPr>
                <w:rFonts w:ascii="Times New Roman" w:eastAsia="Times New Roman" w:hAnsi="Times New Roman" w:cs="Times New Roman"/>
                <w:sz w:val="25"/>
                <w:szCs w:val="25"/>
                <w:lang w:eastAsia="lv-LV"/>
              </w:rPr>
              <w:t xml:space="preserve"> </w:t>
            </w:r>
            <w:r w:rsidR="002E2542" w:rsidRPr="00B96772">
              <w:rPr>
                <w:rFonts w:ascii="Times New Roman" w:eastAsia="Times New Roman" w:hAnsi="Times New Roman" w:cs="Times New Roman"/>
                <w:sz w:val="25"/>
                <w:szCs w:val="25"/>
                <w:lang w:eastAsia="lv-LV"/>
              </w:rPr>
              <w:t xml:space="preserve">Sistēma piedāvā komersantiem iespēju iesniegt </w:t>
            </w:r>
            <w:r w:rsidR="00407EE4" w:rsidRPr="00B96772">
              <w:rPr>
                <w:rFonts w:ascii="Times New Roman" w:eastAsia="Times New Roman" w:hAnsi="Times New Roman" w:cs="Times New Roman"/>
                <w:sz w:val="25"/>
                <w:szCs w:val="25"/>
                <w:lang w:eastAsia="lv-LV"/>
              </w:rPr>
              <w:t>paziņojumu</w:t>
            </w:r>
            <w:r w:rsidR="002E2542" w:rsidRPr="00B96772">
              <w:rPr>
                <w:rFonts w:ascii="Times New Roman" w:eastAsia="Times New Roman" w:hAnsi="Times New Roman" w:cs="Times New Roman"/>
                <w:sz w:val="25"/>
                <w:szCs w:val="25"/>
                <w:lang w:eastAsia="lv-LV"/>
              </w:rPr>
              <w:t xml:space="preserve"> par nedrošām precēm piecās Eiropas Savienības dalībvalstu oficiālajās valodās: angļu, franču, vācu, itāļu un spāņu.</w:t>
            </w:r>
            <w:r w:rsidR="00407EE4" w:rsidRPr="00B96772">
              <w:rPr>
                <w:rFonts w:ascii="Times New Roman" w:eastAsia="Times New Roman" w:hAnsi="Times New Roman" w:cs="Times New Roman"/>
                <w:sz w:val="25"/>
                <w:szCs w:val="25"/>
                <w:lang w:eastAsia="lv-LV"/>
              </w:rPr>
              <w:t xml:space="preserve"> </w:t>
            </w:r>
            <w:r w:rsidR="00607498" w:rsidRPr="00B96772">
              <w:rPr>
                <w:rFonts w:ascii="Times New Roman" w:eastAsia="Times New Roman" w:hAnsi="Times New Roman" w:cs="Times New Roman"/>
                <w:sz w:val="25"/>
                <w:szCs w:val="25"/>
                <w:lang w:eastAsia="lv-LV"/>
              </w:rPr>
              <w:t>Ja komersants ir aizpildījis un nosūtījis attiecīgo paziņojumu Sistēmā, tad tas automātiski tiek ievieto</w:t>
            </w:r>
            <w:r w:rsidR="00616F7A" w:rsidRPr="00B96772">
              <w:rPr>
                <w:rFonts w:ascii="Times New Roman" w:eastAsia="Times New Roman" w:hAnsi="Times New Roman" w:cs="Times New Roman"/>
                <w:sz w:val="25"/>
                <w:szCs w:val="25"/>
                <w:lang w:eastAsia="lv-LV"/>
              </w:rPr>
              <w:t>t</w:t>
            </w:r>
            <w:r w:rsidR="00607498" w:rsidRPr="00B96772">
              <w:rPr>
                <w:rFonts w:ascii="Times New Roman" w:eastAsia="Times New Roman" w:hAnsi="Times New Roman" w:cs="Times New Roman"/>
                <w:sz w:val="25"/>
                <w:szCs w:val="25"/>
                <w:lang w:eastAsia="lv-LV"/>
              </w:rPr>
              <w:t xml:space="preserve">s </w:t>
            </w:r>
            <w:r w:rsidR="00D46717">
              <w:rPr>
                <w:rFonts w:ascii="Times New Roman" w:eastAsia="Times New Roman" w:hAnsi="Times New Roman" w:cs="Times New Roman"/>
                <w:sz w:val="25"/>
                <w:szCs w:val="25"/>
                <w:lang w:eastAsia="lv-LV"/>
              </w:rPr>
              <w:t>Kopienas</w:t>
            </w:r>
            <w:r w:rsidR="00616F7A" w:rsidRPr="00B96772">
              <w:rPr>
                <w:rFonts w:ascii="Times New Roman" w:eastAsia="Times New Roman" w:hAnsi="Times New Roman" w:cs="Times New Roman"/>
                <w:sz w:val="25"/>
                <w:szCs w:val="25"/>
                <w:lang w:eastAsia="lv-LV"/>
              </w:rPr>
              <w:t xml:space="preserve"> informācijas ātrās apmaiņas sistēmas (</w:t>
            </w:r>
            <w:r w:rsidR="00607498" w:rsidRPr="00B96772">
              <w:rPr>
                <w:rFonts w:ascii="Times New Roman" w:eastAsia="Times New Roman" w:hAnsi="Times New Roman" w:cs="Times New Roman"/>
                <w:sz w:val="25"/>
                <w:szCs w:val="25"/>
                <w:lang w:eastAsia="lv-LV"/>
              </w:rPr>
              <w:t>RAPEX</w:t>
            </w:r>
            <w:r w:rsidR="00616F7A" w:rsidRPr="00B96772">
              <w:rPr>
                <w:rFonts w:ascii="Times New Roman" w:eastAsia="Times New Roman" w:hAnsi="Times New Roman" w:cs="Times New Roman"/>
                <w:sz w:val="25"/>
                <w:szCs w:val="25"/>
                <w:lang w:eastAsia="lv-LV"/>
              </w:rPr>
              <w:t>)</w:t>
            </w:r>
            <w:r w:rsidR="00607498" w:rsidRPr="00B96772">
              <w:rPr>
                <w:rFonts w:ascii="Times New Roman" w:eastAsia="Times New Roman" w:hAnsi="Times New Roman" w:cs="Times New Roman"/>
                <w:sz w:val="25"/>
                <w:szCs w:val="25"/>
                <w:lang w:eastAsia="lv-LV"/>
              </w:rPr>
              <w:t xml:space="preserve"> datubāzē, kas ir pieejama Eiropas Savienības </w:t>
            </w:r>
            <w:r w:rsidR="001743BC" w:rsidRPr="00B96772">
              <w:rPr>
                <w:rFonts w:ascii="Times New Roman" w:eastAsia="Times New Roman" w:hAnsi="Times New Roman" w:cs="Times New Roman"/>
                <w:sz w:val="25"/>
                <w:szCs w:val="25"/>
                <w:lang w:eastAsia="lv-LV"/>
              </w:rPr>
              <w:t xml:space="preserve">dalībvalstu tirgus uzraudzības iestādēm, kas, savukārt, var </w:t>
            </w:r>
            <w:r w:rsidR="003B6F50" w:rsidRPr="00B96772">
              <w:rPr>
                <w:rFonts w:ascii="Times New Roman" w:eastAsia="Times New Roman" w:hAnsi="Times New Roman" w:cs="Times New Roman"/>
                <w:sz w:val="25"/>
                <w:szCs w:val="25"/>
                <w:lang w:eastAsia="lv-LV"/>
              </w:rPr>
              <w:t xml:space="preserve">veikt visas nepieciešamās darbības, kas ir noteiktas Direktīvā </w:t>
            </w:r>
            <w:r w:rsidR="003B6F50" w:rsidRPr="00B96772">
              <w:rPr>
                <w:rFonts w:ascii="Times New Roman" w:hAnsi="Times New Roman" w:cs="Times New Roman"/>
                <w:sz w:val="25"/>
                <w:szCs w:val="25"/>
              </w:rPr>
              <w:t>2001/95/EK</w:t>
            </w:r>
            <w:r w:rsidR="003B6F50" w:rsidRPr="00B96772">
              <w:rPr>
                <w:rFonts w:ascii="Times New Roman" w:eastAsia="Times New Roman" w:hAnsi="Times New Roman" w:cs="Times New Roman"/>
                <w:sz w:val="25"/>
                <w:szCs w:val="25"/>
                <w:lang w:eastAsia="lv-LV"/>
              </w:rPr>
              <w:t xml:space="preserve"> </w:t>
            </w:r>
            <w:r w:rsidR="00707E0D" w:rsidRPr="00B96772">
              <w:rPr>
                <w:rFonts w:ascii="Times New Roman" w:eastAsia="Times New Roman" w:hAnsi="Times New Roman" w:cs="Times New Roman"/>
                <w:sz w:val="25"/>
                <w:szCs w:val="25"/>
                <w:lang w:eastAsia="lv-LV"/>
              </w:rPr>
              <w:t xml:space="preserve">un </w:t>
            </w:r>
            <w:r w:rsidR="00707E0D" w:rsidRPr="00B96772">
              <w:rPr>
                <w:rFonts w:ascii="Times New Roman" w:eastAsia="Calibri" w:hAnsi="Times New Roman" w:cs="Times New Roman"/>
                <w:bCs/>
                <w:sz w:val="25"/>
                <w:szCs w:val="25"/>
                <w:lang w:eastAsia="lv-LV"/>
              </w:rPr>
              <w:t>2008.gada 9.jūlija</w:t>
            </w:r>
            <w:r w:rsidR="00707E0D" w:rsidRPr="00B96772">
              <w:rPr>
                <w:rFonts w:ascii="Times New Roman" w:eastAsia="Times New Roman" w:hAnsi="Times New Roman" w:cs="Times New Roman"/>
                <w:sz w:val="25"/>
                <w:szCs w:val="25"/>
                <w:lang w:eastAsia="lv-LV"/>
              </w:rPr>
              <w:t xml:space="preserve"> E</w:t>
            </w:r>
            <w:r w:rsidR="00707E0D" w:rsidRPr="00B96772">
              <w:rPr>
                <w:rFonts w:ascii="Times New Roman" w:eastAsia="Calibri" w:hAnsi="Times New Roman" w:cs="Times New Roman"/>
                <w:bCs/>
                <w:sz w:val="25"/>
                <w:szCs w:val="25"/>
                <w:lang w:eastAsia="lv-LV"/>
              </w:rPr>
              <w:t>iropas Parlamenta un Padomes Regulā Nr.765/2008, ar ko nosaka akreditācijas un tirgus uzraudzības prasības attiecībā uz produktu tirdzniecību un atceļ Regulu (</w:t>
            </w:r>
            <w:smartTag w:uri="schemas-tilde-lv/tildestengine" w:element="currency2">
              <w:smartTagPr>
                <w:attr w:name="currency_text" w:val="EEK"/>
                <w:attr w:name="currency_value" w:val="1"/>
                <w:attr w:name="currency_key" w:val="EEK"/>
                <w:attr w:name="currency_id" w:val="14"/>
              </w:smartTagPr>
              <w:r w:rsidR="00707E0D" w:rsidRPr="00B96772">
                <w:rPr>
                  <w:rFonts w:ascii="Times New Roman" w:eastAsia="Calibri" w:hAnsi="Times New Roman" w:cs="Times New Roman"/>
                  <w:bCs/>
                  <w:sz w:val="25"/>
                  <w:szCs w:val="25"/>
                  <w:lang w:eastAsia="lv-LV"/>
                </w:rPr>
                <w:t>EEK</w:t>
              </w:r>
            </w:smartTag>
            <w:r w:rsidR="00707E0D" w:rsidRPr="00B96772">
              <w:rPr>
                <w:rFonts w:ascii="Times New Roman" w:eastAsia="Calibri" w:hAnsi="Times New Roman" w:cs="Times New Roman"/>
                <w:bCs/>
                <w:sz w:val="25"/>
                <w:szCs w:val="25"/>
                <w:lang w:eastAsia="lv-LV"/>
              </w:rPr>
              <w:t>) Nr.339/93.</w:t>
            </w:r>
            <w:r w:rsidR="00607498" w:rsidRPr="00B96772">
              <w:rPr>
                <w:rFonts w:ascii="Times New Roman" w:eastAsia="Times New Roman" w:hAnsi="Times New Roman" w:cs="Times New Roman"/>
                <w:sz w:val="25"/>
                <w:szCs w:val="25"/>
                <w:lang w:eastAsia="lv-LV"/>
              </w:rPr>
              <w:t xml:space="preserve"> </w:t>
            </w:r>
            <w:r w:rsidR="002E2542" w:rsidRPr="00B96772">
              <w:rPr>
                <w:rFonts w:ascii="Times New Roman" w:eastAsia="Times New Roman" w:hAnsi="Times New Roman" w:cs="Times New Roman"/>
                <w:sz w:val="25"/>
                <w:szCs w:val="25"/>
                <w:lang w:eastAsia="lv-LV"/>
              </w:rPr>
              <w:t xml:space="preserve"> </w:t>
            </w:r>
          </w:p>
          <w:p w:rsidR="00333E7C" w:rsidRPr="00B96772" w:rsidRDefault="00D51B3B" w:rsidP="00A41E78">
            <w:pPr>
              <w:spacing w:after="0" w:line="240" w:lineRule="auto"/>
              <w:ind w:firstLine="189"/>
              <w:jc w:val="both"/>
              <w:rPr>
                <w:rFonts w:ascii="Times New Roman" w:eastAsia="Times New Roman" w:hAnsi="Times New Roman" w:cs="Times New Roman"/>
                <w:sz w:val="25"/>
                <w:szCs w:val="25"/>
                <w:lang w:eastAsia="lv-LV"/>
              </w:rPr>
            </w:pPr>
            <w:r w:rsidRPr="00B96772">
              <w:rPr>
                <w:rFonts w:ascii="Times New Roman" w:eastAsia="Times New Roman" w:hAnsi="Times New Roman" w:cs="Times New Roman"/>
                <w:sz w:val="25"/>
                <w:szCs w:val="25"/>
                <w:lang w:eastAsia="lv-LV"/>
              </w:rPr>
              <w:t xml:space="preserve">Ņemot vērā </w:t>
            </w:r>
            <w:r w:rsidR="00B6684E" w:rsidRPr="00B96772">
              <w:rPr>
                <w:rFonts w:ascii="Times New Roman" w:eastAsia="Times New Roman" w:hAnsi="Times New Roman" w:cs="Times New Roman"/>
                <w:sz w:val="25"/>
                <w:szCs w:val="25"/>
                <w:lang w:eastAsia="lv-LV"/>
              </w:rPr>
              <w:t xml:space="preserve">to, ka Eiropas Savienības dalībvalstīs reģistrētie komersanti, </w:t>
            </w:r>
            <w:proofErr w:type="spellStart"/>
            <w:r w:rsidR="00B6684E" w:rsidRPr="00B96772">
              <w:rPr>
                <w:rFonts w:ascii="Times New Roman" w:eastAsia="Times New Roman" w:hAnsi="Times New Roman" w:cs="Times New Roman"/>
                <w:sz w:val="25"/>
                <w:szCs w:val="25"/>
                <w:lang w:eastAsia="lv-LV"/>
              </w:rPr>
              <w:t>t.sk</w:t>
            </w:r>
            <w:proofErr w:type="spellEnd"/>
            <w:r w:rsidR="00B6684E" w:rsidRPr="00B96772">
              <w:rPr>
                <w:rFonts w:ascii="Times New Roman" w:eastAsia="Times New Roman" w:hAnsi="Times New Roman" w:cs="Times New Roman"/>
                <w:sz w:val="25"/>
                <w:szCs w:val="25"/>
                <w:lang w:eastAsia="lv-LV"/>
              </w:rPr>
              <w:t xml:space="preserve">. arī Latvijas, laiž preci apgrozībā arī ārpus savas valsts robežām, tad </w:t>
            </w:r>
            <w:r w:rsidR="00344E89" w:rsidRPr="00B96772">
              <w:rPr>
                <w:rFonts w:ascii="Times New Roman" w:eastAsia="Times New Roman" w:hAnsi="Times New Roman" w:cs="Times New Roman"/>
                <w:sz w:val="25"/>
                <w:szCs w:val="25"/>
                <w:lang w:eastAsia="lv-LV"/>
              </w:rPr>
              <w:t>šādas informēšanas Sistēmas izmantošanas iespēja paralēli jau Noteikumos Nr.119 ietvertajai paziņojuma veidlapas iesniegšanai gadījumos, kad prece rada risku, kas nav savienojams ar vispārējām drošuma prasībām</w:t>
            </w:r>
            <w:r w:rsidR="00663463" w:rsidRPr="00B96772">
              <w:rPr>
                <w:rFonts w:ascii="Times New Roman" w:eastAsia="Times New Roman" w:hAnsi="Times New Roman" w:cs="Times New Roman"/>
                <w:sz w:val="25"/>
                <w:szCs w:val="25"/>
                <w:lang w:eastAsia="lv-LV"/>
              </w:rPr>
              <w:t>,</w:t>
            </w:r>
            <w:r w:rsidR="00344E89" w:rsidRPr="00B96772">
              <w:rPr>
                <w:rFonts w:ascii="Times New Roman" w:eastAsia="Times New Roman" w:hAnsi="Times New Roman" w:cs="Times New Roman"/>
                <w:sz w:val="25"/>
                <w:szCs w:val="25"/>
                <w:lang w:eastAsia="lv-LV"/>
              </w:rPr>
              <w:t xml:space="preserve"> ir ietverta Noteikumu projektā. </w:t>
            </w:r>
          </w:p>
        </w:tc>
      </w:tr>
      <w:tr w:rsidR="00DA3860" w:rsidRPr="00B6553A" w:rsidTr="00A519C6">
        <w:tc>
          <w:tcPr>
            <w:tcW w:w="250" w:type="pct"/>
          </w:tcPr>
          <w:p w:rsidR="00DA3860" w:rsidRPr="00B96772" w:rsidRDefault="00DA3860" w:rsidP="00A519C6">
            <w:pPr>
              <w:spacing w:after="0" w:line="240" w:lineRule="auto"/>
              <w:jc w:val="center"/>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lastRenderedPageBreak/>
              <w:t>3.</w:t>
            </w:r>
          </w:p>
        </w:tc>
        <w:tc>
          <w:tcPr>
            <w:tcW w:w="1397"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Projekta izstrādē iesaistītās institūcijas</w:t>
            </w:r>
          </w:p>
        </w:tc>
        <w:tc>
          <w:tcPr>
            <w:tcW w:w="3353" w:type="pct"/>
          </w:tcPr>
          <w:p w:rsidR="00DA3860" w:rsidRPr="00B96772" w:rsidRDefault="00DA3860" w:rsidP="00107D53">
            <w:pPr>
              <w:spacing w:after="0" w:line="240" w:lineRule="auto"/>
              <w:ind w:firstLine="189"/>
              <w:jc w:val="both"/>
              <w:rPr>
                <w:rFonts w:ascii="Times New Roman" w:eastAsia="Times New Roman" w:hAnsi="Times New Roman" w:cs="Times New Roman"/>
                <w:color w:val="000000"/>
                <w:sz w:val="25"/>
                <w:szCs w:val="25"/>
                <w:highlight w:val="yellow"/>
                <w:lang w:eastAsia="lv-LV"/>
              </w:rPr>
            </w:pPr>
            <w:r w:rsidRPr="00B96772">
              <w:rPr>
                <w:rFonts w:ascii="Times New Roman" w:eastAsia="Times New Roman" w:hAnsi="Times New Roman" w:cs="Times New Roman"/>
                <w:color w:val="000000"/>
                <w:sz w:val="25"/>
                <w:szCs w:val="25"/>
              </w:rPr>
              <w:t>Noteikumu projekts izstrādāts sadarbībā ar Patērētā</w:t>
            </w:r>
            <w:r w:rsidR="00107D53" w:rsidRPr="00B96772">
              <w:rPr>
                <w:rFonts w:ascii="Times New Roman" w:eastAsia="Times New Roman" w:hAnsi="Times New Roman" w:cs="Times New Roman"/>
                <w:color w:val="000000"/>
                <w:sz w:val="25"/>
                <w:szCs w:val="25"/>
              </w:rPr>
              <w:t>ju tiesību aizsardzības centru.</w:t>
            </w:r>
          </w:p>
        </w:tc>
      </w:tr>
      <w:tr w:rsidR="00DA3860" w:rsidRPr="00B6553A" w:rsidTr="00A519C6">
        <w:tc>
          <w:tcPr>
            <w:tcW w:w="250" w:type="pct"/>
          </w:tcPr>
          <w:p w:rsidR="00DA3860" w:rsidRPr="00B96772" w:rsidRDefault="00DA3860" w:rsidP="00A519C6">
            <w:pPr>
              <w:spacing w:after="0" w:line="240" w:lineRule="auto"/>
              <w:jc w:val="center"/>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4.</w:t>
            </w:r>
          </w:p>
        </w:tc>
        <w:tc>
          <w:tcPr>
            <w:tcW w:w="1397"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Cita informācija</w:t>
            </w:r>
          </w:p>
        </w:tc>
        <w:tc>
          <w:tcPr>
            <w:tcW w:w="3353"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Nav.</w:t>
            </w:r>
          </w:p>
        </w:tc>
      </w:tr>
    </w:tbl>
    <w:p w:rsidR="00DA3860" w:rsidRPr="00B6553A" w:rsidRDefault="00DA3860" w:rsidP="00DA3860">
      <w:pPr>
        <w:spacing w:after="0" w:line="240" w:lineRule="auto"/>
        <w:rPr>
          <w:rFonts w:ascii="Times New Roman" w:eastAsia="Times New Roman" w:hAnsi="Times New Roman" w:cs="Times New Roman"/>
          <w:color w:val="000000"/>
          <w:sz w:val="24"/>
          <w:szCs w:val="24"/>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5"/>
        <w:gridCol w:w="2486"/>
        <w:gridCol w:w="5966"/>
      </w:tblGrid>
      <w:tr w:rsidR="00DA3860" w:rsidRPr="00B6553A" w:rsidTr="00A519C6">
        <w:tc>
          <w:tcPr>
            <w:tcW w:w="0" w:type="auto"/>
            <w:gridSpan w:val="3"/>
            <w:tcBorders>
              <w:top w:val="outset" w:sz="6" w:space="0" w:color="auto"/>
              <w:left w:val="outset" w:sz="6" w:space="0" w:color="auto"/>
              <w:bottom w:val="outset" w:sz="6" w:space="0" w:color="auto"/>
              <w:right w:val="outset" w:sz="6" w:space="0" w:color="auto"/>
            </w:tcBorders>
          </w:tcPr>
          <w:p w:rsidR="00DA3860" w:rsidRPr="00B6553A" w:rsidRDefault="00DA3860" w:rsidP="00A519C6">
            <w:pPr>
              <w:spacing w:after="0" w:line="240" w:lineRule="auto"/>
              <w:jc w:val="center"/>
              <w:rPr>
                <w:rFonts w:ascii="Times New Roman" w:eastAsia="Times New Roman" w:hAnsi="Times New Roman" w:cs="Times New Roman"/>
                <w:b/>
                <w:color w:val="000000"/>
                <w:sz w:val="28"/>
                <w:szCs w:val="28"/>
              </w:rPr>
            </w:pPr>
            <w:r w:rsidRPr="00981A57">
              <w:rPr>
                <w:rFonts w:ascii="Times New Roman" w:eastAsia="Times New Roman" w:hAnsi="Times New Roman" w:cs="Times New Roman"/>
                <w:b/>
                <w:color w:val="000000"/>
                <w:sz w:val="28"/>
                <w:szCs w:val="28"/>
              </w:rPr>
              <w:t>II. Tiesību akta projekta ietekme uz sabiedrību,</w:t>
            </w:r>
            <w:r w:rsidRPr="00981A57">
              <w:rPr>
                <w:rFonts w:ascii="Times New Roman" w:eastAsia="Times New Roman" w:hAnsi="Times New Roman" w:cs="Times New Roman"/>
                <w:b/>
                <w:bCs/>
                <w:color w:val="000000"/>
                <w:sz w:val="28"/>
                <w:szCs w:val="28"/>
              </w:rPr>
              <w:t xml:space="preserve"> tautsaimniecības attīstību un administratīvo slogu</w:t>
            </w:r>
          </w:p>
        </w:tc>
      </w:tr>
      <w:tr w:rsidR="00DA3860" w:rsidRPr="00B6553A" w:rsidTr="00A519C6">
        <w:tc>
          <w:tcPr>
            <w:tcW w:w="250" w:type="pct"/>
            <w:tcBorders>
              <w:top w:val="outset" w:sz="6" w:space="0" w:color="auto"/>
              <w:left w:val="outset" w:sz="6" w:space="0" w:color="auto"/>
              <w:right w:val="outset" w:sz="6" w:space="0" w:color="auto"/>
            </w:tcBorders>
          </w:tcPr>
          <w:p w:rsidR="00DA3860" w:rsidRPr="00B96772" w:rsidRDefault="00DA3860" w:rsidP="00A519C6">
            <w:pPr>
              <w:spacing w:after="0" w:line="240" w:lineRule="auto"/>
              <w:jc w:val="center"/>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1.</w:t>
            </w:r>
          </w:p>
        </w:tc>
        <w:tc>
          <w:tcPr>
            <w:tcW w:w="1397" w:type="pct"/>
            <w:tcBorders>
              <w:top w:val="outset" w:sz="6" w:space="0" w:color="auto"/>
              <w:left w:val="outset" w:sz="6" w:space="0" w:color="auto"/>
              <w:right w:val="outset" w:sz="6" w:space="0" w:color="auto"/>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 xml:space="preserve">Sabiedrības </w:t>
            </w:r>
            <w:proofErr w:type="spellStart"/>
            <w:r w:rsidRPr="00B96772">
              <w:rPr>
                <w:rFonts w:ascii="Times New Roman" w:eastAsia="Times New Roman" w:hAnsi="Times New Roman" w:cs="Times New Roman"/>
                <w:color w:val="000000"/>
                <w:sz w:val="25"/>
                <w:szCs w:val="25"/>
              </w:rPr>
              <w:t>mērķgrupas</w:t>
            </w:r>
            <w:proofErr w:type="spellEnd"/>
            <w:r w:rsidRPr="00B96772">
              <w:rPr>
                <w:rFonts w:ascii="Times New Roman" w:eastAsia="Times New Roman" w:hAnsi="Times New Roman" w:cs="Times New Roman"/>
                <w:color w:val="000000"/>
                <w:sz w:val="25"/>
                <w:szCs w:val="25"/>
              </w:rPr>
              <w:t>, kuras tiesiskais regulējums ietekmē vai varētu ietekmēt</w:t>
            </w:r>
          </w:p>
        </w:tc>
        <w:tc>
          <w:tcPr>
            <w:tcW w:w="3354" w:type="pct"/>
            <w:tcBorders>
              <w:top w:val="outset" w:sz="6" w:space="0" w:color="auto"/>
              <w:left w:val="outset" w:sz="6" w:space="0" w:color="auto"/>
              <w:right w:val="outset" w:sz="6" w:space="0" w:color="auto"/>
            </w:tcBorders>
          </w:tcPr>
          <w:p w:rsidR="00362AF8" w:rsidRPr="00B96772" w:rsidRDefault="00DA3860" w:rsidP="00F054EA">
            <w:pPr>
              <w:spacing w:after="0" w:line="240" w:lineRule="auto"/>
              <w:ind w:firstLine="255"/>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Noteikumu projektā ietvertais regulējums attiecas uz tirgus uzraudzības un kontroles iestādēm</w:t>
            </w:r>
            <w:r w:rsidR="00B4609B" w:rsidRPr="00B96772">
              <w:rPr>
                <w:rFonts w:ascii="Times New Roman" w:eastAsia="Times New Roman" w:hAnsi="Times New Roman" w:cs="Times New Roman"/>
                <w:color w:val="000000"/>
                <w:sz w:val="25"/>
                <w:szCs w:val="25"/>
                <w:lang w:eastAsia="lv-LV"/>
              </w:rPr>
              <w:t xml:space="preserve"> un Patērētāju tiesību aizsardzības centru</w:t>
            </w:r>
            <w:r w:rsidRPr="00B96772">
              <w:rPr>
                <w:rFonts w:ascii="Times New Roman" w:eastAsia="Times New Roman" w:hAnsi="Times New Roman" w:cs="Times New Roman"/>
                <w:color w:val="000000"/>
                <w:sz w:val="25"/>
                <w:szCs w:val="25"/>
                <w:lang w:eastAsia="lv-LV"/>
              </w:rPr>
              <w:t>, kā arī uz iepriekš minēto iestāžu darbiniekiem, kuri ir atbildīgi par šīs informācijas nodrošināšanu RAPEX sistēmā.</w:t>
            </w:r>
            <w:r w:rsidR="00F054EA" w:rsidRPr="00B96772">
              <w:rPr>
                <w:rFonts w:ascii="Times New Roman" w:eastAsia="Times New Roman" w:hAnsi="Times New Roman" w:cs="Times New Roman"/>
                <w:color w:val="000000"/>
                <w:sz w:val="25"/>
                <w:szCs w:val="25"/>
                <w:lang w:eastAsia="lv-LV"/>
              </w:rPr>
              <w:t xml:space="preserve"> </w:t>
            </w:r>
          </w:p>
          <w:p w:rsidR="00DA3860" w:rsidRPr="00B96772" w:rsidRDefault="00F054EA" w:rsidP="00F054EA">
            <w:pPr>
              <w:spacing w:after="0" w:line="240" w:lineRule="auto"/>
              <w:ind w:firstLine="255"/>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 xml:space="preserve">Tāpat Noteikumu projektā ietvertā alternatīvā iespēja </w:t>
            </w:r>
            <w:r w:rsidRPr="00B96772">
              <w:rPr>
                <w:rFonts w:ascii="Times New Roman" w:eastAsia="Times New Roman" w:hAnsi="Times New Roman" w:cs="Times New Roman"/>
                <w:color w:val="000000"/>
                <w:sz w:val="25"/>
                <w:szCs w:val="25"/>
                <w:lang w:eastAsia="lv-LV"/>
              </w:rPr>
              <w:lastRenderedPageBreak/>
              <w:t>paziņojuma iesniegšanai vienlaicīgi, gan Latvijas, gan citu Eiropas Savienības dalībvalstu kompetentajām iestādēm, izmantojot Sistēmu, attiecas uz komersantiem, kuri</w:t>
            </w:r>
            <w:r w:rsidR="00AF7731" w:rsidRPr="00B96772">
              <w:rPr>
                <w:rFonts w:ascii="Times New Roman" w:eastAsia="Times New Roman" w:hAnsi="Times New Roman" w:cs="Times New Roman"/>
                <w:color w:val="000000"/>
                <w:sz w:val="25"/>
                <w:szCs w:val="25"/>
                <w:lang w:eastAsia="lv-LV"/>
              </w:rPr>
              <w:t xml:space="preserve"> ir laiduši apgrozībā preci, kas rada risku, kas nav savienojams ar vispārējām drošuma prasībām.</w:t>
            </w:r>
            <w:r w:rsidRPr="00B96772">
              <w:rPr>
                <w:rFonts w:ascii="Times New Roman" w:eastAsia="Times New Roman" w:hAnsi="Times New Roman" w:cs="Times New Roman"/>
                <w:color w:val="000000"/>
                <w:sz w:val="25"/>
                <w:szCs w:val="25"/>
                <w:lang w:eastAsia="lv-LV"/>
              </w:rPr>
              <w:t xml:space="preserve">  </w:t>
            </w:r>
          </w:p>
        </w:tc>
      </w:tr>
      <w:tr w:rsidR="00DA3860" w:rsidRPr="00B6553A" w:rsidTr="00A519C6">
        <w:tc>
          <w:tcPr>
            <w:tcW w:w="250" w:type="pct"/>
            <w:tcBorders>
              <w:top w:val="outset" w:sz="6" w:space="0" w:color="auto"/>
              <w:left w:val="outset" w:sz="6" w:space="0" w:color="auto"/>
              <w:right w:val="outset" w:sz="6" w:space="0" w:color="auto"/>
            </w:tcBorders>
          </w:tcPr>
          <w:p w:rsidR="00DA3860" w:rsidRPr="00B96772" w:rsidRDefault="00DA3860" w:rsidP="00A519C6">
            <w:pPr>
              <w:spacing w:after="0" w:line="240" w:lineRule="auto"/>
              <w:jc w:val="center"/>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lastRenderedPageBreak/>
              <w:t>2.</w:t>
            </w:r>
          </w:p>
        </w:tc>
        <w:tc>
          <w:tcPr>
            <w:tcW w:w="1397" w:type="pct"/>
            <w:tcBorders>
              <w:top w:val="outset" w:sz="6" w:space="0" w:color="auto"/>
              <w:left w:val="outset" w:sz="6" w:space="0" w:color="auto"/>
              <w:right w:val="outset" w:sz="6" w:space="0" w:color="auto"/>
            </w:tcBorders>
          </w:tcPr>
          <w:p w:rsidR="00DA3860" w:rsidRPr="00B96772" w:rsidRDefault="00DA3860" w:rsidP="00A519C6">
            <w:pPr>
              <w:widowControl w:val="0"/>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DA3860" w:rsidRPr="00B96772" w:rsidRDefault="00DA3860" w:rsidP="00D70C43">
            <w:pPr>
              <w:widowControl w:val="0"/>
              <w:spacing w:after="0" w:line="240" w:lineRule="auto"/>
              <w:ind w:firstLine="255"/>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 xml:space="preserve">Noteikumu projektā ietvertais regulējums, kas paredz </w:t>
            </w:r>
            <w:r w:rsidR="006C213A" w:rsidRPr="00B96772">
              <w:rPr>
                <w:rFonts w:ascii="Times New Roman" w:eastAsia="Times New Roman" w:hAnsi="Times New Roman" w:cs="Times New Roman"/>
                <w:color w:val="000000"/>
                <w:sz w:val="25"/>
                <w:szCs w:val="25"/>
              </w:rPr>
              <w:t>alternatīvu komersantiem iesniegt paziņojumu par nedrošām precēm arī tiešsaistes režīmā, izmantojot Sistēmu, atvieglo komersantiem paziņošanas iespēju par nedrošām precēm, tā kā informāciju vienlaicīgi ir iespējams adresēt visām Eiropas Savienības dalībvalstu kompetentajām iestādēm tajās Eiropas Savienības valstīs, kurās viņi ir laiduši apgrozībā nedrošo preci. Tāpat šāda paziņojuma iesniegšana atvieglo arī tirgus uzraudzības un kontroles iestā</w:t>
            </w:r>
            <w:r w:rsidR="007243AA" w:rsidRPr="00B96772">
              <w:rPr>
                <w:rFonts w:ascii="Times New Roman" w:eastAsia="Times New Roman" w:hAnsi="Times New Roman" w:cs="Times New Roman"/>
                <w:color w:val="000000"/>
                <w:sz w:val="25"/>
                <w:szCs w:val="25"/>
              </w:rPr>
              <w:t xml:space="preserve">žu darbu, jo paziņojums, kas no komersanta tiek saņemts papīra formā, nav jāpārformē RAPEX sistēmā attiecīgās iestādes darbiniekiem. </w:t>
            </w:r>
          </w:p>
        </w:tc>
      </w:tr>
      <w:tr w:rsidR="00DA3860" w:rsidRPr="00B6553A" w:rsidTr="00A519C6">
        <w:tc>
          <w:tcPr>
            <w:tcW w:w="250" w:type="pct"/>
            <w:tcBorders>
              <w:top w:val="outset" w:sz="6" w:space="0" w:color="auto"/>
              <w:left w:val="outset" w:sz="6" w:space="0" w:color="auto"/>
              <w:right w:val="outset" w:sz="6" w:space="0" w:color="auto"/>
            </w:tcBorders>
          </w:tcPr>
          <w:p w:rsidR="00DA3860" w:rsidRPr="00B96772" w:rsidRDefault="00DA3860" w:rsidP="00A519C6">
            <w:pPr>
              <w:spacing w:after="0" w:line="240" w:lineRule="auto"/>
              <w:rPr>
                <w:rFonts w:ascii="Times New Roman" w:eastAsia="Arial Unicode MS" w:hAnsi="Times New Roman" w:cs="Times New Roman"/>
                <w:color w:val="000000"/>
                <w:sz w:val="25"/>
                <w:szCs w:val="25"/>
              </w:rPr>
            </w:pPr>
            <w:r w:rsidRPr="00B96772">
              <w:rPr>
                <w:rFonts w:ascii="Times New Roman" w:eastAsia="Arial Unicode MS" w:hAnsi="Times New Roman" w:cs="Times New Roman"/>
                <w:color w:val="000000"/>
                <w:sz w:val="25"/>
                <w:szCs w:val="25"/>
              </w:rPr>
              <w:t>3.</w:t>
            </w:r>
          </w:p>
        </w:tc>
        <w:tc>
          <w:tcPr>
            <w:tcW w:w="1397" w:type="pct"/>
            <w:tcBorders>
              <w:top w:val="outset" w:sz="6" w:space="0" w:color="auto"/>
              <w:left w:val="outset" w:sz="6" w:space="0" w:color="auto"/>
              <w:right w:val="outset" w:sz="6" w:space="0" w:color="auto"/>
            </w:tcBorders>
          </w:tcPr>
          <w:p w:rsidR="00DA3860" w:rsidRPr="00B96772" w:rsidRDefault="00DA3860" w:rsidP="00A519C6">
            <w:pPr>
              <w:spacing w:after="0" w:line="240" w:lineRule="auto"/>
              <w:jc w:val="both"/>
              <w:rPr>
                <w:rFonts w:ascii="Times New Roman" w:eastAsia="Arial Unicode MS" w:hAnsi="Times New Roman" w:cs="Times New Roman"/>
                <w:color w:val="000000"/>
                <w:sz w:val="25"/>
                <w:szCs w:val="25"/>
              </w:rPr>
            </w:pPr>
            <w:r w:rsidRPr="00B96772">
              <w:rPr>
                <w:rFonts w:ascii="Times New Roman" w:eastAsia="Arial Unicode MS" w:hAnsi="Times New Roman" w:cs="Times New Roman"/>
                <w:color w:val="000000"/>
                <w:sz w:val="25"/>
                <w:szCs w:val="25"/>
              </w:rPr>
              <w:t>Administratīvo izmaksu monetārs novērtējums</w:t>
            </w:r>
          </w:p>
        </w:tc>
        <w:tc>
          <w:tcPr>
            <w:tcW w:w="3354" w:type="pct"/>
            <w:tcBorders>
              <w:top w:val="outset" w:sz="6" w:space="0" w:color="auto"/>
              <w:left w:val="outset" w:sz="6" w:space="0" w:color="auto"/>
              <w:right w:val="outset" w:sz="6" w:space="0" w:color="auto"/>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lang w:eastAsia="lv-LV"/>
              </w:rPr>
              <w:t>Projekts šo jomu neskar.</w:t>
            </w:r>
          </w:p>
        </w:tc>
      </w:tr>
      <w:tr w:rsidR="00DA3860" w:rsidRPr="00B6553A" w:rsidTr="00A519C6">
        <w:tc>
          <w:tcPr>
            <w:tcW w:w="250" w:type="pct"/>
            <w:tcBorders>
              <w:top w:val="outset" w:sz="6" w:space="0" w:color="auto"/>
              <w:left w:val="outset" w:sz="6" w:space="0" w:color="auto"/>
              <w:right w:val="outset" w:sz="6" w:space="0" w:color="auto"/>
            </w:tcBorders>
          </w:tcPr>
          <w:p w:rsidR="00DA3860" w:rsidRPr="00B96772" w:rsidRDefault="00DA3860" w:rsidP="00A519C6">
            <w:pPr>
              <w:spacing w:after="0" w:line="240" w:lineRule="auto"/>
              <w:rPr>
                <w:rFonts w:ascii="Times New Roman" w:eastAsia="Arial Unicode MS" w:hAnsi="Times New Roman" w:cs="Times New Roman"/>
                <w:color w:val="000000"/>
                <w:sz w:val="25"/>
                <w:szCs w:val="25"/>
              </w:rPr>
            </w:pPr>
            <w:r w:rsidRPr="00B96772">
              <w:rPr>
                <w:rFonts w:ascii="Times New Roman" w:eastAsia="Arial Unicode MS" w:hAnsi="Times New Roman" w:cs="Times New Roman"/>
                <w:color w:val="000000"/>
                <w:sz w:val="25"/>
                <w:szCs w:val="25"/>
              </w:rPr>
              <w:t>4.</w:t>
            </w:r>
          </w:p>
        </w:tc>
        <w:tc>
          <w:tcPr>
            <w:tcW w:w="1397" w:type="pct"/>
            <w:tcBorders>
              <w:top w:val="outset" w:sz="6" w:space="0" w:color="auto"/>
              <w:left w:val="outset" w:sz="6" w:space="0" w:color="auto"/>
              <w:right w:val="outset" w:sz="6" w:space="0" w:color="auto"/>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Cita informācija</w:t>
            </w:r>
          </w:p>
        </w:tc>
        <w:tc>
          <w:tcPr>
            <w:tcW w:w="3354" w:type="pct"/>
            <w:tcBorders>
              <w:top w:val="outset" w:sz="6" w:space="0" w:color="auto"/>
              <w:left w:val="outset" w:sz="6" w:space="0" w:color="auto"/>
              <w:right w:val="outset" w:sz="6" w:space="0" w:color="auto"/>
            </w:tcBorders>
            <w:shd w:val="clear" w:color="auto" w:fill="auto"/>
          </w:tcPr>
          <w:p w:rsidR="00DA3860" w:rsidRPr="00B96772" w:rsidRDefault="00DA3860" w:rsidP="00A519C6">
            <w:pPr>
              <w:widowControl w:val="0"/>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Nav.</w:t>
            </w:r>
          </w:p>
        </w:tc>
      </w:tr>
    </w:tbl>
    <w:p w:rsidR="00DA3860" w:rsidRDefault="00DA3860" w:rsidP="00DA3860">
      <w:pPr>
        <w:spacing w:after="0" w:line="240" w:lineRule="auto"/>
        <w:jc w:val="both"/>
        <w:rPr>
          <w:rFonts w:ascii="Times New Roman" w:eastAsia="Times New Roman" w:hAnsi="Times New Roman" w:cs="Times New Roman"/>
          <w:color w:val="000000"/>
          <w:sz w:val="24"/>
          <w:szCs w:val="24"/>
          <w:lang w:eastAsia="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44"/>
        <w:gridCol w:w="5650"/>
      </w:tblGrid>
      <w:tr w:rsidR="00B566D4" w:rsidTr="00B566D4">
        <w:tc>
          <w:tcPr>
            <w:tcW w:w="5000" w:type="pct"/>
            <w:gridSpan w:val="3"/>
            <w:tcBorders>
              <w:top w:val="single" w:sz="4" w:space="0" w:color="auto"/>
              <w:left w:val="single" w:sz="4" w:space="0" w:color="auto"/>
              <w:bottom w:val="single" w:sz="4" w:space="0" w:color="auto"/>
              <w:right w:val="single" w:sz="4" w:space="0" w:color="auto"/>
            </w:tcBorders>
          </w:tcPr>
          <w:p w:rsidR="00B566D4" w:rsidRDefault="00B566D4">
            <w:pPr>
              <w:spacing w:after="0" w:line="240" w:lineRule="auto"/>
              <w:jc w:val="center"/>
              <w:rPr>
                <w:rFonts w:ascii="Times New Roman" w:eastAsia="Times New Roman" w:hAnsi="Times New Roman" w:cs="Times New Roman"/>
                <w:b/>
                <w:bCs/>
                <w:sz w:val="28"/>
                <w:szCs w:val="28"/>
                <w:lang w:eastAsia="lv-LV"/>
              </w:rPr>
            </w:pPr>
          </w:p>
          <w:p w:rsidR="00B566D4" w:rsidRDefault="00B566D4">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 Tiesību akta projekta atbilstība Latvijas Republikas starptautiskajām saistībām</w:t>
            </w:r>
          </w:p>
        </w:tc>
      </w:tr>
      <w:tr w:rsidR="00B566D4" w:rsidTr="00B566D4">
        <w:tc>
          <w:tcPr>
            <w:tcW w:w="301"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1.</w:t>
            </w:r>
          </w:p>
        </w:tc>
        <w:tc>
          <w:tcPr>
            <w:tcW w:w="1536" w:type="pct"/>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jc w:val="both"/>
              <w:rPr>
                <w:rFonts w:ascii="Times New Roman" w:eastAsia="Times New Roman" w:hAnsi="Times New Roman" w:cs="Times New Roman"/>
                <w:iCs/>
                <w:sz w:val="25"/>
                <w:szCs w:val="25"/>
                <w:lang w:eastAsia="lv-LV"/>
              </w:rPr>
            </w:pPr>
            <w:r>
              <w:rPr>
                <w:rFonts w:ascii="Times New Roman" w:eastAsia="Times New Roman" w:hAnsi="Times New Roman" w:cs="Times New Roman"/>
                <w:sz w:val="25"/>
                <w:szCs w:val="25"/>
                <w:lang w:eastAsia="lv-LV"/>
              </w:rPr>
              <w:t>Saistības pret Eiropas Savienību</w:t>
            </w:r>
          </w:p>
        </w:tc>
        <w:tc>
          <w:tcPr>
            <w:tcW w:w="3163" w:type="pct"/>
            <w:tcBorders>
              <w:top w:val="single" w:sz="4" w:space="0" w:color="auto"/>
              <w:left w:val="single" w:sz="4" w:space="0" w:color="auto"/>
              <w:bottom w:val="single" w:sz="4" w:space="0" w:color="auto"/>
              <w:right w:val="single" w:sz="4" w:space="0" w:color="auto"/>
            </w:tcBorders>
            <w:hideMark/>
          </w:tcPr>
          <w:p w:rsidR="00B566D4" w:rsidRPr="00975ADA" w:rsidRDefault="00975ADA" w:rsidP="00975ADA">
            <w:pPr>
              <w:pStyle w:val="ListParagraph"/>
              <w:numPr>
                <w:ilvl w:val="0"/>
                <w:numId w:val="1"/>
              </w:numPr>
              <w:tabs>
                <w:tab w:val="left" w:pos="297"/>
              </w:tabs>
              <w:spacing w:after="0" w:line="240" w:lineRule="auto"/>
              <w:jc w:val="both"/>
              <w:rPr>
                <w:rFonts w:ascii="Times New Roman" w:eastAsia="Times New Roman" w:hAnsi="Times New Roman" w:cs="Times New Roman"/>
                <w:bCs/>
                <w:sz w:val="25"/>
                <w:szCs w:val="25"/>
                <w:lang w:eastAsia="lv-LV"/>
              </w:rPr>
            </w:pPr>
            <w:r w:rsidRPr="00975ADA">
              <w:rPr>
                <w:rFonts w:ascii="Times New Roman" w:eastAsia="Times New Roman" w:hAnsi="Times New Roman" w:cs="Times New Roman"/>
                <w:color w:val="000000"/>
                <w:sz w:val="25"/>
                <w:szCs w:val="25"/>
              </w:rPr>
              <w:t>Eiropas Parlamenta un Padomes Direktīva 2001/95/EK par produktu vispārēju drošību.</w:t>
            </w:r>
          </w:p>
          <w:p w:rsidR="00975ADA" w:rsidRPr="00975ADA" w:rsidRDefault="00975ADA" w:rsidP="00975ADA">
            <w:pPr>
              <w:pStyle w:val="ListParagraph"/>
              <w:numPr>
                <w:ilvl w:val="0"/>
                <w:numId w:val="1"/>
              </w:numPr>
              <w:tabs>
                <w:tab w:val="left" w:pos="297"/>
              </w:tabs>
              <w:spacing w:after="0" w:line="240" w:lineRule="auto"/>
              <w:jc w:val="both"/>
              <w:rPr>
                <w:rFonts w:ascii="Times New Roman" w:eastAsia="Times New Roman" w:hAnsi="Times New Roman" w:cs="Times New Roman"/>
                <w:bCs/>
                <w:sz w:val="25"/>
                <w:szCs w:val="25"/>
                <w:lang w:eastAsia="lv-LV"/>
              </w:rPr>
            </w:pPr>
            <w:r>
              <w:rPr>
                <w:rFonts w:ascii="Times New Roman" w:eastAsia="Times New Roman" w:hAnsi="Times New Roman" w:cs="Times New Roman"/>
                <w:bCs/>
                <w:sz w:val="25"/>
                <w:szCs w:val="25"/>
                <w:lang w:eastAsia="lv-LV"/>
              </w:rPr>
              <w:t>Komisijas L</w:t>
            </w:r>
            <w:r w:rsidRPr="00975ADA">
              <w:rPr>
                <w:rFonts w:ascii="Times New Roman" w:eastAsia="Times New Roman" w:hAnsi="Times New Roman" w:cs="Times New Roman"/>
                <w:bCs/>
                <w:sz w:val="25"/>
                <w:szCs w:val="25"/>
                <w:lang w:eastAsia="lv-LV"/>
              </w:rPr>
              <w:t>ēmums</w:t>
            </w:r>
            <w:r>
              <w:rPr>
                <w:rFonts w:ascii="Times New Roman" w:eastAsia="Times New Roman" w:hAnsi="Times New Roman" w:cs="Times New Roman"/>
                <w:bCs/>
                <w:sz w:val="25"/>
                <w:szCs w:val="25"/>
                <w:lang w:eastAsia="lv-LV"/>
              </w:rPr>
              <w:t xml:space="preserve"> </w:t>
            </w:r>
            <w:r w:rsidRPr="00975ADA">
              <w:rPr>
                <w:rFonts w:ascii="Times New Roman" w:eastAsia="Times New Roman" w:hAnsi="Times New Roman" w:cs="Times New Roman"/>
                <w:bCs/>
                <w:sz w:val="25"/>
                <w:szCs w:val="25"/>
                <w:lang w:eastAsia="lv-LV"/>
              </w:rPr>
              <w:t>ar ko nosaka pamatnostādnes, lai ražotāji un izplatītāji dalībvalstu kompetentajām iestādēm ziņotu</w:t>
            </w:r>
            <w:r>
              <w:rPr>
                <w:rFonts w:ascii="Times New Roman" w:eastAsia="Times New Roman" w:hAnsi="Times New Roman" w:cs="Times New Roman"/>
                <w:bCs/>
                <w:sz w:val="25"/>
                <w:szCs w:val="25"/>
                <w:lang w:eastAsia="lv-LV"/>
              </w:rPr>
              <w:t xml:space="preserve"> </w:t>
            </w:r>
            <w:r w:rsidRPr="00975ADA">
              <w:rPr>
                <w:rFonts w:ascii="Times New Roman" w:eastAsia="Times New Roman" w:hAnsi="Times New Roman" w:cs="Times New Roman"/>
                <w:bCs/>
                <w:sz w:val="25"/>
                <w:szCs w:val="25"/>
                <w:lang w:eastAsia="lv-LV"/>
              </w:rPr>
              <w:t>par bīstamiem patēriņa produktiem saskaņā ar Eiropas Parlamenta un Padomes Direktīvas</w:t>
            </w:r>
            <w:r>
              <w:rPr>
                <w:rFonts w:ascii="Times New Roman" w:eastAsia="Times New Roman" w:hAnsi="Times New Roman" w:cs="Times New Roman"/>
                <w:bCs/>
                <w:sz w:val="25"/>
                <w:szCs w:val="25"/>
                <w:lang w:eastAsia="lv-LV"/>
              </w:rPr>
              <w:t xml:space="preserve"> </w:t>
            </w:r>
            <w:r w:rsidRPr="00975ADA">
              <w:rPr>
                <w:rFonts w:ascii="Times New Roman" w:eastAsia="Times New Roman" w:hAnsi="Times New Roman" w:cs="Times New Roman"/>
                <w:bCs/>
                <w:sz w:val="25"/>
                <w:szCs w:val="25"/>
                <w:lang w:eastAsia="lv-LV"/>
              </w:rPr>
              <w:t>2001/95/EK 5. panta 3. punktu</w:t>
            </w:r>
          </w:p>
        </w:tc>
      </w:tr>
      <w:tr w:rsidR="00B566D4" w:rsidTr="00B566D4">
        <w:tc>
          <w:tcPr>
            <w:tcW w:w="301"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2.</w:t>
            </w:r>
          </w:p>
        </w:tc>
        <w:tc>
          <w:tcPr>
            <w:tcW w:w="1536"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jc w:val="both"/>
              <w:rPr>
                <w:rFonts w:ascii="Times New Roman" w:eastAsia="Times New Roman" w:hAnsi="Times New Roman" w:cs="Times New Roman"/>
                <w:iCs/>
                <w:sz w:val="25"/>
                <w:szCs w:val="25"/>
                <w:lang w:eastAsia="lv-LV"/>
              </w:rPr>
            </w:pPr>
            <w:r>
              <w:rPr>
                <w:rFonts w:ascii="Times New Roman" w:eastAsia="Times New Roman" w:hAnsi="Times New Roman" w:cs="Times New Roman"/>
                <w:sz w:val="25"/>
                <w:szCs w:val="25"/>
                <w:lang w:eastAsia="lv-LV"/>
              </w:rPr>
              <w:t>Citas starptautiskās saistības</w:t>
            </w:r>
          </w:p>
        </w:tc>
        <w:tc>
          <w:tcPr>
            <w:tcW w:w="3163"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jc w:val="both"/>
              <w:rPr>
                <w:rFonts w:ascii="Times New Roman" w:eastAsia="Times New Roman" w:hAnsi="Times New Roman" w:cs="Times New Roman"/>
                <w:iCs/>
                <w:sz w:val="25"/>
                <w:szCs w:val="25"/>
                <w:lang w:eastAsia="lv-LV"/>
              </w:rPr>
            </w:pPr>
            <w:r>
              <w:rPr>
                <w:rFonts w:ascii="Times New Roman" w:eastAsia="Times New Roman" w:hAnsi="Times New Roman" w:cs="Times New Roman"/>
                <w:sz w:val="25"/>
                <w:szCs w:val="25"/>
                <w:lang w:eastAsia="lv-LV"/>
              </w:rPr>
              <w:t>Projekts šo jomu neskar.</w:t>
            </w:r>
          </w:p>
        </w:tc>
      </w:tr>
      <w:tr w:rsidR="00B566D4" w:rsidTr="00B566D4">
        <w:tc>
          <w:tcPr>
            <w:tcW w:w="301"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3.</w:t>
            </w:r>
          </w:p>
        </w:tc>
        <w:tc>
          <w:tcPr>
            <w:tcW w:w="1536"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Cita informācija</w:t>
            </w:r>
          </w:p>
        </w:tc>
        <w:tc>
          <w:tcPr>
            <w:tcW w:w="3163" w:type="pct"/>
            <w:tcBorders>
              <w:top w:val="single" w:sz="4" w:space="0" w:color="auto"/>
              <w:left w:val="single" w:sz="4" w:space="0" w:color="auto"/>
              <w:bottom w:val="single" w:sz="4" w:space="0" w:color="auto"/>
              <w:right w:val="single" w:sz="4" w:space="0" w:color="auto"/>
            </w:tcBorders>
            <w:hideMark/>
          </w:tcPr>
          <w:p w:rsidR="00B566D4" w:rsidRDefault="00B566D4">
            <w:pPr>
              <w:tabs>
                <w:tab w:val="left" w:pos="2628"/>
              </w:tabs>
              <w:spacing w:after="0" w:line="240" w:lineRule="auto"/>
              <w:jc w:val="both"/>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Nav</w:t>
            </w:r>
          </w:p>
        </w:tc>
      </w:tr>
    </w:tbl>
    <w:p w:rsidR="00B566D4" w:rsidRDefault="00B566D4" w:rsidP="00DA3860">
      <w:pPr>
        <w:spacing w:after="0" w:line="240" w:lineRule="auto"/>
        <w:jc w:val="both"/>
        <w:rPr>
          <w:rFonts w:ascii="Times New Roman" w:eastAsia="Times New Roman" w:hAnsi="Times New Roman" w:cs="Times New Roman"/>
          <w:color w:val="000000"/>
          <w:sz w:val="24"/>
          <w:szCs w:val="24"/>
          <w:lang w:eastAsia="lv-LV"/>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88"/>
        <w:gridCol w:w="2125"/>
        <w:gridCol w:w="1558"/>
        <w:gridCol w:w="1984"/>
      </w:tblGrid>
      <w:tr w:rsidR="00B566D4" w:rsidTr="00975ADA">
        <w:trPr>
          <w:trHeight w:val="52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1.tabula </w:t>
            </w:r>
          </w:p>
          <w:p w:rsidR="00B566D4" w:rsidRDefault="00B566D4">
            <w:pPr>
              <w:spacing w:after="0" w:line="240" w:lineRule="auto"/>
              <w:jc w:val="center"/>
              <w:rPr>
                <w:rFonts w:ascii="Times New Roman" w:eastAsia="Times New Roman" w:hAnsi="Times New Roman" w:cs="Times New Roman"/>
                <w:b/>
                <w:bCs/>
                <w:i/>
                <w:sz w:val="27"/>
                <w:szCs w:val="27"/>
                <w:lang w:eastAsia="lv-LV"/>
              </w:rPr>
            </w:pPr>
            <w:r>
              <w:rPr>
                <w:rFonts w:ascii="Times New Roman" w:eastAsia="Times New Roman" w:hAnsi="Times New Roman" w:cs="Times New Roman"/>
                <w:b/>
                <w:bCs/>
                <w:sz w:val="28"/>
                <w:szCs w:val="28"/>
                <w:lang w:eastAsia="lv-LV"/>
              </w:rPr>
              <w:t>Tiesību akta projekta atbilstība ES tiesību aktiem</w:t>
            </w:r>
          </w:p>
        </w:tc>
      </w:tr>
      <w:tr w:rsidR="00B566D4" w:rsidTr="00975ADA">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B566D4" w:rsidRDefault="00975ADA">
            <w:pPr>
              <w:spacing w:after="0" w:line="240" w:lineRule="auto"/>
              <w:rPr>
                <w:rFonts w:ascii="Times New Roman" w:eastAsia="Times New Roman" w:hAnsi="Times New Roman" w:cs="Times New Roman"/>
                <w:i/>
                <w:sz w:val="27"/>
                <w:szCs w:val="27"/>
                <w:lang w:eastAsia="lv-LV"/>
              </w:rPr>
            </w:pPr>
            <w:r w:rsidRPr="00975ADA">
              <w:rPr>
                <w:rFonts w:ascii="Times New Roman" w:eastAsia="Times New Roman" w:hAnsi="Times New Roman" w:cs="Times New Roman"/>
                <w:color w:val="000000"/>
                <w:sz w:val="25"/>
                <w:szCs w:val="25"/>
              </w:rPr>
              <w:t>Eiropas Parlamenta un Padomes Direktīva 2001/95/EK par produktu vispārēju drošību.</w:t>
            </w:r>
          </w:p>
        </w:tc>
      </w:tr>
      <w:tr w:rsidR="00B566D4" w:rsidTr="00975ADA">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A</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B</w:t>
            </w:r>
          </w:p>
        </w:tc>
        <w:tc>
          <w:tcPr>
            <w:tcW w:w="155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D</w:t>
            </w:r>
          </w:p>
        </w:tc>
      </w:tr>
      <w:tr w:rsidR="00B566D4" w:rsidTr="00975ADA">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975ADA">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lastRenderedPageBreak/>
              <w:t>5. panta 3. punkts</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66D4" w:rsidRPr="00975ADA" w:rsidRDefault="00975ADA">
            <w:pPr>
              <w:spacing w:after="0" w:line="240" w:lineRule="auto"/>
              <w:rPr>
                <w:rFonts w:ascii="Times New Roman" w:eastAsia="Times New Roman" w:hAnsi="Times New Roman" w:cs="Times New Roman"/>
                <w:sz w:val="25"/>
                <w:szCs w:val="25"/>
                <w:lang w:eastAsia="lv-LV"/>
              </w:rPr>
            </w:pPr>
            <w:r w:rsidRPr="00975ADA">
              <w:rPr>
                <w:rFonts w:ascii="Times New Roman" w:eastAsia="Times New Roman" w:hAnsi="Times New Roman" w:cs="Times New Roman"/>
                <w:sz w:val="25"/>
                <w:szCs w:val="25"/>
                <w:lang w:eastAsia="lv-LV"/>
              </w:rPr>
              <w:t>9.</w:t>
            </w:r>
            <w:r w:rsidRPr="00975ADA">
              <w:rPr>
                <w:rFonts w:ascii="Times New Roman" w:eastAsia="Times New Roman" w:hAnsi="Times New Roman" w:cs="Times New Roman"/>
                <w:sz w:val="25"/>
                <w:szCs w:val="25"/>
                <w:vertAlign w:val="superscript"/>
                <w:lang w:eastAsia="lv-LV"/>
              </w:rPr>
              <w:t>1</w:t>
            </w:r>
            <w:r>
              <w:rPr>
                <w:rFonts w:ascii="Times New Roman" w:eastAsia="Times New Roman" w:hAnsi="Times New Roman" w:cs="Times New Roman"/>
                <w:sz w:val="25"/>
                <w:szCs w:val="25"/>
                <w:lang w:eastAsia="lv-LV"/>
              </w:rPr>
              <w:t xml:space="preserve"> punkts</w:t>
            </w:r>
          </w:p>
        </w:tc>
        <w:tc>
          <w:tcPr>
            <w:tcW w:w="155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Stingrākas prasības nav paredzētas.  </w:t>
            </w:r>
          </w:p>
        </w:tc>
      </w:tr>
      <w:tr w:rsidR="00B566D4" w:rsidTr="00975ADA">
        <w:trPr>
          <w:trHeight w:val="281"/>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5667" w:type="dxa"/>
            <w:gridSpan w:val="3"/>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jc w:val="both"/>
              <w:rPr>
                <w:rFonts w:ascii="Times New Roman" w:eastAsia="Times New Roman" w:hAnsi="Times New Roman" w:cs="Times New Roman"/>
                <w:sz w:val="25"/>
                <w:szCs w:val="25"/>
                <w:lang w:eastAsia="lv-LV"/>
              </w:rPr>
            </w:pPr>
            <w:r>
              <w:rPr>
                <w:rFonts w:ascii="Times New Roman" w:eastAsia="Times New Roman" w:hAnsi="Times New Roman" w:cs="Times New Roman"/>
                <w:iCs/>
                <w:sz w:val="25"/>
                <w:szCs w:val="25"/>
                <w:lang w:eastAsia="lv-LV"/>
              </w:rPr>
              <w:t>Noteikumu projektā iekļautās ES tiesību akta normas neparedz rīcības brīvību dalībvalstīm.</w:t>
            </w:r>
          </w:p>
        </w:tc>
      </w:tr>
      <w:tr w:rsidR="00B566D4" w:rsidTr="00975ADA">
        <w:trPr>
          <w:trHeight w:val="913"/>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rPr>
                <w:rFonts w:ascii="Times New Roman" w:eastAsia="Times New Roman" w:hAnsi="Times New Roman" w:cs="Times New Roman"/>
                <w:i/>
                <w:sz w:val="25"/>
                <w:szCs w:val="25"/>
                <w:lang w:eastAsia="lv-LV"/>
              </w:rPr>
            </w:pPr>
            <w:r>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67" w:type="dxa"/>
            <w:gridSpan w:val="3"/>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Projekts šo jomu neskar.</w:t>
            </w:r>
          </w:p>
        </w:tc>
      </w:tr>
      <w:tr w:rsidR="00B566D4" w:rsidTr="00975ADA">
        <w:trPr>
          <w:trHeight w:val="382"/>
        </w:trPr>
        <w:tc>
          <w:tcPr>
            <w:tcW w:w="3288" w:type="dxa"/>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Cita informācija</w:t>
            </w:r>
          </w:p>
        </w:tc>
        <w:tc>
          <w:tcPr>
            <w:tcW w:w="5667" w:type="dxa"/>
            <w:gridSpan w:val="3"/>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jc w:val="both"/>
              <w:rPr>
                <w:rFonts w:ascii="Times New Roman" w:eastAsia="Times New Roman" w:hAnsi="Times New Roman" w:cs="Times New Roman"/>
                <w:i/>
                <w:sz w:val="25"/>
                <w:szCs w:val="25"/>
                <w:lang w:eastAsia="lv-LV"/>
              </w:rPr>
            </w:pPr>
            <w:r>
              <w:rPr>
                <w:rFonts w:ascii="Times New Roman" w:eastAsia="Times New Roman" w:hAnsi="Times New Roman" w:cs="Times New Roman"/>
                <w:sz w:val="25"/>
                <w:szCs w:val="25"/>
                <w:lang w:eastAsia="lv-LV"/>
              </w:rPr>
              <w:t>Nav</w:t>
            </w:r>
          </w:p>
        </w:tc>
      </w:tr>
      <w:tr w:rsidR="00B566D4" w:rsidTr="00975ADA">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B566D4" w:rsidRDefault="00975ADA">
            <w:pPr>
              <w:spacing w:after="0" w:line="240" w:lineRule="auto"/>
              <w:rPr>
                <w:rFonts w:ascii="Times New Roman" w:eastAsia="Times New Roman" w:hAnsi="Times New Roman" w:cs="Times New Roman"/>
                <w:i/>
                <w:sz w:val="27"/>
                <w:szCs w:val="27"/>
                <w:lang w:eastAsia="lv-LV"/>
              </w:rPr>
            </w:pPr>
            <w:r w:rsidRPr="00975ADA">
              <w:rPr>
                <w:rFonts w:ascii="Times New Roman" w:eastAsia="Times New Roman" w:hAnsi="Times New Roman" w:cs="Times New Roman"/>
                <w:color w:val="000000"/>
                <w:sz w:val="25"/>
                <w:szCs w:val="25"/>
              </w:rPr>
              <w:t>Komisijas Lēmums ar ko nosaka pamatnostādnes, lai ražotāji un izplatītāji dalībvalstu kompetentajām iestādēm ziņotu par bīstamiem patēriņa produktiem saskaņā ar Eiropas Parlamenta un Padomes Direktīvas 2001/95/EK 5. panta 3. punktu</w:t>
            </w:r>
          </w:p>
        </w:tc>
      </w:tr>
      <w:tr w:rsidR="00B566D4" w:rsidTr="00975ADA">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A</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B</w:t>
            </w:r>
          </w:p>
        </w:tc>
        <w:tc>
          <w:tcPr>
            <w:tcW w:w="155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D</w:t>
            </w:r>
          </w:p>
        </w:tc>
      </w:tr>
      <w:tr w:rsidR="00B566D4" w:rsidTr="00975ADA">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975ADA">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Pielikuma 5.2.apakšpunkts</w:t>
            </w:r>
          </w:p>
        </w:tc>
        <w:tc>
          <w:tcPr>
            <w:tcW w:w="2125" w:type="dxa"/>
            <w:tcBorders>
              <w:top w:val="single" w:sz="4" w:space="0" w:color="auto"/>
              <w:left w:val="single" w:sz="4" w:space="0" w:color="auto"/>
              <w:bottom w:val="single" w:sz="4" w:space="0" w:color="auto"/>
              <w:right w:val="single" w:sz="4" w:space="0" w:color="auto"/>
            </w:tcBorders>
            <w:vAlign w:val="center"/>
            <w:hideMark/>
          </w:tcPr>
          <w:p w:rsidR="00B566D4" w:rsidRDefault="00975ADA">
            <w:pPr>
              <w:spacing w:after="0" w:line="240" w:lineRule="auto"/>
              <w:rPr>
                <w:rFonts w:ascii="Times New Roman" w:eastAsia="Times New Roman" w:hAnsi="Times New Roman" w:cs="Times New Roman"/>
                <w:sz w:val="25"/>
                <w:szCs w:val="25"/>
                <w:lang w:eastAsia="lv-LV"/>
              </w:rPr>
            </w:pPr>
            <w:r w:rsidRPr="00975ADA">
              <w:rPr>
                <w:rFonts w:ascii="Times New Roman" w:eastAsia="Times New Roman" w:hAnsi="Times New Roman" w:cs="Times New Roman"/>
                <w:sz w:val="25"/>
                <w:szCs w:val="25"/>
                <w:lang w:eastAsia="lv-LV"/>
              </w:rPr>
              <w:t>9.</w:t>
            </w:r>
            <w:r w:rsidRPr="00975ADA">
              <w:rPr>
                <w:rFonts w:ascii="Times New Roman" w:eastAsia="Times New Roman" w:hAnsi="Times New Roman" w:cs="Times New Roman"/>
                <w:sz w:val="25"/>
                <w:szCs w:val="25"/>
                <w:vertAlign w:val="superscript"/>
                <w:lang w:eastAsia="lv-LV"/>
              </w:rPr>
              <w:t>1</w:t>
            </w:r>
            <w:r w:rsidRPr="00975ADA">
              <w:rPr>
                <w:rFonts w:ascii="Times New Roman" w:eastAsia="Times New Roman" w:hAnsi="Times New Roman" w:cs="Times New Roman"/>
                <w:sz w:val="25"/>
                <w:szCs w:val="25"/>
                <w:lang w:eastAsia="lv-LV"/>
              </w:rPr>
              <w:t xml:space="preserve"> punkts</w:t>
            </w:r>
          </w:p>
        </w:tc>
        <w:tc>
          <w:tcPr>
            <w:tcW w:w="155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Stingrākas prasības nav paredzētas.  </w:t>
            </w:r>
          </w:p>
        </w:tc>
      </w:tr>
      <w:tr w:rsidR="00B566D4" w:rsidTr="00975ADA">
        <w:trPr>
          <w:trHeight w:val="281"/>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5667" w:type="dxa"/>
            <w:gridSpan w:val="3"/>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jc w:val="both"/>
              <w:rPr>
                <w:rFonts w:ascii="Times New Roman" w:eastAsia="Times New Roman" w:hAnsi="Times New Roman" w:cs="Times New Roman"/>
                <w:sz w:val="25"/>
                <w:szCs w:val="25"/>
                <w:lang w:eastAsia="lv-LV"/>
              </w:rPr>
            </w:pPr>
            <w:r>
              <w:rPr>
                <w:rFonts w:ascii="Times New Roman" w:eastAsia="Times New Roman" w:hAnsi="Times New Roman" w:cs="Times New Roman"/>
                <w:iCs/>
                <w:sz w:val="25"/>
                <w:szCs w:val="25"/>
                <w:lang w:eastAsia="lv-LV"/>
              </w:rPr>
              <w:t>Noteikumu projektā iekļautās ES tiesību akta normas neparedz rīcības brīvību dalībvalstīm.</w:t>
            </w:r>
          </w:p>
        </w:tc>
      </w:tr>
      <w:tr w:rsidR="00B566D4" w:rsidTr="00975ADA">
        <w:trPr>
          <w:trHeight w:val="388"/>
        </w:trPr>
        <w:tc>
          <w:tcPr>
            <w:tcW w:w="3288" w:type="dxa"/>
            <w:tcBorders>
              <w:top w:val="single" w:sz="4" w:space="0" w:color="auto"/>
              <w:left w:val="single" w:sz="4" w:space="0" w:color="auto"/>
              <w:bottom w:val="single" w:sz="4" w:space="0" w:color="auto"/>
              <w:right w:val="single" w:sz="4" w:space="0" w:color="auto"/>
            </w:tcBorders>
            <w:vAlign w:val="center"/>
            <w:hideMark/>
          </w:tcPr>
          <w:p w:rsidR="00B566D4" w:rsidRDefault="00B566D4">
            <w:pPr>
              <w:spacing w:after="0" w:line="240" w:lineRule="auto"/>
              <w:rPr>
                <w:rFonts w:ascii="Times New Roman" w:eastAsia="Times New Roman" w:hAnsi="Times New Roman" w:cs="Times New Roman"/>
                <w:i/>
                <w:sz w:val="25"/>
                <w:szCs w:val="25"/>
                <w:lang w:eastAsia="lv-LV"/>
              </w:rPr>
            </w:pPr>
            <w:r>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67" w:type="dxa"/>
            <w:gridSpan w:val="3"/>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Projekts šo jomu neskar.</w:t>
            </w:r>
          </w:p>
        </w:tc>
      </w:tr>
      <w:tr w:rsidR="00B566D4" w:rsidTr="00975ADA">
        <w:trPr>
          <w:trHeight w:val="382"/>
        </w:trPr>
        <w:tc>
          <w:tcPr>
            <w:tcW w:w="3288" w:type="dxa"/>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Cita informācija</w:t>
            </w:r>
          </w:p>
        </w:tc>
        <w:tc>
          <w:tcPr>
            <w:tcW w:w="5667" w:type="dxa"/>
            <w:gridSpan w:val="3"/>
            <w:tcBorders>
              <w:top w:val="single" w:sz="4" w:space="0" w:color="auto"/>
              <w:left w:val="single" w:sz="4" w:space="0" w:color="auto"/>
              <w:bottom w:val="single" w:sz="4" w:space="0" w:color="auto"/>
              <w:right w:val="single" w:sz="4" w:space="0" w:color="auto"/>
            </w:tcBorders>
            <w:hideMark/>
          </w:tcPr>
          <w:p w:rsidR="00B566D4" w:rsidRDefault="00B566D4">
            <w:pPr>
              <w:spacing w:after="0" w:line="240" w:lineRule="auto"/>
              <w:jc w:val="both"/>
              <w:rPr>
                <w:rFonts w:ascii="Times New Roman" w:eastAsia="Times New Roman" w:hAnsi="Times New Roman" w:cs="Times New Roman"/>
                <w:i/>
                <w:sz w:val="25"/>
                <w:szCs w:val="25"/>
                <w:lang w:eastAsia="lv-LV"/>
              </w:rPr>
            </w:pPr>
            <w:r>
              <w:rPr>
                <w:rFonts w:ascii="Times New Roman" w:eastAsia="Times New Roman" w:hAnsi="Times New Roman" w:cs="Times New Roman"/>
                <w:sz w:val="25"/>
                <w:szCs w:val="25"/>
                <w:lang w:eastAsia="lv-LV"/>
              </w:rPr>
              <w:t>Nav</w:t>
            </w:r>
          </w:p>
        </w:tc>
      </w:tr>
    </w:tbl>
    <w:p w:rsidR="00B566D4" w:rsidRPr="00B6553A" w:rsidRDefault="00B566D4" w:rsidP="00DA3860">
      <w:pPr>
        <w:spacing w:after="0" w:line="240" w:lineRule="auto"/>
        <w:jc w:val="both"/>
        <w:rPr>
          <w:rFonts w:ascii="Times New Roman" w:eastAsia="Times New Roman" w:hAnsi="Times New Roman" w:cs="Times New Roman"/>
          <w:color w:val="000000"/>
          <w:sz w:val="24"/>
          <w:szCs w:val="24"/>
          <w:lang w:eastAsia="lv-LV"/>
        </w:rPr>
      </w:pPr>
    </w:p>
    <w:p w:rsidR="00DA3860" w:rsidRPr="001A7364" w:rsidRDefault="00DA3860" w:rsidP="00DA3860">
      <w:pPr>
        <w:spacing w:after="0" w:line="240" w:lineRule="auto"/>
        <w:rPr>
          <w:rFonts w:ascii="Times New Roman" w:eastAsia="Calibri" w:hAnsi="Times New Roman" w:cs="Times New Roman"/>
          <w:vanish/>
          <w:color w:val="000000"/>
          <w:highlight w:val="yellow"/>
        </w:rPr>
      </w:pPr>
    </w:p>
    <w:p w:rsidR="00DA3860" w:rsidRPr="001A7364" w:rsidRDefault="00DA3860" w:rsidP="00DA3860">
      <w:pPr>
        <w:spacing w:after="0" w:line="240" w:lineRule="auto"/>
        <w:rPr>
          <w:rFonts w:ascii="Times New Roman" w:eastAsia="Times New Roman" w:hAnsi="Times New Roman" w:cs="Times New Roman"/>
          <w:color w:val="000000"/>
          <w:sz w:val="24"/>
          <w:szCs w:val="24"/>
          <w:highlight w:val="yellow"/>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4"/>
        <w:gridCol w:w="2491"/>
        <w:gridCol w:w="5829"/>
      </w:tblGrid>
      <w:tr w:rsidR="00DA3860" w:rsidRPr="00B6553A" w:rsidTr="00E65557">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A3860" w:rsidRPr="00B6553A" w:rsidRDefault="00DA3860" w:rsidP="00A519C6">
            <w:pPr>
              <w:spacing w:after="0" w:line="240" w:lineRule="auto"/>
              <w:jc w:val="center"/>
              <w:rPr>
                <w:rFonts w:ascii="Times New Roman" w:eastAsia="Times New Roman" w:hAnsi="Times New Roman" w:cs="Times New Roman"/>
                <w:b/>
                <w:bCs/>
                <w:color w:val="000000"/>
                <w:sz w:val="28"/>
                <w:szCs w:val="28"/>
                <w:lang w:eastAsia="lv-LV"/>
              </w:rPr>
            </w:pPr>
            <w:r w:rsidRPr="00B6553A">
              <w:rPr>
                <w:rFonts w:ascii="Times New Roman" w:eastAsia="Times New Roman" w:hAnsi="Times New Roman" w:cs="Times New Roman"/>
                <w:b/>
                <w:bCs/>
                <w:color w:val="000000"/>
                <w:sz w:val="28"/>
                <w:szCs w:val="28"/>
                <w:lang w:eastAsia="lv-LV"/>
              </w:rPr>
              <w:lastRenderedPageBreak/>
              <w:t xml:space="preserve">VI. Sabiedrības līdzdalība </w:t>
            </w:r>
            <w:r w:rsidRPr="00B6553A">
              <w:rPr>
                <w:rFonts w:ascii="Times New Roman" w:eastAsia="Times New Roman" w:hAnsi="Times New Roman" w:cs="Times New Roman"/>
                <w:b/>
                <w:bCs/>
                <w:color w:val="000000"/>
                <w:sz w:val="28"/>
                <w:szCs w:val="28"/>
              </w:rPr>
              <w:t>un komunikācijas aktivitātes</w:t>
            </w:r>
          </w:p>
        </w:tc>
      </w:tr>
      <w:tr w:rsidR="00DA3860" w:rsidRPr="00B6553A" w:rsidTr="00E65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7" w:type="pct"/>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1.</w:t>
            </w:r>
          </w:p>
        </w:tc>
        <w:tc>
          <w:tcPr>
            <w:tcW w:w="1405"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Plānotās sabiedrības līdzdalības un komunikācijas aktivitātes saistībā ar projektu</w:t>
            </w:r>
          </w:p>
        </w:tc>
        <w:tc>
          <w:tcPr>
            <w:tcW w:w="3285" w:type="pct"/>
          </w:tcPr>
          <w:p w:rsidR="00DA3860" w:rsidRPr="00B96772" w:rsidRDefault="00DA3860" w:rsidP="00B13B77">
            <w:pPr>
              <w:spacing w:after="0" w:line="240" w:lineRule="auto"/>
              <w:ind w:firstLine="256"/>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 xml:space="preserve">Noteikumu projekts ievietots Ekonomikas ministrijas mājas lapā </w:t>
            </w:r>
            <w:proofErr w:type="spellStart"/>
            <w:r w:rsidRPr="00B96772">
              <w:rPr>
                <w:rFonts w:ascii="Times New Roman" w:eastAsia="Times New Roman" w:hAnsi="Times New Roman" w:cs="Times New Roman"/>
                <w:color w:val="000000"/>
                <w:sz w:val="25"/>
                <w:szCs w:val="25"/>
              </w:rPr>
              <w:t>www.em.gov.lv</w:t>
            </w:r>
            <w:proofErr w:type="spellEnd"/>
            <w:r w:rsidRPr="00B96772">
              <w:rPr>
                <w:rFonts w:ascii="Times New Roman" w:eastAsia="Times New Roman" w:hAnsi="Times New Roman" w:cs="Times New Roman"/>
                <w:color w:val="000000"/>
                <w:sz w:val="25"/>
                <w:szCs w:val="25"/>
              </w:rPr>
              <w:t>.</w:t>
            </w:r>
          </w:p>
        </w:tc>
      </w:tr>
      <w:tr w:rsidR="00DA3860" w:rsidRPr="00B6553A" w:rsidTr="00E65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7" w:type="pct"/>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2.</w:t>
            </w:r>
          </w:p>
        </w:tc>
        <w:tc>
          <w:tcPr>
            <w:tcW w:w="1405" w:type="pct"/>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Sabiedrības līdzdalība projekta izstrādē</w:t>
            </w:r>
          </w:p>
        </w:tc>
        <w:tc>
          <w:tcPr>
            <w:tcW w:w="3285" w:type="pct"/>
          </w:tcPr>
          <w:p w:rsidR="00DA3860" w:rsidRPr="00B96772" w:rsidRDefault="00B96772" w:rsidP="00AA763A">
            <w:pPr>
              <w:spacing w:after="0" w:line="240" w:lineRule="auto"/>
              <w:ind w:firstLine="256"/>
              <w:jc w:val="both"/>
              <w:rPr>
                <w:rFonts w:ascii="Times New Roman" w:eastAsia="Times New Roman" w:hAnsi="Times New Roman" w:cs="Times New Roman"/>
                <w:color w:val="000000"/>
                <w:sz w:val="25"/>
                <w:szCs w:val="25"/>
                <w:lang w:eastAsia="lv-LV"/>
              </w:rPr>
            </w:pPr>
            <w:r w:rsidRPr="00B96772">
              <w:rPr>
                <w:rFonts w:ascii="Times New Roman" w:hAnsi="Times New Roman" w:cs="Times New Roman"/>
                <w:sz w:val="25"/>
                <w:szCs w:val="25"/>
              </w:rPr>
              <w:t xml:space="preserve">Noteikumu projekts nosūtīts saskaņošanai </w:t>
            </w:r>
            <w:r w:rsidRPr="00E6630C">
              <w:rPr>
                <w:rFonts w:ascii="Times New Roman" w:hAnsi="Times New Roman" w:cs="Times New Roman"/>
                <w:sz w:val="25"/>
                <w:szCs w:val="25"/>
              </w:rPr>
              <w:t>Latvijas Darba devēju konfederācijai, Latvijas tirdzniecības un rūpniecības kamerai, Latvijas Tirgotāju asociācijai, Patērētāju interešu aizstāvības asociācijai un Patērētāju interešu aizstāvības klubam.</w:t>
            </w:r>
          </w:p>
        </w:tc>
      </w:tr>
      <w:tr w:rsidR="00DA3860" w:rsidRPr="00B6553A" w:rsidTr="00E65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7" w:type="pct"/>
            <w:tcBorders>
              <w:bottom w:val="single" w:sz="4" w:space="0" w:color="auto"/>
            </w:tcBorders>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3.</w:t>
            </w:r>
          </w:p>
        </w:tc>
        <w:tc>
          <w:tcPr>
            <w:tcW w:w="1405" w:type="pct"/>
            <w:tcBorders>
              <w:bottom w:val="single" w:sz="4" w:space="0" w:color="auto"/>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Sabiedrības līdzdalības rezultāti</w:t>
            </w:r>
          </w:p>
        </w:tc>
        <w:tc>
          <w:tcPr>
            <w:tcW w:w="3285" w:type="pct"/>
            <w:tcBorders>
              <w:bottom w:val="single" w:sz="4" w:space="0" w:color="auto"/>
            </w:tcBorders>
          </w:tcPr>
          <w:p w:rsidR="00DA3860" w:rsidRPr="00B96772" w:rsidRDefault="00DA3860" w:rsidP="00A519C6">
            <w:pPr>
              <w:spacing w:after="0" w:line="240" w:lineRule="auto"/>
              <w:jc w:val="both"/>
              <w:rPr>
                <w:rFonts w:ascii="Times New Roman" w:eastAsia="Arial Unicode MS"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Projekts šo jomu neskar.</w:t>
            </w:r>
          </w:p>
        </w:tc>
      </w:tr>
      <w:tr w:rsidR="00DA3860" w:rsidRPr="00B6553A" w:rsidTr="00E65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7" w:type="pct"/>
            <w:tcBorders>
              <w:bottom w:val="single" w:sz="4" w:space="0" w:color="auto"/>
            </w:tcBorders>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4.</w:t>
            </w:r>
          </w:p>
        </w:tc>
        <w:tc>
          <w:tcPr>
            <w:tcW w:w="1405" w:type="pct"/>
            <w:tcBorders>
              <w:bottom w:val="single" w:sz="4" w:space="0" w:color="auto"/>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Cita informācija</w:t>
            </w:r>
          </w:p>
        </w:tc>
        <w:tc>
          <w:tcPr>
            <w:tcW w:w="3285" w:type="pct"/>
            <w:tcBorders>
              <w:bottom w:val="single" w:sz="4" w:space="0" w:color="auto"/>
            </w:tcBorders>
          </w:tcPr>
          <w:p w:rsidR="00DA3860" w:rsidRPr="00B96772" w:rsidRDefault="00DA3860" w:rsidP="00A519C6">
            <w:pPr>
              <w:spacing w:after="0" w:line="240" w:lineRule="auto"/>
              <w:rPr>
                <w:rFonts w:ascii="Times New Roman" w:eastAsia="Arial Unicode MS" w:hAnsi="Times New Roman" w:cs="Times New Roman"/>
                <w:color w:val="000000"/>
                <w:sz w:val="25"/>
                <w:szCs w:val="25"/>
              </w:rPr>
            </w:pPr>
            <w:r w:rsidRPr="00B96772">
              <w:rPr>
                <w:rFonts w:ascii="Times New Roman" w:eastAsia="Arial Unicode MS" w:hAnsi="Times New Roman" w:cs="Times New Roman"/>
                <w:color w:val="000000"/>
                <w:sz w:val="25"/>
                <w:szCs w:val="25"/>
              </w:rPr>
              <w:t>Nav.</w:t>
            </w:r>
          </w:p>
        </w:tc>
      </w:tr>
    </w:tbl>
    <w:p w:rsidR="00DA3860" w:rsidRDefault="00DA3860" w:rsidP="00DA3860">
      <w:pPr>
        <w:jc w:val="cente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2493"/>
        <w:gridCol w:w="5825"/>
      </w:tblGrid>
      <w:tr w:rsidR="00DA3860" w:rsidRPr="00B6553A" w:rsidTr="00A519C6">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DA3860" w:rsidRPr="00B6553A" w:rsidRDefault="00DA3860" w:rsidP="00A519C6">
            <w:pPr>
              <w:spacing w:after="0" w:line="240" w:lineRule="auto"/>
              <w:jc w:val="center"/>
              <w:rPr>
                <w:rFonts w:ascii="Times New Roman" w:eastAsia="Times New Roman" w:hAnsi="Times New Roman" w:cs="Times New Roman"/>
                <w:b/>
                <w:bCs/>
                <w:color w:val="000000"/>
                <w:sz w:val="28"/>
                <w:szCs w:val="24"/>
                <w:lang w:eastAsia="lv-LV"/>
              </w:rPr>
            </w:pPr>
            <w:r w:rsidRPr="00B6553A">
              <w:rPr>
                <w:rFonts w:ascii="Times New Roman" w:eastAsia="Times New Roman" w:hAnsi="Times New Roman" w:cs="Times New Roman"/>
                <w:b/>
                <w:bCs/>
                <w:color w:val="000000"/>
                <w:sz w:val="28"/>
                <w:szCs w:val="24"/>
                <w:lang w:eastAsia="lv-LV"/>
              </w:rPr>
              <w:t>VII. Tiesību akta projekta izpildes nodrošināšana un tās ietekme uz institūcijām</w:t>
            </w:r>
          </w:p>
        </w:tc>
      </w:tr>
      <w:tr w:rsidR="00DA3860" w:rsidRPr="00B96772" w:rsidTr="00A519C6">
        <w:tc>
          <w:tcPr>
            <w:tcW w:w="0" w:type="auto"/>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DA3860" w:rsidRPr="00B96772" w:rsidRDefault="00DA3860" w:rsidP="00362AF8">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Patērētāju tiesību aizsardzības centrs</w:t>
            </w:r>
            <w:r w:rsidR="00362AF8" w:rsidRPr="00B96772">
              <w:rPr>
                <w:rFonts w:ascii="Times New Roman" w:eastAsia="Times New Roman" w:hAnsi="Times New Roman" w:cs="Times New Roman"/>
                <w:color w:val="000000"/>
                <w:sz w:val="25"/>
                <w:szCs w:val="25"/>
              </w:rPr>
              <w:t xml:space="preserve"> un attiecīgā valsts uzraudzības un kontroles iestāde.</w:t>
            </w:r>
            <w:r w:rsidRPr="00B96772">
              <w:rPr>
                <w:rFonts w:ascii="Times New Roman" w:eastAsia="Times New Roman" w:hAnsi="Times New Roman" w:cs="Times New Roman"/>
                <w:color w:val="000000"/>
                <w:sz w:val="25"/>
                <w:szCs w:val="25"/>
              </w:rPr>
              <w:t xml:space="preserve"> </w:t>
            </w:r>
          </w:p>
        </w:tc>
      </w:tr>
      <w:tr w:rsidR="00DA3860" w:rsidRPr="00B96772" w:rsidTr="00A519C6">
        <w:tc>
          <w:tcPr>
            <w:tcW w:w="0" w:type="auto"/>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 xml:space="preserve">Projekta izpildes ietekme uz pārvaldes funkcijām un institucionālo struktūru. </w:t>
            </w:r>
          </w:p>
          <w:p w:rsidR="00DA3860" w:rsidRPr="00B96772" w:rsidRDefault="00DA3860" w:rsidP="00A519C6">
            <w:pPr>
              <w:spacing w:after="0" w:line="240" w:lineRule="auto"/>
              <w:ind w:firstLine="300"/>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Projekts šo jomu neskar.</w:t>
            </w:r>
          </w:p>
        </w:tc>
      </w:tr>
      <w:tr w:rsidR="00DA3860" w:rsidRPr="00B96772" w:rsidTr="00A519C6">
        <w:tc>
          <w:tcPr>
            <w:tcW w:w="0" w:type="auto"/>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lang w:eastAsia="lv-LV"/>
              </w:rPr>
            </w:pPr>
            <w:r w:rsidRPr="00B96772">
              <w:rPr>
                <w:rFonts w:ascii="Times New Roman" w:eastAsia="Times New Roman" w:hAnsi="Times New Roman" w:cs="Times New Roman"/>
                <w:color w:val="000000"/>
                <w:sz w:val="25"/>
                <w:szCs w:val="25"/>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DA3860" w:rsidRPr="00B96772" w:rsidRDefault="00DA3860" w:rsidP="00A519C6">
            <w:pPr>
              <w:spacing w:after="0" w:line="240" w:lineRule="auto"/>
              <w:jc w:val="both"/>
              <w:rPr>
                <w:rFonts w:ascii="Times New Roman" w:eastAsia="Times New Roman" w:hAnsi="Times New Roman" w:cs="Times New Roman"/>
                <w:color w:val="000000"/>
                <w:sz w:val="25"/>
                <w:szCs w:val="25"/>
              </w:rPr>
            </w:pPr>
            <w:r w:rsidRPr="00B96772">
              <w:rPr>
                <w:rFonts w:ascii="Times New Roman" w:eastAsia="Times New Roman" w:hAnsi="Times New Roman" w:cs="Times New Roman"/>
                <w:color w:val="000000"/>
                <w:sz w:val="25"/>
                <w:szCs w:val="25"/>
              </w:rPr>
              <w:t>Nav.</w:t>
            </w:r>
          </w:p>
        </w:tc>
      </w:tr>
    </w:tbl>
    <w:p w:rsidR="00DA3860" w:rsidRPr="00B96772" w:rsidRDefault="00DA3860" w:rsidP="00DA3860">
      <w:pPr>
        <w:keepNext/>
        <w:spacing w:after="0" w:line="240" w:lineRule="auto"/>
        <w:ind w:right="42"/>
        <w:jc w:val="both"/>
        <w:outlineLvl w:val="0"/>
        <w:rPr>
          <w:rFonts w:ascii="Times New Roman" w:eastAsia="Times New Roman" w:hAnsi="Times New Roman" w:cs="Times New Roman"/>
          <w:sz w:val="25"/>
          <w:szCs w:val="25"/>
          <w:lang w:eastAsia="lv-LV"/>
        </w:rPr>
      </w:pPr>
    </w:p>
    <w:p w:rsidR="00FB788F" w:rsidRPr="00975ADA" w:rsidRDefault="00975ADA" w:rsidP="00975ADA">
      <w:pPr>
        <w:spacing w:after="0" w:line="240" w:lineRule="auto"/>
        <w:jc w:val="both"/>
        <w:rPr>
          <w:rFonts w:ascii="Times New Roman" w:eastAsia="Times New Roman" w:hAnsi="Times New Roman" w:cs="Times New Roman"/>
          <w:i/>
          <w:color w:val="000000"/>
          <w:sz w:val="25"/>
          <w:szCs w:val="25"/>
          <w:lang w:eastAsia="lv-LV"/>
        </w:rPr>
      </w:pPr>
      <w:r>
        <w:rPr>
          <w:rFonts w:ascii="Times New Roman" w:eastAsia="Times New Roman" w:hAnsi="Times New Roman" w:cs="Times New Roman"/>
          <w:i/>
          <w:color w:val="000000"/>
          <w:sz w:val="25"/>
          <w:szCs w:val="25"/>
          <w:lang w:eastAsia="lv-LV"/>
        </w:rPr>
        <w:t>Anotācijas III un IV</w:t>
      </w:r>
      <w:r w:rsidR="00FB788F" w:rsidRPr="00B96772">
        <w:rPr>
          <w:rFonts w:ascii="Times New Roman" w:eastAsia="Times New Roman" w:hAnsi="Times New Roman" w:cs="Times New Roman"/>
          <w:i/>
          <w:color w:val="000000"/>
          <w:sz w:val="25"/>
          <w:szCs w:val="25"/>
          <w:lang w:eastAsia="lv-LV"/>
        </w:rPr>
        <w:t xml:space="preserve"> sadaļa – projekts šīs jomas neskar.</w:t>
      </w:r>
    </w:p>
    <w:p w:rsidR="00FB788F" w:rsidRDefault="00FB788F" w:rsidP="00DA3860">
      <w:pPr>
        <w:keepNext/>
        <w:spacing w:after="0" w:line="240" w:lineRule="auto"/>
        <w:ind w:right="42"/>
        <w:jc w:val="both"/>
        <w:outlineLvl w:val="0"/>
        <w:rPr>
          <w:rFonts w:ascii="Times New Roman" w:eastAsia="Times New Roman" w:hAnsi="Times New Roman" w:cs="Times New Roman"/>
          <w:sz w:val="28"/>
          <w:szCs w:val="28"/>
          <w:lang w:eastAsia="lv-LV"/>
        </w:rPr>
      </w:pPr>
    </w:p>
    <w:p w:rsidR="00DA3860" w:rsidRPr="00F35252" w:rsidRDefault="00DA3860" w:rsidP="00DA3860">
      <w:pPr>
        <w:keepNext/>
        <w:spacing w:after="0" w:line="240" w:lineRule="auto"/>
        <w:ind w:right="42"/>
        <w:jc w:val="both"/>
        <w:outlineLvl w:val="0"/>
        <w:rPr>
          <w:rFonts w:ascii="Times New Roman" w:eastAsia="Times New Roman" w:hAnsi="Times New Roman" w:cs="Times New Roman"/>
          <w:sz w:val="28"/>
          <w:szCs w:val="28"/>
          <w:lang w:eastAsia="lv-LV"/>
        </w:rPr>
      </w:pPr>
      <w:r w:rsidRPr="00F35252">
        <w:rPr>
          <w:rFonts w:ascii="Times New Roman" w:eastAsia="Times New Roman" w:hAnsi="Times New Roman" w:cs="Times New Roman"/>
          <w:sz w:val="28"/>
          <w:szCs w:val="28"/>
          <w:lang w:eastAsia="lv-LV"/>
        </w:rPr>
        <w:t>Ekonomikas ministrs</w:t>
      </w:r>
      <w:r w:rsidRPr="00F3525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proofErr w:type="spellStart"/>
      <w:r>
        <w:rPr>
          <w:rFonts w:ascii="Times New Roman" w:eastAsia="Times New Roman" w:hAnsi="Times New Roman" w:cs="Times New Roman"/>
          <w:sz w:val="28"/>
          <w:szCs w:val="28"/>
          <w:lang w:eastAsia="lv-LV"/>
        </w:rPr>
        <w:t>V</w:t>
      </w:r>
      <w:r w:rsidRPr="00F3525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Dombrovskis</w:t>
      </w:r>
      <w:proofErr w:type="spellEnd"/>
    </w:p>
    <w:p w:rsidR="00DA3860" w:rsidRDefault="00DA3860" w:rsidP="00DA3860">
      <w:pPr>
        <w:spacing w:after="0" w:line="240" w:lineRule="auto"/>
        <w:ind w:right="42"/>
        <w:rPr>
          <w:rFonts w:ascii="Times New Roman" w:eastAsia="Times New Roman" w:hAnsi="Times New Roman" w:cs="Times New Roman"/>
          <w:color w:val="000000"/>
          <w:sz w:val="20"/>
          <w:szCs w:val="20"/>
        </w:rPr>
      </w:pPr>
    </w:p>
    <w:p w:rsidR="00DA3860" w:rsidRPr="00F35252" w:rsidRDefault="00DA3860" w:rsidP="00DA3860">
      <w:pPr>
        <w:spacing w:after="0" w:line="240" w:lineRule="auto"/>
        <w:ind w:right="42"/>
        <w:rPr>
          <w:rFonts w:ascii="Times New Roman" w:eastAsia="Times New Roman" w:hAnsi="Times New Roman" w:cs="Times New Roman"/>
          <w:color w:val="000000"/>
          <w:sz w:val="20"/>
          <w:szCs w:val="20"/>
        </w:rPr>
      </w:pPr>
    </w:p>
    <w:p w:rsidR="00DA3860" w:rsidRPr="00CE03E1" w:rsidRDefault="00DA3860" w:rsidP="00DA3860">
      <w:pPr>
        <w:tabs>
          <w:tab w:val="left" w:pos="6237"/>
        </w:tabs>
        <w:spacing w:after="0" w:line="240" w:lineRule="auto"/>
        <w:ind w:right="42"/>
        <w:rPr>
          <w:rFonts w:ascii="Times New Roman" w:eastAsia="Times New Roman" w:hAnsi="Times New Roman" w:cs="Times New Roman"/>
          <w:bCs/>
          <w:color w:val="000000"/>
          <w:sz w:val="24"/>
          <w:szCs w:val="24"/>
        </w:rPr>
      </w:pPr>
    </w:p>
    <w:p w:rsidR="00CC3ACD" w:rsidRPr="00975ADA" w:rsidRDefault="00DA3860" w:rsidP="00975ADA">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Vīza:</w:t>
      </w:r>
      <w:r w:rsidR="00975ADA">
        <w:rPr>
          <w:rFonts w:ascii="Times New Roman" w:eastAsia="Times New Roman" w:hAnsi="Times New Roman" w:cs="Times New Roman"/>
          <w:bCs/>
          <w:color w:val="000000"/>
          <w:sz w:val="28"/>
          <w:szCs w:val="28"/>
        </w:rPr>
        <w:t xml:space="preserve"> v</w:t>
      </w:r>
      <w:r>
        <w:rPr>
          <w:rFonts w:ascii="Times New Roman" w:eastAsia="Times New Roman" w:hAnsi="Times New Roman" w:cs="Times New Roman"/>
          <w:bCs/>
          <w:color w:val="000000"/>
          <w:sz w:val="28"/>
          <w:szCs w:val="28"/>
        </w:rPr>
        <w:t>alsts sekretārs</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 xml:space="preserve">      </w:t>
      </w:r>
      <w:proofErr w:type="spellStart"/>
      <w:r w:rsidR="00975ADA">
        <w:rPr>
          <w:rFonts w:ascii="Times New Roman" w:eastAsia="Times New Roman" w:hAnsi="Times New Roman" w:cs="Times New Roman"/>
          <w:bCs/>
          <w:color w:val="000000"/>
          <w:sz w:val="28"/>
          <w:szCs w:val="28"/>
        </w:rPr>
        <w:t>M.Lazdovskis</w:t>
      </w:r>
      <w:proofErr w:type="spellEnd"/>
    </w:p>
    <w:p w:rsidR="00CC3ACD" w:rsidRDefault="00CC3ACD" w:rsidP="00DA3860">
      <w:pPr>
        <w:tabs>
          <w:tab w:val="left" w:pos="0"/>
        </w:tabs>
        <w:spacing w:after="0" w:line="240" w:lineRule="auto"/>
        <w:jc w:val="both"/>
        <w:rPr>
          <w:rFonts w:ascii="Times New Roman" w:eastAsia="Times New Roman" w:hAnsi="Times New Roman" w:cs="Times New Roman"/>
          <w:color w:val="000000"/>
          <w:sz w:val="18"/>
          <w:szCs w:val="18"/>
          <w:lang w:eastAsia="lv-LV"/>
        </w:rPr>
      </w:pPr>
    </w:p>
    <w:p w:rsidR="00D66A4D" w:rsidRDefault="00D66A4D" w:rsidP="00DA3860">
      <w:pPr>
        <w:tabs>
          <w:tab w:val="left" w:pos="0"/>
        </w:tabs>
        <w:spacing w:after="0" w:line="240" w:lineRule="auto"/>
        <w:jc w:val="both"/>
        <w:rPr>
          <w:rFonts w:ascii="Times New Roman" w:eastAsia="Times New Roman" w:hAnsi="Times New Roman" w:cs="Times New Roman"/>
          <w:color w:val="000000"/>
          <w:sz w:val="18"/>
          <w:szCs w:val="18"/>
          <w:lang w:eastAsia="lv-LV"/>
        </w:rPr>
      </w:pPr>
    </w:p>
    <w:p w:rsidR="00DA3860" w:rsidRDefault="00DA3860" w:rsidP="00DA3860">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r w:rsidR="00E65557">
        <w:rPr>
          <w:rFonts w:ascii="Times New Roman" w:eastAsia="Times New Roman" w:hAnsi="Times New Roman" w:cs="Times New Roman"/>
          <w:color w:val="000000"/>
          <w:sz w:val="18"/>
          <w:szCs w:val="18"/>
          <w:lang w:eastAsia="lv-LV"/>
        </w:rPr>
        <w:t>9</w:t>
      </w:r>
      <w:r>
        <w:rPr>
          <w:rFonts w:ascii="Times New Roman" w:eastAsia="Times New Roman" w:hAnsi="Times New Roman" w:cs="Times New Roman"/>
          <w:color w:val="000000"/>
          <w:sz w:val="18"/>
          <w:szCs w:val="18"/>
          <w:lang w:eastAsia="lv-LV"/>
        </w:rPr>
        <w:t>.0</w:t>
      </w:r>
      <w:r w:rsidR="00E65557">
        <w:rPr>
          <w:rFonts w:ascii="Times New Roman" w:eastAsia="Times New Roman" w:hAnsi="Times New Roman" w:cs="Times New Roman"/>
          <w:color w:val="000000"/>
          <w:sz w:val="18"/>
          <w:szCs w:val="18"/>
          <w:lang w:eastAsia="lv-LV"/>
        </w:rPr>
        <w:t>9</w:t>
      </w:r>
      <w:r>
        <w:rPr>
          <w:rFonts w:ascii="Times New Roman" w:eastAsia="Times New Roman" w:hAnsi="Times New Roman" w:cs="Times New Roman"/>
          <w:color w:val="000000"/>
          <w:sz w:val="18"/>
          <w:szCs w:val="18"/>
          <w:lang w:eastAsia="lv-LV"/>
        </w:rPr>
        <w:t>.2014 1</w:t>
      </w:r>
      <w:r w:rsidR="00E65557">
        <w:rPr>
          <w:rFonts w:ascii="Times New Roman" w:eastAsia="Times New Roman" w:hAnsi="Times New Roman" w:cs="Times New Roman"/>
          <w:color w:val="000000"/>
          <w:sz w:val="18"/>
          <w:szCs w:val="18"/>
          <w:lang w:eastAsia="lv-LV"/>
        </w:rPr>
        <w:t>4</w:t>
      </w:r>
      <w:r>
        <w:rPr>
          <w:rFonts w:ascii="Times New Roman" w:eastAsia="Times New Roman" w:hAnsi="Times New Roman" w:cs="Times New Roman"/>
          <w:color w:val="000000"/>
          <w:sz w:val="18"/>
          <w:szCs w:val="18"/>
          <w:lang w:eastAsia="lv-LV"/>
        </w:rPr>
        <w:t>:</w:t>
      </w:r>
      <w:r w:rsidR="00E65557">
        <w:rPr>
          <w:rFonts w:ascii="Times New Roman" w:eastAsia="Times New Roman" w:hAnsi="Times New Roman" w:cs="Times New Roman"/>
          <w:color w:val="000000"/>
          <w:sz w:val="18"/>
          <w:szCs w:val="18"/>
          <w:lang w:eastAsia="lv-LV"/>
        </w:rPr>
        <w:t>23</w:t>
      </w:r>
      <w:bookmarkStart w:id="6" w:name="_GoBack"/>
      <w:bookmarkEnd w:id="6"/>
    </w:p>
    <w:p w:rsidR="00DA3860" w:rsidRPr="00CE03E1" w:rsidRDefault="000B0F5A" w:rsidP="00DA3860">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111</w:t>
      </w:r>
      <w:r w:rsidR="00E65557">
        <w:rPr>
          <w:rFonts w:ascii="Times New Roman" w:eastAsia="Times New Roman" w:hAnsi="Times New Roman" w:cs="Times New Roman"/>
          <w:color w:val="000000"/>
          <w:sz w:val="18"/>
          <w:szCs w:val="18"/>
          <w:lang w:eastAsia="lv-LV"/>
        </w:rPr>
        <w:t>6</w:t>
      </w:r>
    </w:p>
    <w:p w:rsidR="00DA3860" w:rsidRPr="00CE03E1" w:rsidRDefault="00B566D4" w:rsidP="00DA3860">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D.Locmele</w:t>
      </w:r>
      <w:r w:rsidR="00DA3860" w:rsidRPr="00CE03E1">
        <w:rPr>
          <w:rFonts w:ascii="Times New Roman" w:eastAsia="Times New Roman" w:hAnsi="Times New Roman" w:cs="Times New Roman"/>
          <w:color w:val="000000"/>
          <w:sz w:val="18"/>
          <w:szCs w:val="18"/>
          <w:lang w:eastAsia="lv-LV"/>
        </w:rPr>
        <w:t>, 670131</w:t>
      </w:r>
      <w:r>
        <w:rPr>
          <w:rFonts w:ascii="Times New Roman" w:eastAsia="Times New Roman" w:hAnsi="Times New Roman" w:cs="Times New Roman"/>
          <w:color w:val="000000"/>
          <w:sz w:val="18"/>
          <w:szCs w:val="18"/>
          <w:lang w:eastAsia="lv-LV"/>
        </w:rPr>
        <w:t>07</w:t>
      </w:r>
    </w:p>
    <w:p w:rsidR="00695252" w:rsidRPr="00DA3860" w:rsidRDefault="00E65557" w:rsidP="00DA3860">
      <w:pPr>
        <w:tabs>
          <w:tab w:val="left" w:pos="0"/>
        </w:tabs>
        <w:spacing w:after="0" w:line="240" w:lineRule="auto"/>
        <w:jc w:val="both"/>
        <w:rPr>
          <w:rFonts w:ascii="Times New Roman" w:eastAsia="Times New Roman" w:hAnsi="Times New Roman" w:cs="Times New Roman"/>
          <w:color w:val="000000"/>
          <w:sz w:val="18"/>
          <w:szCs w:val="18"/>
          <w:lang w:eastAsia="lv-LV"/>
        </w:rPr>
      </w:pPr>
      <w:hyperlink r:id="rId10" w:history="1">
        <w:r w:rsidR="00B566D4" w:rsidRPr="00093409">
          <w:rPr>
            <w:rStyle w:val="Hyperlink"/>
            <w:rFonts w:ascii="Times New Roman" w:eastAsia="Times New Roman" w:hAnsi="Times New Roman" w:cs="Times New Roman"/>
            <w:sz w:val="18"/>
            <w:szCs w:val="18"/>
            <w:lang w:eastAsia="lv-LV"/>
          </w:rPr>
          <w:t>Dana.Locmele@em.gov.lv</w:t>
        </w:r>
      </w:hyperlink>
    </w:p>
    <w:sectPr w:rsidR="00695252" w:rsidRPr="00DA3860" w:rsidSect="00E23189">
      <w:headerReference w:type="default" r:id="rId11"/>
      <w:footerReference w:type="default" r:id="rId12"/>
      <w:footerReference w:type="first" r:id="rId13"/>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03" w:rsidRDefault="00172803" w:rsidP="00FC7160">
      <w:pPr>
        <w:spacing w:after="0" w:line="240" w:lineRule="auto"/>
      </w:pPr>
      <w:r>
        <w:separator/>
      </w:r>
    </w:p>
  </w:endnote>
  <w:endnote w:type="continuationSeparator" w:id="0">
    <w:p w:rsidR="00172803" w:rsidRDefault="00172803" w:rsidP="00FC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60" w:rsidRPr="00FC7160" w:rsidRDefault="00FC7160" w:rsidP="00FC7160">
    <w:pPr>
      <w:spacing w:after="0" w:line="240" w:lineRule="auto"/>
      <w:ind w:right="42"/>
      <w:jc w:val="both"/>
      <w:rPr>
        <w:rFonts w:ascii="Times New Roman" w:eastAsia="Times New Roman" w:hAnsi="Times New Roman" w:cs="Times New Roman"/>
        <w:color w:val="000000"/>
        <w:sz w:val="20"/>
        <w:szCs w:val="20"/>
      </w:rPr>
    </w:pPr>
    <w:r w:rsidRPr="00845ABB">
      <w:rPr>
        <w:rFonts w:ascii="Times New Roman" w:eastAsia="Times New Roman" w:hAnsi="Times New Roman" w:cs="Times New Roman"/>
        <w:color w:val="000000"/>
        <w:sz w:val="20"/>
        <w:szCs w:val="20"/>
      </w:rPr>
      <w:t>EMAnot_</w:t>
    </w:r>
    <w:r>
      <w:rPr>
        <w:rFonts w:ascii="Times New Roman" w:eastAsia="Times New Roman" w:hAnsi="Times New Roman" w:cs="Times New Roman"/>
        <w:color w:val="000000"/>
        <w:sz w:val="20"/>
        <w:szCs w:val="20"/>
      </w:rPr>
      <w:t>0</w:t>
    </w:r>
    <w:r w:rsidR="005253F7">
      <w:rPr>
        <w:rFonts w:ascii="Times New Roman" w:eastAsia="Times New Roman" w:hAnsi="Times New Roman" w:cs="Times New Roman"/>
        <w:color w:val="000000"/>
        <w:sz w:val="20"/>
        <w:szCs w:val="20"/>
      </w:rPr>
      <w:t>9</w:t>
    </w:r>
    <w:r w:rsidRPr="00845ABB">
      <w:rPr>
        <w:rFonts w:ascii="Times New Roman" w:eastAsia="Times New Roman" w:hAnsi="Times New Roman" w:cs="Times New Roman"/>
        <w:color w:val="000000"/>
        <w:sz w:val="20"/>
        <w:szCs w:val="20"/>
      </w:rPr>
      <w:t>0</w:t>
    </w:r>
    <w:r w:rsidR="005253F7">
      <w:rPr>
        <w:rFonts w:ascii="Times New Roman" w:eastAsia="Times New Roman" w:hAnsi="Times New Roman" w:cs="Times New Roman"/>
        <w:color w:val="000000"/>
        <w:sz w:val="20"/>
        <w:szCs w:val="20"/>
      </w:rPr>
      <w:t>9</w:t>
    </w:r>
    <w:r w:rsidRPr="00584F9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_groz119</w:t>
    </w:r>
    <w:r w:rsidRPr="00845ABB">
      <w:rPr>
        <w:rFonts w:ascii="Times New Roman" w:eastAsia="Times New Roman" w:hAnsi="Times New Roman" w:cs="Times New Roman"/>
        <w:color w:val="000000"/>
        <w:sz w:val="20"/>
        <w:szCs w:val="20"/>
      </w:rPr>
      <w:t xml:space="preserve">; </w:t>
    </w:r>
    <w:r w:rsidRPr="00FC7160">
      <w:rPr>
        <w:rFonts w:ascii="Times New Roman" w:eastAsia="Times New Roman" w:hAnsi="Times New Roman" w:cs="Times New Roman"/>
        <w:color w:val="000000"/>
        <w:sz w:val="20"/>
        <w:szCs w:val="20"/>
      </w:rPr>
      <w:t>Ministru kabineta noteikumu projekta "</w:t>
    </w:r>
    <w:r w:rsidRPr="00FC7160">
      <w:rPr>
        <w:rFonts w:ascii="Times New Roman" w:eastAsia="Times New Roman" w:hAnsi="Times New Roman" w:cs="Times New Roman"/>
        <w:bCs/>
        <w:color w:val="000000"/>
        <w:sz w:val="20"/>
        <w:szCs w:val="20"/>
      </w:rPr>
      <w:t>Grozījumi Ministru kabineta 2006.gada 14.februāra noteikumos Nr.119 "</w:t>
    </w:r>
    <w:r w:rsidRPr="00FC7160">
      <w:rPr>
        <w:rFonts w:ascii="Times New Roman" w:eastAsia="Times New Roman" w:hAnsi="Times New Roman" w:cs="Times New Roman"/>
        <w:color w:val="000000"/>
        <w:sz w:val="20"/>
        <w:szCs w:val="20"/>
      </w:rPr>
      <w:t>Kārtība, kādā preču ražotājs, izplatītājs vai pakalpojuma sniedzējs informē attiecīgās valsts uzraudzības un kontroles iestādes par precēm vai pakalpojumiem, kuri rada risku, kas nav savienojams ar vispārējām drošuma prasībām</w:t>
    </w:r>
    <w:r w:rsidRPr="00FC7160">
      <w:rPr>
        <w:rFonts w:ascii="Times New Roman" w:eastAsia="Times New Roman" w:hAnsi="Times New Roman" w:cs="Times New Roman"/>
        <w:bCs/>
        <w:color w:val="000000"/>
        <w:sz w:val="20"/>
        <w:szCs w:val="20"/>
      </w:rPr>
      <w:t>"</w:t>
    </w:r>
    <w:r w:rsidRPr="00FC7160">
      <w:rPr>
        <w:rFonts w:ascii="Times New Roman" w:eastAsia="Times New Roman" w:hAnsi="Times New Roman" w:cs="Times New Roman"/>
        <w:color w:val="000000"/>
        <w:sz w:val="20"/>
        <w:szCs w:val="20"/>
      </w:rPr>
      <w:t xml:space="preserve">" sākotnējās ietekmes novērtējuma </w:t>
    </w:r>
    <w:smartTag w:uri="schemas-tilde-lv/tildestengine" w:element="veidnes">
      <w:smartTagPr>
        <w:attr w:name="id" w:val="-1"/>
        <w:attr w:name="text" w:val="ziņojums&#10;"/>
        <w:attr w:name="baseform" w:val="ziņojums"/>
      </w:smartTagPr>
      <w:r w:rsidRPr="00FC7160">
        <w:rPr>
          <w:rFonts w:ascii="Times New Roman" w:eastAsia="Times New Roman" w:hAnsi="Times New Roman" w:cs="Times New Roman"/>
          <w:color w:val="000000"/>
          <w:sz w:val="20"/>
          <w:szCs w:val="20"/>
        </w:rPr>
        <w:t>ziņojums</w:t>
      </w:r>
    </w:smartTag>
  </w:p>
  <w:p w:rsidR="00FC7160" w:rsidRPr="00FC7160" w:rsidRDefault="00FC7160" w:rsidP="00FC7160">
    <w:pPr>
      <w:spacing w:after="0" w:line="240" w:lineRule="auto"/>
      <w:ind w:right="42"/>
      <w:jc w:val="both"/>
      <w:rPr>
        <w:sz w:val="20"/>
        <w:szCs w:val="20"/>
      </w:rPr>
    </w:pPr>
    <w:r w:rsidRPr="00FC7160">
      <w:rPr>
        <w:rFonts w:ascii="Times New Roman" w:eastAsia="Times New Roman" w:hAnsi="Times New Roman" w:cs="Times New Roman"/>
        <w:color w:val="000000"/>
        <w:sz w:val="20"/>
        <w:szCs w:val="20"/>
      </w:rPr>
      <w:t>(anotācija)</w:t>
    </w:r>
  </w:p>
  <w:p w:rsidR="00845ABB" w:rsidRPr="00FC7160" w:rsidRDefault="00E65557" w:rsidP="00FC7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60" w:rsidRPr="00FC7160" w:rsidRDefault="00AE7C1E" w:rsidP="00FC7160">
    <w:pPr>
      <w:spacing w:after="0" w:line="240" w:lineRule="auto"/>
      <w:ind w:right="42"/>
      <w:jc w:val="both"/>
      <w:rPr>
        <w:rFonts w:ascii="Times New Roman" w:eastAsia="Times New Roman" w:hAnsi="Times New Roman" w:cs="Times New Roman"/>
        <w:color w:val="000000"/>
        <w:sz w:val="20"/>
        <w:szCs w:val="20"/>
      </w:rPr>
    </w:pPr>
    <w:r w:rsidRPr="00845ABB">
      <w:rPr>
        <w:rFonts w:ascii="Times New Roman" w:eastAsia="Times New Roman" w:hAnsi="Times New Roman" w:cs="Times New Roman"/>
        <w:color w:val="000000"/>
        <w:sz w:val="20"/>
        <w:szCs w:val="20"/>
      </w:rPr>
      <w:t>EMAnot_</w:t>
    </w:r>
    <w:r>
      <w:rPr>
        <w:rFonts w:ascii="Times New Roman" w:eastAsia="Times New Roman" w:hAnsi="Times New Roman" w:cs="Times New Roman"/>
        <w:color w:val="000000"/>
        <w:sz w:val="20"/>
        <w:szCs w:val="20"/>
      </w:rPr>
      <w:t>0</w:t>
    </w:r>
    <w:r w:rsidR="00EC03A9">
      <w:rPr>
        <w:rFonts w:ascii="Times New Roman" w:eastAsia="Times New Roman" w:hAnsi="Times New Roman" w:cs="Times New Roman"/>
        <w:color w:val="000000"/>
        <w:sz w:val="20"/>
        <w:szCs w:val="20"/>
      </w:rPr>
      <w:t>9</w:t>
    </w:r>
    <w:r w:rsidRPr="00845ABB">
      <w:rPr>
        <w:rFonts w:ascii="Times New Roman" w:eastAsia="Times New Roman" w:hAnsi="Times New Roman" w:cs="Times New Roman"/>
        <w:color w:val="000000"/>
        <w:sz w:val="20"/>
        <w:szCs w:val="20"/>
      </w:rPr>
      <w:t>0</w:t>
    </w:r>
    <w:r w:rsidR="00EC03A9">
      <w:rPr>
        <w:rFonts w:ascii="Times New Roman" w:eastAsia="Times New Roman" w:hAnsi="Times New Roman" w:cs="Times New Roman"/>
        <w:color w:val="000000"/>
        <w:sz w:val="20"/>
        <w:szCs w:val="20"/>
      </w:rPr>
      <w:t>9</w:t>
    </w:r>
    <w:r w:rsidRPr="00584F9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_</w:t>
    </w:r>
    <w:r w:rsidR="00FC7160">
      <w:rPr>
        <w:rFonts w:ascii="Times New Roman" w:eastAsia="Times New Roman" w:hAnsi="Times New Roman" w:cs="Times New Roman"/>
        <w:color w:val="000000"/>
        <w:sz w:val="20"/>
        <w:szCs w:val="20"/>
      </w:rPr>
      <w:t>groz119</w:t>
    </w:r>
    <w:r w:rsidRPr="00845ABB">
      <w:rPr>
        <w:rFonts w:ascii="Times New Roman" w:eastAsia="Times New Roman" w:hAnsi="Times New Roman" w:cs="Times New Roman"/>
        <w:color w:val="000000"/>
        <w:sz w:val="20"/>
        <w:szCs w:val="20"/>
      </w:rPr>
      <w:t xml:space="preserve">; </w:t>
    </w:r>
    <w:r w:rsidR="00FC7160" w:rsidRPr="00FC7160">
      <w:rPr>
        <w:rFonts w:ascii="Times New Roman" w:eastAsia="Times New Roman" w:hAnsi="Times New Roman" w:cs="Times New Roman"/>
        <w:color w:val="000000"/>
        <w:sz w:val="20"/>
        <w:szCs w:val="20"/>
      </w:rPr>
      <w:t>Ministru kabineta noteikumu projekta "</w:t>
    </w:r>
    <w:r w:rsidR="00FC7160" w:rsidRPr="00FC7160">
      <w:rPr>
        <w:rFonts w:ascii="Times New Roman" w:eastAsia="Times New Roman" w:hAnsi="Times New Roman" w:cs="Times New Roman"/>
        <w:bCs/>
        <w:color w:val="000000"/>
        <w:sz w:val="20"/>
        <w:szCs w:val="20"/>
      </w:rPr>
      <w:t>Grozījum</w:t>
    </w:r>
    <w:r w:rsidR="00EC03A9">
      <w:rPr>
        <w:rFonts w:ascii="Times New Roman" w:eastAsia="Times New Roman" w:hAnsi="Times New Roman" w:cs="Times New Roman"/>
        <w:bCs/>
        <w:color w:val="000000"/>
        <w:sz w:val="20"/>
        <w:szCs w:val="20"/>
      </w:rPr>
      <w:t>s</w:t>
    </w:r>
    <w:r w:rsidR="00FC7160" w:rsidRPr="00FC7160">
      <w:rPr>
        <w:rFonts w:ascii="Times New Roman" w:eastAsia="Times New Roman" w:hAnsi="Times New Roman" w:cs="Times New Roman"/>
        <w:bCs/>
        <w:color w:val="000000"/>
        <w:sz w:val="20"/>
        <w:szCs w:val="20"/>
      </w:rPr>
      <w:t xml:space="preserve"> Ministru kabineta 2006.gada 14.februāra noteikumos Nr.119 "</w:t>
    </w:r>
    <w:r w:rsidR="00FC7160" w:rsidRPr="00FC7160">
      <w:rPr>
        <w:rFonts w:ascii="Times New Roman" w:eastAsia="Times New Roman" w:hAnsi="Times New Roman" w:cs="Times New Roman"/>
        <w:color w:val="000000"/>
        <w:sz w:val="20"/>
        <w:szCs w:val="20"/>
      </w:rPr>
      <w:t>Kārtība, kādā preču ražotājs, izplatītājs vai pakalpojuma sniedzējs informē attiecīgās valsts uzraudzības un kontroles iestādes par precēm vai pakalpojumiem, kuri rada risku, kas nav savienojams ar vispārējām drošuma prasībām</w:t>
    </w:r>
    <w:r w:rsidR="00FC7160" w:rsidRPr="00FC7160">
      <w:rPr>
        <w:rFonts w:ascii="Times New Roman" w:eastAsia="Times New Roman" w:hAnsi="Times New Roman" w:cs="Times New Roman"/>
        <w:bCs/>
        <w:color w:val="000000"/>
        <w:sz w:val="20"/>
        <w:szCs w:val="20"/>
      </w:rPr>
      <w:t>"</w:t>
    </w:r>
    <w:r w:rsidR="00FC7160" w:rsidRPr="00FC7160">
      <w:rPr>
        <w:rFonts w:ascii="Times New Roman" w:eastAsia="Times New Roman" w:hAnsi="Times New Roman" w:cs="Times New Roman"/>
        <w:color w:val="000000"/>
        <w:sz w:val="20"/>
        <w:szCs w:val="20"/>
      </w:rPr>
      <w:t xml:space="preserve">" sākotnējās ietekmes novērtējuma </w:t>
    </w:r>
    <w:smartTag w:uri="schemas-tilde-lv/tildestengine" w:element="veidnes">
      <w:smartTagPr>
        <w:attr w:name="id" w:val="-1"/>
        <w:attr w:name="text" w:val="ziņojums&#10;"/>
        <w:attr w:name="baseform" w:val="ziņojums"/>
      </w:smartTagPr>
      <w:r w:rsidR="00FC7160" w:rsidRPr="00FC7160">
        <w:rPr>
          <w:rFonts w:ascii="Times New Roman" w:eastAsia="Times New Roman" w:hAnsi="Times New Roman" w:cs="Times New Roman"/>
          <w:color w:val="000000"/>
          <w:sz w:val="20"/>
          <w:szCs w:val="20"/>
        </w:rPr>
        <w:t>ziņojums</w:t>
      </w:r>
    </w:smartTag>
  </w:p>
  <w:p w:rsidR="00CE03E1" w:rsidRPr="00FC7160" w:rsidRDefault="00FC7160" w:rsidP="00FC7160">
    <w:pPr>
      <w:spacing w:after="0" w:line="240" w:lineRule="auto"/>
      <w:ind w:right="42"/>
      <w:jc w:val="both"/>
      <w:rPr>
        <w:sz w:val="20"/>
        <w:szCs w:val="20"/>
      </w:rPr>
    </w:pPr>
    <w:r w:rsidRPr="00FC7160">
      <w:rPr>
        <w:rFonts w:ascii="Times New Roman" w:eastAsia="Times New Roman" w:hAnsi="Times New Roman" w:cs="Times New Roman"/>
        <w:color w:val="000000"/>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03" w:rsidRDefault="00172803" w:rsidP="00FC7160">
      <w:pPr>
        <w:spacing w:after="0" w:line="240" w:lineRule="auto"/>
      </w:pPr>
      <w:r>
        <w:separator/>
      </w:r>
    </w:p>
  </w:footnote>
  <w:footnote w:type="continuationSeparator" w:id="0">
    <w:p w:rsidR="00172803" w:rsidRDefault="00172803" w:rsidP="00FC7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4060"/>
      <w:docPartObj>
        <w:docPartGallery w:val="Page Numbers (Top of Page)"/>
        <w:docPartUnique/>
      </w:docPartObj>
    </w:sdtPr>
    <w:sdtEndPr>
      <w:rPr>
        <w:noProof/>
      </w:rPr>
    </w:sdtEndPr>
    <w:sdtContent>
      <w:p w:rsidR="00E23189" w:rsidRDefault="00AE7C1E">
        <w:pPr>
          <w:pStyle w:val="Header"/>
          <w:jc w:val="center"/>
        </w:pPr>
        <w:r>
          <w:fldChar w:fldCharType="begin"/>
        </w:r>
        <w:r>
          <w:instrText xml:space="preserve"> PAGE   \* MERGEFORMAT </w:instrText>
        </w:r>
        <w:r>
          <w:fldChar w:fldCharType="separate"/>
        </w:r>
        <w:r w:rsidR="00E65557">
          <w:rPr>
            <w:noProof/>
          </w:rPr>
          <w:t>5</w:t>
        </w:r>
        <w:r>
          <w:rPr>
            <w:noProof/>
          </w:rPr>
          <w:fldChar w:fldCharType="end"/>
        </w:r>
      </w:p>
    </w:sdtContent>
  </w:sdt>
  <w:p w:rsidR="00E23189" w:rsidRDefault="00E65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61C"/>
    <w:multiLevelType w:val="hybridMultilevel"/>
    <w:tmpl w:val="55F62E2C"/>
    <w:lvl w:ilvl="0" w:tplc="D242A988">
      <w:start w:val="1"/>
      <w:numFmt w:val="decimal"/>
      <w:lvlText w:val="%1)"/>
      <w:lvlJc w:val="left"/>
      <w:pPr>
        <w:ind w:left="373" w:hanging="360"/>
      </w:pPr>
      <w:rPr>
        <w:rFonts w:hint="default"/>
        <w:color w:val="000000"/>
      </w:rPr>
    </w:lvl>
    <w:lvl w:ilvl="1" w:tplc="04260019" w:tentative="1">
      <w:start w:val="1"/>
      <w:numFmt w:val="lowerLetter"/>
      <w:lvlText w:val="%2."/>
      <w:lvlJc w:val="left"/>
      <w:pPr>
        <w:ind w:left="1093" w:hanging="360"/>
      </w:pPr>
    </w:lvl>
    <w:lvl w:ilvl="2" w:tplc="0426001B" w:tentative="1">
      <w:start w:val="1"/>
      <w:numFmt w:val="lowerRoman"/>
      <w:lvlText w:val="%3."/>
      <w:lvlJc w:val="right"/>
      <w:pPr>
        <w:ind w:left="1813" w:hanging="180"/>
      </w:pPr>
    </w:lvl>
    <w:lvl w:ilvl="3" w:tplc="0426000F" w:tentative="1">
      <w:start w:val="1"/>
      <w:numFmt w:val="decimal"/>
      <w:lvlText w:val="%4."/>
      <w:lvlJc w:val="left"/>
      <w:pPr>
        <w:ind w:left="2533" w:hanging="360"/>
      </w:pPr>
    </w:lvl>
    <w:lvl w:ilvl="4" w:tplc="04260019" w:tentative="1">
      <w:start w:val="1"/>
      <w:numFmt w:val="lowerLetter"/>
      <w:lvlText w:val="%5."/>
      <w:lvlJc w:val="left"/>
      <w:pPr>
        <w:ind w:left="3253" w:hanging="360"/>
      </w:pPr>
    </w:lvl>
    <w:lvl w:ilvl="5" w:tplc="0426001B" w:tentative="1">
      <w:start w:val="1"/>
      <w:numFmt w:val="lowerRoman"/>
      <w:lvlText w:val="%6."/>
      <w:lvlJc w:val="right"/>
      <w:pPr>
        <w:ind w:left="3973" w:hanging="180"/>
      </w:pPr>
    </w:lvl>
    <w:lvl w:ilvl="6" w:tplc="0426000F" w:tentative="1">
      <w:start w:val="1"/>
      <w:numFmt w:val="decimal"/>
      <w:lvlText w:val="%7."/>
      <w:lvlJc w:val="left"/>
      <w:pPr>
        <w:ind w:left="4693" w:hanging="360"/>
      </w:pPr>
    </w:lvl>
    <w:lvl w:ilvl="7" w:tplc="04260019" w:tentative="1">
      <w:start w:val="1"/>
      <w:numFmt w:val="lowerLetter"/>
      <w:lvlText w:val="%8."/>
      <w:lvlJc w:val="left"/>
      <w:pPr>
        <w:ind w:left="5413" w:hanging="360"/>
      </w:pPr>
    </w:lvl>
    <w:lvl w:ilvl="8" w:tplc="0426001B" w:tentative="1">
      <w:start w:val="1"/>
      <w:numFmt w:val="lowerRoman"/>
      <w:lvlText w:val="%9."/>
      <w:lvlJc w:val="right"/>
      <w:pPr>
        <w:ind w:left="61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60"/>
    <w:rsid w:val="000B0F5A"/>
    <w:rsid w:val="00107D53"/>
    <w:rsid w:val="00172803"/>
    <w:rsid w:val="001743BC"/>
    <w:rsid w:val="001A3860"/>
    <w:rsid w:val="001B16B1"/>
    <w:rsid w:val="002906E3"/>
    <w:rsid w:val="002E2542"/>
    <w:rsid w:val="00300FCB"/>
    <w:rsid w:val="00333E7C"/>
    <w:rsid w:val="00344E89"/>
    <w:rsid w:val="00354B06"/>
    <w:rsid w:val="00362AF8"/>
    <w:rsid w:val="003B6F50"/>
    <w:rsid w:val="00407EE4"/>
    <w:rsid w:val="005253F7"/>
    <w:rsid w:val="005B0202"/>
    <w:rsid w:val="005F3CD8"/>
    <w:rsid w:val="00607498"/>
    <w:rsid w:val="00616F7A"/>
    <w:rsid w:val="00661B99"/>
    <w:rsid w:val="0066323E"/>
    <w:rsid w:val="00663463"/>
    <w:rsid w:val="00663FD4"/>
    <w:rsid w:val="00695252"/>
    <w:rsid w:val="006A24D5"/>
    <w:rsid w:val="006B1102"/>
    <w:rsid w:val="006C213A"/>
    <w:rsid w:val="0070744F"/>
    <w:rsid w:val="00707E0D"/>
    <w:rsid w:val="007243AA"/>
    <w:rsid w:val="007E4933"/>
    <w:rsid w:val="00801FCC"/>
    <w:rsid w:val="0082595B"/>
    <w:rsid w:val="008469E2"/>
    <w:rsid w:val="008C2B1D"/>
    <w:rsid w:val="00974CFB"/>
    <w:rsid w:val="00975ADA"/>
    <w:rsid w:val="00A41E78"/>
    <w:rsid w:val="00AA763A"/>
    <w:rsid w:val="00AE0C32"/>
    <w:rsid w:val="00AE7C1E"/>
    <w:rsid w:val="00AF3869"/>
    <w:rsid w:val="00AF7731"/>
    <w:rsid w:val="00B13B77"/>
    <w:rsid w:val="00B343F7"/>
    <w:rsid w:val="00B4609B"/>
    <w:rsid w:val="00B566D4"/>
    <w:rsid w:val="00B6684E"/>
    <w:rsid w:val="00B96772"/>
    <w:rsid w:val="00BA41A8"/>
    <w:rsid w:val="00BC0F4E"/>
    <w:rsid w:val="00C466DC"/>
    <w:rsid w:val="00C533E9"/>
    <w:rsid w:val="00CB3986"/>
    <w:rsid w:val="00CC3ACD"/>
    <w:rsid w:val="00D1107D"/>
    <w:rsid w:val="00D46717"/>
    <w:rsid w:val="00D51B3B"/>
    <w:rsid w:val="00D66A4D"/>
    <w:rsid w:val="00D70C43"/>
    <w:rsid w:val="00DA3860"/>
    <w:rsid w:val="00E65557"/>
    <w:rsid w:val="00E6630C"/>
    <w:rsid w:val="00E826E0"/>
    <w:rsid w:val="00EC03A9"/>
    <w:rsid w:val="00ED5958"/>
    <w:rsid w:val="00F054EA"/>
    <w:rsid w:val="00FB788F"/>
    <w:rsid w:val="00FC7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A3860"/>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DA38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860"/>
  </w:style>
  <w:style w:type="paragraph" w:styleId="Footer">
    <w:name w:val="footer"/>
    <w:basedOn w:val="Normal"/>
    <w:link w:val="FooterChar"/>
    <w:uiPriority w:val="99"/>
    <w:unhideWhenUsed/>
    <w:rsid w:val="00DA3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860"/>
  </w:style>
  <w:style w:type="character" w:styleId="Hyperlink">
    <w:name w:val="Hyperlink"/>
    <w:basedOn w:val="DefaultParagraphFont"/>
    <w:uiPriority w:val="99"/>
    <w:unhideWhenUsed/>
    <w:rsid w:val="00D1107D"/>
    <w:rPr>
      <w:color w:val="0000FF" w:themeColor="hyperlink"/>
      <w:u w:val="single"/>
    </w:rPr>
  </w:style>
  <w:style w:type="paragraph" w:styleId="BalloonText">
    <w:name w:val="Balloon Text"/>
    <w:basedOn w:val="Normal"/>
    <w:link w:val="BalloonTextChar"/>
    <w:uiPriority w:val="99"/>
    <w:semiHidden/>
    <w:unhideWhenUsed/>
    <w:rsid w:val="00AE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1E"/>
    <w:rPr>
      <w:rFonts w:ascii="Tahoma" w:hAnsi="Tahoma" w:cs="Tahoma"/>
      <w:sz w:val="16"/>
      <w:szCs w:val="16"/>
    </w:rPr>
  </w:style>
  <w:style w:type="paragraph" w:styleId="ListParagraph">
    <w:name w:val="List Paragraph"/>
    <w:basedOn w:val="Normal"/>
    <w:uiPriority w:val="34"/>
    <w:qFormat/>
    <w:rsid w:val="00975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A3860"/>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DA38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860"/>
  </w:style>
  <w:style w:type="paragraph" w:styleId="Footer">
    <w:name w:val="footer"/>
    <w:basedOn w:val="Normal"/>
    <w:link w:val="FooterChar"/>
    <w:uiPriority w:val="99"/>
    <w:unhideWhenUsed/>
    <w:rsid w:val="00DA3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860"/>
  </w:style>
  <w:style w:type="character" w:styleId="Hyperlink">
    <w:name w:val="Hyperlink"/>
    <w:basedOn w:val="DefaultParagraphFont"/>
    <w:uiPriority w:val="99"/>
    <w:unhideWhenUsed/>
    <w:rsid w:val="00D1107D"/>
    <w:rPr>
      <w:color w:val="0000FF" w:themeColor="hyperlink"/>
      <w:u w:val="single"/>
    </w:rPr>
  </w:style>
  <w:style w:type="paragraph" w:styleId="BalloonText">
    <w:name w:val="Balloon Text"/>
    <w:basedOn w:val="Normal"/>
    <w:link w:val="BalloonTextChar"/>
    <w:uiPriority w:val="99"/>
    <w:semiHidden/>
    <w:unhideWhenUsed/>
    <w:rsid w:val="00AE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1E"/>
    <w:rPr>
      <w:rFonts w:ascii="Tahoma" w:hAnsi="Tahoma" w:cs="Tahoma"/>
      <w:sz w:val="16"/>
      <w:szCs w:val="16"/>
    </w:rPr>
  </w:style>
  <w:style w:type="paragraph" w:styleId="ListParagraph">
    <w:name w:val="List Paragraph"/>
    <w:basedOn w:val="Normal"/>
    <w:uiPriority w:val="34"/>
    <w:qFormat/>
    <w:rsid w:val="0097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51185">
      <w:bodyDiv w:val="1"/>
      <w:marLeft w:val="0"/>
      <w:marRight w:val="0"/>
      <w:marTop w:val="0"/>
      <w:marBottom w:val="0"/>
      <w:divBdr>
        <w:top w:val="none" w:sz="0" w:space="0" w:color="auto"/>
        <w:left w:val="none" w:sz="0" w:space="0" w:color="auto"/>
        <w:bottom w:val="none" w:sz="0" w:space="0" w:color="auto"/>
        <w:right w:val="none" w:sz="0" w:space="0" w:color="auto"/>
      </w:divBdr>
    </w:div>
    <w:div w:id="1425299481">
      <w:bodyDiv w:val="1"/>
      <w:marLeft w:val="0"/>
      <w:marRight w:val="0"/>
      <w:marTop w:val="0"/>
      <w:marBottom w:val="0"/>
      <w:divBdr>
        <w:top w:val="none" w:sz="0" w:space="0" w:color="auto"/>
        <w:left w:val="none" w:sz="0" w:space="0" w:color="auto"/>
        <w:bottom w:val="none" w:sz="0" w:space="0" w:color="auto"/>
        <w:right w:val="none" w:sz="0" w:space="0" w:color="auto"/>
      </w:divBdr>
    </w:div>
    <w:div w:id="18375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na.Locmele@em.gov.lv" TargetMode="External"/><Relationship Id="rId4" Type="http://schemas.microsoft.com/office/2007/relationships/stylesWithEffects" Target="stylesWithEffects.xml"/><Relationship Id="rId9" Type="http://schemas.openxmlformats.org/officeDocument/2006/relationships/hyperlink" Target="https://webgate.ec.europa.eu/gpsd-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51C3-ABE1-4DD1-82DC-6D8E204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1141</Words>
  <Characters>8148</Characters>
  <Application>Microsoft Office Word</Application>
  <DocSecurity>0</DocSecurity>
  <Lines>301</Lines>
  <Paragraphs>122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14.februāra noteikumos Nr.119 "Kārtība, kādā preču ražotājs, izplatītājs vai pakalpojuma sniedzējs informē attiecīgās valsts uzraudzības un kontroles iestādes par precēm vai pakal</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14.februāra noteikumos Nr.119 "Kārtība, kādā preču ražotājs, izplatītājs vai pakalpojuma sniedzējs informē attiecīgās valsts uzraudzības un kontroles iestādes par precēm vai pakalpojumiem, kuri rada risku, kas nav savienojams ar vispārējām drošuma prasībām"" sākotnējās ietekmes novērtējuma ziņojums(anotācija)</dc:title>
  <dc:subject>Anotācija</dc:subject>
  <dc:creator>Dana.Locmele@em.gov.lv</dc:creator>
  <dc:description>Dana.Locmele@em.gov.lv;
t.67013107</dc:description>
  <cp:lastModifiedBy>Dana Ločmele</cp:lastModifiedBy>
  <cp:revision>8</cp:revision>
  <cp:lastPrinted>2014-04-02T12:34:00Z</cp:lastPrinted>
  <dcterms:created xsi:type="dcterms:W3CDTF">2014-05-31T10:54:00Z</dcterms:created>
  <dcterms:modified xsi:type="dcterms:W3CDTF">2014-09-09T11:23:00Z</dcterms:modified>
</cp:coreProperties>
</file>