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8" w:rsidRPr="00FE5670" w:rsidRDefault="00810A68" w:rsidP="00810A68">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FE5670">
        <w:rPr>
          <w:rFonts w:ascii="Times New Roman" w:hAnsi="Times New Roman" w:cs="Times New Roman"/>
          <w:b/>
          <w:sz w:val="25"/>
          <w:szCs w:val="25"/>
        </w:rPr>
        <w:t>Ministru kabineta noteikumu projekta „</w:t>
      </w:r>
      <w:r w:rsidRPr="00FE5670">
        <w:rPr>
          <w:rFonts w:ascii="Times New Roman" w:hAnsi="Times New Roman" w:cs="Times New Roman"/>
          <w:b/>
          <w:bCs/>
          <w:sz w:val="25"/>
          <w:szCs w:val="25"/>
        </w:rPr>
        <w:t>Grozījums</w:t>
      </w:r>
      <w:r w:rsidRPr="00FE5670">
        <w:rPr>
          <w:rFonts w:ascii="Times New Roman" w:hAnsi="Times New Roman" w:cs="Times New Roman"/>
          <w:b/>
          <w:bCs/>
          <w:sz w:val="56"/>
          <w:szCs w:val="25"/>
        </w:rPr>
        <w:t xml:space="preserve"> </w:t>
      </w:r>
      <w:r w:rsidRPr="00FE5670">
        <w:rPr>
          <w:rFonts w:ascii="Times New Roman" w:hAnsi="Times New Roman" w:cs="Times New Roman"/>
          <w:b/>
          <w:bCs/>
          <w:sz w:val="25"/>
          <w:szCs w:val="25"/>
        </w:rPr>
        <w:t xml:space="preserve">Ministru kabineta 2009.gada 17.jūnija noteikumos Nr.582 </w:t>
      </w:r>
      <w:r w:rsidRPr="00FE5670">
        <w:rPr>
          <w:rFonts w:ascii="Times New Roman" w:hAnsi="Times New Roman" w:cs="Times New Roman"/>
          <w:b/>
          <w:sz w:val="25"/>
          <w:szCs w:val="25"/>
        </w:rPr>
        <w:t>„Noteikumi par darbības programmas „Uzņēmējdarbība un inovācijas” papildinājuma 2.3.1.1.1.apakšaktivitātes „Ārējo tirgu apgūšana – ārējais mārketings” sesto un turpmākajām kārtām</w:t>
      </w:r>
      <w:r w:rsidRPr="00FE5670">
        <w:rPr>
          <w:rFonts w:ascii="Times New Roman" w:hAnsi="Times New Roman" w:cs="Times New Roman"/>
          <w:b/>
          <w:bCs/>
          <w:sz w:val="25"/>
          <w:szCs w:val="25"/>
        </w:rPr>
        <w:t>””</w:t>
      </w:r>
      <w:r w:rsidRPr="00FE5670">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10A68" w:rsidRPr="00FE5670" w:rsidRDefault="00810A68" w:rsidP="00810A68">
      <w:pPr>
        <w:spacing w:after="0" w:line="240" w:lineRule="auto"/>
        <w:rPr>
          <w:rFonts w:ascii="Times New Roman" w:eastAsia="Calibri" w:hAnsi="Times New Roman" w:cs="Times New Roman"/>
          <w:b/>
          <w:sz w:val="25"/>
          <w:szCs w:val="25"/>
        </w:rPr>
      </w:pPr>
    </w:p>
    <w:p w:rsidR="00810A68" w:rsidRPr="00FE5670" w:rsidRDefault="00810A68"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268"/>
        <w:gridCol w:w="6096"/>
      </w:tblGrid>
      <w:tr w:rsidR="00810A68" w:rsidRPr="000413D4"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0413D4" w:rsidRDefault="00810A68" w:rsidP="00E152A9">
            <w:pPr>
              <w:spacing w:after="0" w:line="240" w:lineRule="auto"/>
              <w:jc w:val="center"/>
              <w:rPr>
                <w:rFonts w:ascii="Times New Roman" w:eastAsia="Times New Roman" w:hAnsi="Times New Roman" w:cs="Times New Roman"/>
                <w:b/>
                <w:sz w:val="24"/>
                <w:szCs w:val="24"/>
                <w:lang w:eastAsia="lv-LV"/>
              </w:rPr>
            </w:pPr>
            <w:r w:rsidRPr="000413D4">
              <w:rPr>
                <w:rFonts w:ascii="Times New Roman" w:eastAsia="Times New Roman" w:hAnsi="Times New Roman" w:cs="Times New Roman"/>
                <w:b/>
                <w:sz w:val="24"/>
                <w:szCs w:val="24"/>
                <w:lang w:eastAsia="lv-LV"/>
              </w:rPr>
              <w:t>I.Tiesību akta projekta izstrādes nepieciešamība</w:t>
            </w:r>
          </w:p>
        </w:tc>
      </w:tr>
      <w:tr w:rsidR="00810A68" w:rsidRPr="000413D4" w:rsidTr="00E152A9">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spacing w:after="0" w:line="240" w:lineRule="auto"/>
              <w:rPr>
                <w:rFonts w:ascii="Times New Roman" w:eastAsia="Times New Roman" w:hAnsi="Times New Roman" w:cs="Times New Roman"/>
                <w:sz w:val="24"/>
                <w:szCs w:val="24"/>
                <w:lang w:eastAsia="lv-LV"/>
              </w:rPr>
            </w:pPr>
            <w:r w:rsidRPr="000413D4">
              <w:rPr>
                <w:rFonts w:ascii="Times New Roman" w:eastAsia="Times New Roman" w:hAnsi="Times New Roman" w:cs="Times New Roman"/>
                <w:sz w:val="24"/>
                <w:szCs w:val="24"/>
                <w:lang w:eastAsia="lv-LV"/>
              </w:rPr>
              <w:t>1. Pamatojums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spacing w:after="0"/>
              <w:ind w:firstLine="567"/>
              <w:jc w:val="both"/>
              <w:rPr>
                <w:rFonts w:ascii="Times New Roman" w:eastAsia="Calibri" w:hAnsi="Times New Roman" w:cs="Times New Roman"/>
                <w:sz w:val="24"/>
                <w:szCs w:val="24"/>
              </w:rPr>
            </w:pPr>
            <w:r w:rsidRPr="000413D4">
              <w:rPr>
                <w:rFonts w:ascii="Times New Roman" w:hAnsi="Times New Roman" w:cs="Times New Roman"/>
                <w:sz w:val="24"/>
                <w:szCs w:val="24"/>
              </w:rPr>
              <w:t>Noteikumu projekts sagatavots, pamatojoties uz Eiropas Savienības struktūrfondu un Kohēzijas fonda vadības likuma 18.panta 10.punktu.</w:t>
            </w:r>
          </w:p>
        </w:tc>
      </w:tr>
      <w:tr w:rsidR="00810A68" w:rsidRPr="000413D4" w:rsidTr="00E152A9">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spacing w:after="0" w:line="240" w:lineRule="auto"/>
              <w:rPr>
                <w:rFonts w:ascii="Times New Roman" w:eastAsia="Times New Roman" w:hAnsi="Times New Roman" w:cs="Times New Roman"/>
                <w:sz w:val="24"/>
                <w:szCs w:val="24"/>
                <w:lang w:eastAsia="lv-LV"/>
              </w:rPr>
            </w:pPr>
            <w:r w:rsidRPr="000413D4">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A40237" w:rsidP="00A4023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r>
            <w:r w:rsidR="00810A68" w:rsidRPr="000413D4">
              <w:rPr>
                <w:rFonts w:ascii="Times New Roman" w:hAnsi="Times New Roman" w:cs="Times New Roman"/>
                <w:sz w:val="24"/>
                <w:szCs w:val="24"/>
              </w:rPr>
              <w:t>Spēkā esošo Ministru kabineta 2009.gada 17.jūnija noteikumu Nr.582 „Noteikumi par darbības programmas „Uzņēmējdarbība un inovācijas” papildinājuma 2.3.1.1.1.apakšaktivitātes „Ārējo tirgu apgūšana – ārējais mārketings” sesto un turpmākajām kārtām” (turpmāk – MK noteikumi Nr.582) 69.punktā ir noteikts, ka noslēguma pārskatu finansējuma saņēmējs iesniedz sadarbības iestādē 15 darbdienu laikā pēc projekta īstenošanas pabeigšanas, bet ne vēlāk kā 2015.gada 1.jūlijā. Tātad, lai nodrošinātu minētās prasības izpildi, projektu īstenošana ir jāpabeidz 2015.gada jūnijā. Tas nozīmē, ka  nav iespējams saņemt atbalstu par dalību izstādēs, kuras notiek 2015.gada 2.pusgadā, tai skaitā nav iespējams saņemt atbalstu par dalību starptautiskajā izstādē „</w:t>
            </w:r>
            <w:proofErr w:type="spellStart"/>
            <w:r w:rsidR="00810A68" w:rsidRPr="000413D4">
              <w:rPr>
                <w:rFonts w:ascii="Times New Roman" w:hAnsi="Times New Roman" w:cs="Times New Roman"/>
                <w:sz w:val="24"/>
                <w:szCs w:val="24"/>
              </w:rPr>
              <w:t>World</w:t>
            </w:r>
            <w:proofErr w:type="spellEnd"/>
            <w:r w:rsidR="00810A68" w:rsidRPr="000413D4">
              <w:rPr>
                <w:rFonts w:ascii="Times New Roman" w:hAnsi="Times New Roman" w:cs="Times New Roman"/>
                <w:sz w:val="24"/>
                <w:szCs w:val="24"/>
              </w:rPr>
              <w:t xml:space="preserve"> </w:t>
            </w:r>
            <w:proofErr w:type="spellStart"/>
            <w:r w:rsidR="00810A68" w:rsidRPr="000413D4">
              <w:rPr>
                <w:rFonts w:ascii="Times New Roman" w:hAnsi="Times New Roman" w:cs="Times New Roman"/>
                <w:sz w:val="24"/>
                <w:szCs w:val="24"/>
              </w:rPr>
              <w:t>Expo</w:t>
            </w:r>
            <w:proofErr w:type="spellEnd"/>
            <w:r w:rsidR="00810A68" w:rsidRPr="000413D4">
              <w:rPr>
                <w:rFonts w:ascii="Times New Roman" w:hAnsi="Times New Roman" w:cs="Times New Roman"/>
                <w:sz w:val="24"/>
                <w:szCs w:val="24"/>
              </w:rPr>
              <w:t xml:space="preserve"> 2015”, kura notiks 2015.gadā no 1.maija līdz 31.oktobrim Itālijas pilsētā Milānā. </w:t>
            </w:r>
          </w:p>
          <w:p w:rsidR="00734683" w:rsidRPr="000413D4" w:rsidRDefault="00A913F7" w:rsidP="00A913F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r>
            <w:r w:rsidR="00810A68" w:rsidRPr="000413D4">
              <w:rPr>
                <w:rFonts w:ascii="Times New Roman" w:hAnsi="Times New Roman" w:cs="Times New Roman"/>
                <w:sz w:val="24"/>
                <w:szCs w:val="24"/>
              </w:rPr>
              <w:t>MK noteikumu Nr.582 grozījumi tiek veikti, lai sniegtu atbalstu komersantiem, kuri plāno piedalīties izstādēs 2015.gada 2.pusgadā, tai skaitā „</w:t>
            </w:r>
            <w:proofErr w:type="spellStart"/>
            <w:r w:rsidR="00810A68" w:rsidRPr="000413D4">
              <w:rPr>
                <w:rFonts w:ascii="Times New Roman" w:hAnsi="Times New Roman" w:cs="Times New Roman"/>
                <w:sz w:val="24"/>
                <w:szCs w:val="24"/>
              </w:rPr>
              <w:t>World</w:t>
            </w:r>
            <w:proofErr w:type="spellEnd"/>
            <w:r w:rsidR="00810A68" w:rsidRPr="000413D4">
              <w:rPr>
                <w:rFonts w:ascii="Times New Roman" w:hAnsi="Times New Roman" w:cs="Times New Roman"/>
                <w:sz w:val="24"/>
                <w:szCs w:val="24"/>
              </w:rPr>
              <w:t xml:space="preserve"> </w:t>
            </w:r>
            <w:proofErr w:type="spellStart"/>
            <w:r w:rsidR="00810A68" w:rsidRPr="000413D4">
              <w:rPr>
                <w:rFonts w:ascii="Times New Roman" w:hAnsi="Times New Roman" w:cs="Times New Roman"/>
                <w:sz w:val="24"/>
                <w:szCs w:val="24"/>
              </w:rPr>
              <w:t>Expo</w:t>
            </w:r>
            <w:proofErr w:type="spellEnd"/>
            <w:r w:rsidR="00810A68" w:rsidRPr="000413D4">
              <w:rPr>
                <w:rFonts w:ascii="Times New Roman" w:hAnsi="Times New Roman" w:cs="Times New Roman"/>
                <w:sz w:val="24"/>
                <w:szCs w:val="24"/>
              </w:rPr>
              <w:t xml:space="preserve"> 2015”. Proti, ar MK noteikumu Nr.582 grozījumiem tiek pagarināts projektu īstenošanas termiņš līdz 2015.gada 31.decembrim, secīgi – arī noslēguma pārskata iesniegšanas termiņš. </w:t>
            </w:r>
            <w:r w:rsidRPr="000413D4">
              <w:rPr>
                <w:rFonts w:ascii="Times New Roman" w:hAnsi="Times New Roman" w:cs="Times New Roman"/>
                <w:sz w:val="24"/>
                <w:szCs w:val="24"/>
              </w:rPr>
              <w:t xml:space="preserve"> Šo noteikumu projekta grozījumi, attiecībā uz projekta īstenošanas termiņa pagarināšanu līdz 2015.gada 31.decembrim, būs attiecināmi tikai uz tiem projekta iesniegumiem, kuri būs iesniegti un apstiprināti projektu iesniegumu atlases kārtās pēc šo noteikumu projekta spēkā stāšanās brīža.</w:t>
            </w:r>
            <w:r w:rsidR="00A40237" w:rsidRPr="000413D4">
              <w:rPr>
                <w:rFonts w:ascii="Times New Roman" w:hAnsi="Times New Roman" w:cs="Times New Roman"/>
                <w:sz w:val="24"/>
                <w:szCs w:val="24"/>
              </w:rPr>
              <w:t xml:space="preserve"> </w:t>
            </w:r>
            <w:r w:rsidR="004A5A2E" w:rsidRPr="000413D4">
              <w:rPr>
                <w:rFonts w:ascii="Times New Roman" w:hAnsi="Times New Roman" w:cs="Times New Roman"/>
                <w:sz w:val="24"/>
                <w:szCs w:val="24"/>
              </w:rPr>
              <w:t>Savukārt tiem projekta iesniegumiem, kuri būs iesniegti un apstiprināti projektu iesniegumu atlases kārtās pirms šo noteikumu projekta spēkā stāšanās brīža p</w:t>
            </w:r>
            <w:r w:rsidR="00A40237" w:rsidRPr="000413D4">
              <w:rPr>
                <w:rFonts w:ascii="Times New Roman" w:hAnsi="Times New Roman" w:cs="Times New Roman"/>
                <w:sz w:val="24"/>
                <w:szCs w:val="24"/>
              </w:rPr>
              <w:t xml:space="preserve">rojektu īstenošanas termiņa pagarināšana ir pieļaujama tikai saskaņā ar Ministru kabineta 2007.gada 26.jūnija noteikumos Nr.419 „Kārtība, kādā </w:t>
            </w:r>
            <w:r w:rsidR="00A40237" w:rsidRPr="000413D4">
              <w:rPr>
                <w:rFonts w:ascii="Times New Roman" w:hAnsi="Times New Roman" w:cs="Times New Roman"/>
                <w:sz w:val="24"/>
                <w:szCs w:val="24"/>
              </w:rPr>
              <w:lastRenderedPageBreak/>
              <w:t>Eiropas Savienības struktūrfondu un Kohēzijas fonda vadībā iesaistītās institūcijas nodrošina plānošanas dokumentu sagatavošanu un šo fondu ieviešanu” noteikto.</w:t>
            </w:r>
          </w:p>
          <w:p w:rsidR="00810A68" w:rsidRPr="000413D4" w:rsidRDefault="00A913F7" w:rsidP="00A913F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r>
            <w:r w:rsidR="00810A68" w:rsidRPr="000413D4">
              <w:rPr>
                <w:rFonts w:ascii="Times New Roman" w:hAnsi="Times New Roman" w:cs="Times New Roman"/>
                <w:sz w:val="24"/>
                <w:szCs w:val="24"/>
              </w:rPr>
              <w:t>Normatīvais pamats šo grozījumu veikšanai ir Ministru kabineta 2010.gada 9.novembra noteikumu Nr.1041 „Kārtība, kādā paredzami valsts budžeta līdzekļi Eiropas Savienības struktūrfondu un Kohēzijas fonda līdzfinansēto projektu īstenošanai, kā arī maksājumu veikšanas un izdevumu deklarācijas sagatavošanas</w:t>
            </w:r>
            <w:r w:rsidR="00B910F4" w:rsidRPr="000413D4">
              <w:rPr>
                <w:rFonts w:ascii="Times New Roman" w:hAnsi="Times New Roman" w:cs="Times New Roman"/>
                <w:sz w:val="24"/>
                <w:szCs w:val="24"/>
              </w:rPr>
              <w:t xml:space="preserve"> kārtība” 30.2.apakšpunkts, kur</w:t>
            </w:r>
            <w:r w:rsidR="00810A68" w:rsidRPr="000413D4">
              <w:rPr>
                <w:rFonts w:ascii="Times New Roman" w:hAnsi="Times New Roman" w:cs="Times New Roman"/>
                <w:sz w:val="24"/>
                <w:szCs w:val="24"/>
              </w:rPr>
              <w:t xml:space="preserve"> saskaņā ar Fin</w:t>
            </w:r>
            <w:r w:rsidR="00B910F4" w:rsidRPr="000413D4">
              <w:rPr>
                <w:rFonts w:ascii="Times New Roman" w:hAnsi="Times New Roman" w:cs="Times New Roman"/>
                <w:sz w:val="24"/>
                <w:szCs w:val="24"/>
              </w:rPr>
              <w:t>anšu ministrijas izstrādātajiem</w:t>
            </w:r>
            <w:r w:rsidR="00810A68" w:rsidRPr="000413D4">
              <w:rPr>
                <w:rFonts w:ascii="Times New Roman" w:hAnsi="Times New Roman" w:cs="Times New Roman"/>
                <w:sz w:val="24"/>
                <w:szCs w:val="24"/>
              </w:rPr>
              <w:t xml:space="preserve"> grozīju</w:t>
            </w:r>
            <w:r w:rsidR="00B910F4" w:rsidRPr="000413D4">
              <w:rPr>
                <w:rFonts w:ascii="Times New Roman" w:hAnsi="Times New Roman" w:cs="Times New Roman"/>
                <w:sz w:val="24"/>
                <w:szCs w:val="24"/>
              </w:rPr>
              <w:t>miem</w:t>
            </w:r>
            <w:r w:rsidR="00810A68" w:rsidRPr="000413D4">
              <w:rPr>
                <w:rFonts w:ascii="Times New Roman" w:hAnsi="Times New Roman" w:cs="Times New Roman"/>
                <w:sz w:val="24"/>
                <w:szCs w:val="24"/>
              </w:rPr>
              <w:t xml:space="preserve"> paredz, ka maksājumu iestāde maksājuma pieprasījumu un maksājuma rīkojumu no atbildīgās iestādes vai sadarbības iestādes pieņem līdz 2016.gada 15.martam.</w:t>
            </w:r>
            <w:bookmarkStart w:id="12" w:name="n0"/>
            <w:bookmarkEnd w:id="12"/>
          </w:p>
          <w:p w:rsidR="00810A68" w:rsidRPr="000413D4" w:rsidRDefault="00A913F7" w:rsidP="00A913F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Informējam, ka</w:t>
            </w:r>
            <w:r w:rsidR="000D6240" w:rsidRPr="000413D4">
              <w:rPr>
                <w:rFonts w:ascii="Times New Roman" w:hAnsi="Times New Roman" w:cs="Times New Roman"/>
                <w:sz w:val="24"/>
                <w:szCs w:val="24"/>
              </w:rPr>
              <w:t xml:space="preserve"> Finanšu ministrijas izstrādātie grozījumi iepriekš minētajā normatīvajā aktā ir stājušies spēkā</w:t>
            </w:r>
            <w:r w:rsidRPr="000413D4">
              <w:rPr>
                <w:rFonts w:ascii="Times New Roman" w:hAnsi="Times New Roman" w:cs="Times New Roman"/>
                <w:sz w:val="24"/>
                <w:szCs w:val="24"/>
              </w:rPr>
              <w:t xml:space="preserve"> </w:t>
            </w:r>
            <w:r w:rsidR="000D6240" w:rsidRPr="000413D4">
              <w:rPr>
                <w:rFonts w:ascii="Times New Roman" w:hAnsi="Times New Roman" w:cs="Times New Roman"/>
                <w:sz w:val="24"/>
                <w:szCs w:val="24"/>
              </w:rPr>
              <w:t>2014.gada 3.oktobrī.</w:t>
            </w:r>
          </w:p>
          <w:p w:rsidR="00810A68" w:rsidRPr="000413D4" w:rsidRDefault="00810A68" w:rsidP="00A4023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 xml:space="preserve">Ekonomikas ministrija norāda, ka, ņemot vērā Krievijas Federāciju uzstādītās ekonomiskās sankcijas attiecībās uz atsevišķu nozaru produktu grupu importu aizliegumu, kas ļoti būtiski ietekmē arī Latvijas komersantu eksporta apjomus, komersantiem ir būtiski jāizvērtē un jāmeklē jauni eksporta noieta tirgi  jaunos mērķa tirgos. </w:t>
            </w:r>
          </w:p>
          <w:p w:rsidR="00810A68" w:rsidRPr="000413D4" w:rsidRDefault="00810A68" w:rsidP="00A4023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Papildus norādām, ka 2015.gadā no 1.maija līdz 31.oktobrim Itālijas pilsētā Milāna notiks starptautiska izstāde „</w:t>
            </w:r>
            <w:proofErr w:type="spellStart"/>
            <w:r w:rsidRPr="000413D4">
              <w:rPr>
                <w:rFonts w:ascii="Times New Roman" w:hAnsi="Times New Roman" w:cs="Times New Roman"/>
                <w:sz w:val="24"/>
                <w:szCs w:val="24"/>
              </w:rPr>
              <w:t>World</w:t>
            </w:r>
            <w:proofErr w:type="spellEnd"/>
            <w:r w:rsidRPr="000413D4">
              <w:rPr>
                <w:rFonts w:ascii="Times New Roman" w:hAnsi="Times New Roman" w:cs="Times New Roman"/>
                <w:sz w:val="24"/>
                <w:szCs w:val="24"/>
              </w:rPr>
              <w:t xml:space="preserve"> </w:t>
            </w:r>
            <w:proofErr w:type="spellStart"/>
            <w:r w:rsidRPr="000413D4">
              <w:rPr>
                <w:rFonts w:ascii="Times New Roman" w:hAnsi="Times New Roman" w:cs="Times New Roman"/>
                <w:sz w:val="24"/>
                <w:szCs w:val="24"/>
              </w:rPr>
              <w:t>Expo</w:t>
            </w:r>
            <w:proofErr w:type="spellEnd"/>
            <w:r w:rsidRPr="000413D4">
              <w:rPr>
                <w:rFonts w:ascii="Times New Roman" w:hAnsi="Times New Roman" w:cs="Times New Roman"/>
                <w:sz w:val="24"/>
                <w:szCs w:val="24"/>
              </w:rPr>
              <w:t xml:space="preserve"> 2015”, kuras ietvaros pulcēs dalībniekus no 147 pasaules valstīm, kuras starpā piedalīsies arī Latvija ar tās veidoto paviljonu.  Plānots, ka starptautisko izstādi „</w:t>
            </w:r>
            <w:proofErr w:type="spellStart"/>
            <w:r w:rsidRPr="000413D4">
              <w:rPr>
                <w:rFonts w:ascii="Times New Roman" w:hAnsi="Times New Roman" w:cs="Times New Roman"/>
                <w:sz w:val="24"/>
                <w:szCs w:val="24"/>
              </w:rPr>
              <w:t>World</w:t>
            </w:r>
            <w:proofErr w:type="spellEnd"/>
            <w:r w:rsidRPr="000413D4">
              <w:rPr>
                <w:rFonts w:ascii="Times New Roman" w:hAnsi="Times New Roman" w:cs="Times New Roman"/>
                <w:sz w:val="24"/>
                <w:szCs w:val="24"/>
              </w:rPr>
              <w:t xml:space="preserve"> </w:t>
            </w:r>
            <w:proofErr w:type="spellStart"/>
            <w:r w:rsidRPr="000413D4">
              <w:rPr>
                <w:rFonts w:ascii="Times New Roman" w:hAnsi="Times New Roman" w:cs="Times New Roman"/>
                <w:sz w:val="24"/>
                <w:szCs w:val="24"/>
              </w:rPr>
              <w:t>Expo</w:t>
            </w:r>
            <w:proofErr w:type="spellEnd"/>
            <w:r w:rsidRPr="000413D4">
              <w:rPr>
                <w:rFonts w:ascii="Times New Roman" w:hAnsi="Times New Roman" w:cs="Times New Roman"/>
                <w:sz w:val="24"/>
                <w:szCs w:val="24"/>
              </w:rPr>
              <w:t xml:space="preserve"> 2015” apmeklēs vairāk kā 20 miljoni viesu, līdz ar to šāds notikums paver lielas iespējas Latvijas komersantiem atrast jaunus produkcijas noteikta kanālus, sadarbības partnerus un produkcijas uzpircējus.</w:t>
            </w:r>
          </w:p>
          <w:p w:rsidR="00810A68" w:rsidRPr="000413D4" w:rsidRDefault="00810A68" w:rsidP="00A40237">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Ņemot vērā esošos apstākļus un gaidāmo starptautisko izstādi „</w:t>
            </w:r>
            <w:proofErr w:type="spellStart"/>
            <w:r w:rsidRPr="000413D4">
              <w:rPr>
                <w:rFonts w:ascii="Times New Roman" w:hAnsi="Times New Roman" w:cs="Times New Roman"/>
                <w:sz w:val="24"/>
                <w:szCs w:val="24"/>
              </w:rPr>
              <w:t>World</w:t>
            </w:r>
            <w:proofErr w:type="spellEnd"/>
            <w:r w:rsidRPr="000413D4">
              <w:rPr>
                <w:rFonts w:ascii="Times New Roman" w:hAnsi="Times New Roman" w:cs="Times New Roman"/>
                <w:sz w:val="24"/>
                <w:szCs w:val="24"/>
              </w:rPr>
              <w:t xml:space="preserve"> </w:t>
            </w:r>
            <w:proofErr w:type="spellStart"/>
            <w:r w:rsidRPr="000413D4">
              <w:rPr>
                <w:rFonts w:ascii="Times New Roman" w:hAnsi="Times New Roman" w:cs="Times New Roman"/>
                <w:sz w:val="24"/>
                <w:szCs w:val="24"/>
              </w:rPr>
              <w:t>Expo</w:t>
            </w:r>
            <w:proofErr w:type="spellEnd"/>
            <w:r w:rsidRPr="000413D4">
              <w:rPr>
                <w:rFonts w:ascii="Times New Roman" w:hAnsi="Times New Roman" w:cs="Times New Roman"/>
                <w:sz w:val="24"/>
                <w:szCs w:val="24"/>
              </w:rPr>
              <w:t xml:space="preserve"> 2015, Ekonomikas ministrija šo jautājumu risināšanai ir izstrādājusi virkni priekšlikumus kā veicināt komersantu jaunu eksporta tirgu atrašanu ar 2.3.1.1.1.apakšaktivitātes „Ārējo tirgu apgūšana – ārējais mārketings” palīdzību. </w:t>
            </w:r>
          </w:p>
          <w:p w:rsidR="00810A68" w:rsidRPr="000413D4" w:rsidRDefault="00810A68" w:rsidP="006713A4">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 xml:space="preserve">2014.gada 12.augustā Ministru kabinets ar sēdes protokola Nr.43 59.paragrāfa 4.2.apakšpunktu uzdeva Ekonomikas ministrijai  sagatavot un līdz 2014.gada 1.oktobrim iesniegt izskatīšanai Ministru kabineta sēdē Ministru kabineta 2009.gada 17.jūnija noteikumu Nr.582 „Noteikumi par darbības programmas “Uzņēmējdarbība un </w:t>
            </w:r>
            <w:r w:rsidRPr="000413D4">
              <w:rPr>
                <w:rFonts w:ascii="Times New Roman" w:hAnsi="Times New Roman" w:cs="Times New Roman"/>
                <w:sz w:val="24"/>
                <w:szCs w:val="24"/>
              </w:rPr>
              <w:lastRenderedPageBreak/>
              <w:t xml:space="preserve">inovācijas” papildinājuma 2.3.1.1.1.apakšaktivitātes “Ārējo tirgu apgūšana – ārējais mārketings” sesto un turpmākajām kārtām” grozījumu projektu, paredzot papildus 3 </w:t>
            </w:r>
            <w:proofErr w:type="spellStart"/>
            <w:r w:rsidRPr="000413D4">
              <w:rPr>
                <w:rFonts w:ascii="Times New Roman" w:hAnsi="Times New Roman" w:cs="Times New Roman"/>
                <w:sz w:val="24"/>
                <w:szCs w:val="24"/>
              </w:rPr>
              <w:t>milj</w:t>
            </w:r>
            <w:proofErr w:type="spellEnd"/>
            <w:r w:rsidRPr="000413D4">
              <w:rPr>
                <w:rFonts w:ascii="Times New Roman" w:hAnsi="Times New Roman" w:cs="Times New Roman"/>
                <w:sz w:val="24"/>
                <w:szCs w:val="24"/>
              </w:rPr>
              <w:t xml:space="preserve">. EUR, pārdalot citu Ekonomikas ministrijas </w:t>
            </w:r>
            <w:proofErr w:type="spellStart"/>
            <w:r w:rsidRPr="000413D4">
              <w:rPr>
                <w:rFonts w:ascii="Times New Roman" w:hAnsi="Times New Roman" w:cs="Times New Roman"/>
                <w:sz w:val="24"/>
                <w:szCs w:val="24"/>
              </w:rPr>
              <w:t>pārziņā</w:t>
            </w:r>
            <w:proofErr w:type="spellEnd"/>
            <w:r w:rsidRPr="000413D4">
              <w:rPr>
                <w:rFonts w:ascii="Times New Roman" w:hAnsi="Times New Roman" w:cs="Times New Roman"/>
                <w:sz w:val="24"/>
                <w:szCs w:val="24"/>
              </w:rPr>
              <w:t xml:space="preserve"> esošo 2007.-2013.gada plānošanas perioda Eiropas Savienības fondu aktivitāšu neizlietoto budžeta </w:t>
            </w:r>
            <w:proofErr w:type="spellStart"/>
            <w:r w:rsidRPr="000413D4">
              <w:rPr>
                <w:rFonts w:ascii="Times New Roman" w:hAnsi="Times New Roman" w:cs="Times New Roman"/>
                <w:sz w:val="24"/>
                <w:szCs w:val="24"/>
              </w:rPr>
              <w:t>virssaistību</w:t>
            </w:r>
            <w:proofErr w:type="spellEnd"/>
            <w:r w:rsidRPr="000413D4">
              <w:rPr>
                <w:rFonts w:ascii="Times New Roman" w:hAnsi="Times New Roman" w:cs="Times New Roman"/>
                <w:sz w:val="24"/>
                <w:szCs w:val="24"/>
              </w:rPr>
              <w:t xml:space="preserve"> finansējumu, lai līdz 2015.gada 31.decembrim turpinātu atbalstīt Latvijas komersantu aktivitātes, kas saistītas ar ieiešanu ārvalstu tirgos.</w:t>
            </w:r>
          </w:p>
          <w:p w:rsidR="00810A68" w:rsidRPr="000413D4" w:rsidRDefault="00810A68" w:rsidP="006713A4">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 xml:space="preserve">Ņemot vērā doto uzdevumu, Ekonomikas ministrija pārdala uz 2.3.1.1.1.apakšaktivitāti „Ārējo tirgu apgūšana – ārējais mārketings” valsts budžeta </w:t>
            </w:r>
            <w:proofErr w:type="spellStart"/>
            <w:r w:rsidRPr="000413D4">
              <w:rPr>
                <w:rFonts w:ascii="Times New Roman" w:hAnsi="Times New Roman" w:cs="Times New Roman"/>
                <w:sz w:val="24"/>
                <w:szCs w:val="24"/>
              </w:rPr>
              <w:t>virssaistību</w:t>
            </w:r>
            <w:proofErr w:type="spellEnd"/>
            <w:r w:rsidRPr="000413D4">
              <w:rPr>
                <w:rFonts w:ascii="Times New Roman" w:hAnsi="Times New Roman" w:cs="Times New Roman"/>
                <w:sz w:val="24"/>
                <w:szCs w:val="24"/>
              </w:rPr>
              <w:t xml:space="preserve"> finansējumu 3 </w:t>
            </w:r>
            <w:proofErr w:type="spellStart"/>
            <w:r w:rsidRPr="000413D4">
              <w:rPr>
                <w:rFonts w:ascii="Times New Roman" w:hAnsi="Times New Roman" w:cs="Times New Roman"/>
                <w:sz w:val="24"/>
                <w:szCs w:val="24"/>
              </w:rPr>
              <w:t>milj.EUR</w:t>
            </w:r>
            <w:proofErr w:type="spellEnd"/>
            <w:r w:rsidRPr="000413D4">
              <w:rPr>
                <w:rFonts w:ascii="Times New Roman" w:hAnsi="Times New Roman" w:cs="Times New Roman"/>
                <w:sz w:val="24"/>
                <w:szCs w:val="24"/>
              </w:rPr>
              <w:t xml:space="preserve"> apmērā no darbības programmas "Infrastruktūra un pakalpojumi" papildinājuma 3.4.4.1.aktivitātes "</w:t>
            </w:r>
            <w:proofErr w:type="spellStart"/>
            <w:r w:rsidRPr="000413D4">
              <w:rPr>
                <w:rFonts w:ascii="Times New Roman" w:hAnsi="Times New Roman" w:cs="Times New Roman"/>
                <w:sz w:val="24"/>
                <w:szCs w:val="24"/>
              </w:rPr>
              <w:t>Daudzdzīvo</w:t>
            </w:r>
            <w:proofErr w:type="spellEnd"/>
            <w:r w:rsidRPr="000413D4">
              <w:rPr>
                <w:rFonts w:ascii="Times New Roman" w:hAnsi="Times New Roman" w:cs="Times New Roman"/>
                <w:sz w:val="24"/>
                <w:szCs w:val="24"/>
              </w:rPr>
              <w:t xml:space="preserve"> </w:t>
            </w:r>
            <w:proofErr w:type="spellStart"/>
            <w:r w:rsidRPr="000413D4">
              <w:rPr>
                <w:rFonts w:ascii="Times New Roman" w:hAnsi="Times New Roman" w:cs="Times New Roman"/>
                <w:sz w:val="24"/>
                <w:szCs w:val="24"/>
              </w:rPr>
              <w:t>kļu</w:t>
            </w:r>
            <w:proofErr w:type="spellEnd"/>
            <w:r w:rsidRPr="000413D4">
              <w:rPr>
                <w:rFonts w:ascii="Times New Roman" w:hAnsi="Times New Roman" w:cs="Times New Roman"/>
                <w:sz w:val="24"/>
                <w:szCs w:val="24"/>
              </w:rPr>
              <w:t xml:space="preserve"> māju </w:t>
            </w:r>
            <w:proofErr w:type="spellStart"/>
            <w:r w:rsidRPr="000413D4">
              <w:rPr>
                <w:rFonts w:ascii="Times New Roman" w:hAnsi="Times New Roman" w:cs="Times New Roman"/>
                <w:sz w:val="24"/>
                <w:szCs w:val="24"/>
              </w:rPr>
              <w:t>siltumnoturības</w:t>
            </w:r>
            <w:proofErr w:type="spellEnd"/>
            <w:r w:rsidRPr="000413D4">
              <w:rPr>
                <w:rFonts w:ascii="Times New Roman" w:hAnsi="Times New Roman" w:cs="Times New Roman"/>
                <w:sz w:val="24"/>
                <w:szCs w:val="24"/>
              </w:rPr>
              <w:t xml:space="preserve"> uzlabošanas pasākumi".</w:t>
            </w:r>
          </w:p>
          <w:p w:rsidR="00810A68" w:rsidRPr="000413D4" w:rsidRDefault="00810A68" w:rsidP="006713A4">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Tāpat Ekonomikas ministrija, konsultējoties ar Latvijas Inv</w:t>
            </w:r>
            <w:r w:rsidR="001909AD" w:rsidRPr="000413D4">
              <w:rPr>
                <w:rFonts w:ascii="Times New Roman" w:hAnsi="Times New Roman" w:cs="Times New Roman"/>
                <w:sz w:val="24"/>
                <w:szCs w:val="24"/>
              </w:rPr>
              <w:t>estīciju un attīstības aģentūru</w:t>
            </w:r>
            <w:r w:rsidRPr="000413D4">
              <w:rPr>
                <w:rFonts w:ascii="Times New Roman" w:hAnsi="Times New Roman" w:cs="Times New Roman"/>
                <w:sz w:val="24"/>
                <w:szCs w:val="24"/>
              </w:rPr>
              <w:t xml:space="preserve"> un tādiem nozaru pārstāvjiem kā Latvijas Darba devēju  konfederācija, Latvijas Tirdzniecības un rūpniecības kamera un Latvijas Pārtikas uzņēmumu federācija </w:t>
            </w:r>
            <w:proofErr w:type="spellStart"/>
            <w:r w:rsidRPr="000413D4">
              <w:rPr>
                <w:rFonts w:ascii="Times New Roman" w:hAnsi="Times New Roman" w:cs="Times New Roman"/>
                <w:sz w:val="24"/>
                <w:szCs w:val="24"/>
              </w:rPr>
              <w:t>u.c</w:t>
            </w:r>
            <w:proofErr w:type="spellEnd"/>
            <w:r w:rsidRPr="000413D4">
              <w:rPr>
                <w:rFonts w:ascii="Times New Roman" w:hAnsi="Times New Roman" w:cs="Times New Roman"/>
                <w:sz w:val="24"/>
                <w:szCs w:val="24"/>
              </w:rPr>
              <w:t>.,  ir izstrādājusi šādus grozījumus MK noteikumos Nr.582, kas būtiski palīdzētu komersantiem atrast jaunus eksporta tirgus:</w:t>
            </w:r>
          </w:p>
          <w:p w:rsidR="00810A68" w:rsidRPr="000413D4" w:rsidRDefault="00810A68" w:rsidP="00810A68">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MK noteikumi Nr.582 tiek papildināti ar jaunu atbalstāmo darbību - individuālās vizītes pie sadarbības partneriem mērķa tirgos ārvalstīs, ko organizē Latvijas Investīciju un attīstības aģentūra vai biedrība vai nodibinājums</w:t>
            </w:r>
            <w:r w:rsidR="006713A4" w:rsidRPr="000413D4">
              <w:rPr>
                <w:rFonts w:ascii="Times New Roman" w:hAnsi="Times New Roman" w:cs="Times New Roman"/>
                <w:sz w:val="24"/>
                <w:szCs w:val="24"/>
              </w:rPr>
              <w:t>.</w:t>
            </w:r>
            <w:r w:rsidR="00575291" w:rsidRPr="000413D4">
              <w:rPr>
                <w:rFonts w:ascii="Times New Roman" w:hAnsi="Times New Roman" w:cs="Times New Roman"/>
                <w:sz w:val="24"/>
                <w:szCs w:val="24"/>
              </w:rPr>
              <w:t xml:space="preserve"> Saskaņā ar  Ekonomikas ministrijas sociālo partneru sniegto informāciju par to komersantu ekono</w:t>
            </w:r>
            <w:r w:rsidR="008035F8" w:rsidRPr="000413D4">
              <w:rPr>
                <w:rFonts w:ascii="Times New Roman" w:hAnsi="Times New Roman" w:cs="Times New Roman"/>
                <w:sz w:val="24"/>
                <w:szCs w:val="24"/>
              </w:rPr>
              <w:t>mi</w:t>
            </w:r>
            <w:r w:rsidR="00575291" w:rsidRPr="000413D4">
              <w:rPr>
                <w:rFonts w:ascii="Times New Roman" w:hAnsi="Times New Roman" w:cs="Times New Roman"/>
                <w:sz w:val="24"/>
                <w:szCs w:val="24"/>
              </w:rPr>
              <w:t xml:space="preserve">sko situāciju saistībā ar Krievijas Federāciju uzstādītajām ekonomiskajām sankcijām attiecībās uz atsevišķu nozaru produktu grupu importu aizliegumu, Ekonomikas ministrija vienojās ar sociālajiem partneriem, ka tiks atbalstītas komersantu individuālās vizītes pie sadarbības partneriem ārvalstīs. Jo individuālās vizītes mērķa tirgos ārvalstīs ir mērķtiecīga darbības, kas ļauj komersantiem doties pie </w:t>
            </w:r>
            <w:r w:rsidR="004A5A2E" w:rsidRPr="000413D4">
              <w:rPr>
                <w:rFonts w:ascii="Times New Roman" w:hAnsi="Times New Roman" w:cs="Times New Roman"/>
                <w:sz w:val="24"/>
                <w:szCs w:val="24"/>
              </w:rPr>
              <w:t>iepriekš atlasītiem</w:t>
            </w:r>
            <w:r w:rsidR="00575291" w:rsidRPr="000413D4">
              <w:rPr>
                <w:rFonts w:ascii="Times New Roman" w:hAnsi="Times New Roman" w:cs="Times New Roman"/>
                <w:sz w:val="24"/>
                <w:szCs w:val="24"/>
              </w:rPr>
              <w:t xml:space="preserve"> potenciālajiem sadarbības partneriem lai prezentētu to ražotās produkcijas vai pakalpojumus, un slēgtu jaunas produkcijas pārdošanas vienošanās, tādejādi efektīvāk ieejot jaunos tirgos;</w:t>
            </w:r>
          </w:p>
          <w:p w:rsidR="00D33952" w:rsidRPr="000413D4" w:rsidRDefault="008C6509" w:rsidP="008C6509">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MK noteikum</w:t>
            </w:r>
            <w:r w:rsidR="00D33952" w:rsidRPr="000413D4">
              <w:rPr>
                <w:rFonts w:ascii="Times New Roman" w:hAnsi="Times New Roman" w:cs="Times New Roman"/>
                <w:sz w:val="24"/>
                <w:szCs w:val="24"/>
              </w:rPr>
              <w:t>os</w:t>
            </w:r>
            <w:r w:rsidRPr="000413D4">
              <w:rPr>
                <w:rFonts w:ascii="Times New Roman" w:hAnsi="Times New Roman" w:cs="Times New Roman"/>
                <w:sz w:val="24"/>
                <w:szCs w:val="24"/>
              </w:rPr>
              <w:t xml:space="preserve"> Nr.582 tiek</w:t>
            </w:r>
            <w:r w:rsidR="00D33952" w:rsidRPr="000413D4">
              <w:rPr>
                <w:rFonts w:ascii="Times New Roman" w:hAnsi="Times New Roman" w:cs="Times New Roman"/>
                <w:sz w:val="24"/>
                <w:szCs w:val="24"/>
              </w:rPr>
              <w:t xml:space="preserve"> precizēta tirdzniecības misiju definīcija, iedalot tās divās kategorijās:</w:t>
            </w:r>
          </w:p>
          <w:p w:rsidR="00D33952" w:rsidRPr="000413D4" w:rsidRDefault="00D33952" w:rsidP="00D33952">
            <w:pPr>
              <w:pStyle w:val="ListParagraph"/>
              <w:spacing w:after="0"/>
              <w:ind w:left="66"/>
              <w:jc w:val="both"/>
              <w:rPr>
                <w:rFonts w:ascii="Times New Roman" w:hAnsi="Times New Roman" w:cs="Times New Roman"/>
                <w:sz w:val="24"/>
                <w:szCs w:val="24"/>
              </w:rPr>
            </w:pPr>
            <w:r w:rsidRPr="000413D4">
              <w:rPr>
                <w:rFonts w:ascii="Times New Roman" w:hAnsi="Times New Roman" w:cs="Times New Roman"/>
                <w:sz w:val="24"/>
                <w:szCs w:val="24"/>
              </w:rPr>
              <w:t xml:space="preserve">2.1. Latvijas Investīciju un attīstības aģentūras vai biedrību organizētās tirdzniecības misijas komersantiem vai kooperatīvajām sabiedrībām (tai skaitā  lauksaimniecības </w:t>
            </w:r>
            <w:r w:rsidRPr="000413D4">
              <w:rPr>
                <w:rFonts w:ascii="Times New Roman" w:hAnsi="Times New Roman" w:cs="Times New Roman"/>
                <w:sz w:val="24"/>
                <w:szCs w:val="24"/>
              </w:rPr>
              <w:lastRenderedPageBreak/>
              <w:t>pakalpojumu kooperatīvajām sabiedrībām un atbilstīgu lauksaimniecības pakalpojumu kooperatīvajām sabiedrībām), un:</w:t>
            </w:r>
          </w:p>
          <w:p w:rsidR="00D33952" w:rsidRPr="000413D4" w:rsidRDefault="00D33952" w:rsidP="00D33952">
            <w:pPr>
              <w:pStyle w:val="ListParagraph"/>
              <w:spacing w:after="0"/>
              <w:ind w:left="66"/>
              <w:jc w:val="both"/>
              <w:rPr>
                <w:rFonts w:ascii="Times New Roman" w:hAnsi="Times New Roman" w:cs="Times New Roman"/>
                <w:sz w:val="24"/>
                <w:szCs w:val="24"/>
              </w:rPr>
            </w:pPr>
            <w:r w:rsidRPr="000413D4">
              <w:rPr>
                <w:rFonts w:ascii="Times New Roman" w:hAnsi="Times New Roman" w:cs="Times New Roman"/>
                <w:sz w:val="24"/>
                <w:szCs w:val="24"/>
              </w:rPr>
              <w:t>2.2. Latvijas Investīciju un attīstības aģentūras organizētās tirdzniecības misijas komersantu, kooperatīvo sabiedrību (tai skaitā lauksaimniecības pakalpojumu kooperatīvo sabiedrību un atbilstīgu lauksaimniecības pakalpojumu kooperatīvo sabiedrību), pašvaldību, ostu pārvalžu,  publisko personu vai tās iestāžu (tai skaitā atvasināto publisko personu, kas darbojas NACE 2.red. M sadaļas „Profesionālie, zinātniskie un tehniskie pakalpojumi” 72.nodaļā „Zinātniskās pētniecības darbs” un  P sadaļas „Izglītība” 85.4.nodaļā „Augstākā izglītība”), biedrību vai nodibinājumu, dalībai augstu Latvijas valsts amatpersonu vizītē ārvalstī ietvaros.</w:t>
            </w:r>
          </w:p>
          <w:p w:rsidR="00D33952" w:rsidRPr="000413D4" w:rsidRDefault="00D33952" w:rsidP="00D33952">
            <w:pPr>
              <w:pStyle w:val="ListParagraph"/>
              <w:spacing w:after="0"/>
              <w:ind w:left="66"/>
              <w:jc w:val="both"/>
              <w:rPr>
                <w:rFonts w:ascii="Times New Roman" w:hAnsi="Times New Roman" w:cs="Times New Roman"/>
                <w:sz w:val="24"/>
                <w:szCs w:val="24"/>
              </w:rPr>
            </w:pPr>
            <w:r w:rsidRPr="000413D4">
              <w:rPr>
                <w:rFonts w:ascii="Times New Roman" w:hAnsi="Times New Roman" w:cs="Times New Roman"/>
                <w:sz w:val="24"/>
                <w:szCs w:val="24"/>
              </w:rPr>
              <w:tab/>
              <w:t>Tirdzniecības misijas kopā ar augstu Latvijas valsts amatpersonām vizītē ārvalstī līdzšinēji  Latvijas Investīciju un attīstības aģentūras jau organizēja, bet tanīs līdzfinansējumu MK noteikumu Nr.582 ietvaros atbalstu varēja saņemt tikai komersanti un kooperatīvās sabiedrības. Tomēr šajās vizītēs piedalījās arī pašvaldības, ostu pārvaldes, valsts un pašvaldības iestādes, kā arī biedrības un nodibinājumi. Līdz ar to noteikumu projekta grozījumi paredz, ka atbalstu varēs saņemt arī pašvaldības, ostu pārvaldes, valsts un pašvaldības iestādes, kā arī biedrības un nodibinājumi.</w:t>
            </w:r>
          </w:p>
          <w:p w:rsidR="000E25AC" w:rsidRPr="000413D4" w:rsidRDefault="008C6509" w:rsidP="00810A68">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 xml:space="preserve">MK noteikumos Nr.582 atbalsta saņēmēji </w:t>
            </w:r>
            <w:r w:rsidR="00716278" w:rsidRPr="000413D4">
              <w:rPr>
                <w:rFonts w:ascii="Times New Roman" w:hAnsi="Times New Roman" w:cs="Times New Roman"/>
                <w:sz w:val="24"/>
                <w:szCs w:val="24"/>
              </w:rPr>
              <w:t>„</w:t>
            </w:r>
            <w:r w:rsidRPr="000413D4">
              <w:rPr>
                <w:rFonts w:ascii="Times New Roman" w:hAnsi="Times New Roman" w:cs="Times New Roman"/>
                <w:sz w:val="24"/>
                <w:szCs w:val="24"/>
              </w:rPr>
              <w:t>valsts un pašvaldību iestādes</w:t>
            </w:r>
            <w:r w:rsidR="00716278" w:rsidRPr="000413D4">
              <w:rPr>
                <w:rFonts w:ascii="Times New Roman" w:hAnsi="Times New Roman" w:cs="Times New Roman"/>
                <w:sz w:val="24"/>
                <w:szCs w:val="24"/>
              </w:rPr>
              <w:t>”</w:t>
            </w:r>
            <w:r w:rsidRPr="000413D4">
              <w:rPr>
                <w:rFonts w:ascii="Times New Roman" w:hAnsi="Times New Roman" w:cs="Times New Roman"/>
                <w:sz w:val="24"/>
                <w:szCs w:val="24"/>
              </w:rPr>
              <w:t xml:space="preserve"> tiek aizstātas ar </w:t>
            </w:r>
            <w:r w:rsidR="00716278" w:rsidRPr="000413D4">
              <w:rPr>
                <w:rFonts w:ascii="Times New Roman" w:hAnsi="Times New Roman" w:cs="Times New Roman"/>
                <w:sz w:val="24"/>
                <w:szCs w:val="24"/>
              </w:rPr>
              <w:t>„</w:t>
            </w:r>
            <w:r w:rsidRPr="000413D4">
              <w:rPr>
                <w:rFonts w:ascii="Times New Roman" w:hAnsi="Times New Roman" w:cs="Times New Roman"/>
                <w:sz w:val="24"/>
                <w:szCs w:val="24"/>
              </w:rPr>
              <w:t xml:space="preserve">publiskām personām </w:t>
            </w:r>
            <w:r w:rsidR="005C279F" w:rsidRPr="000413D4">
              <w:rPr>
                <w:rFonts w:ascii="Times New Roman" w:hAnsi="Times New Roman" w:cs="Times New Roman"/>
                <w:sz w:val="24"/>
                <w:szCs w:val="24"/>
              </w:rPr>
              <w:t>vai tās</w:t>
            </w:r>
            <w:r w:rsidRPr="000413D4">
              <w:rPr>
                <w:rFonts w:ascii="Times New Roman" w:hAnsi="Times New Roman" w:cs="Times New Roman"/>
                <w:sz w:val="24"/>
                <w:szCs w:val="24"/>
              </w:rPr>
              <w:t xml:space="preserve"> iestādēm (tai skaitā atvasinātām publiskām personām, kas darbojas NACE 2.red. M sadaļas „Profesionālie, zinātniskie un tehniskie pakalpojumi” 72.nodaļā „Zinātniskās pētniecības darbs” un  P sadaļas „Izglītība” 85.4.nodaļā „Augstākā izglītība”)</w:t>
            </w:r>
            <w:r w:rsidR="00716278" w:rsidRPr="000413D4">
              <w:rPr>
                <w:rFonts w:ascii="Times New Roman" w:hAnsi="Times New Roman" w:cs="Times New Roman"/>
                <w:sz w:val="24"/>
                <w:szCs w:val="24"/>
              </w:rPr>
              <w:t>”</w:t>
            </w:r>
            <w:r w:rsidRPr="000413D4">
              <w:rPr>
                <w:rFonts w:ascii="Times New Roman" w:hAnsi="Times New Roman" w:cs="Times New Roman"/>
                <w:sz w:val="24"/>
                <w:szCs w:val="24"/>
              </w:rPr>
              <w:t xml:space="preserve">, tādejādi 2.3.1.1.1.apakšaktivitātes ietvaros atļaujot uz atbalstu pretendēt ne tikai valsts un pašvaldību iestādēm, bet arī </w:t>
            </w:r>
            <w:r w:rsidR="000E25AC" w:rsidRPr="000413D4">
              <w:rPr>
                <w:rFonts w:ascii="Times New Roman" w:hAnsi="Times New Roman"/>
                <w:sz w:val="24"/>
                <w:szCs w:val="24"/>
              </w:rPr>
              <w:t>izglītības iestādēm un zinātniskajām institūcijām</w:t>
            </w:r>
            <w:r w:rsidR="004A5A2E" w:rsidRPr="000413D4">
              <w:rPr>
                <w:rFonts w:ascii="Times New Roman" w:hAnsi="Times New Roman"/>
                <w:sz w:val="24"/>
                <w:szCs w:val="24"/>
              </w:rPr>
              <w:t>, lai veicinātu to saimniecisko darbību (izglītības un zinātnes pakalpojumu eksportu)</w:t>
            </w:r>
            <w:r w:rsidR="000E25AC" w:rsidRPr="000413D4">
              <w:rPr>
                <w:rFonts w:ascii="Times New Roman" w:hAnsi="Times New Roman"/>
                <w:sz w:val="24"/>
                <w:szCs w:val="24"/>
              </w:rPr>
              <w:t xml:space="preserve">. </w:t>
            </w:r>
          </w:p>
          <w:p w:rsidR="00FD300A" w:rsidRPr="000413D4" w:rsidRDefault="000E25AC" w:rsidP="00FD300A">
            <w:pPr>
              <w:pStyle w:val="ListParagraph"/>
              <w:spacing w:after="0"/>
              <w:ind w:left="0"/>
              <w:jc w:val="both"/>
              <w:rPr>
                <w:rFonts w:ascii="Times New Roman" w:hAnsi="Times New Roman"/>
                <w:sz w:val="24"/>
                <w:szCs w:val="24"/>
              </w:rPr>
            </w:pPr>
            <w:r w:rsidRPr="000413D4">
              <w:rPr>
                <w:rFonts w:ascii="Times New Roman" w:hAnsi="Times New Roman"/>
                <w:sz w:val="24"/>
                <w:szCs w:val="24"/>
              </w:rPr>
              <w:tab/>
            </w:r>
            <w:r w:rsidR="00FD300A" w:rsidRPr="000413D4">
              <w:rPr>
                <w:rFonts w:ascii="Times New Roman" w:hAnsi="Times New Roman"/>
                <w:sz w:val="24"/>
                <w:szCs w:val="24"/>
              </w:rPr>
              <w:t>Darbības programmas „Uzņēmējdarbība un inovācijas” 342.paragrāfā minētais aktivitātes mērķis ir „iepazīstināt ārvalstu pircējus ar Latvijas pakalpojumu priekšrocībām</w:t>
            </w:r>
            <w:r w:rsidR="00D33952" w:rsidRPr="000413D4">
              <w:rPr>
                <w:rFonts w:ascii="Times New Roman" w:hAnsi="Times New Roman"/>
                <w:sz w:val="24"/>
                <w:szCs w:val="24"/>
              </w:rPr>
              <w:t>”</w:t>
            </w:r>
            <w:r w:rsidR="00FD300A" w:rsidRPr="000413D4">
              <w:rPr>
                <w:rFonts w:ascii="Times New Roman" w:hAnsi="Times New Roman"/>
                <w:sz w:val="24"/>
                <w:szCs w:val="24"/>
              </w:rPr>
              <w:t>. Galvenokārt ir paredzēts veicināt augstākas pievienotās vērtības pakalpojumu noieta tirgu iepazīšanu un apgūšanu.” Tātad aktivitātes mērķī ir īpaši uzsvērts, ka ir jāpiesaista ārvalstu pircēji tādām augstas pievienotās vērtības pakalpojumu nozarēm Latvijā kā izglītība un zinātne.</w:t>
            </w:r>
          </w:p>
          <w:p w:rsidR="00FD300A" w:rsidRPr="000413D4" w:rsidRDefault="00FD300A" w:rsidP="00FD300A">
            <w:pPr>
              <w:pStyle w:val="ListParagraph"/>
              <w:spacing w:after="0"/>
              <w:ind w:left="0"/>
              <w:jc w:val="both"/>
              <w:rPr>
                <w:rFonts w:ascii="Times New Roman" w:hAnsi="Times New Roman"/>
                <w:sz w:val="24"/>
                <w:szCs w:val="24"/>
              </w:rPr>
            </w:pPr>
            <w:r w:rsidRPr="000413D4">
              <w:rPr>
                <w:rFonts w:ascii="Times New Roman" w:hAnsi="Times New Roman"/>
                <w:sz w:val="24"/>
                <w:szCs w:val="24"/>
              </w:rPr>
              <w:lastRenderedPageBreak/>
              <w:tab/>
              <w:t>Ņemot vērā nozīmīgās publiskās investīcijas, kas pēdējā laikā ir ieguldītas Latvijas izglītības un zinātnes institūciju modernizācijā, kā arī ņemot vērā Latvijas vietējā tirgus ierobežoto apjomu, ir nepieciešams veicināt Latvijas izglītības un zinātnes iestāžu starptautisku atpazīstamību un piesaistīt ārvalstu klientus, lai visefektīvākajā veidā noslogotu jaunizveidoto izglītības un zinātnes infrastruktūru.</w:t>
            </w:r>
          </w:p>
          <w:p w:rsidR="00B910F4" w:rsidRPr="000413D4" w:rsidRDefault="00FD300A" w:rsidP="000E25AC">
            <w:pPr>
              <w:pStyle w:val="ListParagraph"/>
              <w:spacing w:after="0"/>
              <w:ind w:left="0"/>
              <w:jc w:val="both"/>
              <w:rPr>
                <w:rFonts w:ascii="Times New Roman" w:hAnsi="Times New Roman"/>
                <w:sz w:val="24"/>
                <w:szCs w:val="24"/>
              </w:rPr>
            </w:pPr>
            <w:r w:rsidRPr="000413D4">
              <w:rPr>
                <w:rFonts w:ascii="Times New Roman" w:hAnsi="Times New Roman"/>
                <w:sz w:val="24"/>
                <w:szCs w:val="24"/>
              </w:rPr>
              <w:tab/>
            </w:r>
            <w:r w:rsidR="000E25AC" w:rsidRPr="000413D4">
              <w:rPr>
                <w:rFonts w:ascii="Times New Roman" w:hAnsi="Times New Roman"/>
                <w:sz w:val="24"/>
                <w:szCs w:val="24"/>
              </w:rPr>
              <w:t>Turklāt Ekonomikas ministrija ir jau iekļāvusi izglītības iestādes un zinātniskās institūcijas 2.3.1.1.2.apakšaktivitātes „Ārējo tirgu apgūšana – nozaru starptautiskās konkurētspējas stiprināšana”” ietvaros kā nacionālo stendu dalībniekus, kas spētu ārvalstīs efektīvi prezentēt izveidoto sadarbību ar Latvijas komersantiem, tādejādi piesaistot lielāku ārvalstu sadarbības partneru interesi  gan par izglītības iestādēm un zinātnisko institūcijām, gan par Latvijas komersantiem jaunu perspektīvu attīstīšanai.</w:t>
            </w:r>
          </w:p>
          <w:p w:rsidR="00810A68" w:rsidRPr="000413D4" w:rsidRDefault="00810A68" w:rsidP="00810A68">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MK noteikumi Nr.582 tiek papildināti ar jaunu atbalstāmo darbību - ražotņu un produktu atbilstības  novērtēšana ja šāda atbilstības novērtēšana ir obligāts priekšnosacījums, lai uzsāktu produktu tirdzniecībai ārvalstu tirgos;</w:t>
            </w:r>
          </w:p>
          <w:p w:rsidR="00810A68" w:rsidRPr="000413D4" w:rsidRDefault="00347276" w:rsidP="00810A68">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p</w:t>
            </w:r>
            <w:r w:rsidR="00810A68" w:rsidRPr="000413D4">
              <w:rPr>
                <w:rFonts w:ascii="Times New Roman" w:hAnsi="Times New Roman" w:cs="Times New Roman"/>
                <w:sz w:val="24"/>
                <w:szCs w:val="24"/>
              </w:rPr>
              <w:t>apildus MK noteikumos Nr.582 jau paredzētajam atbalstam nelielu specializēto konferenču (dalībnieku skaits vismaz 15) rī</w:t>
            </w:r>
            <w:r w:rsidR="00C77E83" w:rsidRPr="000413D4">
              <w:rPr>
                <w:rFonts w:ascii="Times New Roman" w:hAnsi="Times New Roman" w:cs="Times New Roman"/>
                <w:sz w:val="24"/>
                <w:szCs w:val="24"/>
              </w:rPr>
              <w:t>košanai</w:t>
            </w:r>
            <w:r w:rsidR="00FB465C" w:rsidRPr="000413D4">
              <w:rPr>
                <w:rFonts w:ascii="Times New Roman" w:hAnsi="Times New Roman" w:cs="Times New Roman"/>
                <w:sz w:val="24"/>
                <w:szCs w:val="24"/>
              </w:rPr>
              <w:t xml:space="preserve"> Latvijā</w:t>
            </w:r>
            <w:r w:rsidR="00C77E83" w:rsidRPr="000413D4">
              <w:rPr>
                <w:rFonts w:ascii="Times New Roman" w:hAnsi="Times New Roman" w:cs="Times New Roman"/>
                <w:sz w:val="24"/>
                <w:szCs w:val="24"/>
              </w:rPr>
              <w:t>, tiek paredzēts atbalsts</w:t>
            </w:r>
            <w:r w:rsidR="00810A68" w:rsidRPr="000413D4">
              <w:rPr>
                <w:rFonts w:ascii="Times New Roman" w:hAnsi="Times New Roman" w:cs="Times New Roman"/>
                <w:sz w:val="24"/>
                <w:szCs w:val="24"/>
              </w:rPr>
              <w:t xml:space="preserve"> arī liela mēroga starptautisko konferenču rīkošanai (ārvalstu dalībnieki ir ne mazāk kā 150)</w:t>
            </w:r>
            <w:r w:rsidR="00FB465C" w:rsidRPr="000413D4">
              <w:rPr>
                <w:rFonts w:ascii="Times New Roman" w:hAnsi="Times New Roman" w:cs="Times New Roman"/>
                <w:sz w:val="24"/>
                <w:szCs w:val="24"/>
              </w:rPr>
              <w:t xml:space="preserve"> Latvijā</w:t>
            </w:r>
            <w:r w:rsidR="00810A68" w:rsidRPr="000413D4">
              <w:rPr>
                <w:rFonts w:ascii="Times New Roman" w:hAnsi="Times New Roman" w:cs="Times New Roman"/>
                <w:sz w:val="24"/>
                <w:szCs w:val="24"/>
              </w:rPr>
              <w:t>;</w:t>
            </w:r>
          </w:p>
          <w:p w:rsidR="0033554F" w:rsidRPr="000413D4" w:rsidRDefault="00347276" w:rsidP="0033554F">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tiek precizēts atbalsta saņēmēja - kooperatīvās sabiedrību formulējums. Tiek precizēts, ka atbalstu piešķir arī lauksaimniecības pakalpojumu kooperatīvajām sabiedrībām un atbilstīgām lauksaimniecības pakalpojumu kooperatīvajām sabiedrībām. Precizējums tiek veikts atbilstoši biedrības</w:t>
            </w:r>
            <w:r w:rsidR="00A866EB" w:rsidRPr="000413D4">
              <w:rPr>
                <w:rFonts w:ascii="Times New Roman" w:hAnsi="Times New Roman" w:cs="Times New Roman"/>
                <w:sz w:val="24"/>
                <w:szCs w:val="24"/>
              </w:rPr>
              <w:t xml:space="preserve"> „Zemnieku Saeima” norādījumiem. Turklāt, saskaņā ar biedrības „Zemnieku Saeima” norādījumiem, </w:t>
            </w:r>
            <w:r w:rsidR="00970BDA" w:rsidRPr="000413D4">
              <w:rPr>
                <w:rFonts w:ascii="Times New Roman" w:hAnsi="Times New Roman" w:cs="Times New Roman"/>
                <w:sz w:val="24"/>
                <w:szCs w:val="24"/>
              </w:rPr>
              <w:t>vairākās</w:t>
            </w:r>
            <w:r w:rsidR="00A866EB" w:rsidRPr="000413D4">
              <w:rPr>
                <w:rFonts w:ascii="Times New Roman" w:hAnsi="Times New Roman" w:cs="Times New Roman"/>
                <w:sz w:val="24"/>
                <w:szCs w:val="24"/>
              </w:rPr>
              <w:t xml:space="preserve"> </w:t>
            </w:r>
            <w:r w:rsidR="00970BDA" w:rsidRPr="000413D4">
              <w:rPr>
                <w:rFonts w:ascii="Times New Roman" w:hAnsi="Times New Roman" w:cs="Times New Roman"/>
                <w:sz w:val="24"/>
                <w:szCs w:val="24"/>
              </w:rPr>
              <w:t xml:space="preserve">ekonomiski aktīvās </w:t>
            </w:r>
            <w:r w:rsidR="00A866EB" w:rsidRPr="000413D4">
              <w:rPr>
                <w:rFonts w:ascii="Times New Roman" w:hAnsi="Times New Roman" w:cs="Times New Roman"/>
                <w:sz w:val="24"/>
                <w:szCs w:val="24"/>
              </w:rPr>
              <w:t xml:space="preserve">kooperatīvajās </w:t>
            </w:r>
            <w:r w:rsidR="00734683" w:rsidRPr="000413D4">
              <w:rPr>
                <w:rFonts w:ascii="Times New Roman" w:hAnsi="Times New Roman" w:cs="Times New Roman"/>
                <w:sz w:val="24"/>
                <w:szCs w:val="24"/>
              </w:rPr>
              <w:t>sabiedrībās ir</w:t>
            </w:r>
            <w:r w:rsidR="006713A4" w:rsidRPr="000413D4">
              <w:rPr>
                <w:rFonts w:ascii="Times New Roman" w:hAnsi="Times New Roman" w:cs="Times New Roman"/>
                <w:sz w:val="24"/>
                <w:szCs w:val="24"/>
              </w:rPr>
              <w:t xml:space="preserve"> apvienojušies</w:t>
            </w:r>
            <w:r w:rsidR="00734683" w:rsidRPr="000413D4">
              <w:rPr>
                <w:rFonts w:ascii="Times New Roman" w:hAnsi="Times New Roman" w:cs="Times New Roman"/>
                <w:sz w:val="24"/>
                <w:szCs w:val="24"/>
              </w:rPr>
              <w:t xml:space="preserve"> 3 dalībnieki, līdz ar to ir nepieciešams samazināt prasība par dalībnieku skaitu kooperatīvajās sabiedrībās no pieciem uz trim komersantiem</w:t>
            </w:r>
            <w:r w:rsidR="0033554F" w:rsidRPr="000413D4">
              <w:rPr>
                <w:rFonts w:ascii="Times New Roman" w:hAnsi="Times New Roman" w:cs="Times New Roman"/>
                <w:sz w:val="24"/>
                <w:szCs w:val="24"/>
              </w:rPr>
              <w:t xml:space="preserve">. </w:t>
            </w:r>
            <w:r w:rsidR="00546A8B" w:rsidRPr="000413D4">
              <w:rPr>
                <w:rFonts w:ascii="Times New Roman" w:hAnsi="Times New Roman" w:cs="Times New Roman"/>
                <w:sz w:val="24"/>
                <w:szCs w:val="24"/>
              </w:rPr>
              <w:t xml:space="preserve">Savukārt </w:t>
            </w:r>
            <w:r w:rsidR="00970BDA" w:rsidRPr="000413D4">
              <w:rPr>
                <w:rFonts w:ascii="Times New Roman" w:hAnsi="Times New Roman" w:cs="Times New Roman"/>
                <w:sz w:val="24"/>
                <w:szCs w:val="24"/>
              </w:rPr>
              <w:t xml:space="preserve">visās ekonomiski aktīvajās </w:t>
            </w:r>
            <w:r w:rsidR="00546A8B" w:rsidRPr="000413D4">
              <w:rPr>
                <w:rFonts w:ascii="Times New Roman" w:hAnsi="Times New Roman" w:cs="Times New Roman"/>
                <w:sz w:val="24"/>
                <w:szCs w:val="24"/>
              </w:rPr>
              <w:t xml:space="preserve">biedrībās un nodibinājumos to biedru vai dalībnieku skaits ir lielāks par pieciem, līdz ar to biedrībām un nodibinājumiem minimāli nepieciešamais biedru vai dalībnieku skaits netiek samazināts. </w:t>
            </w:r>
          </w:p>
          <w:p w:rsidR="00347276" w:rsidRPr="000413D4" w:rsidRDefault="0033554F" w:rsidP="0033554F">
            <w:pPr>
              <w:pStyle w:val="ListParagraph"/>
              <w:spacing w:after="0"/>
              <w:ind w:left="0"/>
              <w:jc w:val="both"/>
              <w:rPr>
                <w:rFonts w:ascii="Times New Roman" w:hAnsi="Times New Roman" w:cs="Times New Roman"/>
                <w:sz w:val="24"/>
                <w:szCs w:val="24"/>
              </w:rPr>
            </w:pPr>
            <w:r w:rsidRPr="000413D4">
              <w:rPr>
                <w:rFonts w:ascii="Times New Roman" w:hAnsi="Times New Roman" w:cs="Times New Roman"/>
                <w:sz w:val="24"/>
                <w:szCs w:val="24"/>
              </w:rPr>
              <w:tab/>
              <w:t>Ņemot vērā, ka attiecīgā prasība par komersantu skaitu</w:t>
            </w:r>
            <w:r w:rsidR="00546A8B" w:rsidRPr="000413D4">
              <w:rPr>
                <w:rFonts w:ascii="Times New Roman" w:hAnsi="Times New Roman" w:cs="Times New Roman"/>
                <w:sz w:val="24"/>
                <w:szCs w:val="24"/>
              </w:rPr>
              <w:t xml:space="preserve"> kooperatīvajās sabiedrībās</w:t>
            </w:r>
            <w:r w:rsidRPr="000413D4">
              <w:rPr>
                <w:rFonts w:ascii="Times New Roman" w:hAnsi="Times New Roman" w:cs="Times New Roman"/>
                <w:sz w:val="24"/>
                <w:szCs w:val="24"/>
              </w:rPr>
              <w:t xml:space="preserve"> ir iekļauta MK noteikumu Nr.582 </w:t>
            </w:r>
            <w:r w:rsidR="00546A8B" w:rsidRPr="000413D4">
              <w:rPr>
                <w:rFonts w:ascii="Times New Roman" w:hAnsi="Times New Roman" w:cs="Times New Roman"/>
                <w:sz w:val="24"/>
                <w:szCs w:val="24"/>
              </w:rPr>
              <w:lastRenderedPageBreak/>
              <w:t>3.pielikumā</w:t>
            </w:r>
            <w:r w:rsidRPr="000413D4">
              <w:rPr>
                <w:rFonts w:ascii="Times New Roman" w:hAnsi="Times New Roman" w:cs="Times New Roman"/>
                <w:sz w:val="24"/>
                <w:szCs w:val="24"/>
              </w:rPr>
              <w:t xml:space="preserve"> „Projektu iesniegumu vērtēšanas krit</w:t>
            </w:r>
            <w:r w:rsidR="00546A8B" w:rsidRPr="000413D4">
              <w:rPr>
                <w:rFonts w:ascii="Times New Roman" w:hAnsi="Times New Roman" w:cs="Times New Roman"/>
                <w:sz w:val="24"/>
                <w:szCs w:val="24"/>
              </w:rPr>
              <w:t>ēriji</w:t>
            </w:r>
            <w:r w:rsidRPr="000413D4">
              <w:rPr>
                <w:rFonts w:ascii="Times New Roman" w:hAnsi="Times New Roman" w:cs="Times New Roman"/>
                <w:sz w:val="24"/>
                <w:szCs w:val="24"/>
              </w:rPr>
              <w:t>”,</w:t>
            </w:r>
            <w:r w:rsidR="00546A8B" w:rsidRPr="000413D4">
              <w:rPr>
                <w:rFonts w:ascii="Times New Roman" w:hAnsi="Times New Roman" w:cs="Times New Roman"/>
                <w:sz w:val="24"/>
                <w:szCs w:val="24"/>
              </w:rPr>
              <w:t xml:space="preserve"> līdz ar to</w:t>
            </w:r>
            <w:r w:rsidRPr="000413D4">
              <w:rPr>
                <w:rFonts w:ascii="Times New Roman" w:hAnsi="Times New Roman" w:cs="Times New Roman"/>
                <w:sz w:val="24"/>
                <w:szCs w:val="24"/>
              </w:rPr>
              <w:t xml:space="preserve"> ir nepieciešami projektu iesniegumu vērtēšanas kritēriju grozījumi. Ekonomikas ministrija nosūtīja</w:t>
            </w:r>
            <w:r w:rsidR="00546A8B" w:rsidRPr="000413D4">
              <w:rPr>
                <w:rFonts w:ascii="Times New Roman" w:hAnsi="Times New Roman" w:cs="Times New Roman"/>
                <w:sz w:val="24"/>
                <w:szCs w:val="24"/>
              </w:rPr>
              <w:t xml:space="preserve"> </w:t>
            </w:r>
            <w:r w:rsidRPr="000413D4">
              <w:rPr>
                <w:rFonts w:ascii="Times New Roman" w:hAnsi="Times New Roman" w:cs="Times New Roman"/>
                <w:sz w:val="24"/>
                <w:szCs w:val="24"/>
              </w:rPr>
              <w:t>2014.gada 23.septembrī</w:t>
            </w:r>
            <w:r w:rsidR="00546A8B" w:rsidRPr="000413D4">
              <w:rPr>
                <w:rFonts w:ascii="Times New Roman" w:hAnsi="Times New Roman" w:cs="Times New Roman"/>
                <w:sz w:val="24"/>
                <w:szCs w:val="24"/>
              </w:rPr>
              <w:t xml:space="preserve"> projektu iesniegumu vērtēšanas </w:t>
            </w:r>
            <w:r w:rsidRPr="000413D4">
              <w:rPr>
                <w:rFonts w:ascii="Times New Roman" w:hAnsi="Times New Roman" w:cs="Times New Roman"/>
                <w:sz w:val="24"/>
                <w:szCs w:val="24"/>
              </w:rPr>
              <w:t>kritēriju</w:t>
            </w:r>
            <w:r w:rsidR="00546A8B" w:rsidRPr="000413D4">
              <w:rPr>
                <w:rFonts w:ascii="Times New Roman" w:hAnsi="Times New Roman" w:cs="Times New Roman"/>
                <w:sz w:val="24"/>
                <w:szCs w:val="24"/>
              </w:rPr>
              <w:t xml:space="preserve"> kopu</w:t>
            </w:r>
            <w:r w:rsidRPr="000413D4">
              <w:rPr>
                <w:rFonts w:ascii="Times New Roman" w:hAnsi="Times New Roman" w:cs="Times New Roman"/>
                <w:sz w:val="24"/>
                <w:szCs w:val="24"/>
              </w:rPr>
              <w:t xml:space="preserve"> grozījumus izskatīšanai 2007.-2013.gada plānošanas perioda Eiropas Savienības struktūrfondu un Kohēzijas fonda Uzraudzības komitejas rakstiskajā procedūrā. Projektu iesniegumu vērtēšanas kritēriju grozījumi </w:t>
            </w:r>
            <w:r w:rsidR="00743826" w:rsidRPr="000413D4">
              <w:rPr>
                <w:rFonts w:ascii="Times New Roman" w:hAnsi="Times New Roman" w:cs="Times New Roman"/>
                <w:sz w:val="24"/>
                <w:szCs w:val="24"/>
              </w:rPr>
              <w:t>ir saskaņoti Uzraudzības komitejas rakstiskajā procedūrā 2014.gada 6.oktobrī.</w:t>
            </w:r>
          </w:p>
          <w:p w:rsidR="00347276" w:rsidRPr="000413D4" w:rsidRDefault="00347276" w:rsidP="00347276">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 xml:space="preserve">saskaņā ar Ministru kabineta 2014.gada 26.augusta sēdē atkārtoti izskatīto informatīvo ziņojumu „Par </w:t>
            </w:r>
            <w:r w:rsidRPr="000413D4">
              <w:rPr>
                <w:rFonts w:ascii="Times New Roman" w:hAnsi="Times New Roman" w:cs="Times New Roman"/>
                <w:bCs/>
                <w:sz w:val="24"/>
                <w:szCs w:val="24"/>
                <w:shd w:val="clear" w:color="auto" w:fill="FFFFFF"/>
              </w:rPr>
              <w:t xml:space="preserve">Ministru kabineta 2014.gada 12.augusta sēdes </w:t>
            </w:r>
            <w:proofErr w:type="spellStart"/>
            <w:r w:rsidRPr="000413D4">
              <w:rPr>
                <w:rFonts w:ascii="Times New Roman" w:hAnsi="Times New Roman" w:cs="Times New Roman"/>
                <w:bCs/>
                <w:sz w:val="24"/>
                <w:szCs w:val="24"/>
                <w:shd w:val="clear" w:color="auto" w:fill="FFFFFF"/>
              </w:rPr>
              <w:t>protokollēmuma</w:t>
            </w:r>
            <w:proofErr w:type="spellEnd"/>
            <w:r w:rsidRPr="000413D4">
              <w:rPr>
                <w:rFonts w:ascii="Times New Roman" w:hAnsi="Times New Roman" w:cs="Times New Roman"/>
                <w:bCs/>
                <w:sz w:val="24"/>
                <w:szCs w:val="24"/>
                <w:shd w:val="clear" w:color="auto" w:fill="FFFFFF"/>
              </w:rPr>
              <w:t xml:space="preserve"> (</w:t>
            </w:r>
            <w:proofErr w:type="spellStart"/>
            <w:r w:rsidRPr="000413D4">
              <w:rPr>
                <w:rFonts w:ascii="Times New Roman" w:hAnsi="Times New Roman" w:cs="Times New Roman"/>
                <w:bCs/>
                <w:sz w:val="24"/>
                <w:szCs w:val="24"/>
                <w:shd w:val="clear" w:color="auto" w:fill="FFFFFF"/>
              </w:rPr>
              <w:t>prot</w:t>
            </w:r>
            <w:proofErr w:type="spellEnd"/>
            <w:r w:rsidRPr="000413D4">
              <w:rPr>
                <w:rFonts w:ascii="Times New Roman" w:hAnsi="Times New Roman" w:cs="Times New Roman"/>
                <w:bCs/>
                <w:sz w:val="24"/>
                <w:szCs w:val="24"/>
                <w:shd w:val="clear" w:color="auto" w:fill="FFFFFF"/>
              </w:rPr>
              <w:t>. Nr.43 59) "Informatīvais ziņojums "Par pasākumiem Krievijas ekonomisko sankciju negatīvo seku mazināšanai" 10.punktā dotā uzdevuma izpildi”, MK noteikumu Nr.582 ietvaros tiek palielināta ES fondu līdzfinansējuma atbalsta intensitāte no 50% uz 70% dalībai starptautiskajās izstādēs un konferencēs komersantiem, kuri darbojas pārtikas pārstrādes un transporta, un loģistikas nozarēs, proti, projekta iesniedzējs darbojas NACE 2.red. C sadaļas „Apstrādes rūpniecība” 10.nodaļā „Pārtikas produktu ražošana” un 11.nodaļā „Dzērienu ražošana”, un H sadaļā „Transports un uzglabāšana”;</w:t>
            </w:r>
          </w:p>
          <w:p w:rsidR="00810A68" w:rsidRPr="000413D4" w:rsidRDefault="00347276" w:rsidP="00347276">
            <w:pPr>
              <w:pStyle w:val="ListParagraph"/>
              <w:numPr>
                <w:ilvl w:val="0"/>
                <w:numId w:val="1"/>
              </w:numPr>
              <w:spacing w:after="0"/>
              <w:ind w:left="0" w:firstLine="66"/>
              <w:jc w:val="both"/>
              <w:rPr>
                <w:rFonts w:ascii="Times New Roman" w:hAnsi="Times New Roman" w:cs="Times New Roman"/>
                <w:sz w:val="24"/>
                <w:szCs w:val="24"/>
              </w:rPr>
            </w:pPr>
            <w:r w:rsidRPr="000413D4">
              <w:rPr>
                <w:rFonts w:ascii="Times New Roman" w:hAnsi="Times New Roman" w:cs="Times New Roman"/>
                <w:sz w:val="24"/>
                <w:szCs w:val="24"/>
              </w:rPr>
              <w:t>t</w:t>
            </w:r>
            <w:r w:rsidR="00810A68" w:rsidRPr="000413D4">
              <w:rPr>
                <w:rFonts w:ascii="Times New Roman" w:hAnsi="Times New Roman" w:cs="Times New Roman"/>
                <w:sz w:val="24"/>
                <w:szCs w:val="24"/>
              </w:rPr>
              <w:t xml:space="preserve">iek precizētas atbalstāmās izmaksas dalībai starptautiskajās izstādēs, konferencēs, tirdzniecības misijās, </w:t>
            </w:r>
            <w:proofErr w:type="spellStart"/>
            <w:r w:rsidR="00810A68" w:rsidRPr="000413D4">
              <w:rPr>
                <w:rFonts w:ascii="Times New Roman" w:hAnsi="Times New Roman" w:cs="Times New Roman"/>
                <w:sz w:val="24"/>
                <w:szCs w:val="24"/>
              </w:rPr>
              <w:t>kontaktbiržās</w:t>
            </w:r>
            <w:proofErr w:type="spellEnd"/>
            <w:r w:rsidR="00810A68" w:rsidRPr="000413D4">
              <w:rPr>
                <w:rFonts w:ascii="Times New Roman" w:hAnsi="Times New Roman" w:cs="Times New Roman"/>
                <w:sz w:val="24"/>
                <w:szCs w:val="24"/>
              </w:rPr>
              <w:t>, individuālajās vizītēs:</w:t>
            </w:r>
          </w:p>
          <w:p w:rsidR="00347276" w:rsidRPr="000413D4" w:rsidRDefault="00347276" w:rsidP="00575291">
            <w:pPr>
              <w:pStyle w:val="ListParagraph"/>
              <w:numPr>
                <w:ilvl w:val="1"/>
                <w:numId w:val="2"/>
              </w:numPr>
              <w:spacing w:after="0"/>
              <w:ind w:left="567"/>
              <w:jc w:val="both"/>
              <w:rPr>
                <w:rFonts w:ascii="Times New Roman" w:hAnsi="Times New Roman" w:cs="Times New Roman"/>
                <w:sz w:val="24"/>
                <w:szCs w:val="24"/>
              </w:rPr>
            </w:pPr>
            <w:r w:rsidRPr="000413D4">
              <w:rPr>
                <w:rFonts w:ascii="Times New Roman" w:hAnsi="Times New Roman" w:cs="Times New Roman"/>
                <w:sz w:val="24"/>
                <w:szCs w:val="24"/>
              </w:rPr>
              <w:t xml:space="preserve">samaksa organizatoram tiek palielināta no 2 846 </w:t>
            </w:r>
            <w:proofErr w:type="spellStart"/>
            <w:r w:rsidRPr="000413D4">
              <w:rPr>
                <w:rFonts w:ascii="Times New Roman" w:hAnsi="Times New Roman" w:cs="Times New Roman"/>
                <w:sz w:val="24"/>
                <w:szCs w:val="24"/>
              </w:rPr>
              <w:t>euro</w:t>
            </w:r>
            <w:proofErr w:type="spellEnd"/>
            <w:r w:rsidRPr="000413D4">
              <w:rPr>
                <w:rFonts w:ascii="Times New Roman" w:hAnsi="Times New Roman" w:cs="Times New Roman"/>
                <w:sz w:val="24"/>
                <w:szCs w:val="24"/>
              </w:rPr>
              <w:t xml:space="preserve"> līdz 3 500 </w:t>
            </w:r>
            <w:proofErr w:type="spellStart"/>
            <w:r w:rsidRPr="000413D4">
              <w:rPr>
                <w:rFonts w:ascii="Times New Roman" w:hAnsi="Times New Roman" w:cs="Times New Roman"/>
                <w:sz w:val="24"/>
                <w:szCs w:val="24"/>
              </w:rPr>
              <w:t>euro</w:t>
            </w:r>
            <w:proofErr w:type="spellEnd"/>
            <w:r w:rsidRPr="000413D4">
              <w:rPr>
                <w:rFonts w:ascii="Times New Roman" w:hAnsi="Times New Roman" w:cs="Times New Roman"/>
                <w:sz w:val="24"/>
                <w:szCs w:val="24"/>
              </w:rPr>
              <w:t xml:space="preserve"> ES un NVS un 5 000 </w:t>
            </w:r>
            <w:proofErr w:type="spellStart"/>
            <w:r w:rsidRPr="000413D4">
              <w:rPr>
                <w:rFonts w:ascii="Times New Roman" w:hAnsi="Times New Roman" w:cs="Times New Roman"/>
                <w:sz w:val="24"/>
                <w:szCs w:val="24"/>
              </w:rPr>
              <w:t>euro</w:t>
            </w:r>
            <w:proofErr w:type="spellEnd"/>
            <w:r w:rsidRPr="000413D4">
              <w:rPr>
                <w:rFonts w:ascii="Times New Roman" w:hAnsi="Times New Roman" w:cs="Times New Roman"/>
                <w:sz w:val="24"/>
                <w:szCs w:val="24"/>
              </w:rPr>
              <w:t xml:space="preserve"> pārējās valstīs; </w:t>
            </w:r>
          </w:p>
          <w:p w:rsidR="00810A68" w:rsidRPr="000413D4" w:rsidRDefault="00347276" w:rsidP="00575291">
            <w:pPr>
              <w:pStyle w:val="ListParagraph"/>
              <w:numPr>
                <w:ilvl w:val="1"/>
                <w:numId w:val="2"/>
              </w:numPr>
              <w:spacing w:after="0"/>
              <w:ind w:left="567"/>
              <w:jc w:val="both"/>
              <w:rPr>
                <w:rFonts w:ascii="Times New Roman" w:hAnsi="Times New Roman" w:cs="Times New Roman"/>
                <w:sz w:val="24"/>
                <w:szCs w:val="24"/>
              </w:rPr>
            </w:pPr>
            <w:r w:rsidRPr="000413D4">
              <w:rPr>
                <w:rFonts w:ascii="Times New Roman" w:hAnsi="Times New Roman" w:cs="Times New Roman"/>
                <w:sz w:val="24"/>
                <w:szCs w:val="24"/>
              </w:rPr>
              <w:t>m</w:t>
            </w:r>
            <w:r w:rsidR="00810A68" w:rsidRPr="000413D4">
              <w:rPr>
                <w:rFonts w:ascii="Times New Roman" w:hAnsi="Times New Roman" w:cs="Times New Roman"/>
                <w:sz w:val="24"/>
                <w:szCs w:val="24"/>
              </w:rPr>
              <w:t>aksimālais dalībnieku skaits tiek palielināts no 3 uz 5;</w:t>
            </w:r>
          </w:p>
          <w:p w:rsidR="00347276" w:rsidRPr="000413D4" w:rsidRDefault="00347276" w:rsidP="00575291">
            <w:pPr>
              <w:pStyle w:val="ListParagraph"/>
              <w:numPr>
                <w:ilvl w:val="1"/>
                <w:numId w:val="2"/>
              </w:numPr>
              <w:spacing w:after="0"/>
              <w:ind w:left="567"/>
              <w:jc w:val="both"/>
              <w:rPr>
                <w:rFonts w:ascii="Times New Roman" w:hAnsi="Times New Roman" w:cs="Times New Roman"/>
                <w:sz w:val="24"/>
                <w:szCs w:val="24"/>
              </w:rPr>
            </w:pPr>
            <w:r w:rsidRPr="000413D4">
              <w:rPr>
                <w:rFonts w:ascii="Times New Roman" w:hAnsi="Times New Roman" w:cs="Times New Roman"/>
                <w:sz w:val="24"/>
                <w:szCs w:val="24"/>
              </w:rPr>
              <w:t xml:space="preserve">tiek atļauts iegādāties pakalpojumus no ekonomiski pamatota starpnieka, ja netiek segta starpnieka komisija; </w:t>
            </w:r>
          </w:p>
          <w:p w:rsidR="00810A68" w:rsidRPr="000413D4" w:rsidRDefault="00347276" w:rsidP="00716278">
            <w:pPr>
              <w:pStyle w:val="ListParagraph"/>
              <w:numPr>
                <w:ilvl w:val="1"/>
                <w:numId w:val="2"/>
              </w:numPr>
              <w:spacing w:after="0"/>
              <w:ind w:left="567"/>
              <w:jc w:val="both"/>
              <w:rPr>
                <w:rFonts w:ascii="Times New Roman" w:hAnsi="Times New Roman" w:cs="Times New Roman"/>
                <w:sz w:val="24"/>
                <w:szCs w:val="24"/>
              </w:rPr>
            </w:pPr>
            <w:r w:rsidRPr="000413D4">
              <w:rPr>
                <w:rFonts w:ascii="Times New Roman" w:hAnsi="Times New Roman" w:cs="Times New Roman"/>
                <w:sz w:val="24"/>
                <w:szCs w:val="24"/>
              </w:rPr>
              <w:t>t</w:t>
            </w:r>
            <w:r w:rsidR="00810A68" w:rsidRPr="000413D4">
              <w:rPr>
                <w:rFonts w:ascii="Times New Roman" w:hAnsi="Times New Roman" w:cs="Times New Roman"/>
                <w:sz w:val="24"/>
                <w:szCs w:val="24"/>
              </w:rPr>
              <w:t xml:space="preserve">iek segtas </w:t>
            </w:r>
            <w:r w:rsidR="008A1CEB" w:rsidRPr="000413D4">
              <w:rPr>
                <w:rFonts w:ascii="Times New Roman" w:hAnsi="Times New Roman" w:cs="Times New Roman"/>
                <w:sz w:val="24"/>
                <w:szCs w:val="24"/>
              </w:rPr>
              <w:t>transporta nomas, bagāžas transportēšanas, darbinieku komandējuma apdrošināšanas, vīzu, tulku izmaksas.</w:t>
            </w:r>
          </w:p>
          <w:p w:rsidR="00923D20" w:rsidRPr="000413D4" w:rsidRDefault="00575291" w:rsidP="00923D20">
            <w:pPr>
              <w:spacing w:after="0"/>
              <w:jc w:val="both"/>
              <w:rPr>
                <w:rFonts w:ascii="Times New Roman" w:hAnsi="Times New Roman" w:cs="Times New Roman"/>
                <w:sz w:val="24"/>
                <w:szCs w:val="24"/>
              </w:rPr>
            </w:pPr>
            <w:r w:rsidRPr="000413D4">
              <w:rPr>
                <w:rFonts w:ascii="Times New Roman" w:hAnsi="Times New Roman" w:cs="Times New Roman"/>
                <w:sz w:val="24"/>
                <w:szCs w:val="24"/>
              </w:rPr>
              <w:tab/>
              <w:t xml:space="preserve">Iepriekš 6.punktā minētie grozījumi ir nepieciešami, lai veidotu mērķtiecīgu un efektīvāku Latvijas komersantu ieiešanu jaunos ārējos tirgos. Šobrīd Latvijas Investīciju un attīstības aģentūra (turpmāk – LIAA) sadarbībā ar Ekonomikas ministrijas sociālajiem partneriem veic ekonomiski pamatotu ārvalstu tirgus izpēti uz kuriem ir nepieciešams fokusēties Latvijas komersantiem. Attiecīgi nākotnē darbības programmas „Uzņēmējdarbība un </w:t>
            </w:r>
            <w:r w:rsidRPr="000413D4">
              <w:rPr>
                <w:rFonts w:ascii="Times New Roman" w:hAnsi="Times New Roman" w:cs="Times New Roman"/>
                <w:sz w:val="24"/>
                <w:szCs w:val="24"/>
              </w:rPr>
              <w:lastRenderedPageBreak/>
              <w:t>inovācijas” papildinājuma 2.3.1.1.2.apakšaktivitātes „Ārējo tirgu apgūšana – nozaru starptautiskās konkurētspējas stiprināšana” ietvaros tiks organizētas apjomīgāki Latvijas nacionālie stendi. Līdz ar to saskaņā ar sociālo partneru norādīto informāciju ir nepieciešams palielināt dalībnieku skait</w:t>
            </w:r>
            <w:r w:rsidR="00923D20" w:rsidRPr="000413D4">
              <w:rPr>
                <w:rFonts w:ascii="Times New Roman" w:hAnsi="Times New Roman" w:cs="Times New Roman"/>
                <w:sz w:val="24"/>
                <w:szCs w:val="24"/>
              </w:rPr>
              <w:t>u no trim uz pieciem</w:t>
            </w:r>
            <w:r w:rsidRPr="000413D4">
              <w:rPr>
                <w:rFonts w:ascii="Times New Roman" w:hAnsi="Times New Roman" w:cs="Times New Roman"/>
                <w:sz w:val="24"/>
                <w:szCs w:val="24"/>
              </w:rPr>
              <w:t xml:space="preserve">, kuri var piedalīties nacionālos stendos, lai </w:t>
            </w:r>
            <w:r w:rsidR="00923D20" w:rsidRPr="000413D4">
              <w:rPr>
                <w:rFonts w:ascii="Times New Roman" w:hAnsi="Times New Roman" w:cs="Times New Roman"/>
                <w:sz w:val="24"/>
                <w:szCs w:val="24"/>
              </w:rPr>
              <w:t>piesaistītu un ieinteresētu</w:t>
            </w:r>
            <w:r w:rsidRPr="000413D4">
              <w:rPr>
                <w:rFonts w:ascii="Times New Roman" w:hAnsi="Times New Roman" w:cs="Times New Roman"/>
                <w:sz w:val="24"/>
                <w:szCs w:val="24"/>
              </w:rPr>
              <w:t xml:space="preserve"> lielāku </w:t>
            </w:r>
            <w:r w:rsidR="00923D20" w:rsidRPr="000413D4">
              <w:rPr>
                <w:rFonts w:ascii="Times New Roman" w:hAnsi="Times New Roman" w:cs="Times New Roman"/>
                <w:sz w:val="24"/>
                <w:szCs w:val="24"/>
              </w:rPr>
              <w:t xml:space="preserve">potenciālo klientu apjomu. </w:t>
            </w:r>
            <w:r w:rsidR="008035F8" w:rsidRPr="000413D4">
              <w:rPr>
                <w:rFonts w:ascii="Times New Roman" w:hAnsi="Times New Roman" w:cs="Times New Roman"/>
                <w:sz w:val="24"/>
                <w:szCs w:val="24"/>
              </w:rPr>
              <w:t xml:space="preserve">Papildus tam ir nepieciešams atbalsts arī vīzu izmaksām un ceļojuma apdrošināšanai. </w:t>
            </w:r>
            <w:r w:rsidR="00923D20" w:rsidRPr="000413D4">
              <w:rPr>
                <w:rFonts w:ascii="Times New Roman" w:hAnsi="Times New Roman" w:cs="Times New Roman"/>
                <w:sz w:val="24"/>
                <w:szCs w:val="24"/>
              </w:rPr>
              <w:t xml:space="preserve">Kā arī attiecināmās izmaksas ir nepieciešams paplašināt, lai pēc iespējas lētāk nonāktu līdz starptautiskajām izstādēm, </w:t>
            </w:r>
            <w:proofErr w:type="spellStart"/>
            <w:r w:rsidR="00923D20" w:rsidRPr="000413D4">
              <w:rPr>
                <w:rFonts w:ascii="Times New Roman" w:hAnsi="Times New Roman" w:cs="Times New Roman"/>
                <w:sz w:val="24"/>
                <w:szCs w:val="24"/>
              </w:rPr>
              <w:t>kontaktbirž</w:t>
            </w:r>
            <w:r w:rsidR="002837AD" w:rsidRPr="000413D4">
              <w:rPr>
                <w:rFonts w:ascii="Times New Roman" w:hAnsi="Times New Roman" w:cs="Times New Roman"/>
                <w:sz w:val="24"/>
                <w:szCs w:val="24"/>
              </w:rPr>
              <w:t>ām</w:t>
            </w:r>
            <w:proofErr w:type="spellEnd"/>
            <w:r w:rsidR="002837AD" w:rsidRPr="000413D4">
              <w:rPr>
                <w:rFonts w:ascii="Times New Roman" w:hAnsi="Times New Roman" w:cs="Times New Roman"/>
                <w:sz w:val="24"/>
                <w:szCs w:val="24"/>
              </w:rPr>
              <w:t xml:space="preserve">, </w:t>
            </w:r>
            <w:r w:rsidR="00923D20" w:rsidRPr="000413D4">
              <w:rPr>
                <w:rFonts w:ascii="Times New Roman" w:hAnsi="Times New Roman" w:cs="Times New Roman"/>
                <w:sz w:val="24"/>
                <w:szCs w:val="24"/>
              </w:rPr>
              <w:t>konferencēm</w:t>
            </w:r>
            <w:r w:rsidR="002837AD" w:rsidRPr="000413D4">
              <w:rPr>
                <w:rFonts w:ascii="Times New Roman" w:hAnsi="Times New Roman" w:cs="Times New Roman"/>
                <w:sz w:val="24"/>
                <w:szCs w:val="24"/>
              </w:rPr>
              <w:t xml:space="preserve"> un individuālo vizīšu norises vietai.</w:t>
            </w:r>
            <w:r w:rsidR="00923D20" w:rsidRPr="000413D4">
              <w:rPr>
                <w:rFonts w:ascii="Times New Roman" w:hAnsi="Times New Roman" w:cs="Times New Roman"/>
                <w:sz w:val="24"/>
                <w:szCs w:val="24"/>
              </w:rPr>
              <w:t xml:space="preserve"> </w:t>
            </w:r>
            <w:r w:rsidR="008035F8" w:rsidRPr="000413D4">
              <w:rPr>
                <w:rFonts w:ascii="Times New Roman" w:hAnsi="Times New Roman" w:cs="Times New Roman"/>
                <w:sz w:val="24"/>
                <w:szCs w:val="24"/>
              </w:rPr>
              <w:t>Iztulkotu</w:t>
            </w:r>
            <w:r w:rsidR="00923D20" w:rsidRPr="000413D4">
              <w:rPr>
                <w:rFonts w:ascii="Times New Roman" w:hAnsi="Times New Roman" w:cs="Times New Roman"/>
                <w:sz w:val="24"/>
                <w:szCs w:val="24"/>
              </w:rPr>
              <w:t xml:space="preserve"> un nogādātu līdz </w:t>
            </w:r>
            <w:r w:rsidR="002837AD" w:rsidRPr="000413D4">
              <w:rPr>
                <w:rFonts w:ascii="Times New Roman" w:eastAsia="Times New Roman" w:hAnsi="Times New Roman" w:cs="Times New Roman"/>
                <w:sz w:val="24"/>
                <w:szCs w:val="24"/>
              </w:rPr>
              <w:t xml:space="preserve">izstādes, tirdzniecības misijas, </w:t>
            </w:r>
            <w:proofErr w:type="spellStart"/>
            <w:r w:rsidR="002837AD" w:rsidRPr="000413D4">
              <w:rPr>
                <w:rFonts w:ascii="Times New Roman" w:eastAsia="Times New Roman" w:hAnsi="Times New Roman" w:cs="Times New Roman"/>
                <w:sz w:val="24"/>
                <w:szCs w:val="24"/>
              </w:rPr>
              <w:t>kontaktbiržas</w:t>
            </w:r>
            <w:proofErr w:type="spellEnd"/>
            <w:r w:rsidR="002837AD" w:rsidRPr="000413D4">
              <w:rPr>
                <w:rFonts w:ascii="Times New Roman" w:eastAsia="Times New Roman" w:hAnsi="Times New Roman" w:cs="Times New Roman"/>
                <w:sz w:val="24"/>
                <w:szCs w:val="24"/>
              </w:rPr>
              <w:t>, konferences vai individuālās vizītes norises vietai mārketinga materiālus, eksponātus un ar to saistītās lietas, tādejādi efektīvāk noprezentējot Latvijā ražotās produkcijas un sniegtos pakalpojumus.</w:t>
            </w:r>
            <w:r w:rsidR="00923D20" w:rsidRPr="000413D4">
              <w:rPr>
                <w:rFonts w:ascii="Times New Roman" w:hAnsi="Times New Roman" w:cs="Times New Roman"/>
                <w:sz w:val="24"/>
                <w:szCs w:val="24"/>
              </w:rPr>
              <w:t xml:space="preserve">  </w:t>
            </w:r>
          </w:p>
          <w:p w:rsidR="00923D20" w:rsidRPr="000413D4" w:rsidRDefault="00923D20" w:rsidP="00923D20">
            <w:pPr>
              <w:spacing w:after="0"/>
              <w:jc w:val="both"/>
              <w:rPr>
                <w:rFonts w:ascii="Times New Roman" w:hAnsi="Times New Roman" w:cs="Times New Roman"/>
                <w:sz w:val="24"/>
                <w:szCs w:val="24"/>
              </w:rPr>
            </w:pPr>
            <w:r w:rsidRPr="000413D4">
              <w:rPr>
                <w:rFonts w:ascii="Times New Roman" w:hAnsi="Times New Roman" w:cs="Times New Roman"/>
                <w:sz w:val="24"/>
                <w:szCs w:val="24"/>
              </w:rPr>
              <w:t xml:space="preserve">Samaksa organizatoram tiek palielināta no 2 846 </w:t>
            </w:r>
            <w:proofErr w:type="spellStart"/>
            <w:r w:rsidRPr="000413D4">
              <w:rPr>
                <w:rFonts w:ascii="Times New Roman" w:hAnsi="Times New Roman" w:cs="Times New Roman"/>
                <w:sz w:val="24"/>
                <w:szCs w:val="24"/>
              </w:rPr>
              <w:t>euro</w:t>
            </w:r>
            <w:proofErr w:type="spellEnd"/>
            <w:r w:rsidRPr="000413D4">
              <w:rPr>
                <w:rFonts w:ascii="Times New Roman" w:hAnsi="Times New Roman" w:cs="Times New Roman"/>
                <w:sz w:val="24"/>
                <w:szCs w:val="24"/>
              </w:rPr>
              <w:t xml:space="preserve"> līdz 3 500 </w:t>
            </w:r>
            <w:proofErr w:type="spellStart"/>
            <w:r w:rsidRPr="000413D4">
              <w:rPr>
                <w:rFonts w:ascii="Times New Roman" w:hAnsi="Times New Roman" w:cs="Times New Roman"/>
                <w:sz w:val="24"/>
                <w:szCs w:val="24"/>
              </w:rPr>
              <w:t>euro</w:t>
            </w:r>
            <w:proofErr w:type="spellEnd"/>
            <w:r w:rsidRPr="000413D4">
              <w:rPr>
                <w:rFonts w:ascii="Times New Roman" w:hAnsi="Times New Roman" w:cs="Times New Roman"/>
                <w:sz w:val="24"/>
                <w:szCs w:val="24"/>
              </w:rPr>
              <w:t xml:space="preserve"> ES un NVS un 5 000 </w:t>
            </w:r>
            <w:proofErr w:type="spellStart"/>
            <w:r w:rsidRPr="000413D4">
              <w:rPr>
                <w:rFonts w:ascii="Times New Roman" w:hAnsi="Times New Roman" w:cs="Times New Roman"/>
                <w:sz w:val="24"/>
                <w:szCs w:val="24"/>
              </w:rPr>
              <w:t>euro</w:t>
            </w:r>
            <w:proofErr w:type="spellEnd"/>
            <w:r w:rsidRPr="000413D4">
              <w:rPr>
                <w:rFonts w:ascii="Times New Roman" w:hAnsi="Times New Roman" w:cs="Times New Roman"/>
                <w:sz w:val="24"/>
                <w:szCs w:val="24"/>
              </w:rPr>
              <w:t xml:space="preserve"> pārējās valstīs, jo saskaņā ar sociālo partneru veiktajiem ekonomiski pamatotajiem aprēķiniem, tad izmaksas par dalību ārējā marketinga aktivitātēs ir būtiski pieaugušas, kuras vairs nevar nosegt no 2.3.1.1.1.apakšaktivitātes „Ārējo tirgu apgūšana – ārējais mārketings”. </w:t>
            </w:r>
          </w:p>
          <w:p w:rsidR="00716278" w:rsidRPr="000413D4" w:rsidRDefault="00716278" w:rsidP="00716278">
            <w:pPr>
              <w:pStyle w:val="ListParagraph"/>
              <w:numPr>
                <w:ilvl w:val="0"/>
                <w:numId w:val="1"/>
              </w:numPr>
              <w:spacing w:after="0"/>
              <w:ind w:left="0" w:firstLine="360"/>
              <w:jc w:val="both"/>
              <w:rPr>
                <w:rFonts w:ascii="Times New Roman" w:hAnsi="Times New Roman" w:cs="Times New Roman"/>
                <w:sz w:val="24"/>
                <w:szCs w:val="24"/>
              </w:rPr>
            </w:pPr>
            <w:r w:rsidRPr="000413D4">
              <w:rPr>
                <w:rFonts w:ascii="Times New Roman" w:eastAsia="Times New Roman" w:hAnsi="Times New Roman"/>
                <w:sz w:val="24"/>
                <w:szCs w:val="24"/>
                <w:lang w:eastAsia="lv-LV"/>
              </w:rPr>
              <w:t xml:space="preserve">ņemot vērā, ka MK noteikumu Nr.582 ietvaros tiek papildinātas ar jaunām atbalstāmajām darbībām un attiecināmajām izmaksām, līdz ar to tiek paaugstināta maksimāli pieejamais finansējums vienas projektu iesniegumu atlases kārtas ietvaros no 711 436 </w:t>
            </w:r>
            <w:proofErr w:type="spellStart"/>
            <w:r w:rsidRPr="000413D4">
              <w:rPr>
                <w:rFonts w:ascii="Times New Roman" w:eastAsia="Times New Roman" w:hAnsi="Times New Roman"/>
                <w:i/>
                <w:sz w:val="24"/>
                <w:szCs w:val="24"/>
                <w:lang w:eastAsia="lv-LV"/>
              </w:rPr>
              <w:t>euro</w:t>
            </w:r>
            <w:proofErr w:type="spellEnd"/>
            <w:r w:rsidRPr="000413D4">
              <w:rPr>
                <w:rFonts w:ascii="Times New Roman" w:eastAsia="Times New Roman" w:hAnsi="Times New Roman"/>
                <w:i/>
                <w:sz w:val="24"/>
                <w:szCs w:val="24"/>
                <w:lang w:eastAsia="lv-LV"/>
              </w:rPr>
              <w:t xml:space="preserve"> </w:t>
            </w:r>
            <w:r w:rsidRPr="000413D4">
              <w:rPr>
                <w:rFonts w:ascii="Times New Roman" w:eastAsia="Times New Roman" w:hAnsi="Times New Roman"/>
                <w:sz w:val="24"/>
                <w:szCs w:val="24"/>
                <w:lang w:eastAsia="lv-LV"/>
              </w:rPr>
              <w:t xml:space="preserve">uz 1 000 000 </w:t>
            </w:r>
            <w:proofErr w:type="spellStart"/>
            <w:r w:rsidRPr="000413D4">
              <w:rPr>
                <w:rFonts w:ascii="Times New Roman" w:eastAsia="Times New Roman" w:hAnsi="Times New Roman"/>
                <w:i/>
                <w:sz w:val="24"/>
                <w:szCs w:val="24"/>
                <w:lang w:eastAsia="lv-LV"/>
              </w:rPr>
              <w:t>euro</w:t>
            </w:r>
            <w:proofErr w:type="spellEnd"/>
            <w:r w:rsidRPr="000413D4">
              <w:rPr>
                <w:rFonts w:ascii="Times New Roman" w:eastAsia="Times New Roman" w:hAnsi="Times New Roman"/>
                <w:sz w:val="24"/>
                <w:szCs w:val="24"/>
                <w:lang w:eastAsia="lv-LV"/>
              </w:rPr>
              <w:t xml:space="preserve">. Tādejādi arī tiek nodrošināts, ka netiek noraidīti projekti vienas projektu iesniegumu atlases kārtas ietvaros finansējuma nepietiekamības dēļ. </w:t>
            </w:r>
          </w:p>
        </w:tc>
      </w:tr>
      <w:tr w:rsidR="00810A68" w:rsidRPr="000413D4" w:rsidTr="00E152A9">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spacing w:after="0" w:line="240" w:lineRule="auto"/>
              <w:rPr>
                <w:rFonts w:ascii="Times New Roman" w:eastAsia="Times New Roman" w:hAnsi="Times New Roman" w:cs="Times New Roman"/>
                <w:sz w:val="24"/>
                <w:szCs w:val="24"/>
                <w:lang w:eastAsia="lv-LV"/>
              </w:rPr>
            </w:pPr>
            <w:r w:rsidRPr="000413D4">
              <w:rPr>
                <w:rFonts w:ascii="Times New Roman" w:eastAsia="Times New Roman" w:hAnsi="Times New Roman" w:cs="Times New Roman"/>
                <w:sz w:val="24"/>
                <w:szCs w:val="24"/>
                <w:lang w:eastAsia="lv-LV"/>
              </w:rPr>
              <w:lastRenderedPageBreak/>
              <w:t>3. Projekta izstrādē iesaistītās institūcijas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spacing w:after="0" w:line="240" w:lineRule="auto"/>
              <w:jc w:val="both"/>
              <w:rPr>
                <w:rFonts w:ascii="Times New Roman" w:eastAsia="Calibri" w:hAnsi="Times New Roman" w:cs="Times New Roman"/>
                <w:color w:val="000000"/>
                <w:sz w:val="24"/>
                <w:szCs w:val="24"/>
              </w:rPr>
            </w:pPr>
            <w:r w:rsidRPr="000413D4">
              <w:rPr>
                <w:rFonts w:ascii="Times New Roman" w:eastAsia="Calibri" w:hAnsi="Times New Roman" w:cs="Times New Roman"/>
                <w:color w:val="000000"/>
                <w:sz w:val="24"/>
                <w:szCs w:val="24"/>
              </w:rPr>
              <w:t>Ekonomikas ministrija</w:t>
            </w:r>
          </w:p>
        </w:tc>
      </w:tr>
      <w:tr w:rsidR="00810A68" w:rsidRPr="000413D4" w:rsidTr="005C279F">
        <w:trPr>
          <w:trHeight w:val="323"/>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spacing w:after="0" w:line="240" w:lineRule="auto"/>
              <w:rPr>
                <w:rFonts w:ascii="Times New Roman" w:eastAsia="Times New Roman" w:hAnsi="Times New Roman" w:cs="Times New Roman"/>
                <w:sz w:val="24"/>
                <w:szCs w:val="24"/>
                <w:lang w:eastAsia="lv-LV"/>
              </w:rPr>
            </w:pPr>
            <w:r w:rsidRPr="000413D4">
              <w:rPr>
                <w:rFonts w:ascii="Times New Roman" w:eastAsia="Times New Roman" w:hAnsi="Times New Roman" w:cs="Times New Roman"/>
                <w:sz w:val="24"/>
                <w:szCs w:val="24"/>
                <w:lang w:eastAsia="lv-LV"/>
              </w:rPr>
              <w:t> 4. Cita informācija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0413D4" w:rsidRDefault="00810A68" w:rsidP="00E152A9">
            <w:pPr>
              <w:pStyle w:val="ListParagraph"/>
              <w:tabs>
                <w:tab w:val="left" w:pos="199"/>
              </w:tabs>
              <w:spacing w:after="0" w:line="240" w:lineRule="auto"/>
              <w:ind w:left="0"/>
              <w:jc w:val="both"/>
              <w:rPr>
                <w:rFonts w:ascii="Times New Roman" w:hAnsi="Times New Roman" w:cs="Times New Roman"/>
                <w:sz w:val="24"/>
                <w:szCs w:val="24"/>
              </w:rPr>
            </w:pPr>
            <w:r w:rsidRPr="000413D4">
              <w:rPr>
                <w:rFonts w:ascii="Times New Roman" w:hAnsi="Times New Roman" w:cs="Times New Roman"/>
                <w:sz w:val="24"/>
                <w:szCs w:val="24"/>
              </w:rPr>
              <w:t>Nav</w:t>
            </w:r>
          </w:p>
        </w:tc>
      </w:tr>
    </w:tbl>
    <w:p w:rsidR="00810A68" w:rsidRPr="00FE5670" w:rsidRDefault="00810A68"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3119"/>
        <w:gridCol w:w="4698"/>
      </w:tblGrid>
      <w:tr w:rsidR="00810A68" w:rsidRPr="00FE5670"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FE5670" w:rsidRDefault="00810A68" w:rsidP="00E152A9">
            <w:pPr>
              <w:spacing w:after="0" w:line="240" w:lineRule="auto"/>
              <w:jc w:val="center"/>
              <w:rPr>
                <w:rFonts w:ascii="Times New Roman" w:eastAsia="Times New Roman" w:hAnsi="Times New Roman" w:cs="Times New Roman"/>
                <w:b/>
                <w:bCs/>
                <w:sz w:val="25"/>
                <w:szCs w:val="25"/>
                <w:lang w:eastAsia="lv-LV"/>
              </w:rPr>
            </w:pPr>
            <w:r w:rsidRPr="00FE5670">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FE5670" w:rsidTr="00D3405E">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1.</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 xml:space="preserve">Sabiedrības </w:t>
            </w:r>
            <w:proofErr w:type="spellStart"/>
            <w:r w:rsidRPr="00FE5670">
              <w:rPr>
                <w:rFonts w:ascii="Times New Roman" w:eastAsia="Times New Roman" w:hAnsi="Times New Roman" w:cs="Times New Roman"/>
                <w:sz w:val="25"/>
                <w:szCs w:val="25"/>
                <w:lang w:eastAsia="lv-LV"/>
              </w:rPr>
              <w:t>mērķgrupas</w:t>
            </w:r>
            <w:proofErr w:type="spellEnd"/>
            <w:r w:rsidRPr="00FE5670">
              <w:rPr>
                <w:rFonts w:ascii="Times New Roman" w:eastAsia="Times New Roman" w:hAnsi="Times New Roman" w:cs="Times New Roman"/>
                <w:sz w:val="25"/>
                <w:szCs w:val="25"/>
                <w:lang w:eastAsia="lv-LV"/>
              </w:rPr>
              <w:t>, kuras tiesiskais regulējums ietekmē vai varētu ietekmēt</w:t>
            </w:r>
          </w:p>
        </w:tc>
        <w:tc>
          <w:tcPr>
            <w:tcW w:w="469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5C279F">
            <w:pPr>
              <w:spacing w:before="75" w:after="75" w:line="240" w:lineRule="auto"/>
              <w:ind w:firstLine="450"/>
              <w:jc w:val="both"/>
              <w:rPr>
                <w:rFonts w:ascii="Times New Roman" w:eastAsia="Times New Roman" w:hAnsi="Times New Roman" w:cs="Times New Roman"/>
                <w:iCs/>
                <w:sz w:val="25"/>
                <w:szCs w:val="25"/>
                <w:lang w:eastAsia="lv-LV"/>
              </w:rPr>
            </w:pPr>
            <w:r w:rsidRPr="00FE5670">
              <w:rPr>
                <w:rFonts w:ascii="Times New Roman" w:eastAsia="Times New Roman" w:hAnsi="Times New Roman" w:cs="Times New Roman"/>
                <w:iCs/>
                <w:sz w:val="25"/>
                <w:szCs w:val="25"/>
                <w:lang w:eastAsia="lv-LV"/>
              </w:rPr>
              <w:t xml:space="preserve">Komersanti, biedrības, nodibinājumi, kooperatīvās sabiedrības, ostu pārvaldes un </w:t>
            </w:r>
            <w:r w:rsidR="005C279F" w:rsidRPr="00FE5670">
              <w:rPr>
                <w:rFonts w:ascii="Times New Roman" w:hAnsi="Times New Roman" w:cs="Times New Roman"/>
                <w:sz w:val="24"/>
                <w:szCs w:val="24"/>
              </w:rPr>
              <w:t xml:space="preserve"> publisko personu vai tās iestāžu (tai skaitā atvasināto publisko personu, kas darbojas </w:t>
            </w:r>
            <w:r w:rsidR="005C279F" w:rsidRPr="00FE5670">
              <w:rPr>
                <w:rFonts w:ascii="Times New Roman" w:hAnsi="Times New Roman" w:cs="Times New Roman"/>
                <w:sz w:val="24"/>
                <w:szCs w:val="24"/>
              </w:rPr>
              <w:lastRenderedPageBreak/>
              <w:t>NACE 2.red. M sadaļas „Profesionālie, zinātniskie un tehniskie pakalpojumi” 72.nodaļā „Zinātniskās pētniecības darbs” un  P sadaļas „Izglītība” 85.4.nodaļā „Augstākā izglītība”)</w:t>
            </w:r>
            <w:r w:rsidRPr="00FE5670">
              <w:rPr>
                <w:rFonts w:ascii="Times New Roman" w:eastAsia="Times New Roman" w:hAnsi="Times New Roman" w:cs="Times New Roman"/>
                <w:iCs/>
                <w:sz w:val="25"/>
                <w:szCs w:val="25"/>
                <w:lang w:eastAsia="lv-LV"/>
              </w:rPr>
              <w:t xml:space="preserve">. </w:t>
            </w:r>
          </w:p>
        </w:tc>
      </w:tr>
      <w:tr w:rsidR="00810A68" w:rsidRPr="00FE5670" w:rsidTr="00D3405E">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lastRenderedPageBreak/>
              <w:t>2.</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Tiesiskā regulējuma ietekme uz tautsaimniecību un administratīvo slogu</w:t>
            </w:r>
          </w:p>
        </w:tc>
        <w:tc>
          <w:tcPr>
            <w:tcW w:w="469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FE5670">
              <w:rPr>
                <w:rFonts w:ascii="Times New Roman" w:eastAsia="Times New Roman" w:hAnsi="Times New Roman" w:cs="Times New Roman"/>
                <w:iCs/>
                <w:sz w:val="25"/>
                <w:szCs w:val="25"/>
                <w:lang w:eastAsia="lv-LV"/>
              </w:rPr>
              <w:t>Projekts šo jomu neskar.</w:t>
            </w:r>
          </w:p>
        </w:tc>
      </w:tr>
      <w:tr w:rsidR="00810A68" w:rsidRPr="00FE5670" w:rsidTr="00D3405E">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3.</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Administratīvo izmaksu monetārs novērtējums</w:t>
            </w:r>
          </w:p>
        </w:tc>
        <w:tc>
          <w:tcPr>
            <w:tcW w:w="469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FE5670">
              <w:rPr>
                <w:rFonts w:ascii="Times New Roman" w:eastAsia="Times New Roman" w:hAnsi="Times New Roman" w:cs="Times New Roman"/>
                <w:color w:val="000000"/>
                <w:sz w:val="25"/>
                <w:szCs w:val="25"/>
                <w:lang w:eastAsia="lv-LV"/>
              </w:rPr>
              <w:t>Projekts šo jomu neskar.</w:t>
            </w:r>
          </w:p>
        </w:tc>
      </w:tr>
      <w:tr w:rsidR="00810A68" w:rsidRPr="00FE5670" w:rsidTr="00D3405E">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4.</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Cita informācija</w:t>
            </w:r>
          </w:p>
        </w:tc>
        <w:tc>
          <w:tcPr>
            <w:tcW w:w="469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FE5670">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810A68" w:rsidRPr="00FE5670" w:rsidTr="00E152A9">
        <w:tc>
          <w:tcPr>
            <w:tcW w:w="426" w:type="dxa"/>
            <w:tcBorders>
              <w:top w:val="thickThinLargeGap" w:sz="6" w:space="0" w:color="C0C0C0"/>
              <w:left w:val="thickThinLargeGap" w:sz="6" w:space="0" w:color="C0C0C0"/>
              <w:bottom w:val="thickThinLargeGap" w:sz="6" w:space="0" w:color="C0C0C0"/>
              <w:right w:val="nil"/>
            </w:tcBorders>
          </w:tcPr>
          <w:p w:rsidR="00810A68" w:rsidRPr="00FE5670" w:rsidRDefault="00810A68" w:rsidP="00E152A9">
            <w:pPr>
              <w:spacing w:after="0" w:line="240" w:lineRule="auto"/>
              <w:ind w:firstLine="720"/>
              <w:jc w:val="center"/>
              <w:rPr>
                <w:rFonts w:ascii="Times New Roman" w:eastAsia="Calibri" w:hAnsi="Times New Roman" w:cs="Times New Roman"/>
                <w:b/>
                <w:sz w:val="24"/>
                <w:szCs w:val="24"/>
                <w:lang w:eastAsia="lv-LV"/>
              </w:rPr>
            </w:pPr>
            <w:r w:rsidRPr="00FE5670">
              <w:rPr>
                <w:rFonts w:ascii="Times New Roman" w:hAnsi="Times New Roman" w:cs="Times New Roman"/>
                <w:bCs/>
                <w:sz w:val="25"/>
                <w:szCs w:val="25"/>
              </w:rPr>
              <w:t xml:space="preserve"> </w:t>
            </w:r>
            <w:r w:rsidRPr="00FE5670">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Calibri" w:hAnsi="Times New Roman" w:cs="Times New Roman"/>
                <w:b/>
                <w:sz w:val="24"/>
                <w:szCs w:val="24"/>
                <w:lang w:eastAsia="lv-LV"/>
              </w:rPr>
            </w:pPr>
            <w:r w:rsidRPr="00FE5670">
              <w:rPr>
                <w:rFonts w:ascii="Times New Roman" w:eastAsia="Calibri" w:hAnsi="Times New Roman" w:cs="Times New Roman"/>
                <w:b/>
                <w:sz w:val="24"/>
                <w:szCs w:val="24"/>
                <w:lang w:eastAsia="lv-LV"/>
              </w:rPr>
              <w:t>IV. Tiesību akta projekta ietekme uz spēkā esošo tiesību normu sistēmu</w:t>
            </w:r>
          </w:p>
        </w:tc>
      </w:tr>
      <w:tr w:rsidR="00810A68" w:rsidRPr="00FE5670"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jc w:val="both"/>
              <w:rPr>
                <w:rFonts w:ascii="Times New Roman" w:eastAsia="Calibri" w:hAnsi="Times New Roman" w:cs="Times New Roman"/>
                <w:sz w:val="24"/>
                <w:szCs w:val="24"/>
                <w:lang w:eastAsia="lv-LV"/>
              </w:rPr>
            </w:pPr>
            <w:r w:rsidRPr="00FE5670">
              <w:rPr>
                <w:rFonts w:ascii="Times New Roman" w:eastAsia="Calibri" w:hAnsi="Times New Roman" w:cs="Times New Roman"/>
                <w:sz w:val="24"/>
                <w:szCs w:val="24"/>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810A68" w:rsidRPr="00FE5670" w:rsidRDefault="00810A68" w:rsidP="00E152A9">
            <w:pPr>
              <w:spacing w:after="0" w:line="240" w:lineRule="auto"/>
              <w:jc w:val="both"/>
              <w:rPr>
                <w:rFonts w:ascii="Times New Roman" w:eastAsia="Calibri" w:hAnsi="Times New Roman" w:cs="Times New Roman"/>
                <w:sz w:val="24"/>
                <w:szCs w:val="24"/>
                <w:lang w:eastAsia="lv-LV"/>
              </w:rPr>
            </w:pPr>
            <w:r w:rsidRPr="00FE5670">
              <w:rPr>
                <w:rFonts w:ascii="Times New Roman" w:eastAsia="Calibri" w:hAnsi="Times New Roman" w:cs="Times New Roman"/>
                <w:sz w:val="24"/>
                <w:szCs w:val="24"/>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ind w:firstLine="426"/>
              <w:jc w:val="both"/>
              <w:rPr>
                <w:rFonts w:ascii="Times New Roman" w:hAnsi="Times New Roman" w:cs="Times New Roman"/>
                <w:bCs/>
                <w:sz w:val="24"/>
                <w:szCs w:val="24"/>
              </w:rPr>
            </w:pPr>
            <w:r w:rsidRPr="00FE5670">
              <w:rPr>
                <w:rFonts w:ascii="Times New Roman" w:hAnsi="Times New Roman" w:cs="Times New Roman"/>
                <w:bCs/>
                <w:sz w:val="24"/>
                <w:szCs w:val="24"/>
              </w:rPr>
              <w:t xml:space="preserve">Nepieciešams veikt grozījumus Ministru kabineta 2011. gada 5. aprīļa noteikumos Nr.272 „Noteikumi par darbības programmas „Infrastruktūra un pakalpojumi” papildinājuma 3.4.4.1.aktivitātes „Daudzdzīvokļu māju </w:t>
            </w:r>
            <w:proofErr w:type="spellStart"/>
            <w:r w:rsidRPr="00FE5670">
              <w:rPr>
                <w:rFonts w:ascii="Times New Roman" w:hAnsi="Times New Roman" w:cs="Times New Roman"/>
                <w:bCs/>
                <w:sz w:val="24"/>
                <w:szCs w:val="24"/>
              </w:rPr>
              <w:t>siltumnoturības</w:t>
            </w:r>
            <w:proofErr w:type="spellEnd"/>
            <w:r w:rsidRPr="00FE5670">
              <w:rPr>
                <w:rFonts w:ascii="Times New Roman" w:hAnsi="Times New Roman" w:cs="Times New Roman"/>
                <w:bCs/>
                <w:sz w:val="24"/>
                <w:szCs w:val="24"/>
              </w:rPr>
              <w:t xml:space="preserve"> uzlabošanas pasākumi” projektu iesniegumu atlases devīto un desmito kārtu””.</w:t>
            </w:r>
          </w:p>
          <w:p w:rsidR="00810A68" w:rsidRPr="00FE5670" w:rsidRDefault="00810A68" w:rsidP="000D6240">
            <w:pPr>
              <w:spacing w:after="0" w:line="240" w:lineRule="auto"/>
              <w:ind w:firstLine="426"/>
              <w:jc w:val="both"/>
              <w:rPr>
                <w:rFonts w:ascii="Times New Roman" w:eastAsia="Calibri" w:hAnsi="Times New Roman" w:cs="Times New Roman"/>
                <w:bCs/>
                <w:sz w:val="24"/>
                <w:szCs w:val="24"/>
              </w:rPr>
            </w:pPr>
            <w:r w:rsidRPr="00FE5670">
              <w:rPr>
                <w:rFonts w:ascii="Times New Roman" w:hAnsi="Times New Roman" w:cs="Times New Roman"/>
                <w:bCs/>
                <w:sz w:val="24"/>
                <w:szCs w:val="24"/>
              </w:rPr>
              <w:t>Nepieciešams veikt 2.3.1.1.1.apakšaktivitātes „Ārējo tirgu apgūšana – ārējais mārketings” kritēriju grozījumus Uzraudzības komitejas rakstiskajā procedūrā</w:t>
            </w:r>
            <w:r w:rsidR="000D6240">
              <w:rPr>
                <w:rFonts w:ascii="Times New Roman" w:hAnsi="Times New Roman" w:cs="Times New Roman"/>
                <w:bCs/>
                <w:sz w:val="24"/>
                <w:szCs w:val="24"/>
              </w:rPr>
              <w:t xml:space="preserve">. Kritēriju grozījumi ir apstiprināti 2014.gada 6.oktobrī </w:t>
            </w:r>
            <w:r w:rsidR="000D6240" w:rsidRPr="00ED1C83">
              <w:rPr>
                <w:rFonts w:ascii="Times New Roman" w:hAnsi="Times New Roman"/>
              </w:rPr>
              <w:t>Uzraudzības komitejas rakstiskajā procedūrā</w:t>
            </w:r>
            <w:r w:rsidRPr="00FE5670">
              <w:rPr>
                <w:rFonts w:ascii="Times New Roman" w:hAnsi="Times New Roman" w:cs="Times New Roman"/>
                <w:bCs/>
                <w:sz w:val="24"/>
                <w:szCs w:val="24"/>
              </w:rPr>
              <w:t xml:space="preserve">. </w:t>
            </w:r>
          </w:p>
        </w:tc>
      </w:tr>
      <w:tr w:rsidR="00810A68" w:rsidRPr="00FE5670"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FE5670" w:rsidRDefault="00810A68" w:rsidP="00E152A9">
            <w:pPr>
              <w:spacing w:after="0" w:line="240" w:lineRule="auto"/>
              <w:jc w:val="both"/>
              <w:rPr>
                <w:rFonts w:ascii="Times New Roman" w:eastAsia="Calibri" w:hAnsi="Times New Roman" w:cs="Times New Roman"/>
                <w:sz w:val="24"/>
                <w:szCs w:val="24"/>
                <w:lang w:eastAsia="lv-LV"/>
              </w:rPr>
            </w:pPr>
            <w:r w:rsidRPr="00FE5670">
              <w:rPr>
                <w:rFonts w:ascii="Times New Roman" w:eastAsia="Calibri" w:hAnsi="Times New Roman" w:cs="Times New Roman"/>
                <w:sz w:val="24"/>
                <w:szCs w:val="24"/>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810A68" w:rsidRPr="00FE5670" w:rsidRDefault="00810A68" w:rsidP="00E152A9">
            <w:pPr>
              <w:spacing w:after="0" w:line="240" w:lineRule="auto"/>
              <w:jc w:val="both"/>
              <w:rPr>
                <w:rFonts w:ascii="Times New Roman" w:eastAsia="Calibri" w:hAnsi="Times New Roman" w:cs="Times New Roman"/>
                <w:sz w:val="24"/>
                <w:szCs w:val="24"/>
                <w:lang w:eastAsia="lv-LV"/>
              </w:rPr>
            </w:pPr>
            <w:r w:rsidRPr="00FE5670">
              <w:rPr>
                <w:rFonts w:ascii="Times New Roman" w:eastAsia="Calibri" w:hAnsi="Times New Roman" w:cs="Times New Roman"/>
                <w:sz w:val="24"/>
                <w:szCs w:val="24"/>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FE5670" w:rsidRDefault="00810A68" w:rsidP="00E152A9">
            <w:pPr>
              <w:spacing w:after="0" w:line="240" w:lineRule="auto"/>
              <w:ind w:firstLine="426"/>
              <w:jc w:val="both"/>
              <w:rPr>
                <w:rFonts w:ascii="Times New Roman" w:eastAsia="Calibri" w:hAnsi="Times New Roman" w:cs="Times New Roman"/>
                <w:bCs/>
                <w:sz w:val="24"/>
                <w:szCs w:val="24"/>
              </w:rPr>
            </w:pPr>
            <w:r w:rsidRPr="00FE5670">
              <w:rPr>
                <w:rFonts w:ascii="Times New Roman" w:eastAsia="Times New Roman" w:hAnsi="Times New Roman" w:cs="Times New Roman"/>
                <w:iCs/>
                <w:sz w:val="24"/>
                <w:szCs w:val="24"/>
                <w:lang w:eastAsia="lv-LV"/>
              </w:rPr>
              <w:t>Finanšu ministrija</w:t>
            </w:r>
          </w:p>
        </w:tc>
      </w:tr>
      <w:tr w:rsidR="00810A68" w:rsidRPr="00FE5670"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jc w:val="both"/>
              <w:rPr>
                <w:rFonts w:ascii="Times New Roman" w:eastAsia="Calibri" w:hAnsi="Times New Roman" w:cs="Times New Roman"/>
                <w:sz w:val="24"/>
                <w:szCs w:val="24"/>
                <w:lang w:eastAsia="lv-LV"/>
              </w:rPr>
            </w:pPr>
            <w:r w:rsidRPr="00FE5670">
              <w:rPr>
                <w:rFonts w:ascii="Times New Roman" w:eastAsia="Calibri" w:hAnsi="Times New Roman" w:cs="Times New Roman"/>
                <w:sz w:val="24"/>
                <w:szCs w:val="24"/>
                <w:lang w:eastAsia="lv-LV"/>
              </w:rPr>
              <w:t>3.</w:t>
            </w:r>
          </w:p>
        </w:tc>
        <w:tc>
          <w:tcPr>
            <w:tcW w:w="1841" w:type="dxa"/>
            <w:tcBorders>
              <w:top w:val="thickThinLargeGap" w:sz="6" w:space="0" w:color="C0C0C0"/>
              <w:left w:val="nil"/>
              <w:bottom w:val="thickThinLargeGap" w:sz="6" w:space="0" w:color="C0C0C0"/>
              <w:right w:val="thickThinLargeGap" w:sz="6" w:space="0" w:color="C0C0C0"/>
            </w:tcBorders>
            <w:hideMark/>
          </w:tcPr>
          <w:p w:rsidR="00810A68" w:rsidRPr="00FE5670" w:rsidRDefault="00810A68" w:rsidP="00E152A9">
            <w:pPr>
              <w:spacing w:after="0" w:line="240" w:lineRule="auto"/>
              <w:jc w:val="both"/>
              <w:rPr>
                <w:rFonts w:ascii="Times New Roman" w:eastAsia="Calibri" w:hAnsi="Times New Roman" w:cs="Times New Roman"/>
                <w:sz w:val="24"/>
                <w:szCs w:val="24"/>
                <w:lang w:eastAsia="lv-LV"/>
              </w:rPr>
            </w:pPr>
            <w:r w:rsidRPr="00FE5670">
              <w:rPr>
                <w:rFonts w:ascii="Times New Roman" w:eastAsia="Calibri" w:hAnsi="Times New Roman" w:cs="Times New Roman"/>
                <w:sz w:val="24"/>
                <w:szCs w:val="24"/>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B910F4" w:rsidP="00A913F7">
            <w:pPr>
              <w:spacing w:after="0" w:line="240" w:lineRule="auto"/>
              <w:ind w:firstLine="425"/>
              <w:jc w:val="both"/>
              <w:rPr>
                <w:rFonts w:ascii="Times New Roman" w:hAnsi="Times New Roman" w:cs="Times New Roman"/>
                <w:sz w:val="24"/>
                <w:szCs w:val="24"/>
              </w:rPr>
            </w:pPr>
            <w:r w:rsidRPr="00FE5670">
              <w:rPr>
                <w:rFonts w:ascii="Times New Roman" w:eastAsia="Calibri" w:hAnsi="Times New Roman" w:cs="Times New Roman"/>
                <w:sz w:val="24"/>
                <w:szCs w:val="24"/>
              </w:rPr>
              <w:t>Nav</w:t>
            </w:r>
          </w:p>
        </w:tc>
      </w:tr>
    </w:tbl>
    <w:p w:rsidR="00810A68" w:rsidRDefault="00810A68" w:rsidP="00810A68">
      <w:pPr>
        <w:tabs>
          <w:tab w:val="left" w:pos="7655"/>
        </w:tabs>
        <w:spacing w:line="240" w:lineRule="auto"/>
        <w:jc w:val="both"/>
        <w:rPr>
          <w:rFonts w:ascii="Times New Roman" w:hAnsi="Times New Roman" w:cs="Times New Roman"/>
          <w:bCs/>
          <w:sz w:val="25"/>
          <w:szCs w:val="25"/>
        </w:rPr>
      </w:pP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21"/>
        <w:gridCol w:w="1132"/>
        <w:gridCol w:w="805"/>
        <w:gridCol w:w="968"/>
        <w:gridCol w:w="1218"/>
        <w:gridCol w:w="1057"/>
        <w:gridCol w:w="2813"/>
      </w:tblGrid>
      <w:tr w:rsidR="00CE79D5" w:rsidRPr="00D5213A" w:rsidTr="00302196">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center"/>
              <w:rPr>
                <w:rFonts w:ascii="Times New Roman" w:eastAsia="Times New Roman" w:hAnsi="Times New Roman" w:cs="Times New Roman"/>
                <w:b/>
                <w:bCs/>
                <w:sz w:val="24"/>
                <w:szCs w:val="24"/>
                <w:lang w:eastAsia="lv-LV"/>
              </w:rPr>
            </w:pPr>
            <w:r w:rsidRPr="00D5213A">
              <w:rPr>
                <w:rFonts w:ascii="Times New Roman" w:eastAsia="Times New Roman" w:hAnsi="Times New Roman" w:cs="Times New Roman"/>
                <w:b/>
                <w:bCs/>
                <w:sz w:val="24"/>
                <w:szCs w:val="24"/>
                <w:lang w:eastAsia="lv-LV"/>
              </w:rPr>
              <w:t>V. Tiesību akta projekta atbilstība Latvijas Republikas starptautiskajām saistībām</w:t>
            </w:r>
          </w:p>
        </w:tc>
      </w:tr>
      <w:tr w:rsidR="00CE79D5" w:rsidRPr="00D5213A" w:rsidTr="00CE79D5">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1.</w:t>
            </w:r>
          </w:p>
        </w:tc>
        <w:tc>
          <w:tcPr>
            <w:tcW w:w="1154"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Saistības pret Eiropas Savienību</w:t>
            </w:r>
          </w:p>
        </w:tc>
        <w:tc>
          <w:tcPr>
            <w:tcW w:w="3605" w:type="pct"/>
            <w:gridSpan w:val="4"/>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pStyle w:val="naiskr"/>
              <w:spacing w:before="0" w:after="0"/>
              <w:jc w:val="both"/>
              <w:rPr>
                <w:lang w:eastAsia="en-US"/>
              </w:rPr>
            </w:pPr>
            <w:r w:rsidRPr="002B3222">
              <w:t>Komisi</w:t>
            </w:r>
            <w:r>
              <w:t>jas 2014. gada 17. jūnija Regula</w:t>
            </w:r>
            <w:r w:rsidRPr="002B3222">
              <w:t xml:space="preserve"> (ES) </w:t>
            </w:r>
            <w:proofErr w:type="spellStart"/>
            <w:r w:rsidRPr="002B3222">
              <w:t>Nr</w:t>
            </w:r>
            <w:proofErr w:type="spellEnd"/>
            <w:r w:rsidRPr="002B3222">
              <w:t>. 651/2014, ar ko noteiktas atbalsta kategorijas atzīst par saderīgām ar iekšējo tirgu, piemērojot Līguma</w:t>
            </w:r>
            <w:r w:rsidRPr="002B3222">
              <w:rPr>
                <w:rStyle w:val="apple-converted-space"/>
              </w:rPr>
              <w:t> </w:t>
            </w:r>
            <w:hyperlink r:id="rId9" w:anchor="p107" w:tgtFrame="_blank" w:history="1">
              <w:r w:rsidRPr="002B3222">
                <w:rPr>
                  <w:rStyle w:val="Hyperlink"/>
                </w:rPr>
                <w:t>107.</w:t>
              </w:r>
              <w:r w:rsidRPr="002B3222">
                <w:rPr>
                  <w:rStyle w:val="apple-converted-space"/>
                </w:rPr>
                <w:t> </w:t>
              </w:r>
            </w:hyperlink>
            <w:r w:rsidRPr="002B3222">
              <w:t>un</w:t>
            </w:r>
            <w:r w:rsidRPr="002B3222">
              <w:rPr>
                <w:rStyle w:val="apple-converted-space"/>
              </w:rPr>
              <w:t> </w:t>
            </w:r>
            <w:hyperlink r:id="rId10" w:anchor="p108" w:tgtFrame="_blank" w:history="1">
              <w:r w:rsidRPr="002B3222">
                <w:rPr>
                  <w:rStyle w:val="Hyperlink"/>
                </w:rPr>
                <w:t>108. pantu</w:t>
              </w:r>
            </w:hyperlink>
            <w:r>
              <w:t xml:space="preserve"> </w:t>
            </w:r>
            <w:r w:rsidRPr="002B3222">
              <w:t xml:space="preserve">(Eiropas Savienības Oficiālais Vēstnesis, 2014. gada 26. jūnijs, </w:t>
            </w:r>
            <w:proofErr w:type="spellStart"/>
            <w:r w:rsidRPr="002B3222">
              <w:t>Nr</w:t>
            </w:r>
            <w:proofErr w:type="spellEnd"/>
            <w:r w:rsidRPr="002B3222">
              <w:t>. L 187)</w:t>
            </w:r>
            <w:r w:rsidRPr="00D5213A">
              <w:t xml:space="preserve"> (turpmāk – Komisijas regula </w:t>
            </w:r>
            <w:proofErr w:type="spellStart"/>
            <w:r w:rsidRPr="00D5213A">
              <w:t>Nr</w:t>
            </w:r>
            <w:proofErr w:type="spellEnd"/>
            <w:r w:rsidRPr="00D5213A">
              <w:t xml:space="preserve">. </w:t>
            </w:r>
            <w:r w:rsidRPr="002B3222">
              <w:t>651/2014</w:t>
            </w:r>
            <w:r w:rsidRPr="00D5213A">
              <w:t>).</w:t>
            </w:r>
          </w:p>
        </w:tc>
      </w:tr>
      <w:tr w:rsidR="00CE79D5" w:rsidRPr="00D5213A" w:rsidTr="00CE79D5">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2.</w:t>
            </w:r>
          </w:p>
        </w:tc>
        <w:tc>
          <w:tcPr>
            <w:tcW w:w="1154"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Citas starptautiskās saistības</w:t>
            </w:r>
          </w:p>
        </w:tc>
        <w:tc>
          <w:tcPr>
            <w:tcW w:w="3605" w:type="pct"/>
            <w:gridSpan w:val="4"/>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Noteikumu projekts šo jomu neskar.</w:t>
            </w:r>
          </w:p>
        </w:tc>
      </w:tr>
      <w:tr w:rsidR="00CE79D5" w:rsidRPr="00D5213A" w:rsidTr="00CE79D5">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3.</w:t>
            </w:r>
          </w:p>
        </w:tc>
        <w:tc>
          <w:tcPr>
            <w:tcW w:w="1154"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Cita informācija</w:t>
            </w:r>
          </w:p>
        </w:tc>
        <w:tc>
          <w:tcPr>
            <w:tcW w:w="3605" w:type="pct"/>
            <w:gridSpan w:val="4"/>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rPr>
                <w:rFonts w:ascii="Times New Roman" w:hAnsi="Times New Roman" w:cs="Times New Roman"/>
                <w:sz w:val="24"/>
                <w:szCs w:val="24"/>
              </w:rPr>
            </w:pPr>
            <w:r w:rsidRPr="00D5213A">
              <w:rPr>
                <w:rFonts w:ascii="Times New Roman" w:hAnsi="Times New Roman" w:cs="Times New Roman"/>
                <w:sz w:val="24"/>
                <w:szCs w:val="24"/>
              </w:rPr>
              <w:t>Nav</w:t>
            </w:r>
          </w:p>
        </w:tc>
      </w:tr>
      <w:tr w:rsidR="00CE79D5" w:rsidRPr="00D5213A" w:rsidTr="00302196">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center"/>
              <w:rPr>
                <w:rFonts w:ascii="Times New Roman" w:eastAsia="Times New Roman" w:hAnsi="Times New Roman" w:cs="Times New Roman"/>
                <w:b/>
                <w:bCs/>
                <w:sz w:val="24"/>
                <w:szCs w:val="24"/>
                <w:lang w:eastAsia="lv-LV"/>
              </w:rPr>
            </w:pPr>
            <w:r w:rsidRPr="00D5213A">
              <w:rPr>
                <w:rFonts w:ascii="Times New Roman" w:eastAsia="Times New Roman" w:hAnsi="Times New Roman" w:cs="Times New Roman"/>
                <w:sz w:val="24"/>
                <w:szCs w:val="24"/>
                <w:lang w:eastAsia="lv-LV"/>
              </w:rPr>
              <w:t> </w:t>
            </w:r>
            <w:r w:rsidRPr="00D5213A">
              <w:rPr>
                <w:rFonts w:ascii="Times New Roman" w:eastAsia="Times New Roman" w:hAnsi="Times New Roman" w:cs="Times New Roman"/>
                <w:b/>
                <w:bCs/>
                <w:sz w:val="24"/>
                <w:szCs w:val="24"/>
                <w:lang w:eastAsia="lv-LV"/>
              </w:rPr>
              <w:t>1.tabula</w:t>
            </w:r>
            <w:r w:rsidRPr="00D5213A">
              <w:rPr>
                <w:rFonts w:ascii="Times New Roman" w:eastAsia="Times New Roman" w:hAnsi="Times New Roman" w:cs="Times New Roman"/>
                <w:b/>
                <w:bCs/>
                <w:sz w:val="24"/>
                <w:szCs w:val="24"/>
                <w:lang w:eastAsia="lv-LV"/>
              </w:rPr>
              <w:br/>
              <w:t>Tiesību akta projekta atbilstība ES tiesību aktiem</w:t>
            </w:r>
          </w:p>
        </w:tc>
      </w:tr>
      <w:tr w:rsidR="00CE79D5" w:rsidRPr="00D5213A" w:rsidTr="00CE79D5">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 xml:space="preserve">Attiecīgā ES tiesību akta </w:t>
            </w:r>
            <w:r w:rsidRPr="00D5213A">
              <w:rPr>
                <w:rFonts w:ascii="Times New Roman" w:eastAsia="Times New Roman" w:hAnsi="Times New Roman" w:cs="Times New Roman"/>
                <w:sz w:val="24"/>
                <w:szCs w:val="24"/>
                <w:lang w:eastAsia="lv-LV"/>
              </w:rPr>
              <w:lastRenderedPageBreak/>
              <w:t>datums, numurs un nosaukums</w:t>
            </w:r>
          </w:p>
        </w:tc>
        <w:tc>
          <w:tcPr>
            <w:tcW w:w="4100" w:type="pct"/>
            <w:gridSpan w:val="5"/>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pStyle w:val="naiskr"/>
              <w:spacing w:before="0" w:after="0"/>
              <w:jc w:val="both"/>
              <w:rPr>
                <w:lang w:eastAsia="en-US"/>
              </w:rPr>
            </w:pPr>
            <w:r w:rsidRPr="00D5213A">
              <w:lastRenderedPageBreak/>
              <w:t xml:space="preserve">Komisijas regula </w:t>
            </w:r>
            <w:proofErr w:type="spellStart"/>
            <w:r w:rsidRPr="00D5213A">
              <w:t>Nr</w:t>
            </w:r>
            <w:proofErr w:type="spellEnd"/>
            <w:r w:rsidRPr="00D5213A">
              <w:t xml:space="preserve">. </w:t>
            </w:r>
            <w:r w:rsidRPr="002B3222">
              <w:t>651/2014</w:t>
            </w:r>
            <w:r w:rsidRPr="00D5213A">
              <w:t>.</w:t>
            </w:r>
          </w:p>
        </w:tc>
      </w:tr>
      <w:tr w:rsidR="00CE79D5" w:rsidRPr="00D5213A" w:rsidTr="00CE79D5">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lastRenderedPageBreak/>
              <w:t>A</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B</w:t>
            </w:r>
          </w:p>
        </w:tc>
        <w:tc>
          <w:tcPr>
            <w:tcW w:w="1362" w:type="pct"/>
            <w:gridSpan w:val="2"/>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w:t>
            </w:r>
          </w:p>
        </w:tc>
        <w:tc>
          <w:tcPr>
            <w:tcW w:w="1648" w:type="pct"/>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center"/>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D</w:t>
            </w:r>
          </w:p>
        </w:tc>
      </w:tr>
      <w:tr w:rsidR="00CE79D5" w:rsidRPr="00D5213A" w:rsidTr="00CE79D5">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pStyle w:val="naiskr"/>
              <w:spacing w:before="0" w:after="0"/>
              <w:jc w:val="both"/>
              <w:rPr>
                <w:lang w:eastAsia="en-US"/>
              </w:rPr>
            </w:pPr>
            <w:r w:rsidRPr="00D5213A">
              <w:rPr>
                <w:lang w:eastAsia="en-US"/>
              </w:rPr>
              <w:t xml:space="preserve">Attiecīgā ES tiesību akta panta numurs (uzskaitot katru tiesību akta </w:t>
            </w:r>
            <w:r w:rsidRPr="00D5213A">
              <w:rPr>
                <w:lang w:eastAsia="en-US"/>
              </w:rPr>
              <w:br/>
              <w:t>vienību – pantu, daļu, punktu, apakšpunktu)</w:t>
            </w:r>
          </w:p>
        </w:tc>
        <w:tc>
          <w:tcPr>
            <w:tcW w:w="1054"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pStyle w:val="naiskr"/>
              <w:spacing w:before="0" w:after="0"/>
              <w:jc w:val="both"/>
              <w:rPr>
                <w:lang w:eastAsia="en-US"/>
              </w:rPr>
            </w:pPr>
            <w:r w:rsidRPr="00D5213A">
              <w:rPr>
                <w:lang w:eastAsia="en-US"/>
              </w:rPr>
              <w:t>Projekta vienība, kas pārņem vai ievieš katru šīs tabulas A ailē minēto ES tiesību akta vienību</w:t>
            </w:r>
          </w:p>
        </w:tc>
        <w:tc>
          <w:tcPr>
            <w:tcW w:w="1362"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pStyle w:val="naiskr"/>
              <w:spacing w:before="0" w:after="0"/>
              <w:jc w:val="both"/>
              <w:rPr>
                <w:lang w:eastAsia="en-US"/>
              </w:rPr>
            </w:pPr>
            <w:r w:rsidRPr="00D5213A">
              <w:rPr>
                <w:lang w:eastAsia="en-US"/>
              </w:rPr>
              <w:t>Informācija par to, vai šīs tabulas A ailē minētās ES tiesību akta vienības tiek pārņemtas vai ieviestas pilnībā vai daļēji.</w:t>
            </w:r>
          </w:p>
          <w:p w:rsidR="00CE79D5" w:rsidRPr="00D5213A" w:rsidRDefault="00CE79D5" w:rsidP="00CE79D5">
            <w:pPr>
              <w:pStyle w:val="naiskr"/>
              <w:spacing w:before="0" w:after="0"/>
              <w:jc w:val="both"/>
              <w:rPr>
                <w:lang w:eastAsia="en-US"/>
              </w:rPr>
            </w:pPr>
            <w:r w:rsidRPr="00D5213A">
              <w:rPr>
                <w:lang w:eastAsia="en-US"/>
              </w:rPr>
              <w:t>Ja attiecīgā ES tiesību akta vienība tiek pārņemta vai ieviesta daļēji, – sniedz attiecīgu skaidrojumu, kā arī precīzi norāda, kad un kādā veidā ES tiesību akta vienība tiks pārņemta vai ieviesta pilnībā.</w:t>
            </w:r>
          </w:p>
          <w:p w:rsidR="00CE79D5" w:rsidRPr="00D5213A" w:rsidRDefault="00CE79D5" w:rsidP="00CE79D5">
            <w:pPr>
              <w:pStyle w:val="naiskr"/>
              <w:spacing w:before="0" w:after="0"/>
              <w:jc w:val="both"/>
              <w:rPr>
                <w:lang w:eastAsia="en-US"/>
              </w:rPr>
            </w:pPr>
            <w:r w:rsidRPr="00D5213A">
              <w:rPr>
                <w:lang w:eastAsia="en-US"/>
              </w:rPr>
              <w:t>Norāda institūciju, kas ir atbildīga par šo saistību izpildi pilnībā</w:t>
            </w:r>
          </w:p>
        </w:tc>
        <w:tc>
          <w:tcPr>
            <w:tcW w:w="1648" w:type="pct"/>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pStyle w:val="naiskr"/>
              <w:spacing w:before="0" w:after="0"/>
              <w:jc w:val="both"/>
              <w:rPr>
                <w:lang w:eastAsia="en-US"/>
              </w:rPr>
            </w:pPr>
            <w:r w:rsidRPr="00D5213A">
              <w:rPr>
                <w:lang w:eastAsia="en-US"/>
              </w:rPr>
              <w:t>Informācija par to, vai šīs tabulas B ailē minētās projekta vienības paredz stingrākas prasības nekā šīs tabulas A ailē minētās ES tiesību akta vienības.</w:t>
            </w:r>
          </w:p>
          <w:p w:rsidR="00CE79D5" w:rsidRPr="00D5213A" w:rsidRDefault="00CE79D5" w:rsidP="00CE79D5">
            <w:pPr>
              <w:pStyle w:val="naiskr"/>
              <w:spacing w:before="0" w:after="0"/>
              <w:jc w:val="both"/>
              <w:rPr>
                <w:lang w:eastAsia="en-US"/>
              </w:rPr>
            </w:pPr>
            <w:r w:rsidRPr="00D5213A">
              <w:rPr>
                <w:lang w:eastAsia="en-US"/>
              </w:rPr>
              <w:t>Ja projekts satur stingrākas prasības nekā attiecīgais ES tiesību akts, – norāda pamatojumu un samērīgumu.</w:t>
            </w:r>
          </w:p>
          <w:p w:rsidR="00CE79D5" w:rsidRPr="00D5213A" w:rsidRDefault="00CE79D5" w:rsidP="00CE79D5">
            <w:pPr>
              <w:pStyle w:val="naiskr"/>
              <w:spacing w:before="0" w:after="0"/>
              <w:jc w:val="both"/>
              <w:rPr>
                <w:lang w:eastAsia="en-US"/>
              </w:rPr>
            </w:pPr>
            <w:r w:rsidRPr="00D5213A">
              <w:rPr>
                <w:lang w:eastAsia="en-US"/>
              </w:rPr>
              <w:t>Norāda iespējamās alternatīvas (</w:t>
            </w:r>
            <w:proofErr w:type="spellStart"/>
            <w:r w:rsidRPr="00D5213A">
              <w:rPr>
                <w:lang w:eastAsia="en-US"/>
              </w:rPr>
              <w:t>t.sk</w:t>
            </w:r>
            <w:proofErr w:type="spellEnd"/>
            <w:r w:rsidRPr="00D5213A">
              <w:rPr>
                <w:lang w:eastAsia="en-US"/>
              </w:rPr>
              <w:t>. alternatīvas, kas neparedz tiesiskā regulējuma izstrādi) – kādos gadījumos būtu iespējams izvairīties no stingrāku prasību noteikšanas, nekā paredzēts attiecīgajos ES tiesību aktos.</w:t>
            </w:r>
          </w:p>
        </w:tc>
      </w:tr>
      <w:tr w:rsidR="00CE79D5" w:rsidRPr="00D5213A" w:rsidTr="00CE79D5">
        <w:tblPrEx>
          <w:tblBorders>
            <w:insideH w:val="none" w:sz="0" w:space="0" w:color="auto"/>
            <w:insideV w:val="none" w:sz="0" w:space="0" w:color="auto"/>
          </w:tblBorders>
        </w:tblPrEx>
        <w:trPr>
          <w:tblCellSpacing w:w="15" w:type="dxa"/>
        </w:trPr>
        <w:tc>
          <w:tcPr>
            <w:tcW w:w="846" w:type="pct"/>
            <w:gridSpan w:val="2"/>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pStyle w:val="naiskr"/>
              <w:spacing w:before="0" w:after="0"/>
              <w:jc w:val="both"/>
              <w:rPr>
                <w:i/>
                <w:lang w:eastAsia="en-US"/>
              </w:rPr>
            </w:pPr>
            <w:r>
              <w:rPr>
                <w:i/>
                <w:lang w:eastAsia="en-US"/>
              </w:rPr>
              <w:t>Komisijas Regula</w:t>
            </w:r>
            <w:r w:rsidRPr="00D5213A">
              <w:rPr>
                <w:i/>
                <w:lang w:eastAsia="en-US"/>
              </w:rPr>
              <w:t xml:space="preserve"> </w:t>
            </w:r>
            <w:proofErr w:type="spellStart"/>
            <w:r w:rsidRPr="00D5213A">
              <w:rPr>
                <w:i/>
                <w:lang w:eastAsia="en-US"/>
              </w:rPr>
              <w:t>Nr</w:t>
            </w:r>
            <w:proofErr w:type="spellEnd"/>
            <w:r w:rsidRPr="00D5213A">
              <w:rPr>
                <w:i/>
                <w:lang w:eastAsia="en-US"/>
              </w:rPr>
              <w:t>.</w:t>
            </w:r>
            <w:r w:rsidRPr="00D5213A">
              <w:t xml:space="preserve"> </w:t>
            </w:r>
            <w:r w:rsidRPr="002B3222">
              <w:t>651/2014</w:t>
            </w:r>
            <w:r>
              <w:t xml:space="preserve"> 2.panta 13.punkts</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CE79D5" w:rsidRPr="00CE79D5" w:rsidRDefault="00CE79D5" w:rsidP="00CE79D5">
            <w:pPr>
              <w:pStyle w:val="naiskr"/>
              <w:spacing w:before="0" w:after="0"/>
              <w:jc w:val="both"/>
              <w:rPr>
                <w:i/>
                <w:lang w:eastAsia="en-US"/>
              </w:rPr>
            </w:pPr>
            <w:r w:rsidRPr="00CE79D5">
              <w:rPr>
                <w:i/>
                <w:lang w:eastAsia="en-US"/>
              </w:rPr>
              <w:t xml:space="preserve">Noteikumu projekta 16.punkts </w:t>
            </w:r>
            <w:r>
              <w:rPr>
                <w:i/>
                <w:lang w:eastAsia="en-US"/>
              </w:rPr>
              <w:t>ar ko groza MK noteikumu Nr.582 1.pielikuma III punktu.</w:t>
            </w:r>
          </w:p>
        </w:tc>
        <w:tc>
          <w:tcPr>
            <w:tcW w:w="1362" w:type="pct"/>
            <w:gridSpan w:val="2"/>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pStyle w:val="naiskr"/>
              <w:spacing w:before="0" w:after="0"/>
              <w:jc w:val="both"/>
              <w:rPr>
                <w:i/>
                <w:lang w:eastAsia="en-US"/>
              </w:rPr>
            </w:pPr>
            <w:r w:rsidRPr="00D5213A">
              <w:rPr>
                <w:i/>
                <w:lang w:eastAsia="en-US"/>
              </w:rPr>
              <w:t>ieviesta pilnībā</w:t>
            </w:r>
          </w:p>
        </w:tc>
        <w:tc>
          <w:tcPr>
            <w:tcW w:w="1648" w:type="pct"/>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pStyle w:val="naiskr"/>
              <w:spacing w:before="0" w:after="0"/>
              <w:jc w:val="both"/>
              <w:rPr>
                <w:i/>
                <w:lang w:eastAsia="en-US"/>
              </w:rPr>
            </w:pPr>
            <w:r w:rsidRPr="00D5213A">
              <w:rPr>
                <w:i/>
                <w:lang w:eastAsia="en-US"/>
              </w:rPr>
              <w:t>neparedz stingrākas prasības</w:t>
            </w:r>
          </w:p>
        </w:tc>
      </w:tr>
      <w:tr w:rsidR="00CE79D5" w:rsidRPr="00D5213A" w:rsidTr="00CE79D5">
        <w:tblPrEx>
          <w:tblBorders>
            <w:insideH w:val="none" w:sz="0" w:space="0" w:color="auto"/>
            <w:insideV w:val="none" w:sz="0" w:space="0" w:color="auto"/>
          </w:tblBorders>
        </w:tblPrEx>
        <w:trPr>
          <w:tblCellSpacing w:w="15" w:type="dxa"/>
        </w:trPr>
        <w:tc>
          <w:tcPr>
            <w:tcW w:w="2631" w:type="pct"/>
            <w:gridSpan w:val="5"/>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2315"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Nav attiecināms.</w:t>
            </w:r>
          </w:p>
        </w:tc>
      </w:tr>
      <w:tr w:rsidR="00CE79D5" w:rsidRPr="00D5213A" w:rsidTr="00CE79D5">
        <w:tblPrEx>
          <w:tblBorders>
            <w:insideH w:val="none" w:sz="0" w:space="0" w:color="auto"/>
            <w:insideV w:val="none" w:sz="0" w:space="0" w:color="auto"/>
          </w:tblBorders>
        </w:tblPrEx>
        <w:trPr>
          <w:tblCellSpacing w:w="15" w:type="dxa"/>
        </w:trPr>
        <w:tc>
          <w:tcPr>
            <w:tcW w:w="2631" w:type="pct"/>
            <w:gridSpan w:val="5"/>
            <w:tcBorders>
              <w:top w:val="outset" w:sz="6" w:space="0" w:color="auto"/>
              <w:left w:val="outset" w:sz="6" w:space="0" w:color="auto"/>
              <w:bottom w:val="outset" w:sz="6" w:space="0" w:color="auto"/>
              <w:right w:val="outset" w:sz="6" w:space="0" w:color="auto"/>
            </w:tcBorders>
            <w:vAlign w:val="center"/>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15"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hAnsi="Times New Roman" w:cs="Times New Roman"/>
                <w:sz w:val="24"/>
                <w:szCs w:val="24"/>
              </w:rPr>
              <w:t>Nav attiecināms.</w:t>
            </w:r>
          </w:p>
        </w:tc>
      </w:tr>
      <w:tr w:rsidR="00CE79D5" w:rsidRPr="00D5213A" w:rsidTr="00CE79D5">
        <w:tblPrEx>
          <w:tblBorders>
            <w:insideH w:val="none" w:sz="0" w:space="0" w:color="auto"/>
            <w:insideV w:val="none" w:sz="0" w:space="0" w:color="auto"/>
          </w:tblBorders>
        </w:tblPrEx>
        <w:trPr>
          <w:tblCellSpacing w:w="15" w:type="dxa"/>
        </w:trPr>
        <w:tc>
          <w:tcPr>
            <w:tcW w:w="2631" w:type="pct"/>
            <w:gridSpan w:val="5"/>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Cita informācija</w:t>
            </w:r>
          </w:p>
        </w:tc>
        <w:tc>
          <w:tcPr>
            <w:tcW w:w="2315" w:type="pct"/>
            <w:gridSpan w:val="2"/>
            <w:tcBorders>
              <w:top w:val="outset" w:sz="6" w:space="0" w:color="auto"/>
              <w:left w:val="outset" w:sz="6" w:space="0" w:color="auto"/>
              <w:bottom w:val="outset" w:sz="6" w:space="0" w:color="auto"/>
              <w:right w:val="outset" w:sz="6" w:space="0" w:color="auto"/>
            </w:tcBorders>
            <w:hideMark/>
          </w:tcPr>
          <w:p w:rsidR="00CE79D5" w:rsidRPr="00D5213A" w:rsidRDefault="00CE79D5" w:rsidP="00CE79D5">
            <w:pPr>
              <w:spacing w:after="0" w:line="240" w:lineRule="auto"/>
              <w:jc w:val="both"/>
              <w:rPr>
                <w:rFonts w:ascii="Times New Roman" w:eastAsia="Times New Roman" w:hAnsi="Times New Roman" w:cs="Times New Roman"/>
                <w:sz w:val="24"/>
                <w:szCs w:val="24"/>
                <w:lang w:eastAsia="lv-LV"/>
              </w:rPr>
            </w:pPr>
            <w:r w:rsidRPr="00D5213A">
              <w:rPr>
                <w:rFonts w:ascii="Times New Roman" w:eastAsia="Times New Roman" w:hAnsi="Times New Roman" w:cs="Times New Roman"/>
                <w:sz w:val="24"/>
                <w:szCs w:val="24"/>
                <w:lang w:eastAsia="lv-LV"/>
              </w:rPr>
              <w:t>Nav</w:t>
            </w:r>
          </w:p>
        </w:tc>
      </w:tr>
    </w:tbl>
    <w:p w:rsidR="00CE79D5" w:rsidRPr="00FE5670" w:rsidRDefault="00CE79D5" w:rsidP="00810A68">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2268"/>
        <w:gridCol w:w="5387"/>
      </w:tblGrid>
      <w:tr w:rsidR="00810A68" w:rsidRPr="00FE5670"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jc w:val="center"/>
              <w:rPr>
                <w:rFonts w:ascii="Times New Roman" w:eastAsia="Times New Roman" w:hAnsi="Times New Roman" w:cs="Times New Roman"/>
                <w:b/>
                <w:sz w:val="25"/>
                <w:szCs w:val="25"/>
                <w:lang w:eastAsia="lv-LV"/>
              </w:rPr>
            </w:pPr>
            <w:r w:rsidRPr="00FE5670">
              <w:rPr>
                <w:rFonts w:ascii="Times New Roman" w:hAnsi="Times New Roman" w:cs="Times New Roman"/>
                <w:b/>
                <w:bCs/>
                <w:sz w:val="25"/>
                <w:szCs w:val="25"/>
              </w:rPr>
              <w:t>VI. Sabiedrības līdzdalība un komunikācijas aktivitātes</w:t>
            </w:r>
          </w:p>
        </w:tc>
      </w:tr>
      <w:tr w:rsidR="002837AD" w:rsidRPr="00FE5670" w:rsidTr="00E152A9">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lastRenderedPageBreak/>
              <w:t>1.</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E152A9">
            <w:pPr>
              <w:spacing w:after="0" w:line="240" w:lineRule="auto"/>
              <w:rPr>
                <w:rFonts w:ascii="Times New Roman" w:eastAsia="Times New Roman" w:hAnsi="Times New Roman" w:cs="Times New Roman"/>
                <w:sz w:val="25"/>
                <w:szCs w:val="25"/>
                <w:lang w:eastAsia="lv-LV"/>
              </w:rPr>
            </w:pPr>
            <w:r w:rsidRPr="00FE5670">
              <w:rPr>
                <w:rFonts w:ascii="Times New Roman" w:hAnsi="Times New Roman" w:cs="Times New Roman"/>
                <w:sz w:val="25"/>
                <w:szCs w:val="25"/>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8440BB">
            <w:pPr>
              <w:spacing w:after="0" w:line="240" w:lineRule="auto"/>
              <w:ind w:left="124"/>
              <w:jc w:val="both"/>
              <w:rPr>
                <w:rFonts w:ascii="Times New Roman" w:eastAsia="Times New Roman" w:hAnsi="Times New Roman" w:cs="Times New Roman"/>
                <w:iCs/>
                <w:sz w:val="26"/>
                <w:szCs w:val="26"/>
                <w:lang w:eastAsia="lv-LV"/>
              </w:rPr>
            </w:pPr>
            <w:r w:rsidRPr="00FE5670">
              <w:rPr>
                <w:rFonts w:ascii="Times New Roman" w:eastAsia="Times New Roman" w:hAnsi="Times New Roman" w:cs="Times New Roman"/>
                <w:iCs/>
                <w:sz w:val="26"/>
                <w:szCs w:val="26"/>
                <w:lang w:eastAsia="lv-LV"/>
              </w:rPr>
              <w:t>2014.gada 10.septembrī Ekonomikas ministrijā tika rīkota sanāksme ar nozaru asociācijām, ar kurām tika pārrunāts izstrādātais MK noteikumu Nr.</w:t>
            </w:r>
            <w:r w:rsidR="008440BB" w:rsidRPr="00FE5670">
              <w:rPr>
                <w:rFonts w:ascii="Times New Roman" w:eastAsia="Times New Roman" w:hAnsi="Times New Roman" w:cs="Times New Roman"/>
                <w:iCs/>
                <w:sz w:val="26"/>
                <w:szCs w:val="26"/>
                <w:lang w:eastAsia="lv-LV"/>
              </w:rPr>
              <w:t>582</w:t>
            </w:r>
            <w:r w:rsidRPr="00FE5670">
              <w:rPr>
                <w:rFonts w:ascii="Times New Roman" w:eastAsia="Times New Roman" w:hAnsi="Times New Roman" w:cs="Times New Roman"/>
                <w:iCs/>
                <w:sz w:val="26"/>
                <w:szCs w:val="26"/>
                <w:lang w:eastAsia="lv-LV"/>
              </w:rPr>
              <w:t xml:space="preserve"> grozījumu projekts.</w:t>
            </w:r>
          </w:p>
        </w:tc>
      </w:tr>
      <w:tr w:rsidR="002837AD" w:rsidRPr="00FE5670" w:rsidTr="00E152A9">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2.</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E152A9">
            <w:pPr>
              <w:spacing w:after="0" w:line="240" w:lineRule="auto"/>
              <w:rPr>
                <w:rFonts w:ascii="Times New Roman" w:eastAsia="Times New Roman" w:hAnsi="Times New Roman" w:cs="Times New Roman"/>
                <w:sz w:val="25"/>
                <w:szCs w:val="25"/>
                <w:lang w:eastAsia="lv-LV"/>
              </w:rPr>
            </w:pPr>
            <w:r w:rsidRPr="00FE5670">
              <w:rPr>
                <w:rFonts w:ascii="Times New Roman" w:hAnsi="Times New Roman" w:cs="Times New Roman"/>
                <w:sz w:val="25"/>
                <w:szCs w:val="25"/>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471438">
            <w:pPr>
              <w:spacing w:after="0" w:line="240" w:lineRule="auto"/>
              <w:ind w:left="124"/>
              <w:jc w:val="both"/>
              <w:rPr>
                <w:rFonts w:ascii="Times New Roman" w:eastAsia="Times New Roman" w:hAnsi="Times New Roman" w:cs="Times New Roman"/>
                <w:iCs/>
                <w:sz w:val="26"/>
                <w:szCs w:val="26"/>
                <w:lang w:eastAsia="lv-LV"/>
              </w:rPr>
            </w:pPr>
            <w:r w:rsidRPr="00FE5670">
              <w:rPr>
                <w:rFonts w:ascii="Times New Roman" w:eastAsia="Times New Roman" w:hAnsi="Times New Roman" w:cs="Times New Roman"/>
                <w:iCs/>
                <w:sz w:val="26"/>
                <w:szCs w:val="26"/>
                <w:lang w:eastAsia="lv-LV"/>
              </w:rPr>
              <w:t xml:space="preserve">2014.gada 10.septembrī Ekonomikas ministrijas rīkotajā sanāksmē piedalījās pārstāvji no </w:t>
            </w:r>
            <w:r w:rsidRPr="00FE5670">
              <w:rPr>
                <w:rFonts w:ascii="Times New Roman" w:hAnsi="Times New Roman" w:cs="Times New Roman"/>
                <w:sz w:val="24"/>
                <w:szCs w:val="24"/>
              </w:rPr>
              <w:t xml:space="preserve">Latvijas Darba devēju  konfederācijas, Latvijas Tirdzniecības un rūpniecības kameras, Latvijas Pārtikas uzņēmumu federācijas, Latvijas Investīciju un attīstības aģentūras un Ekonomikas ministrijas. </w:t>
            </w:r>
          </w:p>
        </w:tc>
      </w:tr>
      <w:tr w:rsidR="002837AD" w:rsidRPr="00FE5670" w:rsidTr="00E152A9">
        <w:trPr>
          <w:trHeight w:val="930"/>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3.</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E152A9">
            <w:pPr>
              <w:spacing w:after="0" w:line="240" w:lineRule="auto"/>
              <w:rPr>
                <w:rFonts w:ascii="Times New Roman" w:eastAsia="Times New Roman" w:hAnsi="Times New Roman" w:cs="Times New Roman"/>
                <w:sz w:val="25"/>
                <w:szCs w:val="25"/>
                <w:lang w:eastAsia="lv-LV"/>
              </w:rPr>
            </w:pPr>
            <w:r w:rsidRPr="00FE5670">
              <w:rPr>
                <w:rFonts w:ascii="Times New Roman" w:hAnsi="Times New Roman" w:cs="Times New Roman"/>
                <w:sz w:val="25"/>
                <w:szCs w:val="25"/>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2837AD" w:rsidRPr="00FE5670" w:rsidRDefault="002837AD" w:rsidP="008440BB">
            <w:pPr>
              <w:spacing w:after="0" w:line="240" w:lineRule="auto"/>
              <w:ind w:left="124"/>
              <w:jc w:val="both"/>
              <w:rPr>
                <w:rFonts w:ascii="Times New Roman" w:eastAsia="Times New Roman" w:hAnsi="Times New Roman" w:cs="Times New Roman"/>
                <w:iCs/>
                <w:sz w:val="26"/>
                <w:szCs w:val="26"/>
                <w:lang w:eastAsia="lv-LV"/>
              </w:rPr>
            </w:pPr>
            <w:r w:rsidRPr="00FE5670">
              <w:rPr>
                <w:rFonts w:ascii="Times New Roman" w:eastAsia="Times New Roman" w:hAnsi="Times New Roman" w:cs="Times New Roman"/>
                <w:iCs/>
                <w:sz w:val="26"/>
                <w:szCs w:val="26"/>
                <w:lang w:eastAsia="lv-LV"/>
              </w:rPr>
              <w:t>Ar visiem 2014.gada 10.septembra Ekonomikas ministrijas rīkotās sanāksmes dalībniekiem tika panākta vienošanās par izstrādātajiem MK noteikumu Nr.</w:t>
            </w:r>
            <w:r w:rsidR="008440BB" w:rsidRPr="00FE5670">
              <w:rPr>
                <w:rFonts w:ascii="Times New Roman" w:eastAsia="Times New Roman" w:hAnsi="Times New Roman" w:cs="Times New Roman"/>
                <w:iCs/>
                <w:sz w:val="26"/>
                <w:szCs w:val="26"/>
                <w:lang w:eastAsia="lv-LV"/>
              </w:rPr>
              <w:t>582</w:t>
            </w:r>
            <w:r w:rsidRPr="00FE5670">
              <w:rPr>
                <w:rFonts w:ascii="Times New Roman" w:eastAsia="Times New Roman" w:hAnsi="Times New Roman" w:cs="Times New Roman"/>
                <w:iCs/>
                <w:sz w:val="26"/>
                <w:szCs w:val="26"/>
                <w:lang w:eastAsia="lv-LV"/>
              </w:rPr>
              <w:t xml:space="preserve"> grozījumu jautājumiem.</w:t>
            </w:r>
          </w:p>
        </w:tc>
      </w:tr>
      <w:tr w:rsidR="00810A68" w:rsidRPr="00FE5670" w:rsidTr="00E152A9">
        <w:trPr>
          <w:trHeight w:val="912"/>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4.</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hAnsi="Times New Roman" w:cs="Times New Roman"/>
                <w:sz w:val="25"/>
                <w:szCs w:val="25"/>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ind w:firstLine="284"/>
              <w:jc w:val="both"/>
              <w:rPr>
                <w:rFonts w:ascii="Times New Roman" w:eastAsia="Times New Roman" w:hAnsi="Times New Roman" w:cs="Times New Roman"/>
                <w:sz w:val="25"/>
                <w:szCs w:val="25"/>
                <w:lang w:eastAsia="lv-LV"/>
              </w:rPr>
            </w:pPr>
            <w:r w:rsidRPr="00FE5670">
              <w:rPr>
                <w:rFonts w:ascii="Times New Roman" w:eastAsia="Times New Roman" w:hAnsi="Times New Roman" w:cs="Times New Roman"/>
                <w:iCs/>
                <w:sz w:val="25"/>
                <w:szCs w:val="25"/>
                <w:lang w:eastAsia="lv-LV"/>
              </w:rPr>
              <w:t>Nav</w:t>
            </w:r>
          </w:p>
        </w:tc>
      </w:tr>
    </w:tbl>
    <w:p w:rsidR="00810A68" w:rsidRPr="00FE5670" w:rsidRDefault="00810A68" w:rsidP="00810A68">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111"/>
        <w:gridCol w:w="3544"/>
      </w:tblGrid>
      <w:tr w:rsidR="00810A68" w:rsidRPr="00FE5670"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jc w:val="center"/>
              <w:rPr>
                <w:rFonts w:ascii="Times New Roman" w:eastAsia="Times New Roman" w:hAnsi="Times New Roman" w:cs="Times New Roman"/>
                <w:b/>
                <w:sz w:val="25"/>
                <w:szCs w:val="25"/>
                <w:lang w:eastAsia="lv-LV"/>
              </w:rPr>
            </w:pPr>
            <w:r w:rsidRPr="00FE5670">
              <w:rPr>
                <w:rFonts w:ascii="Times New Roman" w:eastAsia="Times New Roman" w:hAnsi="Times New Roman" w:cs="Times New Roman"/>
                <w:b/>
                <w:sz w:val="25"/>
                <w:szCs w:val="25"/>
                <w:lang w:eastAsia="lv-LV"/>
              </w:rPr>
              <w:t>VII. Tiesību akta projekta izpildes nodrošināšana un tās ietekme uz institūcijām</w:t>
            </w:r>
          </w:p>
        </w:tc>
      </w:tr>
      <w:tr w:rsidR="00810A68" w:rsidRPr="00FE5670" w:rsidTr="00E152A9">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1.</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Projekta izpildē iesaistītās institūcijas</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ind w:left="142"/>
              <w:jc w:val="both"/>
              <w:rPr>
                <w:rFonts w:ascii="Times New Roman" w:hAnsi="Times New Roman" w:cs="Times New Roman"/>
                <w:sz w:val="25"/>
                <w:szCs w:val="25"/>
                <w:lang w:eastAsia="lv-LV"/>
              </w:rPr>
            </w:pPr>
            <w:r w:rsidRPr="00FE5670">
              <w:rPr>
                <w:rFonts w:ascii="Times New Roman" w:hAnsi="Times New Roman" w:cs="Times New Roman"/>
                <w:sz w:val="25"/>
                <w:szCs w:val="25"/>
              </w:rPr>
              <w:t>Noteikumu projekta izpildē ir iesaistīta Latvijas Investīcijas un attīstības aģentūra.</w:t>
            </w:r>
          </w:p>
        </w:tc>
      </w:tr>
      <w:tr w:rsidR="00810A68" w:rsidRPr="00FE5670" w:rsidTr="00E152A9">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2.</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Projekta izpildes ietekme uz pārvaldes funkcijām un institucionālo struktūru.</w:t>
            </w:r>
          </w:p>
          <w:p w:rsidR="00810A68" w:rsidRPr="00FE5670" w:rsidRDefault="00810A68" w:rsidP="00E152A9">
            <w:pPr>
              <w:spacing w:after="0"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ind w:left="142"/>
              <w:jc w:val="both"/>
              <w:rPr>
                <w:rFonts w:ascii="Times New Roman" w:hAnsi="Times New Roman" w:cs="Times New Roman"/>
                <w:sz w:val="25"/>
                <w:szCs w:val="25"/>
              </w:rPr>
            </w:pPr>
            <w:r w:rsidRPr="00FE5670">
              <w:rPr>
                <w:rFonts w:ascii="Times New Roman" w:hAnsi="Times New Roman" w:cs="Times New Roman"/>
                <w:sz w:val="25"/>
                <w:szCs w:val="25"/>
              </w:rPr>
              <w:t>Noteikumu projekta izpildi nodrošinās Latvijas Investīcijas un attīstības aģentūra darbības ietvaros.</w:t>
            </w:r>
          </w:p>
        </w:tc>
      </w:tr>
      <w:tr w:rsidR="00810A68" w:rsidRPr="00FE5670" w:rsidTr="00E152A9">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3.</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Cita informācija</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FE5670" w:rsidRDefault="00810A68" w:rsidP="00E152A9">
            <w:pPr>
              <w:spacing w:line="240" w:lineRule="auto"/>
              <w:ind w:firstLine="284"/>
              <w:rPr>
                <w:rFonts w:ascii="Times New Roman" w:eastAsia="Times New Roman" w:hAnsi="Times New Roman" w:cs="Times New Roman"/>
                <w:sz w:val="25"/>
                <w:szCs w:val="25"/>
                <w:lang w:eastAsia="lv-LV"/>
              </w:rPr>
            </w:pPr>
            <w:r w:rsidRPr="00FE5670">
              <w:rPr>
                <w:rFonts w:ascii="Times New Roman" w:eastAsia="Times New Roman" w:hAnsi="Times New Roman" w:cs="Times New Roman"/>
                <w:sz w:val="25"/>
                <w:szCs w:val="25"/>
                <w:lang w:eastAsia="lv-LV"/>
              </w:rPr>
              <w:t>Nav</w:t>
            </w:r>
          </w:p>
        </w:tc>
      </w:tr>
    </w:tbl>
    <w:p w:rsidR="00810A68" w:rsidRPr="00FE5670"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FE5670">
        <w:rPr>
          <w:rFonts w:ascii="Times New Roman" w:eastAsia="Times New Roman" w:hAnsi="Times New Roman" w:cs="Times New Roman"/>
          <w:b/>
          <w:sz w:val="25"/>
          <w:szCs w:val="25"/>
          <w:lang w:eastAsia="lv-LV"/>
        </w:rPr>
        <w:t>Anotācijas III.,V. sadaļa - projekts šīs jomas neskar.</w:t>
      </w:r>
    </w:p>
    <w:p w:rsidR="00810A68" w:rsidRPr="00FE5670" w:rsidRDefault="00810A68" w:rsidP="00683FDA">
      <w:pPr>
        <w:tabs>
          <w:tab w:val="right" w:pos="9071"/>
        </w:tabs>
        <w:spacing w:after="0" w:line="240" w:lineRule="auto"/>
        <w:jc w:val="both"/>
        <w:rPr>
          <w:rFonts w:ascii="Times New Roman" w:eastAsia="Times New Roman" w:hAnsi="Times New Roman" w:cs="Times New Roman"/>
          <w:sz w:val="26"/>
          <w:szCs w:val="26"/>
          <w:lang w:eastAsia="lv-LV"/>
        </w:rPr>
      </w:pPr>
    </w:p>
    <w:p w:rsidR="00810A68" w:rsidRPr="00FE5670" w:rsidRDefault="00810A68" w:rsidP="00683FDA">
      <w:pPr>
        <w:tabs>
          <w:tab w:val="left" w:pos="6521"/>
        </w:tabs>
        <w:spacing w:after="0" w:line="240" w:lineRule="auto"/>
        <w:jc w:val="both"/>
        <w:rPr>
          <w:rFonts w:ascii="Times New Roman" w:hAnsi="Times New Roman" w:cs="Times New Roman"/>
          <w:color w:val="000000" w:themeColor="text1"/>
          <w:sz w:val="26"/>
          <w:szCs w:val="26"/>
        </w:rPr>
      </w:pPr>
      <w:r w:rsidRPr="00FE5670">
        <w:rPr>
          <w:rFonts w:ascii="Times New Roman" w:hAnsi="Times New Roman" w:cs="Times New Roman"/>
          <w:color w:val="000000" w:themeColor="text1"/>
          <w:sz w:val="26"/>
          <w:szCs w:val="26"/>
        </w:rPr>
        <w:t xml:space="preserve">Ekonomikas ministrs </w:t>
      </w:r>
      <w:r w:rsidRPr="00FE5670">
        <w:rPr>
          <w:rFonts w:ascii="Times New Roman" w:hAnsi="Times New Roman" w:cs="Times New Roman"/>
          <w:color w:val="000000" w:themeColor="text1"/>
          <w:sz w:val="26"/>
          <w:szCs w:val="26"/>
        </w:rPr>
        <w:tab/>
      </w:r>
      <w:proofErr w:type="spellStart"/>
      <w:r w:rsidRPr="00FE5670">
        <w:rPr>
          <w:rFonts w:ascii="Times New Roman" w:hAnsi="Times New Roman" w:cs="Times New Roman"/>
          <w:color w:val="000000" w:themeColor="text1"/>
          <w:sz w:val="26"/>
          <w:szCs w:val="26"/>
        </w:rPr>
        <w:t>V.Dombrovskis</w:t>
      </w:r>
      <w:proofErr w:type="spellEnd"/>
    </w:p>
    <w:p w:rsidR="003E1A6E" w:rsidRDefault="003E1A6E" w:rsidP="00683FDA">
      <w:pPr>
        <w:tabs>
          <w:tab w:val="left" w:pos="6521"/>
        </w:tabs>
        <w:spacing w:after="0" w:line="240" w:lineRule="auto"/>
        <w:jc w:val="both"/>
        <w:rPr>
          <w:rFonts w:ascii="Times New Roman" w:hAnsi="Times New Roman" w:cs="Times New Roman"/>
          <w:color w:val="000000" w:themeColor="text1"/>
          <w:sz w:val="26"/>
          <w:szCs w:val="26"/>
        </w:rPr>
      </w:pPr>
    </w:p>
    <w:p w:rsidR="00683FDA" w:rsidRDefault="00683FDA" w:rsidP="00683FDA">
      <w:pPr>
        <w:tabs>
          <w:tab w:val="left" w:pos="6521"/>
        </w:tabs>
        <w:spacing w:after="0" w:line="240" w:lineRule="auto"/>
        <w:jc w:val="both"/>
        <w:rPr>
          <w:rFonts w:ascii="Times New Roman" w:hAnsi="Times New Roman" w:cs="Times New Roman"/>
          <w:color w:val="000000" w:themeColor="text1"/>
          <w:sz w:val="26"/>
          <w:szCs w:val="26"/>
        </w:rPr>
      </w:pPr>
    </w:p>
    <w:p w:rsidR="00810A68" w:rsidRPr="00FE5670" w:rsidRDefault="00810A68" w:rsidP="00683FDA">
      <w:pPr>
        <w:tabs>
          <w:tab w:val="left" w:pos="6521"/>
        </w:tabs>
        <w:spacing w:after="0" w:line="240" w:lineRule="auto"/>
        <w:jc w:val="both"/>
        <w:rPr>
          <w:rFonts w:ascii="Times New Roman" w:hAnsi="Times New Roman" w:cs="Times New Roman"/>
          <w:color w:val="000000" w:themeColor="text1"/>
          <w:sz w:val="26"/>
          <w:szCs w:val="26"/>
        </w:rPr>
      </w:pPr>
      <w:r w:rsidRPr="00FE5670">
        <w:rPr>
          <w:rFonts w:ascii="Times New Roman" w:hAnsi="Times New Roman" w:cs="Times New Roman"/>
          <w:color w:val="000000" w:themeColor="text1"/>
          <w:sz w:val="26"/>
          <w:szCs w:val="26"/>
        </w:rPr>
        <w:t>Vīza: Valsts sekretārs</w:t>
      </w:r>
      <w:r w:rsidRPr="00FE5670">
        <w:rPr>
          <w:rFonts w:ascii="Times New Roman" w:hAnsi="Times New Roman" w:cs="Times New Roman"/>
          <w:color w:val="000000" w:themeColor="text1"/>
          <w:sz w:val="26"/>
          <w:szCs w:val="26"/>
        </w:rPr>
        <w:tab/>
      </w:r>
      <w:proofErr w:type="spellStart"/>
      <w:r w:rsidRPr="00FE5670">
        <w:rPr>
          <w:rFonts w:ascii="Times New Roman" w:hAnsi="Times New Roman" w:cs="Times New Roman"/>
          <w:color w:val="000000" w:themeColor="text1"/>
          <w:sz w:val="26"/>
          <w:szCs w:val="26"/>
        </w:rPr>
        <w:t>M.Lazdovskis</w:t>
      </w:r>
      <w:proofErr w:type="spellEnd"/>
    </w:p>
    <w:p w:rsidR="003E1A6E" w:rsidRDefault="003E1A6E" w:rsidP="00683FDA">
      <w:pPr>
        <w:widowControl w:val="0"/>
        <w:spacing w:after="0" w:line="240" w:lineRule="auto"/>
        <w:jc w:val="both"/>
        <w:rPr>
          <w:rFonts w:ascii="Times New Roman" w:eastAsia="Times New Roman" w:hAnsi="Times New Roman" w:cs="Times New Roman"/>
          <w:sz w:val="20"/>
          <w:szCs w:val="20"/>
        </w:rPr>
      </w:pPr>
    </w:p>
    <w:p w:rsidR="00683FDA" w:rsidRPr="00FE5670" w:rsidRDefault="00683FDA" w:rsidP="00683FDA">
      <w:pPr>
        <w:widowControl w:val="0"/>
        <w:spacing w:after="0" w:line="240" w:lineRule="auto"/>
        <w:jc w:val="both"/>
        <w:rPr>
          <w:rFonts w:ascii="Times New Roman" w:eastAsia="Times New Roman" w:hAnsi="Times New Roman" w:cs="Times New Roman"/>
          <w:sz w:val="20"/>
          <w:szCs w:val="20"/>
        </w:rPr>
      </w:pPr>
    </w:p>
    <w:p w:rsidR="00810A68" w:rsidRPr="00FE5670" w:rsidRDefault="00690101"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10.10.2014 11:27</w:t>
      </w:r>
      <w:bookmarkStart w:id="13" w:name="_GoBack"/>
      <w:bookmarkEnd w:id="13"/>
    </w:p>
    <w:p w:rsidR="00810A68" w:rsidRPr="00FE5670" w:rsidRDefault="001267DE" w:rsidP="00683FDA">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690101" w:rsidRPr="00690101">
        <w:rPr>
          <w:rFonts w:ascii="Times New Roman" w:eastAsia="Times New Roman" w:hAnsi="Times New Roman" w:cs="Times New Roman"/>
          <w:noProof/>
          <w:sz w:val="20"/>
          <w:szCs w:val="20"/>
        </w:rPr>
        <w:t>2570</w:t>
      </w:r>
      <w:r>
        <w:rPr>
          <w:rFonts w:ascii="Times New Roman" w:eastAsia="Times New Roman" w:hAnsi="Times New Roman" w:cs="Times New Roman"/>
          <w:noProof/>
          <w:sz w:val="20"/>
          <w:szCs w:val="20"/>
        </w:rPr>
        <w:fldChar w:fldCharType="end"/>
      </w:r>
    </w:p>
    <w:p w:rsidR="00810A68" w:rsidRPr="00FE5670" w:rsidRDefault="00810A68" w:rsidP="00683FDA">
      <w:pPr>
        <w:widowControl w:val="0"/>
        <w:spacing w:after="0" w:line="240" w:lineRule="auto"/>
        <w:jc w:val="both"/>
        <w:rPr>
          <w:rFonts w:ascii="Times New Roman" w:eastAsia="Times New Roman" w:hAnsi="Times New Roman" w:cs="Times New Roman"/>
          <w:sz w:val="20"/>
          <w:szCs w:val="20"/>
        </w:rPr>
      </w:pPr>
      <w:r w:rsidRPr="00FE5670">
        <w:rPr>
          <w:rFonts w:ascii="Times New Roman" w:eastAsia="Times New Roman" w:hAnsi="Times New Roman" w:cs="Times New Roman"/>
          <w:sz w:val="20"/>
          <w:szCs w:val="20"/>
        </w:rPr>
        <w:t>Austris Jansons</w:t>
      </w:r>
    </w:p>
    <w:p w:rsidR="00810A68" w:rsidRDefault="00810A68" w:rsidP="00683FDA">
      <w:pPr>
        <w:widowControl w:val="0"/>
        <w:spacing w:after="0" w:line="240" w:lineRule="auto"/>
        <w:jc w:val="both"/>
      </w:pPr>
      <w:r w:rsidRPr="00FE5670">
        <w:rPr>
          <w:rFonts w:ascii="Times New Roman" w:eastAsia="Times New Roman" w:hAnsi="Times New Roman" w:cs="Times New Roman"/>
          <w:sz w:val="20"/>
          <w:szCs w:val="20"/>
        </w:rPr>
        <w:t>67013069, Austris.Jansons@em.gov.lv</w:t>
      </w:r>
    </w:p>
    <w:sectPr w:rsidR="00810A68" w:rsidSect="00761BA7">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DE" w:rsidRDefault="001267DE">
      <w:pPr>
        <w:spacing w:after="0" w:line="240" w:lineRule="auto"/>
      </w:pPr>
      <w:r>
        <w:separator/>
      </w:r>
    </w:p>
  </w:endnote>
  <w:endnote w:type="continuationSeparator" w:id="0">
    <w:p w:rsidR="001267DE" w:rsidRDefault="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CC59E7" w:rsidRDefault="00810A68" w:rsidP="00221970">
    <w:pPr>
      <w:pStyle w:val="Footer"/>
      <w:jc w:val="both"/>
      <w:rPr>
        <w:rFonts w:ascii="Times New Roman" w:hAnsi="Times New Roman" w:cs="Times New Roman"/>
        <w:sz w:val="20"/>
        <w:szCs w:val="20"/>
      </w:rPr>
    </w:pPr>
    <w:r w:rsidRPr="00CC59E7">
      <w:rPr>
        <w:rFonts w:ascii="Times New Roman" w:hAnsi="Times New Roman" w:cs="Times New Roman"/>
        <w:sz w:val="20"/>
        <w:szCs w:val="20"/>
      </w:rPr>
      <w:t>EMAnot_</w:t>
    </w:r>
    <w:r w:rsidR="003E1A6E">
      <w:rPr>
        <w:rFonts w:ascii="Times New Roman" w:hAnsi="Times New Roman" w:cs="Times New Roman"/>
        <w:sz w:val="20"/>
        <w:szCs w:val="20"/>
      </w:rPr>
      <w:t>10</w:t>
    </w:r>
    <w:r w:rsidR="00FE5670">
      <w:rPr>
        <w:rFonts w:ascii="Times New Roman" w:hAnsi="Times New Roman" w:cs="Times New Roman"/>
        <w:sz w:val="20"/>
        <w:szCs w:val="20"/>
      </w:rPr>
      <w:t>102014</w:t>
    </w:r>
    <w:r>
      <w:rPr>
        <w:rFonts w:ascii="Times New Roman" w:hAnsi="Times New Roman" w:cs="Times New Roman"/>
        <w:sz w:val="20"/>
        <w:szCs w:val="20"/>
      </w:rPr>
      <w:t>_groz582</w:t>
    </w:r>
    <w:r w:rsidRPr="00CC59E7">
      <w:rPr>
        <w:rFonts w:ascii="Times New Roman" w:hAnsi="Times New Roman" w:cs="Times New Roman"/>
        <w:sz w:val="20"/>
        <w:szCs w:val="20"/>
      </w:rPr>
      <w:t>; Ministru kabineta noteikumu projekta „</w:t>
    </w:r>
    <w:r>
      <w:rPr>
        <w:rFonts w:ascii="Times New Roman" w:hAnsi="Times New Roman" w:cs="Times New Roman"/>
        <w:bCs/>
        <w:sz w:val="20"/>
        <w:szCs w:val="20"/>
      </w:rPr>
      <w:t>Grozījumi</w:t>
    </w:r>
    <w:r w:rsidRPr="00CC59E7">
      <w:rPr>
        <w:rFonts w:ascii="Times New Roman" w:hAnsi="Times New Roman" w:cs="Times New Roman"/>
        <w:bCs/>
        <w:sz w:val="20"/>
        <w:szCs w:val="20"/>
      </w:rPr>
      <w:t xml:space="preserve"> Ministru kabineta 2009.gada 17.jūnija noteikumos Nr.582 </w:t>
    </w:r>
    <w:r w:rsidRPr="00CC59E7">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r w:rsidRPr="00CC59E7">
      <w:rPr>
        <w:rFonts w:ascii="Times New Roman" w:hAnsi="Times New Roman" w:cs="Times New Roman"/>
        <w:bCs/>
        <w:sz w:val="20"/>
        <w:szCs w:val="20"/>
      </w:rPr>
      <w:t xml:space="preserve"> </w:t>
    </w:r>
    <w:r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CC59E7" w:rsidRDefault="00810A68" w:rsidP="00C85C6A">
    <w:pPr>
      <w:pStyle w:val="Footer"/>
      <w:jc w:val="both"/>
      <w:rPr>
        <w:rFonts w:ascii="Times New Roman" w:hAnsi="Times New Roman" w:cs="Times New Roman"/>
        <w:sz w:val="20"/>
        <w:szCs w:val="20"/>
      </w:rPr>
    </w:pPr>
    <w:r w:rsidRPr="00CC59E7">
      <w:rPr>
        <w:rFonts w:ascii="Times New Roman" w:hAnsi="Times New Roman" w:cs="Times New Roman"/>
        <w:sz w:val="20"/>
        <w:szCs w:val="20"/>
      </w:rPr>
      <w:t>EMAnot_</w:t>
    </w:r>
    <w:r w:rsidR="003E1A6E">
      <w:rPr>
        <w:rFonts w:ascii="Times New Roman" w:hAnsi="Times New Roman" w:cs="Times New Roman"/>
        <w:sz w:val="20"/>
        <w:szCs w:val="20"/>
      </w:rPr>
      <w:t>10</w:t>
    </w:r>
    <w:r w:rsidR="00FE5670">
      <w:rPr>
        <w:rFonts w:ascii="Times New Roman" w:hAnsi="Times New Roman" w:cs="Times New Roman"/>
        <w:sz w:val="20"/>
        <w:szCs w:val="20"/>
      </w:rPr>
      <w:t>102014</w:t>
    </w:r>
    <w:r>
      <w:rPr>
        <w:rFonts w:ascii="Times New Roman" w:hAnsi="Times New Roman" w:cs="Times New Roman"/>
        <w:sz w:val="20"/>
        <w:szCs w:val="20"/>
      </w:rPr>
      <w:t>_groz582</w:t>
    </w:r>
    <w:r w:rsidRPr="00CC59E7">
      <w:rPr>
        <w:rFonts w:ascii="Times New Roman" w:hAnsi="Times New Roman" w:cs="Times New Roman"/>
        <w:sz w:val="20"/>
        <w:szCs w:val="20"/>
      </w:rPr>
      <w:t>; Ministru kabineta noteikumu projekta „</w:t>
    </w:r>
    <w:r>
      <w:rPr>
        <w:rFonts w:ascii="Times New Roman" w:hAnsi="Times New Roman" w:cs="Times New Roman"/>
        <w:bCs/>
        <w:sz w:val="20"/>
        <w:szCs w:val="20"/>
      </w:rPr>
      <w:t>Grozījumi</w:t>
    </w:r>
    <w:r w:rsidRPr="00CC59E7">
      <w:rPr>
        <w:rFonts w:ascii="Times New Roman" w:hAnsi="Times New Roman" w:cs="Times New Roman"/>
        <w:bCs/>
        <w:sz w:val="20"/>
        <w:szCs w:val="20"/>
      </w:rPr>
      <w:t xml:space="preserve"> Ministru kabineta 2009.gada 17.jūnija noteikumos Nr.582 </w:t>
    </w:r>
    <w:r w:rsidRPr="00CC59E7">
      <w:rPr>
        <w:rFonts w:ascii="Times New Roman" w:hAnsi="Times New Roman" w:cs="Times New Roman"/>
        <w:sz w:val="20"/>
        <w:szCs w:val="20"/>
      </w:rPr>
      <w:t>„Noteikumi par darbības programmas „Uzņēmējdarbība un inovācijas” papildinājuma 2.3.1.1.1.apakšaktivitātes „Ārējo tirgu apgūšana – ārējais mārketing</w:t>
    </w:r>
    <w:r>
      <w:rPr>
        <w:rFonts w:ascii="Times New Roman" w:hAnsi="Times New Roman" w:cs="Times New Roman"/>
        <w:sz w:val="20"/>
        <w:szCs w:val="20"/>
      </w:rPr>
      <w:t>s” sesto un turpmākajām kārtām”</w:t>
    </w:r>
    <w:r w:rsidRPr="00CC59E7">
      <w:rPr>
        <w:rFonts w:ascii="Times New Roman" w:hAnsi="Times New Roman" w:cs="Times New Roman"/>
        <w:bCs/>
        <w:sz w:val="20"/>
        <w:szCs w:val="20"/>
      </w:rPr>
      <w:t xml:space="preserve">” </w:t>
    </w:r>
    <w:r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DE" w:rsidRDefault="001267DE">
      <w:pPr>
        <w:spacing w:after="0" w:line="240" w:lineRule="auto"/>
      </w:pPr>
      <w:r>
        <w:separator/>
      </w:r>
    </w:p>
  </w:footnote>
  <w:footnote w:type="continuationSeparator" w:id="0">
    <w:p w:rsidR="001267DE" w:rsidRDefault="0012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810A68">
        <w:pPr>
          <w:pStyle w:val="Header"/>
          <w:jc w:val="center"/>
        </w:pPr>
        <w:r>
          <w:fldChar w:fldCharType="begin"/>
        </w:r>
        <w:r>
          <w:instrText xml:space="preserve"> PAGE   \* MERGEFORMAT </w:instrText>
        </w:r>
        <w:r>
          <w:fldChar w:fldCharType="separate"/>
        </w:r>
        <w:r w:rsidR="00690101">
          <w:rPr>
            <w:noProof/>
          </w:rPr>
          <w:t>10</w:t>
        </w:r>
        <w:r>
          <w:rPr>
            <w:noProof/>
          </w:rPr>
          <w:fldChar w:fldCharType="end"/>
        </w:r>
      </w:p>
    </w:sdtContent>
  </w:sdt>
  <w:p w:rsidR="00761BA7" w:rsidRDefault="00126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24BBF"/>
    <w:rsid w:val="000413D4"/>
    <w:rsid w:val="00061AF7"/>
    <w:rsid w:val="000B37B1"/>
    <w:rsid w:val="000D233A"/>
    <w:rsid w:val="000D6240"/>
    <w:rsid w:val="000E25AC"/>
    <w:rsid w:val="001267DE"/>
    <w:rsid w:val="001909AD"/>
    <w:rsid w:val="002077CA"/>
    <w:rsid w:val="00237430"/>
    <w:rsid w:val="002837AD"/>
    <w:rsid w:val="002E2F25"/>
    <w:rsid w:val="00326D58"/>
    <w:rsid w:val="0033554F"/>
    <w:rsid w:val="00347276"/>
    <w:rsid w:val="003D79DE"/>
    <w:rsid w:val="003E1A6E"/>
    <w:rsid w:val="004A5A2E"/>
    <w:rsid w:val="00546A8B"/>
    <w:rsid w:val="00575291"/>
    <w:rsid w:val="005822F0"/>
    <w:rsid w:val="005864D4"/>
    <w:rsid w:val="005C279F"/>
    <w:rsid w:val="006321DC"/>
    <w:rsid w:val="006713A4"/>
    <w:rsid w:val="00683FDA"/>
    <w:rsid w:val="00690101"/>
    <w:rsid w:val="00716278"/>
    <w:rsid w:val="00734683"/>
    <w:rsid w:val="00743826"/>
    <w:rsid w:val="00744146"/>
    <w:rsid w:val="00782945"/>
    <w:rsid w:val="00795CCC"/>
    <w:rsid w:val="008035F8"/>
    <w:rsid w:val="00810A68"/>
    <w:rsid w:val="008440BB"/>
    <w:rsid w:val="008646EC"/>
    <w:rsid w:val="00885BBD"/>
    <w:rsid w:val="00896990"/>
    <w:rsid w:val="008A1CEB"/>
    <w:rsid w:val="008C6509"/>
    <w:rsid w:val="00923D20"/>
    <w:rsid w:val="0095082E"/>
    <w:rsid w:val="00970BDA"/>
    <w:rsid w:val="009B0D28"/>
    <w:rsid w:val="00A30A3F"/>
    <w:rsid w:val="00A40237"/>
    <w:rsid w:val="00A568AF"/>
    <w:rsid w:val="00A866EB"/>
    <w:rsid w:val="00A913F7"/>
    <w:rsid w:val="00AA5524"/>
    <w:rsid w:val="00B910F4"/>
    <w:rsid w:val="00BC5CFE"/>
    <w:rsid w:val="00C43073"/>
    <w:rsid w:val="00C461EA"/>
    <w:rsid w:val="00C77E83"/>
    <w:rsid w:val="00CE79D5"/>
    <w:rsid w:val="00D33952"/>
    <w:rsid w:val="00D3405E"/>
    <w:rsid w:val="00E14A1A"/>
    <w:rsid w:val="00E56CBE"/>
    <w:rsid w:val="00E7506E"/>
    <w:rsid w:val="00EA14C2"/>
    <w:rsid w:val="00EC49B2"/>
    <w:rsid w:val="00EE6B6A"/>
    <w:rsid w:val="00F240D0"/>
    <w:rsid w:val="00F844FA"/>
    <w:rsid w:val="00FB465C"/>
    <w:rsid w:val="00FB7A15"/>
    <w:rsid w:val="00FD300A"/>
    <w:rsid w:val="00FE5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238461" TargetMode="External"/><Relationship Id="rId4" Type="http://schemas.microsoft.com/office/2007/relationships/stylesWithEffects" Target="stylesWithEffects.xml"/><Relationship Id="rId9" Type="http://schemas.openxmlformats.org/officeDocument/2006/relationships/hyperlink" Target="http://likumi.lv/doc.php?id=2384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EF8E-1C90-434E-BCCC-5537D284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2602</Words>
  <Characters>19021</Characters>
  <Application>Microsoft Office Word</Application>
  <DocSecurity>0</DocSecurity>
  <Lines>559</Lines>
  <Paragraphs>150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Austris Jansons</dc:creator>
  <cp:keywords/>
  <dc:description>Austris.Jansons@em.gov.lv, 67013062</dc:description>
  <cp:lastModifiedBy>Austris Jansons</cp:lastModifiedBy>
  <cp:revision>33</cp:revision>
  <dcterms:created xsi:type="dcterms:W3CDTF">2014-09-17T18:59:00Z</dcterms:created>
  <dcterms:modified xsi:type="dcterms:W3CDTF">2014-10-10T08:27:00Z</dcterms:modified>
</cp:coreProperties>
</file>