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21" w:rsidRPr="00C74ABA" w:rsidRDefault="00956521" w:rsidP="00F46334">
      <w:pPr>
        <w:spacing w:after="0" w:line="240" w:lineRule="auto"/>
        <w:jc w:val="center"/>
        <w:rPr>
          <w:rFonts w:ascii="Times New Roman" w:eastAsia="Times New Roman" w:hAnsi="Times New Roman" w:cs="Times New Roman"/>
          <w:b/>
          <w:sz w:val="26"/>
          <w:szCs w:val="26"/>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r w:rsidRPr="00C74ABA">
        <w:rPr>
          <w:rFonts w:ascii="Times New Roman" w:eastAsia="Times New Roman" w:hAnsi="Times New Roman" w:cs="Times New Roman"/>
          <w:b/>
          <w:sz w:val="26"/>
          <w:szCs w:val="26"/>
          <w:lang w:eastAsia="lv-LV"/>
        </w:rPr>
        <w:t>Ministru kabineta noteikumu projekta „</w:t>
      </w:r>
      <w:bookmarkEnd w:id="0"/>
      <w:bookmarkEnd w:id="1"/>
      <w:r w:rsidRPr="00C74ABA">
        <w:rPr>
          <w:rFonts w:ascii="Times New Roman" w:eastAsia="Times New Roman" w:hAnsi="Times New Roman" w:cs="Times New Roman"/>
          <w:b/>
          <w:sz w:val="26"/>
          <w:szCs w:val="26"/>
          <w:lang w:eastAsia="lv-LV"/>
        </w:rPr>
        <w:t>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bookmarkEnd w:id="2"/>
    <w:bookmarkEnd w:id="3"/>
    <w:bookmarkEnd w:id="4"/>
    <w:bookmarkEnd w:id="5"/>
    <w:bookmarkEnd w:id="6"/>
    <w:bookmarkEnd w:id="7"/>
    <w:p w:rsidR="00956521" w:rsidRPr="00C74ABA" w:rsidRDefault="00956521" w:rsidP="00F46334">
      <w:pPr>
        <w:spacing w:after="0" w:line="240" w:lineRule="auto"/>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151"/>
        <w:gridCol w:w="6200"/>
      </w:tblGrid>
      <w:tr w:rsidR="00956521" w:rsidRPr="00C74ABA" w:rsidTr="00EE419A">
        <w:tc>
          <w:tcPr>
            <w:tcW w:w="835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C74ABA" w:rsidRDefault="00956521" w:rsidP="00F46334">
            <w:pPr>
              <w:spacing w:after="0" w:line="240" w:lineRule="auto"/>
              <w:jc w:val="center"/>
              <w:rPr>
                <w:rFonts w:ascii="Times New Roman" w:eastAsia="Times New Roman" w:hAnsi="Times New Roman" w:cs="Times New Roman"/>
                <w:b/>
                <w:sz w:val="26"/>
                <w:szCs w:val="26"/>
                <w:lang w:eastAsia="lv-LV"/>
              </w:rPr>
            </w:pPr>
            <w:r w:rsidRPr="00C74ABA">
              <w:rPr>
                <w:rFonts w:ascii="Times New Roman" w:eastAsia="Times New Roman" w:hAnsi="Times New Roman" w:cs="Times New Roman"/>
                <w:b/>
                <w:sz w:val="26"/>
                <w:szCs w:val="26"/>
                <w:lang w:eastAsia="lv-LV"/>
              </w:rPr>
              <w:t>I.Tiesību akta projekta izstrādes nepieciešamība</w:t>
            </w:r>
          </w:p>
        </w:tc>
      </w:tr>
      <w:tr w:rsidR="00956521" w:rsidRPr="00C74ABA"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1. Pamatojums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ind w:firstLine="567"/>
              <w:jc w:val="both"/>
              <w:rPr>
                <w:rFonts w:ascii="Times New Roman" w:eastAsia="Calibri" w:hAnsi="Times New Roman" w:cs="Times New Roman"/>
                <w:sz w:val="26"/>
                <w:szCs w:val="26"/>
              </w:rPr>
            </w:pPr>
            <w:r w:rsidRPr="00C74ABA">
              <w:rPr>
                <w:rFonts w:ascii="Times New Roman" w:eastAsia="Calibri" w:hAnsi="Times New Roman" w:cs="Times New Roman"/>
                <w:sz w:val="26"/>
                <w:szCs w:val="26"/>
              </w:rPr>
              <w:t xml:space="preserve">Noteikumu projekts sagatavots, pamatojoties uz Eiropas Savienības struktūrfondu un </w:t>
            </w:r>
            <w:r w:rsidRPr="00C74ABA">
              <w:rPr>
                <w:rFonts w:ascii="Times New Roman" w:eastAsia="Calibri" w:hAnsi="Times New Roman" w:cs="Times New Roman"/>
                <w:sz w:val="26"/>
                <w:szCs w:val="26"/>
              </w:rPr>
              <w:br/>
              <w:t xml:space="preserve">Kohēzijas fonda vadības likuma </w:t>
            </w:r>
            <w:r w:rsidRPr="00C74ABA">
              <w:rPr>
                <w:rFonts w:ascii="Times New Roman" w:eastAsia="Calibri" w:hAnsi="Times New Roman" w:cs="Times New Roman"/>
                <w:sz w:val="26"/>
                <w:szCs w:val="26"/>
              </w:rPr>
              <w:br/>
              <w:t>18.panta 10.punktu.</w:t>
            </w:r>
          </w:p>
        </w:tc>
      </w:tr>
      <w:tr w:rsidR="00956521" w:rsidRPr="00C74ABA"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 xml:space="preserve">2. </w:t>
            </w:r>
            <w:r w:rsidR="00EE419A" w:rsidRPr="00C74AB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FB703F" w:rsidRPr="00C74ABA" w:rsidRDefault="00956521" w:rsidP="00F46334">
            <w:pPr>
              <w:spacing w:after="0" w:line="240" w:lineRule="auto"/>
              <w:ind w:firstLine="567"/>
              <w:jc w:val="both"/>
              <w:rPr>
                <w:rFonts w:ascii="Times New Roman" w:eastAsia="Calibri" w:hAnsi="Times New Roman" w:cs="Times New Roman"/>
                <w:sz w:val="26"/>
                <w:szCs w:val="26"/>
              </w:rPr>
            </w:pPr>
            <w:r w:rsidRPr="00C74ABA">
              <w:rPr>
                <w:rFonts w:ascii="Times New Roman" w:eastAsia="Calibri" w:hAnsi="Times New Roman" w:cs="Times New Roman"/>
                <w:sz w:val="26"/>
                <w:szCs w:val="26"/>
              </w:rPr>
              <w:t xml:space="preserve">Grozījumi Ministru kabineta 2011.gada 19.oktobra noteikumos Nr.817 „Noteikumi par darbības programmas „Uzņēmējdarbība un inovācijas” papildinājuma 2.1.2.4.aktivitātes „Augstas pievienotās vērtības investīcijas” projektu iesniegumu atlases otro un turpmākajām kārtām” (turpmāk – </w:t>
            </w:r>
            <w:r w:rsidR="008B1C88" w:rsidRPr="00C74ABA">
              <w:rPr>
                <w:rFonts w:ascii="Times New Roman" w:eastAsia="Calibri" w:hAnsi="Times New Roman" w:cs="Times New Roman"/>
                <w:sz w:val="26"/>
                <w:szCs w:val="26"/>
              </w:rPr>
              <w:t>MK noteikumi Nr.817</w:t>
            </w:r>
            <w:r w:rsidR="00D22C9B" w:rsidRPr="00C74ABA">
              <w:rPr>
                <w:rFonts w:ascii="Times New Roman" w:eastAsia="Calibri" w:hAnsi="Times New Roman" w:cs="Times New Roman"/>
                <w:sz w:val="26"/>
                <w:szCs w:val="26"/>
              </w:rPr>
              <w:t>)</w:t>
            </w:r>
            <w:r w:rsidR="00FB703F" w:rsidRPr="00C74ABA">
              <w:rPr>
                <w:rFonts w:ascii="Times New Roman" w:eastAsia="Calibri" w:hAnsi="Times New Roman" w:cs="Times New Roman"/>
                <w:sz w:val="26"/>
                <w:szCs w:val="26"/>
              </w:rPr>
              <w:t xml:space="preserve"> ir nepieciešami, lai veiktu finansējuma palielināšanu saskaņā ar grozījumiem, kuri </w:t>
            </w:r>
            <w:r w:rsidR="007C297F" w:rsidRPr="00C74ABA">
              <w:rPr>
                <w:rFonts w:ascii="Times New Roman" w:eastAsia="Calibri" w:hAnsi="Times New Roman" w:cs="Times New Roman"/>
                <w:sz w:val="26"/>
                <w:szCs w:val="26"/>
              </w:rPr>
              <w:t xml:space="preserve">tiek </w:t>
            </w:r>
            <w:r w:rsidR="00FB703F" w:rsidRPr="00C74ABA">
              <w:rPr>
                <w:rFonts w:ascii="Times New Roman" w:eastAsia="Calibri" w:hAnsi="Times New Roman" w:cs="Times New Roman"/>
                <w:sz w:val="26"/>
                <w:szCs w:val="26"/>
              </w:rPr>
              <w:t xml:space="preserve">veikti darbības programmas „Uzņēmējdarbība un inovācijas” papildinājumā. </w:t>
            </w:r>
          </w:p>
          <w:p w:rsidR="00E729D4" w:rsidRPr="00C74ABA" w:rsidRDefault="007853CA" w:rsidP="007853CA">
            <w:pPr>
              <w:spacing w:after="0" w:line="240" w:lineRule="auto"/>
              <w:ind w:firstLine="699"/>
              <w:jc w:val="both"/>
              <w:rPr>
                <w:rFonts w:ascii="Times New Roman" w:hAnsi="Times New Roman" w:cs="Times New Roman"/>
                <w:color w:val="000000" w:themeColor="text1"/>
                <w:sz w:val="26"/>
                <w:szCs w:val="26"/>
              </w:rPr>
            </w:pPr>
            <w:r w:rsidRPr="00C74ABA">
              <w:rPr>
                <w:rFonts w:ascii="Times New Roman" w:hAnsi="Times New Roman" w:cs="Times New Roman"/>
                <w:color w:val="000000" w:themeColor="text1"/>
                <w:sz w:val="26"/>
                <w:szCs w:val="26"/>
              </w:rPr>
              <w:t xml:space="preserve">Pašlaik 2.1.2.4.aktivitātes projektu iesniegumu atlases ceturtās kārtas īstenošanai ir pieejami </w:t>
            </w:r>
            <w:r w:rsidR="004A5CBA" w:rsidRPr="00C74ABA">
              <w:rPr>
                <w:rFonts w:ascii="Times New Roman" w:hAnsi="Times New Roman" w:cs="Times New Roman"/>
                <w:color w:val="000000" w:themeColor="text1"/>
                <w:sz w:val="26"/>
                <w:szCs w:val="26"/>
              </w:rPr>
              <w:t xml:space="preserve">42 424 003 </w:t>
            </w:r>
            <w:proofErr w:type="spellStart"/>
            <w:r w:rsidRPr="00C74ABA">
              <w:rPr>
                <w:rFonts w:ascii="Times New Roman" w:hAnsi="Times New Roman" w:cs="Times New Roman"/>
                <w:i/>
                <w:color w:val="000000" w:themeColor="text1"/>
                <w:sz w:val="26"/>
                <w:szCs w:val="26"/>
              </w:rPr>
              <w:t>euro</w:t>
            </w:r>
            <w:proofErr w:type="spellEnd"/>
            <w:r w:rsidR="004A5CBA" w:rsidRPr="00C74ABA">
              <w:rPr>
                <w:rFonts w:ascii="Times New Roman" w:hAnsi="Times New Roman" w:cs="Times New Roman"/>
                <w:color w:val="000000" w:themeColor="text1"/>
                <w:sz w:val="26"/>
                <w:szCs w:val="26"/>
              </w:rPr>
              <w:t xml:space="preserve"> (sludinājums par projektu iesniegumu pieņemšanu)</w:t>
            </w:r>
            <w:r w:rsidRPr="00C74ABA">
              <w:rPr>
                <w:rFonts w:ascii="Times New Roman" w:hAnsi="Times New Roman" w:cs="Times New Roman"/>
                <w:color w:val="000000" w:themeColor="text1"/>
                <w:sz w:val="26"/>
                <w:szCs w:val="26"/>
              </w:rPr>
              <w:t xml:space="preserve">. </w:t>
            </w:r>
          </w:p>
          <w:p w:rsidR="00235267" w:rsidRPr="00C74ABA" w:rsidRDefault="00E729D4" w:rsidP="007853CA">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color w:val="000000" w:themeColor="text1"/>
                <w:sz w:val="26"/>
                <w:szCs w:val="26"/>
              </w:rPr>
              <w:t xml:space="preserve">Eiropas Reģionālā attīstības </w:t>
            </w:r>
            <w:r w:rsidRPr="00C74ABA">
              <w:rPr>
                <w:rFonts w:ascii="Times New Roman" w:hAnsi="Times New Roman" w:cs="Times New Roman"/>
                <w:b/>
                <w:color w:val="000000" w:themeColor="text1"/>
                <w:sz w:val="26"/>
                <w:szCs w:val="26"/>
              </w:rPr>
              <w:t>fonda</w:t>
            </w:r>
            <w:r w:rsidR="00235267" w:rsidRPr="00C74ABA">
              <w:rPr>
                <w:rFonts w:ascii="Times New Roman" w:hAnsi="Times New Roman" w:cs="Times New Roman"/>
                <w:b/>
                <w:color w:val="000000" w:themeColor="text1"/>
                <w:sz w:val="26"/>
                <w:szCs w:val="26"/>
              </w:rPr>
              <w:t xml:space="preserve"> līdzfinansējums tiek palielināts pārdalot brīvo finansējumu:</w:t>
            </w:r>
          </w:p>
          <w:p w:rsidR="00235267" w:rsidRPr="00C74ABA" w:rsidRDefault="00235267" w:rsidP="00235267">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b/>
                <w:color w:val="000000" w:themeColor="text1"/>
                <w:sz w:val="26"/>
                <w:szCs w:val="26"/>
              </w:rPr>
              <w:t xml:space="preserve">no 2.1.2.1.2. </w:t>
            </w:r>
            <w:proofErr w:type="spellStart"/>
            <w:r w:rsidRPr="00C74ABA">
              <w:rPr>
                <w:rFonts w:ascii="Times New Roman" w:hAnsi="Times New Roman" w:cs="Times New Roman"/>
                <w:b/>
                <w:color w:val="000000" w:themeColor="text1"/>
                <w:sz w:val="26"/>
                <w:szCs w:val="26"/>
              </w:rPr>
              <w:t>apakšaktivitātes</w:t>
            </w:r>
            <w:proofErr w:type="spellEnd"/>
            <w:r w:rsidRPr="00C74ABA">
              <w:rPr>
                <w:rFonts w:ascii="Times New Roman" w:hAnsi="Times New Roman" w:cs="Times New Roman"/>
                <w:b/>
                <w:color w:val="000000" w:themeColor="text1"/>
                <w:sz w:val="26"/>
                <w:szCs w:val="26"/>
              </w:rPr>
              <w:t xml:space="preserve"> „Tehnoloģiju pārneses kontaktpunkti” 28 883 </w:t>
            </w:r>
            <w:proofErr w:type="spellStart"/>
            <w:r w:rsidR="00BF4286" w:rsidRPr="00C74ABA">
              <w:rPr>
                <w:rFonts w:ascii="Times New Roman" w:hAnsi="Times New Roman" w:cs="Times New Roman"/>
                <w:b/>
                <w:i/>
                <w:color w:val="000000" w:themeColor="text1"/>
                <w:sz w:val="26"/>
                <w:szCs w:val="26"/>
              </w:rPr>
              <w:t>euro</w:t>
            </w:r>
            <w:proofErr w:type="spellEnd"/>
            <w:r w:rsidRPr="00C74ABA">
              <w:rPr>
                <w:rFonts w:ascii="Times New Roman" w:hAnsi="Times New Roman" w:cs="Times New Roman"/>
                <w:b/>
                <w:color w:val="000000" w:themeColor="text1"/>
                <w:sz w:val="26"/>
                <w:szCs w:val="26"/>
              </w:rPr>
              <w:t xml:space="preserve"> apmērā;</w:t>
            </w:r>
          </w:p>
          <w:p w:rsidR="00235267" w:rsidRPr="00C74ABA" w:rsidRDefault="00235267" w:rsidP="00235267">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b/>
                <w:color w:val="000000" w:themeColor="text1"/>
                <w:sz w:val="26"/>
                <w:szCs w:val="26"/>
              </w:rPr>
              <w:t>no 2.1.2.2.1.apakšaktivitātes „Jaunu produktu un tehnoloģiju izstrāde” 2 209</w:t>
            </w:r>
            <w:r w:rsidR="00BF4286" w:rsidRPr="00C74ABA">
              <w:rPr>
                <w:rFonts w:ascii="Times New Roman" w:hAnsi="Times New Roman" w:cs="Times New Roman"/>
                <w:b/>
                <w:color w:val="000000" w:themeColor="text1"/>
                <w:sz w:val="26"/>
                <w:szCs w:val="26"/>
              </w:rPr>
              <w:t> </w:t>
            </w:r>
            <w:r w:rsidRPr="00C74ABA">
              <w:rPr>
                <w:rFonts w:ascii="Times New Roman" w:hAnsi="Times New Roman" w:cs="Times New Roman"/>
                <w:b/>
                <w:color w:val="000000" w:themeColor="text1"/>
                <w:sz w:val="26"/>
                <w:szCs w:val="26"/>
              </w:rPr>
              <w:t>245</w:t>
            </w:r>
            <w:r w:rsidR="00BF4286" w:rsidRPr="00C74ABA">
              <w:rPr>
                <w:rFonts w:ascii="Times New Roman" w:hAnsi="Times New Roman" w:cs="Times New Roman"/>
                <w:b/>
                <w:color w:val="000000" w:themeColor="text1"/>
                <w:sz w:val="26"/>
                <w:szCs w:val="26"/>
              </w:rPr>
              <w:t xml:space="preserve"> </w:t>
            </w:r>
            <w:proofErr w:type="spellStart"/>
            <w:r w:rsidR="00BF4286" w:rsidRPr="00C74ABA">
              <w:rPr>
                <w:rFonts w:ascii="Times New Roman" w:hAnsi="Times New Roman" w:cs="Times New Roman"/>
                <w:b/>
                <w:i/>
                <w:color w:val="000000" w:themeColor="text1"/>
                <w:sz w:val="26"/>
                <w:szCs w:val="26"/>
              </w:rPr>
              <w:t>euro</w:t>
            </w:r>
            <w:proofErr w:type="spellEnd"/>
            <w:r w:rsidRPr="00C74ABA">
              <w:rPr>
                <w:rFonts w:ascii="Times New Roman" w:hAnsi="Times New Roman" w:cs="Times New Roman"/>
                <w:b/>
                <w:color w:val="000000" w:themeColor="text1"/>
                <w:sz w:val="26"/>
                <w:szCs w:val="26"/>
              </w:rPr>
              <w:t xml:space="preserve"> apmērā;</w:t>
            </w:r>
          </w:p>
          <w:p w:rsidR="00235267" w:rsidRPr="00C74ABA" w:rsidRDefault="00235267" w:rsidP="00235267">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b/>
                <w:color w:val="000000" w:themeColor="text1"/>
                <w:sz w:val="26"/>
                <w:szCs w:val="26"/>
              </w:rPr>
              <w:t>no 2.1.2.2.2.apakšaktivitātes „Jaunu produktu un tehnoloģiju izstrāde – atbalsts jaunu produktu un tehnoloģiju ieviešanai ražošanā” 2 837</w:t>
            </w:r>
            <w:r w:rsidR="00BF4286" w:rsidRPr="00C74ABA">
              <w:rPr>
                <w:rFonts w:ascii="Times New Roman" w:hAnsi="Times New Roman" w:cs="Times New Roman"/>
                <w:b/>
                <w:color w:val="000000" w:themeColor="text1"/>
                <w:sz w:val="26"/>
                <w:szCs w:val="26"/>
              </w:rPr>
              <w:t> </w:t>
            </w:r>
            <w:r w:rsidRPr="00C74ABA">
              <w:rPr>
                <w:rFonts w:ascii="Times New Roman" w:hAnsi="Times New Roman" w:cs="Times New Roman"/>
                <w:b/>
                <w:color w:val="000000" w:themeColor="text1"/>
                <w:sz w:val="26"/>
                <w:szCs w:val="26"/>
              </w:rPr>
              <w:t>582</w:t>
            </w:r>
            <w:r w:rsidR="00BF4286" w:rsidRPr="00C74ABA">
              <w:rPr>
                <w:rFonts w:ascii="Times New Roman" w:hAnsi="Times New Roman" w:cs="Times New Roman"/>
                <w:b/>
                <w:color w:val="000000" w:themeColor="text1"/>
                <w:sz w:val="26"/>
                <w:szCs w:val="26"/>
              </w:rPr>
              <w:t xml:space="preserve"> </w:t>
            </w:r>
            <w:proofErr w:type="spellStart"/>
            <w:r w:rsidR="00BF4286" w:rsidRPr="00C74ABA">
              <w:rPr>
                <w:rFonts w:ascii="Times New Roman" w:hAnsi="Times New Roman" w:cs="Times New Roman"/>
                <w:b/>
                <w:i/>
                <w:color w:val="000000" w:themeColor="text1"/>
                <w:sz w:val="26"/>
                <w:szCs w:val="26"/>
              </w:rPr>
              <w:t>euro</w:t>
            </w:r>
            <w:proofErr w:type="spellEnd"/>
            <w:r w:rsidRPr="00C74ABA">
              <w:rPr>
                <w:rFonts w:ascii="Times New Roman" w:hAnsi="Times New Roman" w:cs="Times New Roman"/>
                <w:b/>
                <w:color w:val="000000" w:themeColor="text1"/>
                <w:sz w:val="26"/>
                <w:szCs w:val="26"/>
              </w:rPr>
              <w:t xml:space="preserve"> apmērā; </w:t>
            </w:r>
          </w:p>
          <w:p w:rsidR="00235267" w:rsidRPr="00C74ABA" w:rsidRDefault="00235267" w:rsidP="00235267">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b/>
                <w:color w:val="000000" w:themeColor="text1"/>
                <w:sz w:val="26"/>
                <w:szCs w:val="26"/>
              </w:rPr>
              <w:t>no 2.1.2.2.3.apakšaktivitātes „Jaunu produktu un tehnoloģiju izstrāde – atbalsts rūpnieciskā īpašuma tiesību nostiprināšanai” 154</w:t>
            </w:r>
            <w:r w:rsidR="00BF4286" w:rsidRPr="00C74ABA">
              <w:rPr>
                <w:rFonts w:ascii="Times New Roman" w:hAnsi="Times New Roman" w:cs="Times New Roman"/>
                <w:b/>
                <w:color w:val="000000" w:themeColor="text1"/>
                <w:sz w:val="26"/>
                <w:szCs w:val="26"/>
              </w:rPr>
              <w:t> </w:t>
            </w:r>
            <w:r w:rsidRPr="00C74ABA">
              <w:rPr>
                <w:rFonts w:ascii="Times New Roman" w:hAnsi="Times New Roman" w:cs="Times New Roman"/>
                <w:b/>
                <w:color w:val="000000" w:themeColor="text1"/>
                <w:sz w:val="26"/>
                <w:szCs w:val="26"/>
              </w:rPr>
              <w:t>967</w:t>
            </w:r>
            <w:r w:rsidR="00BF4286" w:rsidRPr="00C74ABA">
              <w:rPr>
                <w:rFonts w:ascii="Times New Roman" w:hAnsi="Times New Roman" w:cs="Times New Roman"/>
                <w:b/>
                <w:color w:val="000000" w:themeColor="text1"/>
                <w:sz w:val="26"/>
                <w:szCs w:val="26"/>
              </w:rPr>
              <w:t xml:space="preserve"> </w:t>
            </w:r>
            <w:proofErr w:type="spellStart"/>
            <w:r w:rsidR="00BF4286" w:rsidRPr="00C74ABA">
              <w:rPr>
                <w:rFonts w:ascii="Times New Roman" w:hAnsi="Times New Roman" w:cs="Times New Roman"/>
                <w:b/>
                <w:i/>
                <w:color w:val="000000" w:themeColor="text1"/>
                <w:sz w:val="26"/>
                <w:szCs w:val="26"/>
              </w:rPr>
              <w:t>euro</w:t>
            </w:r>
            <w:proofErr w:type="spellEnd"/>
            <w:r w:rsidRPr="00C74ABA">
              <w:rPr>
                <w:rFonts w:ascii="Times New Roman" w:hAnsi="Times New Roman" w:cs="Times New Roman"/>
                <w:b/>
                <w:color w:val="000000" w:themeColor="text1"/>
                <w:sz w:val="26"/>
                <w:szCs w:val="26"/>
              </w:rPr>
              <w:t xml:space="preserve"> apmērā.</w:t>
            </w:r>
          </w:p>
          <w:p w:rsidR="00D554F2" w:rsidRPr="00C74ABA" w:rsidRDefault="00235267" w:rsidP="00235267">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b/>
                <w:color w:val="000000" w:themeColor="text1"/>
                <w:sz w:val="26"/>
                <w:szCs w:val="26"/>
              </w:rPr>
              <w:t>no 2.1.2.2.4.apakšaktivitātes „MVK jaunu produktu un tehnoloģiju attīstības programma” 2 000</w:t>
            </w:r>
            <w:r w:rsidR="00BF4286" w:rsidRPr="00C74ABA">
              <w:rPr>
                <w:rFonts w:ascii="Times New Roman" w:hAnsi="Times New Roman" w:cs="Times New Roman"/>
                <w:b/>
                <w:color w:val="000000" w:themeColor="text1"/>
                <w:sz w:val="26"/>
                <w:szCs w:val="26"/>
              </w:rPr>
              <w:t> </w:t>
            </w:r>
            <w:r w:rsidRPr="00C74ABA">
              <w:rPr>
                <w:rFonts w:ascii="Times New Roman" w:hAnsi="Times New Roman" w:cs="Times New Roman"/>
                <w:b/>
                <w:color w:val="000000" w:themeColor="text1"/>
                <w:sz w:val="26"/>
                <w:szCs w:val="26"/>
              </w:rPr>
              <w:t>014</w:t>
            </w:r>
            <w:r w:rsidR="00BF4286" w:rsidRPr="00C74ABA">
              <w:rPr>
                <w:rFonts w:ascii="Times New Roman" w:hAnsi="Times New Roman" w:cs="Times New Roman"/>
                <w:b/>
                <w:color w:val="000000" w:themeColor="text1"/>
                <w:sz w:val="26"/>
                <w:szCs w:val="26"/>
              </w:rPr>
              <w:t xml:space="preserve"> </w:t>
            </w:r>
            <w:proofErr w:type="spellStart"/>
            <w:r w:rsidR="00BF4286" w:rsidRPr="00C74ABA">
              <w:rPr>
                <w:rFonts w:ascii="Times New Roman" w:hAnsi="Times New Roman" w:cs="Times New Roman"/>
                <w:b/>
                <w:i/>
                <w:color w:val="000000" w:themeColor="text1"/>
                <w:sz w:val="26"/>
                <w:szCs w:val="26"/>
              </w:rPr>
              <w:t>euro</w:t>
            </w:r>
            <w:proofErr w:type="spellEnd"/>
            <w:r w:rsidRPr="00C74ABA">
              <w:rPr>
                <w:rFonts w:ascii="Times New Roman" w:hAnsi="Times New Roman" w:cs="Times New Roman"/>
                <w:b/>
                <w:color w:val="000000" w:themeColor="text1"/>
                <w:sz w:val="26"/>
                <w:szCs w:val="26"/>
              </w:rPr>
              <w:t xml:space="preserve"> apmērā.</w:t>
            </w:r>
            <w:r w:rsidR="00E729D4" w:rsidRPr="00C74ABA">
              <w:rPr>
                <w:rFonts w:ascii="Times New Roman" w:hAnsi="Times New Roman" w:cs="Times New Roman"/>
                <w:b/>
                <w:color w:val="000000" w:themeColor="text1"/>
                <w:sz w:val="26"/>
                <w:szCs w:val="26"/>
              </w:rPr>
              <w:t xml:space="preserve">. </w:t>
            </w:r>
          </w:p>
          <w:p w:rsidR="00D554F2" w:rsidRPr="00C74ABA" w:rsidRDefault="00E729D4" w:rsidP="007853CA">
            <w:pPr>
              <w:spacing w:after="0" w:line="240" w:lineRule="auto"/>
              <w:ind w:firstLine="699"/>
              <w:jc w:val="both"/>
              <w:rPr>
                <w:rFonts w:ascii="Times New Roman" w:hAnsi="Times New Roman" w:cs="Times New Roman"/>
                <w:color w:val="000000" w:themeColor="text1"/>
                <w:sz w:val="26"/>
                <w:szCs w:val="26"/>
              </w:rPr>
            </w:pPr>
            <w:proofErr w:type="spellStart"/>
            <w:r w:rsidRPr="00C74ABA">
              <w:rPr>
                <w:rFonts w:ascii="Times New Roman" w:hAnsi="Times New Roman" w:cs="Times New Roman"/>
                <w:color w:val="000000" w:themeColor="text1"/>
                <w:sz w:val="26"/>
                <w:szCs w:val="26"/>
              </w:rPr>
              <w:t>Virssaistību</w:t>
            </w:r>
            <w:proofErr w:type="spellEnd"/>
            <w:r w:rsidRPr="00C74ABA">
              <w:rPr>
                <w:rFonts w:ascii="Times New Roman" w:hAnsi="Times New Roman" w:cs="Times New Roman"/>
                <w:color w:val="000000" w:themeColor="text1"/>
                <w:sz w:val="26"/>
                <w:szCs w:val="26"/>
              </w:rPr>
              <w:t xml:space="preserve"> finansējums tiek palielināts, pārdalot neizmantotās </w:t>
            </w:r>
            <w:proofErr w:type="spellStart"/>
            <w:r w:rsidRPr="00C74ABA">
              <w:rPr>
                <w:rFonts w:ascii="Times New Roman" w:hAnsi="Times New Roman" w:cs="Times New Roman"/>
                <w:color w:val="000000" w:themeColor="text1"/>
                <w:sz w:val="26"/>
                <w:szCs w:val="26"/>
              </w:rPr>
              <w:t>virssaistības</w:t>
            </w:r>
            <w:proofErr w:type="spellEnd"/>
            <w:r w:rsidRPr="00C74ABA">
              <w:rPr>
                <w:rFonts w:ascii="Times New Roman" w:hAnsi="Times New Roman" w:cs="Times New Roman"/>
                <w:color w:val="000000" w:themeColor="text1"/>
                <w:sz w:val="26"/>
                <w:szCs w:val="26"/>
              </w:rPr>
              <w:t xml:space="preserve"> </w:t>
            </w:r>
            <w:r w:rsidR="00167068" w:rsidRPr="00C74ABA">
              <w:rPr>
                <w:rFonts w:ascii="Times New Roman" w:hAnsi="Times New Roman" w:cs="Times New Roman"/>
                <w:b/>
                <w:color w:val="000000" w:themeColor="text1"/>
                <w:sz w:val="26"/>
                <w:szCs w:val="26"/>
              </w:rPr>
              <w:t>4 741 168</w:t>
            </w:r>
            <w:r w:rsidR="00167068" w:rsidRPr="00C74ABA">
              <w:rPr>
                <w:rFonts w:ascii="Times New Roman" w:hAnsi="Times New Roman" w:cs="Times New Roman"/>
                <w:color w:val="000000" w:themeColor="text1"/>
                <w:sz w:val="26"/>
                <w:szCs w:val="26"/>
              </w:rPr>
              <w:t xml:space="preserve"> </w:t>
            </w:r>
            <w:r w:rsidRPr="00C74ABA">
              <w:rPr>
                <w:rFonts w:ascii="Times New Roman" w:hAnsi="Times New Roman" w:cs="Times New Roman"/>
                <w:color w:val="000000" w:themeColor="text1"/>
                <w:sz w:val="26"/>
                <w:szCs w:val="26"/>
              </w:rPr>
              <w:t xml:space="preserve"> </w:t>
            </w:r>
            <w:proofErr w:type="spellStart"/>
            <w:r w:rsidRPr="00C74ABA">
              <w:rPr>
                <w:rFonts w:ascii="Times New Roman" w:hAnsi="Times New Roman" w:cs="Times New Roman"/>
                <w:i/>
                <w:color w:val="000000" w:themeColor="text1"/>
                <w:sz w:val="26"/>
                <w:szCs w:val="26"/>
              </w:rPr>
              <w:t>euro</w:t>
            </w:r>
            <w:proofErr w:type="spellEnd"/>
            <w:r w:rsidRPr="00C74ABA">
              <w:rPr>
                <w:rFonts w:ascii="Times New Roman" w:hAnsi="Times New Roman" w:cs="Times New Roman"/>
                <w:color w:val="000000" w:themeColor="text1"/>
                <w:sz w:val="26"/>
                <w:szCs w:val="26"/>
              </w:rPr>
              <w:t xml:space="preserve"> </w:t>
            </w:r>
            <w:r w:rsidR="005D0CA5" w:rsidRPr="00C74ABA">
              <w:rPr>
                <w:rFonts w:ascii="Times New Roman" w:hAnsi="Times New Roman" w:cs="Times New Roman"/>
                <w:color w:val="000000" w:themeColor="text1"/>
                <w:sz w:val="26"/>
                <w:szCs w:val="26"/>
              </w:rPr>
              <w:t>apjomā</w:t>
            </w:r>
            <w:r w:rsidRPr="00C74ABA">
              <w:rPr>
                <w:rFonts w:ascii="Times New Roman" w:hAnsi="Times New Roman" w:cs="Times New Roman"/>
                <w:color w:val="000000" w:themeColor="text1"/>
                <w:sz w:val="26"/>
                <w:szCs w:val="26"/>
              </w:rPr>
              <w:t xml:space="preserve"> no </w:t>
            </w:r>
            <w:r w:rsidRPr="00C74ABA">
              <w:rPr>
                <w:rFonts w:ascii="Times New Roman" w:hAnsi="Times New Roman" w:cs="Times New Roman"/>
                <w:color w:val="000000" w:themeColor="text1"/>
                <w:sz w:val="26"/>
                <w:szCs w:val="26"/>
              </w:rPr>
              <w:lastRenderedPageBreak/>
              <w:t>2.3.2.2.2.apakšaktivitātes "Atbalsts ieguldījumiem ražošanas telpu izveidei vai rekonstrukcijai".</w:t>
            </w:r>
            <w:r w:rsidR="005D0CA5" w:rsidRPr="00C74ABA">
              <w:rPr>
                <w:rFonts w:ascii="Times New Roman" w:hAnsi="Times New Roman" w:cs="Times New Roman"/>
                <w:color w:val="000000" w:themeColor="text1"/>
                <w:sz w:val="26"/>
                <w:szCs w:val="26"/>
              </w:rPr>
              <w:t xml:space="preserve"> </w:t>
            </w:r>
          </w:p>
          <w:p w:rsidR="00807CE6" w:rsidRPr="00C74ABA" w:rsidRDefault="00BA48C1" w:rsidP="007853CA">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b/>
                <w:color w:val="000000" w:themeColor="text1"/>
                <w:sz w:val="26"/>
                <w:szCs w:val="26"/>
              </w:rPr>
              <w:t>Valsts budžeta</w:t>
            </w:r>
            <w:r w:rsidR="00575F0F" w:rsidRPr="00C74ABA">
              <w:rPr>
                <w:rFonts w:ascii="Times New Roman" w:hAnsi="Times New Roman" w:cs="Times New Roman"/>
                <w:b/>
                <w:color w:val="000000" w:themeColor="text1"/>
                <w:sz w:val="26"/>
                <w:szCs w:val="26"/>
              </w:rPr>
              <w:t xml:space="preserve"> finansējums no 2.1.2.4.aktivitātes 1 589 584 </w:t>
            </w:r>
            <w:proofErr w:type="spellStart"/>
            <w:r w:rsidR="00575F0F" w:rsidRPr="00C74ABA">
              <w:rPr>
                <w:rFonts w:ascii="Times New Roman" w:hAnsi="Times New Roman" w:cs="Times New Roman"/>
                <w:b/>
                <w:i/>
                <w:color w:val="000000" w:themeColor="text1"/>
                <w:sz w:val="26"/>
                <w:szCs w:val="26"/>
              </w:rPr>
              <w:t>euro</w:t>
            </w:r>
            <w:proofErr w:type="spellEnd"/>
            <w:r w:rsidR="00575F0F" w:rsidRPr="00C74ABA">
              <w:rPr>
                <w:rFonts w:ascii="Times New Roman" w:hAnsi="Times New Roman" w:cs="Times New Roman"/>
                <w:b/>
                <w:color w:val="000000" w:themeColor="text1"/>
                <w:sz w:val="26"/>
                <w:szCs w:val="26"/>
              </w:rPr>
              <w:t xml:space="preserve"> apmērā pārdalīts uz 2.1.1.3.1.apakšaktivitāti „Zinātniskās infrastruktūras attīstība”, jo atbilstoši Ministru kabineta 2013.gada 2.aprīļa </w:t>
            </w:r>
            <w:proofErr w:type="spellStart"/>
            <w:r w:rsidR="00575F0F" w:rsidRPr="00C74ABA">
              <w:rPr>
                <w:rFonts w:ascii="Times New Roman" w:hAnsi="Times New Roman" w:cs="Times New Roman"/>
                <w:b/>
                <w:color w:val="000000" w:themeColor="text1"/>
                <w:sz w:val="26"/>
                <w:szCs w:val="26"/>
              </w:rPr>
              <w:t>protokollēmumam</w:t>
            </w:r>
            <w:proofErr w:type="spellEnd"/>
            <w:r w:rsidR="00575F0F" w:rsidRPr="00C74ABA">
              <w:rPr>
                <w:rFonts w:ascii="Times New Roman" w:hAnsi="Times New Roman" w:cs="Times New Roman"/>
                <w:b/>
                <w:color w:val="000000" w:themeColor="text1"/>
                <w:sz w:val="26"/>
                <w:szCs w:val="26"/>
              </w:rPr>
              <w:t xml:space="preserve"> (</w:t>
            </w:r>
            <w:proofErr w:type="spellStart"/>
            <w:r w:rsidR="00575F0F" w:rsidRPr="00C74ABA">
              <w:rPr>
                <w:rFonts w:ascii="Times New Roman" w:hAnsi="Times New Roman" w:cs="Times New Roman"/>
                <w:b/>
                <w:color w:val="000000" w:themeColor="text1"/>
                <w:sz w:val="26"/>
                <w:szCs w:val="26"/>
              </w:rPr>
              <w:t>prot</w:t>
            </w:r>
            <w:proofErr w:type="spellEnd"/>
            <w:r w:rsidR="00575F0F" w:rsidRPr="00C74ABA">
              <w:rPr>
                <w:rFonts w:ascii="Times New Roman" w:hAnsi="Times New Roman" w:cs="Times New Roman"/>
                <w:b/>
                <w:color w:val="000000" w:themeColor="text1"/>
                <w:sz w:val="26"/>
                <w:szCs w:val="26"/>
              </w:rPr>
              <w:t xml:space="preserve">. Nr.17 46.§) „Atbildes projekts Saeimas Izglītības, kultūras un zinātnes komisijai (par papildu finansējumu zinātnei 2013.gadā)” Ministru kabinets ir atbalstījis valsts budžeta finansējuma piešķiršanu 2,1 </w:t>
            </w:r>
            <w:proofErr w:type="spellStart"/>
            <w:r w:rsidR="00575F0F" w:rsidRPr="00C74ABA">
              <w:rPr>
                <w:rFonts w:ascii="Times New Roman" w:hAnsi="Times New Roman" w:cs="Times New Roman"/>
                <w:b/>
                <w:color w:val="000000" w:themeColor="text1"/>
                <w:sz w:val="26"/>
                <w:szCs w:val="26"/>
              </w:rPr>
              <w:t>milj</w:t>
            </w:r>
            <w:proofErr w:type="spellEnd"/>
            <w:r w:rsidR="00575F0F" w:rsidRPr="00C74ABA">
              <w:rPr>
                <w:rFonts w:ascii="Times New Roman" w:hAnsi="Times New Roman" w:cs="Times New Roman"/>
                <w:b/>
                <w:color w:val="000000" w:themeColor="text1"/>
                <w:sz w:val="26"/>
                <w:szCs w:val="26"/>
              </w:rPr>
              <w:t xml:space="preserve">. latu jeb 2 988 031 </w:t>
            </w:r>
            <w:proofErr w:type="spellStart"/>
            <w:r w:rsidR="00575F0F" w:rsidRPr="00C74ABA">
              <w:rPr>
                <w:rFonts w:ascii="Times New Roman" w:hAnsi="Times New Roman" w:cs="Times New Roman"/>
                <w:b/>
                <w:color w:val="000000" w:themeColor="text1"/>
                <w:sz w:val="26"/>
                <w:szCs w:val="26"/>
              </w:rPr>
              <w:t>euro</w:t>
            </w:r>
            <w:proofErr w:type="spellEnd"/>
            <w:r w:rsidR="00575F0F" w:rsidRPr="00C74ABA">
              <w:rPr>
                <w:rFonts w:ascii="Times New Roman" w:hAnsi="Times New Roman" w:cs="Times New Roman"/>
                <w:b/>
                <w:color w:val="000000" w:themeColor="text1"/>
                <w:sz w:val="26"/>
                <w:szCs w:val="26"/>
              </w:rPr>
              <w:t xml:space="preserve"> apmērā ar komercdarbības atbalstu nesaistītu projektu īstenošanai nepieciešamā nacionālā līdzfinansējuma daļējai nodrošināšanai. Ar minēto valsts budžeta finansējumu ES struktūrfondu projektu īstenošanai var aizvietot sākotnēji plānoto valsts budžeta finansējums zinātniskās institūcijas pamatdarbību īstenošanai un ieguldījumus natūrā.</w:t>
            </w:r>
            <w:r w:rsidR="000535FC" w:rsidRPr="00C74ABA">
              <w:rPr>
                <w:rFonts w:ascii="Times New Roman" w:hAnsi="Times New Roman" w:cs="Times New Roman"/>
                <w:b/>
                <w:color w:val="000000" w:themeColor="text1"/>
                <w:sz w:val="26"/>
                <w:szCs w:val="26"/>
              </w:rPr>
              <w:t xml:space="preserve"> </w:t>
            </w:r>
          </w:p>
          <w:p w:rsidR="00D554F2" w:rsidRPr="00C74ABA" w:rsidRDefault="005D0CA5" w:rsidP="007853CA">
            <w:pPr>
              <w:spacing w:after="0" w:line="240" w:lineRule="auto"/>
              <w:ind w:firstLine="699"/>
              <w:jc w:val="both"/>
              <w:rPr>
                <w:rFonts w:ascii="Times New Roman" w:hAnsi="Times New Roman" w:cs="Times New Roman"/>
                <w:b/>
                <w:color w:val="000000" w:themeColor="text1"/>
                <w:sz w:val="26"/>
                <w:szCs w:val="26"/>
              </w:rPr>
            </w:pPr>
            <w:r w:rsidRPr="00C74ABA">
              <w:rPr>
                <w:rFonts w:ascii="Times New Roman" w:hAnsi="Times New Roman" w:cs="Times New Roman"/>
                <w:color w:val="000000" w:themeColor="text1"/>
                <w:sz w:val="26"/>
                <w:szCs w:val="26"/>
              </w:rPr>
              <w:t xml:space="preserve">Pēc grozījumiem </w:t>
            </w:r>
            <w:r w:rsidR="00D554F2" w:rsidRPr="00C74ABA">
              <w:rPr>
                <w:rFonts w:ascii="Times New Roman" w:hAnsi="Times New Roman" w:cs="Times New Roman"/>
                <w:color w:val="000000" w:themeColor="text1"/>
                <w:sz w:val="26"/>
                <w:szCs w:val="26"/>
              </w:rPr>
              <w:t xml:space="preserve">MK noteikumu Nr.817 ietvaros pieejamais kopējais publiskais finansējums ir </w:t>
            </w:r>
            <w:r w:rsidR="00167068" w:rsidRPr="00C74ABA">
              <w:rPr>
                <w:rFonts w:ascii="Times New Roman" w:hAnsi="Times New Roman" w:cs="Times New Roman"/>
                <w:b/>
                <w:color w:val="000000" w:themeColor="text1"/>
                <w:sz w:val="26"/>
                <w:szCs w:val="26"/>
              </w:rPr>
              <w:t>14</w:t>
            </w:r>
            <w:r w:rsidR="00235267" w:rsidRPr="00C74ABA">
              <w:rPr>
                <w:rFonts w:ascii="Times New Roman" w:hAnsi="Times New Roman" w:cs="Times New Roman"/>
                <w:b/>
                <w:color w:val="000000" w:themeColor="text1"/>
                <w:sz w:val="26"/>
                <w:szCs w:val="26"/>
              </w:rPr>
              <w:t>8</w:t>
            </w:r>
            <w:r w:rsidR="00167068" w:rsidRPr="00C74ABA">
              <w:rPr>
                <w:rFonts w:ascii="Times New Roman" w:hAnsi="Times New Roman" w:cs="Times New Roman"/>
                <w:b/>
                <w:color w:val="000000" w:themeColor="text1"/>
                <w:sz w:val="26"/>
                <w:szCs w:val="26"/>
              </w:rPr>
              <w:t xml:space="preserve"> 836 192</w:t>
            </w:r>
            <w:r w:rsidR="00167068" w:rsidRPr="00C74ABA">
              <w:rPr>
                <w:rFonts w:ascii="Times New Roman" w:hAnsi="Times New Roman" w:cs="Times New Roman"/>
                <w:color w:val="000000" w:themeColor="text1"/>
                <w:sz w:val="26"/>
                <w:szCs w:val="26"/>
              </w:rPr>
              <w:t> </w:t>
            </w:r>
            <w:proofErr w:type="spellStart"/>
            <w:r w:rsidR="00D554F2" w:rsidRPr="00C74ABA">
              <w:rPr>
                <w:rFonts w:ascii="Times New Roman" w:hAnsi="Times New Roman" w:cs="Times New Roman"/>
                <w:i/>
                <w:color w:val="000000" w:themeColor="text1"/>
                <w:sz w:val="26"/>
                <w:szCs w:val="26"/>
              </w:rPr>
              <w:t>euro</w:t>
            </w:r>
            <w:proofErr w:type="spellEnd"/>
            <w:r w:rsidR="00096E62" w:rsidRPr="00C74ABA">
              <w:rPr>
                <w:rFonts w:ascii="Times New Roman" w:hAnsi="Times New Roman" w:cs="Times New Roman"/>
                <w:color w:val="000000" w:themeColor="text1"/>
                <w:sz w:val="26"/>
                <w:szCs w:val="26"/>
              </w:rPr>
              <w:t xml:space="preserve"> (Eiropas Reģionālās attīstības fonda finansējums ir </w:t>
            </w:r>
            <w:r w:rsidR="00235267" w:rsidRPr="00C74ABA">
              <w:rPr>
                <w:rFonts w:ascii="Times New Roman" w:hAnsi="Times New Roman" w:cs="Times New Roman"/>
                <w:b/>
                <w:color w:val="000000" w:themeColor="text1"/>
                <w:sz w:val="26"/>
                <w:szCs w:val="26"/>
              </w:rPr>
              <w:t xml:space="preserve">78 </w:t>
            </w:r>
            <w:r w:rsidR="00096E62" w:rsidRPr="00C74ABA">
              <w:rPr>
                <w:rFonts w:ascii="Times New Roman" w:hAnsi="Times New Roman" w:cs="Times New Roman"/>
                <w:b/>
                <w:color w:val="000000" w:themeColor="text1"/>
                <w:sz w:val="26"/>
                <w:szCs w:val="26"/>
              </w:rPr>
              <w:t>517 426</w:t>
            </w:r>
            <w:r w:rsidR="00096E62" w:rsidRPr="00C74ABA">
              <w:rPr>
                <w:rFonts w:ascii="Times New Roman" w:hAnsi="Times New Roman" w:cs="Times New Roman"/>
                <w:color w:val="000000" w:themeColor="text1"/>
                <w:sz w:val="26"/>
                <w:szCs w:val="26"/>
              </w:rPr>
              <w:t xml:space="preserve"> </w:t>
            </w:r>
            <w:proofErr w:type="spellStart"/>
            <w:r w:rsidR="00096E62" w:rsidRPr="00C74ABA">
              <w:rPr>
                <w:rFonts w:ascii="Times New Roman" w:hAnsi="Times New Roman" w:cs="Times New Roman"/>
                <w:i/>
                <w:color w:val="000000" w:themeColor="text1"/>
                <w:sz w:val="26"/>
                <w:szCs w:val="26"/>
              </w:rPr>
              <w:t>euro</w:t>
            </w:r>
            <w:proofErr w:type="spellEnd"/>
            <w:r w:rsidR="00096E62" w:rsidRPr="00C74ABA">
              <w:rPr>
                <w:rFonts w:ascii="Times New Roman" w:hAnsi="Times New Roman" w:cs="Times New Roman"/>
                <w:color w:val="000000" w:themeColor="text1"/>
                <w:sz w:val="26"/>
                <w:szCs w:val="26"/>
              </w:rPr>
              <w:t xml:space="preserve">, valsts budžeta līdzfinansējums ir 7 511 434 </w:t>
            </w:r>
            <w:proofErr w:type="spellStart"/>
            <w:r w:rsidR="00096E62" w:rsidRPr="00C74ABA">
              <w:rPr>
                <w:rFonts w:ascii="Times New Roman" w:hAnsi="Times New Roman" w:cs="Times New Roman"/>
                <w:i/>
                <w:color w:val="000000" w:themeColor="text1"/>
                <w:sz w:val="26"/>
                <w:szCs w:val="26"/>
              </w:rPr>
              <w:t>euro</w:t>
            </w:r>
            <w:proofErr w:type="spellEnd"/>
            <w:r w:rsidR="00096E62" w:rsidRPr="00C74ABA">
              <w:rPr>
                <w:rFonts w:ascii="Times New Roman" w:hAnsi="Times New Roman" w:cs="Times New Roman"/>
                <w:color w:val="000000" w:themeColor="text1"/>
                <w:sz w:val="26"/>
                <w:szCs w:val="26"/>
              </w:rPr>
              <w:t xml:space="preserve"> un </w:t>
            </w:r>
            <w:proofErr w:type="spellStart"/>
            <w:r w:rsidR="00096E62" w:rsidRPr="00C74ABA">
              <w:rPr>
                <w:rFonts w:ascii="Times New Roman" w:hAnsi="Times New Roman" w:cs="Times New Roman"/>
                <w:color w:val="000000" w:themeColor="text1"/>
                <w:sz w:val="26"/>
                <w:szCs w:val="26"/>
              </w:rPr>
              <w:t>virssaistību</w:t>
            </w:r>
            <w:proofErr w:type="spellEnd"/>
            <w:r w:rsidR="00096E62" w:rsidRPr="00C74ABA">
              <w:rPr>
                <w:rFonts w:ascii="Times New Roman" w:hAnsi="Times New Roman" w:cs="Times New Roman"/>
                <w:color w:val="000000" w:themeColor="text1"/>
                <w:sz w:val="26"/>
                <w:szCs w:val="26"/>
              </w:rPr>
              <w:t xml:space="preserve"> finansējums ir </w:t>
            </w:r>
            <w:r w:rsidR="00167068" w:rsidRPr="00C74ABA">
              <w:rPr>
                <w:rFonts w:ascii="Times New Roman" w:hAnsi="Times New Roman" w:cs="Times New Roman"/>
                <w:b/>
                <w:color w:val="000000" w:themeColor="text1"/>
                <w:sz w:val="26"/>
                <w:szCs w:val="26"/>
              </w:rPr>
              <w:t>62 807 332</w:t>
            </w:r>
            <w:r w:rsidR="00096E62" w:rsidRPr="00C74ABA">
              <w:rPr>
                <w:rFonts w:ascii="Times New Roman" w:hAnsi="Times New Roman" w:cs="Times New Roman"/>
                <w:color w:val="000000" w:themeColor="text1"/>
                <w:sz w:val="26"/>
                <w:szCs w:val="26"/>
              </w:rPr>
              <w:t xml:space="preserve"> </w:t>
            </w:r>
            <w:proofErr w:type="spellStart"/>
            <w:r w:rsidR="00096E62" w:rsidRPr="00C74ABA">
              <w:rPr>
                <w:rFonts w:ascii="Times New Roman" w:hAnsi="Times New Roman" w:cs="Times New Roman"/>
                <w:i/>
                <w:color w:val="000000" w:themeColor="text1"/>
                <w:sz w:val="26"/>
                <w:szCs w:val="26"/>
              </w:rPr>
              <w:t>euro</w:t>
            </w:r>
            <w:proofErr w:type="spellEnd"/>
            <w:r w:rsidR="00096E62" w:rsidRPr="00C74ABA">
              <w:rPr>
                <w:rFonts w:ascii="Times New Roman" w:hAnsi="Times New Roman" w:cs="Times New Roman"/>
                <w:color w:val="000000" w:themeColor="text1"/>
                <w:sz w:val="26"/>
                <w:szCs w:val="26"/>
              </w:rPr>
              <w:t>.)</w:t>
            </w:r>
            <w:r w:rsidR="00D554F2" w:rsidRPr="00C74ABA">
              <w:rPr>
                <w:rFonts w:ascii="Times New Roman" w:hAnsi="Times New Roman" w:cs="Times New Roman"/>
                <w:color w:val="000000" w:themeColor="text1"/>
                <w:sz w:val="26"/>
                <w:szCs w:val="26"/>
              </w:rPr>
              <w:t xml:space="preserve">. 2.1.2.4.aktivitātes projektu iesniegumu atlases otrās un trešās kārtas projektiem piesaistītas publiskais finansējums ir 81 550 907 </w:t>
            </w:r>
            <w:proofErr w:type="spellStart"/>
            <w:r w:rsidR="00D554F2" w:rsidRPr="00C74ABA">
              <w:rPr>
                <w:rFonts w:ascii="Times New Roman" w:hAnsi="Times New Roman" w:cs="Times New Roman"/>
                <w:i/>
                <w:color w:val="000000" w:themeColor="text1"/>
                <w:sz w:val="26"/>
                <w:szCs w:val="26"/>
              </w:rPr>
              <w:t>euro</w:t>
            </w:r>
            <w:proofErr w:type="spellEnd"/>
            <w:r w:rsidR="00D554F2" w:rsidRPr="00C74ABA">
              <w:rPr>
                <w:rFonts w:ascii="Times New Roman" w:hAnsi="Times New Roman" w:cs="Times New Roman"/>
                <w:color w:val="000000" w:themeColor="text1"/>
                <w:sz w:val="26"/>
                <w:szCs w:val="26"/>
              </w:rPr>
              <w:t xml:space="preserve">. Tātad </w:t>
            </w:r>
            <w:r w:rsidR="00D554F2" w:rsidRPr="00C74ABA">
              <w:rPr>
                <w:rFonts w:ascii="Times New Roman" w:hAnsi="Times New Roman" w:cs="Times New Roman"/>
                <w:b/>
                <w:color w:val="000000" w:themeColor="text1"/>
                <w:sz w:val="26"/>
                <w:szCs w:val="26"/>
              </w:rPr>
              <w:t xml:space="preserve">ceturtās kārtas projektiem pieejamais publiskais finansējums ir </w:t>
            </w:r>
            <w:r w:rsidR="00167068" w:rsidRPr="00C74ABA">
              <w:rPr>
                <w:rFonts w:ascii="Times New Roman" w:hAnsi="Times New Roman" w:cs="Times New Roman"/>
                <w:color w:val="000000" w:themeColor="text1"/>
                <w:sz w:val="26"/>
                <w:szCs w:val="26"/>
              </w:rPr>
              <w:t>6</w:t>
            </w:r>
            <w:r w:rsidR="00235267" w:rsidRPr="00C74ABA">
              <w:rPr>
                <w:rFonts w:ascii="Times New Roman" w:hAnsi="Times New Roman" w:cs="Times New Roman"/>
                <w:color w:val="000000" w:themeColor="text1"/>
                <w:sz w:val="26"/>
                <w:szCs w:val="26"/>
              </w:rPr>
              <w:t>7</w:t>
            </w:r>
            <w:r w:rsidR="00167068" w:rsidRPr="00C74ABA">
              <w:rPr>
                <w:rFonts w:ascii="Times New Roman" w:hAnsi="Times New Roman" w:cs="Times New Roman"/>
                <w:color w:val="000000" w:themeColor="text1"/>
                <w:sz w:val="26"/>
                <w:szCs w:val="26"/>
              </w:rPr>
              <w:t xml:space="preserve"> 285 285</w:t>
            </w:r>
            <w:r w:rsidR="00D554F2" w:rsidRPr="00C74ABA">
              <w:rPr>
                <w:rFonts w:ascii="Times New Roman" w:hAnsi="Times New Roman" w:cs="Times New Roman"/>
                <w:b/>
                <w:color w:val="000000" w:themeColor="text1"/>
                <w:sz w:val="26"/>
                <w:szCs w:val="26"/>
              </w:rPr>
              <w:t xml:space="preserve"> </w:t>
            </w:r>
            <w:proofErr w:type="spellStart"/>
            <w:r w:rsidR="00D554F2" w:rsidRPr="00C74ABA">
              <w:rPr>
                <w:rFonts w:ascii="Times New Roman" w:hAnsi="Times New Roman" w:cs="Times New Roman"/>
                <w:b/>
                <w:i/>
                <w:color w:val="000000" w:themeColor="text1"/>
                <w:sz w:val="26"/>
                <w:szCs w:val="26"/>
              </w:rPr>
              <w:t>euro</w:t>
            </w:r>
            <w:proofErr w:type="spellEnd"/>
            <w:r w:rsidR="00D554F2" w:rsidRPr="00C74ABA">
              <w:rPr>
                <w:rFonts w:ascii="Times New Roman" w:hAnsi="Times New Roman" w:cs="Times New Roman"/>
                <w:b/>
                <w:color w:val="000000" w:themeColor="text1"/>
                <w:sz w:val="26"/>
                <w:szCs w:val="26"/>
              </w:rPr>
              <w:t xml:space="preserve">. </w:t>
            </w:r>
          </w:p>
          <w:p w:rsidR="007C297F" w:rsidRPr="00C74ABA" w:rsidRDefault="007C297F" w:rsidP="00F46334">
            <w:pPr>
              <w:spacing w:after="0" w:line="240" w:lineRule="auto"/>
              <w:ind w:firstLine="567"/>
              <w:jc w:val="both"/>
              <w:rPr>
                <w:rFonts w:ascii="Times New Roman" w:eastAsia="Calibri" w:hAnsi="Times New Roman" w:cs="Times New Roman"/>
                <w:sz w:val="26"/>
                <w:szCs w:val="26"/>
              </w:rPr>
            </w:pPr>
            <w:r w:rsidRPr="00C74ABA">
              <w:rPr>
                <w:rFonts w:ascii="Times New Roman" w:eastAsia="Calibri" w:hAnsi="Times New Roman" w:cs="Times New Roman"/>
                <w:sz w:val="26"/>
                <w:szCs w:val="26"/>
              </w:rPr>
              <w:t xml:space="preserve">Papildus tam grozījumi ir nepieciešami, lai </w:t>
            </w:r>
            <w:r w:rsidR="00E57E29" w:rsidRPr="00C74ABA">
              <w:rPr>
                <w:rFonts w:ascii="Times New Roman" w:eastAsia="Calibri" w:hAnsi="Times New Roman" w:cs="Times New Roman"/>
                <w:sz w:val="26"/>
                <w:szCs w:val="26"/>
              </w:rPr>
              <w:t xml:space="preserve">pēc 2014.gada 30.jūnija varētu izskatīt apstrīdēšanas iesniegumus, kas iesniegti par </w:t>
            </w:r>
            <w:r w:rsidR="00E57E29" w:rsidRPr="00C74ABA">
              <w:rPr>
                <w:rFonts w:ascii="Times New Roman" w:hAnsi="Times New Roman" w:cs="Times New Roman"/>
                <w:color w:val="000000" w:themeColor="text1"/>
                <w:sz w:val="26"/>
                <w:szCs w:val="26"/>
              </w:rPr>
              <w:t xml:space="preserve">2.1.2.4.aktivitātes projektu iesniegumu atlases ceturtās kārtas projektiem. Tāpēc MK noteikumos Nr.817 ir jāiestrādā </w:t>
            </w:r>
            <w:r w:rsidR="00E57E29" w:rsidRPr="00C74ABA">
              <w:rPr>
                <w:rFonts w:ascii="Times New Roman" w:eastAsia="Times New Roman" w:hAnsi="Times New Roman" w:cs="Times New Roman"/>
                <w:sz w:val="26"/>
                <w:szCs w:val="26"/>
                <w:lang w:eastAsia="lv-LV"/>
              </w:rPr>
              <w:t xml:space="preserve">Komisijas 2014.gada 21.maija Regula (EK) </w:t>
            </w:r>
            <w:proofErr w:type="spellStart"/>
            <w:r w:rsidR="00E57E29" w:rsidRPr="00C74ABA">
              <w:rPr>
                <w:rFonts w:ascii="Times New Roman" w:eastAsia="Times New Roman" w:hAnsi="Times New Roman" w:cs="Times New Roman"/>
                <w:sz w:val="26"/>
                <w:szCs w:val="26"/>
                <w:lang w:eastAsia="lv-LV"/>
              </w:rPr>
              <w:t>Nr</w:t>
            </w:r>
            <w:proofErr w:type="spellEnd"/>
            <w:r w:rsidR="00E57E29" w:rsidRPr="00C74ABA">
              <w:rPr>
                <w:rFonts w:ascii="Times New Roman" w:eastAsia="Times New Roman" w:hAnsi="Times New Roman" w:cs="Times New Roman"/>
                <w:sz w:val="26"/>
                <w:szCs w:val="26"/>
                <w:lang w:eastAsia="lv-LV"/>
              </w:rPr>
              <w:t>. GBER/2014, kas atzīst noteiktas atbalsta kategorijas par saderīgām ar kopējo tirgu, piemērojot Līguma 107. un 108.pantu (vispārējā grupu atbrīvojuma regula)</w:t>
            </w:r>
            <w:r w:rsidR="00643A28" w:rsidRPr="00C74ABA">
              <w:rPr>
                <w:rFonts w:ascii="Times New Roman" w:eastAsia="Calibri" w:hAnsi="Times New Roman" w:cs="Times New Roman"/>
                <w:sz w:val="26"/>
                <w:szCs w:val="26"/>
              </w:rPr>
              <w:t xml:space="preserve"> (turpmāk – Regula </w:t>
            </w:r>
            <w:proofErr w:type="spellStart"/>
            <w:r w:rsidR="00643A28" w:rsidRPr="00C74ABA">
              <w:rPr>
                <w:rFonts w:ascii="Times New Roman" w:eastAsia="Calibri" w:hAnsi="Times New Roman" w:cs="Times New Roman"/>
                <w:sz w:val="26"/>
                <w:szCs w:val="26"/>
              </w:rPr>
              <w:t>Nr</w:t>
            </w:r>
            <w:proofErr w:type="spellEnd"/>
            <w:r w:rsidR="00643A28" w:rsidRPr="00C74ABA">
              <w:rPr>
                <w:rFonts w:ascii="Times New Roman" w:eastAsia="Calibri" w:hAnsi="Times New Roman" w:cs="Times New Roman"/>
                <w:sz w:val="26"/>
                <w:szCs w:val="26"/>
              </w:rPr>
              <w:t>.</w:t>
            </w:r>
            <w:r w:rsidR="00B65422" w:rsidRPr="00C74ABA">
              <w:rPr>
                <w:rFonts w:ascii="Times New Roman" w:eastAsia="Calibri" w:hAnsi="Times New Roman" w:cs="Times New Roman"/>
                <w:sz w:val="26"/>
                <w:szCs w:val="26"/>
              </w:rPr>
              <w:t xml:space="preserve"> </w:t>
            </w:r>
            <w:r w:rsidR="00643A28" w:rsidRPr="00C74ABA">
              <w:rPr>
                <w:rFonts w:ascii="Times New Roman" w:eastAsia="Calibri" w:hAnsi="Times New Roman" w:cs="Times New Roman"/>
                <w:sz w:val="26"/>
                <w:szCs w:val="26"/>
              </w:rPr>
              <w:t>GBER/2014).</w:t>
            </w:r>
          </w:p>
          <w:p w:rsidR="003F5419" w:rsidRPr="00C74ABA" w:rsidRDefault="003F5419" w:rsidP="00F46334">
            <w:pPr>
              <w:spacing w:after="0" w:line="240" w:lineRule="auto"/>
              <w:ind w:firstLine="699"/>
              <w:jc w:val="both"/>
              <w:rPr>
                <w:rFonts w:ascii="Times New Roman" w:hAnsi="Times New Roman" w:cs="Times New Roman"/>
                <w:color w:val="000000" w:themeColor="text1"/>
                <w:sz w:val="26"/>
                <w:szCs w:val="26"/>
              </w:rPr>
            </w:pPr>
          </w:p>
          <w:p w:rsidR="00EE419A" w:rsidRPr="00C74ABA" w:rsidRDefault="00EE419A" w:rsidP="00F46334">
            <w:pPr>
              <w:spacing w:after="0" w:line="240" w:lineRule="auto"/>
              <w:ind w:firstLine="699"/>
              <w:jc w:val="both"/>
              <w:rPr>
                <w:rFonts w:ascii="Times New Roman" w:eastAsia="Calibri" w:hAnsi="Times New Roman" w:cs="Times New Roman"/>
                <w:b/>
                <w:sz w:val="26"/>
                <w:szCs w:val="26"/>
              </w:rPr>
            </w:pPr>
            <w:r w:rsidRPr="00C74ABA">
              <w:rPr>
                <w:rFonts w:ascii="Times New Roman" w:eastAsia="Calibri" w:hAnsi="Times New Roman" w:cs="Times New Roman"/>
                <w:bCs/>
                <w:sz w:val="26"/>
                <w:szCs w:val="26"/>
              </w:rPr>
              <w:t xml:space="preserve">Noteikumu projekts paredz veikt grozījumu </w:t>
            </w:r>
            <w:r w:rsidR="009171A9" w:rsidRPr="00C74ABA">
              <w:rPr>
                <w:rFonts w:ascii="Times New Roman" w:eastAsia="Calibri" w:hAnsi="Times New Roman" w:cs="Times New Roman"/>
                <w:bCs/>
                <w:sz w:val="26"/>
                <w:szCs w:val="26"/>
              </w:rPr>
              <w:t>MK</w:t>
            </w:r>
            <w:r w:rsidRPr="00C74ABA">
              <w:rPr>
                <w:rFonts w:ascii="Times New Roman" w:eastAsia="Calibri" w:hAnsi="Times New Roman" w:cs="Times New Roman"/>
                <w:bCs/>
                <w:sz w:val="26"/>
                <w:szCs w:val="26"/>
              </w:rPr>
              <w:t xml:space="preserve"> noteikumos Nr.817, izdarot šādas izmaiņas:</w:t>
            </w:r>
          </w:p>
          <w:p w:rsidR="00991DD8" w:rsidRPr="00C74ABA" w:rsidRDefault="00991DD8" w:rsidP="00C56FDE">
            <w:pPr>
              <w:numPr>
                <w:ilvl w:val="0"/>
                <w:numId w:val="1"/>
              </w:numPr>
              <w:spacing w:after="0" w:line="240" w:lineRule="auto"/>
              <w:jc w:val="both"/>
              <w:rPr>
                <w:rFonts w:ascii="Times New Roman" w:eastAsia="Calibri" w:hAnsi="Times New Roman" w:cs="Times New Roman"/>
                <w:bCs/>
                <w:sz w:val="26"/>
                <w:szCs w:val="26"/>
              </w:rPr>
            </w:pPr>
            <w:r w:rsidRPr="00C74ABA">
              <w:rPr>
                <w:rFonts w:ascii="Times New Roman" w:hAnsi="Times New Roman" w:cs="Times New Roman"/>
                <w:color w:val="000000" w:themeColor="text1"/>
                <w:sz w:val="26"/>
                <w:szCs w:val="26"/>
              </w:rPr>
              <w:t xml:space="preserve">noteikt, ka </w:t>
            </w:r>
            <w:r w:rsidR="00C56FDE" w:rsidRPr="00C74ABA">
              <w:rPr>
                <w:rFonts w:ascii="Times New Roman" w:hAnsi="Times New Roman" w:cs="Times New Roman"/>
                <w:color w:val="000000" w:themeColor="text1"/>
                <w:sz w:val="26"/>
                <w:szCs w:val="26"/>
              </w:rPr>
              <w:t xml:space="preserve">MK noteikumu Nr.817 ietvaros pieejamais Eiropas Reģionālās attīstības fonda finansējums ir </w:t>
            </w:r>
            <w:r w:rsidR="00235267" w:rsidRPr="00C74ABA">
              <w:rPr>
                <w:rFonts w:ascii="Times New Roman" w:hAnsi="Times New Roman" w:cs="Times New Roman"/>
                <w:b/>
                <w:color w:val="000000" w:themeColor="text1"/>
                <w:sz w:val="26"/>
                <w:szCs w:val="26"/>
              </w:rPr>
              <w:t xml:space="preserve">78 </w:t>
            </w:r>
            <w:r w:rsidR="00C56FDE" w:rsidRPr="00C74ABA">
              <w:rPr>
                <w:rFonts w:ascii="Times New Roman" w:hAnsi="Times New Roman" w:cs="Times New Roman"/>
                <w:b/>
                <w:color w:val="000000" w:themeColor="text1"/>
                <w:sz w:val="26"/>
                <w:szCs w:val="26"/>
              </w:rPr>
              <w:t>517 426</w:t>
            </w:r>
            <w:r w:rsidR="00C56FDE" w:rsidRPr="00C74ABA">
              <w:rPr>
                <w:rFonts w:ascii="Times New Roman" w:hAnsi="Times New Roman" w:cs="Times New Roman"/>
                <w:color w:val="000000" w:themeColor="text1"/>
                <w:sz w:val="26"/>
                <w:szCs w:val="26"/>
              </w:rPr>
              <w:t xml:space="preserve"> </w:t>
            </w:r>
            <w:proofErr w:type="spellStart"/>
            <w:r w:rsidR="00C56FDE" w:rsidRPr="00C74ABA">
              <w:rPr>
                <w:rFonts w:ascii="Times New Roman" w:hAnsi="Times New Roman" w:cs="Times New Roman"/>
                <w:i/>
                <w:color w:val="000000" w:themeColor="text1"/>
                <w:sz w:val="26"/>
                <w:szCs w:val="26"/>
              </w:rPr>
              <w:t>euro</w:t>
            </w:r>
            <w:proofErr w:type="spellEnd"/>
            <w:r w:rsidR="00C56FDE" w:rsidRPr="00C74ABA">
              <w:rPr>
                <w:rFonts w:ascii="Times New Roman" w:hAnsi="Times New Roman" w:cs="Times New Roman"/>
                <w:color w:val="000000" w:themeColor="text1"/>
                <w:sz w:val="26"/>
                <w:szCs w:val="26"/>
              </w:rPr>
              <w:t xml:space="preserve">, valsts budžeta līdzfinansējums ir 7 511 434 </w:t>
            </w:r>
            <w:proofErr w:type="spellStart"/>
            <w:r w:rsidR="00C56FDE" w:rsidRPr="00C74ABA">
              <w:rPr>
                <w:rFonts w:ascii="Times New Roman" w:hAnsi="Times New Roman" w:cs="Times New Roman"/>
                <w:i/>
                <w:color w:val="000000" w:themeColor="text1"/>
                <w:sz w:val="26"/>
                <w:szCs w:val="26"/>
              </w:rPr>
              <w:t>euro</w:t>
            </w:r>
            <w:proofErr w:type="spellEnd"/>
            <w:r w:rsidR="00C56FDE" w:rsidRPr="00C74ABA">
              <w:rPr>
                <w:rFonts w:ascii="Times New Roman" w:hAnsi="Times New Roman" w:cs="Times New Roman"/>
                <w:color w:val="000000" w:themeColor="text1"/>
                <w:sz w:val="26"/>
                <w:szCs w:val="26"/>
              </w:rPr>
              <w:t xml:space="preserve"> un </w:t>
            </w:r>
            <w:proofErr w:type="spellStart"/>
            <w:r w:rsidR="00C56FDE" w:rsidRPr="00C74ABA">
              <w:rPr>
                <w:rFonts w:ascii="Times New Roman" w:hAnsi="Times New Roman" w:cs="Times New Roman"/>
                <w:color w:val="000000" w:themeColor="text1"/>
                <w:sz w:val="26"/>
                <w:szCs w:val="26"/>
              </w:rPr>
              <w:t>virssaistību</w:t>
            </w:r>
            <w:proofErr w:type="spellEnd"/>
            <w:r w:rsidR="00C56FDE" w:rsidRPr="00C74ABA">
              <w:rPr>
                <w:rFonts w:ascii="Times New Roman" w:hAnsi="Times New Roman" w:cs="Times New Roman"/>
                <w:color w:val="000000" w:themeColor="text1"/>
                <w:sz w:val="26"/>
                <w:szCs w:val="26"/>
              </w:rPr>
              <w:t xml:space="preserve"> finansējums ir </w:t>
            </w:r>
            <w:r w:rsidR="00167068" w:rsidRPr="00C74ABA">
              <w:rPr>
                <w:rFonts w:ascii="Times New Roman" w:hAnsi="Times New Roman" w:cs="Times New Roman"/>
                <w:b/>
                <w:color w:val="000000" w:themeColor="text1"/>
                <w:sz w:val="26"/>
                <w:szCs w:val="26"/>
              </w:rPr>
              <w:t>62 807 332</w:t>
            </w:r>
            <w:r w:rsidR="00C56FDE" w:rsidRPr="00C74ABA">
              <w:rPr>
                <w:rFonts w:ascii="Times New Roman" w:hAnsi="Times New Roman" w:cs="Times New Roman"/>
                <w:color w:val="000000" w:themeColor="text1"/>
                <w:sz w:val="26"/>
                <w:szCs w:val="26"/>
              </w:rPr>
              <w:t xml:space="preserve"> </w:t>
            </w:r>
            <w:proofErr w:type="spellStart"/>
            <w:r w:rsidR="00C56FDE" w:rsidRPr="00C74ABA">
              <w:rPr>
                <w:rFonts w:ascii="Times New Roman" w:hAnsi="Times New Roman" w:cs="Times New Roman"/>
                <w:i/>
                <w:color w:val="000000" w:themeColor="text1"/>
                <w:sz w:val="26"/>
                <w:szCs w:val="26"/>
              </w:rPr>
              <w:t>euro</w:t>
            </w:r>
            <w:proofErr w:type="spellEnd"/>
            <w:r w:rsidRPr="00C74ABA">
              <w:rPr>
                <w:rFonts w:ascii="Times New Roman" w:hAnsi="Times New Roman" w:cs="Times New Roman"/>
                <w:color w:val="000000" w:themeColor="text1"/>
                <w:sz w:val="26"/>
                <w:szCs w:val="26"/>
              </w:rPr>
              <w:t>;</w:t>
            </w:r>
          </w:p>
          <w:p w:rsidR="00400A62" w:rsidRPr="00C74ABA" w:rsidRDefault="00846879" w:rsidP="00E57E29">
            <w:pPr>
              <w:numPr>
                <w:ilvl w:val="0"/>
                <w:numId w:val="1"/>
              </w:numPr>
              <w:spacing w:after="0" w:line="240" w:lineRule="auto"/>
              <w:jc w:val="both"/>
              <w:rPr>
                <w:rFonts w:ascii="Times New Roman" w:eastAsia="Calibri" w:hAnsi="Times New Roman" w:cs="Times New Roman"/>
                <w:bCs/>
                <w:sz w:val="26"/>
                <w:szCs w:val="26"/>
              </w:rPr>
            </w:pPr>
            <w:r w:rsidRPr="00C74ABA">
              <w:rPr>
                <w:rFonts w:ascii="Times New Roman" w:eastAsia="Times New Roman" w:hAnsi="Times New Roman" w:cs="Times New Roman"/>
                <w:sz w:val="26"/>
                <w:szCs w:val="26"/>
                <w:lang w:eastAsia="lv-LV"/>
              </w:rPr>
              <w:lastRenderedPageBreak/>
              <w:t xml:space="preserve">iestrādāt Komisijas 2014.gada 21.maija Regulu (EK) </w:t>
            </w:r>
            <w:proofErr w:type="spellStart"/>
            <w:r w:rsidRPr="00C74ABA">
              <w:rPr>
                <w:rFonts w:ascii="Times New Roman" w:eastAsia="Times New Roman" w:hAnsi="Times New Roman" w:cs="Times New Roman"/>
                <w:sz w:val="26"/>
                <w:szCs w:val="26"/>
                <w:lang w:eastAsia="lv-LV"/>
              </w:rPr>
              <w:t>Nr</w:t>
            </w:r>
            <w:proofErr w:type="spellEnd"/>
            <w:r w:rsidRPr="00C74ABA">
              <w:rPr>
                <w:rFonts w:ascii="Times New Roman" w:eastAsia="Times New Roman" w:hAnsi="Times New Roman" w:cs="Times New Roman"/>
                <w:sz w:val="26"/>
                <w:szCs w:val="26"/>
                <w:lang w:eastAsia="lv-LV"/>
              </w:rPr>
              <w:t>. GBER/2014, kas atzīst noteiktas atbalsta kategorijas par saderīgām ar kopējo tirgu, piemērojot Līguma 107. un 108.pantu (vispārējā grupu atbrīvojuma regula)</w:t>
            </w:r>
            <w:r w:rsidR="00400A62" w:rsidRPr="00C74ABA">
              <w:rPr>
                <w:rFonts w:ascii="Times New Roman" w:eastAsia="Times New Roman" w:hAnsi="Times New Roman" w:cs="Times New Roman"/>
                <w:sz w:val="26"/>
                <w:szCs w:val="26"/>
                <w:lang w:eastAsia="lv-LV"/>
              </w:rPr>
              <w:t>;</w:t>
            </w:r>
          </w:p>
          <w:p w:rsidR="00F5373C" w:rsidRPr="00C74ABA" w:rsidRDefault="00400A62" w:rsidP="00860FE2">
            <w:pPr>
              <w:numPr>
                <w:ilvl w:val="0"/>
                <w:numId w:val="1"/>
              </w:numPr>
              <w:spacing w:after="0" w:line="240" w:lineRule="auto"/>
              <w:jc w:val="both"/>
              <w:rPr>
                <w:rFonts w:ascii="Times New Roman" w:eastAsia="Calibri" w:hAnsi="Times New Roman" w:cs="Times New Roman"/>
                <w:b/>
                <w:bCs/>
                <w:sz w:val="26"/>
                <w:szCs w:val="26"/>
              </w:rPr>
            </w:pPr>
            <w:r w:rsidRPr="00C74ABA">
              <w:rPr>
                <w:rFonts w:ascii="Times New Roman" w:eastAsia="Times New Roman" w:hAnsi="Times New Roman" w:cs="Times New Roman"/>
                <w:b/>
                <w:sz w:val="26"/>
                <w:szCs w:val="26"/>
                <w:lang w:eastAsia="lv-LV"/>
              </w:rPr>
              <w:t xml:space="preserve">lai precīzāk piemērotu </w:t>
            </w:r>
            <w:proofErr w:type="spellStart"/>
            <w:r w:rsidRPr="00C74ABA">
              <w:rPr>
                <w:rFonts w:ascii="Times New Roman" w:eastAsia="Times New Roman" w:hAnsi="Times New Roman" w:cs="Times New Roman"/>
                <w:b/>
                <w:i/>
                <w:sz w:val="26"/>
                <w:szCs w:val="26"/>
                <w:lang w:eastAsia="lv-LV"/>
              </w:rPr>
              <w:t>de</w:t>
            </w:r>
            <w:proofErr w:type="spellEnd"/>
            <w:r w:rsidRPr="00C74ABA">
              <w:rPr>
                <w:rFonts w:ascii="Times New Roman" w:eastAsia="Times New Roman" w:hAnsi="Times New Roman" w:cs="Times New Roman"/>
                <w:b/>
                <w:i/>
                <w:sz w:val="26"/>
                <w:szCs w:val="26"/>
                <w:lang w:eastAsia="lv-LV"/>
              </w:rPr>
              <w:t xml:space="preserve"> </w:t>
            </w:r>
            <w:proofErr w:type="spellStart"/>
            <w:r w:rsidRPr="00C74ABA">
              <w:rPr>
                <w:rFonts w:ascii="Times New Roman" w:eastAsia="Times New Roman" w:hAnsi="Times New Roman" w:cs="Times New Roman"/>
                <w:b/>
                <w:i/>
                <w:sz w:val="26"/>
                <w:szCs w:val="26"/>
                <w:lang w:eastAsia="lv-LV"/>
              </w:rPr>
              <w:t>minimis</w:t>
            </w:r>
            <w:proofErr w:type="spellEnd"/>
            <w:r w:rsidRPr="00C74ABA">
              <w:rPr>
                <w:rFonts w:ascii="Times New Roman" w:eastAsia="Times New Roman" w:hAnsi="Times New Roman" w:cs="Times New Roman"/>
                <w:b/>
                <w:sz w:val="26"/>
                <w:szCs w:val="26"/>
                <w:lang w:eastAsia="lv-LV"/>
              </w:rPr>
              <w:t xml:space="preserve"> nosacījumus, iestrādāt „viena</w:t>
            </w:r>
            <w:r w:rsidR="00860FE2" w:rsidRPr="00C74ABA">
              <w:rPr>
                <w:rFonts w:ascii="Times New Roman" w:eastAsia="Times New Roman" w:hAnsi="Times New Roman" w:cs="Times New Roman"/>
                <w:b/>
                <w:sz w:val="26"/>
                <w:szCs w:val="26"/>
                <w:lang w:eastAsia="lv-LV"/>
              </w:rPr>
              <w:t xml:space="preserve"> </w:t>
            </w:r>
            <w:r w:rsidRPr="00C74ABA">
              <w:rPr>
                <w:rFonts w:ascii="Times New Roman" w:eastAsia="Times New Roman" w:hAnsi="Times New Roman" w:cs="Times New Roman"/>
                <w:b/>
                <w:sz w:val="26"/>
                <w:szCs w:val="26"/>
                <w:lang w:eastAsia="lv-LV"/>
              </w:rPr>
              <w:t xml:space="preserve">vienota uzņēmuma” definīciju un atrunāt, ka </w:t>
            </w:r>
            <w:proofErr w:type="spellStart"/>
            <w:r w:rsidRPr="00C74ABA">
              <w:rPr>
                <w:rFonts w:ascii="Times New Roman" w:eastAsia="Times New Roman" w:hAnsi="Times New Roman" w:cs="Times New Roman"/>
                <w:b/>
                <w:i/>
                <w:sz w:val="26"/>
                <w:szCs w:val="26"/>
                <w:lang w:eastAsia="lv-LV"/>
              </w:rPr>
              <w:t>de</w:t>
            </w:r>
            <w:proofErr w:type="spellEnd"/>
            <w:r w:rsidRPr="00C74ABA">
              <w:rPr>
                <w:rFonts w:ascii="Times New Roman" w:eastAsia="Times New Roman" w:hAnsi="Times New Roman" w:cs="Times New Roman"/>
                <w:b/>
                <w:i/>
                <w:sz w:val="26"/>
                <w:szCs w:val="26"/>
                <w:lang w:eastAsia="lv-LV"/>
              </w:rPr>
              <w:t xml:space="preserve"> </w:t>
            </w:r>
            <w:proofErr w:type="spellStart"/>
            <w:r w:rsidRPr="00C74ABA">
              <w:rPr>
                <w:rFonts w:ascii="Times New Roman" w:eastAsia="Times New Roman" w:hAnsi="Times New Roman" w:cs="Times New Roman"/>
                <w:b/>
                <w:i/>
                <w:sz w:val="26"/>
                <w:szCs w:val="26"/>
                <w:lang w:eastAsia="lv-LV"/>
              </w:rPr>
              <w:t>minimis</w:t>
            </w:r>
            <w:proofErr w:type="spellEnd"/>
            <w:r w:rsidRPr="00C74ABA">
              <w:rPr>
                <w:rFonts w:ascii="Times New Roman" w:eastAsia="Times New Roman" w:hAnsi="Times New Roman" w:cs="Times New Roman"/>
                <w:b/>
                <w:sz w:val="26"/>
                <w:szCs w:val="26"/>
                <w:lang w:eastAsia="lv-LV"/>
              </w:rPr>
              <w:t xml:space="preserve"> tiek vērtēts viena</w:t>
            </w:r>
            <w:r w:rsidR="00860FE2" w:rsidRPr="00C74ABA">
              <w:rPr>
                <w:rFonts w:ascii="Times New Roman" w:eastAsia="Times New Roman" w:hAnsi="Times New Roman" w:cs="Times New Roman"/>
                <w:b/>
                <w:sz w:val="26"/>
                <w:szCs w:val="26"/>
                <w:lang w:eastAsia="lv-LV"/>
              </w:rPr>
              <w:t xml:space="preserve"> vienota</w:t>
            </w:r>
            <w:r w:rsidRPr="00C74ABA">
              <w:rPr>
                <w:rFonts w:ascii="Times New Roman" w:eastAsia="Times New Roman" w:hAnsi="Times New Roman" w:cs="Times New Roman"/>
                <w:b/>
                <w:sz w:val="26"/>
                <w:szCs w:val="26"/>
                <w:lang w:eastAsia="lv-LV"/>
              </w:rPr>
              <w:t xml:space="preserve"> uzņēmuma līmenī </w:t>
            </w:r>
            <w:r w:rsidR="00F5373C" w:rsidRPr="00C74ABA">
              <w:rPr>
                <w:rFonts w:ascii="Times New Roman" w:eastAsia="Times New Roman" w:hAnsi="Times New Roman" w:cs="Times New Roman"/>
                <w:b/>
                <w:sz w:val="26"/>
                <w:szCs w:val="26"/>
                <w:lang w:eastAsia="lv-LV"/>
              </w:rPr>
              <w:t>.</w:t>
            </w:r>
          </w:p>
        </w:tc>
      </w:tr>
      <w:tr w:rsidR="00956521" w:rsidRPr="00C74ABA" w:rsidTr="00EE419A">
        <w:trPr>
          <w:trHeight w:val="360"/>
        </w:trPr>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lastRenderedPageBreak/>
              <w:t xml:space="preserve">3. </w:t>
            </w:r>
            <w:r w:rsidR="00EE419A" w:rsidRPr="00C74ABA">
              <w:rPr>
                <w:rFonts w:ascii="Times New Roman" w:eastAsia="Times New Roman" w:hAnsi="Times New Roman" w:cs="Times New Roman"/>
                <w:sz w:val="26"/>
                <w:szCs w:val="26"/>
                <w:lang w:eastAsia="lv-LV"/>
              </w:rPr>
              <w:t>Projekta izstrādē iesaistītās institūcijas</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415FB0" w:rsidP="00F46334">
            <w:pPr>
              <w:spacing w:after="0" w:line="240" w:lineRule="auto"/>
              <w:ind w:firstLine="567"/>
              <w:jc w:val="both"/>
              <w:rPr>
                <w:rFonts w:ascii="Times New Roman" w:eastAsia="Calibri" w:hAnsi="Times New Roman" w:cs="Times New Roman"/>
                <w:color w:val="000000"/>
                <w:sz w:val="26"/>
                <w:szCs w:val="26"/>
              </w:rPr>
            </w:pPr>
            <w:r w:rsidRPr="00C74ABA">
              <w:rPr>
                <w:rFonts w:ascii="Times New Roman" w:eastAsia="Calibri" w:hAnsi="Times New Roman" w:cs="Times New Roman"/>
                <w:color w:val="000000"/>
                <w:sz w:val="26"/>
                <w:szCs w:val="26"/>
              </w:rPr>
              <w:t>Ekonomikas ministrija</w:t>
            </w:r>
          </w:p>
        </w:tc>
      </w:tr>
      <w:tr w:rsidR="00956521" w:rsidRPr="00C74ABA" w:rsidTr="00EE419A">
        <w:tc>
          <w:tcPr>
            <w:tcW w:w="21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E419A"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 4</w:t>
            </w:r>
            <w:r w:rsidR="00956521" w:rsidRPr="00C74ABA">
              <w:rPr>
                <w:rFonts w:ascii="Times New Roman" w:eastAsia="Times New Roman" w:hAnsi="Times New Roman" w:cs="Times New Roman"/>
                <w:sz w:val="26"/>
                <w:szCs w:val="26"/>
                <w:lang w:eastAsia="lv-LV"/>
              </w:rPr>
              <w:t>. Cita informācija</w:t>
            </w:r>
          </w:p>
        </w:tc>
        <w:tc>
          <w:tcPr>
            <w:tcW w:w="6200" w:type="dxa"/>
            <w:tcBorders>
              <w:top w:val="thickThinLargeGap" w:sz="6" w:space="0" w:color="C0C0C0"/>
              <w:left w:val="thickThinLargeGap" w:sz="6" w:space="0" w:color="C0C0C0"/>
              <w:bottom w:val="thickThinLargeGap" w:sz="6" w:space="0" w:color="C0C0C0"/>
              <w:right w:val="thickThinLargeGap" w:sz="6" w:space="0" w:color="C0C0C0"/>
            </w:tcBorders>
            <w:hideMark/>
          </w:tcPr>
          <w:p w:rsidR="00B558DD" w:rsidRPr="00C74ABA" w:rsidRDefault="00B558DD" w:rsidP="00B558DD">
            <w:pPr>
              <w:spacing w:after="0" w:line="240" w:lineRule="auto"/>
              <w:ind w:firstLine="567"/>
              <w:jc w:val="both"/>
              <w:rPr>
                <w:rFonts w:ascii="Times New Roman" w:hAnsi="Times New Roman" w:cs="Times New Roman"/>
                <w:sz w:val="26"/>
                <w:szCs w:val="26"/>
              </w:rPr>
            </w:pPr>
            <w:r w:rsidRPr="00C74ABA">
              <w:rPr>
                <w:rFonts w:ascii="Times New Roman" w:eastAsia="Calibri" w:hAnsi="Times New Roman" w:cs="Times New Roman"/>
                <w:sz w:val="26"/>
                <w:szCs w:val="26"/>
              </w:rPr>
              <w:t>2.1.2.4.aktivitātes</w:t>
            </w:r>
            <w:r w:rsidRPr="00C74ABA">
              <w:rPr>
                <w:rFonts w:ascii="Times New Roman" w:hAnsi="Times New Roman" w:cs="Times New Roman"/>
                <w:sz w:val="26"/>
                <w:szCs w:val="26"/>
              </w:rPr>
              <w:t xml:space="preserve"> ietvaros atbalsts tiek piešķirts saskaņā ar Regulas Nr.800/2008 prasībām, </w:t>
            </w:r>
            <w:r w:rsidR="00F167B5" w:rsidRPr="00C74ABA">
              <w:rPr>
                <w:rFonts w:ascii="Times New Roman" w:hAnsi="Times New Roman" w:cs="Times New Roman"/>
                <w:sz w:val="26"/>
                <w:szCs w:val="26"/>
              </w:rPr>
              <w:t xml:space="preserve">kura ir piemērojama līdz 2014.gada 30.jūnijam. </w:t>
            </w:r>
            <w:r w:rsidRPr="00C74ABA">
              <w:rPr>
                <w:rFonts w:ascii="Times New Roman" w:hAnsi="Times New Roman" w:cs="Times New Roman"/>
                <w:sz w:val="26"/>
                <w:szCs w:val="26"/>
              </w:rPr>
              <w:t xml:space="preserve">Ņemot vērā, ka </w:t>
            </w:r>
            <w:r w:rsidRPr="00C74ABA">
              <w:rPr>
                <w:rFonts w:ascii="Times New Roman" w:eastAsia="Calibri" w:hAnsi="Times New Roman" w:cs="Times New Roman"/>
                <w:sz w:val="26"/>
                <w:szCs w:val="26"/>
              </w:rPr>
              <w:t>2.1.2.4.aktivitātes</w:t>
            </w:r>
            <w:r w:rsidR="00DF7FB6" w:rsidRPr="00C74ABA">
              <w:rPr>
                <w:rFonts w:ascii="Times New Roman" w:hAnsi="Times New Roman" w:cs="Times New Roman"/>
                <w:sz w:val="26"/>
                <w:szCs w:val="26"/>
              </w:rPr>
              <w:t xml:space="preserve"> ceturtās kārtas ietvaros tika</w:t>
            </w:r>
            <w:r w:rsidRPr="00C74ABA">
              <w:rPr>
                <w:rFonts w:ascii="Times New Roman" w:hAnsi="Times New Roman" w:cs="Times New Roman"/>
                <w:sz w:val="26"/>
                <w:szCs w:val="26"/>
              </w:rPr>
              <w:t xml:space="preserve"> iesniegts liels projektu iesniegumu skaits (</w:t>
            </w:r>
            <w:r w:rsidR="00DF7FB6" w:rsidRPr="00C74ABA">
              <w:rPr>
                <w:rFonts w:ascii="Times New Roman" w:eastAsia="Calibri" w:hAnsi="Times New Roman" w:cs="Times New Roman"/>
                <w:sz w:val="26"/>
                <w:szCs w:val="26"/>
              </w:rPr>
              <w:t>157</w:t>
            </w:r>
            <w:r w:rsidRPr="00C74ABA">
              <w:rPr>
                <w:rFonts w:ascii="Times New Roman" w:eastAsia="Calibri" w:hAnsi="Times New Roman" w:cs="Times New Roman"/>
                <w:sz w:val="26"/>
                <w:szCs w:val="26"/>
              </w:rPr>
              <w:t xml:space="preserve"> projekti par kopējo pieprasīto publisko finansējumu </w:t>
            </w:r>
            <w:r w:rsidR="00422CCA" w:rsidRPr="00C74ABA">
              <w:rPr>
                <w:rFonts w:ascii="Times New Roman" w:eastAsia="Calibri" w:hAnsi="Times New Roman" w:cs="Times New Roman"/>
                <w:sz w:val="26"/>
                <w:szCs w:val="26"/>
              </w:rPr>
              <w:t>113</w:t>
            </w:r>
            <w:r w:rsidRPr="00C74ABA">
              <w:rPr>
                <w:rFonts w:ascii="Times New Roman" w:eastAsia="Calibri" w:hAnsi="Times New Roman" w:cs="Times New Roman"/>
                <w:sz w:val="26"/>
                <w:szCs w:val="26"/>
              </w:rPr>
              <w:t xml:space="preserve"> miljoni </w:t>
            </w:r>
            <w:proofErr w:type="spellStart"/>
            <w:r w:rsidR="00422CCA" w:rsidRPr="00C74ABA">
              <w:rPr>
                <w:rFonts w:ascii="Times New Roman" w:eastAsia="Calibri" w:hAnsi="Times New Roman" w:cs="Times New Roman"/>
                <w:i/>
                <w:sz w:val="26"/>
                <w:szCs w:val="26"/>
              </w:rPr>
              <w:t>euro</w:t>
            </w:r>
            <w:proofErr w:type="spellEnd"/>
            <w:r w:rsidRPr="00C74ABA">
              <w:rPr>
                <w:rFonts w:ascii="Times New Roman" w:eastAsia="Calibri" w:hAnsi="Times New Roman" w:cs="Times New Roman"/>
                <w:sz w:val="26"/>
                <w:szCs w:val="26"/>
              </w:rPr>
              <w:t>)</w:t>
            </w:r>
            <w:r w:rsidRPr="00C74ABA">
              <w:rPr>
                <w:rFonts w:ascii="Times New Roman" w:hAnsi="Times New Roman" w:cs="Times New Roman"/>
                <w:sz w:val="26"/>
                <w:szCs w:val="26"/>
              </w:rPr>
              <w:t xml:space="preserve">, </w:t>
            </w:r>
            <w:r w:rsidR="00643A28" w:rsidRPr="00C74ABA">
              <w:rPr>
                <w:rFonts w:ascii="Times New Roman" w:hAnsi="Times New Roman" w:cs="Times New Roman"/>
                <w:sz w:val="26"/>
                <w:szCs w:val="26"/>
              </w:rPr>
              <w:t xml:space="preserve">Latvijas Investīciju un attīstības aģentūrai (turpmāk – LIAA) </w:t>
            </w:r>
            <w:r w:rsidR="00F167B5" w:rsidRPr="00C74ABA">
              <w:rPr>
                <w:rFonts w:ascii="Times New Roman" w:hAnsi="Times New Roman" w:cs="Times New Roman"/>
                <w:sz w:val="26"/>
                <w:szCs w:val="26"/>
              </w:rPr>
              <w:t>īsā laika periodā jāizvērtē visi</w:t>
            </w:r>
            <w:r w:rsidRPr="00C74ABA">
              <w:rPr>
                <w:rFonts w:ascii="Times New Roman" w:hAnsi="Times New Roman" w:cs="Times New Roman"/>
                <w:sz w:val="26"/>
                <w:szCs w:val="26"/>
              </w:rPr>
              <w:t xml:space="preserve"> projektu </w:t>
            </w:r>
            <w:r w:rsidR="00F167B5" w:rsidRPr="00C74ABA">
              <w:rPr>
                <w:rFonts w:ascii="Times New Roman" w:hAnsi="Times New Roman" w:cs="Times New Roman"/>
                <w:sz w:val="26"/>
                <w:szCs w:val="26"/>
              </w:rPr>
              <w:t xml:space="preserve">iesniegumi un tiek prognozēts, ka </w:t>
            </w:r>
            <w:r w:rsidR="00643A28" w:rsidRPr="00C74ABA">
              <w:rPr>
                <w:rFonts w:ascii="Times New Roman" w:hAnsi="Times New Roman" w:cs="Times New Roman"/>
                <w:sz w:val="26"/>
                <w:szCs w:val="26"/>
              </w:rPr>
              <w:t xml:space="preserve">lēmumi par projektu iesniegumu apstiprināšanu tiks pieņemti ne vēlāk kā līdz 2014.gada 30.jūnijam, tātad </w:t>
            </w:r>
            <w:r w:rsidR="00897E52" w:rsidRPr="00C74ABA">
              <w:rPr>
                <w:rFonts w:ascii="Times New Roman" w:hAnsi="Times New Roman" w:cs="Times New Roman"/>
                <w:sz w:val="26"/>
                <w:szCs w:val="26"/>
              </w:rPr>
              <w:t xml:space="preserve">LIAA </w:t>
            </w:r>
            <w:r w:rsidR="00643A28" w:rsidRPr="00C74ABA">
              <w:rPr>
                <w:rFonts w:ascii="Times New Roman" w:hAnsi="Times New Roman" w:cs="Times New Roman"/>
                <w:sz w:val="26"/>
                <w:szCs w:val="26"/>
              </w:rPr>
              <w:t>lēmum</w:t>
            </w:r>
            <w:r w:rsidR="00897E52" w:rsidRPr="00C74ABA">
              <w:rPr>
                <w:rFonts w:ascii="Times New Roman" w:hAnsi="Times New Roman" w:cs="Times New Roman"/>
                <w:sz w:val="26"/>
                <w:szCs w:val="26"/>
              </w:rPr>
              <w:t>i</w:t>
            </w:r>
            <w:r w:rsidR="00643A28" w:rsidRPr="00C74ABA">
              <w:rPr>
                <w:rFonts w:ascii="Times New Roman" w:hAnsi="Times New Roman" w:cs="Times New Roman"/>
                <w:sz w:val="26"/>
                <w:szCs w:val="26"/>
              </w:rPr>
              <w:t xml:space="preserve"> par atbalsta piešķiršanu tiks pieņemt</w:t>
            </w:r>
            <w:r w:rsidR="00897E52" w:rsidRPr="00C74ABA">
              <w:rPr>
                <w:rFonts w:ascii="Times New Roman" w:hAnsi="Times New Roman" w:cs="Times New Roman"/>
                <w:sz w:val="26"/>
                <w:szCs w:val="26"/>
              </w:rPr>
              <w:t>i</w:t>
            </w:r>
            <w:r w:rsidR="00643A28" w:rsidRPr="00C74ABA">
              <w:rPr>
                <w:rFonts w:ascii="Times New Roman" w:hAnsi="Times New Roman" w:cs="Times New Roman"/>
                <w:sz w:val="26"/>
                <w:szCs w:val="26"/>
              </w:rPr>
              <w:t xml:space="preserve"> saskaņā ar Regulas Nr.800/2008 nosacījumiem.</w:t>
            </w:r>
          </w:p>
          <w:p w:rsidR="00B558DD" w:rsidRPr="00C74ABA" w:rsidRDefault="00643A28" w:rsidP="00B558DD">
            <w:pPr>
              <w:spacing w:after="0" w:line="240" w:lineRule="auto"/>
              <w:ind w:firstLine="567"/>
              <w:jc w:val="both"/>
              <w:rPr>
                <w:rFonts w:ascii="Times New Roman" w:hAnsi="Times New Roman" w:cs="Times New Roman"/>
                <w:sz w:val="26"/>
                <w:szCs w:val="26"/>
              </w:rPr>
            </w:pPr>
            <w:r w:rsidRPr="00C74ABA">
              <w:rPr>
                <w:rFonts w:ascii="Times New Roman" w:hAnsi="Times New Roman" w:cs="Times New Roman"/>
                <w:sz w:val="26"/>
                <w:szCs w:val="26"/>
              </w:rPr>
              <w:t xml:space="preserve">Tie </w:t>
            </w:r>
            <w:r w:rsidR="00B558DD" w:rsidRPr="00C74ABA">
              <w:rPr>
                <w:rFonts w:ascii="Times New Roman" w:hAnsi="Times New Roman" w:cs="Times New Roman"/>
                <w:sz w:val="26"/>
                <w:szCs w:val="26"/>
              </w:rPr>
              <w:t xml:space="preserve"> projektu iesniedzēji, kuru projektu iesniegumi ar LIAA lēmumu </w:t>
            </w:r>
            <w:r w:rsidRPr="00C74ABA">
              <w:rPr>
                <w:rFonts w:ascii="Times New Roman" w:hAnsi="Times New Roman" w:cs="Times New Roman"/>
                <w:sz w:val="26"/>
                <w:szCs w:val="26"/>
              </w:rPr>
              <w:t xml:space="preserve">tiks </w:t>
            </w:r>
            <w:r w:rsidR="00B558DD" w:rsidRPr="00C74ABA">
              <w:rPr>
                <w:rFonts w:ascii="Times New Roman" w:hAnsi="Times New Roman" w:cs="Times New Roman"/>
                <w:sz w:val="26"/>
                <w:szCs w:val="26"/>
              </w:rPr>
              <w:t>noraidīti</w:t>
            </w:r>
            <w:r w:rsidRPr="00C74ABA">
              <w:rPr>
                <w:rFonts w:ascii="Times New Roman" w:hAnsi="Times New Roman" w:cs="Times New Roman"/>
                <w:sz w:val="26"/>
                <w:szCs w:val="26"/>
              </w:rPr>
              <w:t xml:space="preserve">, </w:t>
            </w:r>
            <w:r w:rsidR="00B558DD" w:rsidRPr="00C74ABA">
              <w:rPr>
                <w:rFonts w:ascii="Times New Roman" w:hAnsi="Times New Roman" w:cs="Times New Roman"/>
                <w:sz w:val="26"/>
                <w:szCs w:val="26"/>
              </w:rPr>
              <w:t>atbilstoši Eiropas Savienības struktūrfondu un Kohēzijas fonda vadības likuma (turpmāk – Vadības likums) 22.panta pirmajai daļai var apstrīdēt un pārsūdzēt lēmumu par projekta iesnieguma noraidīšanu, ievērojot likuma 20.panta trešās daļas noteikumus. Atbilstoši līdzšinējai praksei Ekonomikas ministrija kā atbildīgā iestāde, saņemot apstrīdēšanas iesniegumu, to vērtē pēc būtības un</w:t>
            </w:r>
            <w:r w:rsidR="00897E52" w:rsidRPr="00C74ABA">
              <w:rPr>
                <w:rFonts w:ascii="Times New Roman" w:hAnsi="Times New Roman" w:cs="Times New Roman"/>
                <w:sz w:val="26"/>
                <w:szCs w:val="26"/>
              </w:rPr>
              <w:t>,</w:t>
            </w:r>
            <w:r w:rsidR="00B558DD" w:rsidRPr="00C74ABA">
              <w:rPr>
                <w:rFonts w:ascii="Times New Roman" w:hAnsi="Times New Roman" w:cs="Times New Roman"/>
                <w:sz w:val="26"/>
                <w:szCs w:val="26"/>
              </w:rPr>
              <w:t xml:space="preserve"> konstatējot, ka LIAA </w:t>
            </w:r>
            <w:r w:rsidRPr="00C74ABA">
              <w:rPr>
                <w:rFonts w:ascii="Times New Roman" w:hAnsi="Times New Roman" w:cs="Times New Roman"/>
                <w:sz w:val="26"/>
                <w:szCs w:val="26"/>
              </w:rPr>
              <w:t>ir nepamatoti noraidījusi projekta iesniegumu</w:t>
            </w:r>
            <w:r w:rsidR="00B558DD" w:rsidRPr="00C74ABA">
              <w:rPr>
                <w:rFonts w:ascii="Times New Roman" w:hAnsi="Times New Roman" w:cs="Times New Roman"/>
                <w:sz w:val="26"/>
                <w:szCs w:val="26"/>
              </w:rPr>
              <w:t>, uzdod LIAA noslēgt līgumu par projekta īstenošanu vai turpināt projekta iesnieguma vērtēšanu. Tādejādi var izveidoties situācija, kad apstrīdēšanas gadījumā lēmumu par projekta iesnieguma apstiprināšanu vai apstiprināšanu ar nosacījumu ir jāpieņem</w:t>
            </w:r>
            <w:r w:rsidRPr="00C74ABA">
              <w:rPr>
                <w:rFonts w:ascii="Times New Roman" w:hAnsi="Times New Roman" w:cs="Times New Roman"/>
                <w:sz w:val="26"/>
                <w:szCs w:val="26"/>
              </w:rPr>
              <w:t xml:space="preserve"> jau</w:t>
            </w:r>
            <w:r w:rsidR="00B558DD" w:rsidRPr="00C74ABA">
              <w:rPr>
                <w:rFonts w:ascii="Times New Roman" w:hAnsi="Times New Roman" w:cs="Times New Roman"/>
                <w:sz w:val="26"/>
                <w:szCs w:val="26"/>
              </w:rPr>
              <w:t xml:space="preserve"> pēc Regulā Nr.800/2008 noteiktā </w:t>
            </w:r>
            <w:r w:rsidRPr="00C74ABA">
              <w:rPr>
                <w:rFonts w:ascii="Times New Roman" w:hAnsi="Times New Roman" w:cs="Times New Roman"/>
                <w:sz w:val="26"/>
                <w:szCs w:val="26"/>
              </w:rPr>
              <w:t xml:space="preserve">piemērošanas </w:t>
            </w:r>
            <w:r w:rsidR="00B558DD" w:rsidRPr="00C74ABA">
              <w:rPr>
                <w:rFonts w:ascii="Times New Roman" w:hAnsi="Times New Roman" w:cs="Times New Roman"/>
                <w:sz w:val="26"/>
                <w:szCs w:val="26"/>
              </w:rPr>
              <w:t>termiņa</w:t>
            </w:r>
            <w:r w:rsidR="00897E52" w:rsidRPr="00C74ABA">
              <w:rPr>
                <w:rFonts w:ascii="Times New Roman" w:hAnsi="Times New Roman" w:cs="Times New Roman"/>
                <w:sz w:val="26"/>
                <w:szCs w:val="26"/>
              </w:rPr>
              <w:t>.</w:t>
            </w:r>
          </w:p>
          <w:p w:rsidR="0082054A" w:rsidRPr="00C74ABA" w:rsidRDefault="00B558DD" w:rsidP="00B558DD">
            <w:pPr>
              <w:spacing w:after="0" w:line="240" w:lineRule="auto"/>
              <w:ind w:firstLine="567"/>
              <w:jc w:val="both"/>
              <w:rPr>
                <w:rFonts w:ascii="Times New Roman" w:hAnsi="Times New Roman" w:cs="Times New Roman"/>
                <w:sz w:val="26"/>
                <w:szCs w:val="26"/>
              </w:rPr>
            </w:pPr>
            <w:r w:rsidRPr="00C74ABA">
              <w:rPr>
                <w:rFonts w:ascii="Times New Roman" w:hAnsi="Times New Roman" w:cs="Times New Roman"/>
                <w:sz w:val="26"/>
                <w:szCs w:val="26"/>
              </w:rPr>
              <w:t>Gadījumā, ja</w:t>
            </w:r>
            <w:r w:rsidR="00643A28" w:rsidRPr="00C74ABA">
              <w:rPr>
                <w:rFonts w:ascii="Times New Roman" w:hAnsi="Times New Roman" w:cs="Times New Roman"/>
                <w:sz w:val="26"/>
                <w:szCs w:val="26"/>
              </w:rPr>
              <w:t xml:space="preserve"> Ekonomikas ministrija apstrīdēšanas stadijā konstatēs, ka</w:t>
            </w:r>
            <w:r w:rsidRPr="00C74ABA">
              <w:rPr>
                <w:rFonts w:ascii="Times New Roman" w:hAnsi="Times New Roman" w:cs="Times New Roman"/>
                <w:sz w:val="26"/>
                <w:szCs w:val="26"/>
              </w:rPr>
              <w:t xml:space="preserve"> LIAA rīcība, izvērtējot projekta iesniegumu, </w:t>
            </w:r>
            <w:r w:rsidR="00643A28" w:rsidRPr="00C74ABA">
              <w:rPr>
                <w:rFonts w:ascii="Times New Roman" w:hAnsi="Times New Roman" w:cs="Times New Roman"/>
                <w:sz w:val="26"/>
                <w:szCs w:val="26"/>
              </w:rPr>
              <w:t xml:space="preserve">ir bijusi </w:t>
            </w:r>
            <w:r w:rsidRPr="00C74ABA">
              <w:rPr>
                <w:rFonts w:ascii="Times New Roman" w:hAnsi="Times New Roman" w:cs="Times New Roman"/>
                <w:sz w:val="26"/>
                <w:szCs w:val="26"/>
              </w:rPr>
              <w:t xml:space="preserve">prettiesiska, atbalsts, kas </w:t>
            </w:r>
            <w:r w:rsidRPr="00C74ABA">
              <w:rPr>
                <w:rFonts w:ascii="Times New Roman" w:hAnsi="Times New Roman" w:cs="Times New Roman"/>
                <w:sz w:val="26"/>
                <w:szCs w:val="26"/>
              </w:rPr>
              <w:lastRenderedPageBreak/>
              <w:t xml:space="preserve">apstrīdēšanas procesa ietvaros tiktu piešķirts pēc Regulas Nr.800/2008 </w:t>
            </w:r>
            <w:proofErr w:type="spellStart"/>
            <w:r w:rsidRPr="00C74ABA">
              <w:rPr>
                <w:rFonts w:ascii="Times New Roman" w:hAnsi="Times New Roman" w:cs="Times New Roman"/>
                <w:sz w:val="26"/>
                <w:szCs w:val="26"/>
              </w:rPr>
              <w:t>attiecināmības</w:t>
            </w:r>
            <w:proofErr w:type="spellEnd"/>
            <w:r w:rsidRPr="00C74ABA">
              <w:rPr>
                <w:rFonts w:ascii="Times New Roman" w:hAnsi="Times New Roman" w:cs="Times New Roman"/>
                <w:sz w:val="26"/>
                <w:szCs w:val="26"/>
              </w:rPr>
              <w:t xml:space="preserve"> perioda, </w:t>
            </w:r>
            <w:r w:rsidR="00897E52" w:rsidRPr="00C74ABA">
              <w:rPr>
                <w:rFonts w:ascii="Times New Roman" w:hAnsi="Times New Roman" w:cs="Times New Roman"/>
                <w:sz w:val="26"/>
                <w:szCs w:val="26"/>
              </w:rPr>
              <w:t>jāpiešķir</w:t>
            </w:r>
            <w:r w:rsidRPr="00C74ABA">
              <w:rPr>
                <w:rFonts w:ascii="Times New Roman" w:hAnsi="Times New Roman" w:cs="Times New Roman"/>
                <w:sz w:val="26"/>
                <w:szCs w:val="26"/>
              </w:rPr>
              <w:t xml:space="preserve"> saskaņā ar </w:t>
            </w:r>
            <w:r w:rsidR="00B65422" w:rsidRPr="00C74ABA">
              <w:rPr>
                <w:rFonts w:ascii="Times New Roman" w:hAnsi="Times New Roman" w:cs="Times New Roman"/>
                <w:sz w:val="26"/>
                <w:szCs w:val="26"/>
              </w:rPr>
              <w:t xml:space="preserve">Regulas Nr.800/2008 regulējuma priekšmetu aizstājošās </w:t>
            </w:r>
            <w:r w:rsidR="00B65422" w:rsidRPr="00C74ABA">
              <w:rPr>
                <w:rFonts w:ascii="Times New Roman" w:eastAsia="Calibri" w:hAnsi="Times New Roman" w:cs="Times New Roman"/>
                <w:sz w:val="26"/>
                <w:szCs w:val="26"/>
              </w:rPr>
              <w:t xml:space="preserve">Regulas </w:t>
            </w:r>
            <w:proofErr w:type="spellStart"/>
            <w:r w:rsidR="00B65422" w:rsidRPr="00C74ABA">
              <w:rPr>
                <w:rFonts w:ascii="Times New Roman" w:eastAsia="Calibri" w:hAnsi="Times New Roman" w:cs="Times New Roman"/>
                <w:sz w:val="26"/>
                <w:szCs w:val="26"/>
              </w:rPr>
              <w:t>Nr</w:t>
            </w:r>
            <w:proofErr w:type="spellEnd"/>
            <w:r w:rsidR="00B65422" w:rsidRPr="00C74ABA">
              <w:rPr>
                <w:rFonts w:ascii="Times New Roman" w:eastAsia="Calibri" w:hAnsi="Times New Roman" w:cs="Times New Roman"/>
                <w:sz w:val="26"/>
                <w:szCs w:val="26"/>
              </w:rPr>
              <w:t>. GBER/2014</w:t>
            </w:r>
            <w:r w:rsidR="00897E52" w:rsidRPr="00C74ABA">
              <w:rPr>
                <w:rFonts w:ascii="Times New Roman" w:eastAsia="Calibri" w:hAnsi="Times New Roman" w:cs="Times New Roman"/>
                <w:sz w:val="26"/>
                <w:szCs w:val="26"/>
              </w:rPr>
              <w:t xml:space="preserve"> </w:t>
            </w:r>
            <w:r w:rsidRPr="00C74ABA">
              <w:rPr>
                <w:rFonts w:ascii="Times New Roman" w:hAnsi="Times New Roman" w:cs="Times New Roman"/>
                <w:sz w:val="26"/>
                <w:szCs w:val="26"/>
              </w:rPr>
              <w:t>prasībām.</w:t>
            </w:r>
            <w:r w:rsidR="0082054A" w:rsidRPr="00C74ABA">
              <w:rPr>
                <w:rFonts w:ascii="Times New Roman" w:hAnsi="Times New Roman" w:cs="Times New Roman"/>
                <w:sz w:val="26"/>
                <w:szCs w:val="26"/>
              </w:rPr>
              <w:t xml:space="preserve"> </w:t>
            </w:r>
            <w:r w:rsidR="00897E52" w:rsidRPr="00C74ABA">
              <w:rPr>
                <w:rFonts w:ascii="Times New Roman" w:hAnsi="Times New Roman" w:cs="Times New Roman"/>
                <w:sz w:val="26"/>
                <w:szCs w:val="26"/>
              </w:rPr>
              <w:t>Šāda imperatīva prasība jeb princips izriet no</w:t>
            </w:r>
            <w:r w:rsidR="0082054A" w:rsidRPr="00C74ABA">
              <w:rPr>
                <w:rFonts w:ascii="Times New Roman" w:hAnsi="Times New Roman" w:cs="Times New Roman"/>
                <w:sz w:val="26"/>
                <w:szCs w:val="26"/>
              </w:rPr>
              <w:t xml:space="preserve"> gan Regulas Nr.800/2008 noteikumiem (konkrēti – 13.panta 3.punkts), gan Regulas </w:t>
            </w:r>
            <w:proofErr w:type="spellStart"/>
            <w:r w:rsidR="0082054A" w:rsidRPr="00C74ABA">
              <w:rPr>
                <w:rFonts w:ascii="Times New Roman" w:hAnsi="Times New Roman" w:cs="Times New Roman"/>
                <w:sz w:val="26"/>
                <w:szCs w:val="26"/>
              </w:rPr>
              <w:t>Nr.GBER</w:t>
            </w:r>
            <w:proofErr w:type="spellEnd"/>
            <w:r w:rsidR="0082054A" w:rsidRPr="00C74ABA">
              <w:rPr>
                <w:rFonts w:ascii="Times New Roman" w:hAnsi="Times New Roman" w:cs="Times New Roman"/>
                <w:sz w:val="26"/>
                <w:szCs w:val="26"/>
              </w:rPr>
              <w:t xml:space="preserve">/2014 prasībām, </w:t>
            </w:r>
            <w:r w:rsidR="00897E52" w:rsidRPr="00C74ABA">
              <w:rPr>
                <w:rFonts w:ascii="Times New Roman" w:hAnsi="Times New Roman" w:cs="Times New Roman"/>
                <w:sz w:val="26"/>
                <w:szCs w:val="26"/>
              </w:rPr>
              <w:t xml:space="preserve">saskaņā ar kuru </w:t>
            </w:r>
            <w:r w:rsidR="0082054A" w:rsidRPr="00C74ABA">
              <w:rPr>
                <w:rFonts w:ascii="Times New Roman" w:hAnsi="Times New Roman" w:cs="Times New Roman"/>
                <w:sz w:val="26"/>
                <w:szCs w:val="26"/>
              </w:rPr>
              <w:t>atbalsta intensit</w:t>
            </w:r>
            <w:r w:rsidR="00897E52" w:rsidRPr="00C74ABA">
              <w:rPr>
                <w:rFonts w:ascii="Times New Roman" w:hAnsi="Times New Roman" w:cs="Times New Roman"/>
                <w:sz w:val="26"/>
                <w:szCs w:val="26"/>
              </w:rPr>
              <w:t xml:space="preserve">āte tiek noteikta, vadoties no tā </w:t>
            </w:r>
            <w:r w:rsidR="0082054A" w:rsidRPr="00C74ABA">
              <w:rPr>
                <w:rFonts w:ascii="Times New Roman" w:hAnsi="Times New Roman" w:cs="Times New Roman"/>
                <w:sz w:val="26"/>
                <w:szCs w:val="26"/>
              </w:rPr>
              <w:t>regulējum</w:t>
            </w:r>
            <w:r w:rsidR="00897E52" w:rsidRPr="00C74ABA">
              <w:rPr>
                <w:rFonts w:ascii="Times New Roman" w:hAnsi="Times New Roman" w:cs="Times New Roman"/>
                <w:sz w:val="26"/>
                <w:szCs w:val="26"/>
              </w:rPr>
              <w:t>a</w:t>
            </w:r>
            <w:r w:rsidR="0082054A" w:rsidRPr="00C74ABA">
              <w:rPr>
                <w:rFonts w:ascii="Times New Roman" w:hAnsi="Times New Roman" w:cs="Times New Roman"/>
                <w:sz w:val="26"/>
                <w:szCs w:val="26"/>
              </w:rPr>
              <w:t>, kas ir spēkā atbalsta piešķiršanas brīdī, tātad – lēmuma par projekta iesnieguma apstiprināšanu dienā.</w:t>
            </w:r>
          </w:p>
          <w:p w:rsidR="006E0CC8" w:rsidRPr="00C74ABA" w:rsidRDefault="006E0CC8" w:rsidP="00B558DD">
            <w:pPr>
              <w:spacing w:after="0" w:line="240" w:lineRule="auto"/>
              <w:ind w:firstLine="567"/>
              <w:jc w:val="both"/>
              <w:rPr>
                <w:rFonts w:ascii="Times New Roman" w:hAnsi="Times New Roman" w:cs="Times New Roman"/>
                <w:b/>
                <w:sz w:val="26"/>
                <w:szCs w:val="26"/>
              </w:rPr>
            </w:pPr>
            <w:r w:rsidRPr="00C74ABA">
              <w:rPr>
                <w:rFonts w:ascii="Times New Roman" w:hAnsi="Times New Roman" w:cs="Times New Roman"/>
                <w:b/>
                <w:sz w:val="26"/>
                <w:szCs w:val="26"/>
              </w:rPr>
              <w:t xml:space="preserve">Informējam, ka apgalvojums, ka valsts atbalsts pēc 2014.gada 30.jūnija varēs tikt piešķirts tikai saskaņā ar jauno </w:t>
            </w:r>
            <w:r w:rsidRPr="00C74ABA">
              <w:rPr>
                <w:rFonts w:ascii="Times New Roman" w:eastAsia="Calibri" w:hAnsi="Times New Roman" w:cs="Times New Roman"/>
                <w:b/>
                <w:sz w:val="26"/>
                <w:szCs w:val="26"/>
              </w:rPr>
              <w:t xml:space="preserve">Regulu </w:t>
            </w:r>
            <w:proofErr w:type="spellStart"/>
            <w:r w:rsidRPr="00C74ABA">
              <w:rPr>
                <w:rFonts w:ascii="Times New Roman" w:eastAsia="Calibri" w:hAnsi="Times New Roman" w:cs="Times New Roman"/>
                <w:b/>
                <w:sz w:val="26"/>
                <w:szCs w:val="26"/>
              </w:rPr>
              <w:t>Nr</w:t>
            </w:r>
            <w:proofErr w:type="spellEnd"/>
            <w:r w:rsidRPr="00C74ABA">
              <w:rPr>
                <w:rFonts w:ascii="Times New Roman" w:eastAsia="Calibri" w:hAnsi="Times New Roman" w:cs="Times New Roman"/>
                <w:b/>
                <w:sz w:val="26"/>
                <w:szCs w:val="26"/>
              </w:rPr>
              <w:t>. GBER/2014</w:t>
            </w:r>
            <w:r w:rsidRPr="00C74ABA">
              <w:rPr>
                <w:rFonts w:ascii="Times New Roman" w:hAnsi="Times New Roman" w:cs="Times New Roman"/>
                <w:b/>
                <w:sz w:val="26"/>
                <w:szCs w:val="26"/>
              </w:rPr>
              <w:t xml:space="preserve">, pamatojams arī ar 2011.gada 3.februāra Vispārējās tiesas spriedumu lietā </w:t>
            </w:r>
            <w:hyperlink r:id="rId9" w:history="1">
              <w:r w:rsidRPr="00C74ABA">
                <w:rPr>
                  <w:rStyle w:val="Hyperlink"/>
                  <w:rFonts w:ascii="Times New Roman" w:hAnsi="Times New Roman" w:cs="Times New Roman"/>
                  <w:b/>
                  <w:sz w:val="26"/>
                  <w:szCs w:val="26"/>
                </w:rPr>
                <w:t>T-3/09</w:t>
              </w:r>
            </w:hyperlink>
            <w:r w:rsidRPr="00C74ABA">
              <w:rPr>
                <w:rStyle w:val="FootnoteReference"/>
                <w:rFonts w:ascii="Times New Roman" w:hAnsi="Times New Roman" w:cs="Times New Roman"/>
                <w:b/>
                <w:sz w:val="26"/>
                <w:szCs w:val="26"/>
              </w:rPr>
              <w:footnoteReference w:id="1"/>
            </w:r>
            <w:r w:rsidRPr="00C74ABA">
              <w:rPr>
                <w:rFonts w:ascii="Times New Roman" w:hAnsi="Times New Roman" w:cs="Times New Roman"/>
                <w:b/>
                <w:sz w:val="26"/>
                <w:szCs w:val="26"/>
              </w:rPr>
              <w:t xml:space="preserve">, jo īpaši ņemot vērā šī sprieduma 57 – 60 punktus. Minētie sprieduma punkti vispārīgi skaidro materiālo tiesību normu un kompetences tiesību normu piemērošanu laikā. Spriedumā minētais pamatojums par nepieciešamību piemērot uz attiecīgo brīdi esošās materiālās normas (konkrētajā gadījumā jaunās </w:t>
            </w:r>
            <w:r w:rsidRPr="00C74ABA">
              <w:rPr>
                <w:rFonts w:ascii="Times New Roman" w:eastAsia="Calibri" w:hAnsi="Times New Roman" w:cs="Times New Roman"/>
                <w:b/>
                <w:sz w:val="26"/>
                <w:szCs w:val="26"/>
              </w:rPr>
              <w:t xml:space="preserve">Regulas </w:t>
            </w:r>
            <w:proofErr w:type="spellStart"/>
            <w:r w:rsidRPr="00C74ABA">
              <w:rPr>
                <w:rFonts w:ascii="Times New Roman" w:eastAsia="Calibri" w:hAnsi="Times New Roman" w:cs="Times New Roman"/>
                <w:b/>
                <w:sz w:val="26"/>
                <w:szCs w:val="26"/>
              </w:rPr>
              <w:t>Nr</w:t>
            </w:r>
            <w:proofErr w:type="spellEnd"/>
            <w:r w:rsidRPr="00C74ABA">
              <w:rPr>
                <w:rFonts w:ascii="Times New Roman" w:eastAsia="Calibri" w:hAnsi="Times New Roman" w:cs="Times New Roman"/>
                <w:b/>
                <w:sz w:val="26"/>
                <w:szCs w:val="26"/>
              </w:rPr>
              <w:t xml:space="preserve">. GBER/2014 </w:t>
            </w:r>
            <w:r w:rsidRPr="00C74ABA">
              <w:rPr>
                <w:rFonts w:ascii="Times New Roman" w:hAnsi="Times New Roman" w:cs="Times New Roman"/>
                <w:b/>
                <w:sz w:val="26"/>
                <w:szCs w:val="26"/>
              </w:rPr>
              <w:t xml:space="preserve">normas), ir skaidrots ar to, ka lēmumam, kuru ir jāpieņem valsts atbalsta jomā, jābūt atbilstošam spēkā esošām normām, kuras </w:t>
            </w:r>
            <w:r w:rsidRPr="00C74ABA">
              <w:rPr>
                <w:rFonts w:ascii="Times New Roman" w:hAnsi="Times New Roman" w:cs="Times New Roman"/>
                <w:b/>
                <w:i/>
                <w:iCs/>
                <w:sz w:val="26"/>
                <w:szCs w:val="26"/>
              </w:rPr>
              <w:t xml:space="preserve">a </w:t>
            </w:r>
            <w:proofErr w:type="spellStart"/>
            <w:r w:rsidRPr="00C74ABA">
              <w:rPr>
                <w:rFonts w:ascii="Times New Roman" w:hAnsi="Times New Roman" w:cs="Times New Roman"/>
                <w:b/>
                <w:i/>
                <w:iCs/>
                <w:sz w:val="26"/>
                <w:szCs w:val="26"/>
              </w:rPr>
              <w:t>priori</w:t>
            </w:r>
            <w:proofErr w:type="spellEnd"/>
            <w:r w:rsidRPr="00C74ABA">
              <w:rPr>
                <w:rFonts w:ascii="Times New Roman" w:hAnsi="Times New Roman" w:cs="Times New Roman"/>
                <w:b/>
                <w:sz w:val="26"/>
                <w:szCs w:val="26"/>
              </w:rPr>
              <w:t xml:space="preserve"> nosaka labākos un pareizākos noteikumus, lai nodrošinātu tiesisku regulējumu. Citiem vārdiem, konkrētajā aprakstāmajā situācijā ir uzskatāms, ka Regulas Nr.800/2008 izdevējs - Eiropas Komisija (turpmāk – EK), nosakot esošās Regulas Nr.800/2008  spēkā esības termiņu, ir noteicis, ka regulas normas būs efektīvas un īstenos Eiropas Savienības noteiktos tiesiskos mērķus līdz noteiktajam termiņam. Līdz ar to ir pieņemams, ka, ieviešot jauno </w:t>
            </w:r>
            <w:r w:rsidRPr="00C74ABA">
              <w:rPr>
                <w:rFonts w:ascii="Times New Roman" w:eastAsia="Calibri" w:hAnsi="Times New Roman" w:cs="Times New Roman"/>
                <w:b/>
                <w:sz w:val="26"/>
                <w:szCs w:val="26"/>
              </w:rPr>
              <w:t xml:space="preserve">Regulu </w:t>
            </w:r>
            <w:proofErr w:type="spellStart"/>
            <w:r w:rsidRPr="00C74ABA">
              <w:rPr>
                <w:rFonts w:ascii="Times New Roman" w:eastAsia="Calibri" w:hAnsi="Times New Roman" w:cs="Times New Roman"/>
                <w:b/>
                <w:sz w:val="26"/>
                <w:szCs w:val="26"/>
              </w:rPr>
              <w:t>Nr</w:t>
            </w:r>
            <w:proofErr w:type="spellEnd"/>
            <w:r w:rsidRPr="00C74ABA">
              <w:rPr>
                <w:rFonts w:ascii="Times New Roman" w:eastAsia="Calibri" w:hAnsi="Times New Roman" w:cs="Times New Roman"/>
                <w:b/>
                <w:sz w:val="26"/>
                <w:szCs w:val="26"/>
              </w:rPr>
              <w:t>. GBER/2014</w:t>
            </w:r>
            <w:r w:rsidRPr="00C74ABA">
              <w:rPr>
                <w:rFonts w:ascii="Times New Roman" w:hAnsi="Times New Roman" w:cs="Times New Roman"/>
                <w:b/>
                <w:sz w:val="26"/>
                <w:szCs w:val="26"/>
              </w:rPr>
              <w:t xml:space="preserve">, EK ir paredzējusi labāku, efektīvāku un pastāvošai situācijai kopējā tirgū atbilstošāku regulējumu, tāpēc pretēji šai nostājai Regulas Nr.800/2008 piemērošana pēc 2014.gada 30.jūnija būs uzskatāma kā neatbilstoša Līguma par Eiropas Savienības darbību 107. un 108.pantiem un nesaderīga ar kopējā tirgus attīstības īstenošanas mērķiem, kas cēloņsakarībā var radīt pamatu EK pieņemt procedūras atvēršanas lēmumu un lemt par </w:t>
            </w:r>
            <w:r w:rsidRPr="00C74ABA">
              <w:rPr>
                <w:rFonts w:ascii="Times New Roman" w:hAnsi="Times New Roman" w:cs="Times New Roman"/>
                <w:b/>
                <w:sz w:val="26"/>
                <w:szCs w:val="26"/>
              </w:rPr>
              <w:lastRenderedPageBreak/>
              <w:t xml:space="preserve">izmaksātā atbalsta atgūšanu. Ņemot vērā iepriekš minēto, gadījumā, ja atbildīgai iestādei būs jāpieņem lēmumi par valsts atbalsta piešķiršanu pēc 2014.gada 30.jūnija, valsts atbalsta sniegšanas pasākumi būs jāīsteno saskaņā ar jauno </w:t>
            </w:r>
            <w:r w:rsidRPr="00C74ABA">
              <w:rPr>
                <w:rFonts w:ascii="Times New Roman" w:eastAsia="Calibri" w:hAnsi="Times New Roman" w:cs="Times New Roman"/>
                <w:b/>
                <w:sz w:val="26"/>
                <w:szCs w:val="26"/>
              </w:rPr>
              <w:t xml:space="preserve">Regulu </w:t>
            </w:r>
            <w:proofErr w:type="spellStart"/>
            <w:r w:rsidRPr="00C74ABA">
              <w:rPr>
                <w:rFonts w:ascii="Times New Roman" w:eastAsia="Calibri" w:hAnsi="Times New Roman" w:cs="Times New Roman"/>
                <w:b/>
                <w:sz w:val="26"/>
                <w:szCs w:val="26"/>
              </w:rPr>
              <w:t>Nr</w:t>
            </w:r>
            <w:proofErr w:type="spellEnd"/>
            <w:r w:rsidRPr="00C74ABA">
              <w:rPr>
                <w:rFonts w:ascii="Times New Roman" w:eastAsia="Calibri" w:hAnsi="Times New Roman" w:cs="Times New Roman"/>
                <w:b/>
                <w:sz w:val="26"/>
                <w:szCs w:val="26"/>
              </w:rPr>
              <w:t>. GBER/2014</w:t>
            </w:r>
            <w:r w:rsidRPr="00C74ABA">
              <w:rPr>
                <w:rFonts w:ascii="Times New Roman" w:hAnsi="Times New Roman" w:cs="Times New Roman"/>
                <w:b/>
                <w:sz w:val="26"/>
                <w:szCs w:val="26"/>
              </w:rPr>
              <w:t xml:space="preserve"> un uz tās pamata izstrādāto valsts atbalsta programmu.</w:t>
            </w:r>
          </w:p>
          <w:p w:rsidR="00D402F0" w:rsidRPr="00C74ABA" w:rsidRDefault="00B558DD" w:rsidP="00B558DD">
            <w:pPr>
              <w:spacing w:after="0" w:line="240" w:lineRule="auto"/>
              <w:ind w:firstLine="567"/>
              <w:jc w:val="both"/>
              <w:rPr>
                <w:rFonts w:ascii="Times New Roman" w:hAnsi="Times New Roman" w:cs="Times New Roman"/>
                <w:sz w:val="26"/>
                <w:szCs w:val="26"/>
              </w:rPr>
            </w:pPr>
            <w:r w:rsidRPr="00C74ABA">
              <w:rPr>
                <w:rFonts w:ascii="Times New Roman" w:hAnsi="Times New Roman" w:cs="Times New Roman"/>
                <w:sz w:val="26"/>
                <w:szCs w:val="26"/>
              </w:rPr>
              <w:t xml:space="preserve"> Lai būtu skaidras prasības attiecībā uz šādiem finansējuma saņēmējiem,</w:t>
            </w:r>
            <w:r w:rsidR="006E0CC8" w:rsidRPr="00C74ABA">
              <w:rPr>
                <w:rFonts w:ascii="Times New Roman" w:hAnsi="Times New Roman" w:cs="Times New Roman"/>
                <w:sz w:val="26"/>
                <w:szCs w:val="26"/>
              </w:rPr>
              <w:t xml:space="preserve"> </w:t>
            </w:r>
            <w:r w:rsidR="006E0CC8" w:rsidRPr="00C74ABA">
              <w:rPr>
                <w:rFonts w:ascii="Times New Roman" w:hAnsi="Times New Roman" w:cs="Times New Roman"/>
                <w:b/>
                <w:sz w:val="26"/>
                <w:szCs w:val="26"/>
              </w:rPr>
              <w:t xml:space="preserve">kā arī, ņemot vērā, ka Regula </w:t>
            </w:r>
            <w:proofErr w:type="spellStart"/>
            <w:r w:rsidR="006E0CC8" w:rsidRPr="00C74ABA">
              <w:rPr>
                <w:rFonts w:ascii="Times New Roman" w:hAnsi="Times New Roman" w:cs="Times New Roman"/>
                <w:b/>
                <w:sz w:val="26"/>
                <w:szCs w:val="26"/>
              </w:rPr>
              <w:t>Nr.GBER</w:t>
            </w:r>
            <w:proofErr w:type="spellEnd"/>
            <w:r w:rsidR="006E0CC8" w:rsidRPr="00C74ABA">
              <w:rPr>
                <w:rFonts w:ascii="Times New Roman" w:hAnsi="Times New Roman" w:cs="Times New Roman"/>
                <w:b/>
                <w:sz w:val="26"/>
                <w:szCs w:val="26"/>
              </w:rPr>
              <w:t>/2014 paredz vairākus jaunus un no Regulas Nr.800/2008 atšķirīgus nosacījumus</w:t>
            </w:r>
            <w:r w:rsidR="006E0CC8" w:rsidRPr="00C74ABA">
              <w:rPr>
                <w:rFonts w:ascii="Times New Roman" w:hAnsi="Times New Roman" w:cs="Times New Roman"/>
                <w:sz w:val="26"/>
                <w:szCs w:val="26"/>
              </w:rPr>
              <w:t>,</w:t>
            </w:r>
            <w:r w:rsidRPr="00C74ABA">
              <w:rPr>
                <w:rFonts w:ascii="Times New Roman" w:hAnsi="Times New Roman" w:cs="Times New Roman"/>
                <w:sz w:val="26"/>
                <w:szCs w:val="26"/>
              </w:rPr>
              <w:t xml:space="preserve"> ti</w:t>
            </w:r>
            <w:r w:rsidR="00D402F0" w:rsidRPr="00C74ABA">
              <w:rPr>
                <w:rFonts w:ascii="Times New Roman" w:hAnsi="Times New Roman" w:cs="Times New Roman"/>
                <w:sz w:val="26"/>
                <w:szCs w:val="26"/>
              </w:rPr>
              <w:t xml:space="preserve">ek </w:t>
            </w:r>
            <w:r w:rsidRPr="00C74ABA">
              <w:rPr>
                <w:rFonts w:ascii="Times New Roman" w:hAnsi="Times New Roman" w:cs="Times New Roman"/>
                <w:sz w:val="26"/>
                <w:szCs w:val="26"/>
              </w:rPr>
              <w:t>veikti grozījumi esošajos Ministru kabineta noteikumos</w:t>
            </w:r>
            <w:r w:rsidR="00B65422" w:rsidRPr="00C74ABA">
              <w:rPr>
                <w:rFonts w:ascii="Times New Roman" w:hAnsi="Times New Roman" w:cs="Times New Roman"/>
                <w:sz w:val="26"/>
                <w:szCs w:val="26"/>
              </w:rPr>
              <w:t xml:space="preserve">, saskaņojot tos ar Regulas </w:t>
            </w:r>
            <w:proofErr w:type="spellStart"/>
            <w:r w:rsidR="00B65422" w:rsidRPr="00C74ABA">
              <w:rPr>
                <w:rFonts w:ascii="Times New Roman" w:hAnsi="Times New Roman" w:cs="Times New Roman"/>
                <w:sz w:val="26"/>
                <w:szCs w:val="26"/>
              </w:rPr>
              <w:t>Nr.GBER</w:t>
            </w:r>
            <w:proofErr w:type="spellEnd"/>
            <w:r w:rsidR="00B65422" w:rsidRPr="00C74ABA">
              <w:rPr>
                <w:rFonts w:ascii="Times New Roman" w:hAnsi="Times New Roman" w:cs="Times New Roman"/>
                <w:sz w:val="26"/>
                <w:szCs w:val="26"/>
              </w:rPr>
              <w:t>/2014</w:t>
            </w:r>
            <w:r w:rsidR="00897E52" w:rsidRPr="00C74ABA">
              <w:rPr>
                <w:rFonts w:ascii="Times New Roman" w:hAnsi="Times New Roman" w:cs="Times New Roman"/>
                <w:sz w:val="26"/>
                <w:szCs w:val="26"/>
              </w:rPr>
              <w:t xml:space="preserve"> </w:t>
            </w:r>
            <w:r w:rsidRPr="00C74ABA">
              <w:rPr>
                <w:rFonts w:ascii="Times New Roman" w:hAnsi="Times New Roman" w:cs="Times New Roman"/>
                <w:sz w:val="26"/>
                <w:szCs w:val="26"/>
              </w:rPr>
              <w:t xml:space="preserve">nosacījumiem. </w:t>
            </w:r>
          </w:p>
          <w:p w:rsidR="00B558DD" w:rsidRPr="00C74ABA" w:rsidRDefault="00B65422" w:rsidP="00B558DD">
            <w:pPr>
              <w:spacing w:after="0" w:line="240" w:lineRule="auto"/>
              <w:ind w:firstLine="567"/>
              <w:jc w:val="both"/>
              <w:rPr>
                <w:rFonts w:ascii="Times New Roman" w:hAnsi="Times New Roman" w:cs="Times New Roman"/>
                <w:sz w:val="26"/>
                <w:szCs w:val="26"/>
              </w:rPr>
            </w:pPr>
            <w:r w:rsidRPr="00C74ABA">
              <w:rPr>
                <w:rFonts w:ascii="Times New Roman" w:hAnsi="Times New Roman" w:cs="Times New Roman"/>
                <w:sz w:val="26"/>
                <w:szCs w:val="26"/>
              </w:rPr>
              <w:t>Ir</w:t>
            </w:r>
            <w:r w:rsidR="00B558DD" w:rsidRPr="00C74ABA">
              <w:rPr>
                <w:rFonts w:ascii="Times New Roman" w:hAnsi="Times New Roman" w:cs="Times New Roman"/>
                <w:sz w:val="26"/>
                <w:szCs w:val="26"/>
              </w:rPr>
              <w:t xml:space="preserve"> būtiski norādīt, ka saskaņā ar </w:t>
            </w:r>
            <w:r w:rsidR="003F3D71" w:rsidRPr="00C74ABA">
              <w:rPr>
                <w:rFonts w:ascii="Times New Roman" w:hAnsi="Times New Roman" w:cs="Times New Roman"/>
                <w:sz w:val="26"/>
                <w:szCs w:val="26"/>
              </w:rPr>
              <w:t xml:space="preserve"> </w:t>
            </w:r>
            <w:r w:rsidRPr="00C74ABA">
              <w:rPr>
                <w:rFonts w:ascii="Times New Roman" w:hAnsi="Times New Roman" w:cs="Times New Roman"/>
                <w:sz w:val="26"/>
                <w:szCs w:val="26"/>
              </w:rPr>
              <w:t xml:space="preserve">Regulas </w:t>
            </w:r>
            <w:proofErr w:type="spellStart"/>
            <w:r w:rsidRPr="00C74ABA">
              <w:rPr>
                <w:rFonts w:ascii="Times New Roman" w:hAnsi="Times New Roman" w:cs="Times New Roman"/>
                <w:sz w:val="26"/>
                <w:szCs w:val="26"/>
              </w:rPr>
              <w:t>Nr.GBER</w:t>
            </w:r>
            <w:proofErr w:type="spellEnd"/>
            <w:r w:rsidRPr="00C74ABA">
              <w:rPr>
                <w:rFonts w:ascii="Times New Roman" w:hAnsi="Times New Roman" w:cs="Times New Roman"/>
                <w:sz w:val="26"/>
                <w:szCs w:val="26"/>
              </w:rPr>
              <w:t>/2014 noteikumiem</w:t>
            </w:r>
            <w:r w:rsidR="00B558DD" w:rsidRPr="00C74ABA">
              <w:rPr>
                <w:rFonts w:ascii="Times New Roman" w:hAnsi="Times New Roman" w:cs="Times New Roman"/>
                <w:sz w:val="26"/>
                <w:szCs w:val="26"/>
              </w:rPr>
              <w:t xml:space="preserve"> lielajiem komersantiem maksimāli pieļaujamā atbalsta intensitāte ir noteikta 35% no projekta attiecināmajām izmaksām, kas ir mazāk kā pašlaik pieļaujams 2.1.2.4.aktivitātes projektu iesniegumu atlases ceturtās kārtas ietvaros (45%)</w:t>
            </w:r>
            <w:r w:rsidRPr="00C74ABA">
              <w:rPr>
                <w:rFonts w:ascii="Times New Roman" w:hAnsi="Times New Roman" w:cs="Times New Roman"/>
                <w:sz w:val="26"/>
                <w:szCs w:val="26"/>
              </w:rPr>
              <w:t xml:space="preserve"> saskaņā ar Regulu Nr.800/2008</w:t>
            </w:r>
            <w:r w:rsidR="00B558DD" w:rsidRPr="00C74ABA">
              <w:rPr>
                <w:rFonts w:ascii="Times New Roman" w:hAnsi="Times New Roman" w:cs="Times New Roman"/>
                <w:sz w:val="26"/>
                <w:szCs w:val="26"/>
              </w:rPr>
              <w:t xml:space="preserve">. Līdz ar to tiem </w:t>
            </w:r>
            <w:r w:rsidRPr="00C74ABA">
              <w:rPr>
                <w:rFonts w:ascii="Times New Roman" w:hAnsi="Times New Roman" w:cs="Times New Roman"/>
                <w:sz w:val="26"/>
                <w:szCs w:val="26"/>
              </w:rPr>
              <w:t xml:space="preserve">projektu </w:t>
            </w:r>
            <w:r w:rsidR="00B558DD" w:rsidRPr="00C74ABA">
              <w:rPr>
                <w:rFonts w:ascii="Times New Roman" w:hAnsi="Times New Roman" w:cs="Times New Roman"/>
                <w:sz w:val="26"/>
                <w:szCs w:val="26"/>
              </w:rPr>
              <w:t xml:space="preserve">iesniedzējiem, </w:t>
            </w:r>
            <w:r w:rsidRPr="00C74ABA">
              <w:rPr>
                <w:rFonts w:ascii="Times New Roman" w:hAnsi="Times New Roman" w:cs="Times New Roman"/>
                <w:sz w:val="26"/>
                <w:szCs w:val="26"/>
              </w:rPr>
              <w:t xml:space="preserve">kuri </w:t>
            </w:r>
            <w:r w:rsidR="00B558DD" w:rsidRPr="00C74ABA">
              <w:rPr>
                <w:rFonts w:ascii="Times New Roman" w:hAnsi="Times New Roman" w:cs="Times New Roman"/>
                <w:sz w:val="26"/>
                <w:szCs w:val="26"/>
              </w:rPr>
              <w:t>ir lielie komersanti un par kuru projektu iesniegumu apstiprināšanu lēmums tiks pieņemts pēc 2014.gada 30.jūnij</w:t>
            </w:r>
            <w:r w:rsidRPr="00C74ABA">
              <w:rPr>
                <w:rFonts w:ascii="Times New Roman" w:hAnsi="Times New Roman" w:cs="Times New Roman"/>
                <w:sz w:val="26"/>
                <w:szCs w:val="26"/>
              </w:rPr>
              <w:t xml:space="preserve">a (tātad – saskaņā ar Regulu </w:t>
            </w:r>
            <w:proofErr w:type="spellStart"/>
            <w:r w:rsidRPr="00C74ABA">
              <w:rPr>
                <w:rFonts w:ascii="Times New Roman" w:hAnsi="Times New Roman" w:cs="Times New Roman"/>
                <w:sz w:val="26"/>
                <w:szCs w:val="26"/>
              </w:rPr>
              <w:t>Nr.GBER</w:t>
            </w:r>
            <w:proofErr w:type="spellEnd"/>
            <w:r w:rsidRPr="00C74ABA">
              <w:rPr>
                <w:rFonts w:ascii="Times New Roman" w:hAnsi="Times New Roman" w:cs="Times New Roman"/>
                <w:sz w:val="26"/>
                <w:szCs w:val="26"/>
              </w:rPr>
              <w:t xml:space="preserve">/2014), </w:t>
            </w:r>
            <w:r w:rsidR="00B558DD" w:rsidRPr="00C74ABA">
              <w:rPr>
                <w:rFonts w:ascii="Times New Roman" w:hAnsi="Times New Roman" w:cs="Times New Roman"/>
                <w:sz w:val="26"/>
                <w:szCs w:val="26"/>
              </w:rPr>
              <w:t>maksimālā atbalsta intensitāte</w:t>
            </w:r>
            <w:r w:rsidRPr="00C74ABA">
              <w:rPr>
                <w:rFonts w:ascii="Times New Roman" w:hAnsi="Times New Roman" w:cs="Times New Roman"/>
                <w:sz w:val="26"/>
                <w:szCs w:val="26"/>
              </w:rPr>
              <w:t xml:space="preserve"> nevarēs</w:t>
            </w:r>
            <w:r w:rsidR="00B558DD" w:rsidRPr="00C74ABA">
              <w:rPr>
                <w:rFonts w:ascii="Times New Roman" w:hAnsi="Times New Roman" w:cs="Times New Roman"/>
                <w:sz w:val="26"/>
                <w:szCs w:val="26"/>
              </w:rPr>
              <w:t xml:space="preserve"> </w:t>
            </w:r>
            <w:r w:rsidRPr="00C74ABA">
              <w:rPr>
                <w:rFonts w:ascii="Times New Roman" w:hAnsi="Times New Roman" w:cs="Times New Roman"/>
                <w:sz w:val="26"/>
                <w:szCs w:val="26"/>
              </w:rPr>
              <w:t xml:space="preserve">būt augstāka par </w:t>
            </w:r>
            <w:r w:rsidR="00B558DD" w:rsidRPr="00C74ABA">
              <w:rPr>
                <w:rFonts w:ascii="Times New Roman" w:hAnsi="Times New Roman" w:cs="Times New Roman"/>
                <w:sz w:val="26"/>
                <w:szCs w:val="26"/>
              </w:rPr>
              <w:t>35% no projekta attiecināmajām izmaksām.</w:t>
            </w:r>
          </w:p>
          <w:p w:rsidR="00B558DD" w:rsidRPr="00C74ABA" w:rsidRDefault="00B558DD" w:rsidP="00B558DD">
            <w:pPr>
              <w:pStyle w:val="FootnoteText"/>
              <w:rPr>
                <w:i/>
                <w:sz w:val="26"/>
                <w:szCs w:val="26"/>
                <w:lang w:val="lv-LV"/>
              </w:rPr>
            </w:pPr>
            <w:r w:rsidRPr="00C74ABA">
              <w:rPr>
                <w:sz w:val="26"/>
                <w:szCs w:val="26"/>
                <w:lang w:val="lv-LV"/>
              </w:rPr>
              <w:t xml:space="preserve">Ekonomikas ministrija norāda, ka </w:t>
            </w:r>
            <w:r w:rsidR="00B65422" w:rsidRPr="00C74ABA">
              <w:rPr>
                <w:sz w:val="26"/>
                <w:szCs w:val="26"/>
                <w:lang w:val="lv-LV"/>
              </w:rPr>
              <w:t>situācijā, kad projekta iesniedzējs projekta iesniegšanas brīdī varēja pretendēt uz atbalstu ar intensitāte līdz pat 45%, bet apstrīdēšanas rezultātā projekta iesniegums tiks apstiprināts ar atbalsta intensitāti ne augstāku kā 35%, nebūtu uzskatāms, ka  tiktu</w:t>
            </w:r>
            <w:r w:rsidRPr="00C74ABA">
              <w:rPr>
                <w:sz w:val="26"/>
                <w:szCs w:val="26"/>
                <w:lang w:val="lv-LV"/>
              </w:rPr>
              <w:t xml:space="preserve"> pārkāpts tiesiskās paļāvības princips</w:t>
            </w:r>
            <w:r w:rsidR="00B65422" w:rsidRPr="00C74ABA">
              <w:rPr>
                <w:sz w:val="26"/>
                <w:szCs w:val="26"/>
                <w:lang w:val="lv-LV"/>
              </w:rPr>
              <w:t>.</w:t>
            </w:r>
            <w:r w:rsidRPr="00C74ABA">
              <w:rPr>
                <w:sz w:val="26"/>
                <w:szCs w:val="26"/>
                <w:lang w:val="lv-LV"/>
              </w:rPr>
              <w:t xml:space="preserve"> </w:t>
            </w:r>
            <w:r w:rsidR="00B65422" w:rsidRPr="00C74ABA">
              <w:rPr>
                <w:sz w:val="26"/>
                <w:szCs w:val="26"/>
                <w:lang w:val="lv-LV"/>
              </w:rPr>
              <w:t>K</w:t>
            </w:r>
            <w:r w:rsidRPr="00C74ABA">
              <w:rPr>
                <w:sz w:val="26"/>
                <w:szCs w:val="26"/>
                <w:lang w:val="lv-LV"/>
              </w:rPr>
              <w:t xml:space="preserve">ā tas </w:t>
            </w:r>
            <w:r w:rsidR="00B65422" w:rsidRPr="00C74ABA">
              <w:rPr>
                <w:sz w:val="26"/>
                <w:szCs w:val="26"/>
                <w:lang w:val="lv-LV"/>
              </w:rPr>
              <w:t>ir atzīts tiesību doktrīnā,</w:t>
            </w:r>
            <w:r w:rsidRPr="00C74ABA">
              <w:rPr>
                <w:sz w:val="26"/>
                <w:szCs w:val="26"/>
                <w:lang w:val="lv-LV"/>
              </w:rPr>
              <w:t xml:space="preserve"> objektīvajās tiesībās personai subjektīvās tiesības prasīt Eiropas Savienības struktūrfondu finansējumu nav garantētas, jo tā pamatā ir tiesību teorijā nostiprinātā izpratne, ka ir nošķiramas tiesības, kas saistītas </w:t>
            </w:r>
            <w:r w:rsidR="00B65422" w:rsidRPr="00C74ABA">
              <w:rPr>
                <w:sz w:val="26"/>
                <w:szCs w:val="26"/>
                <w:lang w:val="lv-LV"/>
              </w:rPr>
              <w:t xml:space="preserve">ar </w:t>
            </w:r>
            <w:r w:rsidRPr="00C74ABA">
              <w:rPr>
                <w:sz w:val="26"/>
                <w:szCs w:val="26"/>
                <w:lang w:val="lv-LV"/>
              </w:rPr>
              <w:t xml:space="preserve">personas pamattiesību, brīvību ierobežošanu, iejaukšanos tajās (vāc. - </w:t>
            </w:r>
            <w:proofErr w:type="spellStart"/>
            <w:r w:rsidRPr="00C74ABA">
              <w:rPr>
                <w:i/>
                <w:sz w:val="26"/>
                <w:szCs w:val="26"/>
                <w:lang w:val="lv-LV"/>
              </w:rPr>
              <w:t>Eingriffsverwaltung</w:t>
            </w:r>
            <w:proofErr w:type="spellEnd"/>
            <w:r w:rsidRPr="00C74ABA">
              <w:rPr>
                <w:sz w:val="26"/>
                <w:szCs w:val="26"/>
                <w:lang w:val="lv-LV"/>
              </w:rPr>
              <w:t>) no tiesību nodrošinošās valsts pārvaldes (vāc</w:t>
            </w:r>
            <w:r w:rsidRPr="00C74ABA">
              <w:rPr>
                <w:i/>
                <w:sz w:val="26"/>
                <w:szCs w:val="26"/>
                <w:lang w:val="lv-LV"/>
              </w:rPr>
              <w:t>.-</w:t>
            </w:r>
            <w:proofErr w:type="spellStart"/>
            <w:r w:rsidRPr="00C74ABA">
              <w:rPr>
                <w:i/>
                <w:sz w:val="26"/>
                <w:szCs w:val="26"/>
                <w:lang w:val="lv-LV"/>
              </w:rPr>
              <w:t>Leistungsverwaltung</w:t>
            </w:r>
            <w:proofErr w:type="spellEnd"/>
            <w:r w:rsidRPr="00C74ABA">
              <w:rPr>
                <w:sz w:val="26"/>
                <w:szCs w:val="26"/>
                <w:lang w:val="lv-LV"/>
              </w:rPr>
              <w:t>), kurās ietilpst arī subsīdiju jeb finanšu piešķīrumu tiesības (vāc.-</w:t>
            </w:r>
            <w:proofErr w:type="spellStart"/>
            <w:r w:rsidRPr="00C74ABA">
              <w:rPr>
                <w:i/>
                <w:sz w:val="26"/>
                <w:szCs w:val="26"/>
                <w:lang w:val="lv-LV"/>
              </w:rPr>
              <w:t>Subventionsvergabe</w:t>
            </w:r>
            <w:r w:rsidRPr="00C74ABA">
              <w:rPr>
                <w:i/>
                <w:sz w:val="26"/>
                <w:szCs w:val="26"/>
                <w:vertAlign w:val="superscript"/>
                <w:lang w:val="lv-LV"/>
              </w:rPr>
              <w:t>).</w:t>
            </w:r>
            <w:r w:rsidRPr="00C74ABA">
              <w:rPr>
                <w:i/>
                <w:sz w:val="26"/>
                <w:szCs w:val="26"/>
                <w:lang w:val="lv-LV"/>
              </w:rPr>
              <w:t>(Rolf</w:t>
            </w:r>
            <w:proofErr w:type="spellEnd"/>
            <w:r w:rsidRPr="00C74ABA">
              <w:rPr>
                <w:i/>
                <w:sz w:val="26"/>
                <w:szCs w:val="26"/>
                <w:lang w:val="lv-LV"/>
              </w:rPr>
              <w:t xml:space="preserve"> </w:t>
            </w:r>
            <w:proofErr w:type="spellStart"/>
            <w:r w:rsidRPr="00C74ABA">
              <w:rPr>
                <w:i/>
                <w:sz w:val="26"/>
                <w:szCs w:val="26"/>
                <w:lang w:val="lv-LV"/>
              </w:rPr>
              <w:t>Schmidt</w:t>
            </w:r>
            <w:proofErr w:type="spellEnd"/>
            <w:r w:rsidRPr="00C74ABA">
              <w:rPr>
                <w:i/>
                <w:sz w:val="26"/>
                <w:szCs w:val="26"/>
                <w:lang w:val="lv-LV"/>
              </w:rPr>
              <w:t xml:space="preserve">. </w:t>
            </w:r>
            <w:proofErr w:type="spellStart"/>
            <w:r w:rsidRPr="00C74ABA">
              <w:rPr>
                <w:i/>
                <w:iCs/>
                <w:sz w:val="26"/>
                <w:szCs w:val="26"/>
                <w:lang w:val="lv-LV"/>
              </w:rPr>
              <w:t>Allgemeines</w:t>
            </w:r>
            <w:proofErr w:type="spellEnd"/>
            <w:r w:rsidRPr="00C74ABA">
              <w:rPr>
                <w:i/>
                <w:iCs/>
                <w:sz w:val="26"/>
                <w:szCs w:val="26"/>
                <w:lang w:val="lv-LV"/>
              </w:rPr>
              <w:t xml:space="preserve"> </w:t>
            </w:r>
            <w:proofErr w:type="spellStart"/>
            <w:r w:rsidRPr="00C74ABA">
              <w:rPr>
                <w:i/>
                <w:iCs/>
                <w:sz w:val="26"/>
                <w:szCs w:val="26"/>
                <w:lang w:val="lv-LV"/>
              </w:rPr>
              <w:t>Verwaltungsrecht</w:t>
            </w:r>
            <w:proofErr w:type="spellEnd"/>
            <w:r w:rsidRPr="00C74ABA">
              <w:rPr>
                <w:i/>
                <w:sz w:val="26"/>
                <w:szCs w:val="26"/>
                <w:lang w:val="lv-LV"/>
              </w:rPr>
              <w:t xml:space="preserve">. 11.Auflage, </w:t>
            </w:r>
            <w:proofErr w:type="spellStart"/>
            <w:r w:rsidRPr="00C74ABA">
              <w:rPr>
                <w:i/>
                <w:sz w:val="26"/>
                <w:szCs w:val="26"/>
                <w:lang w:val="lv-LV"/>
              </w:rPr>
              <w:t>R.Schmidt</w:t>
            </w:r>
            <w:proofErr w:type="spellEnd"/>
            <w:r w:rsidRPr="00C74ABA">
              <w:rPr>
                <w:i/>
                <w:sz w:val="26"/>
                <w:szCs w:val="26"/>
                <w:lang w:val="lv-LV"/>
              </w:rPr>
              <w:t xml:space="preserve"> </w:t>
            </w:r>
            <w:proofErr w:type="spellStart"/>
            <w:r w:rsidRPr="00C74ABA">
              <w:rPr>
                <w:i/>
                <w:sz w:val="26"/>
                <w:szCs w:val="26"/>
                <w:lang w:val="lv-LV"/>
              </w:rPr>
              <w:t>Verlag</w:t>
            </w:r>
            <w:proofErr w:type="spellEnd"/>
            <w:r w:rsidRPr="00C74ABA">
              <w:rPr>
                <w:i/>
                <w:sz w:val="26"/>
                <w:szCs w:val="26"/>
                <w:lang w:val="lv-LV"/>
              </w:rPr>
              <w:t>, 2007, S.73-78).</w:t>
            </w:r>
          </w:p>
          <w:p w:rsidR="0082054A" w:rsidRPr="00C74ABA" w:rsidRDefault="0082054A" w:rsidP="00897E52">
            <w:pPr>
              <w:pStyle w:val="FootnoteText"/>
              <w:ind w:firstLine="0"/>
              <w:rPr>
                <w:sz w:val="26"/>
                <w:szCs w:val="26"/>
                <w:lang w:val="lv-LV"/>
              </w:rPr>
            </w:pPr>
            <w:r w:rsidRPr="00C74ABA">
              <w:rPr>
                <w:sz w:val="26"/>
                <w:szCs w:val="26"/>
                <w:lang w:val="lv-LV"/>
              </w:rPr>
              <w:t xml:space="preserve">Turklāt jānorāda, ka jau pirms projektu iesniegumu </w:t>
            </w:r>
            <w:r w:rsidR="003F3D71" w:rsidRPr="00C74ABA">
              <w:rPr>
                <w:sz w:val="26"/>
                <w:szCs w:val="26"/>
                <w:lang w:val="lv-LV"/>
              </w:rPr>
              <w:t xml:space="preserve">ceturtās atlases kārtas, kad tika veikti attiecīgi grozījumi </w:t>
            </w:r>
            <w:r w:rsidR="003F3D71" w:rsidRPr="00C74ABA">
              <w:rPr>
                <w:sz w:val="26"/>
                <w:szCs w:val="26"/>
                <w:lang w:val="lv-LV"/>
              </w:rPr>
              <w:lastRenderedPageBreak/>
              <w:t>MK noteikumos Nr.817 (Ministru kabineta 2014.gada 18.februāra noteikumi Nr.106), grozījumu anotācijā</w:t>
            </w:r>
            <w:r w:rsidR="00897E52" w:rsidRPr="00C74ABA">
              <w:rPr>
                <w:sz w:val="26"/>
                <w:szCs w:val="26"/>
                <w:lang w:val="lv-LV"/>
              </w:rPr>
              <w:t xml:space="preserve"> </w:t>
            </w:r>
            <w:r w:rsidR="003F3D71" w:rsidRPr="00C74ABA">
              <w:rPr>
                <w:sz w:val="26"/>
                <w:szCs w:val="26"/>
                <w:lang w:val="lv-LV"/>
              </w:rPr>
              <w:t xml:space="preserve"> tika vērsta uzmanība uz šāda tiesiska riska iestāšanās iespējamību. </w:t>
            </w:r>
          </w:p>
          <w:p w:rsidR="0019293D" w:rsidRPr="00C74ABA" w:rsidRDefault="00B65422" w:rsidP="0019293D">
            <w:pPr>
              <w:spacing w:after="0" w:line="240" w:lineRule="auto"/>
              <w:ind w:firstLine="567"/>
              <w:jc w:val="both"/>
              <w:rPr>
                <w:rFonts w:ascii="Times New Roman" w:hAnsi="Times New Roman" w:cs="Times New Roman"/>
                <w:sz w:val="26"/>
                <w:szCs w:val="26"/>
              </w:rPr>
            </w:pPr>
            <w:r w:rsidRPr="00C74ABA">
              <w:rPr>
                <w:rFonts w:ascii="Times New Roman" w:hAnsi="Times New Roman" w:cs="Times New Roman"/>
                <w:sz w:val="26"/>
                <w:szCs w:val="26"/>
              </w:rPr>
              <w:t xml:space="preserve">Tāpat jāņem </w:t>
            </w:r>
            <w:r w:rsidR="0019293D" w:rsidRPr="00C74ABA">
              <w:rPr>
                <w:rFonts w:ascii="Times New Roman" w:hAnsi="Times New Roman" w:cs="Times New Roman"/>
                <w:sz w:val="26"/>
                <w:szCs w:val="26"/>
              </w:rPr>
              <w:t>vērā, ka saskaņā ar  Valsts pārvaldes iestāžu nodarīto zaudējumu atlīdzināšanas likuma 6.pantu tiesības uz zaudējuma atlīdzinājumu rodas, ja starp iestādes prettiesisko rīcību un cietušajam nodarīto zaudējumu pastāv tieša cēloņsakarība — objektīva saikne starp iestādes rīcību un tās radītajām laika ziņā sekojošām zaudējumu nodarošām sekām, proti, minētā rīcība rada un nosaka šo seku iestāšanās reālu iespēju un ir galvenais faktors, kas nenovēršami radījis šīs sekas. Līdz ar to, izvērtējot riska iespējamību, ka projekta iesniedzējs varētu īstenot prasību par zaudējumu Eiropas Savienības struktūrfondu finansējuma apmērā/neiegūto peļņu, atlīdzību, jāņem vērā, ka ir apšaubāma iespēja pierādīt cēloņsakarību starp iestādes prettiesisko administratīvo aktu un šādu zaudējumu esamību.</w:t>
            </w:r>
          </w:p>
          <w:p w:rsidR="0019293D" w:rsidRPr="00C74ABA" w:rsidRDefault="0019293D" w:rsidP="0019293D">
            <w:pPr>
              <w:spacing w:after="0" w:line="240" w:lineRule="auto"/>
              <w:ind w:firstLine="567"/>
              <w:jc w:val="both"/>
              <w:rPr>
                <w:rFonts w:ascii="Times New Roman" w:hAnsi="Times New Roman" w:cs="Times New Roman"/>
                <w:sz w:val="26"/>
                <w:szCs w:val="26"/>
              </w:rPr>
            </w:pPr>
            <w:r w:rsidRPr="00C74ABA">
              <w:rPr>
                <w:rFonts w:ascii="Times New Roman" w:hAnsi="Times New Roman" w:cs="Times New Roman"/>
                <w:sz w:val="26"/>
                <w:szCs w:val="26"/>
              </w:rPr>
              <w:t xml:space="preserve">Proti, tā kā saskaņā ar Vadības likuma 5.pantu projekta iesniedzējam nav garantētas subjektīvās tiesības saņemt finansējumu (tai skaitā, ja atbilst visiem kritērijiem, bet nepietiek finansējuma), projekta iesniedzējs, veicot izdevumus pirms projekta apstiprināšanas, uzņemas risku, ka ir iespēja, ka šie izdevumi būs jāsedz no paša līdzekļiem. Tādēļ nav konstatējams, ka iestādes prettiesiskais administratīvais akts ir tiešā cēloņsakarībā ar iespējamiem zaudējumiem, jo nebūtu uzskatāms, ka konkrētajā gadījumā projekta iesniedzējs varēja paļauties uz to, ka projekta iesniegumu noteikti apstiprinās. </w:t>
            </w:r>
          </w:p>
          <w:p w:rsidR="00422CCA" w:rsidRPr="00C74ABA" w:rsidRDefault="0019293D" w:rsidP="00F70937">
            <w:pPr>
              <w:spacing w:after="0" w:line="240" w:lineRule="auto"/>
              <w:ind w:firstLine="567"/>
              <w:jc w:val="both"/>
              <w:rPr>
                <w:rFonts w:ascii="Times New Roman" w:hAnsi="Times New Roman" w:cs="Times New Roman"/>
                <w:sz w:val="26"/>
                <w:szCs w:val="26"/>
              </w:rPr>
            </w:pPr>
            <w:r w:rsidRPr="00C74ABA">
              <w:rPr>
                <w:rFonts w:ascii="Times New Roman" w:hAnsi="Times New Roman" w:cs="Times New Roman"/>
                <w:sz w:val="26"/>
                <w:szCs w:val="26"/>
              </w:rPr>
              <w:t>Turklāt jāvērš  uzmanība uz Vadības likuma anotācij</w:t>
            </w:r>
            <w:r w:rsidR="007950AF" w:rsidRPr="00C74ABA">
              <w:rPr>
                <w:rFonts w:ascii="Times New Roman" w:hAnsi="Times New Roman" w:cs="Times New Roman"/>
                <w:sz w:val="26"/>
                <w:szCs w:val="26"/>
              </w:rPr>
              <w:t>u</w:t>
            </w:r>
            <w:r w:rsidRPr="00C74ABA">
              <w:rPr>
                <w:rFonts w:ascii="Times New Roman" w:hAnsi="Times New Roman" w:cs="Times New Roman"/>
                <w:sz w:val="26"/>
                <w:szCs w:val="26"/>
              </w:rPr>
              <w:t xml:space="preserve">, kas ir likuma neatņemama sastāvdaļa, </w:t>
            </w:r>
            <w:proofErr w:type="spellStart"/>
            <w:r w:rsidRPr="00C74ABA">
              <w:rPr>
                <w:rFonts w:ascii="Times New Roman" w:hAnsi="Times New Roman" w:cs="Times New Roman"/>
                <w:i/>
                <w:sz w:val="26"/>
                <w:szCs w:val="26"/>
              </w:rPr>
              <w:t>expressis</w:t>
            </w:r>
            <w:proofErr w:type="spellEnd"/>
            <w:r w:rsidRPr="00C74ABA">
              <w:rPr>
                <w:rFonts w:ascii="Times New Roman" w:hAnsi="Times New Roman" w:cs="Times New Roman"/>
                <w:i/>
                <w:sz w:val="26"/>
                <w:szCs w:val="26"/>
              </w:rPr>
              <w:t xml:space="preserve"> </w:t>
            </w:r>
            <w:proofErr w:type="spellStart"/>
            <w:r w:rsidRPr="00C74ABA">
              <w:rPr>
                <w:rFonts w:ascii="Times New Roman" w:hAnsi="Times New Roman" w:cs="Times New Roman"/>
                <w:i/>
                <w:sz w:val="26"/>
                <w:szCs w:val="26"/>
              </w:rPr>
              <w:t>verbis</w:t>
            </w:r>
            <w:proofErr w:type="spellEnd"/>
            <w:r w:rsidRPr="00C74ABA">
              <w:rPr>
                <w:rFonts w:ascii="Times New Roman" w:hAnsi="Times New Roman" w:cs="Times New Roman"/>
                <w:sz w:val="26"/>
                <w:szCs w:val="26"/>
              </w:rPr>
              <w:t xml:space="preserve"> noteikto par zaudējumu atlīdzināšanu - Eiropas Savienības fonda projekta iesniedzējs saskaņā ar Administratīvā procesa likumu var prasīt tikai zaudējumu atlīdzību, kas radušies attiecīgajam projekta iesniedzējam sagatavojot vērtēšanas procesā noraidīto Eiropas Savienības fonda projekta iesniegumu (piemēram, projekta sagatavošanas izmaksas) (</w:t>
            </w:r>
            <w:proofErr w:type="spellStart"/>
            <w:r w:rsidRPr="00C74ABA">
              <w:rPr>
                <w:rFonts w:ascii="Times New Roman" w:hAnsi="Times New Roman" w:cs="Times New Roman"/>
                <w:sz w:val="26"/>
                <w:szCs w:val="26"/>
              </w:rPr>
              <w:t>Skat</w:t>
            </w:r>
            <w:proofErr w:type="spellEnd"/>
            <w:r w:rsidRPr="00C74ABA">
              <w:rPr>
                <w:rFonts w:ascii="Times New Roman" w:hAnsi="Times New Roman" w:cs="Times New Roman"/>
                <w:sz w:val="26"/>
                <w:szCs w:val="26"/>
              </w:rPr>
              <w:t xml:space="preserve">. Likumprojekta „Eiropas Savienības struktūrfondu un Kohēzijas fonda vadības likums” anotācijas 7.sadaļas trešo punktu. Pieejams: </w:t>
            </w:r>
            <w:proofErr w:type="spellStart"/>
            <w:r w:rsidRPr="00C74ABA">
              <w:rPr>
                <w:rFonts w:ascii="Times New Roman" w:hAnsi="Times New Roman" w:cs="Times New Roman"/>
                <w:sz w:val="26"/>
                <w:szCs w:val="26"/>
              </w:rPr>
              <w:t>www.saeima.lv</w:t>
            </w:r>
            <w:proofErr w:type="spellEnd"/>
            <w:r w:rsidRPr="00C74ABA">
              <w:rPr>
                <w:rFonts w:ascii="Times New Roman" w:hAnsi="Times New Roman" w:cs="Times New Roman"/>
                <w:sz w:val="26"/>
                <w:szCs w:val="26"/>
              </w:rPr>
              <w:t xml:space="preserve">). Līdz ar to Vadības likuma 5.pants ir jāuzskata par speciālo tiesību normu </w:t>
            </w:r>
            <w:r w:rsidR="007950AF" w:rsidRPr="00C74ABA">
              <w:rPr>
                <w:rFonts w:ascii="Times New Roman" w:hAnsi="Times New Roman" w:cs="Times New Roman"/>
                <w:sz w:val="26"/>
                <w:szCs w:val="26"/>
              </w:rPr>
              <w:t xml:space="preserve">Administratīvā </w:t>
            </w:r>
            <w:r w:rsidR="007950AF" w:rsidRPr="00C74ABA">
              <w:rPr>
                <w:rFonts w:ascii="Times New Roman" w:hAnsi="Times New Roman" w:cs="Times New Roman"/>
                <w:sz w:val="26"/>
                <w:szCs w:val="26"/>
              </w:rPr>
              <w:lastRenderedPageBreak/>
              <w:t>procesa likumā</w:t>
            </w:r>
            <w:r w:rsidRPr="00C74ABA">
              <w:rPr>
                <w:rFonts w:ascii="Times New Roman" w:hAnsi="Times New Roman" w:cs="Times New Roman"/>
                <w:sz w:val="26"/>
                <w:szCs w:val="26"/>
              </w:rPr>
              <w:t xml:space="preserve"> 3.panta pirmās daļas izpratnē, kas vienlaikus uzskatāma arī par uz likuma pamata nostiprinātu ierobežojumu projekta iesniedzējam prasīt konkrētu zaudējumu atlīdzinājumu (līdzīgi, kā, piemēram, ar Vadības likuma 26.pantu ir ierobežotas Administratīvā procesa likumā nostiprinātās privātpersonas tiesības tikt uzklausītai).</w:t>
            </w:r>
            <w:r w:rsidR="00422CCA" w:rsidRPr="00C74ABA">
              <w:rPr>
                <w:rFonts w:ascii="Times New Roman" w:hAnsi="Times New Roman" w:cs="Times New Roman"/>
                <w:sz w:val="26"/>
                <w:szCs w:val="26"/>
              </w:rPr>
              <w:t xml:space="preserve"> </w:t>
            </w:r>
          </w:p>
          <w:p w:rsidR="00D44777" w:rsidRPr="00C74ABA" w:rsidRDefault="00D44777" w:rsidP="00F37BFA">
            <w:pPr>
              <w:spacing w:after="0" w:line="240" w:lineRule="auto"/>
              <w:ind w:firstLine="567"/>
              <w:jc w:val="both"/>
              <w:rPr>
                <w:rFonts w:ascii="Times New Roman" w:eastAsia="Calibri" w:hAnsi="Times New Roman" w:cs="Times New Roman"/>
                <w:sz w:val="26"/>
                <w:szCs w:val="26"/>
              </w:rPr>
            </w:pPr>
          </w:p>
        </w:tc>
      </w:tr>
    </w:tbl>
    <w:p w:rsidR="00956521" w:rsidRPr="00C74ABA" w:rsidRDefault="00956521" w:rsidP="00F46334">
      <w:pPr>
        <w:spacing w:after="0" w:line="240" w:lineRule="auto"/>
        <w:jc w:val="center"/>
        <w:rPr>
          <w:rFonts w:ascii="Times New Roman" w:eastAsia="Arial Unicode MS" w:hAnsi="Times New Roman" w:cs="Times New Roman"/>
          <w:b/>
          <w:sz w:val="26"/>
          <w:szCs w:val="26"/>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56521" w:rsidRPr="00C74ABA" w:rsidTr="00956521">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56521" w:rsidRPr="00C74ABA" w:rsidRDefault="00EE419A" w:rsidP="00F46334">
            <w:pPr>
              <w:spacing w:after="0" w:line="240" w:lineRule="auto"/>
              <w:jc w:val="center"/>
              <w:rPr>
                <w:rFonts w:ascii="Times New Roman" w:eastAsia="Times New Roman" w:hAnsi="Times New Roman" w:cs="Times New Roman"/>
                <w:b/>
                <w:bCs/>
                <w:sz w:val="26"/>
                <w:szCs w:val="26"/>
                <w:lang w:eastAsia="lv-LV"/>
              </w:rPr>
            </w:pPr>
            <w:r w:rsidRPr="00C74AB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56521" w:rsidRPr="00C74ABA" w:rsidTr="00956521">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E419A"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 xml:space="preserve">Sabiedrības </w:t>
            </w:r>
            <w:proofErr w:type="spellStart"/>
            <w:r w:rsidRPr="00C74ABA">
              <w:rPr>
                <w:rFonts w:ascii="Times New Roman" w:eastAsia="Times New Roman" w:hAnsi="Times New Roman" w:cs="Times New Roman"/>
                <w:sz w:val="26"/>
                <w:szCs w:val="26"/>
                <w:lang w:eastAsia="lv-LV"/>
              </w:rPr>
              <w:t>mērķgrupas</w:t>
            </w:r>
            <w:proofErr w:type="spellEnd"/>
            <w:r w:rsidRPr="00C74ABA">
              <w:rPr>
                <w:rFonts w:ascii="Times New Roman" w:eastAsia="Times New Roman" w:hAnsi="Times New Roman" w:cs="Times New Roman"/>
                <w:sz w:val="26"/>
                <w:szCs w:val="26"/>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before="75" w:after="75" w:line="240" w:lineRule="auto"/>
              <w:ind w:firstLine="450"/>
              <w:jc w:val="both"/>
              <w:rPr>
                <w:rFonts w:ascii="Times New Roman" w:eastAsia="Times New Roman" w:hAnsi="Times New Roman" w:cs="Times New Roman"/>
                <w:iCs/>
                <w:sz w:val="26"/>
                <w:szCs w:val="26"/>
                <w:lang w:eastAsia="lv-LV"/>
              </w:rPr>
            </w:pPr>
            <w:r w:rsidRPr="00C74ABA">
              <w:rPr>
                <w:rFonts w:ascii="Times New Roman" w:eastAsia="Times New Roman" w:hAnsi="Times New Roman" w:cs="Times New Roman"/>
                <w:iCs/>
                <w:sz w:val="26"/>
                <w:szCs w:val="26"/>
                <w:lang w:eastAsia="lv-LV"/>
              </w:rPr>
              <w:t>Komersanti.</w:t>
            </w:r>
          </w:p>
        </w:tc>
      </w:tr>
      <w:tr w:rsidR="00956521" w:rsidRPr="00C74ABA" w:rsidTr="00956521">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E419A"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ind w:firstLine="450"/>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iCs/>
                <w:sz w:val="26"/>
                <w:szCs w:val="26"/>
                <w:lang w:eastAsia="lv-LV"/>
              </w:rPr>
              <w:t>Projekts šo jomu neskar.</w:t>
            </w:r>
          </w:p>
        </w:tc>
      </w:tr>
      <w:tr w:rsidR="00956521" w:rsidRPr="00C74ABA"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E419A"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415FB0" w:rsidP="00F46334">
            <w:pPr>
              <w:spacing w:after="0" w:line="240" w:lineRule="auto"/>
              <w:ind w:firstLine="450"/>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color w:val="000000"/>
                <w:sz w:val="26"/>
                <w:szCs w:val="26"/>
                <w:lang w:eastAsia="lv-LV"/>
              </w:rPr>
              <w:t>Projekts šo jomu neskar.</w:t>
            </w:r>
          </w:p>
        </w:tc>
      </w:tr>
      <w:tr w:rsidR="00956521" w:rsidRPr="00C74ABA" w:rsidTr="00956521">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E419A"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E419A" w:rsidP="00F46334">
            <w:pPr>
              <w:spacing w:after="0" w:line="240" w:lineRule="auto"/>
              <w:ind w:firstLine="450"/>
              <w:jc w:val="both"/>
              <w:rPr>
                <w:rFonts w:ascii="Times New Roman" w:eastAsia="Times New Roman" w:hAnsi="Times New Roman" w:cs="Times New Roman"/>
                <w:iCs/>
                <w:sz w:val="26"/>
                <w:szCs w:val="26"/>
                <w:lang w:eastAsia="lv-LV"/>
              </w:rPr>
            </w:pPr>
            <w:r w:rsidRPr="00C74ABA">
              <w:rPr>
                <w:rFonts w:ascii="Times New Roman" w:eastAsia="Times New Roman" w:hAnsi="Times New Roman" w:cs="Times New Roman"/>
                <w:color w:val="000000"/>
                <w:sz w:val="26"/>
                <w:szCs w:val="26"/>
                <w:lang w:eastAsia="lv-LV"/>
              </w:rPr>
              <w:t>Nav</w:t>
            </w:r>
          </w:p>
        </w:tc>
      </w:tr>
    </w:tbl>
    <w:p w:rsidR="00956521" w:rsidRPr="00C74ABA" w:rsidRDefault="00956521" w:rsidP="00F46334">
      <w:pPr>
        <w:spacing w:after="0" w:line="240" w:lineRule="auto"/>
        <w:rPr>
          <w:rFonts w:ascii="Times New Roman" w:eastAsia="Arial Unicode MS" w:hAnsi="Times New Roman" w:cs="Times New Roman"/>
          <w:b/>
          <w:sz w:val="26"/>
          <w:szCs w:val="26"/>
        </w:rPr>
      </w:pPr>
    </w:p>
    <w:tbl>
      <w:tblPr>
        <w:tblW w:w="9225"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8"/>
        <w:gridCol w:w="1841"/>
        <w:gridCol w:w="6816"/>
      </w:tblGrid>
      <w:tr w:rsidR="00956521" w:rsidRPr="00C74ABA" w:rsidTr="006E5DAC">
        <w:tc>
          <w:tcPr>
            <w:tcW w:w="568" w:type="dxa"/>
            <w:tcBorders>
              <w:top w:val="thickThinLargeGap" w:sz="6" w:space="0" w:color="C0C0C0"/>
              <w:left w:val="thickThinLargeGap" w:sz="6" w:space="0" w:color="C0C0C0"/>
              <w:bottom w:val="thickThinLargeGap" w:sz="6" w:space="0" w:color="C0C0C0"/>
              <w:right w:val="nil"/>
            </w:tcBorders>
          </w:tcPr>
          <w:p w:rsidR="00956521" w:rsidRPr="00C74ABA" w:rsidRDefault="00956521" w:rsidP="00F46334">
            <w:pPr>
              <w:spacing w:after="0" w:line="240" w:lineRule="auto"/>
              <w:ind w:firstLine="720"/>
              <w:jc w:val="center"/>
              <w:rPr>
                <w:rFonts w:ascii="Times New Roman" w:eastAsia="Calibri" w:hAnsi="Times New Roman" w:cs="Times New Roman"/>
                <w:b/>
                <w:sz w:val="26"/>
                <w:szCs w:val="26"/>
                <w:lang w:eastAsia="lv-LV"/>
              </w:rPr>
            </w:pPr>
          </w:p>
        </w:tc>
        <w:tc>
          <w:tcPr>
            <w:tcW w:w="8657" w:type="dxa"/>
            <w:gridSpan w:val="2"/>
            <w:tcBorders>
              <w:top w:val="thickThinLargeGap" w:sz="6" w:space="0" w:color="C0C0C0"/>
              <w:left w:val="nil"/>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Calibri" w:hAnsi="Times New Roman" w:cs="Times New Roman"/>
                <w:b/>
                <w:sz w:val="26"/>
                <w:szCs w:val="26"/>
                <w:lang w:eastAsia="lv-LV"/>
              </w:rPr>
            </w:pPr>
            <w:r w:rsidRPr="00C74ABA">
              <w:rPr>
                <w:rFonts w:ascii="Times New Roman" w:eastAsia="Calibri" w:hAnsi="Times New Roman" w:cs="Times New Roman"/>
                <w:b/>
                <w:sz w:val="26"/>
                <w:szCs w:val="26"/>
                <w:lang w:eastAsia="lv-LV"/>
              </w:rPr>
              <w:t>IV. Tiesību akta projekta ietekme uz spēkā esošo tiesību normu sistēmu</w:t>
            </w:r>
          </w:p>
        </w:tc>
      </w:tr>
      <w:tr w:rsidR="00956521" w:rsidRPr="00C74ABA"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jc w:val="both"/>
              <w:rPr>
                <w:rFonts w:ascii="Times New Roman" w:eastAsia="Calibri" w:hAnsi="Times New Roman" w:cs="Times New Roman"/>
                <w:sz w:val="26"/>
                <w:szCs w:val="26"/>
                <w:lang w:eastAsia="lv-LV"/>
              </w:rPr>
            </w:pPr>
            <w:r w:rsidRPr="00C74ABA">
              <w:rPr>
                <w:rFonts w:ascii="Times New Roman" w:eastAsia="Calibri" w:hAnsi="Times New Roman" w:cs="Times New Roman"/>
                <w:sz w:val="26"/>
                <w:szCs w:val="26"/>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C74ABA" w:rsidRDefault="00956521" w:rsidP="00F46334">
            <w:pPr>
              <w:spacing w:after="0" w:line="240" w:lineRule="auto"/>
              <w:jc w:val="both"/>
              <w:rPr>
                <w:rFonts w:ascii="Times New Roman" w:eastAsia="Calibri" w:hAnsi="Times New Roman" w:cs="Times New Roman"/>
                <w:sz w:val="26"/>
                <w:szCs w:val="26"/>
                <w:lang w:eastAsia="lv-LV"/>
              </w:rPr>
            </w:pPr>
            <w:r w:rsidRPr="00C74ABA">
              <w:rPr>
                <w:rFonts w:ascii="Times New Roman" w:eastAsia="Calibri" w:hAnsi="Times New Roman" w:cs="Times New Roman"/>
                <w:sz w:val="26"/>
                <w:szCs w:val="26"/>
                <w:lang w:eastAsia="lv-LV"/>
              </w:rPr>
              <w:t>Nepieciešamie saistītie tiesību aktu projekti</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4A3D68" w:rsidRPr="00C74ABA" w:rsidRDefault="00FB703F" w:rsidP="004A3D68">
            <w:pPr>
              <w:spacing w:after="0" w:line="240" w:lineRule="auto"/>
              <w:ind w:firstLine="426"/>
              <w:jc w:val="both"/>
              <w:rPr>
                <w:rFonts w:ascii="Times New Roman" w:eastAsia="Calibri" w:hAnsi="Times New Roman" w:cs="Times New Roman"/>
                <w:bCs/>
                <w:sz w:val="26"/>
                <w:szCs w:val="26"/>
              </w:rPr>
            </w:pPr>
            <w:r w:rsidRPr="00C74ABA">
              <w:rPr>
                <w:rFonts w:ascii="Times New Roman" w:eastAsia="Times New Roman" w:hAnsi="Times New Roman" w:cs="Times New Roman"/>
                <w:iCs/>
                <w:sz w:val="26"/>
                <w:szCs w:val="26"/>
                <w:lang w:eastAsia="lv-LV"/>
              </w:rPr>
              <w:t xml:space="preserve">Vienlaikus ar grozījumiem </w:t>
            </w:r>
            <w:r w:rsidRPr="00C74ABA">
              <w:rPr>
                <w:rFonts w:ascii="Times New Roman" w:eastAsia="Calibri" w:hAnsi="Times New Roman" w:cs="Times New Roman"/>
                <w:sz w:val="26"/>
                <w:szCs w:val="26"/>
              </w:rPr>
              <w:t>MK noteikumos Nr.817, nepieciešams veikt grozījumus d</w:t>
            </w:r>
            <w:r w:rsidRPr="00C74ABA">
              <w:rPr>
                <w:rFonts w:ascii="Times New Roman" w:eastAsia="Times New Roman" w:hAnsi="Times New Roman" w:cs="Times New Roman"/>
                <w:iCs/>
                <w:sz w:val="26"/>
                <w:szCs w:val="26"/>
                <w:lang w:eastAsia="lv-LV"/>
              </w:rPr>
              <w:t>arbības programmas „Uzņēmējdarbība un inovācijas” papildinājumā</w:t>
            </w:r>
            <w:r w:rsidR="00422CBF" w:rsidRPr="00C74ABA">
              <w:rPr>
                <w:rFonts w:ascii="Times New Roman" w:eastAsia="Times New Roman" w:hAnsi="Times New Roman" w:cs="Times New Roman"/>
                <w:iCs/>
                <w:sz w:val="26"/>
                <w:szCs w:val="26"/>
                <w:lang w:eastAsia="lv-LV"/>
              </w:rPr>
              <w:t xml:space="preserve"> </w:t>
            </w:r>
            <w:r w:rsidR="00422CBF" w:rsidRPr="00C74ABA">
              <w:rPr>
                <w:rFonts w:ascii="Times New Roman" w:eastAsia="Times New Roman" w:hAnsi="Times New Roman" w:cs="Times New Roman"/>
                <w:b/>
                <w:iCs/>
                <w:sz w:val="26"/>
                <w:szCs w:val="26"/>
                <w:lang w:eastAsia="lv-LV"/>
              </w:rPr>
              <w:t>un</w:t>
            </w:r>
            <w:r w:rsidR="00422CBF" w:rsidRPr="00C74ABA">
              <w:rPr>
                <w:rFonts w:ascii="Times New Roman" w:eastAsia="Times New Roman" w:hAnsi="Times New Roman" w:cs="Times New Roman"/>
                <w:iCs/>
                <w:sz w:val="26"/>
                <w:szCs w:val="26"/>
                <w:lang w:eastAsia="lv-LV"/>
              </w:rPr>
              <w:t xml:space="preserve"> </w:t>
            </w:r>
            <w:r w:rsidR="00963898" w:rsidRPr="00C74ABA">
              <w:rPr>
                <w:rFonts w:ascii="Times New Roman" w:eastAsia="Calibri" w:hAnsi="Times New Roman" w:cs="Times New Roman"/>
                <w:bCs/>
                <w:sz w:val="26"/>
                <w:szCs w:val="26"/>
              </w:rPr>
              <w:t xml:space="preserve">Ministru kabineta </w:t>
            </w:r>
            <w:r w:rsidR="0082054A" w:rsidRPr="00C74ABA">
              <w:rPr>
                <w:rFonts w:ascii="Times New Roman" w:eastAsia="Calibri" w:hAnsi="Times New Roman" w:cs="Times New Roman"/>
                <w:bCs/>
                <w:sz w:val="26"/>
                <w:szCs w:val="26"/>
              </w:rPr>
              <w:t xml:space="preserve">2013.gada 21.maija noteikumos </w:t>
            </w:r>
            <w:r w:rsidR="00963898" w:rsidRPr="00C74ABA">
              <w:rPr>
                <w:rFonts w:ascii="Times New Roman" w:eastAsia="Calibri" w:hAnsi="Times New Roman" w:cs="Times New Roman"/>
                <w:bCs/>
                <w:sz w:val="26"/>
                <w:szCs w:val="26"/>
              </w:rPr>
              <w:t xml:space="preserve">Nr.280 „Noteikumi par darbības programmas "Uzņēmējdarbība un inovācijas" papildinājuma </w:t>
            </w:r>
            <w:bookmarkStart w:id="8" w:name="OLE_LINK9"/>
            <w:r w:rsidR="00963898" w:rsidRPr="00C74ABA">
              <w:rPr>
                <w:rFonts w:ascii="Times New Roman" w:eastAsia="Calibri" w:hAnsi="Times New Roman" w:cs="Times New Roman"/>
                <w:bCs/>
                <w:sz w:val="26"/>
                <w:szCs w:val="26"/>
              </w:rPr>
              <w:t>2.3.2.2.2.apakšaktivitāti "Atbalsts ieguldījumiem ražošanas telpu izveidei vai rekonstrukcijai"</w:t>
            </w:r>
            <w:bookmarkEnd w:id="8"/>
            <w:r w:rsidR="00963898" w:rsidRPr="00C74ABA">
              <w:rPr>
                <w:rFonts w:ascii="Times New Roman" w:eastAsia="Calibri" w:hAnsi="Times New Roman" w:cs="Times New Roman"/>
                <w:bCs/>
                <w:sz w:val="26"/>
                <w:szCs w:val="26"/>
              </w:rPr>
              <w:t xml:space="preserve">”, no kuriem tiek pārdalītas neizmantotās </w:t>
            </w:r>
            <w:proofErr w:type="spellStart"/>
            <w:r w:rsidR="00963898" w:rsidRPr="00C74ABA">
              <w:rPr>
                <w:rFonts w:ascii="Times New Roman" w:eastAsia="Calibri" w:hAnsi="Times New Roman" w:cs="Times New Roman"/>
                <w:bCs/>
                <w:sz w:val="26"/>
                <w:szCs w:val="26"/>
              </w:rPr>
              <w:t>virssaistības</w:t>
            </w:r>
            <w:proofErr w:type="spellEnd"/>
            <w:r w:rsidR="00B466E4" w:rsidRPr="00C74ABA">
              <w:rPr>
                <w:rFonts w:ascii="Times New Roman" w:eastAsia="Calibri" w:hAnsi="Times New Roman" w:cs="Times New Roman"/>
                <w:bCs/>
                <w:sz w:val="26"/>
                <w:szCs w:val="26"/>
              </w:rPr>
              <w:t xml:space="preserve">. </w:t>
            </w:r>
            <w:r w:rsidR="004A3D68" w:rsidRPr="00C74ABA">
              <w:rPr>
                <w:rFonts w:ascii="Times New Roman" w:eastAsia="Calibri" w:hAnsi="Times New Roman" w:cs="Times New Roman"/>
                <w:b/>
                <w:bCs/>
                <w:sz w:val="26"/>
                <w:szCs w:val="26"/>
              </w:rPr>
              <w:t>Veikt grozījumus citos MK noteikumos, no kuriem tiek pārdalīts ERAF, nav nepieciešams, jo Ministru kabineta 2014.gada 11.februāra sēdes protokola Nr.8 8.§ 4.punktā ir nostiprināts princips, ka, ja aktivitātes ieviešana ir pabeigta</w:t>
            </w:r>
            <w:r w:rsidR="00292581" w:rsidRPr="00C74ABA">
              <w:rPr>
                <w:rFonts w:ascii="Times New Roman" w:eastAsia="Calibri" w:hAnsi="Times New Roman" w:cs="Times New Roman"/>
                <w:b/>
                <w:bCs/>
                <w:sz w:val="26"/>
                <w:szCs w:val="26"/>
              </w:rPr>
              <w:t xml:space="preserve"> un aktivitātei nav piešķirtas </w:t>
            </w:r>
            <w:proofErr w:type="spellStart"/>
            <w:r w:rsidR="00292581" w:rsidRPr="00C74ABA">
              <w:rPr>
                <w:rFonts w:ascii="Times New Roman" w:eastAsia="Calibri" w:hAnsi="Times New Roman" w:cs="Times New Roman"/>
                <w:b/>
                <w:bCs/>
                <w:sz w:val="26"/>
                <w:szCs w:val="26"/>
              </w:rPr>
              <w:t>virssaistības</w:t>
            </w:r>
            <w:proofErr w:type="spellEnd"/>
            <w:r w:rsidR="004A3D68" w:rsidRPr="00C74ABA">
              <w:rPr>
                <w:rFonts w:ascii="Times New Roman" w:eastAsia="Calibri" w:hAnsi="Times New Roman" w:cs="Times New Roman"/>
                <w:b/>
                <w:bCs/>
                <w:sz w:val="26"/>
                <w:szCs w:val="26"/>
              </w:rPr>
              <w:t>, grozījumi šādos Ministru kabineta noteikumos nav nepieciešami.</w:t>
            </w:r>
          </w:p>
        </w:tc>
      </w:tr>
      <w:tr w:rsidR="00E70ADF" w:rsidRPr="00C74ABA"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C74ABA" w:rsidRDefault="00E70ADF" w:rsidP="00F46334">
            <w:pPr>
              <w:spacing w:after="0" w:line="240" w:lineRule="auto"/>
              <w:jc w:val="both"/>
              <w:rPr>
                <w:rFonts w:ascii="Times New Roman" w:eastAsia="Calibri" w:hAnsi="Times New Roman" w:cs="Times New Roman"/>
                <w:sz w:val="26"/>
                <w:szCs w:val="26"/>
                <w:lang w:eastAsia="lv-LV"/>
              </w:rPr>
            </w:pPr>
            <w:r w:rsidRPr="00C74ABA">
              <w:rPr>
                <w:rFonts w:ascii="Times New Roman" w:eastAsia="Calibri" w:hAnsi="Times New Roman" w:cs="Times New Roman"/>
                <w:sz w:val="26"/>
                <w:szCs w:val="26"/>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E70ADF" w:rsidRPr="00C74ABA" w:rsidRDefault="00E70ADF" w:rsidP="00F46334">
            <w:pPr>
              <w:spacing w:after="0" w:line="240" w:lineRule="auto"/>
              <w:jc w:val="both"/>
              <w:rPr>
                <w:rFonts w:ascii="Times New Roman" w:eastAsia="Calibri" w:hAnsi="Times New Roman" w:cs="Times New Roman"/>
                <w:sz w:val="26"/>
                <w:szCs w:val="26"/>
                <w:lang w:eastAsia="lv-LV"/>
              </w:rPr>
            </w:pPr>
            <w:r w:rsidRPr="00C74ABA">
              <w:rPr>
                <w:rFonts w:ascii="Times New Roman" w:eastAsia="Calibri" w:hAnsi="Times New Roman" w:cs="Times New Roman"/>
                <w:sz w:val="26"/>
                <w:szCs w:val="26"/>
                <w:lang w:eastAsia="lv-LV"/>
              </w:rPr>
              <w:t>Atbildīgā institūcija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tcPr>
          <w:p w:rsidR="00E70ADF" w:rsidRPr="00C74ABA" w:rsidRDefault="0050657E" w:rsidP="00F46334">
            <w:pPr>
              <w:spacing w:after="0" w:line="240" w:lineRule="auto"/>
              <w:ind w:firstLine="426"/>
              <w:jc w:val="both"/>
              <w:rPr>
                <w:rFonts w:ascii="Times New Roman" w:eastAsia="Calibri" w:hAnsi="Times New Roman" w:cs="Times New Roman"/>
                <w:bCs/>
                <w:sz w:val="26"/>
                <w:szCs w:val="26"/>
              </w:rPr>
            </w:pPr>
            <w:r w:rsidRPr="00C74ABA">
              <w:rPr>
                <w:rFonts w:ascii="Times New Roman" w:eastAsia="Times New Roman" w:hAnsi="Times New Roman" w:cs="Times New Roman"/>
                <w:iCs/>
                <w:sz w:val="26"/>
                <w:szCs w:val="26"/>
                <w:lang w:eastAsia="lv-LV"/>
              </w:rPr>
              <w:t>Projekts šo jomu neskar.</w:t>
            </w:r>
          </w:p>
        </w:tc>
      </w:tr>
      <w:tr w:rsidR="00956521" w:rsidRPr="00C74ABA" w:rsidTr="006E5DAC">
        <w:tc>
          <w:tcPr>
            <w:tcW w:w="568"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70ADF" w:rsidP="00F46334">
            <w:pPr>
              <w:spacing w:after="0" w:line="240" w:lineRule="auto"/>
              <w:jc w:val="both"/>
              <w:rPr>
                <w:rFonts w:ascii="Times New Roman" w:eastAsia="Calibri" w:hAnsi="Times New Roman" w:cs="Times New Roman"/>
                <w:sz w:val="26"/>
                <w:szCs w:val="26"/>
                <w:lang w:eastAsia="lv-LV"/>
              </w:rPr>
            </w:pPr>
            <w:r w:rsidRPr="00C74ABA">
              <w:rPr>
                <w:rFonts w:ascii="Times New Roman" w:eastAsia="Calibri" w:hAnsi="Times New Roman" w:cs="Times New Roman"/>
                <w:sz w:val="26"/>
                <w:szCs w:val="26"/>
                <w:lang w:eastAsia="lv-LV"/>
              </w:rPr>
              <w:t>3</w:t>
            </w:r>
            <w:r w:rsidR="00956521" w:rsidRPr="00C74ABA">
              <w:rPr>
                <w:rFonts w:ascii="Times New Roman" w:eastAsia="Calibri" w:hAnsi="Times New Roman" w:cs="Times New Roman"/>
                <w:sz w:val="26"/>
                <w:szCs w:val="26"/>
                <w:lang w:eastAsia="lv-LV"/>
              </w:rPr>
              <w:t>.</w:t>
            </w:r>
          </w:p>
        </w:tc>
        <w:tc>
          <w:tcPr>
            <w:tcW w:w="1841" w:type="dxa"/>
            <w:tcBorders>
              <w:top w:val="thickThinLargeGap" w:sz="6" w:space="0" w:color="C0C0C0"/>
              <w:left w:val="nil"/>
              <w:bottom w:val="thickThinLargeGap" w:sz="6" w:space="0" w:color="C0C0C0"/>
              <w:right w:val="thickThinLargeGap" w:sz="6" w:space="0" w:color="C0C0C0"/>
            </w:tcBorders>
            <w:hideMark/>
          </w:tcPr>
          <w:p w:rsidR="00956521" w:rsidRPr="00C74ABA" w:rsidRDefault="00956521" w:rsidP="00F46334">
            <w:pPr>
              <w:spacing w:after="0" w:line="240" w:lineRule="auto"/>
              <w:jc w:val="both"/>
              <w:rPr>
                <w:rFonts w:ascii="Times New Roman" w:eastAsia="Calibri" w:hAnsi="Times New Roman" w:cs="Times New Roman"/>
                <w:sz w:val="26"/>
                <w:szCs w:val="26"/>
                <w:lang w:eastAsia="lv-LV"/>
              </w:rPr>
            </w:pPr>
            <w:r w:rsidRPr="00C74ABA">
              <w:rPr>
                <w:rFonts w:ascii="Times New Roman" w:eastAsia="Calibri" w:hAnsi="Times New Roman" w:cs="Times New Roman"/>
                <w:sz w:val="26"/>
                <w:szCs w:val="26"/>
                <w:lang w:eastAsia="lv-LV"/>
              </w:rPr>
              <w:t>Cita informācija</w:t>
            </w:r>
          </w:p>
        </w:tc>
        <w:tc>
          <w:tcPr>
            <w:tcW w:w="6816"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70ADF" w:rsidP="00F46334">
            <w:pPr>
              <w:spacing w:after="0" w:line="240" w:lineRule="auto"/>
              <w:ind w:firstLine="426"/>
              <w:jc w:val="both"/>
              <w:rPr>
                <w:rFonts w:ascii="Times New Roman" w:eastAsia="Calibri" w:hAnsi="Times New Roman" w:cs="Times New Roman"/>
                <w:sz w:val="26"/>
                <w:szCs w:val="26"/>
                <w:lang w:eastAsia="lv-LV"/>
              </w:rPr>
            </w:pPr>
            <w:r w:rsidRPr="00C74ABA">
              <w:rPr>
                <w:rFonts w:ascii="Times New Roman" w:eastAsia="Calibri" w:hAnsi="Times New Roman" w:cs="Times New Roman"/>
                <w:sz w:val="26"/>
                <w:szCs w:val="26"/>
                <w:lang w:eastAsia="lv-LV"/>
              </w:rPr>
              <w:t>Nav</w:t>
            </w:r>
          </w:p>
        </w:tc>
      </w:tr>
    </w:tbl>
    <w:p w:rsidR="00956521" w:rsidRPr="00C74ABA" w:rsidRDefault="00956521" w:rsidP="00F46334">
      <w:pPr>
        <w:tabs>
          <w:tab w:val="left" w:pos="6710"/>
        </w:tabs>
        <w:spacing w:after="0" w:line="240" w:lineRule="auto"/>
        <w:rPr>
          <w:rFonts w:ascii="Times New Roman" w:eastAsia="Times New Roman" w:hAnsi="Times New Roman" w:cs="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1611"/>
        <w:gridCol w:w="6329"/>
      </w:tblGrid>
      <w:tr w:rsidR="00956521" w:rsidRPr="00C74ABA" w:rsidTr="00956521">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jc w:val="center"/>
              <w:rPr>
                <w:rFonts w:ascii="Times New Roman" w:eastAsia="Times New Roman" w:hAnsi="Times New Roman" w:cs="Times New Roman"/>
                <w:b/>
                <w:bCs/>
                <w:sz w:val="26"/>
                <w:szCs w:val="26"/>
                <w:lang w:eastAsia="lv-LV"/>
              </w:rPr>
            </w:pPr>
            <w:r w:rsidRPr="00C74ABA">
              <w:rPr>
                <w:rFonts w:ascii="Times New Roman" w:eastAsia="Times New Roman" w:hAnsi="Times New Roman" w:cs="Times New Roman"/>
                <w:b/>
                <w:bCs/>
                <w:sz w:val="26"/>
                <w:szCs w:val="26"/>
                <w:lang w:eastAsia="lv-LV"/>
              </w:rPr>
              <w:lastRenderedPageBreak/>
              <w:t>V. Tiesību akta projekta atbilstība Latvijas Republikas starptautiskajām saistībām</w:t>
            </w:r>
          </w:p>
        </w:tc>
      </w:tr>
      <w:tr w:rsidR="00956521" w:rsidRPr="00C74ABA"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1.</w:t>
            </w:r>
          </w:p>
        </w:tc>
        <w:tc>
          <w:tcPr>
            <w:tcW w:w="948" w:type="pct"/>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Saistības pret Eiropas Savienību</w:t>
            </w:r>
          </w:p>
        </w:tc>
        <w:tc>
          <w:tcPr>
            <w:tcW w:w="3769" w:type="pct"/>
            <w:tcBorders>
              <w:top w:val="outset" w:sz="6" w:space="0" w:color="auto"/>
              <w:left w:val="outset" w:sz="6" w:space="0" w:color="auto"/>
              <w:bottom w:val="outset" w:sz="6" w:space="0" w:color="auto"/>
              <w:right w:val="outset" w:sz="6" w:space="0" w:color="auto"/>
            </w:tcBorders>
            <w:hideMark/>
          </w:tcPr>
          <w:p w:rsidR="0086083A" w:rsidRPr="00C74ABA" w:rsidRDefault="0084243F" w:rsidP="00F46334">
            <w:pPr>
              <w:pStyle w:val="naiskr"/>
              <w:spacing w:before="0" w:after="0"/>
              <w:jc w:val="both"/>
              <w:rPr>
                <w:sz w:val="26"/>
                <w:szCs w:val="26"/>
              </w:rPr>
            </w:pPr>
            <w:r w:rsidRPr="00C74ABA">
              <w:rPr>
                <w:sz w:val="26"/>
                <w:szCs w:val="26"/>
              </w:rPr>
              <w:t xml:space="preserve">Komisijas 2014.gada 21.maija Regula (EK) </w:t>
            </w:r>
            <w:proofErr w:type="spellStart"/>
            <w:r w:rsidRPr="00C74ABA">
              <w:rPr>
                <w:sz w:val="26"/>
                <w:szCs w:val="26"/>
              </w:rPr>
              <w:t>Nr</w:t>
            </w:r>
            <w:proofErr w:type="spellEnd"/>
            <w:r w:rsidRPr="00C74ABA">
              <w:rPr>
                <w:sz w:val="26"/>
                <w:szCs w:val="26"/>
              </w:rPr>
              <w:t>. GBER/2014, kas atzīst noteiktas atbalsta kategorijas par saderīgām ar kopējo tirgu, piemērojot Līguma 107. un 108.pantu (vispārējā grupu atbrīvojuma regula)</w:t>
            </w:r>
            <w:r w:rsidR="002D69B8" w:rsidRPr="00C74ABA">
              <w:rPr>
                <w:sz w:val="26"/>
                <w:szCs w:val="26"/>
              </w:rPr>
              <w:t xml:space="preserve"> </w:t>
            </w:r>
            <w:hyperlink r:id="rId10" w:history="1">
              <w:r w:rsidR="00BB2517" w:rsidRPr="00C74ABA">
                <w:rPr>
                  <w:rStyle w:val="Hyperlink"/>
                  <w:sz w:val="26"/>
                  <w:szCs w:val="26"/>
                </w:rPr>
                <w:t>http://europa.eu/rapid/press-release_IP-14-587_en.htm</w:t>
              </w:r>
            </w:hyperlink>
          </w:p>
          <w:p w:rsidR="0084243F" w:rsidRPr="00C74ABA" w:rsidRDefault="0084243F" w:rsidP="00F46334">
            <w:pPr>
              <w:pStyle w:val="naiskr"/>
              <w:spacing w:before="0" w:after="0"/>
              <w:jc w:val="both"/>
              <w:rPr>
                <w:sz w:val="26"/>
                <w:szCs w:val="26"/>
              </w:rPr>
            </w:pPr>
          </w:p>
          <w:p w:rsidR="0084243F" w:rsidRPr="00C74ABA" w:rsidRDefault="00F16BFD" w:rsidP="00F16BFD">
            <w:pPr>
              <w:pStyle w:val="naiskr"/>
              <w:spacing w:before="0" w:after="0"/>
              <w:jc w:val="both"/>
              <w:rPr>
                <w:sz w:val="26"/>
                <w:szCs w:val="26"/>
                <w:lang w:eastAsia="en-US"/>
              </w:rPr>
            </w:pPr>
            <w:r w:rsidRPr="00C74ABA">
              <w:rPr>
                <w:sz w:val="26"/>
                <w:szCs w:val="26"/>
                <w:lang w:eastAsia="en-US"/>
              </w:rPr>
              <w:t xml:space="preserve">Komisijas lēmums SA.38385 „Reģionālā atbalsta karte Latvijai (2014-2020)” </w:t>
            </w:r>
            <w:hyperlink r:id="rId11" w:history="1">
              <w:r w:rsidR="00582578" w:rsidRPr="00C74ABA">
                <w:rPr>
                  <w:rStyle w:val="Hyperlink"/>
                  <w:sz w:val="26"/>
                  <w:szCs w:val="26"/>
                  <w:lang w:eastAsia="en-US"/>
                </w:rPr>
                <w:t>http://europa.eu/rapid/press-release_IP-14-408_en.htm</w:t>
              </w:r>
            </w:hyperlink>
          </w:p>
          <w:p w:rsidR="00582578" w:rsidRPr="00C74ABA" w:rsidRDefault="00582578" w:rsidP="00F16BFD">
            <w:pPr>
              <w:pStyle w:val="naiskr"/>
              <w:spacing w:before="0" w:after="0"/>
              <w:jc w:val="both"/>
              <w:rPr>
                <w:sz w:val="26"/>
                <w:szCs w:val="26"/>
                <w:lang w:eastAsia="en-US"/>
              </w:rPr>
            </w:pPr>
          </w:p>
          <w:p w:rsidR="004F3D1E" w:rsidRPr="00C74ABA" w:rsidRDefault="004F3D1E" w:rsidP="00C74ABA">
            <w:pPr>
              <w:pStyle w:val="naiskr"/>
              <w:spacing w:after="0"/>
              <w:jc w:val="both"/>
              <w:rPr>
                <w:b/>
                <w:sz w:val="26"/>
                <w:szCs w:val="26"/>
                <w:lang w:eastAsia="en-US"/>
              </w:rPr>
            </w:pPr>
            <w:r w:rsidRPr="00C74ABA">
              <w:rPr>
                <w:b/>
                <w:sz w:val="26"/>
                <w:szCs w:val="26"/>
                <w:lang w:eastAsia="en-US"/>
              </w:rPr>
              <w:t xml:space="preserve">Komisijas 2013. gada 18. decembra Regula (ES) </w:t>
            </w:r>
            <w:proofErr w:type="spellStart"/>
            <w:r w:rsidRPr="00C74ABA">
              <w:rPr>
                <w:b/>
                <w:sz w:val="26"/>
                <w:szCs w:val="26"/>
                <w:lang w:eastAsia="en-US"/>
              </w:rPr>
              <w:t>Nr</w:t>
            </w:r>
            <w:proofErr w:type="spellEnd"/>
            <w:r w:rsidRPr="00C74ABA">
              <w:rPr>
                <w:b/>
                <w:sz w:val="26"/>
                <w:szCs w:val="26"/>
                <w:lang w:eastAsia="en-US"/>
              </w:rPr>
              <w:t xml:space="preserve">. 1407/2013 par Līguma par Eiropas Savienības darbību 107. un 108. panta piemērošanu </w:t>
            </w:r>
            <w:proofErr w:type="spellStart"/>
            <w:r w:rsidRPr="00C74ABA">
              <w:rPr>
                <w:b/>
                <w:i/>
                <w:sz w:val="26"/>
                <w:szCs w:val="26"/>
                <w:lang w:eastAsia="en-US"/>
              </w:rPr>
              <w:t>de</w:t>
            </w:r>
            <w:proofErr w:type="spellEnd"/>
            <w:r w:rsidRPr="00C74ABA">
              <w:rPr>
                <w:b/>
                <w:i/>
                <w:sz w:val="26"/>
                <w:szCs w:val="26"/>
                <w:lang w:eastAsia="en-US"/>
              </w:rPr>
              <w:t xml:space="preserve"> </w:t>
            </w:r>
            <w:proofErr w:type="spellStart"/>
            <w:r w:rsidRPr="00C74ABA">
              <w:rPr>
                <w:b/>
                <w:i/>
                <w:sz w:val="26"/>
                <w:szCs w:val="26"/>
                <w:lang w:eastAsia="en-US"/>
              </w:rPr>
              <w:t>minimis</w:t>
            </w:r>
            <w:proofErr w:type="spellEnd"/>
            <w:r w:rsidRPr="00C74ABA">
              <w:rPr>
                <w:b/>
                <w:i/>
                <w:sz w:val="26"/>
                <w:szCs w:val="26"/>
                <w:lang w:eastAsia="en-US"/>
              </w:rPr>
              <w:t xml:space="preserve"> </w:t>
            </w:r>
            <w:r w:rsidRPr="00C74ABA">
              <w:rPr>
                <w:b/>
                <w:sz w:val="26"/>
                <w:szCs w:val="26"/>
                <w:lang w:eastAsia="en-US"/>
              </w:rPr>
              <w:t>atbalstam</w:t>
            </w:r>
          </w:p>
        </w:tc>
      </w:tr>
      <w:tr w:rsidR="00956521" w:rsidRPr="00C74ABA"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2.</w:t>
            </w:r>
          </w:p>
        </w:tc>
        <w:tc>
          <w:tcPr>
            <w:tcW w:w="948" w:type="pct"/>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Citas starptautiskās saistības</w:t>
            </w:r>
          </w:p>
        </w:tc>
        <w:tc>
          <w:tcPr>
            <w:tcW w:w="3769" w:type="pct"/>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Noteikumu projekts šo jomu neskar.</w:t>
            </w:r>
          </w:p>
        </w:tc>
      </w:tr>
      <w:tr w:rsidR="00956521" w:rsidRPr="00C74ABA" w:rsidTr="0095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3.</w:t>
            </w:r>
          </w:p>
        </w:tc>
        <w:tc>
          <w:tcPr>
            <w:tcW w:w="948" w:type="pct"/>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Cita informācija</w:t>
            </w:r>
          </w:p>
        </w:tc>
        <w:tc>
          <w:tcPr>
            <w:tcW w:w="3769" w:type="pct"/>
            <w:tcBorders>
              <w:top w:val="outset" w:sz="6" w:space="0" w:color="auto"/>
              <w:left w:val="outset" w:sz="6" w:space="0" w:color="auto"/>
              <w:bottom w:val="outset" w:sz="6" w:space="0" w:color="auto"/>
              <w:right w:val="outset" w:sz="6" w:space="0" w:color="auto"/>
            </w:tcBorders>
            <w:hideMark/>
          </w:tcPr>
          <w:p w:rsidR="00956521" w:rsidRPr="00C74ABA" w:rsidRDefault="00E70ADF" w:rsidP="00F46334">
            <w:pPr>
              <w:spacing w:after="0" w:line="240" w:lineRule="auto"/>
              <w:rPr>
                <w:rFonts w:ascii="Times New Roman" w:hAnsi="Times New Roman" w:cs="Times New Roman"/>
                <w:sz w:val="26"/>
                <w:szCs w:val="26"/>
              </w:rPr>
            </w:pPr>
            <w:r w:rsidRPr="00C74ABA">
              <w:rPr>
                <w:rFonts w:ascii="Times New Roman" w:hAnsi="Times New Roman" w:cs="Times New Roman"/>
                <w:sz w:val="26"/>
                <w:szCs w:val="26"/>
              </w:rPr>
              <w:t>N</w:t>
            </w:r>
            <w:r w:rsidR="0055170F" w:rsidRPr="00C74ABA">
              <w:rPr>
                <w:rFonts w:ascii="Times New Roman" w:hAnsi="Times New Roman" w:cs="Times New Roman"/>
                <w:sz w:val="26"/>
                <w:szCs w:val="26"/>
              </w:rPr>
              <w:t>av</w:t>
            </w:r>
          </w:p>
        </w:tc>
      </w:tr>
    </w:tbl>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 </w:t>
      </w:r>
    </w:p>
    <w:tbl>
      <w:tblPr>
        <w:tblW w:w="9212"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9"/>
        <w:gridCol w:w="606"/>
        <w:gridCol w:w="1520"/>
        <w:gridCol w:w="2126"/>
        <w:gridCol w:w="2691"/>
      </w:tblGrid>
      <w:tr w:rsidR="00956521" w:rsidRPr="00C74ABA" w:rsidTr="00FD61B5">
        <w:trPr>
          <w:tblCellSpacing w:w="15" w:type="dxa"/>
        </w:trPr>
        <w:tc>
          <w:tcPr>
            <w:tcW w:w="9152" w:type="dxa"/>
            <w:gridSpan w:val="5"/>
            <w:tcBorders>
              <w:top w:val="outset" w:sz="6" w:space="0" w:color="auto"/>
              <w:left w:val="outset" w:sz="6" w:space="0" w:color="auto"/>
              <w:bottom w:val="outset" w:sz="6" w:space="0" w:color="auto"/>
              <w:right w:val="outset" w:sz="6" w:space="0" w:color="auto"/>
            </w:tcBorders>
            <w:vAlign w:val="center"/>
            <w:hideMark/>
          </w:tcPr>
          <w:p w:rsidR="00956521" w:rsidRPr="00C74ABA" w:rsidRDefault="00956521" w:rsidP="00F46334">
            <w:pPr>
              <w:spacing w:line="240" w:lineRule="auto"/>
              <w:jc w:val="center"/>
              <w:rPr>
                <w:rFonts w:ascii="Times New Roman" w:eastAsia="Times New Roman" w:hAnsi="Times New Roman" w:cs="Times New Roman"/>
                <w:b/>
                <w:bCs/>
                <w:sz w:val="26"/>
                <w:szCs w:val="26"/>
                <w:lang w:eastAsia="lv-LV"/>
              </w:rPr>
            </w:pPr>
            <w:r w:rsidRPr="00C74ABA">
              <w:rPr>
                <w:rFonts w:ascii="Times New Roman" w:eastAsia="Times New Roman" w:hAnsi="Times New Roman" w:cs="Times New Roman"/>
                <w:b/>
                <w:bCs/>
                <w:sz w:val="26"/>
                <w:szCs w:val="26"/>
                <w:lang w:eastAsia="lv-LV"/>
              </w:rPr>
              <w:t>1.tabula</w:t>
            </w:r>
            <w:r w:rsidRPr="00C74ABA">
              <w:rPr>
                <w:rFonts w:ascii="Times New Roman" w:eastAsia="Times New Roman" w:hAnsi="Times New Roman" w:cs="Times New Roman"/>
                <w:b/>
                <w:bCs/>
                <w:sz w:val="26"/>
                <w:szCs w:val="26"/>
                <w:lang w:eastAsia="lv-LV"/>
              </w:rPr>
              <w:br/>
              <w:t>Tiesību akta projekta atbilstība ES tiesību aktiem</w:t>
            </w:r>
          </w:p>
        </w:tc>
      </w:tr>
      <w:tr w:rsidR="00956521"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956521" w:rsidRPr="00C74ABA" w:rsidRDefault="00956521"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Attiecīgā ES tiesību akta datums, numurs un nosaukums</w:t>
            </w:r>
          </w:p>
        </w:tc>
        <w:tc>
          <w:tcPr>
            <w:tcW w:w="6898" w:type="dxa"/>
            <w:gridSpan w:val="4"/>
            <w:tcBorders>
              <w:top w:val="outset" w:sz="6" w:space="0" w:color="auto"/>
              <w:left w:val="outset" w:sz="6" w:space="0" w:color="auto"/>
              <w:bottom w:val="outset" w:sz="6" w:space="0" w:color="auto"/>
              <w:right w:val="outset" w:sz="6" w:space="0" w:color="auto"/>
            </w:tcBorders>
            <w:vAlign w:val="center"/>
            <w:hideMark/>
          </w:tcPr>
          <w:p w:rsidR="00956521" w:rsidRPr="00C74ABA" w:rsidRDefault="00885AB9" w:rsidP="00F46334">
            <w:pPr>
              <w:pStyle w:val="naiskr"/>
              <w:spacing w:before="0" w:after="0"/>
              <w:jc w:val="both"/>
              <w:rPr>
                <w:sz w:val="26"/>
                <w:szCs w:val="26"/>
                <w:lang w:eastAsia="en-US"/>
              </w:rPr>
            </w:pPr>
            <w:r w:rsidRPr="00C74ABA">
              <w:rPr>
                <w:sz w:val="26"/>
                <w:szCs w:val="26"/>
              </w:rPr>
              <w:t xml:space="preserve">Komisijas 2013.gada 18.decembra Regulu (EK) </w:t>
            </w:r>
            <w:proofErr w:type="spellStart"/>
            <w:r w:rsidRPr="00C74ABA">
              <w:rPr>
                <w:sz w:val="26"/>
                <w:szCs w:val="26"/>
              </w:rPr>
              <w:t>Nr</w:t>
            </w:r>
            <w:proofErr w:type="spellEnd"/>
            <w:r w:rsidRPr="00C74ABA">
              <w:rPr>
                <w:sz w:val="26"/>
                <w:szCs w:val="26"/>
              </w:rPr>
              <w:t>. 140</w:t>
            </w:r>
            <w:r w:rsidR="007F749B" w:rsidRPr="00C74ABA">
              <w:rPr>
                <w:sz w:val="26"/>
                <w:szCs w:val="26"/>
              </w:rPr>
              <w:t>7</w:t>
            </w:r>
            <w:r w:rsidRPr="00C74ABA">
              <w:rPr>
                <w:sz w:val="26"/>
                <w:szCs w:val="26"/>
              </w:rPr>
              <w:t xml:space="preserve">/2013 par Līguma 87. un 88.panta piemērošanu </w:t>
            </w:r>
            <w:proofErr w:type="spellStart"/>
            <w:r w:rsidRPr="00C74ABA">
              <w:rPr>
                <w:i/>
                <w:sz w:val="26"/>
                <w:szCs w:val="26"/>
              </w:rPr>
              <w:t>de</w:t>
            </w:r>
            <w:proofErr w:type="spellEnd"/>
            <w:r w:rsidRPr="00C74ABA">
              <w:rPr>
                <w:i/>
                <w:sz w:val="26"/>
                <w:szCs w:val="26"/>
              </w:rPr>
              <w:t xml:space="preserve"> </w:t>
            </w:r>
            <w:proofErr w:type="spellStart"/>
            <w:r w:rsidRPr="00C74ABA">
              <w:rPr>
                <w:i/>
                <w:sz w:val="26"/>
                <w:szCs w:val="26"/>
              </w:rPr>
              <w:t>minimis</w:t>
            </w:r>
            <w:proofErr w:type="spellEnd"/>
            <w:r w:rsidRPr="00C74ABA">
              <w:rPr>
                <w:sz w:val="26"/>
                <w:szCs w:val="26"/>
              </w:rPr>
              <w:t xml:space="preserve"> atbalstam (Eiropas Savienības Oficiālais Vēstnesis, 2013.gada 24.decembris, L 352) (turpmāk – Komisijas regula </w:t>
            </w:r>
            <w:proofErr w:type="spellStart"/>
            <w:r w:rsidRPr="00C74ABA">
              <w:rPr>
                <w:sz w:val="26"/>
                <w:szCs w:val="26"/>
              </w:rPr>
              <w:t>Nr</w:t>
            </w:r>
            <w:proofErr w:type="spellEnd"/>
            <w:r w:rsidRPr="00C74ABA">
              <w:rPr>
                <w:sz w:val="26"/>
                <w:szCs w:val="26"/>
              </w:rPr>
              <w:t xml:space="preserve">. </w:t>
            </w:r>
            <w:r w:rsidR="00F5373C" w:rsidRPr="00C74ABA">
              <w:rPr>
                <w:sz w:val="26"/>
                <w:szCs w:val="26"/>
              </w:rPr>
              <w:t>140</w:t>
            </w:r>
            <w:r w:rsidR="007F749B" w:rsidRPr="00C74ABA">
              <w:rPr>
                <w:sz w:val="26"/>
                <w:szCs w:val="26"/>
              </w:rPr>
              <w:t>7</w:t>
            </w:r>
            <w:r w:rsidRPr="00C74ABA">
              <w:rPr>
                <w:sz w:val="26"/>
                <w:szCs w:val="26"/>
              </w:rPr>
              <w:t>/2013).</w:t>
            </w:r>
          </w:p>
        </w:tc>
      </w:tr>
      <w:tr w:rsidR="00956521"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956521" w:rsidRPr="00C74ABA" w:rsidRDefault="00956521" w:rsidP="00F46334">
            <w:pPr>
              <w:spacing w:line="240" w:lineRule="auto"/>
              <w:jc w:val="center"/>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A</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956521" w:rsidRPr="00C74ABA" w:rsidRDefault="00956521" w:rsidP="00F46334">
            <w:pPr>
              <w:spacing w:line="240" w:lineRule="auto"/>
              <w:jc w:val="center"/>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B</w:t>
            </w:r>
          </w:p>
        </w:tc>
        <w:tc>
          <w:tcPr>
            <w:tcW w:w="2096" w:type="dxa"/>
            <w:tcBorders>
              <w:top w:val="outset" w:sz="6" w:space="0" w:color="auto"/>
              <w:left w:val="outset" w:sz="6" w:space="0" w:color="auto"/>
              <w:bottom w:val="outset" w:sz="6" w:space="0" w:color="auto"/>
              <w:right w:val="outset" w:sz="6" w:space="0" w:color="auto"/>
            </w:tcBorders>
            <w:vAlign w:val="center"/>
            <w:hideMark/>
          </w:tcPr>
          <w:p w:rsidR="00956521" w:rsidRPr="00C74ABA" w:rsidRDefault="00956521" w:rsidP="00F46334">
            <w:pPr>
              <w:spacing w:line="240" w:lineRule="auto"/>
              <w:jc w:val="center"/>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C</w:t>
            </w:r>
          </w:p>
        </w:tc>
        <w:tc>
          <w:tcPr>
            <w:tcW w:w="2646" w:type="dxa"/>
            <w:tcBorders>
              <w:top w:val="outset" w:sz="6" w:space="0" w:color="auto"/>
              <w:left w:val="outset" w:sz="6" w:space="0" w:color="auto"/>
              <w:bottom w:val="outset" w:sz="6" w:space="0" w:color="auto"/>
              <w:right w:val="outset" w:sz="6" w:space="0" w:color="auto"/>
            </w:tcBorders>
            <w:vAlign w:val="center"/>
            <w:hideMark/>
          </w:tcPr>
          <w:p w:rsidR="00956521" w:rsidRPr="00C74ABA" w:rsidRDefault="00956521" w:rsidP="00F46334">
            <w:pPr>
              <w:spacing w:line="240" w:lineRule="auto"/>
              <w:jc w:val="center"/>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D</w:t>
            </w:r>
          </w:p>
        </w:tc>
      </w:tr>
      <w:tr w:rsidR="00956521"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pStyle w:val="naiskr"/>
              <w:spacing w:before="0" w:after="0"/>
              <w:jc w:val="both"/>
              <w:rPr>
                <w:sz w:val="26"/>
                <w:szCs w:val="26"/>
                <w:lang w:eastAsia="en-US"/>
              </w:rPr>
            </w:pPr>
            <w:r w:rsidRPr="00C74ABA">
              <w:rPr>
                <w:sz w:val="26"/>
                <w:szCs w:val="26"/>
                <w:lang w:eastAsia="en-US"/>
              </w:rPr>
              <w:t xml:space="preserve">Attiecīgā ES tiesību akta panta numurs (uzskaitot katru tiesību akta </w:t>
            </w:r>
            <w:r w:rsidRPr="00C74ABA">
              <w:rPr>
                <w:sz w:val="26"/>
                <w:szCs w:val="26"/>
                <w:lang w:eastAsia="en-US"/>
              </w:rPr>
              <w:br/>
              <w:t>vienību – pantu, daļu, punktu, apakšpunktu)</w:t>
            </w:r>
          </w:p>
        </w:tc>
        <w:tc>
          <w:tcPr>
            <w:tcW w:w="2096" w:type="dxa"/>
            <w:gridSpan w:val="2"/>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pStyle w:val="naiskr"/>
              <w:spacing w:before="0" w:after="0"/>
              <w:jc w:val="both"/>
              <w:rPr>
                <w:sz w:val="26"/>
                <w:szCs w:val="26"/>
                <w:lang w:eastAsia="en-US"/>
              </w:rPr>
            </w:pPr>
            <w:r w:rsidRPr="00C74ABA">
              <w:rPr>
                <w:sz w:val="26"/>
                <w:szCs w:val="26"/>
                <w:lang w:eastAsia="en-US"/>
              </w:rPr>
              <w:t>Projekta vienība, kas pārņem vai ievieš katru šīs tabulas A ailē minēto ES tiesību akta vienību</w:t>
            </w:r>
          </w:p>
        </w:tc>
        <w:tc>
          <w:tcPr>
            <w:tcW w:w="2096" w:type="dxa"/>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pStyle w:val="naiskr"/>
              <w:spacing w:before="0" w:after="0"/>
              <w:jc w:val="both"/>
              <w:rPr>
                <w:sz w:val="26"/>
                <w:szCs w:val="26"/>
                <w:lang w:eastAsia="en-US"/>
              </w:rPr>
            </w:pPr>
            <w:r w:rsidRPr="00C74ABA">
              <w:rPr>
                <w:sz w:val="26"/>
                <w:szCs w:val="26"/>
                <w:lang w:eastAsia="en-US"/>
              </w:rPr>
              <w:t>Informācija par to, vai šīs tabulas A ailē minētās ES tiesību akta vienības tiek pārņemtas vai ieviestas pilnībā vai daļēji.</w:t>
            </w:r>
          </w:p>
          <w:p w:rsidR="00956521" w:rsidRPr="00C74ABA" w:rsidRDefault="00956521" w:rsidP="00F46334">
            <w:pPr>
              <w:pStyle w:val="naiskr"/>
              <w:spacing w:before="0" w:after="0"/>
              <w:jc w:val="both"/>
              <w:rPr>
                <w:sz w:val="26"/>
                <w:szCs w:val="26"/>
                <w:lang w:eastAsia="en-US"/>
              </w:rPr>
            </w:pPr>
            <w:r w:rsidRPr="00C74ABA">
              <w:rPr>
                <w:sz w:val="26"/>
                <w:szCs w:val="26"/>
                <w:lang w:eastAsia="en-US"/>
              </w:rPr>
              <w:lastRenderedPageBreak/>
              <w:t>Ja attiecīgā ES tiesību akta vienība tiek pārņemta vai ieviesta daļēji, – sniedz attiecīgu skaidrojumu, kā arī precīzi norāda, kad un kādā veidā ES tiesību akta vienība tiks pārņemta vai ieviesta pilnībā.</w:t>
            </w:r>
          </w:p>
          <w:p w:rsidR="00956521" w:rsidRPr="00C74ABA" w:rsidRDefault="00956521" w:rsidP="00F46334">
            <w:pPr>
              <w:pStyle w:val="naiskr"/>
              <w:spacing w:before="0" w:after="0"/>
              <w:jc w:val="both"/>
              <w:rPr>
                <w:sz w:val="26"/>
                <w:szCs w:val="26"/>
                <w:lang w:eastAsia="en-US"/>
              </w:rPr>
            </w:pPr>
            <w:r w:rsidRPr="00C74ABA">
              <w:rPr>
                <w:sz w:val="26"/>
                <w:szCs w:val="26"/>
                <w:lang w:eastAsia="en-US"/>
              </w:rPr>
              <w:t>Norāda institūciju, kas ir atbildīga par šo saistību izpildi pilnībā</w:t>
            </w:r>
          </w:p>
        </w:tc>
        <w:tc>
          <w:tcPr>
            <w:tcW w:w="2646" w:type="dxa"/>
            <w:tcBorders>
              <w:top w:val="outset" w:sz="6" w:space="0" w:color="auto"/>
              <w:left w:val="outset" w:sz="6" w:space="0" w:color="auto"/>
              <w:bottom w:val="outset" w:sz="6" w:space="0" w:color="auto"/>
              <w:right w:val="outset" w:sz="6" w:space="0" w:color="auto"/>
            </w:tcBorders>
            <w:hideMark/>
          </w:tcPr>
          <w:p w:rsidR="00956521" w:rsidRPr="00C74ABA" w:rsidRDefault="00956521" w:rsidP="00F46334">
            <w:pPr>
              <w:pStyle w:val="naiskr"/>
              <w:spacing w:before="0" w:after="0"/>
              <w:jc w:val="both"/>
              <w:rPr>
                <w:sz w:val="26"/>
                <w:szCs w:val="26"/>
                <w:lang w:eastAsia="en-US"/>
              </w:rPr>
            </w:pPr>
            <w:r w:rsidRPr="00C74ABA">
              <w:rPr>
                <w:sz w:val="26"/>
                <w:szCs w:val="26"/>
                <w:lang w:eastAsia="en-US"/>
              </w:rPr>
              <w:lastRenderedPageBreak/>
              <w:t>Informācija par to, vai šīs tabulas B ailē minētās projekta vienības paredz stingrākas prasības nekā šīs tabulas A ailē minētās ES tiesību akta vienības.</w:t>
            </w:r>
          </w:p>
          <w:p w:rsidR="00956521" w:rsidRPr="00C74ABA" w:rsidRDefault="00956521" w:rsidP="00F46334">
            <w:pPr>
              <w:pStyle w:val="naiskr"/>
              <w:spacing w:before="0" w:after="0"/>
              <w:jc w:val="both"/>
              <w:rPr>
                <w:sz w:val="26"/>
                <w:szCs w:val="26"/>
                <w:lang w:eastAsia="en-US"/>
              </w:rPr>
            </w:pPr>
            <w:r w:rsidRPr="00C74ABA">
              <w:rPr>
                <w:sz w:val="26"/>
                <w:szCs w:val="26"/>
                <w:lang w:eastAsia="en-US"/>
              </w:rPr>
              <w:lastRenderedPageBreak/>
              <w:t>Ja projekts satur stingrākas prasības nekā attiecīgais ES tiesību akts, – norāda pamatojumu un samērīgumu.</w:t>
            </w:r>
          </w:p>
          <w:p w:rsidR="00956521" w:rsidRPr="00C74ABA" w:rsidRDefault="00956521" w:rsidP="00F46334">
            <w:pPr>
              <w:pStyle w:val="naiskr"/>
              <w:spacing w:before="0" w:after="0"/>
              <w:jc w:val="both"/>
              <w:rPr>
                <w:sz w:val="26"/>
                <w:szCs w:val="26"/>
                <w:lang w:eastAsia="en-US"/>
              </w:rPr>
            </w:pPr>
            <w:r w:rsidRPr="00C74ABA">
              <w:rPr>
                <w:sz w:val="26"/>
                <w:szCs w:val="26"/>
                <w:lang w:eastAsia="en-US"/>
              </w:rPr>
              <w:t>Norāda iespējamās alternatīvas (</w:t>
            </w:r>
            <w:proofErr w:type="spellStart"/>
            <w:r w:rsidRPr="00C74ABA">
              <w:rPr>
                <w:sz w:val="26"/>
                <w:szCs w:val="26"/>
                <w:lang w:eastAsia="en-US"/>
              </w:rPr>
              <w:t>t.sk</w:t>
            </w:r>
            <w:proofErr w:type="spellEnd"/>
            <w:r w:rsidRPr="00C74ABA">
              <w:rPr>
                <w:sz w:val="26"/>
                <w:szCs w:val="26"/>
                <w:lang w:eastAsia="en-US"/>
              </w:rPr>
              <w:t>. alternatīvas, kas neparedz tiesiskā regulējuma izstrādi) – kādos gadījumos būtu iespējams izvairīties no stingrāku prasību noteikšanas, nekā paredzēts attiecīgajos ES tiesību aktos.</w:t>
            </w:r>
          </w:p>
        </w:tc>
      </w:tr>
      <w:tr w:rsidR="00D323E4"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D323E4" w:rsidRPr="00C74ABA" w:rsidRDefault="00D323E4" w:rsidP="00331D39">
            <w:pPr>
              <w:pStyle w:val="naiskr"/>
              <w:spacing w:before="0" w:after="0"/>
              <w:jc w:val="both"/>
              <w:rPr>
                <w:i/>
                <w:sz w:val="26"/>
                <w:szCs w:val="26"/>
                <w:lang w:eastAsia="en-US"/>
              </w:rPr>
            </w:pPr>
            <w:r w:rsidRPr="00C74ABA">
              <w:rPr>
                <w:i/>
                <w:sz w:val="26"/>
                <w:szCs w:val="26"/>
                <w:lang w:eastAsia="en-US"/>
              </w:rPr>
              <w:lastRenderedPageBreak/>
              <w:t xml:space="preserve">Komisijas Regulas </w:t>
            </w:r>
            <w:proofErr w:type="spellStart"/>
            <w:r w:rsidRPr="00C74ABA">
              <w:rPr>
                <w:i/>
                <w:sz w:val="26"/>
                <w:szCs w:val="26"/>
                <w:lang w:eastAsia="en-US"/>
              </w:rPr>
              <w:t>Nr</w:t>
            </w:r>
            <w:proofErr w:type="spellEnd"/>
            <w:r w:rsidRPr="00C74ABA">
              <w:rPr>
                <w:i/>
                <w:sz w:val="26"/>
                <w:szCs w:val="26"/>
                <w:lang w:eastAsia="en-US"/>
              </w:rPr>
              <w:t>.</w:t>
            </w:r>
            <w:r w:rsidRPr="00C74ABA">
              <w:rPr>
                <w:sz w:val="26"/>
                <w:szCs w:val="26"/>
              </w:rPr>
              <w:t xml:space="preserve"> </w:t>
            </w:r>
            <w:r w:rsidR="00D402F0" w:rsidRPr="00C74ABA">
              <w:rPr>
                <w:sz w:val="26"/>
                <w:szCs w:val="26"/>
              </w:rPr>
              <w:t>GBER</w:t>
            </w:r>
            <w:r w:rsidRPr="00C74ABA">
              <w:rPr>
                <w:sz w:val="26"/>
                <w:szCs w:val="26"/>
              </w:rPr>
              <w:t>/20</w:t>
            </w:r>
            <w:r w:rsidR="00D402F0" w:rsidRPr="00C74ABA">
              <w:rPr>
                <w:sz w:val="26"/>
                <w:szCs w:val="26"/>
              </w:rPr>
              <w:t>14</w:t>
            </w:r>
            <w:r w:rsidR="00F51733" w:rsidRPr="00C74ABA">
              <w:rPr>
                <w:i/>
                <w:sz w:val="26"/>
                <w:szCs w:val="26"/>
                <w:lang w:eastAsia="en-US"/>
              </w:rPr>
              <w:t>.</w:t>
            </w:r>
            <w:r w:rsidRPr="00C74ABA">
              <w:rPr>
                <w:i/>
                <w:sz w:val="26"/>
                <w:szCs w:val="26"/>
                <w:lang w:eastAsia="en-US"/>
              </w:rPr>
              <w:t xml:space="preserve"> </w:t>
            </w:r>
            <w:r w:rsidR="00331D39" w:rsidRPr="00C74ABA">
              <w:rPr>
                <w:i/>
                <w:sz w:val="26"/>
                <w:szCs w:val="26"/>
                <w:lang w:eastAsia="en-US"/>
              </w:rPr>
              <w:t>1</w:t>
            </w:r>
            <w:r w:rsidR="00384DD1" w:rsidRPr="00C74ABA">
              <w:rPr>
                <w:i/>
                <w:sz w:val="26"/>
                <w:szCs w:val="26"/>
                <w:lang w:eastAsia="en-US"/>
              </w:rPr>
              <w:t>3., 1</w:t>
            </w:r>
            <w:r w:rsidR="00331D39" w:rsidRPr="00C74ABA">
              <w:rPr>
                <w:i/>
                <w:sz w:val="26"/>
                <w:szCs w:val="26"/>
                <w:lang w:eastAsia="en-US"/>
              </w:rPr>
              <w:t>4</w:t>
            </w:r>
            <w:r w:rsidRPr="00C74ABA">
              <w:rPr>
                <w:i/>
                <w:sz w:val="26"/>
                <w:szCs w:val="26"/>
                <w:lang w:eastAsia="en-US"/>
              </w:rPr>
              <w:t>.pant</w:t>
            </w:r>
            <w:r w:rsidR="00331D39" w:rsidRPr="00C74ABA">
              <w:rPr>
                <w:i/>
                <w:sz w:val="26"/>
                <w:szCs w:val="26"/>
                <w:lang w:eastAsia="en-US"/>
              </w:rPr>
              <w:t>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D323E4" w:rsidRPr="00C74ABA" w:rsidRDefault="00D323E4" w:rsidP="00F46334">
            <w:pPr>
              <w:pStyle w:val="naiskr"/>
              <w:spacing w:before="0" w:after="0"/>
              <w:jc w:val="both"/>
              <w:rPr>
                <w:i/>
                <w:sz w:val="26"/>
                <w:szCs w:val="26"/>
                <w:lang w:eastAsia="en-US"/>
              </w:rPr>
            </w:pPr>
            <w:r w:rsidRPr="00C74ABA">
              <w:rPr>
                <w:b/>
                <w:i/>
                <w:sz w:val="26"/>
                <w:szCs w:val="26"/>
                <w:lang w:eastAsia="en-US"/>
              </w:rPr>
              <w:t>Noteikumu projekta 1.</w:t>
            </w:r>
            <w:r w:rsidR="00D402F0" w:rsidRPr="00C74ABA">
              <w:rPr>
                <w:b/>
                <w:i/>
                <w:sz w:val="26"/>
                <w:szCs w:val="26"/>
                <w:lang w:eastAsia="en-US"/>
              </w:rPr>
              <w:t>1.apakš</w:t>
            </w:r>
            <w:r w:rsidRPr="00C74ABA">
              <w:rPr>
                <w:b/>
                <w:i/>
                <w:sz w:val="26"/>
                <w:szCs w:val="26"/>
                <w:lang w:eastAsia="en-US"/>
              </w:rPr>
              <w:t xml:space="preserve">punkts </w:t>
            </w:r>
          </w:p>
        </w:tc>
        <w:tc>
          <w:tcPr>
            <w:tcW w:w="2096" w:type="dxa"/>
            <w:tcBorders>
              <w:top w:val="outset" w:sz="6" w:space="0" w:color="auto"/>
              <w:left w:val="outset" w:sz="6" w:space="0" w:color="auto"/>
              <w:bottom w:val="outset" w:sz="6" w:space="0" w:color="auto"/>
              <w:right w:val="outset" w:sz="6" w:space="0" w:color="auto"/>
            </w:tcBorders>
            <w:vAlign w:val="center"/>
            <w:hideMark/>
          </w:tcPr>
          <w:p w:rsidR="00D323E4" w:rsidRPr="00C74ABA" w:rsidRDefault="00D323E4" w:rsidP="00F46334">
            <w:pPr>
              <w:pStyle w:val="naiskr"/>
              <w:spacing w:before="0" w:after="0"/>
              <w:jc w:val="both"/>
              <w:rPr>
                <w:i/>
                <w:sz w:val="26"/>
                <w:szCs w:val="26"/>
                <w:lang w:eastAsia="en-US"/>
              </w:rPr>
            </w:pPr>
            <w:r w:rsidRPr="00C74ABA">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hideMark/>
          </w:tcPr>
          <w:p w:rsidR="00D323E4" w:rsidRPr="00C74ABA" w:rsidRDefault="00D323E4" w:rsidP="00F46334">
            <w:pPr>
              <w:pStyle w:val="naiskr"/>
              <w:spacing w:before="0" w:after="0"/>
              <w:jc w:val="both"/>
              <w:rPr>
                <w:i/>
                <w:sz w:val="26"/>
                <w:szCs w:val="26"/>
                <w:lang w:eastAsia="en-US"/>
              </w:rPr>
            </w:pPr>
            <w:r w:rsidRPr="00C74ABA">
              <w:rPr>
                <w:i/>
                <w:sz w:val="26"/>
                <w:szCs w:val="26"/>
                <w:lang w:eastAsia="en-US"/>
              </w:rPr>
              <w:t>neparedz stingrākas prasības</w:t>
            </w:r>
          </w:p>
        </w:tc>
      </w:tr>
      <w:tr w:rsidR="00384DD1"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384DD1" w:rsidRPr="00C74ABA" w:rsidRDefault="00384DD1" w:rsidP="00384DD1">
            <w:pPr>
              <w:pStyle w:val="naiskr"/>
              <w:spacing w:before="0" w:after="0"/>
              <w:jc w:val="both"/>
              <w:rPr>
                <w:i/>
                <w:sz w:val="26"/>
                <w:szCs w:val="26"/>
                <w:lang w:eastAsia="en-US"/>
              </w:rPr>
            </w:pPr>
            <w:r w:rsidRPr="00C74ABA">
              <w:rPr>
                <w:i/>
                <w:sz w:val="26"/>
                <w:szCs w:val="26"/>
                <w:lang w:eastAsia="en-US"/>
              </w:rPr>
              <w:t xml:space="preserve">Komisijas Regulas </w:t>
            </w:r>
            <w:proofErr w:type="spellStart"/>
            <w:r w:rsidRPr="00C74ABA">
              <w:rPr>
                <w:i/>
                <w:sz w:val="26"/>
                <w:szCs w:val="26"/>
                <w:lang w:eastAsia="en-US"/>
              </w:rPr>
              <w:t>Nr</w:t>
            </w:r>
            <w:proofErr w:type="spellEnd"/>
            <w:r w:rsidRPr="00C74ABA">
              <w:rPr>
                <w:i/>
                <w:sz w:val="26"/>
                <w:szCs w:val="26"/>
                <w:lang w:eastAsia="en-US"/>
              </w:rPr>
              <w:t>.</w:t>
            </w:r>
            <w:r w:rsidRPr="00C74ABA">
              <w:rPr>
                <w:sz w:val="26"/>
                <w:szCs w:val="26"/>
              </w:rPr>
              <w:t xml:space="preserve"> GBER/2014</w:t>
            </w:r>
            <w:r w:rsidRPr="00C74ABA">
              <w:rPr>
                <w:i/>
                <w:sz w:val="26"/>
                <w:szCs w:val="26"/>
                <w:lang w:eastAsia="en-US"/>
              </w:rPr>
              <w:t>. 2.panta 23.punkts un 1.pielikums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384DD1" w:rsidRPr="00C74ABA" w:rsidRDefault="00384DD1" w:rsidP="00384DD1">
            <w:pPr>
              <w:pStyle w:val="naiskr"/>
              <w:spacing w:before="0" w:after="0"/>
              <w:jc w:val="both"/>
              <w:rPr>
                <w:i/>
                <w:sz w:val="26"/>
                <w:szCs w:val="26"/>
                <w:lang w:eastAsia="en-US"/>
              </w:rPr>
            </w:pPr>
            <w:r w:rsidRPr="00C74ABA">
              <w:rPr>
                <w:b/>
                <w:i/>
                <w:sz w:val="26"/>
                <w:szCs w:val="26"/>
                <w:lang w:eastAsia="en-US"/>
              </w:rPr>
              <w:t xml:space="preserve">Noteikumu projekta 1.3.apakšpunkts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384DD1" w:rsidRPr="00C74ABA" w:rsidRDefault="00384DD1" w:rsidP="00B2268B">
            <w:pPr>
              <w:pStyle w:val="naiskr"/>
              <w:spacing w:before="0" w:after="0"/>
              <w:jc w:val="both"/>
              <w:rPr>
                <w:i/>
                <w:sz w:val="26"/>
                <w:szCs w:val="26"/>
                <w:lang w:eastAsia="en-US"/>
              </w:rPr>
            </w:pPr>
            <w:r w:rsidRPr="00C74ABA">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384DD1" w:rsidRPr="00C74ABA" w:rsidRDefault="00384DD1" w:rsidP="00B2268B">
            <w:pPr>
              <w:pStyle w:val="naiskr"/>
              <w:spacing w:before="0" w:after="0"/>
              <w:jc w:val="both"/>
              <w:rPr>
                <w:i/>
                <w:sz w:val="26"/>
                <w:szCs w:val="26"/>
                <w:lang w:eastAsia="en-US"/>
              </w:rPr>
            </w:pPr>
            <w:r w:rsidRPr="00C74ABA">
              <w:rPr>
                <w:i/>
                <w:sz w:val="26"/>
                <w:szCs w:val="26"/>
                <w:lang w:eastAsia="en-US"/>
              </w:rPr>
              <w:t>neparedz stingrākas prasības</w:t>
            </w:r>
          </w:p>
        </w:tc>
      </w:tr>
      <w:tr w:rsidR="00860FE2"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384DD1">
            <w:pPr>
              <w:pStyle w:val="naiskr"/>
              <w:spacing w:before="0" w:after="0"/>
              <w:jc w:val="both"/>
              <w:rPr>
                <w:b/>
                <w:i/>
                <w:sz w:val="26"/>
                <w:szCs w:val="26"/>
                <w:lang w:eastAsia="en-US"/>
              </w:rPr>
            </w:pPr>
            <w:r w:rsidRPr="00C74ABA">
              <w:rPr>
                <w:b/>
                <w:i/>
                <w:sz w:val="26"/>
                <w:szCs w:val="26"/>
                <w:lang w:eastAsia="en-US"/>
              </w:rPr>
              <w:t xml:space="preserve">Komisijas Regulas  </w:t>
            </w:r>
            <w:proofErr w:type="spellStart"/>
            <w:r w:rsidRPr="00C74ABA">
              <w:rPr>
                <w:b/>
                <w:i/>
                <w:sz w:val="26"/>
                <w:szCs w:val="26"/>
                <w:lang w:eastAsia="en-US"/>
              </w:rPr>
              <w:t>Nr</w:t>
            </w:r>
            <w:proofErr w:type="spellEnd"/>
            <w:r w:rsidRPr="00C74ABA">
              <w:rPr>
                <w:b/>
                <w:i/>
                <w:sz w:val="26"/>
                <w:szCs w:val="26"/>
                <w:lang w:eastAsia="en-US"/>
              </w:rPr>
              <w:t>. 1407/2013 2.panta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860FE2" w:rsidRPr="00C74ABA" w:rsidRDefault="00860FE2" w:rsidP="00860FE2">
            <w:pPr>
              <w:pStyle w:val="naiskr"/>
              <w:spacing w:before="0" w:after="0"/>
              <w:jc w:val="both"/>
              <w:rPr>
                <w:b/>
                <w:i/>
                <w:sz w:val="26"/>
                <w:szCs w:val="26"/>
                <w:lang w:eastAsia="en-US"/>
              </w:rPr>
            </w:pPr>
            <w:r w:rsidRPr="00C74ABA">
              <w:rPr>
                <w:b/>
                <w:i/>
                <w:sz w:val="26"/>
                <w:szCs w:val="26"/>
                <w:lang w:eastAsia="en-US"/>
              </w:rPr>
              <w:t>Noteikumu projekta 1.4.apakšpunkts</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b/>
                <w:i/>
                <w:sz w:val="26"/>
                <w:szCs w:val="26"/>
                <w:lang w:eastAsia="en-US"/>
              </w:rPr>
            </w:pPr>
            <w:r w:rsidRPr="00C74ABA">
              <w:rPr>
                <w:b/>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b/>
                <w:i/>
                <w:sz w:val="26"/>
                <w:szCs w:val="26"/>
                <w:lang w:eastAsia="en-US"/>
              </w:rPr>
            </w:pPr>
            <w:r w:rsidRPr="00C74ABA">
              <w:rPr>
                <w:b/>
                <w:i/>
                <w:sz w:val="26"/>
                <w:szCs w:val="26"/>
                <w:lang w:eastAsia="en-US"/>
              </w:rPr>
              <w:t>neparedz stingrākas prasības</w:t>
            </w:r>
          </w:p>
        </w:tc>
      </w:tr>
      <w:tr w:rsidR="00860FE2"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384DD1">
            <w:pPr>
              <w:pStyle w:val="naiskr"/>
              <w:spacing w:before="0" w:after="0"/>
              <w:jc w:val="both"/>
              <w:rPr>
                <w:i/>
                <w:sz w:val="26"/>
                <w:szCs w:val="26"/>
                <w:lang w:eastAsia="en-US"/>
              </w:rPr>
            </w:pPr>
            <w:r w:rsidRPr="00C74ABA">
              <w:rPr>
                <w:i/>
                <w:sz w:val="26"/>
                <w:szCs w:val="26"/>
                <w:lang w:eastAsia="en-US"/>
              </w:rPr>
              <w:t xml:space="preserve">Komisijas Regulas </w:t>
            </w:r>
            <w:proofErr w:type="spellStart"/>
            <w:r w:rsidRPr="00C74ABA">
              <w:rPr>
                <w:i/>
                <w:sz w:val="26"/>
                <w:szCs w:val="26"/>
                <w:lang w:eastAsia="en-US"/>
              </w:rPr>
              <w:t>Nr</w:t>
            </w:r>
            <w:proofErr w:type="spellEnd"/>
            <w:r w:rsidRPr="00C74ABA">
              <w:rPr>
                <w:i/>
                <w:sz w:val="26"/>
                <w:szCs w:val="26"/>
                <w:lang w:eastAsia="en-US"/>
              </w:rPr>
              <w:t>.</w:t>
            </w:r>
            <w:r w:rsidRPr="00C74ABA">
              <w:rPr>
                <w:sz w:val="26"/>
                <w:szCs w:val="26"/>
              </w:rPr>
              <w:t xml:space="preserve"> GBER/2014</w:t>
            </w:r>
            <w:r w:rsidRPr="00C74ABA">
              <w:rPr>
                <w:i/>
                <w:sz w:val="26"/>
                <w:szCs w:val="26"/>
                <w:lang w:eastAsia="en-US"/>
              </w:rPr>
              <w:t>. 2.panta 18.punkts</w:t>
            </w:r>
          </w:p>
          <w:p w:rsidR="00AB3851" w:rsidRPr="00C74ABA" w:rsidRDefault="00AB3851" w:rsidP="00384DD1">
            <w:pPr>
              <w:pStyle w:val="naiskr"/>
              <w:spacing w:before="0" w:after="0"/>
              <w:jc w:val="both"/>
              <w:rPr>
                <w:i/>
                <w:sz w:val="26"/>
                <w:szCs w:val="26"/>
                <w:lang w:eastAsia="en-US"/>
              </w:rPr>
            </w:pPr>
          </w:p>
          <w:p w:rsidR="00AB3851" w:rsidRPr="00C74ABA" w:rsidRDefault="00AB3851" w:rsidP="00AB3851">
            <w:pPr>
              <w:pStyle w:val="naiskr"/>
              <w:spacing w:before="0" w:after="0"/>
              <w:jc w:val="both"/>
              <w:rPr>
                <w:b/>
                <w:i/>
                <w:sz w:val="26"/>
                <w:szCs w:val="26"/>
                <w:lang w:eastAsia="en-US"/>
              </w:rPr>
            </w:pPr>
            <w:r w:rsidRPr="00C74ABA">
              <w:rPr>
                <w:b/>
                <w:i/>
                <w:sz w:val="26"/>
                <w:szCs w:val="26"/>
                <w:lang w:eastAsia="en-US"/>
              </w:rPr>
              <w:t xml:space="preserve">Komisijas Regulas  </w:t>
            </w:r>
            <w:proofErr w:type="spellStart"/>
            <w:r w:rsidRPr="00C74ABA">
              <w:rPr>
                <w:b/>
                <w:i/>
                <w:sz w:val="26"/>
                <w:szCs w:val="26"/>
                <w:lang w:eastAsia="en-US"/>
              </w:rPr>
              <w:t>Nr</w:t>
            </w:r>
            <w:proofErr w:type="spellEnd"/>
            <w:r w:rsidRPr="00C74ABA">
              <w:rPr>
                <w:b/>
                <w:i/>
                <w:sz w:val="26"/>
                <w:szCs w:val="26"/>
                <w:lang w:eastAsia="en-US"/>
              </w:rPr>
              <w:t>. 1407/2013 4.panta 6.punkts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860FE2" w:rsidRPr="00C74ABA" w:rsidRDefault="00860FE2" w:rsidP="00384DD1">
            <w:pPr>
              <w:pStyle w:val="naiskr"/>
              <w:spacing w:before="0" w:after="0"/>
              <w:jc w:val="both"/>
              <w:rPr>
                <w:i/>
                <w:sz w:val="26"/>
                <w:szCs w:val="26"/>
                <w:lang w:eastAsia="en-US"/>
              </w:rPr>
            </w:pPr>
            <w:r w:rsidRPr="00C74ABA">
              <w:rPr>
                <w:b/>
                <w:i/>
                <w:sz w:val="26"/>
                <w:szCs w:val="26"/>
                <w:lang w:eastAsia="en-US"/>
              </w:rPr>
              <w:t xml:space="preserve">Noteikumu projekta 1.5.apakšpunkts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neparedz stingrākas prasības</w:t>
            </w:r>
          </w:p>
        </w:tc>
      </w:tr>
      <w:tr w:rsidR="00860FE2"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 xml:space="preserve">Komisijas Regulas </w:t>
            </w:r>
            <w:proofErr w:type="spellStart"/>
            <w:r w:rsidRPr="00C74ABA">
              <w:rPr>
                <w:i/>
                <w:sz w:val="26"/>
                <w:szCs w:val="26"/>
                <w:lang w:eastAsia="en-US"/>
              </w:rPr>
              <w:t>Nr</w:t>
            </w:r>
            <w:proofErr w:type="spellEnd"/>
            <w:r w:rsidRPr="00C74ABA">
              <w:rPr>
                <w:i/>
                <w:sz w:val="26"/>
                <w:szCs w:val="26"/>
                <w:lang w:eastAsia="en-US"/>
              </w:rPr>
              <w:t>.</w:t>
            </w:r>
            <w:r w:rsidRPr="00C74ABA">
              <w:rPr>
                <w:sz w:val="26"/>
                <w:szCs w:val="26"/>
              </w:rPr>
              <w:t xml:space="preserve"> GBER/2014</w:t>
            </w:r>
            <w:r w:rsidRPr="00C74ABA">
              <w:rPr>
                <w:i/>
                <w:sz w:val="26"/>
                <w:szCs w:val="26"/>
                <w:lang w:eastAsia="en-US"/>
              </w:rPr>
              <w:t>. 1.panta 4.punkta "a" apakšpunkts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860FE2" w:rsidRPr="00C74ABA" w:rsidRDefault="00860FE2" w:rsidP="00860FE2">
            <w:pPr>
              <w:pStyle w:val="naiskr"/>
              <w:spacing w:before="0" w:after="0"/>
              <w:jc w:val="both"/>
              <w:rPr>
                <w:i/>
                <w:sz w:val="26"/>
                <w:szCs w:val="26"/>
                <w:lang w:eastAsia="en-US"/>
              </w:rPr>
            </w:pPr>
            <w:r w:rsidRPr="00C74ABA">
              <w:rPr>
                <w:b/>
                <w:i/>
                <w:sz w:val="26"/>
                <w:szCs w:val="26"/>
                <w:lang w:eastAsia="en-US"/>
              </w:rPr>
              <w:t xml:space="preserve">Noteikumu projekta 1.6.apakšpunkts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neparedz stingrākas prasības</w:t>
            </w:r>
          </w:p>
        </w:tc>
      </w:tr>
      <w:tr w:rsidR="00860FE2" w:rsidRPr="00C74ABA" w:rsidTr="00C74ABA">
        <w:trPr>
          <w:trHeight w:val="223"/>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4F3D1E">
            <w:pPr>
              <w:pStyle w:val="naiskr"/>
              <w:spacing w:before="0" w:after="0"/>
              <w:jc w:val="both"/>
              <w:rPr>
                <w:i/>
                <w:sz w:val="26"/>
                <w:szCs w:val="26"/>
                <w:lang w:eastAsia="en-US"/>
              </w:rPr>
            </w:pPr>
            <w:r w:rsidRPr="00C74ABA">
              <w:rPr>
                <w:i/>
                <w:sz w:val="26"/>
                <w:szCs w:val="26"/>
                <w:lang w:eastAsia="en-US"/>
              </w:rPr>
              <w:t xml:space="preserve">Komisijas Regulas  </w:t>
            </w:r>
            <w:proofErr w:type="spellStart"/>
            <w:r w:rsidRPr="00C74ABA">
              <w:rPr>
                <w:i/>
                <w:sz w:val="26"/>
                <w:szCs w:val="26"/>
                <w:lang w:eastAsia="en-US"/>
              </w:rPr>
              <w:t>Nr</w:t>
            </w:r>
            <w:proofErr w:type="spellEnd"/>
            <w:r w:rsidRPr="00C74ABA">
              <w:rPr>
                <w:i/>
                <w:sz w:val="26"/>
                <w:szCs w:val="26"/>
                <w:lang w:eastAsia="en-US"/>
              </w:rPr>
              <w:t>. 1407/2013 3.panta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860FE2" w:rsidRPr="00C74ABA" w:rsidRDefault="00860FE2" w:rsidP="0045253D">
            <w:pPr>
              <w:pStyle w:val="naiskr"/>
              <w:spacing w:before="0" w:after="0"/>
              <w:jc w:val="both"/>
              <w:rPr>
                <w:b/>
                <w:i/>
                <w:sz w:val="26"/>
                <w:szCs w:val="26"/>
                <w:lang w:eastAsia="en-US"/>
              </w:rPr>
            </w:pPr>
            <w:r w:rsidRPr="00C74ABA">
              <w:rPr>
                <w:b/>
                <w:i/>
                <w:sz w:val="26"/>
                <w:szCs w:val="26"/>
                <w:lang w:eastAsia="en-US"/>
              </w:rPr>
              <w:t>Noteikumu projekta 1.7.apakšpunkts</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neparedz stingrākas prasības</w:t>
            </w:r>
          </w:p>
        </w:tc>
      </w:tr>
      <w:tr w:rsidR="00860FE2"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lastRenderedPageBreak/>
              <w:t>Komisijas lēmums SA.38385 „Reģionālā atbalsta karte Latvijai (2014-2020)”</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860FE2" w:rsidRPr="00C74ABA" w:rsidRDefault="00860FE2" w:rsidP="00860FE2">
            <w:pPr>
              <w:pStyle w:val="naiskr"/>
              <w:spacing w:before="0" w:after="0"/>
              <w:jc w:val="both"/>
              <w:rPr>
                <w:i/>
                <w:sz w:val="26"/>
                <w:szCs w:val="26"/>
                <w:lang w:eastAsia="en-US"/>
              </w:rPr>
            </w:pPr>
            <w:r w:rsidRPr="00C74ABA">
              <w:rPr>
                <w:b/>
                <w:i/>
                <w:sz w:val="26"/>
                <w:szCs w:val="26"/>
                <w:lang w:eastAsia="en-US"/>
              </w:rPr>
              <w:t xml:space="preserve">Noteikumu projekta 1.8.apakšpunkts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neparedz stingrākas prasības</w:t>
            </w:r>
          </w:p>
        </w:tc>
      </w:tr>
      <w:tr w:rsidR="00860FE2"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227970">
            <w:pPr>
              <w:pStyle w:val="naiskr"/>
              <w:spacing w:before="0" w:after="0"/>
              <w:jc w:val="both"/>
              <w:rPr>
                <w:b/>
                <w:i/>
                <w:sz w:val="26"/>
                <w:szCs w:val="26"/>
                <w:lang w:eastAsia="en-US"/>
              </w:rPr>
            </w:pPr>
            <w:r w:rsidRPr="00C74ABA">
              <w:rPr>
                <w:b/>
                <w:i/>
                <w:sz w:val="26"/>
                <w:szCs w:val="26"/>
                <w:lang w:eastAsia="en-US"/>
              </w:rPr>
              <w:t xml:space="preserve">Komisijas Regulas </w:t>
            </w:r>
            <w:proofErr w:type="spellStart"/>
            <w:r w:rsidRPr="00C74ABA">
              <w:rPr>
                <w:b/>
                <w:i/>
                <w:sz w:val="26"/>
                <w:szCs w:val="26"/>
                <w:lang w:eastAsia="en-US"/>
              </w:rPr>
              <w:t>Nr</w:t>
            </w:r>
            <w:proofErr w:type="spellEnd"/>
            <w:r w:rsidRPr="00C74ABA">
              <w:rPr>
                <w:b/>
                <w:i/>
                <w:sz w:val="26"/>
                <w:szCs w:val="26"/>
                <w:lang w:eastAsia="en-US"/>
              </w:rPr>
              <w:t>.</w:t>
            </w:r>
            <w:r w:rsidRPr="00C74ABA">
              <w:rPr>
                <w:b/>
                <w:sz w:val="26"/>
                <w:szCs w:val="26"/>
              </w:rPr>
              <w:t xml:space="preserve"> GBER/2014</w:t>
            </w:r>
            <w:r w:rsidRPr="00C74ABA">
              <w:rPr>
                <w:b/>
                <w:i/>
                <w:sz w:val="26"/>
                <w:szCs w:val="26"/>
                <w:lang w:eastAsia="en-US"/>
              </w:rPr>
              <w:t>. 6.panta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111CE1" w:rsidRPr="00C74ABA" w:rsidRDefault="00860FE2" w:rsidP="00EB6D58">
            <w:pPr>
              <w:pStyle w:val="naiskr"/>
              <w:spacing w:before="0" w:after="0"/>
              <w:jc w:val="both"/>
              <w:rPr>
                <w:b/>
                <w:i/>
                <w:sz w:val="26"/>
                <w:szCs w:val="26"/>
                <w:lang w:eastAsia="en-US"/>
              </w:rPr>
            </w:pPr>
            <w:r w:rsidRPr="00C74ABA">
              <w:rPr>
                <w:b/>
                <w:i/>
                <w:sz w:val="26"/>
                <w:szCs w:val="26"/>
                <w:lang w:eastAsia="en-US"/>
              </w:rPr>
              <w:t xml:space="preserve">Noteikumu projekta 1.9.apakšpunkts </w:t>
            </w:r>
            <w:r w:rsidR="00111CE1" w:rsidRPr="00C74ABA">
              <w:rPr>
                <w:b/>
                <w:color w:val="000000"/>
              </w:rPr>
              <w:t xml:space="preserve"> </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b/>
                <w:i/>
                <w:sz w:val="26"/>
                <w:szCs w:val="26"/>
                <w:lang w:eastAsia="en-US"/>
              </w:rPr>
            </w:pPr>
            <w:r w:rsidRPr="00C74ABA">
              <w:rPr>
                <w:b/>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b/>
                <w:i/>
                <w:sz w:val="26"/>
                <w:szCs w:val="26"/>
                <w:lang w:eastAsia="en-US"/>
              </w:rPr>
            </w:pPr>
            <w:r w:rsidRPr="00C74ABA">
              <w:rPr>
                <w:b/>
                <w:i/>
                <w:sz w:val="26"/>
                <w:szCs w:val="26"/>
                <w:lang w:eastAsia="en-US"/>
              </w:rPr>
              <w:t>neparedz stingrākas prasības</w:t>
            </w:r>
          </w:p>
        </w:tc>
      </w:tr>
      <w:tr w:rsidR="00860FE2"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AF5F31">
            <w:pPr>
              <w:pStyle w:val="naiskr"/>
              <w:spacing w:before="0" w:after="0"/>
              <w:jc w:val="both"/>
              <w:rPr>
                <w:i/>
                <w:sz w:val="26"/>
                <w:szCs w:val="26"/>
                <w:lang w:eastAsia="en-US"/>
              </w:rPr>
            </w:pPr>
            <w:r w:rsidRPr="00C74ABA">
              <w:rPr>
                <w:i/>
                <w:sz w:val="26"/>
                <w:szCs w:val="26"/>
                <w:lang w:eastAsia="en-US"/>
              </w:rPr>
              <w:t xml:space="preserve">Komisijas Regulas </w:t>
            </w:r>
            <w:proofErr w:type="spellStart"/>
            <w:r w:rsidRPr="00C74ABA">
              <w:rPr>
                <w:i/>
                <w:sz w:val="26"/>
                <w:szCs w:val="26"/>
                <w:lang w:eastAsia="en-US"/>
              </w:rPr>
              <w:t>Nr</w:t>
            </w:r>
            <w:proofErr w:type="spellEnd"/>
            <w:r w:rsidRPr="00C74ABA">
              <w:rPr>
                <w:i/>
                <w:sz w:val="26"/>
                <w:szCs w:val="26"/>
                <w:lang w:eastAsia="en-US"/>
              </w:rPr>
              <w:t>.</w:t>
            </w:r>
            <w:r w:rsidRPr="00C74ABA">
              <w:rPr>
                <w:sz w:val="26"/>
                <w:szCs w:val="26"/>
              </w:rPr>
              <w:t xml:space="preserve"> GBER/2014</w:t>
            </w:r>
            <w:r w:rsidRPr="00C74ABA">
              <w:rPr>
                <w:i/>
                <w:sz w:val="26"/>
                <w:szCs w:val="26"/>
                <w:lang w:eastAsia="en-US"/>
              </w:rPr>
              <w:t>. 8.pants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860FE2" w:rsidRPr="00C74ABA" w:rsidRDefault="00860FE2" w:rsidP="00860FE2">
            <w:pPr>
              <w:pStyle w:val="naiskr"/>
              <w:spacing w:before="0" w:after="0"/>
              <w:jc w:val="both"/>
              <w:rPr>
                <w:i/>
                <w:sz w:val="26"/>
                <w:szCs w:val="26"/>
                <w:lang w:eastAsia="en-US"/>
              </w:rPr>
            </w:pPr>
            <w:r w:rsidRPr="00C74ABA">
              <w:rPr>
                <w:b/>
                <w:i/>
                <w:sz w:val="26"/>
                <w:szCs w:val="26"/>
                <w:lang w:eastAsia="en-US"/>
              </w:rPr>
              <w:t xml:space="preserve">Noteikumu projekta 1.10.apakšpunkts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i/>
                <w:sz w:val="26"/>
                <w:szCs w:val="26"/>
                <w:lang w:eastAsia="en-US"/>
              </w:rPr>
            </w:pPr>
            <w:r w:rsidRPr="00C74ABA">
              <w:rPr>
                <w:i/>
                <w:sz w:val="26"/>
                <w:szCs w:val="26"/>
                <w:lang w:eastAsia="en-US"/>
              </w:rPr>
              <w:t>neparedz stingrākas prasības</w:t>
            </w:r>
          </w:p>
        </w:tc>
      </w:tr>
      <w:tr w:rsidR="00860FE2" w:rsidRPr="00C74ABA" w:rsidTr="00BF40AE">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b/>
                <w:i/>
                <w:sz w:val="26"/>
                <w:szCs w:val="26"/>
                <w:lang w:eastAsia="en-US"/>
              </w:rPr>
            </w:pPr>
            <w:r w:rsidRPr="00C74ABA">
              <w:rPr>
                <w:b/>
                <w:i/>
                <w:sz w:val="26"/>
                <w:szCs w:val="26"/>
                <w:lang w:eastAsia="en-US"/>
              </w:rPr>
              <w:t xml:space="preserve">Komisijas Regulas </w:t>
            </w:r>
            <w:proofErr w:type="spellStart"/>
            <w:r w:rsidRPr="00C74ABA">
              <w:rPr>
                <w:b/>
                <w:i/>
                <w:sz w:val="26"/>
                <w:szCs w:val="26"/>
                <w:lang w:eastAsia="en-US"/>
              </w:rPr>
              <w:t>Nr</w:t>
            </w:r>
            <w:proofErr w:type="spellEnd"/>
            <w:r w:rsidRPr="00C74ABA">
              <w:rPr>
                <w:b/>
                <w:i/>
                <w:sz w:val="26"/>
                <w:szCs w:val="26"/>
                <w:lang w:eastAsia="en-US"/>
              </w:rPr>
              <w:t>.</w:t>
            </w:r>
            <w:r w:rsidRPr="00C74ABA">
              <w:rPr>
                <w:b/>
                <w:sz w:val="26"/>
                <w:szCs w:val="26"/>
              </w:rPr>
              <w:t xml:space="preserve"> GBER/2014</w:t>
            </w:r>
            <w:r w:rsidRPr="00C74ABA">
              <w:rPr>
                <w:b/>
                <w:i/>
                <w:sz w:val="26"/>
                <w:szCs w:val="26"/>
                <w:lang w:eastAsia="en-US"/>
              </w:rPr>
              <w:t>. 6.panta 2.punkts</w:t>
            </w:r>
          </w:p>
        </w:tc>
        <w:tc>
          <w:tcPr>
            <w:tcW w:w="2096" w:type="dxa"/>
            <w:gridSpan w:val="2"/>
            <w:tcBorders>
              <w:top w:val="outset" w:sz="6" w:space="0" w:color="auto"/>
              <w:left w:val="outset" w:sz="6" w:space="0" w:color="auto"/>
              <w:bottom w:val="outset" w:sz="6" w:space="0" w:color="auto"/>
              <w:right w:val="outset" w:sz="6" w:space="0" w:color="auto"/>
            </w:tcBorders>
            <w:vAlign w:val="center"/>
          </w:tcPr>
          <w:p w:rsidR="00EB6D58" w:rsidRPr="00C74ABA" w:rsidRDefault="00860FE2" w:rsidP="00C74ABA">
            <w:pPr>
              <w:pStyle w:val="naiskr"/>
              <w:spacing w:before="0" w:after="0"/>
              <w:jc w:val="both"/>
              <w:rPr>
                <w:b/>
                <w:i/>
                <w:sz w:val="26"/>
                <w:szCs w:val="26"/>
                <w:lang w:eastAsia="en-US"/>
              </w:rPr>
            </w:pPr>
            <w:r w:rsidRPr="00C74ABA">
              <w:rPr>
                <w:b/>
                <w:i/>
                <w:sz w:val="26"/>
                <w:szCs w:val="26"/>
                <w:lang w:eastAsia="en-US"/>
              </w:rPr>
              <w:t>Noteikumu projekta 1.1</w:t>
            </w:r>
            <w:r w:rsidR="00EB6D58" w:rsidRPr="00C74ABA">
              <w:rPr>
                <w:b/>
                <w:i/>
                <w:sz w:val="26"/>
                <w:szCs w:val="26"/>
                <w:lang w:eastAsia="en-US"/>
              </w:rPr>
              <w:t>2</w:t>
            </w:r>
            <w:r w:rsidRPr="00C74ABA">
              <w:rPr>
                <w:b/>
                <w:i/>
                <w:sz w:val="26"/>
                <w:szCs w:val="26"/>
                <w:lang w:eastAsia="en-US"/>
              </w:rPr>
              <w:t xml:space="preserve">.apakšpunkts </w:t>
            </w:r>
          </w:p>
        </w:tc>
        <w:tc>
          <w:tcPr>
            <w:tcW w:w="209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b/>
                <w:i/>
                <w:sz w:val="26"/>
                <w:szCs w:val="26"/>
                <w:lang w:eastAsia="en-US"/>
              </w:rPr>
            </w:pPr>
            <w:r w:rsidRPr="00C74ABA">
              <w:rPr>
                <w:b/>
                <w:i/>
                <w:sz w:val="26"/>
                <w:szCs w:val="26"/>
                <w:lang w:eastAsia="en-US"/>
              </w:rPr>
              <w:t>ieviesta pilnībā</w:t>
            </w:r>
          </w:p>
        </w:tc>
        <w:tc>
          <w:tcPr>
            <w:tcW w:w="2646" w:type="dxa"/>
            <w:tcBorders>
              <w:top w:val="outset" w:sz="6" w:space="0" w:color="auto"/>
              <w:left w:val="outset" w:sz="6" w:space="0" w:color="auto"/>
              <w:bottom w:val="outset" w:sz="6" w:space="0" w:color="auto"/>
              <w:right w:val="outset" w:sz="6" w:space="0" w:color="auto"/>
            </w:tcBorders>
            <w:vAlign w:val="center"/>
          </w:tcPr>
          <w:p w:rsidR="00860FE2" w:rsidRPr="00C74ABA" w:rsidRDefault="00860FE2" w:rsidP="00B2268B">
            <w:pPr>
              <w:pStyle w:val="naiskr"/>
              <w:spacing w:before="0" w:after="0"/>
              <w:jc w:val="both"/>
              <w:rPr>
                <w:b/>
                <w:i/>
                <w:sz w:val="26"/>
                <w:szCs w:val="26"/>
                <w:lang w:eastAsia="en-US"/>
              </w:rPr>
            </w:pPr>
            <w:r w:rsidRPr="00C74ABA">
              <w:rPr>
                <w:b/>
                <w:i/>
                <w:sz w:val="26"/>
                <w:szCs w:val="26"/>
                <w:lang w:eastAsia="en-US"/>
              </w:rPr>
              <w:t>neparedz stingrākas prasības</w:t>
            </w:r>
          </w:p>
        </w:tc>
      </w:tr>
      <w:tr w:rsidR="00860FE2" w:rsidRPr="00C74ABA"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860FE2" w:rsidRPr="00C74ABA" w:rsidRDefault="00860FE2"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hideMark/>
          </w:tcPr>
          <w:p w:rsidR="00860FE2" w:rsidRPr="00C74ABA" w:rsidRDefault="00860FE2"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Nav attiecināms.</w:t>
            </w:r>
          </w:p>
        </w:tc>
      </w:tr>
      <w:tr w:rsidR="00860FE2" w:rsidRPr="00C74ABA"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860FE2" w:rsidRPr="00C74ABA" w:rsidRDefault="00860FE2"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92" w:type="dxa"/>
            <w:gridSpan w:val="3"/>
            <w:tcBorders>
              <w:top w:val="outset" w:sz="6" w:space="0" w:color="auto"/>
              <w:left w:val="outset" w:sz="6" w:space="0" w:color="auto"/>
              <w:bottom w:val="outset" w:sz="6" w:space="0" w:color="auto"/>
              <w:right w:val="outset" w:sz="6" w:space="0" w:color="auto"/>
            </w:tcBorders>
            <w:hideMark/>
          </w:tcPr>
          <w:p w:rsidR="00860FE2" w:rsidRPr="00C74ABA" w:rsidRDefault="00860FE2" w:rsidP="00B209F1">
            <w:pPr>
              <w:spacing w:line="240" w:lineRule="auto"/>
              <w:jc w:val="both"/>
              <w:rPr>
                <w:rFonts w:ascii="Times New Roman" w:hAnsi="Times New Roman" w:cs="Times New Roman"/>
                <w:sz w:val="26"/>
                <w:szCs w:val="26"/>
              </w:rPr>
            </w:pPr>
            <w:r w:rsidRPr="00C74ABA">
              <w:rPr>
                <w:rFonts w:ascii="Times New Roman" w:hAnsi="Times New Roman" w:cs="Times New Roman"/>
                <w:sz w:val="26"/>
                <w:szCs w:val="26"/>
              </w:rPr>
              <w:t xml:space="preserve">Par atbalsta programmas grozījumiem saskaņā ar Komisijas Regulas </w:t>
            </w:r>
            <w:proofErr w:type="spellStart"/>
            <w:r w:rsidRPr="00C74ABA">
              <w:rPr>
                <w:rFonts w:ascii="Times New Roman" w:hAnsi="Times New Roman" w:cs="Times New Roman"/>
                <w:sz w:val="26"/>
                <w:szCs w:val="26"/>
              </w:rPr>
              <w:t>Nr.GBER</w:t>
            </w:r>
            <w:proofErr w:type="spellEnd"/>
            <w:r w:rsidRPr="00C74ABA">
              <w:rPr>
                <w:rFonts w:ascii="Times New Roman" w:hAnsi="Times New Roman" w:cs="Times New Roman"/>
                <w:sz w:val="26"/>
                <w:szCs w:val="26"/>
              </w:rPr>
              <w:t>/2014 9.pantu ir jāsagatavo un jāpublicē valsts atbalsta mājas lapā kopsavilkuma informācija.</w:t>
            </w:r>
          </w:p>
          <w:p w:rsidR="00860FE2" w:rsidRPr="00C74ABA" w:rsidRDefault="00860FE2" w:rsidP="00724E14">
            <w:pPr>
              <w:spacing w:line="240" w:lineRule="auto"/>
              <w:jc w:val="both"/>
              <w:rPr>
                <w:rFonts w:ascii="Times New Roman" w:eastAsia="Times New Roman" w:hAnsi="Times New Roman" w:cs="Times New Roman"/>
                <w:b/>
                <w:sz w:val="26"/>
                <w:szCs w:val="26"/>
                <w:lang w:eastAsia="lv-LV"/>
              </w:rPr>
            </w:pPr>
            <w:r w:rsidRPr="00C74ABA">
              <w:rPr>
                <w:rFonts w:ascii="Times New Roman" w:eastAsia="Times New Roman" w:hAnsi="Times New Roman" w:cs="Times New Roman"/>
                <w:b/>
                <w:sz w:val="26"/>
                <w:szCs w:val="26"/>
                <w:lang w:eastAsia="lv-LV"/>
              </w:rPr>
              <w:t xml:space="preserve">Saskaņā ar Komisijas Regulas </w:t>
            </w:r>
            <w:proofErr w:type="spellStart"/>
            <w:r w:rsidRPr="00C74ABA">
              <w:rPr>
                <w:rFonts w:ascii="Times New Roman" w:eastAsia="Times New Roman" w:hAnsi="Times New Roman" w:cs="Times New Roman"/>
                <w:b/>
                <w:sz w:val="26"/>
                <w:szCs w:val="26"/>
                <w:lang w:eastAsia="lv-LV"/>
              </w:rPr>
              <w:t>Nr.GBER</w:t>
            </w:r>
            <w:proofErr w:type="spellEnd"/>
            <w:r w:rsidRPr="00C74ABA">
              <w:rPr>
                <w:rFonts w:ascii="Times New Roman" w:eastAsia="Times New Roman" w:hAnsi="Times New Roman" w:cs="Times New Roman"/>
                <w:b/>
                <w:sz w:val="26"/>
                <w:szCs w:val="26"/>
                <w:lang w:eastAsia="lv-LV"/>
              </w:rPr>
              <w:t>/2014 11.pantu Eiropas Komisijai 20 darba dienu laikā ir jānosūta kopsavilkuma informācija par šo atbalsta pasākumu.</w:t>
            </w:r>
          </w:p>
        </w:tc>
      </w:tr>
      <w:tr w:rsidR="00860FE2" w:rsidRPr="00C74ABA" w:rsidTr="00FD61B5">
        <w:trPr>
          <w:tblCellSpacing w:w="15" w:type="dxa"/>
        </w:trPr>
        <w:tc>
          <w:tcPr>
            <w:tcW w:w="2830" w:type="dxa"/>
            <w:gridSpan w:val="2"/>
            <w:tcBorders>
              <w:top w:val="outset" w:sz="6" w:space="0" w:color="auto"/>
              <w:left w:val="outset" w:sz="6" w:space="0" w:color="auto"/>
              <w:bottom w:val="outset" w:sz="6" w:space="0" w:color="auto"/>
              <w:right w:val="outset" w:sz="6" w:space="0" w:color="auto"/>
            </w:tcBorders>
            <w:hideMark/>
          </w:tcPr>
          <w:p w:rsidR="00860FE2" w:rsidRPr="00C74ABA" w:rsidRDefault="00860FE2"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Cita informācija</w:t>
            </w:r>
          </w:p>
        </w:tc>
        <w:tc>
          <w:tcPr>
            <w:tcW w:w="6292" w:type="dxa"/>
            <w:gridSpan w:val="3"/>
            <w:tcBorders>
              <w:top w:val="outset" w:sz="6" w:space="0" w:color="auto"/>
              <w:left w:val="outset" w:sz="6" w:space="0" w:color="auto"/>
              <w:bottom w:val="outset" w:sz="6" w:space="0" w:color="auto"/>
              <w:right w:val="outset" w:sz="6" w:space="0" w:color="auto"/>
            </w:tcBorders>
            <w:hideMark/>
          </w:tcPr>
          <w:p w:rsidR="00860FE2" w:rsidRPr="00C74ABA" w:rsidRDefault="00860FE2" w:rsidP="00F46334">
            <w:pPr>
              <w:spacing w:line="240" w:lineRule="auto"/>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Nav</w:t>
            </w:r>
          </w:p>
        </w:tc>
      </w:tr>
    </w:tbl>
    <w:p w:rsidR="00956521" w:rsidRPr="00C74ABA" w:rsidRDefault="00956521" w:rsidP="00F46334">
      <w:pPr>
        <w:tabs>
          <w:tab w:val="left" w:pos="7655"/>
        </w:tabs>
        <w:spacing w:line="240" w:lineRule="auto"/>
        <w:jc w:val="both"/>
        <w:rPr>
          <w:rFonts w:ascii="Times New Roman" w:hAnsi="Times New Roman" w:cs="Times New Roman"/>
          <w:bCs/>
          <w:sz w:val="26"/>
          <w:szCs w:val="26"/>
        </w:rPr>
      </w:pPr>
      <w:r w:rsidRPr="00C74ABA">
        <w:rPr>
          <w:rFonts w:ascii="Times New Roman" w:hAnsi="Times New Roman" w:cs="Times New Roman"/>
          <w:bCs/>
          <w:sz w:val="26"/>
          <w:szCs w:val="26"/>
        </w:rPr>
        <w:t xml:space="preserve"> </w:t>
      </w: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C74ABA" w:rsidTr="00E70ADF">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70ADF" w:rsidP="00F46334">
            <w:pPr>
              <w:spacing w:line="240" w:lineRule="auto"/>
              <w:jc w:val="center"/>
              <w:rPr>
                <w:rFonts w:ascii="Times New Roman" w:eastAsia="Times New Roman" w:hAnsi="Times New Roman" w:cs="Times New Roman"/>
                <w:b/>
                <w:sz w:val="26"/>
                <w:szCs w:val="26"/>
                <w:lang w:eastAsia="lv-LV"/>
              </w:rPr>
            </w:pPr>
            <w:r w:rsidRPr="00C74ABA">
              <w:rPr>
                <w:rFonts w:ascii="Times New Roman" w:hAnsi="Times New Roman" w:cs="Times New Roman"/>
                <w:b/>
                <w:bCs/>
                <w:sz w:val="26"/>
                <w:szCs w:val="26"/>
              </w:rPr>
              <w:t>VI. Sabiedrības līdzdalība un komunikācijas aktivitātes</w:t>
            </w:r>
          </w:p>
        </w:tc>
      </w:tr>
      <w:tr w:rsidR="00956521" w:rsidRPr="00C74ABA"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70ADF" w:rsidP="00F46334">
            <w:pPr>
              <w:spacing w:line="240" w:lineRule="auto"/>
              <w:rPr>
                <w:rFonts w:ascii="Times New Roman" w:eastAsia="Times New Roman" w:hAnsi="Times New Roman" w:cs="Times New Roman"/>
                <w:sz w:val="26"/>
                <w:szCs w:val="26"/>
                <w:lang w:eastAsia="lv-LV"/>
              </w:rPr>
            </w:pPr>
            <w:r w:rsidRPr="00C74ABA">
              <w:rPr>
                <w:rFonts w:ascii="Times New Roman" w:hAnsi="Times New Roman" w:cs="Times New Roman"/>
                <w:sz w:val="26"/>
                <w:szCs w:val="26"/>
              </w:rPr>
              <w:t xml:space="preserve">Plānotās sabiedrības līdzdalības un komunikācijas aktivitātes saistībā ar </w:t>
            </w:r>
            <w:r w:rsidRPr="00C74ABA">
              <w:rPr>
                <w:rFonts w:ascii="Times New Roman" w:hAnsi="Times New Roman" w:cs="Times New Roman"/>
                <w:sz w:val="26"/>
                <w:szCs w:val="26"/>
              </w:rPr>
              <w:lastRenderedPageBreak/>
              <w:t>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D677E3" w:rsidP="00F46334">
            <w:pPr>
              <w:spacing w:line="240" w:lineRule="auto"/>
              <w:ind w:left="124"/>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iCs/>
                <w:sz w:val="26"/>
                <w:szCs w:val="26"/>
                <w:lang w:eastAsia="lv-LV"/>
              </w:rPr>
              <w:lastRenderedPageBreak/>
              <w:t xml:space="preserve">Grozījumi ir labvēlīgāki potenciālajiem projektu iesniedzējiem salīdzinājumā ar spēkā esošajiem noteikumiem, tāpēc </w:t>
            </w:r>
            <w:r w:rsidRPr="00C74ABA">
              <w:rPr>
                <w:rFonts w:ascii="Times New Roman" w:eastAsia="Times New Roman" w:hAnsi="Times New Roman" w:cs="Times New Roman"/>
                <w:iCs/>
                <w:sz w:val="26"/>
                <w:szCs w:val="26"/>
                <w:lang w:eastAsia="lv-LV"/>
              </w:rPr>
              <w:lastRenderedPageBreak/>
              <w:t>konsultācijas nebija nepieciešams rīkot.</w:t>
            </w:r>
          </w:p>
        </w:tc>
      </w:tr>
      <w:tr w:rsidR="00956521" w:rsidRPr="00C74ABA" w:rsidTr="00E70ADF">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lastRenderedPageBreak/>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70ADF" w:rsidP="00F46334">
            <w:pPr>
              <w:spacing w:line="240" w:lineRule="auto"/>
              <w:rPr>
                <w:rFonts w:ascii="Times New Roman" w:eastAsia="Times New Roman" w:hAnsi="Times New Roman" w:cs="Times New Roman"/>
                <w:sz w:val="26"/>
                <w:szCs w:val="26"/>
                <w:lang w:eastAsia="lv-LV"/>
              </w:rPr>
            </w:pPr>
            <w:r w:rsidRPr="00C74ABA">
              <w:rPr>
                <w:rFonts w:ascii="Times New Roman" w:hAnsi="Times New Roman" w:cs="Times New Roman"/>
                <w:sz w:val="26"/>
                <w:szCs w:val="26"/>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D677E3" w:rsidP="00F46334">
            <w:pPr>
              <w:spacing w:line="240" w:lineRule="auto"/>
              <w:ind w:left="124"/>
              <w:jc w:val="both"/>
              <w:rPr>
                <w:rFonts w:ascii="Times New Roman" w:eastAsia="Times New Roman" w:hAnsi="Times New Roman" w:cs="Times New Roman"/>
                <w:iCs/>
                <w:sz w:val="26"/>
                <w:szCs w:val="26"/>
                <w:lang w:eastAsia="lv-LV"/>
              </w:rPr>
            </w:pPr>
            <w:r w:rsidRPr="00C74ABA">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956521" w:rsidRPr="00C74ABA" w:rsidTr="00E70ADF">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hAnsi="Times New Roman" w:cs="Times New Roman"/>
                <w:sz w:val="26"/>
                <w:szCs w:val="26"/>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D677E3" w:rsidP="00F46334">
            <w:pPr>
              <w:spacing w:line="240" w:lineRule="auto"/>
              <w:ind w:left="124"/>
              <w:jc w:val="both"/>
              <w:rPr>
                <w:rFonts w:ascii="Times New Roman" w:eastAsia="Times New Roman" w:hAnsi="Times New Roman" w:cs="Times New Roman"/>
                <w:b/>
                <w:sz w:val="26"/>
                <w:szCs w:val="26"/>
                <w:lang w:eastAsia="lv-LV"/>
              </w:rPr>
            </w:pPr>
            <w:r w:rsidRPr="00C74ABA">
              <w:rPr>
                <w:rFonts w:ascii="Times New Roman" w:eastAsia="Times New Roman" w:hAnsi="Times New Roman" w:cs="Times New Roman"/>
                <w:iCs/>
                <w:sz w:val="26"/>
                <w:szCs w:val="26"/>
                <w:lang w:eastAsia="lv-LV"/>
              </w:rPr>
              <w:t>Grozījumi ir labvēlīgāki potenciālajiem projektu iesniedzējiem salīdzinājumā ar spēkā esošajiem noteikumiem, tāpēc konsultācijas nebija nepieciešams rīkot.</w:t>
            </w:r>
          </w:p>
        </w:tc>
      </w:tr>
      <w:tr w:rsidR="00956521" w:rsidRPr="00C74ABA" w:rsidTr="00E70ADF">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70ADF"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4</w:t>
            </w:r>
            <w:r w:rsidR="00956521" w:rsidRPr="00C74ABA">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after="0" w:line="240" w:lineRule="auto"/>
              <w:rPr>
                <w:rFonts w:ascii="Times New Roman" w:eastAsia="Times New Roman" w:hAnsi="Times New Roman" w:cs="Times New Roman"/>
                <w:sz w:val="26"/>
                <w:szCs w:val="26"/>
                <w:lang w:eastAsia="lv-LV"/>
              </w:rPr>
            </w:pPr>
            <w:r w:rsidRPr="00C74ABA">
              <w:rPr>
                <w:rFonts w:ascii="Times New Roman" w:hAnsi="Times New Roman" w:cs="Times New Roman"/>
                <w:sz w:val="26"/>
                <w:szCs w:val="26"/>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E70ADF" w:rsidP="00F46334">
            <w:pPr>
              <w:spacing w:after="0" w:line="240" w:lineRule="auto"/>
              <w:ind w:firstLine="284"/>
              <w:jc w:val="both"/>
              <w:rPr>
                <w:rFonts w:ascii="Times New Roman" w:eastAsia="Times New Roman" w:hAnsi="Times New Roman" w:cs="Times New Roman"/>
                <w:sz w:val="26"/>
                <w:szCs w:val="26"/>
                <w:lang w:eastAsia="lv-LV"/>
              </w:rPr>
            </w:pPr>
            <w:r w:rsidRPr="00C74ABA">
              <w:rPr>
                <w:rFonts w:ascii="Times New Roman" w:eastAsia="Times New Roman" w:hAnsi="Times New Roman" w:cs="Times New Roman"/>
                <w:iCs/>
                <w:sz w:val="26"/>
                <w:szCs w:val="26"/>
                <w:lang w:eastAsia="lv-LV"/>
              </w:rPr>
              <w:t>Nav</w:t>
            </w:r>
          </w:p>
        </w:tc>
      </w:tr>
    </w:tbl>
    <w:p w:rsidR="00956521" w:rsidRPr="00C74ABA" w:rsidRDefault="00956521" w:rsidP="00F46334">
      <w:pPr>
        <w:tabs>
          <w:tab w:val="left" w:pos="7655"/>
        </w:tabs>
        <w:spacing w:line="240" w:lineRule="auto"/>
        <w:jc w:val="both"/>
        <w:rPr>
          <w:rFonts w:ascii="Times New Roman" w:hAnsi="Times New Roman" w:cs="Times New Roman"/>
          <w:bCs/>
          <w:sz w:val="26"/>
          <w:szCs w:val="26"/>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956521" w:rsidRPr="00C74ABA" w:rsidTr="006E5DAC">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jc w:val="center"/>
              <w:rPr>
                <w:rFonts w:ascii="Times New Roman" w:eastAsia="Times New Roman" w:hAnsi="Times New Roman" w:cs="Times New Roman"/>
                <w:b/>
                <w:sz w:val="26"/>
                <w:szCs w:val="26"/>
                <w:lang w:eastAsia="lv-LV"/>
              </w:rPr>
            </w:pPr>
            <w:r w:rsidRPr="00C74ABA">
              <w:rPr>
                <w:rFonts w:ascii="Times New Roman" w:eastAsia="Times New Roman" w:hAnsi="Times New Roman" w:cs="Times New Roman"/>
                <w:b/>
                <w:sz w:val="26"/>
                <w:szCs w:val="26"/>
                <w:lang w:eastAsia="lv-LV"/>
              </w:rPr>
              <w:t>VII. Tiesību akta projekta izpildes nodrošināšana un tās ietekme uz institūcijām</w:t>
            </w:r>
          </w:p>
        </w:tc>
      </w:tr>
      <w:tr w:rsidR="00956521" w:rsidRPr="00C74ABA"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ind w:left="142"/>
              <w:jc w:val="both"/>
              <w:rPr>
                <w:rFonts w:ascii="Times New Roman" w:hAnsi="Times New Roman" w:cs="Times New Roman"/>
                <w:sz w:val="26"/>
                <w:szCs w:val="26"/>
                <w:lang w:eastAsia="lv-LV"/>
              </w:rPr>
            </w:pPr>
            <w:r w:rsidRPr="00C74ABA">
              <w:rPr>
                <w:rFonts w:ascii="Times New Roman" w:hAnsi="Times New Roman" w:cs="Times New Roman"/>
                <w:sz w:val="26"/>
                <w:szCs w:val="26"/>
              </w:rPr>
              <w:t xml:space="preserve">Noteikumu projekta izpildē ir iesaistīta </w:t>
            </w:r>
            <w:r w:rsidR="006A34A8" w:rsidRPr="00C74ABA">
              <w:rPr>
                <w:rFonts w:ascii="Times New Roman" w:hAnsi="Times New Roman" w:cs="Times New Roman"/>
                <w:sz w:val="26"/>
                <w:szCs w:val="26"/>
              </w:rPr>
              <w:t>LIAA</w:t>
            </w:r>
            <w:r w:rsidRPr="00C74ABA">
              <w:rPr>
                <w:rFonts w:ascii="Times New Roman" w:hAnsi="Times New Roman" w:cs="Times New Roman"/>
                <w:sz w:val="26"/>
                <w:szCs w:val="26"/>
              </w:rPr>
              <w:t>.</w:t>
            </w:r>
          </w:p>
        </w:tc>
      </w:tr>
      <w:tr w:rsidR="00956521" w:rsidRPr="00C74ABA"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C2393" w:rsidRPr="00C74ABA" w:rsidRDefault="009C2393"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Projekta izpildes ietekme uz pārvaldes funkcijām un institucionālo struktūru.</w:t>
            </w:r>
          </w:p>
          <w:p w:rsidR="00956521" w:rsidRPr="00C74ABA" w:rsidRDefault="009C2393" w:rsidP="00F46334">
            <w:pPr>
              <w:spacing w:after="0"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ind w:left="142"/>
              <w:jc w:val="both"/>
              <w:rPr>
                <w:rFonts w:ascii="Times New Roman" w:hAnsi="Times New Roman" w:cs="Times New Roman"/>
                <w:sz w:val="26"/>
                <w:szCs w:val="26"/>
              </w:rPr>
            </w:pPr>
            <w:r w:rsidRPr="00C74ABA">
              <w:rPr>
                <w:rFonts w:ascii="Times New Roman" w:hAnsi="Times New Roman" w:cs="Times New Roman"/>
                <w:sz w:val="26"/>
                <w:szCs w:val="26"/>
              </w:rPr>
              <w:t xml:space="preserve">Noteikumu projekta izpildi nodrošinās </w:t>
            </w:r>
            <w:r w:rsidR="006A34A8" w:rsidRPr="00C74ABA">
              <w:rPr>
                <w:rFonts w:ascii="Times New Roman" w:hAnsi="Times New Roman" w:cs="Times New Roman"/>
                <w:sz w:val="26"/>
                <w:szCs w:val="26"/>
              </w:rPr>
              <w:t>LIAA</w:t>
            </w:r>
            <w:r w:rsidRPr="00C74ABA">
              <w:rPr>
                <w:rFonts w:ascii="Times New Roman" w:hAnsi="Times New Roman" w:cs="Times New Roman"/>
                <w:sz w:val="26"/>
                <w:szCs w:val="26"/>
              </w:rPr>
              <w:t xml:space="preserve"> darbības ietvaros.</w:t>
            </w:r>
          </w:p>
        </w:tc>
      </w:tr>
      <w:tr w:rsidR="00956521" w:rsidRPr="00C74ABA" w:rsidTr="006E5DAC">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C2393"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3</w:t>
            </w:r>
            <w:r w:rsidR="00956521" w:rsidRPr="00C74ABA">
              <w:rPr>
                <w:rFonts w:ascii="Times New Roman" w:eastAsia="Times New Roman" w:hAnsi="Times New Roman" w:cs="Times New Roman"/>
                <w:sz w:val="26"/>
                <w:szCs w:val="26"/>
                <w:lang w:eastAsia="lv-LV"/>
              </w:rPr>
              <w:t>.</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56521" w:rsidP="00F46334">
            <w:pPr>
              <w:spacing w:line="240" w:lineRule="auto"/>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956521" w:rsidRPr="00C74ABA" w:rsidRDefault="009C2393" w:rsidP="00F46334">
            <w:pPr>
              <w:spacing w:line="240" w:lineRule="auto"/>
              <w:ind w:firstLine="284"/>
              <w:rPr>
                <w:rFonts w:ascii="Times New Roman" w:eastAsia="Times New Roman" w:hAnsi="Times New Roman" w:cs="Times New Roman"/>
                <w:sz w:val="26"/>
                <w:szCs w:val="26"/>
                <w:lang w:eastAsia="lv-LV"/>
              </w:rPr>
            </w:pPr>
            <w:r w:rsidRPr="00C74ABA">
              <w:rPr>
                <w:rFonts w:ascii="Times New Roman" w:eastAsia="Times New Roman" w:hAnsi="Times New Roman" w:cs="Times New Roman"/>
                <w:sz w:val="26"/>
                <w:szCs w:val="26"/>
                <w:lang w:eastAsia="lv-LV"/>
              </w:rPr>
              <w:t>Nav</w:t>
            </w:r>
          </w:p>
        </w:tc>
      </w:tr>
    </w:tbl>
    <w:p w:rsidR="00433C4D" w:rsidRPr="00C74ABA" w:rsidRDefault="00433C4D" w:rsidP="00F46334">
      <w:pPr>
        <w:tabs>
          <w:tab w:val="left" w:pos="6710"/>
        </w:tabs>
        <w:spacing w:after="0" w:line="240" w:lineRule="auto"/>
        <w:rPr>
          <w:rFonts w:ascii="Times New Roman" w:eastAsia="Times New Roman" w:hAnsi="Times New Roman" w:cs="Times New Roman"/>
          <w:b/>
          <w:sz w:val="26"/>
          <w:szCs w:val="26"/>
          <w:lang w:eastAsia="lv-LV"/>
        </w:rPr>
      </w:pPr>
    </w:p>
    <w:p w:rsidR="006E5DAC" w:rsidRPr="00C74ABA" w:rsidRDefault="006E5DAC" w:rsidP="00F46334">
      <w:pPr>
        <w:tabs>
          <w:tab w:val="left" w:pos="6710"/>
        </w:tabs>
        <w:spacing w:after="0" w:line="240" w:lineRule="auto"/>
        <w:rPr>
          <w:rFonts w:ascii="Times New Roman" w:eastAsia="Times New Roman" w:hAnsi="Times New Roman" w:cs="Times New Roman"/>
          <w:b/>
          <w:sz w:val="26"/>
          <w:szCs w:val="26"/>
          <w:lang w:eastAsia="lv-LV"/>
        </w:rPr>
      </w:pPr>
      <w:r w:rsidRPr="00C74ABA">
        <w:rPr>
          <w:rFonts w:ascii="Times New Roman" w:eastAsia="Times New Roman" w:hAnsi="Times New Roman" w:cs="Times New Roman"/>
          <w:b/>
          <w:sz w:val="26"/>
          <w:szCs w:val="26"/>
          <w:lang w:eastAsia="lv-LV"/>
        </w:rPr>
        <w:t>Anotācijas III. sadaļa - projekts šīs jomas neskar.</w:t>
      </w:r>
    </w:p>
    <w:p w:rsidR="00956521" w:rsidRPr="00C74ABA" w:rsidRDefault="00956521" w:rsidP="00F46334">
      <w:pPr>
        <w:tabs>
          <w:tab w:val="right" w:pos="9071"/>
        </w:tabs>
        <w:spacing w:after="0" w:line="240" w:lineRule="auto"/>
        <w:jc w:val="both"/>
        <w:rPr>
          <w:rFonts w:ascii="Times New Roman" w:eastAsia="Times New Roman" w:hAnsi="Times New Roman" w:cs="Times New Roman"/>
          <w:sz w:val="26"/>
          <w:szCs w:val="26"/>
          <w:lang w:eastAsia="lv-LV"/>
        </w:rPr>
      </w:pPr>
    </w:p>
    <w:p w:rsidR="00B37073" w:rsidRPr="00C74ABA" w:rsidRDefault="00B37073" w:rsidP="00F46334">
      <w:pPr>
        <w:tabs>
          <w:tab w:val="right" w:pos="9071"/>
        </w:tabs>
        <w:spacing w:after="0" w:line="240" w:lineRule="auto"/>
        <w:jc w:val="both"/>
        <w:rPr>
          <w:rFonts w:ascii="Times New Roman" w:hAnsi="Times New Roman" w:cs="Times New Roman"/>
          <w:color w:val="000000" w:themeColor="text1"/>
          <w:sz w:val="26"/>
          <w:szCs w:val="26"/>
        </w:rPr>
      </w:pPr>
      <w:r w:rsidRPr="00C74ABA">
        <w:rPr>
          <w:rFonts w:ascii="Times New Roman" w:hAnsi="Times New Roman" w:cs="Times New Roman"/>
          <w:color w:val="000000" w:themeColor="text1"/>
          <w:sz w:val="26"/>
          <w:szCs w:val="26"/>
        </w:rPr>
        <w:t xml:space="preserve">Ekonomikas ministrs </w:t>
      </w:r>
      <w:r w:rsidRPr="00C74ABA">
        <w:rPr>
          <w:rFonts w:ascii="Times New Roman" w:hAnsi="Times New Roman" w:cs="Times New Roman"/>
          <w:color w:val="000000" w:themeColor="text1"/>
          <w:sz w:val="26"/>
          <w:szCs w:val="26"/>
        </w:rPr>
        <w:tab/>
      </w:r>
      <w:proofErr w:type="spellStart"/>
      <w:r w:rsidR="00E73C53" w:rsidRPr="00C74ABA">
        <w:rPr>
          <w:rFonts w:ascii="Times New Roman" w:hAnsi="Times New Roman" w:cs="Times New Roman"/>
          <w:color w:val="000000" w:themeColor="text1"/>
          <w:sz w:val="26"/>
          <w:szCs w:val="26"/>
        </w:rPr>
        <w:t>V.Dombrovskis</w:t>
      </w:r>
      <w:proofErr w:type="spellEnd"/>
    </w:p>
    <w:p w:rsidR="00956521" w:rsidRDefault="00956521"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26C6B" w:rsidRPr="00C74ABA" w:rsidRDefault="00926C6B" w:rsidP="00F46334">
      <w:pPr>
        <w:keepLines/>
        <w:widowControl w:val="0"/>
        <w:tabs>
          <w:tab w:val="right" w:pos="9071"/>
        </w:tabs>
        <w:spacing w:after="0" w:line="240" w:lineRule="auto"/>
        <w:rPr>
          <w:rFonts w:ascii="Times New Roman" w:eastAsia="Times New Roman" w:hAnsi="Times New Roman" w:cs="Times New Roman"/>
          <w:color w:val="000000" w:themeColor="text1"/>
          <w:sz w:val="26"/>
          <w:szCs w:val="26"/>
          <w:lang w:eastAsia="lv-LV"/>
        </w:rPr>
      </w:pPr>
    </w:p>
    <w:p w:rsidR="00926C6B" w:rsidRPr="00926C6B" w:rsidRDefault="00926C6B" w:rsidP="00926C6B">
      <w:pPr>
        <w:keepLines/>
        <w:widowControl w:val="0"/>
        <w:tabs>
          <w:tab w:val="right" w:pos="9071"/>
        </w:tabs>
        <w:spacing w:after="0" w:line="240" w:lineRule="auto"/>
        <w:rPr>
          <w:rFonts w:ascii="Times New Roman" w:hAnsi="Times New Roman" w:cs="Times New Roman"/>
          <w:color w:val="000000" w:themeColor="text1"/>
          <w:sz w:val="26"/>
          <w:szCs w:val="26"/>
        </w:rPr>
      </w:pPr>
      <w:r w:rsidRPr="00926C6B">
        <w:rPr>
          <w:rFonts w:ascii="Times New Roman" w:hAnsi="Times New Roman" w:cs="Times New Roman"/>
          <w:color w:val="000000" w:themeColor="text1"/>
          <w:sz w:val="26"/>
          <w:szCs w:val="26"/>
        </w:rPr>
        <w:t>Vīza: Valsts sekretāra pienākumu izpildītājs,</w:t>
      </w:r>
    </w:p>
    <w:p w:rsidR="00956521" w:rsidRPr="00C74ABA" w:rsidRDefault="00926C6B" w:rsidP="00926C6B">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926C6B">
        <w:rPr>
          <w:rFonts w:ascii="Times New Roman" w:hAnsi="Times New Roman" w:cs="Times New Roman"/>
          <w:color w:val="000000" w:themeColor="text1"/>
          <w:sz w:val="26"/>
          <w:szCs w:val="26"/>
        </w:rPr>
        <w:t>valsts sekretāra vietnieks</w:t>
      </w:r>
      <w:r w:rsidRPr="00926C6B">
        <w:rPr>
          <w:rFonts w:ascii="Times New Roman" w:hAnsi="Times New Roman" w:cs="Times New Roman"/>
          <w:color w:val="000000" w:themeColor="text1"/>
          <w:sz w:val="26"/>
          <w:szCs w:val="26"/>
        </w:rPr>
        <w:tab/>
        <w:t>J.Spiridonovs</w:t>
      </w:r>
      <w:r w:rsidR="00956521" w:rsidRPr="00C74ABA">
        <w:rPr>
          <w:rFonts w:ascii="Times New Roman" w:eastAsia="Times New Roman" w:hAnsi="Times New Roman" w:cs="Times New Roman"/>
          <w:sz w:val="24"/>
          <w:szCs w:val="24"/>
          <w:lang w:eastAsia="lv-LV"/>
        </w:rPr>
        <w:tab/>
      </w:r>
    </w:p>
    <w:p w:rsidR="00956521" w:rsidRDefault="00956521" w:rsidP="00F46334">
      <w:pPr>
        <w:widowControl w:val="0"/>
        <w:spacing w:after="0" w:line="240" w:lineRule="auto"/>
        <w:jc w:val="both"/>
        <w:rPr>
          <w:rFonts w:ascii="Times New Roman" w:eastAsia="Times New Roman" w:hAnsi="Times New Roman" w:cs="Times New Roman"/>
          <w:sz w:val="20"/>
          <w:szCs w:val="20"/>
        </w:rPr>
      </w:pPr>
    </w:p>
    <w:p w:rsidR="00926C6B" w:rsidRDefault="00926C6B" w:rsidP="00F46334">
      <w:pPr>
        <w:widowControl w:val="0"/>
        <w:spacing w:after="0" w:line="240" w:lineRule="auto"/>
        <w:jc w:val="both"/>
        <w:rPr>
          <w:rFonts w:ascii="Times New Roman" w:eastAsia="Times New Roman" w:hAnsi="Times New Roman" w:cs="Times New Roman"/>
          <w:sz w:val="20"/>
          <w:szCs w:val="20"/>
        </w:rPr>
      </w:pPr>
    </w:p>
    <w:p w:rsidR="00926C6B" w:rsidRPr="00C74ABA" w:rsidRDefault="00926C6B" w:rsidP="00F46334">
      <w:pPr>
        <w:widowControl w:val="0"/>
        <w:spacing w:after="0" w:line="240" w:lineRule="auto"/>
        <w:jc w:val="both"/>
        <w:rPr>
          <w:rFonts w:ascii="Times New Roman" w:eastAsia="Times New Roman" w:hAnsi="Times New Roman" w:cs="Times New Roman"/>
          <w:sz w:val="20"/>
          <w:szCs w:val="20"/>
        </w:rPr>
      </w:pPr>
    </w:p>
    <w:p w:rsidR="006C0BE8" w:rsidRPr="00C74ABA" w:rsidRDefault="001D5D81" w:rsidP="00F46334">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13.06.2014 12:59</w:t>
      </w:r>
      <w:bookmarkStart w:id="9" w:name="_GoBack"/>
      <w:bookmarkEnd w:id="9"/>
    </w:p>
    <w:p w:rsidR="00956521" w:rsidRPr="00C74ABA" w:rsidRDefault="00B92B59" w:rsidP="00F46334">
      <w:pPr>
        <w:widowControl w:val="0"/>
        <w:spacing w:after="0" w:line="240" w:lineRule="auto"/>
        <w:jc w:val="both"/>
        <w:rPr>
          <w:rFonts w:ascii="Times New Roman" w:eastAsia="Times New Roman" w:hAnsi="Times New Roman" w:cs="Times New Roman"/>
          <w:sz w:val="20"/>
          <w:szCs w:val="20"/>
        </w:rPr>
      </w:pPr>
      <w:fldSimple w:instr=" NUMWORDS   \* MERGEFORMAT ">
        <w:r w:rsidR="001D5D81" w:rsidRPr="001D5D81">
          <w:rPr>
            <w:rFonts w:ascii="Times New Roman" w:eastAsia="Times New Roman" w:hAnsi="Times New Roman" w:cs="Times New Roman"/>
            <w:noProof/>
            <w:sz w:val="20"/>
            <w:szCs w:val="20"/>
          </w:rPr>
          <w:t>2500</w:t>
        </w:r>
      </w:fldSimple>
    </w:p>
    <w:p w:rsidR="00956521" w:rsidRPr="00C74ABA" w:rsidRDefault="00433C4D" w:rsidP="00F46334">
      <w:pPr>
        <w:widowControl w:val="0"/>
        <w:spacing w:after="0" w:line="240" w:lineRule="auto"/>
        <w:jc w:val="both"/>
        <w:rPr>
          <w:rFonts w:ascii="Times New Roman" w:eastAsia="Times New Roman" w:hAnsi="Times New Roman" w:cs="Times New Roman"/>
          <w:sz w:val="20"/>
          <w:szCs w:val="20"/>
        </w:rPr>
      </w:pPr>
      <w:r w:rsidRPr="00C74ABA">
        <w:rPr>
          <w:rFonts w:ascii="Times New Roman" w:eastAsia="Times New Roman" w:hAnsi="Times New Roman" w:cs="Times New Roman"/>
          <w:sz w:val="20"/>
          <w:szCs w:val="20"/>
        </w:rPr>
        <w:t>Gatis Silovs</w:t>
      </w:r>
    </w:p>
    <w:p w:rsidR="004F0FF7" w:rsidRDefault="00956521" w:rsidP="003D5573">
      <w:pPr>
        <w:widowControl w:val="0"/>
        <w:spacing w:after="0" w:line="240" w:lineRule="auto"/>
        <w:jc w:val="both"/>
      </w:pPr>
      <w:r w:rsidRPr="00C74ABA">
        <w:rPr>
          <w:rFonts w:ascii="Times New Roman" w:eastAsia="Times New Roman" w:hAnsi="Times New Roman" w:cs="Times New Roman"/>
          <w:sz w:val="20"/>
          <w:szCs w:val="20"/>
        </w:rPr>
        <w:t>67013</w:t>
      </w:r>
      <w:r w:rsidR="00433C4D" w:rsidRPr="00C74ABA">
        <w:rPr>
          <w:rFonts w:ascii="Times New Roman" w:eastAsia="Times New Roman" w:hAnsi="Times New Roman" w:cs="Times New Roman"/>
          <w:sz w:val="20"/>
          <w:szCs w:val="20"/>
        </w:rPr>
        <w:t>209</w:t>
      </w:r>
      <w:r w:rsidRPr="00C74ABA">
        <w:rPr>
          <w:rFonts w:ascii="Times New Roman" w:eastAsia="Times New Roman" w:hAnsi="Times New Roman" w:cs="Times New Roman"/>
          <w:sz w:val="20"/>
          <w:szCs w:val="20"/>
        </w:rPr>
        <w:t xml:space="preserve">, </w:t>
      </w:r>
      <w:r w:rsidR="00433C4D" w:rsidRPr="00C74ABA">
        <w:rPr>
          <w:rFonts w:ascii="Times New Roman" w:eastAsia="Times New Roman" w:hAnsi="Times New Roman" w:cs="Times New Roman"/>
          <w:sz w:val="20"/>
          <w:szCs w:val="20"/>
        </w:rPr>
        <w:t>Gatis.Silovs</w:t>
      </w:r>
      <w:r w:rsidRPr="00C74ABA">
        <w:rPr>
          <w:rFonts w:ascii="Times New Roman" w:eastAsia="Times New Roman" w:hAnsi="Times New Roman" w:cs="Times New Roman"/>
          <w:sz w:val="20"/>
          <w:szCs w:val="20"/>
        </w:rPr>
        <w:t>@em.gov.lv</w:t>
      </w:r>
    </w:p>
    <w:sectPr w:rsidR="004F0FF7" w:rsidSect="00761BA7">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BE4" w:rsidRDefault="00776BE4" w:rsidP="00F06DFF">
      <w:pPr>
        <w:spacing w:after="0" w:line="240" w:lineRule="auto"/>
      </w:pPr>
      <w:r>
        <w:separator/>
      </w:r>
    </w:p>
  </w:endnote>
  <w:endnote w:type="continuationSeparator" w:id="0">
    <w:p w:rsidR="00776BE4" w:rsidRDefault="00776BE4" w:rsidP="00F0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FF" w:rsidRPr="00F06DFF" w:rsidRDefault="00B92B59" w:rsidP="00F06DFF">
    <w:pPr>
      <w:pStyle w:val="BodyText"/>
      <w:rPr>
        <w:noProof/>
        <w:sz w:val="20"/>
      </w:rPr>
    </w:pPr>
    <w:fldSimple w:instr=" FILENAME   \* MERGEFORMAT ">
      <w:r w:rsidR="00C74ABA" w:rsidRPr="00C74ABA">
        <w:rPr>
          <w:noProof/>
          <w:sz w:val="20"/>
        </w:rPr>
        <w:t>EMAnot_130614_groz817</w:t>
      </w:r>
    </w:fldSimple>
    <w:r w:rsidR="00F06DFF" w:rsidRPr="00F06DFF">
      <w:rPr>
        <w:noProof/>
        <w:sz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1" w:rsidRPr="004C3B91" w:rsidRDefault="00B92B59" w:rsidP="004C3B91">
    <w:pPr>
      <w:pStyle w:val="BodyText"/>
      <w:rPr>
        <w:noProof/>
        <w:sz w:val="20"/>
      </w:rPr>
    </w:pPr>
    <w:fldSimple w:instr=" FILENAME   \* MERGEFORMAT ">
      <w:r w:rsidR="00C74ABA" w:rsidRPr="00C74ABA">
        <w:rPr>
          <w:noProof/>
          <w:sz w:val="20"/>
        </w:rPr>
        <w:t>EMAnot_130614_groz817</w:t>
      </w:r>
    </w:fldSimple>
    <w:r w:rsidR="004C3B91" w:rsidRPr="00F06DFF">
      <w:rPr>
        <w:noProof/>
        <w:sz w:val="20"/>
      </w:rPr>
      <w:t>; 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w:t>
    </w:r>
  </w:p>
  <w:p w:rsidR="004C3B91" w:rsidRDefault="004C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BE4" w:rsidRDefault="00776BE4" w:rsidP="00F06DFF">
      <w:pPr>
        <w:spacing w:after="0" w:line="240" w:lineRule="auto"/>
      </w:pPr>
      <w:r>
        <w:separator/>
      </w:r>
    </w:p>
  </w:footnote>
  <w:footnote w:type="continuationSeparator" w:id="0">
    <w:p w:rsidR="00776BE4" w:rsidRDefault="00776BE4" w:rsidP="00F06DFF">
      <w:pPr>
        <w:spacing w:after="0" w:line="240" w:lineRule="auto"/>
      </w:pPr>
      <w:r>
        <w:continuationSeparator/>
      </w:r>
    </w:p>
  </w:footnote>
  <w:footnote w:id="1">
    <w:p w:rsidR="006E0CC8" w:rsidRDefault="006E0CC8" w:rsidP="006E0CC8">
      <w:pPr>
        <w:pStyle w:val="FootnoteText"/>
        <w:jc w:val="left"/>
      </w:pPr>
      <w:r>
        <w:rPr>
          <w:rStyle w:val="FootnoteReference"/>
        </w:rPr>
        <w:footnoteRef/>
      </w:r>
      <w:r>
        <w:t xml:space="preserve"> </w:t>
      </w:r>
      <w:proofErr w:type="spellStart"/>
      <w:r>
        <w:t>Spriedums</w:t>
      </w:r>
      <w:proofErr w:type="spellEnd"/>
      <w:r>
        <w:t xml:space="preserve"> </w:t>
      </w:r>
      <w:proofErr w:type="spellStart"/>
      <w:r>
        <w:t>pieejams</w:t>
      </w:r>
      <w:proofErr w:type="spellEnd"/>
      <w:r>
        <w:t xml:space="preserve">: </w:t>
      </w:r>
      <w:hyperlink r:id="rId1" w:history="1">
        <w:r w:rsidRPr="008C6764">
          <w:rPr>
            <w:rStyle w:val="Hyperlink"/>
          </w:rPr>
          <w:t>http://curia.europa.eu/juris/document/document.jsf?text=&amp;docid=79610&amp;pageIndex=0&amp;doclang=LV&amp;mode=lst&amp;dir=&amp;occ=first&amp;part=1&amp;cid=426027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32169"/>
      <w:docPartObj>
        <w:docPartGallery w:val="Page Numbers (Top of Page)"/>
        <w:docPartUnique/>
      </w:docPartObj>
    </w:sdtPr>
    <w:sdtEndPr>
      <w:rPr>
        <w:noProof/>
      </w:rPr>
    </w:sdtEndPr>
    <w:sdtContent>
      <w:p w:rsidR="00761BA7" w:rsidRDefault="00FD0C76">
        <w:pPr>
          <w:pStyle w:val="Header"/>
          <w:jc w:val="center"/>
        </w:pPr>
        <w:r>
          <w:fldChar w:fldCharType="begin"/>
        </w:r>
        <w:r w:rsidR="00761BA7">
          <w:instrText xml:space="preserve"> PAGE   \* MERGEFORMAT </w:instrText>
        </w:r>
        <w:r>
          <w:fldChar w:fldCharType="separate"/>
        </w:r>
        <w:r w:rsidR="001D5D81">
          <w:rPr>
            <w:noProof/>
          </w:rPr>
          <w:t>11</w:t>
        </w:r>
        <w:r>
          <w:rPr>
            <w:noProof/>
          </w:rPr>
          <w:fldChar w:fldCharType="end"/>
        </w:r>
      </w:p>
    </w:sdtContent>
  </w:sdt>
  <w:p w:rsidR="00761BA7" w:rsidRDefault="0076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21"/>
    <w:rsid w:val="000175C5"/>
    <w:rsid w:val="00022856"/>
    <w:rsid w:val="00025CCB"/>
    <w:rsid w:val="00027B9F"/>
    <w:rsid w:val="000434E1"/>
    <w:rsid w:val="00045E63"/>
    <w:rsid w:val="000535FC"/>
    <w:rsid w:val="00063A17"/>
    <w:rsid w:val="00084109"/>
    <w:rsid w:val="00084905"/>
    <w:rsid w:val="00087EF1"/>
    <w:rsid w:val="00090F37"/>
    <w:rsid w:val="00095AD1"/>
    <w:rsid w:val="00096E62"/>
    <w:rsid w:val="000A0BB3"/>
    <w:rsid w:val="000C356C"/>
    <w:rsid w:val="000D35C1"/>
    <w:rsid w:val="000D79AB"/>
    <w:rsid w:val="000E4428"/>
    <w:rsid w:val="000E6C07"/>
    <w:rsid w:val="00111CE1"/>
    <w:rsid w:val="00125585"/>
    <w:rsid w:val="00126F59"/>
    <w:rsid w:val="001302CD"/>
    <w:rsid w:val="00144724"/>
    <w:rsid w:val="001453FF"/>
    <w:rsid w:val="00145869"/>
    <w:rsid w:val="00161F61"/>
    <w:rsid w:val="0016272F"/>
    <w:rsid w:val="00162E3F"/>
    <w:rsid w:val="00164000"/>
    <w:rsid w:val="00167068"/>
    <w:rsid w:val="00180103"/>
    <w:rsid w:val="0018176E"/>
    <w:rsid w:val="00183287"/>
    <w:rsid w:val="001856E3"/>
    <w:rsid w:val="00185915"/>
    <w:rsid w:val="00185C5D"/>
    <w:rsid w:val="0019293D"/>
    <w:rsid w:val="001B0D2B"/>
    <w:rsid w:val="001B5798"/>
    <w:rsid w:val="001B674B"/>
    <w:rsid w:val="001C24F2"/>
    <w:rsid w:val="001C2F5E"/>
    <w:rsid w:val="001C7116"/>
    <w:rsid w:val="001D1765"/>
    <w:rsid w:val="001D5D81"/>
    <w:rsid w:val="001E2148"/>
    <w:rsid w:val="001E23D0"/>
    <w:rsid w:val="001F3E3C"/>
    <w:rsid w:val="001F6FB8"/>
    <w:rsid w:val="001F75FE"/>
    <w:rsid w:val="00212A9E"/>
    <w:rsid w:val="00214E8F"/>
    <w:rsid w:val="00222C2B"/>
    <w:rsid w:val="00223353"/>
    <w:rsid w:val="00227970"/>
    <w:rsid w:val="0023148C"/>
    <w:rsid w:val="002330B6"/>
    <w:rsid w:val="00235267"/>
    <w:rsid w:val="00237BB9"/>
    <w:rsid w:val="002502FC"/>
    <w:rsid w:val="00250694"/>
    <w:rsid w:val="00252AAE"/>
    <w:rsid w:val="00256C46"/>
    <w:rsid w:val="00257B31"/>
    <w:rsid w:val="0027473F"/>
    <w:rsid w:val="00274A3B"/>
    <w:rsid w:val="00274DD7"/>
    <w:rsid w:val="00282649"/>
    <w:rsid w:val="002850CE"/>
    <w:rsid w:val="00285E59"/>
    <w:rsid w:val="00286635"/>
    <w:rsid w:val="00291089"/>
    <w:rsid w:val="00292581"/>
    <w:rsid w:val="00293CD1"/>
    <w:rsid w:val="00297F3D"/>
    <w:rsid w:val="002A33E2"/>
    <w:rsid w:val="002A3CAA"/>
    <w:rsid w:val="002A7578"/>
    <w:rsid w:val="002C0402"/>
    <w:rsid w:val="002C10C4"/>
    <w:rsid w:val="002C6A8C"/>
    <w:rsid w:val="002D08E4"/>
    <w:rsid w:val="002D69B8"/>
    <w:rsid w:val="002D7BE6"/>
    <w:rsid w:val="002F0410"/>
    <w:rsid w:val="002F3E86"/>
    <w:rsid w:val="00301499"/>
    <w:rsid w:val="00301E76"/>
    <w:rsid w:val="00302AED"/>
    <w:rsid w:val="00304113"/>
    <w:rsid w:val="003148C8"/>
    <w:rsid w:val="00315BE2"/>
    <w:rsid w:val="00316DE3"/>
    <w:rsid w:val="00331D39"/>
    <w:rsid w:val="00332A03"/>
    <w:rsid w:val="003331A3"/>
    <w:rsid w:val="0033468D"/>
    <w:rsid w:val="00344C9F"/>
    <w:rsid w:val="00346784"/>
    <w:rsid w:val="00353329"/>
    <w:rsid w:val="003579D6"/>
    <w:rsid w:val="00357A5B"/>
    <w:rsid w:val="0036213B"/>
    <w:rsid w:val="003628F4"/>
    <w:rsid w:val="00362C01"/>
    <w:rsid w:val="00364D19"/>
    <w:rsid w:val="0036603C"/>
    <w:rsid w:val="00375DE8"/>
    <w:rsid w:val="00381402"/>
    <w:rsid w:val="00382E2E"/>
    <w:rsid w:val="003844CE"/>
    <w:rsid w:val="00384DD1"/>
    <w:rsid w:val="003862D1"/>
    <w:rsid w:val="00387417"/>
    <w:rsid w:val="003B4D59"/>
    <w:rsid w:val="003D1E09"/>
    <w:rsid w:val="003D5573"/>
    <w:rsid w:val="003D7CB6"/>
    <w:rsid w:val="003E0121"/>
    <w:rsid w:val="003E0E54"/>
    <w:rsid w:val="003E7629"/>
    <w:rsid w:val="003F0F46"/>
    <w:rsid w:val="003F2794"/>
    <w:rsid w:val="003F2A4E"/>
    <w:rsid w:val="003F3D71"/>
    <w:rsid w:val="003F5419"/>
    <w:rsid w:val="00400A62"/>
    <w:rsid w:val="00405A42"/>
    <w:rsid w:val="00410655"/>
    <w:rsid w:val="00415FB0"/>
    <w:rsid w:val="0042283C"/>
    <w:rsid w:val="00422CBF"/>
    <w:rsid w:val="00422CCA"/>
    <w:rsid w:val="0042526D"/>
    <w:rsid w:val="00432CC5"/>
    <w:rsid w:val="00433C4D"/>
    <w:rsid w:val="00434CCA"/>
    <w:rsid w:val="004352DB"/>
    <w:rsid w:val="00441805"/>
    <w:rsid w:val="00443EBE"/>
    <w:rsid w:val="0045253D"/>
    <w:rsid w:val="004620BE"/>
    <w:rsid w:val="004642C2"/>
    <w:rsid w:val="00472F17"/>
    <w:rsid w:val="004901C4"/>
    <w:rsid w:val="00491FDB"/>
    <w:rsid w:val="004973F4"/>
    <w:rsid w:val="004A3D68"/>
    <w:rsid w:val="004A530C"/>
    <w:rsid w:val="004A5CBA"/>
    <w:rsid w:val="004A7562"/>
    <w:rsid w:val="004B003E"/>
    <w:rsid w:val="004B50C9"/>
    <w:rsid w:val="004C1EE7"/>
    <w:rsid w:val="004C2B3E"/>
    <w:rsid w:val="004C3B91"/>
    <w:rsid w:val="004C5A10"/>
    <w:rsid w:val="004E16CF"/>
    <w:rsid w:val="004F0FF7"/>
    <w:rsid w:val="004F1699"/>
    <w:rsid w:val="004F3D1E"/>
    <w:rsid w:val="004F429C"/>
    <w:rsid w:val="004F5172"/>
    <w:rsid w:val="004F7686"/>
    <w:rsid w:val="0050657E"/>
    <w:rsid w:val="00507B8A"/>
    <w:rsid w:val="00507F17"/>
    <w:rsid w:val="00510E8A"/>
    <w:rsid w:val="005172FE"/>
    <w:rsid w:val="005173F5"/>
    <w:rsid w:val="005174D6"/>
    <w:rsid w:val="00517FAC"/>
    <w:rsid w:val="005204C4"/>
    <w:rsid w:val="005208CF"/>
    <w:rsid w:val="00532A80"/>
    <w:rsid w:val="00534C99"/>
    <w:rsid w:val="00542985"/>
    <w:rsid w:val="0055170F"/>
    <w:rsid w:val="00552FD7"/>
    <w:rsid w:val="00554480"/>
    <w:rsid w:val="005559C6"/>
    <w:rsid w:val="0056352C"/>
    <w:rsid w:val="00564F8D"/>
    <w:rsid w:val="0056686B"/>
    <w:rsid w:val="00566D1E"/>
    <w:rsid w:val="00573B04"/>
    <w:rsid w:val="00575F0F"/>
    <w:rsid w:val="005779FD"/>
    <w:rsid w:val="00582578"/>
    <w:rsid w:val="005878A6"/>
    <w:rsid w:val="00593807"/>
    <w:rsid w:val="005963AB"/>
    <w:rsid w:val="005A6FC9"/>
    <w:rsid w:val="005A7558"/>
    <w:rsid w:val="005B6C90"/>
    <w:rsid w:val="005C00CE"/>
    <w:rsid w:val="005C0EF0"/>
    <w:rsid w:val="005C2BA7"/>
    <w:rsid w:val="005C3A11"/>
    <w:rsid w:val="005D0CA5"/>
    <w:rsid w:val="005D4BEA"/>
    <w:rsid w:val="005E25FB"/>
    <w:rsid w:val="005E5990"/>
    <w:rsid w:val="005F1EA0"/>
    <w:rsid w:val="00616A7E"/>
    <w:rsid w:val="00617D30"/>
    <w:rsid w:val="00621E2E"/>
    <w:rsid w:val="00622B88"/>
    <w:rsid w:val="00630DBD"/>
    <w:rsid w:val="00632014"/>
    <w:rsid w:val="006354F3"/>
    <w:rsid w:val="006378A4"/>
    <w:rsid w:val="00641C3C"/>
    <w:rsid w:val="00643A28"/>
    <w:rsid w:val="00644FDB"/>
    <w:rsid w:val="00645ADA"/>
    <w:rsid w:val="00646CFE"/>
    <w:rsid w:val="006478DC"/>
    <w:rsid w:val="00675544"/>
    <w:rsid w:val="00677123"/>
    <w:rsid w:val="00684011"/>
    <w:rsid w:val="00685A1B"/>
    <w:rsid w:val="0068644B"/>
    <w:rsid w:val="0069147A"/>
    <w:rsid w:val="00696521"/>
    <w:rsid w:val="006A25F4"/>
    <w:rsid w:val="006A34A8"/>
    <w:rsid w:val="006A478F"/>
    <w:rsid w:val="006B2006"/>
    <w:rsid w:val="006B4925"/>
    <w:rsid w:val="006B6A56"/>
    <w:rsid w:val="006B7130"/>
    <w:rsid w:val="006C0BE8"/>
    <w:rsid w:val="006C524B"/>
    <w:rsid w:val="006C59C2"/>
    <w:rsid w:val="006C6AF8"/>
    <w:rsid w:val="006D0708"/>
    <w:rsid w:val="006D1F0B"/>
    <w:rsid w:val="006D340D"/>
    <w:rsid w:val="006E0CC8"/>
    <w:rsid w:val="006E11E0"/>
    <w:rsid w:val="006E18CE"/>
    <w:rsid w:val="006E5DAC"/>
    <w:rsid w:val="006F0947"/>
    <w:rsid w:val="006F0EDD"/>
    <w:rsid w:val="006F4E6B"/>
    <w:rsid w:val="00702713"/>
    <w:rsid w:val="00707449"/>
    <w:rsid w:val="007075BA"/>
    <w:rsid w:val="00716194"/>
    <w:rsid w:val="0072351A"/>
    <w:rsid w:val="00724E14"/>
    <w:rsid w:val="007328AC"/>
    <w:rsid w:val="00733A40"/>
    <w:rsid w:val="00735121"/>
    <w:rsid w:val="00761BA7"/>
    <w:rsid w:val="007621AF"/>
    <w:rsid w:val="00762B97"/>
    <w:rsid w:val="00766382"/>
    <w:rsid w:val="0077200C"/>
    <w:rsid w:val="00772951"/>
    <w:rsid w:val="00776BE4"/>
    <w:rsid w:val="007815DB"/>
    <w:rsid w:val="007853CA"/>
    <w:rsid w:val="0079114E"/>
    <w:rsid w:val="0079464E"/>
    <w:rsid w:val="007950AF"/>
    <w:rsid w:val="007A0D2B"/>
    <w:rsid w:val="007A0E08"/>
    <w:rsid w:val="007B5144"/>
    <w:rsid w:val="007B66D4"/>
    <w:rsid w:val="007C20C9"/>
    <w:rsid w:val="007C297F"/>
    <w:rsid w:val="007C2CB1"/>
    <w:rsid w:val="007C4AAF"/>
    <w:rsid w:val="007C6BD2"/>
    <w:rsid w:val="007C74A9"/>
    <w:rsid w:val="007C76EA"/>
    <w:rsid w:val="007F0F10"/>
    <w:rsid w:val="007F5613"/>
    <w:rsid w:val="007F749B"/>
    <w:rsid w:val="00800DFD"/>
    <w:rsid w:val="0080254B"/>
    <w:rsid w:val="0080373A"/>
    <w:rsid w:val="00807CE6"/>
    <w:rsid w:val="00815533"/>
    <w:rsid w:val="0082054A"/>
    <w:rsid w:val="008223C1"/>
    <w:rsid w:val="00825AC0"/>
    <w:rsid w:val="00840835"/>
    <w:rsid w:val="0084243F"/>
    <w:rsid w:val="00842E1E"/>
    <w:rsid w:val="0084639A"/>
    <w:rsid w:val="00846879"/>
    <w:rsid w:val="00847F41"/>
    <w:rsid w:val="0086083A"/>
    <w:rsid w:val="00860FE2"/>
    <w:rsid w:val="00872B3A"/>
    <w:rsid w:val="00874597"/>
    <w:rsid w:val="00874F39"/>
    <w:rsid w:val="00877CC0"/>
    <w:rsid w:val="00882A85"/>
    <w:rsid w:val="00885AB9"/>
    <w:rsid w:val="00890526"/>
    <w:rsid w:val="00892CAF"/>
    <w:rsid w:val="00897236"/>
    <w:rsid w:val="00897E52"/>
    <w:rsid w:val="008A1411"/>
    <w:rsid w:val="008A42EA"/>
    <w:rsid w:val="008A4D73"/>
    <w:rsid w:val="008B075B"/>
    <w:rsid w:val="008B1C88"/>
    <w:rsid w:val="008B356F"/>
    <w:rsid w:val="008B39B9"/>
    <w:rsid w:val="008C07A9"/>
    <w:rsid w:val="008C3106"/>
    <w:rsid w:val="008C4D5D"/>
    <w:rsid w:val="008D29D7"/>
    <w:rsid w:val="008D4725"/>
    <w:rsid w:val="008D5D28"/>
    <w:rsid w:val="008E56DF"/>
    <w:rsid w:val="008E5CB2"/>
    <w:rsid w:val="008F6379"/>
    <w:rsid w:val="008F73BC"/>
    <w:rsid w:val="008F7E7A"/>
    <w:rsid w:val="00901963"/>
    <w:rsid w:val="00906FB3"/>
    <w:rsid w:val="00907FD4"/>
    <w:rsid w:val="009105D1"/>
    <w:rsid w:val="00911681"/>
    <w:rsid w:val="009159B7"/>
    <w:rsid w:val="009171A9"/>
    <w:rsid w:val="009178FB"/>
    <w:rsid w:val="00923D6F"/>
    <w:rsid w:val="00925BB7"/>
    <w:rsid w:val="00926C6B"/>
    <w:rsid w:val="00931ABE"/>
    <w:rsid w:val="0093309D"/>
    <w:rsid w:val="00934CE6"/>
    <w:rsid w:val="00941F56"/>
    <w:rsid w:val="009466AE"/>
    <w:rsid w:val="00952597"/>
    <w:rsid w:val="00954A12"/>
    <w:rsid w:val="00956521"/>
    <w:rsid w:val="00960458"/>
    <w:rsid w:val="00963898"/>
    <w:rsid w:val="00971C09"/>
    <w:rsid w:val="009737B2"/>
    <w:rsid w:val="00984978"/>
    <w:rsid w:val="0098728D"/>
    <w:rsid w:val="00991DD8"/>
    <w:rsid w:val="00995660"/>
    <w:rsid w:val="009B21BC"/>
    <w:rsid w:val="009B3484"/>
    <w:rsid w:val="009B57BC"/>
    <w:rsid w:val="009C201E"/>
    <w:rsid w:val="009C2393"/>
    <w:rsid w:val="009D0B8E"/>
    <w:rsid w:val="009D1949"/>
    <w:rsid w:val="009D7BC2"/>
    <w:rsid w:val="009E334E"/>
    <w:rsid w:val="009F34F1"/>
    <w:rsid w:val="009F7B5F"/>
    <w:rsid w:val="00A07E67"/>
    <w:rsid w:val="00A15ADB"/>
    <w:rsid w:val="00A41781"/>
    <w:rsid w:val="00A42985"/>
    <w:rsid w:val="00A50CD6"/>
    <w:rsid w:val="00A5346D"/>
    <w:rsid w:val="00A57342"/>
    <w:rsid w:val="00A57451"/>
    <w:rsid w:val="00A66EEE"/>
    <w:rsid w:val="00A75212"/>
    <w:rsid w:val="00A761A1"/>
    <w:rsid w:val="00A7789E"/>
    <w:rsid w:val="00A81F61"/>
    <w:rsid w:val="00A90A2A"/>
    <w:rsid w:val="00A9225E"/>
    <w:rsid w:val="00AA7858"/>
    <w:rsid w:val="00AB3851"/>
    <w:rsid w:val="00AB4000"/>
    <w:rsid w:val="00AC008D"/>
    <w:rsid w:val="00AD24E8"/>
    <w:rsid w:val="00AD5AF5"/>
    <w:rsid w:val="00AE7A4D"/>
    <w:rsid w:val="00AF482E"/>
    <w:rsid w:val="00AF5F31"/>
    <w:rsid w:val="00AF68C3"/>
    <w:rsid w:val="00B03E6E"/>
    <w:rsid w:val="00B07A66"/>
    <w:rsid w:val="00B17CE3"/>
    <w:rsid w:val="00B209F1"/>
    <w:rsid w:val="00B23652"/>
    <w:rsid w:val="00B24D42"/>
    <w:rsid w:val="00B259F4"/>
    <w:rsid w:val="00B2719B"/>
    <w:rsid w:val="00B30B20"/>
    <w:rsid w:val="00B31D53"/>
    <w:rsid w:val="00B353A8"/>
    <w:rsid w:val="00B37073"/>
    <w:rsid w:val="00B40B66"/>
    <w:rsid w:val="00B466E4"/>
    <w:rsid w:val="00B558DD"/>
    <w:rsid w:val="00B64500"/>
    <w:rsid w:val="00B65422"/>
    <w:rsid w:val="00B71C0C"/>
    <w:rsid w:val="00B73307"/>
    <w:rsid w:val="00B73ED6"/>
    <w:rsid w:val="00B90F3C"/>
    <w:rsid w:val="00B92B59"/>
    <w:rsid w:val="00B9489F"/>
    <w:rsid w:val="00B964F3"/>
    <w:rsid w:val="00BA115E"/>
    <w:rsid w:val="00BA345C"/>
    <w:rsid w:val="00BA48C1"/>
    <w:rsid w:val="00BA52B5"/>
    <w:rsid w:val="00BA62C4"/>
    <w:rsid w:val="00BA7F94"/>
    <w:rsid w:val="00BB2517"/>
    <w:rsid w:val="00BC1DBC"/>
    <w:rsid w:val="00BC5E9B"/>
    <w:rsid w:val="00BD12D7"/>
    <w:rsid w:val="00BE5EB7"/>
    <w:rsid w:val="00BE7B79"/>
    <w:rsid w:val="00BF192F"/>
    <w:rsid w:val="00BF40AE"/>
    <w:rsid w:val="00BF4286"/>
    <w:rsid w:val="00BF479E"/>
    <w:rsid w:val="00BF6D15"/>
    <w:rsid w:val="00BF6E65"/>
    <w:rsid w:val="00C11456"/>
    <w:rsid w:val="00C34A77"/>
    <w:rsid w:val="00C51FC9"/>
    <w:rsid w:val="00C52871"/>
    <w:rsid w:val="00C53CC1"/>
    <w:rsid w:val="00C54652"/>
    <w:rsid w:val="00C56FDE"/>
    <w:rsid w:val="00C67403"/>
    <w:rsid w:val="00C733A8"/>
    <w:rsid w:val="00C74ABA"/>
    <w:rsid w:val="00C74B27"/>
    <w:rsid w:val="00C7776C"/>
    <w:rsid w:val="00C81846"/>
    <w:rsid w:val="00C863A5"/>
    <w:rsid w:val="00C9049E"/>
    <w:rsid w:val="00C91AEE"/>
    <w:rsid w:val="00CA105E"/>
    <w:rsid w:val="00CA11C6"/>
    <w:rsid w:val="00CA14D1"/>
    <w:rsid w:val="00CA6DB5"/>
    <w:rsid w:val="00CA731C"/>
    <w:rsid w:val="00CB03CE"/>
    <w:rsid w:val="00CB3AED"/>
    <w:rsid w:val="00CC1123"/>
    <w:rsid w:val="00CC605C"/>
    <w:rsid w:val="00CC6FFD"/>
    <w:rsid w:val="00CE759F"/>
    <w:rsid w:val="00CF3514"/>
    <w:rsid w:val="00CF4B1B"/>
    <w:rsid w:val="00D0643B"/>
    <w:rsid w:val="00D10A55"/>
    <w:rsid w:val="00D22C9B"/>
    <w:rsid w:val="00D27D3C"/>
    <w:rsid w:val="00D323E4"/>
    <w:rsid w:val="00D36FE6"/>
    <w:rsid w:val="00D402F0"/>
    <w:rsid w:val="00D404CD"/>
    <w:rsid w:val="00D44777"/>
    <w:rsid w:val="00D468CB"/>
    <w:rsid w:val="00D554F2"/>
    <w:rsid w:val="00D57DCD"/>
    <w:rsid w:val="00D62115"/>
    <w:rsid w:val="00D677E3"/>
    <w:rsid w:val="00D67C0B"/>
    <w:rsid w:val="00D70C86"/>
    <w:rsid w:val="00D737CC"/>
    <w:rsid w:val="00D73B05"/>
    <w:rsid w:val="00D8348C"/>
    <w:rsid w:val="00D94EFC"/>
    <w:rsid w:val="00D95010"/>
    <w:rsid w:val="00D96B21"/>
    <w:rsid w:val="00DB2453"/>
    <w:rsid w:val="00DC0357"/>
    <w:rsid w:val="00DC1732"/>
    <w:rsid w:val="00DD4904"/>
    <w:rsid w:val="00DF1770"/>
    <w:rsid w:val="00DF76A3"/>
    <w:rsid w:val="00DF7AC3"/>
    <w:rsid w:val="00DF7FB6"/>
    <w:rsid w:val="00E004F4"/>
    <w:rsid w:val="00E12437"/>
    <w:rsid w:val="00E14C4A"/>
    <w:rsid w:val="00E15026"/>
    <w:rsid w:val="00E165BF"/>
    <w:rsid w:val="00E22C60"/>
    <w:rsid w:val="00E36E30"/>
    <w:rsid w:val="00E40CD4"/>
    <w:rsid w:val="00E43F8D"/>
    <w:rsid w:val="00E47DAD"/>
    <w:rsid w:val="00E51558"/>
    <w:rsid w:val="00E57E29"/>
    <w:rsid w:val="00E61BF4"/>
    <w:rsid w:val="00E70ADF"/>
    <w:rsid w:val="00E70DCB"/>
    <w:rsid w:val="00E729D4"/>
    <w:rsid w:val="00E73C53"/>
    <w:rsid w:val="00E753B6"/>
    <w:rsid w:val="00E76D44"/>
    <w:rsid w:val="00E774EE"/>
    <w:rsid w:val="00E834B7"/>
    <w:rsid w:val="00E83CAB"/>
    <w:rsid w:val="00E97415"/>
    <w:rsid w:val="00EA328E"/>
    <w:rsid w:val="00EB5CDD"/>
    <w:rsid w:val="00EB6D58"/>
    <w:rsid w:val="00EB751B"/>
    <w:rsid w:val="00EC067B"/>
    <w:rsid w:val="00EC34C0"/>
    <w:rsid w:val="00EC4491"/>
    <w:rsid w:val="00EC4D12"/>
    <w:rsid w:val="00EC4F85"/>
    <w:rsid w:val="00EC4FAE"/>
    <w:rsid w:val="00EC6C68"/>
    <w:rsid w:val="00ED3419"/>
    <w:rsid w:val="00EE419A"/>
    <w:rsid w:val="00EE59D4"/>
    <w:rsid w:val="00EF036F"/>
    <w:rsid w:val="00EF0941"/>
    <w:rsid w:val="00EF70EC"/>
    <w:rsid w:val="00F01574"/>
    <w:rsid w:val="00F06DFF"/>
    <w:rsid w:val="00F15D2C"/>
    <w:rsid w:val="00F167B5"/>
    <w:rsid w:val="00F16BFD"/>
    <w:rsid w:val="00F21A5D"/>
    <w:rsid w:val="00F37BFA"/>
    <w:rsid w:val="00F405C3"/>
    <w:rsid w:val="00F46334"/>
    <w:rsid w:val="00F5037D"/>
    <w:rsid w:val="00F51733"/>
    <w:rsid w:val="00F5373C"/>
    <w:rsid w:val="00F574FC"/>
    <w:rsid w:val="00F6391A"/>
    <w:rsid w:val="00F652D0"/>
    <w:rsid w:val="00F70937"/>
    <w:rsid w:val="00F74F8A"/>
    <w:rsid w:val="00F77A2E"/>
    <w:rsid w:val="00F77CD6"/>
    <w:rsid w:val="00F81245"/>
    <w:rsid w:val="00F973CB"/>
    <w:rsid w:val="00F979BE"/>
    <w:rsid w:val="00FA0205"/>
    <w:rsid w:val="00FA1492"/>
    <w:rsid w:val="00FA2E55"/>
    <w:rsid w:val="00FB0EF8"/>
    <w:rsid w:val="00FB44A6"/>
    <w:rsid w:val="00FB703F"/>
    <w:rsid w:val="00FD0C76"/>
    <w:rsid w:val="00FD5A6C"/>
    <w:rsid w:val="00FD61B5"/>
    <w:rsid w:val="00FD7464"/>
    <w:rsid w:val="00FE4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956521"/>
    <w:pPr>
      <w:keepLines/>
      <w:widowControl w:val="0"/>
      <w:spacing w:before="600" w:after="0" w:line="240" w:lineRule="auto"/>
    </w:pPr>
    <w:rPr>
      <w:rFonts w:ascii="Times New Roman" w:eastAsia="Times New Roman" w:hAnsi="Times New Roman" w:cs="Times New Roman"/>
      <w:sz w:val="26"/>
      <w:szCs w:val="20"/>
      <w:lang w:val="en-AU"/>
    </w:rPr>
  </w:style>
  <w:style w:type="paragraph" w:styleId="ListParagraph">
    <w:name w:val="List Paragraph"/>
    <w:basedOn w:val="Normal"/>
    <w:uiPriority w:val="34"/>
    <w:qFormat/>
    <w:rsid w:val="00956521"/>
    <w:pPr>
      <w:ind w:left="720"/>
      <w:contextualSpacing/>
    </w:pPr>
  </w:style>
  <w:style w:type="paragraph" w:customStyle="1" w:styleId="naiskr">
    <w:name w:val="naiskr"/>
    <w:basedOn w:val="Normal"/>
    <w:rsid w:val="00956521"/>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06D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06DFF"/>
  </w:style>
  <w:style w:type="paragraph" w:styleId="Footer">
    <w:name w:val="footer"/>
    <w:basedOn w:val="Normal"/>
    <w:link w:val="FooterChar"/>
    <w:uiPriority w:val="99"/>
    <w:unhideWhenUsed/>
    <w:rsid w:val="00F06D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6DFF"/>
  </w:style>
  <w:style w:type="paragraph" w:styleId="BodyText">
    <w:name w:val="Body Text"/>
    <w:basedOn w:val="Normal"/>
    <w:link w:val="BodyTextChar"/>
    <w:unhideWhenUsed/>
    <w:rsid w:val="00F06DF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F06DFF"/>
    <w:rPr>
      <w:rFonts w:ascii="Times New Roman" w:eastAsia="Times New Roman" w:hAnsi="Times New Roman" w:cs="Times New Roman"/>
      <w:sz w:val="28"/>
      <w:szCs w:val="20"/>
      <w:lang w:eastAsia="lv-LV"/>
    </w:rPr>
  </w:style>
  <w:style w:type="paragraph" w:styleId="FootnoteText">
    <w:name w:val="footnote text"/>
    <w:aliases w:val="Char10,Footnote,Fußnote Char,Fußnote Char Char,Fußnote Char Char Char Char Char Char,Fußnote,-E Fußnotentext,footnote text,Fußnotentext Ursprung,single space,FOOTNOTES,fn,Footnote Text Char2 Char,Footnote Text Char Char1 Char,f"/>
    <w:basedOn w:val="Normal"/>
    <w:link w:val="FootnoteTextChar"/>
    <w:rsid w:val="006B2006"/>
    <w:pPr>
      <w:widowControl w:val="0"/>
      <w:spacing w:after="0" w:line="240" w:lineRule="auto"/>
      <w:ind w:firstLine="720"/>
      <w:jc w:val="both"/>
    </w:pPr>
    <w:rPr>
      <w:rFonts w:ascii="Times New Roman" w:eastAsia="Times New Roman" w:hAnsi="Times New Roman" w:cs="Times New Roman"/>
      <w:sz w:val="20"/>
      <w:szCs w:val="20"/>
      <w:lang w:val="en-AU"/>
    </w:rPr>
  </w:style>
  <w:style w:type="character" w:customStyle="1" w:styleId="FootnoteTextChar">
    <w:name w:val="Footnote Text Char"/>
    <w:aliases w:val="Char10 Char,Footnote Char,Fußnote Char Char1,Fußnote Char Char Char,Fußnote Char Char Char Char Char Char Char,Fußnote Char1,-E Fußnotentext Char,footnote text Char,Fußnotentext Ursprung Char,single space Char,FOOTNOTES Char,fn Char"/>
    <w:basedOn w:val="DefaultParagraphFont"/>
    <w:link w:val="FootnoteText"/>
    <w:rsid w:val="006B2006"/>
    <w:rPr>
      <w:rFonts w:ascii="Times New Roman" w:eastAsia="Times New Roman" w:hAnsi="Times New Roman" w:cs="Times New Roman"/>
      <w:sz w:val="20"/>
      <w:szCs w:val="20"/>
      <w:lang w:val="en-AU"/>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6B2006"/>
    <w:rPr>
      <w:vertAlign w:val="superscript"/>
    </w:rPr>
  </w:style>
  <w:style w:type="paragraph" w:styleId="BalloonText">
    <w:name w:val="Balloon Text"/>
    <w:basedOn w:val="Normal"/>
    <w:link w:val="BalloonTextChar"/>
    <w:uiPriority w:val="99"/>
    <w:semiHidden/>
    <w:unhideWhenUsed/>
    <w:rsid w:val="004C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E7"/>
    <w:rPr>
      <w:rFonts w:ascii="Tahoma" w:hAnsi="Tahoma" w:cs="Tahoma"/>
      <w:sz w:val="16"/>
      <w:szCs w:val="16"/>
    </w:rPr>
  </w:style>
  <w:style w:type="character" w:styleId="CommentReference">
    <w:name w:val="annotation reference"/>
    <w:basedOn w:val="DefaultParagraphFont"/>
    <w:uiPriority w:val="99"/>
    <w:semiHidden/>
    <w:unhideWhenUsed/>
    <w:rsid w:val="00B03E6E"/>
    <w:rPr>
      <w:sz w:val="16"/>
      <w:szCs w:val="16"/>
    </w:rPr>
  </w:style>
  <w:style w:type="paragraph" w:styleId="CommentText">
    <w:name w:val="annotation text"/>
    <w:basedOn w:val="Normal"/>
    <w:link w:val="CommentTextChar"/>
    <w:uiPriority w:val="99"/>
    <w:unhideWhenUsed/>
    <w:rsid w:val="00B03E6E"/>
    <w:pPr>
      <w:spacing w:line="240" w:lineRule="auto"/>
    </w:pPr>
    <w:rPr>
      <w:sz w:val="20"/>
      <w:szCs w:val="20"/>
    </w:rPr>
  </w:style>
  <w:style w:type="character" w:customStyle="1" w:styleId="CommentTextChar">
    <w:name w:val="Comment Text Char"/>
    <w:basedOn w:val="DefaultParagraphFont"/>
    <w:link w:val="CommentText"/>
    <w:uiPriority w:val="99"/>
    <w:rsid w:val="00B03E6E"/>
    <w:rPr>
      <w:sz w:val="20"/>
      <w:szCs w:val="20"/>
    </w:rPr>
  </w:style>
  <w:style w:type="paragraph" w:styleId="CommentSubject">
    <w:name w:val="annotation subject"/>
    <w:basedOn w:val="CommentText"/>
    <w:next w:val="CommentText"/>
    <w:link w:val="CommentSubjectChar"/>
    <w:uiPriority w:val="99"/>
    <w:semiHidden/>
    <w:unhideWhenUsed/>
    <w:rsid w:val="00B03E6E"/>
    <w:rPr>
      <w:b/>
      <w:bCs/>
    </w:rPr>
  </w:style>
  <w:style w:type="character" w:customStyle="1" w:styleId="CommentSubjectChar">
    <w:name w:val="Comment Subject Char"/>
    <w:basedOn w:val="CommentTextChar"/>
    <w:link w:val="CommentSubject"/>
    <w:uiPriority w:val="99"/>
    <w:semiHidden/>
    <w:rsid w:val="00B03E6E"/>
    <w:rPr>
      <w:b/>
      <w:bCs/>
      <w:sz w:val="20"/>
      <w:szCs w:val="20"/>
    </w:rPr>
  </w:style>
  <w:style w:type="character" w:styleId="Hyperlink">
    <w:name w:val="Hyperlink"/>
    <w:basedOn w:val="DefaultParagraphFont"/>
    <w:uiPriority w:val="99"/>
    <w:unhideWhenUsed/>
    <w:rsid w:val="00593807"/>
    <w:rPr>
      <w:color w:val="0000FF" w:themeColor="hyperlink"/>
      <w:u w:val="single"/>
    </w:rPr>
  </w:style>
  <w:style w:type="paragraph" w:customStyle="1" w:styleId="naisc">
    <w:name w:val="naisc"/>
    <w:basedOn w:val="Normal"/>
    <w:rsid w:val="00405A42"/>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279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5072">
      <w:bodyDiv w:val="1"/>
      <w:marLeft w:val="0"/>
      <w:marRight w:val="0"/>
      <w:marTop w:val="0"/>
      <w:marBottom w:val="0"/>
      <w:divBdr>
        <w:top w:val="none" w:sz="0" w:space="0" w:color="auto"/>
        <w:left w:val="none" w:sz="0" w:space="0" w:color="auto"/>
        <w:bottom w:val="none" w:sz="0" w:space="0" w:color="auto"/>
        <w:right w:val="none" w:sz="0" w:space="0" w:color="auto"/>
      </w:divBdr>
    </w:div>
    <w:div w:id="1270702045">
      <w:bodyDiv w:val="1"/>
      <w:marLeft w:val="0"/>
      <w:marRight w:val="0"/>
      <w:marTop w:val="0"/>
      <w:marBottom w:val="0"/>
      <w:divBdr>
        <w:top w:val="none" w:sz="0" w:space="0" w:color="auto"/>
        <w:left w:val="none" w:sz="0" w:space="0" w:color="auto"/>
        <w:bottom w:val="none" w:sz="0" w:space="0" w:color="auto"/>
        <w:right w:val="none" w:sz="0" w:space="0" w:color="auto"/>
      </w:divBdr>
    </w:div>
    <w:div w:id="20933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rapid/press-release_IP-14-408_en.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opa.eu/rapid/press-release_IP-14-587_en.htm" TargetMode="External"/><Relationship Id="rId4" Type="http://schemas.microsoft.com/office/2007/relationships/stylesWithEffects" Target="stylesWithEffects.xml"/><Relationship Id="rId9" Type="http://schemas.openxmlformats.org/officeDocument/2006/relationships/hyperlink" Target="http://curia.europa.eu/juris/document/document.jsf;jsessionid=9ea7d0f130dec30af9558f6f4f119116a6875eb3d380.e34KaxiLc3eQc40LaxqMbN4OaNqSe0?text=&amp;docid=79610&amp;pageIndex=0&amp;doclang=LV&amp;mode=lst&amp;dir=&amp;occ=first&amp;part=1&amp;cid=9770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text=&amp;docid=79610&amp;pageIndex=0&amp;doclang=LV&amp;mode=lst&amp;dir=&amp;occ=first&amp;part=1&amp;cid=426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D904-53A6-4903-A721-B78AE386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11</Pages>
  <Words>2563</Words>
  <Characters>18409</Characters>
  <Application>Microsoft Office Word</Application>
  <DocSecurity>0</DocSecurity>
  <Lines>657</Lines>
  <Paragraphs>192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19.oktobra noteikumos Nr.817 „Noteikumi par darbības programmas „Uzņēmējdarbība un inovācijas” papildinājuma 2.1.2.4.aktivitātes „Augstas pievienotās vērtības investīcijas” projek</vt:lpstr>
    </vt:vector>
  </TitlesOfParts>
  <Company/>
  <LinksUpToDate>false</LinksUpToDate>
  <CharactersWithSpaces>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19.oktobra noteikumos Nr.817 „Noteikumi par darbības programmas „Uzņēmējdarbība un inovācijas” papildinājuma 2.1.2.4.aktivitātes „Augstas pievienotās vērtības investīcijas” projektu iesniegumu atlases otro un turpmākajām kārtām”” sākotnējās ietekmes novērtējuma ziņojums (anotācija)</dc:title>
  <dc:subject>Ministru kabineta noteikumu projekta sākotnējās ietekmes novērtējuma ziņojums (anotācija</dc:subject>
  <dc:creator>Māris Krūmiņš</dc:creator>
  <dc:description>67013126, Māris Krūmiņš</dc:description>
  <cp:lastModifiedBy>Gatis Silovs</cp:lastModifiedBy>
  <cp:revision>283</cp:revision>
  <cp:lastPrinted>2014-02-11T16:24:00Z</cp:lastPrinted>
  <dcterms:created xsi:type="dcterms:W3CDTF">2014-01-31T07:34:00Z</dcterms:created>
  <dcterms:modified xsi:type="dcterms:W3CDTF">2014-06-13T09:59:00Z</dcterms:modified>
</cp:coreProperties>
</file>