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C7" w:rsidRPr="007604F9" w:rsidRDefault="00F31AC7" w:rsidP="00F31AC7">
      <w:pPr>
        <w:contextualSpacing/>
        <w:jc w:val="center"/>
        <w:outlineLvl w:val="0"/>
        <w:rPr>
          <w:b/>
          <w:bCs/>
          <w:color w:val="000000" w:themeColor="text1"/>
        </w:rPr>
      </w:pPr>
      <w:bookmarkStart w:id="0" w:name="OLE_LINK10"/>
      <w:bookmarkStart w:id="1" w:name="OLE_LINK11"/>
      <w:r w:rsidRPr="007604F9">
        <w:rPr>
          <w:b/>
          <w:color w:val="000000" w:themeColor="text1"/>
        </w:rPr>
        <w:t>Ministru kabineta noteikumu projekta „</w:t>
      </w:r>
      <w:bookmarkStart w:id="2" w:name="OLE_LINK13"/>
      <w:bookmarkStart w:id="3" w:name="OLE_LINK14"/>
      <w:r w:rsidRPr="007604F9">
        <w:rPr>
          <w:b/>
          <w:bCs/>
          <w:color w:val="000000" w:themeColor="text1"/>
        </w:rPr>
        <w:t xml:space="preserve">Grozījumi </w:t>
      </w:r>
      <w:r w:rsidRPr="007604F9">
        <w:rPr>
          <w:b/>
          <w:color w:val="000000" w:themeColor="text1"/>
        </w:rPr>
        <w:t>Ministru kabineta 2010. gada 16. marta noteikumos Nr.262 „</w:t>
      </w:r>
      <w:r w:rsidRPr="007604F9">
        <w:rPr>
          <w:b/>
          <w:bCs/>
          <w:color w:val="000000" w:themeColor="text1"/>
        </w:rPr>
        <w:t>Noteikumi par elektroenerģijas ražošanu, izmantojot atjaunojamos energoresursus, un cenu noteikšanas kārtību</w:t>
      </w:r>
      <w:bookmarkEnd w:id="2"/>
      <w:bookmarkEnd w:id="3"/>
      <w:r w:rsidRPr="007604F9">
        <w:rPr>
          <w:b/>
          <w:bCs/>
          <w:color w:val="000000" w:themeColor="text1"/>
        </w:rPr>
        <w:t>””</w:t>
      </w:r>
      <w:r w:rsidRPr="007604F9">
        <w:rPr>
          <w:b/>
          <w:color w:val="000000" w:themeColor="text1"/>
        </w:rPr>
        <w:t xml:space="preserve"> </w:t>
      </w:r>
      <w:r w:rsidRPr="007604F9">
        <w:rPr>
          <w:b/>
          <w:bCs/>
          <w:color w:val="000000" w:themeColor="text1"/>
        </w:rPr>
        <w:t>sākotnējās ietekmes novērtējuma ziņojums (anotācija)</w:t>
      </w:r>
    </w:p>
    <w:tbl>
      <w:tblPr>
        <w:tblpPr w:leftFromText="180" w:rightFromText="180" w:vertAnchor="text" w:horzAnchor="margin" w:tblpXSpec="center" w:tblpY="149"/>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
        <w:gridCol w:w="3138"/>
        <w:gridCol w:w="6037"/>
      </w:tblGrid>
      <w:tr w:rsidR="001C1A2E" w:rsidRPr="00A92F58" w:rsidTr="00AC1F53">
        <w:tc>
          <w:tcPr>
            <w:tcW w:w="9444" w:type="dxa"/>
            <w:gridSpan w:val="3"/>
            <w:vAlign w:val="center"/>
          </w:tcPr>
          <w:bookmarkEnd w:id="0"/>
          <w:bookmarkEnd w:id="1"/>
          <w:p w:rsidR="001C1A2E" w:rsidRPr="00EA2AA3" w:rsidRDefault="001C1A2E" w:rsidP="00790CA8">
            <w:pPr>
              <w:pStyle w:val="naisnod"/>
              <w:spacing w:before="0" w:beforeAutospacing="0" w:after="0" w:afterAutospacing="0"/>
              <w:jc w:val="center"/>
              <w:rPr>
                <w:b/>
                <w:color w:val="000000" w:themeColor="text1"/>
              </w:rPr>
            </w:pPr>
            <w:r w:rsidRPr="00EA2AA3">
              <w:rPr>
                <w:b/>
                <w:color w:val="000000" w:themeColor="text1"/>
              </w:rPr>
              <w:t>I. Tiesību akta projekta izstrādes nepieciešamība</w:t>
            </w:r>
          </w:p>
        </w:tc>
      </w:tr>
      <w:tr w:rsidR="001C1A2E" w:rsidRPr="00A92F58" w:rsidTr="008E1079">
        <w:trPr>
          <w:trHeight w:val="3667"/>
        </w:trPr>
        <w:tc>
          <w:tcPr>
            <w:tcW w:w="269" w:type="dxa"/>
          </w:tcPr>
          <w:p w:rsidR="001C1A2E" w:rsidRPr="00A92F58" w:rsidRDefault="001C1A2E" w:rsidP="00790CA8">
            <w:pPr>
              <w:pStyle w:val="naiskr"/>
              <w:spacing w:before="0" w:beforeAutospacing="0" w:after="0" w:afterAutospacing="0"/>
              <w:jc w:val="center"/>
              <w:rPr>
                <w:color w:val="000000" w:themeColor="text1"/>
              </w:rPr>
            </w:pPr>
            <w:r w:rsidRPr="00A92F58">
              <w:rPr>
                <w:color w:val="000000" w:themeColor="text1"/>
              </w:rPr>
              <w:t>1.</w:t>
            </w:r>
          </w:p>
        </w:tc>
        <w:tc>
          <w:tcPr>
            <w:tcW w:w="3138" w:type="dxa"/>
          </w:tcPr>
          <w:p w:rsidR="001C1A2E" w:rsidRPr="00A92F58" w:rsidRDefault="001C1A2E" w:rsidP="00790CA8">
            <w:pPr>
              <w:pStyle w:val="naiskr"/>
              <w:spacing w:before="0" w:beforeAutospacing="0" w:after="0" w:afterAutospacing="0"/>
              <w:ind w:hanging="10"/>
              <w:rPr>
                <w:color w:val="000000" w:themeColor="text1"/>
              </w:rPr>
            </w:pPr>
            <w:r w:rsidRPr="00A92F58">
              <w:rPr>
                <w:color w:val="000000" w:themeColor="text1"/>
              </w:rPr>
              <w:t>Pamatojums</w:t>
            </w:r>
          </w:p>
        </w:tc>
        <w:tc>
          <w:tcPr>
            <w:tcW w:w="6037" w:type="dxa"/>
          </w:tcPr>
          <w:p w:rsidR="00DC5C95" w:rsidRPr="00F31AC7" w:rsidRDefault="00F31AC7" w:rsidP="00F31AC7">
            <w:pPr>
              <w:contextualSpacing/>
              <w:jc w:val="both"/>
              <w:outlineLvl w:val="0"/>
              <w:rPr>
                <w:bCs/>
                <w:color w:val="000000" w:themeColor="text1"/>
              </w:rPr>
            </w:pPr>
            <w:r w:rsidRPr="00F31AC7">
              <w:rPr>
                <w:color w:val="000000" w:themeColor="text1"/>
              </w:rPr>
              <w:t>Ministru kabineta noteikumu projekts „</w:t>
            </w:r>
            <w:r w:rsidRPr="00F31AC7">
              <w:rPr>
                <w:bCs/>
                <w:color w:val="000000" w:themeColor="text1"/>
              </w:rPr>
              <w:t xml:space="preserve">Grozījumi </w:t>
            </w:r>
            <w:r w:rsidRPr="00F31AC7">
              <w:rPr>
                <w:color w:val="000000" w:themeColor="text1"/>
              </w:rPr>
              <w:t>Ministru kabineta 2010. gada 16. marta noteikumos Nr.262 „</w:t>
            </w:r>
            <w:r w:rsidRPr="00F31AC7">
              <w:rPr>
                <w:bCs/>
                <w:color w:val="000000" w:themeColor="text1"/>
              </w:rPr>
              <w:t>Noteikumi par elektroenerģijas ražošanu, izmantojot atjaunojamos energoresursus, un cenu noteikšanas kārtību””</w:t>
            </w:r>
            <w:r w:rsidRPr="00F31AC7">
              <w:rPr>
                <w:color w:val="000000" w:themeColor="text1"/>
              </w:rPr>
              <w:t xml:space="preserve"> </w:t>
            </w:r>
            <w:r w:rsidR="004024C2" w:rsidRPr="004305E9">
              <w:rPr>
                <w:color w:val="000000" w:themeColor="text1"/>
              </w:rPr>
              <w:t xml:space="preserve">(turpmāk - Ministru kabineta noteikumu projekts) </w:t>
            </w:r>
            <w:r w:rsidR="00DC5C95">
              <w:rPr>
                <w:color w:val="000000" w:themeColor="text1"/>
              </w:rPr>
              <w:t xml:space="preserve">sagatavots, pamatojoties uz </w:t>
            </w:r>
            <w:r w:rsidR="00DC5C95" w:rsidRPr="00DC5C95">
              <w:t>Deklarācijas par Laimdotas Straujumas vadītā Ministru kabineta iecerēto darbību</w:t>
            </w:r>
            <w:r w:rsidR="00DC5C95">
              <w:t xml:space="preserve"> 74. </w:t>
            </w:r>
            <w:r w:rsidR="00C15E77" w:rsidRPr="00F31AC7">
              <w:t>p</w:t>
            </w:r>
            <w:r w:rsidR="00DC5C95" w:rsidRPr="00F31AC7">
              <w:t>unktu</w:t>
            </w:r>
            <w:r w:rsidR="00C15E77" w:rsidRPr="00F31AC7">
              <w:t>, kurā teikts, ka tiks</w:t>
            </w:r>
            <w:r w:rsidR="00DC5C95" w:rsidRPr="00F31AC7">
              <w:t xml:space="preserve"> novērs</w:t>
            </w:r>
            <w:r w:rsidR="00C15E77" w:rsidRPr="00F31AC7">
              <w:t>ti</w:t>
            </w:r>
            <w:r w:rsidR="00DC5C95" w:rsidRPr="00F31AC7">
              <w:t xml:space="preserve"> nepamatot</w:t>
            </w:r>
            <w:r w:rsidR="00C15E77" w:rsidRPr="00F31AC7">
              <w:t>i</w:t>
            </w:r>
            <w:r w:rsidR="00DC5C95" w:rsidRPr="00F31AC7">
              <w:t xml:space="preserve"> enerģijas cenas pieauguma risk</w:t>
            </w:r>
            <w:r w:rsidR="00C15E77" w:rsidRPr="00F31AC7">
              <w:t>i</w:t>
            </w:r>
            <w:r w:rsidR="00DC5C95" w:rsidRPr="00F31AC7">
              <w:t xml:space="preserve"> mājsaimniecībām un ražojošajiem uzņēmumiem</w:t>
            </w:r>
            <w:r w:rsidR="00B87A66" w:rsidRPr="00F31AC7">
              <w:t>.</w:t>
            </w:r>
          </w:p>
          <w:p w:rsidR="001C1A2E" w:rsidRPr="0038787E" w:rsidRDefault="0060359C" w:rsidP="00790CA8">
            <w:pPr>
              <w:pStyle w:val="naiskr"/>
              <w:snapToGrid w:val="0"/>
              <w:spacing w:before="0" w:beforeAutospacing="0" w:after="0" w:afterAutospacing="0"/>
              <w:ind w:right="48"/>
              <w:jc w:val="both"/>
              <w:rPr>
                <w:bCs/>
                <w:color w:val="000000" w:themeColor="text1"/>
              </w:rPr>
            </w:pPr>
            <w:r>
              <w:rPr>
                <w:color w:val="000000"/>
              </w:rPr>
              <w:t>Ministru kabineta 2013. gada 9. aprīļa sēdē izskatītā i</w:t>
            </w:r>
            <w:r w:rsidRPr="009E2E00">
              <w:rPr>
                <w:color w:val="000000"/>
              </w:rPr>
              <w:t>nformatīv</w:t>
            </w:r>
            <w:r>
              <w:rPr>
                <w:color w:val="000000"/>
              </w:rPr>
              <w:t>ā</w:t>
            </w:r>
            <w:r w:rsidRPr="009E2E00">
              <w:rPr>
                <w:color w:val="000000"/>
              </w:rPr>
              <w:t xml:space="preserve"> ziņojum</w:t>
            </w:r>
            <w:r>
              <w:rPr>
                <w:color w:val="000000"/>
              </w:rPr>
              <w:t>a</w:t>
            </w:r>
            <w:r w:rsidRPr="009E2E00">
              <w:rPr>
                <w:color w:val="000000"/>
              </w:rPr>
              <w:t xml:space="preserve"> „Rīcības plāns elektroenerģijas kopējās cenas</w:t>
            </w:r>
            <w:r>
              <w:rPr>
                <w:color w:val="000000"/>
              </w:rPr>
              <w:t xml:space="preserve"> pieauguma risku ierobežošanai”</w:t>
            </w:r>
            <w:r w:rsidRPr="009E2E00">
              <w:rPr>
                <w:color w:val="000000"/>
              </w:rPr>
              <w:t xml:space="preserve"> (TA-683, prot. Nr.18, 35. §)</w:t>
            </w:r>
            <w:r w:rsidR="00C15E77">
              <w:rPr>
                <w:color w:val="000000"/>
              </w:rPr>
              <w:t xml:space="preserve"> (turpmāk - Ziņojums)</w:t>
            </w:r>
            <w:r>
              <w:rPr>
                <w:color w:val="000000"/>
              </w:rPr>
              <w:t xml:space="preserve"> pielikumā Nr.1 1.</w:t>
            </w:r>
            <w:r w:rsidR="008E1079">
              <w:rPr>
                <w:color w:val="000000"/>
              </w:rPr>
              <w:t> </w:t>
            </w:r>
            <w:r>
              <w:rPr>
                <w:color w:val="000000"/>
              </w:rPr>
              <w:t>pasākums</w:t>
            </w:r>
            <w:r w:rsidRPr="009E2E00">
              <w:rPr>
                <w:color w:val="000000"/>
              </w:rPr>
              <w:t xml:space="preserve"> elektroenerģijas kopējās cenas</w:t>
            </w:r>
            <w:r>
              <w:rPr>
                <w:color w:val="000000"/>
              </w:rPr>
              <w:t xml:space="preserve"> pieauguma risku ierobežošanai</w:t>
            </w:r>
            <w:r w:rsidRPr="009E2E00">
              <w:rPr>
                <w:color w:val="000000"/>
              </w:rPr>
              <w:t>.</w:t>
            </w:r>
            <w:r w:rsidRPr="0038787E">
              <w:rPr>
                <w:bCs/>
                <w:color w:val="000000" w:themeColor="text1"/>
              </w:rPr>
              <w:t xml:space="preserve"> </w:t>
            </w:r>
          </w:p>
        </w:tc>
      </w:tr>
      <w:tr w:rsidR="001C1A2E" w:rsidRPr="00A92F58" w:rsidTr="001A3BE3">
        <w:trPr>
          <w:trHeight w:val="1839"/>
        </w:trPr>
        <w:tc>
          <w:tcPr>
            <w:tcW w:w="269" w:type="dxa"/>
          </w:tcPr>
          <w:p w:rsidR="001C1A2E" w:rsidRPr="00A92F58" w:rsidRDefault="001C1A2E" w:rsidP="00790CA8">
            <w:pPr>
              <w:pStyle w:val="naiskr"/>
              <w:spacing w:before="0" w:beforeAutospacing="0" w:after="0" w:afterAutospacing="0"/>
              <w:jc w:val="center"/>
              <w:rPr>
                <w:color w:val="000000" w:themeColor="text1"/>
              </w:rPr>
            </w:pPr>
            <w:r w:rsidRPr="00A92F58">
              <w:rPr>
                <w:color w:val="000000" w:themeColor="text1"/>
              </w:rPr>
              <w:t>2.</w:t>
            </w:r>
          </w:p>
        </w:tc>
        <w:tc>
          <w:tcPr>
            <w:tcW w:w="3138" w:type="dxa"/>
          </w:tcPr>
          <w:p w:rsidR="001C1A2E" w:rsidRPr="00A92F58" w:rsidRDefault="001C1A2E" w:rsidP="00790CA8">
            <w:pPr>
              <w:pStyle w:val="naiskr"/>
              <w:tabs>
                <w:tab w:val="left" w:pos="170"/>
              </w:tabs>
              <w:spacing w:before="0" w:beforeAutospacing="0" w:after="0" w:afterAutospacing="0"/>
              <w:rPr>
                <w:color w:val="000000" w:themeColor="text1"/>
              </w:rPr>
            </w:pPr>
            <w:r w:rsidRPr="00A92F58">
              <w:rPr>
                <w:color w:val="000000" w:themeColor="text1"/>
              </w:rPr>
              <w:t>Pašreizējā situācija un problēmas, kuru risināšanai tiesību akta projekts izstrādāts, tiesiskā regulējuma mērķis un būtība</w:t>
            </w:r>
          </w:p>
        </w:tc>
        <w:tc>
          <w:tcPr>
            <w:tcW w:w="6037" w:type="dxa"/>
          </w:tcPr>
          <w:p w:rsidR="00B87A66" w:rsidRPr="00DF012F" w:rsidRDefault="00B87A66" w:rsidP="00790CA8">
            <w:pPr>
              <w:jc w:val="both"/>
              <w:rPr>
                <w:color w:val="000000" w:themeColor="text1"/>
              </w:rPr>
            </w:pPr>
            <w:r>
              <w:rPr>
                <w:color w:val="000000" w:themeColor="text1"/>
                <w:szCs w:val="28"/>
              </w:rPr>
              <w:t>O</w:t>
            </w:r>
            <w:r w:rsidRPr="00DF012F">
              <w:rPr>
                <w:color w:val="000000" w:themeColor="text1"/>
              </w:rPr>
              <w:t xml:space="preserve">bligātā iepirkuma komponentes (turpmāk – OIK) un elektroenerģijas kopējās cenas turpmāks pieaugums atstās ietekmi uz Latvijas tautsaimniecības konkurētspēju, tajā skaitā pievienotās vērtības radīšanu, </w:t>
            </w:r>
            <w:r w:rsidR="00C15E77">
              <w:rPr>
                <w:color w:val="000000" w:themeColor="text1"/>
              </w:rPr>
              <w:t xml:space="preserve">lai to novērstu, </w:t>
            </w:r>
            <w:r w:rsidRPr="00DF012F">
              <w:rPr>
                <w:color w:val="000000" w:themeColor="text1"/>
              </w:rPr>
              <w:t>nepieciešams ieviest tādas politikas izmaiņas, kas nodrošinātu, ka Latvijā efektīvi apgūst atjaunojamo energoresursu (turpmāk – AER) potenciālu un ražo elektroenerģiju koģenerācijā, kā arī vienlaikus nodrošina ekonomikas attīstību un novērš iedzīvotāju dzīves līmeņa pasliktināšanos. OIK izmaiņas ietekmē vairāki faktori</w:t>
            </w:r>
            <w:r w:rsidR="00C15E77">
              <w:rPr>
                <w:color w:val="000000" w:themeColor="text1"/>
              </w:rPr>
              <w:t>, ar kuriem detalizētāk var iepazīties Ziņojumā</w:t>
            </w:r>
            <w:r w:rsidRPr="00DF012F">
              <w:rPr>
                <w:color w:val="000000" w:themeColor="text1"/>
              </w:rPr>
              <w:t xml:space="preserve"> un viens no </w:t>
            </w:r>
            <w:r w:rsidR="00C15E77">
              <w:rPr>
                <w:color w:val="000000" w:themeColor="text1"/>
              </w:rPr>
              <w:t>ietekmējošajiem faktoriem</w:t>
            </w:r>
            <w:r w:rsidRPr="00DF012F">
              <w:rPr>
                <w:color w:val="000000" w:themeColor="text1"/>
              </w:rPr>
              <w:t xml:space="preserve"> ir dabasgāzes cena. </w:t>
            </w:r>
            <w:r w:rsidR="00C15E77">
              <w:rPr>
                <w:color w:val="000000" w:themeColor="text1"/>
              </w:rPr>
              <w:t>Latvijā t</w:t>
            </w:r>
            <w:r w:rsidRPr="00DF012F">
              <w:rPr>
                <w:color w:val="000000" w:themeColor="text1"/>
              </w:rPr>
              <w:t xml:space="preserve">ā tiek rēķināta atbilstoši iepriekšējo 9 mēnešu mazuta un dīzeļdegvielas kotācijai. Rūpnieciskajiem klientiem dabasgāzes tarifi tiek noteikti katru mēnesi atbilstoši dabasgāzes tirdzniecības cenai. Pēdējos divus gadus dabasgāzes </w:t>
            </w:r>
            <w:r w:rsidR="00C15E77">
              <w:rPr>
                <w:color w:val="000000" w:themeColor="text1"/>
              </w:rPr>
              <w:t xml:space="preserve">tirdzniecības </w:t>
            </w:r>
            <w:r w:rsidRPr="00DF012F">
              <w:rPr>
                <w:color w:val="000000" w:themeColor="text1"/>
              </w:rPr>
              <w:t xml:space="preserve">tarifs ir pakāpeniski pieaudzis, taču sākot ar 2013. gada februāri, ir vērojams neliels cenas kritums. </w:t>
            </w:r>
          </w:p>
          <w:p w:rsidR="00C15E77" w:rsidRDefault="00C15E77" w:rsidP="00790CA8">
            <w:pPr>
              <w:pStyle w:val="Default"/>
              <w:jc w:val="both"/>
              <w:rPr>
                <w:rFonts w:ascii="Times New Roman" w:hAnsi="Times New Roman" w:cs="Times New Roman"/>
              </w:rPr>
            </w:pPr>
          </w:p>
          <w:p w:rsidR="00C15E77" w:rsidRDefault="001A3BE3" w:rsidP="00790CA8">
            <w:pPr>
              <w:pStyle w:val="Default"/>
              <w:jc w:val="both"/>
              <w:rPr>
                <w:rFonts w:ascii="Times New Roman" w:hAnsi="Times New Roman" w:cs="Times New Roman"/>
              </w:rPr>
            </w:pPr>
            <w:r w:rsidRPr="00DF012F">
              <w:rPr>
                <w:rFonts w:ascii="Times New Roman" w:hAnsi="Times New Roman" w:cs="Times New Roman"/>
              </w:rPr>
              <w:t>Sabiedrības ar ierobežotu atbildību „Ekodoma” 2013.</w:t>
            </w:r>
            <w:r w:rsidR="00597319" w:rsidRPr="00DF012F">
              <w:rPr>
                <w:rFonts w:ascii="Times New Roman" w:hAnsi="Times New Roman" w:cs="Times New Roman"/>
              </w:rPr>
              <w:t> </w:t>
            </w:r>
            <w:r w:rsidRPr="00DF012F">
              <w:rPr>
                <w:rFonts w:ascii="Times New Roman" w:hAnsi="Times New Roman" w:cs="Times New Roman"/>
              </w:rPr>
              <w:t>gadā veiktajā</w:t>
            </w:r>
            <w:r w:rsidR="00B87A66" w:rsidRPr="00DF012F">
              <w:rPr>
                <w:rFonts w:ascii="Times New Roman" w:hAnsi="Times New Roman" w:cs="Times New Roman"/>
              </w:rPr>
              <w:t xml:space="preserve"> pētījumā</w:t>
            </w:r>
            <w:r w:rsidR="00B87A66" w:rsidRPr="00DF012F">
              <w:rPr>
                <w:rStyle w:val="FootnoteReference"/>
                <w:rFonts w:ascii="Times New Roman" w:hAnsi="Times New Roman" w:cs="Times New Roman"/>
              </w:rPr>
              <w:footnoteReference w:id="1"/>
            </w:r>
            <w:r w:rsidRPr="00DF012F">
              <w:rPr>
                <w:rFonts w:ascii="Times New Roman" w:hAnsi="Times New Roman" w:cs="Times New Roman"/>
              </w:rPr>
              <w:t xml:space="preserve"> secināts, ka OIK formulu pamatotības izvērtējums rāda, ka</w:t>
            </w:r>
            <w:r w:rsidR="00F0583F">
              <w:rPr>
                <w:rFonts w:ascii="Times New Roman" w:hAnsi="Times New Roman" w:cs="Times New Roman"/>
              </w:rPr>
              <w:t xml:space="preserve"> esošā atbalsta piesaiste dabas</w:t>
            </w:r>
            <w:r w:rsidRPr="00DF012F">
              <w:rPr>
                <w:rFonts w:ascii="Times New Roman" w:hAnsi="Times New Roman" w:cs="Times New Roman"/>
              </w:rPr>
              <w:t>gāzes cenai biomasas un biogāzes koģenerācijas stacijām nav pamatota.</w:t>
            </w:r>
          </w:p>
          <w:p w:rsidR="003F40EC" w:rsidRDefault="003F40EC" w:rsidP="003F40EC">
            <w:pPr>
              <w:pStyle w:val="Default"/>
              <w:jc w:val="both"/>
              <w:rPr>
                <w:rFonts w:ascii="Times New Roman" w:hAnsi="Times New Roman" w:cs="Times New Roman"/>
              </w:rPr>
            </w:pPr>
          </w:p>
          <w:p w:rsidR="003F40EC" w:rsidRDefault="003F40EC" w:rsidP="003F40EC">
            <w:pPr>
              <w:pStyle w:val="Default"/>
              <w:jc w:val="both"/>
              <w:rPr>
                <w:rFonts w:ascii="Times New Roman" w:hAnsi="Times New Roman"/>
              </w:rPr>
            </w:pPr>
            <w:r>
              <w:rPr>
                <w:rFonts w:ascii="Times New Roman" w:hAnsi="Times New Roman" w:cs="Times New Roman"/>
              </w:rPr>
              <w:t xml:space="preserve">Elektroenerģijas obligātā iepirkuma cena ir balstīta uz cenu formulu. Viens no cenu formulas elementiem ir piesaiste </w:t>
            </w:r>
            <w:r>
              <w:rPr>
                <w:rFonts w:ascii="Times New Roman" w:hAnsi="Times New Roman"/>
              </w:rPr>
              <w:t xml:space="preserve"> </w:t>
            </w:r>
            <w:r>
              <w:rPr>
                <w:rFonts w:ascii="Times New Roman" w:hAnsi="Times New Roman"/>
              </w:rPr>
              <w:lastRenderedPageBreak/>
              <w:t>regulatora apstiprinātā dabasgāzes tirdzniecības gala tarifa bez pievienotās vērtības nodokļa, kas mainās katru mēnesi un ir atkarīga no dabasgāzes tirdzniecības cenas līmeņa.</w:t>
            </w:r>
          </w:p>
          <w:p w:rsidR="001A3BE3" w:rsidRDefault="001A3BE3" w:rsidP="00790CA8">
            <w:pPr>
              <w:pStyle w:val="Default"/>
              <w:jc w:val="both"/>
              <w:rPr>
                <w:rFonts w:ascii="Times New Roman" w:hAnsi="Times New Roman" w:cs="Times New Roman"/>
              </w:rPr>
            </w:pPr>
          </w:p>
          <w:p w:rsidR="008F1A03" w:rsidRDefault="008F1A03" w:rsidP="008F1A03">
            <w:pPr>
              <w:autoSpaceDN w:val="0"/>
              <w:jc w:val="both"/>
              <w:textAlignment w:val="baseline"/>
              <w:rPr>
                <w:color w:val="000000"/>
              </w:rPr>
            </w:pPr>
            <w:r w:rsidRPr="00235C64">
              <w:rPr>
                <w:color w:val="000000"/>
              </w:rPr>
              <w:t>Nolūkā nodrošināt obligātā</w:t>
            </w:r>
            <w:r w:rsidRPr="00597319">
              <w:rPr>
                <w:color w:val="000000"/>
              </w:rPr>
              <w:t xml:space="preserve"> iepirkuma izmaksu nepalielināšanos neprognozējamā dabasgāzes</w:t>
            </w:r>
            <w:r w:rsidRPr="00EB7FA3">
              <w:rPr>
                <w:color w:val="000000"/>
              </w:rPr>
              <w:t xml:space="preserve"> </w:t>
            </w:r>
            <w:r>
              <w:rPr>
                <w:color w:val="000000"/>
              </w:rPr>
              <w:t>tirdzniecības tarifa</w:t>
            </w:r>
            <w:r w:rsidRPr="00EB7FA3">
              <w:rPr>
                <w:color w:val="000000"/>
              </w:rPr>
              <w:t xml:space="preserve"> pieauguma </w:t>
            </w:r>
            <w:r>
              <w:rPr>
                <w:color w:val="000000"/>
              </w:rPr>
              <w:t>rezultātā</w:t>
            </w:r>
            <w:r w:rsidRPr="00EB7FA3">
              <w:rPr>
                <w:color w:val="000000"/>
              </w:rPr>
              <w:t xml:space="preserve">, ar noteikumu projektu </w:t>
            </w:r>
            <w:r>
              <w:rPr>
                <w:color w:val="000000"/>
              </w:rPr>
              <w:t xml:space="preserve">paredzēts ierobežot </w:t>
            </w:r>
            <w:r w:rsidRPr="00F31AC7">
              <w:rPr>
                <w:color w:val="000000" w:themeColor="text1"/>
              </w:rPr>
              <w:t>Ministru kabineta 2010. gada 16. marta noteikumos Nr.262 „</w:t>
            </w:r>
            <w:r w:rsidRPr="00F31AC7">
              <w:rPr>
                <w:bCs/>
                <w:color w:val="000000" w:themeColor="text1"/>
              </w:rPr>
              <w:t>Noteikumi par elektroenerģijas ražošanu, izmantojot atjaunojamos energoresursus, un cenu noteikšanas kārtību”</w:t>
            </w:r>
            <w:r>
              <w:rPr>
                <w:color w:val="000000"/>
              </w:rPr>
              <w:t xml:space="preserve"> (turpmāk – MK noteikumi Nr.262)</w:t>
            </w:r>
            <w:r w:rsidRPr="001A3BE3">
              <w:rPr>
                <w:color w:val="000000"/>
              </w:rPr>
              <w:t xml:space="preserve"> </w:t>
            </w:r>
            <w:r w:rsidR="00544658">
              <w:rPr>
                <w:color w:val="000000"/>
              </w:rPr>
              <w:t>obligātā iepirkuma cenas noteikšanas formulās iekļautās komponentes, proti, dabasgāzes cenas mainību, šīs komponentes maksimālo robežvērtību fiksējot 2014. gada marta dabasgāzes tirdzniecības tarifa līmenī (</w:t>
            </w:r>
            <w:r w:rsidR="00544658">
              <w:t>277,46 EUR/</w:t>
            </w:r>
            <w:proofErr w:type="spellStart"/>
            <w:r w:rsidR="00544658">
              <w:t>tūkst</w:t>
            </w:r>
            <w:proofErr w:type="spellEnd"/>
            <w:r w:rsidR="00544658">
              <w:t>. n.m</w:t>
            </w:r>
            <w:r w:rsidR="00544658">
              <w:rPr>
                <w:vertAlign w:val="superscript"/>
              </w:rPr>
              <w:t xml:space="preserve">3 </w:t>
            </w:r>
            <w:r w:rsidR="00544658">
              <w:rPr>
                <w:color w:val="000000"/>
              </w:rPr>
              <w:t>(</w:t>
            </w:r>
            <w:r w:rsidR="00544658">
              <w:rPr>
                <w:bCs/>
                <w:iCs/>
              </w:rPr>
              <w:t>195 lati/</w:t>
            </w:r>
            <w:proofErr w:type="spellStart"/>
            <w:r w:rsidR="00544658">
              <w:rPr>
                <w:bCs/>
                <w:iCs/>
              </w:rPr>
              <w:t>tūkst</w:t>
            </w:r>
            <w:proofErr w:type="spellEnd"/>
            <w:r w:rsidR="00544658">
              <w:rPr>
                <w:bCs/>
                <w:iCs/>
              </w:rPr>
              <w:t>. n.m</w:t>
            </w:r>
            <w:r w:rsidR="00544658">
              <w:rPr>
                <w:bCs/>
                <w:iCs/>
                <w:vertAlign w:val="superscript"/>
              </w:rPr>
              <w:t>3</w:t>
            </w:r>
            <w:r w:rsidR="00544658">
              <w:rPr>
                <w:color w:val="000000"/>
              </w:rPr>
              <w:t>)).</w:t>
            </w:r>
          </w:p>
          <w:p w:rsidR="008F1A03" w:rsidRPr="00DF012F" w:rsidRDefault="008F1A03" w:rsidP="00790CA8">
            <w:pPr>
              <w:pStyle w:val="Default"/>
              <w:jc w:val="both"/>
              <w:rPr>
                <w:rFonts w:ascii="Times New Roman" w:hAnsi="Times New Roman" w:cs="Times New Roman"/>
              </w:rPr>
            </w:pPr>
          </w:p>
          <w:p w:rsidR="00EB7FA3" w:rsidRDefault="00AC3138" w:rsidP="00790CA8">
            <w:pPr>
              <w:autoSpaceDN w:val="0"/>
              <w:jc w:val="both"/>
              <w:textAlignment w:val="baseline"/>
              <w:rPr>
                <w:color w:val="000000"/>
              </w:rPr>
            </w:pPr>
            <w:r>
              <w:rPr>
                <w:bCs/>
                <w:iCs/>
              </w:rPr>
              <w:t>D</w:t>
            </w:r>
            <w:r w:rsidRPr="006434D4">
              <w:rPr>
                <w:bCs/>
                <w:iCs/>
              </w:rPr>
              <w:t>abasgāzes tirdzniecības cen</w:t>
            </w:r>
            <w:r>
              <w:rPr>
                <w:bCs/>
                <w:iCs/>
              </w:rPr>
              <w:t>a</w:t>
            </w:r>
            <w:r w:rsidRPr="006434D4">
              <w:rPr>
                <w:bCs/>
                <w:iCs/>
              </w:rPr>
              <w:t xml:space="preserve"> - </w:t>
            </w:r>
            <w:r w:rsidRPr="00DF012F">
              <w:t>277,46 EUR/</w:t>
            </w:r>
            <w:proofErr w:type="spellStart"/>
            <w:r w:rsidRPr="00DF012F">
              <w:t>tūkst</w:t>
            </w:r>
            <w:proofErr w:type="spellEnd"/>
            <w:r w:rsidRPr="00DF012F">
              <w:t>. n.m</w:t>
            </w:r>
            <w:r w:rsidRPr="00DF012F">
              <w:rPr>
                <w:vertAlign w:val="superscript"/>
              </w:rPr>
              <w:t>3</w:t>
            </w:r>
            <w:r>
              <w:rPr>
                <w:vertAlign w:val="superscript"/>
              </w:rPr>
              <w:t xml:space="preserve"> </w:t>
            </w:r>
            <w:r w:rsidRPr="00DF012F">
              <w:rPr>
                <w:color w:val="000000"/>
              </w:rPr>
              <w:t>(</w:t>
            </w:r>
            <w:r w:rsidRPr="006434D4">
              <w:rPr>
                <w:bCs/>
                <w:iCs/>
              </w:rPr>
              <w:t>195 lati/</w:t>
            </w:r>
            <w:proofErr w:type="spellStart"/>
            <w:r w:rsidRPr="006434D4">
              <w:rPr>
                <w:bCs/>
                <w:iCs/>
              </w:rPr>
              <w:t>tūkst</w:t>
            </w:r>
            <w:proofErr w:type="spellEnd"/>
            <w:r w:rsidRPr="006434D4">
              <w:rPr>
                <w:bCs/>
                <w:iCs/>
              </w:rPr>
              <w:t>. n.m</w:t>
            </w:r>
            <w:r w:rsidRPr="006434D4">
              <w:rPr>
                <w:bCs/>
                <w:iCs/>
                <w:vertAlign w:val="superscript"/>
              </w:rPr>
              <w:t>3</w:t>
            </w:r>
            <w:r w:rsidRPr="00DF012F">
              <w:rPr>
                <w:color w:val="000000"/>
              </w:rPr>
              <w:t>)</w:t>
            </w:r>
            <w:r w:rsidRPr="006434D4">
              <w:rPr>
                <w:bCs/>
                <w:iCs/>
              </w:rPr>
              <w:t xml:space="preserve"> ir apstiprināta saskaņā ar Sabiedrisko pakalpojumu regulēšanas komisijas 2008.</w:t>
            </w:r>
            <w:r>
              <w:rPr>
                <w:bCs/>
                <w:iCs/>
              </w:rPr>
              <w:t> </w:t>
            </w:r>
            <w:r w:rsidRPr="006434D4">
              <w:rPr>
                <w:bCs/>
                <w:iCs/>
              </w:rPr>
              <w:t>gada 24.</w:t>
            </w:r>
            <w:r>
              <w:rPr>
                <w:bCs/>
                <w:iCs/>
              </w:rPr>
              <w:t> </w:t>
            </w:r>
            <w:r w:rsidRPr="006434D4">
              <w:rPr>
                <w:bCs/>
                <w:iCs/>
              </w:rPr>
              <w:t xml:space="preserve">jūlija lēmumu Nr.247 </w:t>
            </w:r>
            <w:r w:rsidRPr="006434D4">
              <w:rPr>
                <w:color w:val="000000"/>
              </w:rPr>
              <w:t>„</w:t>
            </w:r>
            <w:r w:rsidRPr="006434D4">
              <w:rPr>
                <w:bCs/>
                <w:iCs/>
              </w:rPr>
              <w:t xml:space="preserve">Par akciju sabiedrības </w:t>
            </w:r>
            <w:r w:rsidRPr="006434D4">
              <w:rPr>
                <w:color w:val="000000"/>
              </w:rPr>
              <w:t>„</w:t>
            </w:r>
            <w:r w:rsidRPr="006434D4">
              <w:rPr>
                <w:bCs/>
                <w:iCs/>
              </w:rPr>
              <w:t>Latvijas Gāze” dabasgāzes apgādes tarifiem” un 2010.</w:t>
            </w:r>
            <w:r>
              <w:rPr>
                <w:bCs/>
                <w:iCs/>
              </w:rPr>
              <w:t> </w:t>
            </w:r>
            <w:r w:rsidRPr="006434D4">
              <w:rPr>
                <w:bCs/>
                <w:iCs/>
              </w:rPr>
              <w:t>gada 2.</w:t>
            </w:r>
            <w:r>
              <w:rPr>
                <w:bCs/>
                <w:iCs/>
              </w:rPr>
              <w:t> </w:t>
            </w:r>
            <w:r w:rsidRPr="006434D4">
              <w:rPr>
                <w:bCs/>
                <w:iCs/>
              </w:rPr>
              <w:t>jūnija lēmumu Nr.258 „Par lēmuma Nr.247 piemērošanas kārtību”</w:t>
            </w:r>
          </w:p>
          <w:p w:rsidR="00731FAF" w:rsidRDefault="0027026D" w:rsidP="00C870DB">
            <w:pPr>
              <w:pStyle w:val="naiskr"/>
              <w:spacing w:before="0" w:beforeAutospacing="0" w:after="0" w:afterAutospacing="0"/>
              <w:ind w:right="-1"/>
              <w:jc w:val="both"/>
              <w:rPr>
                <w:color w:val="000000"/>
              </w:rPr>
            </w:pPr>
            <w:r>
              <w:rPr>
                <w:color w:val="000000"/>
              </w:rPr>
              <w:t>Samazinoties dabasgāzes tirdzniecības cenai, pastarpināti samazinās arī obligātā iepirkuma ietvaros iepirktās elektroenerģijas cena, ko saņem komersanti,</w:t>
            </w:r>
            <w:r w:rsidRPr="0024569C">
              <w:rPr>
                <w:color w:val="000000" w:themeColor="text1"/>
              </w:rPr>
              <w:t xml:space="preserve"> kas ieguvuši tiesības pārdot saražoto elektroenerģiju obligātā iepirkuma ietvaros vai saņemt garantēto maksu par stacijā uzstādīto elektrisko jaudu</w:t>
            </w:r>
            <w:r>
              <w:rPr>
                <w:color w:val="000000" w:themeColor="text1"/>
              </w:rPr>
              <w:t>,</w:t>
            </w:r>
            <w:r>
              <w:rPr>
                <w:color w:val="000000"/>
              </w:rPr>
              <w:t xml:space="preserve"> jo cenu noteikšanas formulās, kā viens no mainīgajiem lielumiem ir dabasgāzes tirdzniecības tarifs, kura līmenis tieši atkarīgs no dabasgāzes tirdzniecības cenas izmaiņām.</w:t>
            </w:r>
          </w:p>
          <w:p w:rsidR="0027026D" w:rsidRDefault="0027026D" w:rsidP="00C870DB">
            <w:pPr>
              <w:pStyle w:val="naiskr"/>
              <w:spacing w:before="0" w:beforeAutospacing="0" w:after="0" w:afterAutospacing="0"/>
              <w:ind w:right="-1"/>
              <w:jc w:val="both"/>
              <w:rPr>
                <w:color w:val="000000"/>
              </w:rPr>
            </w:pPr>
          </w:p>
          <w:p w:rsidR="00731FAF" w:rsidRDefault="00731FAF" w:rsidP="00731FAF">
            <w:pPr>
              <w:pStyle w:val="BodyTextIndent2"/>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Laikrakstā „Latvijas Vēstnesis” (Nr.232, 5038) 2013. gada 27. novembrī ir publicēts Subsidētās elektroenerģijas nodokļa likums (turpmāk - Likums), kas spēkā stāsies 2014. gada 1. janvārī. Likums pieejams laikraksta „Latvijas Vēstnesis” tīmekļa vietnē: </w:t>
            </w:r>
            <w:hyperlink r:id="rId9" w:history="1">
              <w:r>
                <w:rPr>
                  <w:rStyle w:val="Hyperlink"/>
                  <w:rFonts w:ascii="Times New Roman" w:hAnsi="Times New Roman"/>
                  <w:color w:val="000000" w:themeColor="text1"/>
                  <w:sz w:val="24"/>
                  <w:szCs w:val="24"/>
                </w:rPr>
                <w:t>https://www.vestnesis.lv/?menu=doc&amp;id=262304</w:t>
              </w:r>
            </w:hyperlink>
            <w:r>
              <w:rPr>
                <w:rFonts w:ascii="Times New Roman" w:hAnsi="Times New Roman"/>
                <w:color w:val="000000" w:themeColor="text1"/>
                <w:sz w:val="24"/>
                <w:szCs w:val="24"/>
              </w:rPr>
              <w:t xml:space="preserve">. </w:t>
            </w:r>
          </w:p>
          <w:p w:rsidR="00731FAF" w:rsidRDefault="00731FAF" w:rsidP="00731FAF">
            <w:pPr>
              <w:tabs>
                <w:tab w:val="left" w:pos="6095"/>
              </w:tabs>
              <w:jc w:val="both"/>
              <w:rPr>
                <w:bCs/>
                <w:color w:val="000000" w:themeColor="text1"/>
              </w:rPr>
            </w:pPr>
            <w:r>
              <w:rPr>
                <w:color w:val="000000" w:themeColor="text1"/>
              </w:rPr>
              <w:t>Likums paredz, ka, lai komersants varētu kvalificēties samazinātajai subsidētās elektroenerģijas nodokļa likmei 5% apjomā, komersantam  vismaz 70% no koģenerācijas procesā iegūtās siltumenerģijas nodokļa maksātājs taksācijas gada laikā pārdod kā Sabiedrisko pakalpojumu regulēšanas komisijas  licencēts siltumapgādes pārvades vai sadales komersants vai nodod citam regulatora licencētam siltumapgādes pārvades vai sadales komersantam, vai pašvaldībai, kas sniedz centralizētās siltumapgādes pakalpojumus.</w:t>
            </w:r>
            <w:r>
              <w:rPr>
                <w:bCs/>
                <w:color w:val="000000" w:themeColor="text1"/>
              </w:rPr>
              <w:t xml:space="preserve"> </w:t>
            </w:r>
          </w:p>
          <w:p w:rsidR="00731FAF" w:rsidRDefault="00731FAF" w:rsidP="00731FAF">
            <w:pPr>
              <w:tabs>
                <w:tab w:val="left" w:pos="6095"/>
              </w:tabs>
              <w:jc w:val="both"/>
              <w:rPr>
                <w:color w:val="000000" w:themeColor="text1"/>
              </w:rPr>
            </w:pPr>
            <w:r>
              <w:rPr>
                <w:bCs/>
                <w:color w:val="000000" w:themeColor="text1"/>
              </w:rPr>
              <w:lastRenderedPageBreak/>
              <w:t xml:space="preserve">Lai varētu kvalitatīvi identificēt šādus komersantus, MK noteikumos Nr.262 tiek paredzēts iekļaut tiesību normu, ka komersants gada pārskatā norāda informāciju </w:t>
            </w:r>
            <w:r>
              <w:rPr>
                <w:color w:val="000000" w:themeColor="text1"/>
              </w:rPr>
              <w:t>par efektīvi izlietotās (lietderīgi izmantotās) siltumenerģijas lietotāju (nosaukums vai, firma, juridiskā adreses, reģistrācijas numurs). Līdzīga prasība ir ietverta Ministru kabineta 2009. gada 10. marta noteikumos Nr.221 „Noteikumi par elektroenerģijas ražošanu un cenu noteikšanu, ražojot elektroenerģiju koģenerācijā” 5. pielikumā, kas ietver gada pārskatā norādāmo informācijas apjomu.</w:t>
            </w:r>
          </w:p>
          <w:p w:rsidR="00731FAF" w:rsidRDefault="00731FAF" w:rsidP="00731FAF">
            <w:pPr>
              <w:jc w:val="both"/>
              <w:rPr>
                <w:color w:val="000000" w:themeColor="text1"/>
              </w:rPr>
            </w:pPr>
            <w:r>
              <w:rPr>
                <w:color w:val="000000" w:themeColor="text1"/>
              </w:rPr>
              <w:t>Šajā noteikuma projektā paredzētais papildinājums MK noteikumu Nr.262 9. pielikumā nepieciešams, lai iegūtu papildu informāciju, lai varētu pārliecināties, ka komersants ir atbilstoši kvalificējams Likumā iekļautajām prasībām subsidētās elektroenerģijas nodokļa samazinātās likmes 5% apjomā piemērošanai, proti,  vismaz 70% no koģenerācijas procesā iegūtās siltumenerģijas nodokļa maksātājs taksācijas gada laikā pārdod kā Sabiedrisko pakalpojumu regulēšanas komisijas  licencēts siltumapgādes pārvades vai sadales komersants vai nodod citam regulatora licencētam siltumapgādes pārvades vai sadales komersantam, vai pašvaldībai, kas sniedz centralizētās siltumapgādes pakalpojumus.</w:t>
            </w:r>
            <w:r>
              <w:rPr>
                <w:bCs/>
                <w:color w:val="000000" w:themeColor="text1"/>
              </w:rPr>
              <w:t xml:space="preserve">  </w:t>
            </w:r>
          </w:p>
          <w:p w:rsidR="00731FAF" w:rsidRPr="00A92F58" w:rsidRDefault="00731FAF" w:rsidP="00731FAF">
            <w:pPr>
              <w:pStyle w:val="naiskr"/>
              <w:spacing w:before="0" w:beforeAutospacing="0" w:after="0" w:afterAutospacing="0"/>
              <w:ind w:right="-1"/>
              <w:jc w:val="both"/>
              <w:rPr>
                <w:color w:val="000000" w:themeColor="text1"/>
              </w:rPr>
            </w:pPr>
            <w:r>
              <w:rPr>
                <w:color w:val="000000" w:themeColor="text1"/>
              </w:rPr>
              <w:t>Papildinājums MK noteikumu Nr.262 9. pielikumā tiek iekļauts, lai pārliecinātos, ka obligātā iepirkuma ietvaros elektroenerģijas ražotājiem piešķirtie līdzekļi tiek izmantoti efektīvi un atbilstoši paredzētajiem mērķiem, vienlaikus pastiprinot uzraudzību pār to ieviešanu, kas savukārt palīdzētu izvairīties no sniegtā atbalsta nepamatotas ietekmes uz elektroenerģijas kopējo cenu.</w:t>
            </w:r>
          </w:p>
        </w:tc>
      </w:tr>
      <w:tr w:rsidR="001C1A2E" w:rsidRPr="00A92F58" w:rsidTr="000E2245">
        <w:trPr>
          <w:trHeight w:val="132"/>
        </w:trPr>
        <w:tc>
          <w:tcPr>
            <w:tcW w:w="269" w:type="dxa"/>
          </w:tcPr>
          <w:p w:rsidR="001C1A2E" w:rsidRPr="00A92F58" w:rsidRDefault="001C1A2E" w:rsidP="00790CA8">
            <w:pPr>
              <w:pStyle w:val="naiskr"/>
              <w:spacing w:before="0" w:beforeAutospacing="0" w:after="0" w:afterAutospacing="0"/>
              <w:jc w:val="center"/>
              <w:rPr>
                <w:color w:val="000000" w:themeColor="text1"/>
              </w:rPr>
            </w:pPr>
            <w:r w:rsidRPr="00A92F58">
              <w:rPr>
                <w:color w:val="000000" w:themeColor="text1"/>
              </w:rPr>
              <w:lastRenderedPageBreak/>
              <w:t>3.</w:t>
            </w:r>
          </w:p>
        </w:tc>
        <w:tc>
          <w:tcPr>
            <w:tcW w:w="3138" w:type="dxa"/>
          </w:tcPr>
          <w:p w:rsidR="001C1A2E" w:rsidRPr="00A92F58" w:rsidRDefault="001C1A2E" w:rsidP="00790CA8">
            <w:pPr>
              <w:jc w:val="both"/>
              <w:rPr>
                <w:color w:val="000000" w:themeColor="text1"/>
              </w:rPr>
            </w:pPr>
            <w:r w:rsidRPr="00A92F58">
              <w:rPr>
                <w:color w:val="000000" w:themeColor="text1"/>
              </w:rPr>
              <w:t>Projekta izstrādē iesaistītās institūcijas</w:t>
            </w:r>
          </w:p>
        </w:tc>
        <w:tc>
          <w:tcPr>
            <w:tcW w:w="6037" w:type="dxa"/>
          </w:tcPr>
          <w:p w:rsidR="001C1A2E" w:rsidRPr="00A92F58" w:rsidRDefault="0017290D" w:rsidP="00790CA8">
            <w:pPr>
              <w:jc w:val="both"/>
              <w:rPr>
                <w:color w:val="000000" w:themeColor="text1"/>
              </w:rPr>
            </w:pPr>
            <w:r>
              <w:t>Nav attiecināms</w:t>
            </w:r>
            <w:r w:rsidR="00EB7FA3">
              <w:t>.</w:t>
            </w:r>
          </w:p>
        </w:tc>
      </w:tr>
      <w:tr w:rsidR="001C1A2E" w:rsidRPr="00A92F58" w:rsidTr="000E2245">
        <w:tc>
          <w:tcPr>
            <w:tcW w:w="269" w:type="dxa"/>
          </w:tcPr>
          <w:p w:rsidR="001C1A2E" w:rsidRPr="00A92F58" w:rsidRDefault="001C1A2E" w:rsidP="00790CA8">
            <w:pPr>
              <w:pStyle w:val="naiskr"/>
              <w:spacing w:before="0" w:beforeAutospacing="0" w:after="0" w:afterAutospacing="0"/>
              <w:jc w:val="center"/>
              <w:rPr>
                <w:color w:val="000000" w:themeColor="text1"/>
              </w:rPr>
            </w:pPr>
            <w:r w:rsidRPr="00A92F58">
              <w:rPr>
                <w:color w:val="000000" w:themeColor="text1"/>
              </w:rPr>
              <w:t>4.</w:t>
            </w:r>
          </w:p>
        </w:tc>
        <w:tc>
          <w:tcPr>
            <w:tcW w:w="3138" w:type="dxa"/>
          </w:tcPr>
          <w:p w:rsidR="001C1A2E" w:rsidRPr="00A92F58" w:rsidRDefault="001C1A2E" w:rsidP="00790CA8">
            <w:pPr>
              <w:pStyle w:val="naiskr"/>
              <w:spacing w:before="0" w:beforeAutospacing="0" w:after="0" w:afterAutospacing="0"/>
              <w:rPr>
                <w:color w:val="000000" w:themeColor="text1"/>
              </w:rPr>
            </w:pPr>
            <w:r w:rsidRPr="00A92F58">
              <w:rPr>
                <w:color w:val="000000" w:themeColor="text1"/>
              </w:rPr>
              <w:t>Cita informācija</w:t>
            </w:r>
          </w:p>
        </w:tc>
        <w:tc>
          <w:tcPr>
            <w:tcW w:w="6037" w:type="dxa"/>
          </w:tcPr>
          <w:p w:rsidR="001C1A2E" w:rsidRPr="00A92F58" w:rsidRDefault="007C1F2A" w:rsidP="00790CA8">
            <w:pPr>
              <w:pStyle w:val="naiskr"/>
              <w:spacing w:before="0" w:beforeAutospacing="0" w:after="0" w:afterAutospacing="0"/>
              <w:jc w:val="both"/>
              <w:rPr>
                <w:color w:val="000000" w:themeColor="text1"/>
              </w:rPr>
            </w:pPr>
            <w:r>
              <w:t>Nav attiecināms.</w:t>
            </w:r>
          </w:p>
        </w:tc>
      </w:tr>
    </w:tbl>
    <w:p w:rsidR="001C1A2E" w:rsidRDefault="001C1A2E" w:rsidP="00790CA8">
      <w:pPr>
        <w:pStyle w:val="naisf"/>
        <w:tabs>
          <w:tab w:val="left" w:pos="5760"/>
        </w:tabs>
        <w:spacing w:before="0" w:beforeAutospacing="0" w:after="0" w:afterAutospacing="0"/>
        <w:rPr>
          <w:color w:val="000000" w:themeColor="text1"/>
        </w:rPr>
      </w:pPr>
    </w:p>
    <w:tbl>
      <w:tblPr>
        <w:tblpPr w:leftFromText="180" w:rightFromText="180" w:vertAnchor="text" w:horzAnchor="margin" w:tblpXSpec="center" w:tblpY="149"/>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7"/>
        <w:gridCol w:w="5895"/>
      </w:tblGrid>
      <w:tr w:rsidR="0094759F" w:rsidRPr="00A92F58" w:rsidTr="0094759F">
        <w:tc>
          <w:tcPr>
            <w:tcW w:w="9442" w:type="dxa"/>
            <w:gridSpan w:val="2"/>
            <w:vAlign w:val="center"/>
          </w:tcPr>
          <w:p w:rsidR="0094759F" w:rsidRPr="0094759F" w:rsidRDefault="0094759F" w:rsidP="00790CA8">
            <w:pPr>
              <w:pStyle w:val="naisnod"/>
              <w:spacing w:before="0" w:beforeAutospacing="0" w:after="0" w:afterAutospacing="0"/>
              <w:jc w:val="center"/>
              <w:rPr>
                <w:b/>
                <w:color w:val="000000" w:themeColor="text1"/>
              </w:rPr>
            </w:pPr>
            <w:r w:rsidRPr="0094759F">
              <w:rPr>
                <w:b/>
                <w:color w:val="000000" w:themeColor="text1"/>
              </w:rPr>
              <w:t xml:space="preserve">II. </w:t>
            </w:r>
            <w:r w:rsidRPr="00C15E77">
              <w:rPr>
                <w:b/>
                <w:color w:val="000000" w:themeColor="text1"/>
              </w:rPr>
              <w:t xml:space="preserve"> </w:t>
            </w:r>
            <w:r w:rsidRPr="0094759F">
              <w:rPr>
                <w:b/>
                <w:color w:val="000000" w:themeColor="text1"/>
              </w:rPr>
              <w:t>Tiesību akta projekta ietekme uz sabiedrību, tautsaimniecības attīstību un administratīvo slogu</w:t>
            </w:r>
          </w:p>
        </w:tc>
      </w:tr>
      <w:tr w:rsidR="0094759F" w:rsidRPr="00A92F58" w:rsidTr="0094759F">
        <w:trPr>
          <w:trHeight w:val="281"/>
        </w:trPr>
        <w:tc>
          <w:tcPr>
            <w:tcW w:w="3547" w:type="dxa"/>
          </w:tcPr>
          <w:p w:rsidR="0094759F" w:rsidRPr="00A92F58" w:rsidRDefault="0094759F" w:rsidP="00790CA8">
            <w:pPr>
              <w:pStyle w:val="naiskr"/>
              <w:spacing w:before="0" w:beforeAutospacing="0" w:after="0" w:afterAutospacing="0"/>
              <w:ind w:hanging="10"/>
              <w:jc w:val="both"/>
              <w:rPr>
                <w:color w:val="000000" w:themeColor="text1"/>
              </w:rPr>
            </w:pPr>
            <w:r w:rsidRPr="00A92F58">
              <w:rPr>
                <w:color w:val="000000" w:themeColor="text1"/>
              </w:rPr>
              <w:t>Sabiedrības mērķgrupas, kuras tiesiskais regulējums ietekmē vai varētu ietekmēt</w:t>
            </w:r>
          </w:p>
        </w:tc>
        <w:tc>
          <w:tcPr>
            <w:tcW w:w="5895" w:type="dxa"/>
          </w:tcPr>
          <w:p w:rsidR="00DB1DA9" w:rsidRPr="00A92F58" w:rsidRDefault="0060359C" w:rsidP="00F50322">
            <w:pPr>
              <w:pStyle w:val="Default"/>
              <w:jc w:val="both"/>
              <w:rPr>
                <w:rFonts w:ascii="Times New Roman" w:hAnsi="Times New Roman" w:cs="Times New Roman"/>
                <w:bCs/>
                <w:color w:val="000000" w:themeColor="text1"/>
              </w:rPr>
            </w:pPr>
            <w:r w:rsidRPr="0024569C">
              <w:rPr>
                <w:rFonts w:ascii="Times New Roman" w:hAnsi="Times New Roman"/>
                <w:color w:val="000000" w:themeColor="text1"/>
              </w:rPr>
              <w:t xml:space="preserve">Ražotāji, kas ieguvuši tiesības pārdot saražoto elektroenerģiju obligātā iepirkuma ietvaros </w:t>
            </w:r>
            <w:r w:rsidRPr="0024569C">
              <w:rPr>
                <w:rFonts w:ascii="Times New Roman" w:hAnsi="Times New Roman" w:cs="Times New Roman"/>
                <w:color w:val="000000" w:themeColor="text1"/>
              </w:rPr>
              <w:t>vai saņemt garantēto maksu par stacijā uzstādīto elektrisko jaudu.</w:t>
            </w:r>
          </w:p>
        </w:tc>
      </w:tr>
      <w:tr w:rsidR="0094759F" w:rsidRPr="00A92F58" w:rsidTr="0094759F">
        <w:trPr>
          <w:trHeight w:val="472"/>
        </w:trPr>
        <w:tc>
          <w:tcPr>
            <w:tcW w:w="3547" w:type="dxa"/>
          </w:tcPr>
          <w:p w:rsidR="0094759F" w:rsidRPr="00A92F58" w:rsidRDefault="0094759F" w:rsidP="00790CA8">
            <w:pPr>
              <w:jc w:val="both"/>
              <w:rPr>
                <w:color w:val="000000" w:themeColor="text1"/>
              </w:rPr>
            </w:pPr>
            <w:r w:rsidRPr="00A92F58">
              <w:rPr>
                <w:color w:val="000000" w:themeColor="text1"/>
              </w:rPr>
              <w:t>Tiesiskā regulējuma ietekme uz tautsaimniecību un administratīvo slogu</w:t>
            </w:r>
          </w:p>
        </w:tc>
        <w:tc>
          <w:tcPr>
            <w:tcW w:w="5895" w:type="dxa"/>
          </w:tcPr>
          <w:p w:rsidR="002267B5" w:rsidRPr="00EB2194" w:rsidRDefault="002267B5" w:rsidP="002267B5">
            <w:pPr>
              <w:autoSpaceDN w:val="0"/>
              <w:jc w:val="both"/>
              <w:textAlignment w:val="baseline"/>
            </w:pPr>
            <w:r>
              <w:t>Obligātā iepirkuma ietvaros iepirktās elektroenerģijas c</w:t>
            </w:r>
            <w:r w:rsidRPr="00EB2194">
              <w:t xml:space="preserve">enu aprēķināšanas formulās iekļautās dabasgāzes cenas komponentes fiksēšana </w:t>
            </w:r>
            <w:r w:rsidRPr="00EB2194">
              <w:rPr>
                <w:color w:val="000000"/>
              </w:rPr>
              <w:t xml:space="preserve">2014. gada marta dabasgāzes tirdzniecības </w:t>
            </w:r>
            <w:r>
              <w:rPr>
                <w:color w:val="000000"/>
              </w:rPr>
              <w:t xml:space="preserve">tarifa </w:t>
            </w:r>
            <w:r w:rsidRPr="00EB2194">
              <w:rPr>
                <w:color w:val="000000"/>
              </w:rPr>
              <w:t xml:space="preserve">līmenī </w:t>
            </w:r>
            <w:r w:rsidRPr="00EB2194">
              <w:t xml:space="preserve">Latvijas elektroenerģijas ražotājiem nozīmētu maksimālās dabasgāzes tirdzniecības gala tarifa robežas noteikšanu, kas ierobežotu elektroenerģijas  ražotājiem sniegtā atbalsta pieaugumu, nodrošinot skaidrību investoriem. Papildus ierosinātie grozījumi novērsīs risku neprognozētam elektroenerģijas </w:t>
            </w:r>
            <w:r w:rsidRPr="00EB2194">
              <w:lastRenderedPageBreak/>
              <w:t>kopējās cenas pieaugumam visiem lietotājiem, ņemot vērā, ka izmaksas sedz visi elektroenerģijas galalietotāji.</w:t>
            </w:r>
          </w:p>
          <w:p w:rsidR="0094759F" w:rsidRDefault="00EC285D" w:rsidP="00EC285D">
            <w:pPr>
              <w:jc w:val="both"/>
              <w:rPr>
                <w:color w:val="000000" w:themeColor="text1"/>
              </w:rPr>
            </w:pPr>
            <w:r>
              <w:rPr>
                <w:color w:val="000000" w:themeColor="text1"/>
              </w:rPr>
              <w:t>Ar noteikumu projektu netiek veidotas jaunas prasības, kas attiecas uz komersantiem, jo cenu formulas obligātā iepirkuma ietvaros tiek piemērotas no MK noteikumu Nr.262 spēkā stāšanās dienas.</w:t>
            </w:r>
          </w:p>
          <w:p w:rsidR="00EC285D" w:rsidRPr="00A92F58" w:rsidRDefault="00EC285D" w:rsidP="00EC285D">
            <w:pPr>
              <w:jc w:val="both"/>
              <w:rPr>
                <w:color w:val="000000" w:themeColor="text1"/>
              </w:rPr>
            </w:pPr>
            <w:r>
              <w:rPr>
                <w:color w:val="000000" w:themeColor="text1"/>
              </w:rPr>
              <w:t>Ar noteikumu projektu papildinātais MK noteikumu Nr.262 9. pielikums ir gada pārskats par elektrostacijas vai koģenerācijas stacijas darbību obligātā iepirkuma ietvaros, kas komersantiem jau ir bijis jāsniedz obligāti iepriekš, aizpildot 23 ailes ar dažāda rakstura informāciju. Ar noteikumu projektu tiek papildināta gada pārskatā komersantu obligāta norādāmā informācija ar 1 aili, kas neradīs papildu slogu komersantiem.</w:t>
            </w:r>
          </w:p>
        </w:tc>
      </w:tr>
      <w:tr w:rsidR="0094759F" w:rsidRPr="00A92F58" w:rsidTr="0094759F">
        <w:trPr>
          <w:trHeight w:val="481"/>
        </w:trPr>
        <w:tc>
          <w:tcPr>
            <w:tcW w:w="3547" w:type="dxa"/>
          </w:tcPr>
          <w:p w:rsidR="0094759F" w:rsidRPr="00A92F58" w:rsidRDefault="0094759F" w:rsidP="00790CA8">
            <w:pPr>
              <w:jc w:val="both"/>
              <w:rPr>
                <w:color w:val="000000" w:themeColor="text1"/>
              </w:rPr>
            </w:pPr>
            <w:r w:rsidRPr="00A92F58">
              <w:rPr>
                <w:color w:val="000000" w:themeColor="text1"/>
              </w:rPr>
              <w:lastRenderedPageBreak/>
              <w:t>Administratīvo izmaksu monetārs novērtējums</w:t>
            </w:r>
          </w:p>
        </w:tc>
        <w:tc>
          <w:tcPr>
            <w:tcW w:w="5895" w:type="dxa"/>
          </w:tcPr>
          <w:p w:rsidR="0094759F" w:rsidRPr="00A92F58" w:rsidRDefault="0094759F" w:rsidP="00790CA8">
            <w:pPr>
              <w:rPr>
                <w:color w:val="000000" w:themeColor="text1"/>
              </w:rPr>
            </w:pPr>
            <w:r w:rsidRPr="00A92F58">
              <w:rPr>
                <w:color w:val="000000" w:themeColor="text1"/>
              </w:rPr>
              <w:t>Projekts šo jomu neskar.</w:t>
            </w:r>
          </w:p>
        </w:tc>
      </w:tr>
      <w:tr w:rsidR="0094759F" w:rsidRPr="00A92F58" w:rsidTr="0094759F">
        <w:trPr>
          <w:trHeight w:val="274"/>
        </w:trPr>
        <w:tc>
          <w:tcPr>
            <w:tcW w:w="3547" w:type="dxa"/>
          </w:tcPr>
          <w:p w:rsidR="0094759F" w:rsidRPr="00A92F58" w:rsidRDefault="0094759F" w:rsidP="00790CA8">
            <w:pPr>
              <w:jc w:val="both"/>
              <w:rPr>
                <w:color w:val="000000" w:themeColor="text1"/>
              </w:rPr>
            </w:pPr>
            <w:r w:rsidRPr="00A92F58">
              <w:rPr>
                <w:color w:val="000000" w:themeColor="text1"/>
              </w:rPr>
              <w:t>Cita informācija</w:t>
            </w:r>
          </w:p>
        </w:tc>
        <w:tc>
          <w:tcPr>
            <w:tcW w:w="5895" w:type="dxa"/>
          </w:tcPr>
          <w:p w:rsidR="0094759F" w:rsidRPr="00A92F58" w:rsidRDefault="002B44AF" w:rsidP="00790CA8">
            <w:pPr>
              <w:jc w:val="both"/>
              <w:rPr>
                <w:color w:val="000000" w:themeColor="text1"/>
              </w:rPr>
            </w:pPr>
            <w:r w:rsidRPr="00A92F58">
              <w:rPr>
                <w:color w:val="000000" w:themeColor="text1"/>
              </w:rPr>
              <w:t>Projekts šo jomu neskar.</w:t>
            </w:r>
          </w:p>
        </w:tc>
      </w:tr>
    </w:tbl>
    <w:p w:rsidR="00EC14D6" w:rsidRPr="00A92F58" w:rsidRDefault="00EC14D6" w:rsidP="00790CA8">
      <w:pPr>
        <w:rPr>
          <w:color w:val="000000" w:themeColor="text1"/>
        </w:rPr>
      </w:pPr>
    </w:p>
    <w:tbl>
      <w:tblPr>
        <w:tblpPr w:leftFromText="180" w:rightFromText="180" w:vertAnchor="text" w:horzAnchor="margin" w:tblpX="-174" w:tblpY="87"/>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4"/>
        <w:gridCol w:w="3145"/>
        <w:gridCol w:w="5812"/>
      </w:tblGrid>
      <w:tr w:rsidR="001C1A2E" w:rsidRPr="00A92F58" w:rsidTr="00AC1F53">
        <w:tc>
          <w:tcPr>
            <w:tcW w:w="9361" w:type="dxa"/>
            <w:gridSpan w:val="3"/>
            <w:vAlign w:val="center"/>
          </w:tcPr>
          <w:p w:rsidR="001C1A2E" w:rsidRPr="001C1A2E" w:rsidRDefault="001C1A2E" w:rsidP="00790CA8">
            <w:pPr>
              <w:pStyle w:val="naisnod"/>
              <w:spacing w:before="0" w:beforeAutospacing="0" w:after="0" w:afterAutospacing="0"/>
              <w:jc w:val="center"/>
              <w:rPr>
                <w:b/>
                <w:color w:val="000000" w:themeColor="text1"/>
              </w:rPr>
            </w:pPr>
            <w:r w:rsidRPr="001C1A2E">
              <w:rPr>
                <w:b/>
                <w:color w:val="000000" w:themeColor="text1"/>
              </w:rPr>
              <w:t>VII. Tiesību akta projekta izpildes nodrošināšana un tās ietekme uz institūcijām</w:t>
            </w:r>
          </w:p>
        </w:tc>
      </w:tr>
      <w:tr w:rsidR="001C1A2E" w:rsidRPr="00A92F58" w:rsidTr="0094759F">
        <w:trPr>
          <w:trHeight w:val="128"/>
        </w:trPr>
        <w:tc>
          <w:tcPr>
            <w:tcW w:w="404" w:type="dxa"/>
          </w:tcPr>
          <w:p w:rsidR="001C1A2E" w:rsidRPr="00A92F58" w:rsidRDefault="001C1A2E" w:rsidP="00790CA8">
            <w:pPr>
              <w:pStyle w:val="naiskr"/>
              <w:spacing w:before="0" w:beforeAutospacing="0" w:after="0" w:afterAutospacing="0"/>
              <w:rPr>
                <w:color w:val="000000" w:themeColor="text1"/>
              </w:rPr>
            </w:pPr>
            <w:r w:rsidRPr="00A92F58">
              <w:rPr>
                <w:color w:val="000000" w:themeColor="text1"/>
              </w:rPr>
              <w:t>1.</w:t>
            </w:r>
          </w:p>
        </w:tc>
        <w:tc>
          <w:tcPr>
            <w:tcW w:w="3145" w:type="dxa"/>
          </w:tcPr>
          <w:p w:rsidR="001C1A2E" w:rsidRPr="00A92F58" w:rsidRDefault="001C1A2E" w:rsidP="00790CA8">
            <w:pPr>
              <w:rPr>
                <w:color w:val="000000" w:themeColor="text1"/>
              </w:rPr>
            </w:pPr>
            <w:r w:rsidRPr="00A92F58">
              <w:rPr>
                <w:color w:val="000000" w:themeColor="text1"/>
              </w:rPr>
              <w:t>Projekta izpildē iesaistītās institūcijas</w:t>
            </w:r>
          </w:p>
        </w:tc>
        <w:tc>
          <w:tcPr>
            <w:tcW w:w="5812" w:type="dxa"/>
          </w:tcPr>
          <w:p w:rsidR="001C1A2E" w:rsidRPr="00DB1DA9" w:rsidRDefault="00DB1DA9" w:rsidP="00790CA8">
            <w:pPr>
              <w:jc w:val="both"/>
              <w:rPr>
                <w:color w:val="000000" w:themeColor="text1"/>
              </w:rPr>
            </w:pPr>
            <w:r w:rsidRPr="00DB1DA9">
              <w:rPr>
                <w:color w:val="000000" w:themeColor="text1"/>
              </w:rPr>
              <w:t>Ekonomikas ministrija.</w:t>
            </w:r>
          </w:p>
        </w:tc>
      </w:tr>
      <w:tr w:rsidR="001C1A2E" w:rsidRPr="00A92F58" w:rsidTr="0094759F">
        <w:trPr>
          <w:trHeight w:val="472"/>
        </w:trPr>
        <w:tc>
          <w:tcPr>
            <w:tcW w:w="404" w:type="dxa"/>
          </w:tcPr>
          <w:p w:rsidR="001C1A2E" w:rsidRPr="00A92F58" w:rsidRDefault="001C1A2E" w:rsidP="00790CA8">
            <w:pPr>
              <w:pStyle w:val="naiskr"/>
              <w:spacing w:before="0" w:beforeAutospacing="0" w:after="0" w:afterAutospacing="0"/>
              <w:rPr>
                <w:color w:val="000000" w:themeColor="text1"/>
              </w:rPr>
            </w:pPr>
            <w:r w:rsidRPr="00A92F58">
              <w:rPr>
                <w:color w:val="000000" w:themeColor="text1"/>
              </w:rPr>
              <w:t>2.</w:t>
            </w:r>
          </w:p>
        </w:tc>
        <w:tc>
          <w:tcPr>
            <w:tcW w:w="3145" w:type="dxa"/>
          </w:tcPr>
          <w:p w:rsidR="001C1A2E" w:rsidRPr="00A92F58" w:rsidRDefault="001C1A2E" w:rsidP="00790CA8">
            <w:pPr>
              <w:jc w:val="both"/>
              <w:rPr>
                <w:color w:val="000000" w:themeColor="text1"/>
              </w:rPr>
            </w:pPr>
            <w:r w:rsidRPr="00A92F58">
              <w:rPr>
                <w:color w:val="000000" w:themeColor="text1"/>
              </w:rPr>
              <w:t xml:space="preserve">Projekta izpildes ietekme uz pārvaldes funkcijām un institucionālo struktūru. </w:t>
            </w:r>
          </w:p>
          <w:p w:rsidR="00EC14D6" w:rsidRPr="00A92F58" w:rsidRDefault="001C1A2E" w:rsidP="00790CA8">
            <w:pPr>
              <w:jc w:val="both"/>
              <w:rPr>
                <w:color w:val="000000" w:themeColor="text1"/>
              </w:rPr>
            </w:pPr>
            <w:r w:rsidRPr="00A92F58">
              <w:rPr>
                <w:color w:val="000000" w:themeColor="text1"/>
              </w:rPr>
              <w:t>Jaunu institūciju izveide, esošu institūciju likvidācija vai reorganizācija, to ietekme uz institūcijas cilvēkresursiem</w:t>
            </w:r>
          </w:p>
        </w:tc>
        <w:tc>
          <w:tcPr>
            <w:tcW w:w="5812" w:type="dxa"/>
          </w:tcPr>
          <w:p w:rsidR="001C1A2E" w:rsidRPr="00A92F58" w:rsidRDefault="00EB7FA3" w:rsidP="00790CA8">
            <w:pPr>
              <w:pStyle w:val="naisnod"/>
              <w:spacing w:before="0" w:beforeAutospacing="0" w:after="0" w:afterAutospacing="0"/>
              <w:ind w:left="57" w:right="57"/>
              <w:jc w:val="both"/>
              <w:rPr>
                <w:b/>
                <w:color w:val="000000" w:themeColor="text1"/>
              </w:rPr>
            </w:pPr>
            <w:r>
              <w:t>N</w:t>
            </w:r>
            <w:r w:rsidR="00BD263B" w:rsidRPr="00203D80">
              <w:t>oteikumu projekta apstiprināšanas gadījumā netiek radī</w:t>
            </w:r>
            <w:r w:rsidR="00BD263B">
              <w:t xml:space="preserve">tas jaunas valsts institūcijas. Ar noteikumu projektu tiek </w:t>
            </w:r>
            <w:r>
              <w:t xml:space="preserve">uzlabota esošā </w:t>
            </w:r>
            <w:r w:rsidR="001A3BE3">
              <w:t xml:space="preserve">obligātā iepirkuma </w:t>
            </w:r>
            <w:r>
              <w:t>sistēma.</w:t>
            </w:r>
          </w:p>
        </w:tc>
      </w:tr>
      <w:tr w:rsidR="001C1A2E" w:rsidRPr="00A92F58" w:rsidTr="0094759F">
        <w:trPr>
          <w:trHeight w:val="156"/>
        </w:trPr>
        <w:tc>
          <w:tcPr>
            <w:tcW w:w="404" w:type="dxa"/>
          </w:tcPr>
          <w:p w:rsidR="001C1A2E" w:rsidRPr="00A92F58" w:rsidRDefault="001C1A2E" w:rsidP="00790CA8">
            <w:pPr>
              <w:pStyle w:val="naiskr"/>
              <w:spacing w:before="0" w:beforeAutospacing="0" w:after="0" w:afterAutospacing="0"/>
              <w:rPr>
                <w:color w:val="000000" w:themeColor="text1"/>
              </w:rPr>
            </w:pPr>
            <w:r w:rsidRPr="00A92F58">
              <w:rPr>
                <w:color w:val="000000" w:themeColor="text1"/>
              </w:rPr>
              <w:t>3.</w:t>
            </w:r>
          </w:p>
        </w:tc>
        <w:tc>
          <w:tcPr>
            <w:tcW w:w="3145" w:type="dxa"/>
          </w:tcPr>
          <w:p w:rsidR="001C1A2E" w:rsidRPr="00A92F58" w:rsidRDefault="001C1A2E" w:rsidP="00790CA8">
            <w:pPr>
              <w:rPr>
                <w:color w:val="000000" w:themeColor="text1"/>
              </w:rPr>
            </w:pPr>
            <w:r w:rsidRPr="00A92F58">
              <w:rPr>
                <w:color w:val="000000" w:themeColor="text1"/>
              </w:rPr>
              <w:t>Cita informācija</w:t>
            </w:r>
          </w:p>
        </w:tc>
        <w:tc>
          <w:tcPr>
            <w:tcW w:w="5812" w:type="dxa"/>
          </w:tcPr>
          <w:p w:rsidR="001C1A2E" w:rsidRPr="00A92F58" w:rsidRDefault="001C1A2E" w:rsidP="00790CA8">
            <w:pPr>
              <w:pStyle w:val="naisnod"/>
              <w:spacing w:before="0" w:beforeAutospacing="0" w:after="0" w:afterAutospacing="0"/>
              <w:ind w:left="57" w:right="57"/>
              <w:jc w:val="both"/>
              <w:rPr>
                <w:b/>
                <w:color w:val="000000" w:themeColor="text1"/>
              </w:rPr>
            </w:pPr>
            <w:r w:rsidRPr="00A92F58">
              <w:rPr>
                <w:color w:val="000000" w:themeColor="text1"/>
              </w:rPr>
              <w:t>Normatīvā akta izpilde tiks nodrošināta esošo valsts institūciju funkciju ietvaros.</w:t>
            </w:r>
          </w:p>
        </w:tc>
      </w:tr>
    </w:tbl>
    <w:p w:rsidR="001C1A2E" w:rsidRPr="00A92F58" w:rsidRDefault="001C1A2E" w:rsidP="00790CA8">
      <w:pPr>
        <w:ind w:firstLine="720"/>
        <w:jc w:val="center"/>
        <w:rPr>
          <w:i/>
          <w:color w:val="000000" w:themeColor="text1"/>
        </w:rPr>
      </w:pPr>
      <w:r w:rsidRPr="00A92F58">
        <w:rPr>
          <w:i/>
          <w:color w:val="000000" w:themeColor="text1"/>
        </w:rPr>
        <w:t xml:space="preserve">Anotācijas </w:t>
      </w:r>
      <w:r w:rsidR="007C1F2A">
        <w:rPr>
          <w:i/>
          <w:color w:val="000000" w:themeColor="text1"/>
        </w:rPr>
        <w:t>III, IV,</w:t>
      </w:r>
      <w:r w:rsidRPr="00A92F58">
        <w:rPr>
          <w:i/>
          <w:color w:val="000000" w:themeColor="text1"/>
        </w:rPr>
        <w:t>V</w:t>
      </w:r>
      <w:r w:rsidR="00454A67">
        <w:rPr>
          <w:i/>
          <w:color w:val="000000" w:themeColor="text1"/>
        </w:rPr>
        <w:t>, VI</w:t>
      </w:r>
      <w:r w:rsidRPr="00A92F58">
        <w:rPr>
          <w:i/>
          <w:color w:val="000000" w:themeColor="text1"/>
        </w:rPr>
        <w:t xml:space="preserve"> sadaļa – projekts š</w:t>
      </w:r>
      <w:r w:rsidR="00DB1DA9">
        <w:rPr>
          <w:i/>
          <w:color w:val="000000" w:themeColor="text1"/>
        </w:rPr>
        <w:t>o</w:t>
      </w:r>
      <w:r w:rsidRPr="00A92F58">
        <w:rPr>
          <w:i/>
          <w:color w:val="000000" w:themeColor="text1"/>
        </w:rPr>
        <w:t xml:space="preserve"> jom</w:t>
      </w:r>
      <w:r w:rsidR="00DB1DA9">
        <w:rPr>
          <w:i/>
          <w:color w:val="000000" w:themeColor="text1"/>
        </w:rPr>
        <w:t>u</w:t>
      </w:r>
      <w:r w:rsidR="003E00E1">
        <w:rPr>
          <w:i/>
          <w:color w:val="000000" w:themeColor="text1"/>
        </w:rPr>
        <w:t xml:space="preserve"> </w:t>
      </w:r>
      <w:r w:rsidRPr="00A92F58">
        <w:rPr>
          <w:i/>
          <w:color w:val="000000" w:themeColor="text1"/>
        </w:rPr>
        <w:t>neskar.</w:t>
      </w:r>
    </w:p>
    <w:p w:rsidR="0094759F" w:rsidRDefault="0094759F" w:rsidP="00790CA8">
      <w:pPr>
        <w:rPr>
          <w:bCs/>
          <w:sz w:val="28"/>
          <w:szCs w:val="28"/>
        </w:rPr>
      </w:pPr>
    </w:p>
    <w:p w:rsidR="007C1F2A" w:rsidRDefault="007C1F2A" w:rsidP="00790CA8">
      <w:pPr>
        <w:rPr>
          <w:bCs/>
          <w:sz w:val="28"/>
          <w:szCs w:val="28"/>
        </w:rPr>
      </w:pPr>
    </w:p>
    <w:p w:rsidR="005E59EE" w:rsidRPr="005E59EE" w:rsidRDefault="005E59EE" w:rsidP="00790CA8">
      <w:pPr>
        <w:rPr>
          <w:bCs/>
          <w:sz w:val="28"/>
          <w:szCs w:val="28"/>
        </w:rPr>
      </w:pPr>
      <w:r w:rsidRPr="005E59EE">
        <w:rPr>
          <w:bCs/>
          <w:sz w:val="28"/>
          <w:szCs w:val="28"/>
        </w:rPr>
        <w:t>Ekonomikas ministrs</w:t>
      </w:r>
      <w:r w:rsidR="00DF6696">
        <w:rPr>
          <w:bCs/>
          <w:sz w:val="28"/>
          <w:szCs w:val="28"/>
        </w:rPr>
        <w:t xml:space="preserve"> </w:t>
      </w:r>
      <w:r w:rsidR="00DF6696">
        <w:rPr>
          <w:bCs/>
          <w:sz w:val="28"/>
          <w:szCs w:val="28"/>
        </w:rPr>
        <w:tab/>
      </w:r>
      <w:r w:rsidR="00DF6696">
        <w:rPr>
          <w:bCs/>
          <w:sz w:val="28"/>
          <w:szCs w:val="28"/>
        </w:rPr>
        <w:tab/>
      </w:r>
      <w:r w:rsidR="00DF6696">
        <w:rPr>
          <w:bCs/>
          <w:sz w:val="28"/>
          <w:szCs w:val="28"/>
        </w:rPr>
        <w:tab/>
      </w:r>
      <w:r w:rsidR="00DF6696">
        <w:rPr>
          <w:bCs/>
          <w:sz w:val="28"/>
          <w:szCs w:val="28"/>
        </w:rPr>
        <w:tab/>
      </w:r>
      <w:r w:rsidR="00DF6696">
        <w:rPr>
          <w:bCs/>
          <w:sz w:val="28"/>
          <w:szCs w:val="28"/>
        </w:rPr>
        <w:tab/>
      </w:r>
      <w:r w:rsidR="00DF6696">
        <w:rPr>
          <w:bCs/>
          <w:sz w:val="28"/>
          <w:szCs w:val="28"/>
        </w:rPr>
        <w:tab/>
      </w:r>
      <w:r w:rsidR="00DF6696">
        <w:rPr>
          <w:bCs/>
          <w:sz w:val="28"/>
          <w:szCs w:val="28"/>
        </w:rPr>
        <w:tab/>
        <w:t>V.Dombrovskis</w:t>
      </w:r>
    </w:p>
    <w:p w:rsidR="00AC1F53" w:rsidRDefault="00AC1F53" w:rsidP="00790CA8">
      <w:pPr>
        <w:pStyle w:val="naisf"/>
        <w:spacing w:before="0" w:beforeAutospacing="0" w:after="0" w:afterAutospacing="0"/>
        <w:rPr>
          <w:bCs/>
          <w:color w:val="000000"/>
          <w:sz w:val="28"/>
          <w:szCs w:val="20"/>
        </w:rPr>
      </w:pPr>
    </w:p>
    <w:p w:rsidR="007C1F2A" w:rsidRDefault="007C1F2A" w:rsidP="00790CA8">
      <w:pPr>
        <w:pStyle w:val="naisf"/>
        <w:spacing w:before="0" w:beforeAutospacing="0" w:after="0" w:afterAutospacing="0"/>
        <w:rPr>
          <w:bCs/>
          <w:color w:val="000000"/>
          <w:sz w:val="28"/>
          <w:szCs w:val="20"/>
        </w:rPr>
      </w:pPr>
    </w:p>
    <w:p w:rsidR="0038787E" w:rsidRPr="00AE2633" w:rsidRDefault="0038787E" w:rsidP="00790CA8">
      <w:pPr>
        <w:pStyle w:val="naisf"/>
        <w:spacing w:before="0" w:beforeAutospacing="0" w:after="0" w:afterAutospacing="0"/>
        <w:rPr>
          <w:b/>
          <w:bCs/>
          <w:color w:val="000000"/>
          <w:sz w:val="28"/>
          <w:szCs w:val="20"/>
        </w:rPr>
      </w:pPr>
      <w:r w:rsidRPr="00AE2633">
        <w:rPr>
          <w:bCs/>
          <w:color w:val="000000"/>
          <w:sz w:val="28"/>
          <w:szCs w:val="20"/>
        </w:rPr>
        <w:t>Vīza:</w:t>
      </w:r>
    </w:p>
    <w:p w:rsidR="0038787E" w:rsidRPr="0094759F" w:rsidRDefault="0038787E" w:rsidP="00790CA8">
      <w:pPr>
        <w:jc w:val="both"/>
        <w:rPr>
          <w:color w:val="000000" w:themeColor="text1"/>
          <w:sz w:val="28"/>
          <w:szCs w:val="28"/>
        </w:rPr>
      </w:pPr>
      <w:r w:rsidRPr="00AE2633">
        <w:rPr>
          <w:color w:val="000000"/>
          <w:sz w:val="28"/>
          <w:szCs w:val="28"/>
        </w:rPr>
        <w:t>valsts sekretār</w:t>
      </w:r>
      <w:r w:rsidR="007C1F2A">
        <w:rPr>
          <w:color w:val="000000"/>
          <w:sz w:val="28"/>
          <w:szCs w:val="28"/>
        </w:rPr>
        <w:t>s</w:t>
      </w:r>
      <w:r w:rsidRPr="00AE2633">
        <w:rPr>
          <w:color w:val="000000"/>
          <w:sz w:val="28"/>
          <w:szCs w:val="28"/>
        </w:rPr>
        <w:t xml:space="preserve"> </w:t>
      </w:r>
      <w:r w:rsidR="007C1F2A">
        <w:rPr>
          <w:color w:val="000000"/>
          <w:sz w:val="28"/>
          <w:szCs w:val="28"/>
        </w:rPr>
        <w:tab/>
      </w:r>
      <w:r w:rsidR="007C1F2A">
        <w:rPr>
          <w:color w:val="000000"/>
          <w:sz w:val="28"/>
          <w:szCs w:val="28"/>
        </w:rPr>
        <w:tab/>
      </w:r>
      <w:r w:rsidR="007C1F2A">
        <w:rPr>
          <w:color w:val="000000"/>
          <w:sz w:val="28"/>
          <w:szCs w:val="28"/>
        </w:rPr>
        <w:tab/>
      </w:r>
      <w:r w:rsidR="007C1F2A">
        <w:rPr>
          <w:color w:val="000000"/>
          <w:sz w:val="28"/>
          <w:szCs w:val="28"/>
        </w:rPr>
        <w:tab/>
      </w:r>
      <w:r w:rsidR="007C1F2A">
        <w:rPr>
          <w:color w:val="000000"/>
          <w:sz w:val="28"/>
          <w:szCs w:val="28"/>
        </w:rPr>
        <w:tab/>
      </w:r>
      <w:r w:rsidR="007C1F2A">
        <w:rPr>
          <w:color w:val="000000"/>
          <w:sz w:val="28"/>
          <w:szCs w:val="28"/>
        </w:rPr>
        <w:tab/>
      </w:r>
      <w:r w:rsidR="007C1F2A">
        <w:rPr>
          <w:color w:val="000000"/>
          <w:sz w:val="28"/>
          <w:szCs w:val="28"/>
        </w:rPr>
        <w:tab/>
      </w:r>
      <w:r w:rsidR="007C1F2A">
        <w:rPr>
          <w:color w:val="000000"/>
          <w:sz w:val="28"/>
          <w:szCs w:val="28"/>
        </w:rPr>
        <w:tab/>
        <w:t>M.Lazdovskis</w:t>
      </w:r>
    </w:p>
    <w:p w:rsidR="0038787E" w:rsidRDefault="0038787E" w:rsidP="00790CA8">
      <w:pPr>
        <w:pStyle w:val="Header"/>
        <w:tabs>
          <w:tab w:val="clear" w:pos="4153"/>
          <w:tab w:val="clear" w:pos="8306"/>
        </w:tabs>
        <w:rPr>
          <w:color w:val="000000" w:themeColor="text1"/>
          <w:sz w:val="20"/>
          <w:szCs w:val="20"/>
        </w:rPr>
      </w:pPr>
    </w:p>
    <w:p w:rsidR="00851C84" w:rsidRDefault="00851C84" w:rsidP="00790CA8">
      <w:pPr>
        <w:pStyle w:val="Header"/>
        <w:tabs>
          <w:tab w:val="clear" w:pos="4153"/>
          <w:tab w:val="clear" w:pos="8306"/>
        </w:tabs>
        <w:rPr>
          <w:color w:val="000000" w:themeColor="text1"/>
          <w:sz w:val="20"/>
          <w:szCs w:val="20"/>
        </w:rPr>
      </w:pPr>
    </w:p>
    <w:p w:rsidR="0094759F" w:rsidRPr="00790CA8" w:rsidRDefault="0094759F" w:rsidP="00790CA8">
      <w:pPr>
        <w:pStyle w:val="Header"/>
        <w:tabs>
          <w:tab w:val="clear" w:pos="4153"/>
          <w:tab w:val="clear" w:pos="8306"/>
        </w:tabs>
        <w:rPr>
          <w:color w:val="000000" w:themeColor="text1"/>
          <w:sz w:val="20"/>
          <w:szCs w:val="20"/>
        </w:rPr>
      </w:pPr>
    </w:p>
    <w:p w:rsidR="00DB1DA9" w:rsidRPr="00790CA8" w:rsidRDefault="00DB1DA9" w:rsidP="00790CA8">
      <w:pPr>
        <w:pStyle w:val="Header"/>
        <w:tabs>
          <w:tab w:val="clear" w:pos="4153"/>
          <w:tab w:val="clear" w:pos="8306"/>
        </w:tabs>
        <w:rPr>
          <w:color w:val="000000" w:themeColor="text1"/>
          <w:sz w:val="20"/>
          <w:szCs w:val="20"/>
        </w:rPr>
      </w:pPr>
    </w:p>
    <w:p w:rsidR="00DB1DA9" w:rsidRPr="00790CA8" w:rsidRDefault="00DB1DA9" w:rsidP="00790CA8">
      <w:pPr>
        <w:pStyle w:val="Header"/>
        <w:tabs>
          <w:tab w:val="clear" w:pos="4153"/>
          <w:tab w:val="clear" w:pos="8306"/>
        </w:tabs>
        <w:rPr>
          <w:color w:val="000000" w:themeColor="text1"/>
          <w:sz w:val="20"/>
          <w:szCs w:val="20"/>
        </w:rPr>
      </w:pPr>
    </w:p>
    <w:p w:rsidR="0038787E" w:rsidRPr="00790CA8" w:rsidRDefault="0017290D" w:rsidP="00790CA8">
      <w:pPr>
        <w:pStyle w:val="Header"/>
        <w:tabs>
          <w:tab w:val="clear" w:pos="4153"/>
          <w:tab w:val="clear" w:pos="8306"/>
        </w:tabs>
        <w:rPr>
          <w:color w:val="000000" w:themeColor="text1"/>
          <w:sz w:val="20"/>
          <w:szCs w:val="20"/>
        </w:rPr>
      </w:pPr>
      <w:r>
        <w:rPr>
          <w:color w:val="000000" w:themeColor="text1"/>
          <w:sz w:val="20"/>
          <w:szCs w:val="20"/>
        </w:rPr>
        <w:t>1</w:t>
      </w:r>
      <w:r w:rsidR="00916B66">
        <w:rPr>
          <w:color w:val="000000" w:themeColor="text1"/>
          <w:sz w:val="20"/>
          <w:szCs w:val="20"/>
        </w:rPr>
        <w:t>5</w:t>
      </w:r>
      <w:r w:rsidR="0038787E" w:rsidRPr="00790CA8">
        <w:rPr>
          <w:color w:val="000000" w:themeColor="text1"/>
          <w:sz w:val="20"/>
          <w:szCs w:val="20"/>
        </w:rPr>
        <w:t>.</w:t>
      </w:r>
      <w:r w:rsidR="000C346D" w:rsidRPr="00790CA8">
        <w:rPr>
          <w:color w:val="000000" w:themeColor="text1"/>
          <w:sz w:val="20"/>
          <w:szCs w:val="20"/>
        </w:rPr>
        <w:t>0</w:t>
      </w:r>
      <w:r w:rsidR="00790CA8" w:rsidRPr="00790CA8">
        <w:rPr>
          <w:color w:val="000000" w:themeColor="text1"/>
          <w:sz w:val="20"/>
          <w:szCs w:val="20"/>
        </w:rPr>
        <w:t>4</w:t>
      </w:r>
      <w:r w:rsidR="0038787E" w:rsidRPr="00790CA8">
        <w:rPr>
          <w:color w:val="000000" w:themeColor="text1"/>
          <w:sz w:val="20"/>
          <w:szCs w:val="20"/>
        </w:rPr>
        <w:t>.201</w:t>
      </w:r>
      <w:r w:rsidR="000C346D" w:rsidRPr="00790CA8">
        <w:rPr>
          <w:color w:val="000000" w:themeColor="text1"/>
          <w:sz w:val="20"/>
          <w:szCs w:val="20"/>
        </w:rPr>
        <w:t>4</w:t>
      </w:r>
      <w:r w:rsidR="0038787E" w:rsidRPr="00790CA8">
        <w:rPr>
          <w:color w:val="000000" w:themeColor="text1"/>
          <w:sz w:val="20"/>
          <w:szCs w:val="20"/>
        </w:rPr>
        <w:t xml:space="preserve">. </w:t>
      </w:r>
      <w:r w:rsidR="00544658">
        <w:rPr>
          <w:color w:val="000000" w:themeColor="text1"/>
          <w:sz w:val="20"/>
          <w:szCs w:val="20"/>
        </w:rPr>
        <w:t>10</w:t>
      </w:r>
      <w:r w:rsidR="0038787E" w:rsidRPr="00790CA8">
        <w:rPr>
          <w:color w:val="000000" w:themeColor="text1"/>
          <w:sz w:val="20"/>
          <w:szCs w:val="20"/>
        </w:rPr>
        <w:t>:</w:t>
      </w:r>
      <w:r w:rsidR="00544658">
        <w:rPr>
          <w:color w:val="000000" w:themeColor="text1"/>
          <w:sz w:val="20"/>
          <w:szCs w:val="20"/>
        </w:rPr>
        <w:t>23</w:t>
      </w:r>
      <w:bookmarkStart w:id="4" w:name="_GoBack"/>
      <w:bookmarkEnd w:id="4"/>
    </w:p>
    <w:p w:rsidR="0038787E" w:rsidRPr="00790CA8" w:rsidRDefault="0038787E" w:rsidP="00790CA8">
      <w:pPr>
        <w:pStyle w:val="Header"/>
        <w:tabs>
          <w:tab w:val="clear" w:pos="4153"/>
          <w:tab w:val="clear" w:pos="8306"/>
        </w:tabs>
        <w:rPr>
          <w:color w:val="000000" w:themeColor="text1"/>
          <w:sz w:val="20"/>
          <w:szCs w:val="20"/>
        </w:rPr>
      </w:pPr>
      <w:r w:rsidRPr="00790CA8">
        <w:rPr>
          <w:color w:val="000000" w:themeColor="text1"/>
          <w:sz w:val="20"/>
          <w:szCs w:val="20"/>
        </w:rPr>
        <w:fldChar w:fldCharType="begin"/>
      </w:r>
      <w:r w:rsidRPr="00790CA8">
        <w:rPr>
          <w:color w:val="000000" w:themeColor="text1"/>
          <w:sz w:val="20"/>
          <w:szCs w:val="20"/>
        </w:rPr>
        <w:instrText xml:space="preserve"> NUMWORDS  \* Arabic  \* MERGEFORMAT </w:instrText>
      </w:r>
      <w:r w:rsidRPr="00790CA8">
        <w:rPr>
          <w:color w:val="000000" w:themeColor="text1"/>
          <w:sz w:val="20"/>
          <w:szCs w:val="20"/>
        </w:rPr>
        <w:fldChar w:fldCharType="separate"/>
      </w:r>
      <w:r w:rsidR="00C57777">
        <w:rPr>
          <w:noProof/>
          <w:color w:val="000000" w:themeColor="text1"/>
          <w:sz w:val="20"/>
          <w:szCs w:val="20"/>
        </w:rPr>
        <w:t>1087</w:t>
      </w:r>
      <w:r w:rsidRPr="00790CA8">
        <w:rPr>
          <w:color w:val="000000" w:themeColor="text1"/>
          <w:sz w:val="20"/>
          <w:szCs w:val="20"/>
        </w:rPr>
        <w:fldChar w:fldCharType="end"/>
      </w:r>
    </w:p>
    <w:p w:rsidR="0094759F" w:rsidRPr="00790CA8" w:rsidRDefault="0038787E" w:rsidP="00790CA8">
      <w:pPr>
        <w:pStyle w:val="Header"/>
        <w:tabs>
          <w:tab w:val="clear" w:pos="4153"/>
          <w:tab w:val="clear" w:pos="8306"/>
        </w:tabs>
        <w:rPr>
          <w:color w:val="000000" w:themeColor="text1"/>
          <w:sz w:val="20"/>
          <w:szCs w:val="20"/>
        </w:rPr>
      </w:pPr>
      <w:r w:rsidRPr="00790CA8">
        <w:rPr>
          <w:color w:val="000000" w:themeColor="text1"/>
          <w:sz w:val="20"/>
          <w:szCs w:val="20"/>
        </w:rPr>
        <w:t xml:space="preserve">K.Piģēns, </w:t>
      </w:r>
    </w:p>
    <w:p w:rsidR="00435C4E" w:rsidRPr="00790CA8" w:rsidRDefault="0038787E" w:rsidP="00790CA8">
      <w:pPr>
        <w:pStyle w:val="Header"/>
        <w:tabs>
          <w:tab w:val="clear" w:pos="4153"/>
          <w:tab w:val="clear" w:pos="8306"/>
        </w:tabs>
        <w:rPr>
          <w:color w:val="000000" w:themeColor="text1"/>
          <w:sz w:val="20"/>
          <w:szCs w:val="20"/>
        </w:rPr>
      </w:pPr>
      <w:r w:rsidRPr="00790CA8">
        <w:rPr>
          <w:color w:val="000000" w:themeColor="text1"/>
          <w:sz w:val="20"/>
          <w:szCs w:val="20"/>
        </w:rPr>
        <w:t>67013133</w:t>
      </w:r>
    </w:p>
    <w:p w:rsidR="007C1F2A" w:rsidRPr="00790CA8" w:rsidRDefault="00F50084" w:rsidP="00790CA8">
      <w:pPr>
        <w:pStyle w:val="Header"/>
        <w:tabs>
          <w:tab w:val="clear" w:pos="4153"/>
          <w:tab w:val="clear" w:pos="8306"/>
        </w:tabs>
        <w:rPr>
          <w:color w:val="000000" w:themeColor="text1"/>
          <w:sz w:val="20"/>
          <w:szCs w:val="20"/>
        </w:rPr>
      </w:pPr>
      <w:hyperlink r:id="rId10" w:history="1">
        <w:r w:rsidR="007C1F2A" w:rsidRPr="00790CA8">
          <w:rPr>
            <w:rStyle w:val="Hyperlink"/>
            <w:color w:val="000000" w:themeColor="text1"/>
            <w:sz w:val="20"/>
            <w:szCs w:val="20"/>
          </w:rPr>
          <w:t>Karlis.Pigens@em.gov.lv</w:t>
        </w:r>
      </w:hyperlink>
      <w:r w:rsidR="007C1F2A" w:rsidRPr="00790CA8">
        <w:rPr>
          <w:color w:val="000000" w:themeColor="text1"/>
          <w:sz w:val="20"/>
          <w:szCs w:val="20"/>
        </w:rPr>
        <w:t xml:space="preserve"> </w:t>
      </w:r>
    </w:p>
    <w:sectPr w:rsidR="007C1F2A" w:rsidRPr="00790CA8" w:rsidSect="0094759F">
      <w:headerReference w:type="default" r:id="rId11"/>
      <w:footerReference w:type="default" r:id="rId12"/>
      <w:footerReference w:type="first" r:id="rId13"/>
      <w:pgSz w:w="11906" w:h="16838"/>
      <w:pgMar w:top="1418" w:right="1134"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084" w:rsidRDefault="00F50084">
      <w:r>
        <w:separator/>
      </w:r>
    </w:p>
  </w:endnote>
  <w:endnote w:type="continuationSeparator" w:id="0">
    <w:p w:rsidR="00F50084" w:rsidRDefault="00F5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13" w:rsidRPr="004024C2" w:rsidRDefault="004024C2" w:rsidP="004024C2">
    <w:pPr>
      <w:contextualSpacing/>
      <w:jc w:val="both"/>
      <w:outlineLvl w:val="0"/>
    </w:pPr>
    <w:r w:rsidRPr="004024C2">
      <w:rPr>
        <w:sz w:val="20"/>
        <w:szCs w:val="20"/>
      </w:rPr>
      <w:t>EMAnot_</w:t>
    </w:r>
    <w:r w:rsidR="0017290D">
      <w:rPr>
        <w:sz w:val="20"/>
        <w:szCs w:val="20"/>
      </w:rPr>
      <w:t>1</w:t>
    </w:r>
    <w:r w:rsidR="00916B66">
      <w:rPr>
        <w:sz w:val="20"/>
        <w:szCs w:val="20"/>
      </w:rPr>
      <w:t>5</w:t>
    </w:r>
    <w:r w:rsidR="007C1F2A">
      <w:rPr>
        <w:sz w:val="20"/>
        <w:szCs w:val="20"/>
      </w:rPr>
      <w:t>04</w:t>
    </w:r>
    <w:r>
      <w:rPr>
        <w:sz w:val="20"/>
        <w:szCs w:val="20"/>
      </w:rPr>
      <w:t>14</w:t>
    </w:r>
    <w:r w:rsidRPr="004024C2">
      <w:rPr>
        <w:sz w:val="20"/>
        <w:szCs w:val="20"/>
      </w:rPr>
      <w:t>_</w:t>
    </w:r>
    <w:r>
      <w:rPr>
        <w:sz w:val="20"/>
        <w:szCs w:val="20"/>
      </w:rPr>
      <w:t>2</w:t>
    </w:r>
    <w:r w:rsidR="00F31AC7">
      <w:rPr>
        <w:sz w:val="20"/>
        <w:szCs w:val="20"/>
      </w:rPr>
      <w:t>62</w:t>
    </w:r>
    <w:r w:rsidRPr="004024C2">
      <w:rPr>
        <w:sz w:val="20"/>
        <w:szCs w:val="20"/>
      </w:rPr>
      <w:t xml:space="preserve">; </w:t>
    </w:r>
    <w:r w:rsidR="00F31AC7" w:rsidRPr="003E45BF">
      <w:rPr>
        <w:sz w:val="20"/>
        <w:szCs w:val="20"/>
      </w:rPr>
      <w:t>Ministru kabineta noteikumu projekts „</w:t>
    </w:r>
    <w:r w:rsidR="00F31AC7" w:rsidRPr="003E45BF">
      <w:rPr>
        <w:bCs/>
        <w:sz w:val="20"/>
        <w:szCs w:val="20"/>
      </w:rPr>
      <w:t>Grozījum</w:t>
    </w:r>
    <w:r w:rsidR="00F31AC7">
      <w:rPr>
        <w:bCs/>
        <w:sz w:val="20"/>
        <w:szCs w:val="20"/>
      </w:rPr>
      <w:t>i</w:t>
    </w:r>
    <w:r w:rsidR="00F31AC7" w:rsidRPr="003E45BF">
      <w:rPr>
        <w:bCs/>
        <w:sz w:val="20"/>
        <w:szCs w:val="20"/>
      </w:rPr>
      <w:t xml:space="preserve"> </w:t>
    </w:r>
    <w:r w:rsidR="00F31AC7" w:rsidRPr="003E45BF">
      <w:rPr>
        <w:sz w:val="20"/>
        <w:szCs w:val="20"/>
      </w:rPr>
      <w:t>Ministru kabineta 2010.</w:t>
    </w:r>
    <w:r w:rsidR="00F31AC7">
      <w:rPr>
        <w:sz w:val="20"/>
        <w:szCs w:val="20"/>
      </w:rPr>
      <w:t> </w:t>
    </w:r>
    <w:r w:rsidR="00F31AC7" w:rsidRPr="003E45BF">
      <w:rPr>
        <w:sz w:val="20"/>
        <w:szCs w:val="20"/>
      </w:rPr>
      <w:t>gada 16.</w:t>
    </w:r>
    <w:r w:rsidR="00F31AC7">
      <w:rPr>
        <w:sz w:val="20"/>
        <w:szCs w:val="20"/>
      </w:rPr>
      <w:t> </w:t>
    </w:r>
    <w:r w:rsidR="00F31AC7" w:rsidRPr="003E45BF">
      <w:rPr>
        <w:sz w:val="20"/>
        <w:szCs w:val="20"/>
      </w:rPr>
      <w:t>marta noteikumos Nr.</w:t>
    </w:r>
    <w:r w:rsidR="00F31AC7" w:rsidRPr="00E958BA">
      <w:rPr>
        <w:sz w:val="20"/>
        <w:szCs w:val="20"/>
      </w:rPr>
      <w:t>262 „</w:t>
    </w:r>
    <w:r w:rsidR="00F31AC7" w:rsidRPr="00E958BA">
      <w:rPr>
        <w:bCs/>
        <w:sz w:val="20"/>
        <w:szCs w:val="20"/>
      </w:rPr>
      <w:t>Noteikumi par elektroenerģijas ražošanu, izmantojot atjaunojamos energoresursus, un cenu noteikšanas kārtību””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13" w:rsidRPr="00F31AC7" w:rsidRDefault="00F31AC7" w:rsidP="00F31AC7">
    <w:pPr>
      <w:contextualSpacing/>
      <w:jc w:val="both"/>
      <w:outlineLvl w:val="0"/>
    </w:pPr>
    <w:r w:rsidRPr="004024C2">
      <w:rPr>
        <w:sz w:val="20"/>
        <w:szCs w:val="20"/>
      </w:rPr>
      <w:t>EMAnot_</w:t>
    </w:r>
    <w:r w:rsidR="0017290D">
      <w:rPr>
        <w:sz w:val="20"/>
        <w:szCs w:val="20"/>
      </w:rPr>
      <w:t>1</w:t>
    </w:r>
    <w:r w:rsidR="00916B66">
      <w:rPr>
        <w:sz w:val="20"/>
        <w:szCs w:val="20"/>
      </w:rPr>
      <w:t>5</w:t>
    </w:r>
    <w:r>
      <w:rPr>
        <w:sz w:val="20"/>
        <w:szCs w:val="20"/>
      </w:rPr>
      <w:t>0414</w:t>
    </w:r>
    <w:r w:rsidRPr="004024C2">
      <w:rPr>
        <w:sz w:val="20"/>
        <w:szCs w:val="20"/>
      </w:rPr>
      <w:t>_</w:t>
    </w:r>
    <w:r>
      <w:rPr>
        <w:sz w:val="20"/>
        <w:szCs w:val="20"/>
      </w:rPr>
      <w:t>262</w:t>
    </w:r>
    <w:r w:rsidRPr="004024C2">
      <w:rPr>
        <w:sz w:val="20"/>
        <w:szCs w:val="20"/>
      </w:rPr>
      <w:t xml:space="preserve">; </w:t>
    </w:r>
    <w:r w:rsidRPr="003E45BF">
      <w:rPr>
        <w:sz w:val="20"/>
        <w:szCs w:val="20"/>
      </w:rPr>
      <w:t>Ministru kabineta noteikumu projekts „</w:t>
    </w:r>
    <w:r w:rsidRPr="003E45BF">
      <w:rPr>
        <w:bCs/>
        <w:sz w:val="20"/>
        <w:szCs w:val="20"/>
      </w:rPr>
      <w:t>Grozījum</w:t>
    </w:r>
    <w:r>
      <w:rPr>
        <w:bCs/>
        <w:sz w:val="20"/>
        <w:szCs w:val="20"/>
      </w:rPr>
      <w:t>i</w:t>
    </w:r>
    <w:r w:rsidRPr="003E45BF">
      <w:rPr>
        <w:bCs/>
        <w:sz w:val="20"/>
        <w:szCs w:val="20"/>
      </w:rPr>
      <w:t xml:space="preserve"> </w:t>
    </w:r>
    <w:r w:rsidRPr="003E45BF">
      <w:rPr>
        <w:sz w:val="20"/>
        <w:szCs w:val="20"/>
      </w:rPr>
      <w:t>Ministru kabineta 2010.</w:t>
    </w:r>
    <w:r>
      <w:rPr>
        <w:sz w:val="20"/>
        <w:szCs w:val="20"/>
      </w:rPr>
      <w:t> </w:t>
    </w:r>
    <w:r w:rsidRPr="003E45BF">
      <w:rPr>
        <w:sz w:val="20"/>
        <w:szCs w:val="20"/>
      </w:rPr>
      <w:t>gada 16.</w:t>
    </w:r>
    <w:r>
      <w:rPr>
        <w:sz w:val="20"/>
        <w:szCs w:val="20"/>
      </w:rPr>
      <w:t> </w:t>
    </w:r>
    <w:r w:rsidRPr="003E45BF">
      <w:rPr>
        <w:sz w:val="20"/>
        <w:szCs w:val="20"/>
      </w:rPr>
      <w:t>marta noteikumos Nr.</w:t>
    </w:r>
    <w:r w:rsidRPr="00E958BA">
      <w:rPr>
        <w:sz w:val="20"/>
        <w:szCs w:val="20"/>
      </w:rPr>
      <w:t>262 „</w:t>
    </w:r>
    <w:r w:rsidRPr="00E958BA">
      <w:rPr>
        <w:bCs/>
        <w:sz w:val="20"/>
        <w:szCs w:val="20"/>
      </w:rPr>
      <w:t>Noteikumi par elektroenerģijas ražošanu, izmantojot atjaunojamos energoresursus, un cenu noteikšanas kārtību””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084" w:rsidRDefault="00F50084">
      <w:r>
        <w:separator/>
      </w:r>
    </w:p>
  </w:footnote>
  <w:footnote w:type="continuationSeparator" w:id="0">
    <w:p w:rsidR="00F50084" w:rsidRDefault="00F50084">
      <w:r>
        <w:continuationSeparator/>
      </w:r>
    </w:p>
  </w:footnote>
  <w:footnote w:id="1">
    <w:p w:rsidR="00B87A66" w:rsidRDefault="00B87A66" w:rsidP="00B87A66">
      <w:pPr>
        <w:jc w:val="both"/>
      </w:pPr>
      <w:r w:rsidRPr="00B87A66">
        <w:rPr>
          <w:rStyle w:val="FootnoteReference"/>
          <w:sz w:val="20"/>
          <w:szCs w:val="20"/>
        </w:rPr>
        <w:footnoteRef/>
      </w:r>
      <w:r w:rsidRPr="00B87A66">
        <w:rPr>
          <w:sz w:val="20"/>
          <w:szCs w:val="20"/>
        </w:rPr>
        <w:t xml:space="preserve"> Pētījum</w:t>
      </w:r>
      <w:r w:rsidR="001A3BE3">
        <w:rPr>
          <w:sz w:val="20"/>
          <w:szCs w:val="20"/>
        </w:rPr>
        <w:t xml:space="preserve">a </w:t>
      </w:r>
      <w:r w:rsidRPr="00B87A66">
        <w:rPr>
          <w:rFonts w:eastAsia="Calibri"/>
          <w:color w:val="000000"/>
          <w:sz w:val="20"/>
          <w:szCs w:val="20"/>
        </w:rPr>
        <w:t>„Elektroenerģijas, kas ražota no atjaunojamiem energoresursiem un koģenerācijā, atbalsta izvērtējums un priekšlikumi atbalsta uzlabošanai”</w:t>
      </w:r>
      <w:r w:rsidR="001A3BE3">
        <w:rPr>
          <w:rFonts w:eastAsia="Calibri"/>
          <w:color w:val="000000"/>
          <w:sz w:val="20"/>
          <w:szCs w:val="20"/>
        </w:rPr>
        <w:t xml:space="preserve"> 118.lpp. Pētījums</w:t>
      </w:r>
      <w:r w:rsidRPr="00B87A66">
        <w:rPr>
          <w:rFonts w:eastAsia="Calibri"/>
          <w:color w:val="000000"/>
          <w:sz w:val="20"/>
          <w:szCs w:val="20"/>
        </w:rPr>
        <w:t xml:space="preserve"> pieejams Ekonomikas ministrija tīmekļa vietnē: (</w:t>
      </w:r>
      <w:hyperlink r:id="rId1" w:history="1">
        <w:r w:rsidRPr="00B87A66">
          <w:rPr>
            <w:rStyle w:val="Hyperlink"/>
            <w:rFonts w:eastAsia="Calibri"/>
            <w:color w:val="000000"/>
            <w:sz w:val="20"/>
            <w:szCs w:val="20"/>
          </w:rPr>
          <w:t>http://www.em.gov.lv/em/2nd/?cat=30179</w:t>
        </w:r>
      </w:hyperlink>
      <w:r w:rsidRPr="00B87A66">
        <w:rPr>
          <w:rStyle w:val="Hyperlink"/>
          <w:rFonts w:eastAsia="Calibri"/>
          <w:color w:val="000000"/>
          <w:sz w:val="20"/>
          <w:szCs w:val="20"/>
        </w:rPr>
        <w:t>)</w:t>
      </w:r>
      <w:r w:rsidRPr="00B87A66">
        <w:rPr>
          <w:rFonts w:eastAsia="Calibri"/>
          <w:color w:val="00000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4391"/>
      <w:docPartObj>
        <w:docPartGallery w:val="Page Numbers (Top of Page)"/>
        <w:docPartUnique/>
      </w:docPartObj>
    </w:sdtPr>
    <w:sdtEndPr/>
    <w:sdtContent>
      <w:p w:rsidR="00F72E13" w:rsidRDefault="0031785A">
        <w:pPr>
          <w:pStyle w:val="Header"/>
          <w:jc w:val="center"/>
        </w:pPr>
        <w:r>
          <w:fldChar w:fldCharType="begin"/>
        </w:r>
        <w:r>
          <w:instrText xml:space="preserve"> PAGE   \* MERGEFORMAT </w:instrText>
        </w:r>
        <w:r>
          <w:fldChar w:fldCharType="separate"/>
        </w:r>
        <w:r w:rsidR="00544658">
          <w:rPr>
            <w:noProof/>
          </w:rPr>
          <w:t>4</w:t>
        </w:r>
        <w:r>
          <w:rPr>
            <w:noProof/>
          </w:rPr>
          <w:fldChar w:fldCharType="end"/>
        </w:r>
      </w:p>
    </w:sdtContent>
  </w:sdt>
  <w:p w:rsidR="00F72E13" w:rsidRDefault="00F72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6DB342C1"/>
    <w:multiLevelType w:val="hybridMultilevel"/>
    <w:tmpl w:val="BE3482BC"/>
    <w:lvl w:ilvl="0" w:tplc="DA82601E">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0C"/>
    <w:rsid w:val="00003034"/>
    <w:rsid w:val="00003E70"/>
    <w:rsid w:val="00006186"/>
    <w:rsid w:val="00015274"/>
    <w:rsid w:val="00023BE0"/>
    <w:rsid w:val="00030E08"/>
    <w:rsid w:val="000411A2"/>
    <w:rsid w:val="00062AFB"/>
    <w:rsid w:val="000658E9"/>
    <w:rsid w:val="0008083E"/>
    <w:rsid w:val="00083D0E"/>
    <w:rsid w:val="00085923"/>
    <w:rsid w:val="0009208B"/>
    <w:rsid w:val="00092EC2"/>
    <w:rsid w:val="000B1299"/>
    <w:rsid w:val="000B2F14"/>
    <w:rsid w:val="000C346D"/>
    <w:rsid w:val="000C3A7F"/>
    <w:rsid w:val="000C5C51"/>
    <w:rsid w:val="000C624C"/>
    <w:rsid w:val="000D0970"/>
    <w:rsid w:val="000D7D82"/>
    <w:rsid w:val="000E2245"/>
    <w:rsid w:val="000E690F"/>
    <w:rsid w:val="000F0035"/>
    <w:rsid w:val="000F6095"/>
    <w:rsid w:val="00102416"/>
    <w:rsid w:val="00105AFC"/>
    <w:rsid w:val="0011496F"/>
    <w:rsid w:val="0012248A"/>
    <w:rsid w:val="00131719"/>
    <w:rsid w:val="00141922"/>
    <w:rsid w:val="00144309"/>
    <w:rsid w:val="00146184"/>
    <w:rsid w:val="00147B5F"/>
    <w:rsid w:val="00155A90"/>
    <w:rsid w:val="0015761D"/>
    <w:rsid w:val="00171647"/>
    <w:rsid w:val="00171B35"/>
    <w:rsid w:val="00171C09"/>
    <w:rsid w:val="0017290D"/>
    <w:rsid w:val="0018259E"/>
    <w:rsid w:val="00183897"/>
    <w:rsid w:val="00186BBC"/>
    <w:rsid w:val="00187797"/>
    <w:rsid w:val="001A3BE3"/>
    <w:rsid w:val="001A6C2B"/>
    <w:rsid w:val="001A72AA"/>
    <w:rsid w:val="001B4DC7"/>
    <w:rsid w:val="001C1A2E"/>
    <w:rsid w:val="001D1B66"/>
    <w:rsid w:val="001F1A2E"/>
    <w:rsid w:val="001F72E1"/>
    <w:rsid w:val="002000B5"/>
    <w:rsid w:val="00204A0F"/>
    <w:rsid w:val="002056DF"/>
    <w:rsid w:val="00205ACF"/>
    <w:rsid w:val="00205F55"/>
    <w:rsid w:val="00212C50"/>
    <w:rsid w:val="00213196"/>
    <w:rsid w:val="00213A4F"/>
    <w:rsid w:val="00225654"/>
    <w:rsid w:val="002267B5"/>
    <w:rsid w:val="00230712"/>
    <w:rsid w:val="002365F1"/>
    <w:rsid w:val="00245DB5"/>
    <w:rsid w:val="002612CE"/>
    <w:rsid w:val="00263785"/>
    <w:rsid w:val="0027026D"/>
    <w:rsid w:val="002762A5"/>
    <w:rsid w:val="0028250F"/>
    <w:rsid w:val="002830FC"/>
    <w:rsid w:val="00286CE9"/>
    <w:rsid w:val="00292262"/>
    <w:rsid w:val="002B44AF"/>
    <w:rsid w:val="002B708A"/>
    <w:rsid w:val="002D7C67"/>
    <w:rsid w:val="002E584A"/>
    <w:rsid w:val="0030164A"/>
    <w:rsid w:val="0031785A"/>
    <w:rsid w:val="0032070E"/>
    <w:rsid w:val="00321F7E"/>
    <w:rsid w:val="00322ACC"/>
    <w:rsid w:val="00325030"/>
    <w:rsid w:val="003255EE"/>
    <w:rsid w:val="00355EED"/>
    <w:rsid w:val="00367663"/>
    <w:rsid w:val="003716AE"/>
    <w:rsid w:val="00374BAD"/>
    <w:rsid w:val="00377D1F"/>
    <w:rsid w:val="0038787E"/>
    <w:rsid w:val="003938D5"/>
    <w:rsid w:val="00397020"/>
    <w:rsid w:val="003A34E0"/>
    <w:rsid w:val="003B6256"/>
    <w:rsid w:val="003C5082"/>
    <w:rsid w:val="003D44D3"/>
    <w:rsid w:val="003E00E1"/>
    <w:rsid w:val="003F40EC"/>
    <w:rsid w:val="003F7923"/>
    <w:rsid w:val="004024C2"/>
    <w:rsid w:val="0042350B"/>
    <w:rsid w:val="0043460D"/>
    <w:rsid w:val="00435C4E"/>
    <w:rsid w:val="00436FED"/>
    <w:rsid w:val="00444F36"/>
    <w:rsid w:val="00454A67"/>
    <w:rsid w:val="004602E5"/>
    <w:rsid w:val="004625CB"/>
    <w:rsid w:val="0046388B"/>
    <w:rsid w:val="00467807"/>
    <w:rsid w:val="00467AE2"/>
    <w:rsid w:val="00470C42"/>
    <w:rsid w:val="00476C69"/>
    <w:rsid w:val="004874F2"/>
    <w:rsid w:val="00496E0A"/>
    <w:rsid w:val="004A7C3C"/>
    <w:rsid w:val="004B0A2B"/>
    <w:rsid w:val="004B51EA"/>
    <w:rsid w:val="004B6002"/>
    <w:rsid w:val="004C1E1A"/>
    <w:rsid w:val="004C27A3"/>
    <w:rsid w:val="004E4FC5"/>
    <w:rsid w:val="00504184"/>
    <w:rsid w:val="00510E71"/>
    <w:rsid w:val="0051230C"/>
    <w:rsid w:val="00515281"/>
    <w:rsid w:val="00516161"/>
    <w:rsid w:val="00525153"/>
    <w:rsid w:val="0052711C"/>
    <w:rsid w:val="00527E2C"/>
    <w:rsid w:val="00544658"/>
    <w:rsid w:val="005502A9"/>
    <w:rsid w:val="005674CF"/>
    <w:rsid w:val="00580579"/>
    <w:rsid w:val="00586632"/>
    <w:rsid w:val="005905EA"/>
    <w:rsid w:val="005953F7"/>
    <w:rsid w:val="00597319"/>
    <w:rsid w:val="005A3F8B"/>
    <w:rsid w:val="005B1DE9"/>
    <w:rsid w:val="005B49C4"/>
    <w:rsid w:val="005D2283"/>
    <w:rsid w:val="005D52E5"/>
    <w:rsid w:val="005E4FB7"/>
    <w:rsid w:val="005E5231"/>
    <w:rsid w:val="005E59EE"/>
    <w:rsid w:val="005F1654"/>
    <w:rsid w:val="005F499B"/>
    <w:rsid w:val="0060359C"/>
    <w:rsid w:val="00605930"/>
    <w:rsid w:val="00606F0F"/>
    <w:rsid w:val="006070AD"/>
    <w:rsid w:val="00607FC1"/>
    <w:rsid w:val="0061285C"/>
    <w:rsid w:val="006153C6"/>
    <w:rsid w:val="00621CFE"/>
    <w:rsid w:val="006233BE"/>
    <w:rsid w:val="0062567A"/>
    <w:rsid w:val="00634C4B"/>
    <w:rsid w:val="00636316"/>
    <w:rsid w:val="0063700E"/>
    <w:rsid w:val="00642ED1"/>
    <w:rsid w:val="006444BD"/>
    <w:rsid w:val="006450D6"/>
    <w:rsid w:val="00646084"/>
    <w:rsid w:val="006479B8"/>
    <w:rsid w:val="0065682C"/>
    <w:rsid w:val="00667AC4"/>
    <w:rsid w:val="00677470"/>
    <w:rsid w:val="00682CE4"/>
    <w:rsid w:val="00683362"/>
    <w:rsid w:val="00684126"/>
    <w:rsid w:val="0069091D"/>
    <w:rsid w:val="00693AC9"/>
    <w:rsid w:val="006943D4"/>
    <w:rsid w:val="006A06DE"/>
    <w:rsid w:val="006A7797"/>
    <w:rsid w:val="006B07E1"/>
    <w:rsid w:val="006B0A8F"/>
    <w:rsid w:val="006B5BA5"/>
    <w:rsid w:val="006B6539"/>
    <w:rsid w:val="006B7369"/>
    <w:rsid w:val="006C50CC"/>
    <w:rsid w:val="006C6203"/>
    <w:rsid w:val="006C626F"/>
    <w:rsid w:val="006D1678"/>
    <w:rsid w:val="006D1AD3"/>
    <w:rsid w:val="006E4BB6"/>
    <w:rsid w:val="006E56FB"/>
    <w:rsid w:val="006F22B7"/>
    <w:rsid w:val="006F320B"/>
    <w:rsid w:val="006F4123"/>
    <w:rsid w:val="007040BF"/>
    <w:rsid w:val="00704280"/>
    <w:rsid w:val="007135F5"/>
    <w:rsid w:val="007213EE"/>
    <w:rsid w:val="00722569"/>
    <w:rsid w:val="00722D04"/>
    <w:rsid w:val="00726DBD"/>
    <w:rsid w:val="00727F9E"/>
    <w:rsid w:val="00731681"/>
    <w:rsid w:val="00731FAF"/>
    <w:rsid w:val="0073218E"/>
    <w:rsid w:val="007343BB"/>
    <w:rsid w:val="00736B17"/>
    <w:rsid w:val="0074075A"/>
    <w:rsid w:val="0074115E"/>
    <w:rsid w:val="007423D7"/>
    <w:rsid w:val="00752EA8"/>
    <w:rsid w:val="0075376F"/>
    <w:rsid w:val="00764D5D"/>
    <w:rsid w:val="00774214"/>
    <w:rsid w:val="00781525"/>
    <w:rsid w:val="00790CA8"/>
    <w:rsid w:val="00794236"/>
    <w:rsid w:val="00797AEE"/>
    <w:rsid w:val="007A2129"/>
    <w:rsid w:val="007A4CFE"/>
    <w:rsid w:val="007A6A26"/>
    <w:rsid w:val="007A72E5"/>
    <w:rsid w:val="007A7613"/>
    <w:rsid w:val="007B3C6A"/>
    <w:rsid w:val="007B4C35"/>
    <w:rsid w:val="007C1F2A"/>
    <w:rsid w:val="007D2420"/>
    <w:rsid w:val="007F11D4"/>
    <w:rsid w:val="00804CFF"/>
    <w:rsid w:val="00814312"/>
    <w:rsid w:val="00817316"/>
    <w:rsid w:val="00822526"/>
    <w:rsid w:val="00822FE8"/>
    <w:rsid w:val="008323C5"/>
    <w:rsid w:val="00840817"/>
    <w:rsid w:val="00851C84"/>
    <w:rsid w:val="00863ADD"/>
    <w:rsid w:val="00871475"/>
    <w:rsid w:val="008745B3"/>
    <w:rsid w:val="0089380C"/>
    <w:rsid w:val="008A2240"/>
    <w:rsid w:val="008A3446"/>
    <w:rsid w:val="008A64B2"/>
    <w:rsid w:val="008C222E"/>
    <w:rsid w:val="008C7745"/>
    <w:rsid w:val="008D6852"/>
    <w:rsid w:val="008E1079"/>
    <w:rsid w:val="008E1EA2"/>
    <w:rsid w:val="008F1A03"/>
    <w:rsid w:val="008F7768"/>
    <w:rsid w:val="00900F89"/>
    <w:rsid w:val="00911250"/>
    <w:rsid w:val="00916830"/>
    <w:rsid w:val="00916B66"/>
    <w:rsid w:val="009224F6"/>
    <w:rsid w:val="009352A5"/>
    <w:rsid w:val="00937278"/>
    <w:rsid w:val="009426AE"/>
    <w:rsid w:val="00944E33"/>
    <w:rsid w:val="00946975"/>
    <w:rsid w:val="0094759F"/>
    <w:rsid w:val="009515C4"/>
    <w:rsid w:val="0095727B"/>
    <w:rsid w:val="009622AF"/>
    <w:rsid w:val="0099482E"/>
    <w:rsid w:val="009A090E"/>
    <w:rsid w:val="009A16A1"/>
    <w:rsid w:val="009B0D25"/>
    <w:rsid w:val="009B3275"/>
    <w:rsid w:val="009C444F"/>
    <w:rsid w:val="009D07A5"/>
    <w:rsid w:val="009D2285"/>
    <w:rsid w:val="009D502D"/>
    <w:rsid w:val="009E1CB5"/>
    <w:rsid w:val="009E385B"/>
    <w:rsid w:val="00A1130A"/>
    <w:rsid w:val="00A24608"/>
    <w:rsid w:val="00A257A8"/>
    <w:rsid w:val="00A31910"/>
    <w:rsid w:val="00A3255A"/>
    <w:rsid w:val="00A45F3F"/>
    <w:rsid w:val="00A45F8E"/>
    <w:rsid w:val="00A53A71"/>
    <w:rsid w:val="00A5587C"/>
    <w:rsid w:val="00A63D1F"/>
    <w:rsid w:val="00A75B93"/>
    <w:rsid w:val="00A8143F"/>
    <w:rsid w:val="00A84158"/>
    <w:rsid w:val="00A92C0C"/>
    <w:rsid w:val="00AA2980"/>
    <w:rsid w:val="00AA2F10"/>
    <w:rsid w:val="00AB264F"/>
    <w:rsid w:val="00AC0250"/>
    <w:rsid w:val="00AC0DCF"/>
    <w:rsid w:val="00AC1F53"/>
    <w:rsid w:val="00AC3138"/>
    <w:rsid w:val="00AC4672"/>
    <w:rsid w:val="00AC55C7"/>
    <w:rsid w:val="00AD12E3"/>
    <w:rsid w:val="00AD7DC7"/>
    <w:rsid w:val="00AE10FF"/>
    <w:rsid w:val="00AE2232"/>
    <w:rsid w:val="00AF79A3"/>
    <w:rsid w:val="00B06E68"/>
    <w:rsid w:val="00B078C3"/>
    <w:rsid w:val="00B1634A"/>
    <w:rsid w:val="00B21B97"/>
    <w:rsid w:val="00B22DDF"/>
    <w:rsid w:val="00B27AAD"/>
    <w:rsid w:val="00B302B4"/>
    <w:rsid w:val="00B318BB"/>
    <w:rsid w:val="00B36AE9"/>
    <w:rsid w:val="00B45AEB"/>
    <w:rsid w:val="00B56B89"/>
    <w:rsid w:val="00B61505"/>
    <w:rsid w:val="00B6178C"/>
    <w:rsid w:val="00B64DB5"/>
    <w:rsid w:val="00B772E7"/>
    <w:rsid w:val="00B800AE"/>
    <w:rsid w:val="00B807CD"/>
    <w:rsid w:val="00B85E4C"/>
    <w:rsid w:val="00B8600D"/>
    <w:rsid w:val="00B87A66"/>
    <w:rsid w:val="00B91CA0"/>
    <w:rsid w:val="00BA71FF"/>
    <w:rsid w:val="00BB5653"/>
    <w:rsid w:val="00BD0455"/>
    <w:rsid w:val="00BD263B"/>
    <w:rsid w:val="00BD4304"/>
    <w:rsid w:val="00BD4772"/>
    <w:rsid w:val="00BE2C72"/>
    <w:rsid w:val="00BF2755"/>
    <w:rsid w:val="00C0118A"/>
    <w:rsid w:val="00C1175D"/>
    <w:rsid w:val="00C1367F"/>
    <w:rsid w:val="00C13CB6"/>
    <w:rsid w:val="00C15E77"/>
    <w:rsid w:val="00C3315D"/>
    <w:rsid w:val="00C52054"/>
    <w:rsid w:val="00C57777"/>
    <w:rsid w:val="00C63108"/>
    <w:rsid w:val="00C73BD5"/>
    <w:rsid w:val="00C770AD"/>
    <w:rsid w:val="00C870DB"/>
    <w:rsid w:val="00C96074"/>
    <w:rsid w:val="00CA4C33"/>
    <w:rsid w:val="00CA6B76"/>
    <w:rsid w:val="00CB4654"/>
    <w:rsid w:val="00D04B59"/>
    <w:rsid w:val="00D05A30"/>
    <w:rsid w:val="00D131E1"/>
    <w:rsid w:val="00D34BD0"/>
    <w:rsid w:val="00D35394"/>
    <w:rsid w:val="00D6038E"/>
    <w:rsid w:val="00D62F85"/>
    <w:rsid w:val="00D70509"/>
    <w:rsid w:val="00D725F0"/>
    <w:rsid w:val="00D72D4D"/>
    <w:rsid w:val="00D751B0"/>
    <w:rsid w:val="00D76697"/>
    <w:rsid w:val="00D800A7"/>
    <w:rsid w:val="00D81689"/>
    <w:rsid w:val="00D8433F"/>
    <w:rsid w:val="00D85761"/>
    <w:rsid w:val="00D95162"/>
    <w:rsid w:val="00DA176A"/>
    <w:rsid w:val="00DA26CB"/>
    <w:rsid w:val="00DA7022"/>
    <w:rsid w:val="00DB08E1"/>
    <w:rsid w:val="00DB1DA9"/>
    <w:rsid w:val="00DC5C95"/>
    <w:rsid w:val="00DC7B61"/>
    <w:rsid w:val="00DD3FB8"/>
    <w:rsid w:val="00DD528A"/>
    <w:rsid w:val="00DD6BE1"/>
    <w:rsid w:val="00DE0E8D"/>
    <w:rsid w:val="00DE1024"/>
    <w:rsid w:val="00DE3B12"/>
    <w:rsid w:val="00DF012F"/>
    <w:rsid w:val="00DF18D9"/>
    <w:rsid w:val="00DF6696"/>
    <w:rsid w:val="00E04040"/>
    <w:rsid w:val="00E12E17"/>
    <w:rsid w:val="00E23870"/>
    <w:rsid w:val="00E33C97"/>
    <w:rsid w:val="00E40368"/>
    <w:rsid w:val="00E40631"/>
    <w:rsid w:val="00E40CD5"/>
    <w:rsid w:val="00E440E8"/>
    <w:rsid w:val="00E60D37"/>
    <w:rsid w:val="00E620BE"/>
    <w:rsid w:val="00E6657E"/>
    <w:rsid w:val="00E71495"/>
    <w:rsid w:val="00EA04BE"/>
    <w:rsid w:val="00EA18F1"/>
    <w:rsid w:val="00EA2AA3"/>
    <w:rsid w:val="00EA43AB"/>
    <w:rsid w:val="00EA7A72"/>
    <w:rsid w:val="00EB01F6"/>
    <w:rsid w:val="00EB7FA3"/>
    <w:rsid w:val="00EC14D6"/>
    <w:rsid w:val="00EC285D"/>
    <w:rsid w:val="00EC4F25"/>
    <w:rsid w:val="00ED708F"/>
    <w:rsid w:val="00EE1FDB"/>
    <w:rsid w:val="00EE2530"/>
    <w:rsid w:val="00EE2FD6"/>
    <w:rsid w:val="00F0583F"/>
    <w:rsid w:val="00F17731"/>
    <w:rsid w:val="00F17D87"/>
    <w:rsid w:val="00F20DA3"/>
    <w:rsid w:val="00F25D11"/>
    <w:rsid w:val="00F25D4D"/>
    <w:rsid w:val="00F31AC7"/>
    <w:rsid w:val="00F36583"/>
    <w:rsid w:val="00F3698F"/>
    <w:rsid w:val="00F40385"/>
    <w:rsid w:val="00F41EFF"/>
    <w:rsid w:val="00F421D7"/>
    <w:rsid w:val="00F50084"/>
    <w:rsid w:val="00F50322"/>
    <w:rsid w:val="00F50DC4"/>
    <w:rsid w:val="00F54A75"/>
    <w:rsid w:val="00F72E13"/>
    <w:rsid w:val="00F77128"/>
    <w:rsid w:val="00F813D1"/>
    <w:rsid w:val="00F87271"/>
    <w:rsid w:val="00F87FA1"/>
    <w:rsid w:val="00F91240"/>
    <w:rsid w:val="00F9798A"/>
    <w:rsid w:val="00FB0404"/>
    <w:rsid w:val="00FB4700"/>
    <w:rsid w:val="00FC18BE"/>
    <w:rsid w:val="00FC1CC8"/>
    <w:rsid w:val="00FD02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6FB"/>
    <w:rPr>
      <w:sz w:val="24"/>
      <w:szCs w:val="24"/>
    </w:rPr>
  </w:style>
  <w:style w:type="paragraph" w:styleId="Heading1">
    <w:name w:val="heading 1"/>
    <w:basedOn w:val="Normal"/>
    <w:link w:val="Heading1Char"/>
    <w:uiPriority w:val="9"/>
    <w:qFormat/>
    <w:rsid w:val="00DC5C9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link w:val="naisfChar"/>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uiPriority w:val="99"/>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uiPriority w:val="59"/>
    <w:rsid w:val="0043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uiPriority w:val="99"/>
    <w:semiHidden/>
    <w:rsid w:val="006A06DE"/>
    <w:rPr>
      <w:sz w:val="16"/>
      <w:szCs w:val="16"/>
    </w:rPr>
  </w:style>
  <w:style w:type="paragraph" w:styleId="CommentText">
    <w:name w:val="annotation text"/>
    <w:basedOn w:val="Normal"/>
    <w:link w:val="CommentTextChar"/>
    <w:uiPriority w:val="99"/>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uiPriority w:val="99"/>
    <w:rsid w:val="002B708A"/>
    <w:rPr>
      <w:sz w:val="24"/>
      <w:szCs w:val="24"/>
    </w:rPr>
  </w:style>
  <w:style w:type="paragraph" w:styleId="BodyTextIndent">
    <w:name w:val="Body Text Indent"/>
    <w:basedOn w:val="Normal"/>
    <w:link w:val="BodyTextIndentChar"/>
    <w:rsid w:val="00722D04"/>
    <w:pPr>
      <w:spacing w:after="120"/>
      <w:ind w:left="283"/>
    </w:pPr>
  </w:style>
  <w:style w:type="character" w:customStyle="1" w:styleId="BodyTextIndentChar">
    <w:name w:val="Body Text Indent Char"/>
    <w:basedOn w:val="DefaultParagraphFont"/>
    <w:link w:val="BodyTextIndent"/>
    <w:rsid w:val="00722D04"/>
    <w:rPr>
      <w:sz w:val="24"/>
      <w:szCs w:val="24"/>
    </w:rPr>
  </w:style>
  <w:style w:type="paragraph" w:styleId="ListParagraph">
    <w:name w:val="List Paragraph"/>
    <w:basedOn w:val="Normal"/>
    <w:uiPriority w:val="34"/>
    <w:qFormat/>
    <w:rsid w:val="005E5231"/>
    <w:pPr>
      <w:spacing w:after="200" w:line="276" w:lineRule="auto"/>
      <w:ind w:left="720"/>
    </w:pPr>
    <w:rPr>
      <w:sz w:val="28"/>
      <w:szCs w:val="28"/>
    </w:rPr>
  </w:style>
  <w:style w:type="paragraph" w:styleId="NormalWeb">
    <w:name w:val="Normal (Web)"/>
    <w:basedOn w:val="Normal"/>
    <w:link w:val="NormalWebChar"/>
    <w:uiPriority w:val="99"/>
    <w:rsid w:val="00F72E13"/>
    <w:pPr>
      <w:spacing w:before="100" w:beforeAutospacing="1" w:after="100" w:afterAutospacing="1"/>
    </w:pPr>
  </w:style>
  <w:style w:type="character" w:customStyle="1" w:styleId="NormalWebChar">
    <w:name w:val="Normal (Web) Char"/>
    <w:basedOn w:val="DefaultParagraphFont"/>
    <w:link w:val="NormalWeb"/>
    <w:uiPriority w:val="99"/>
    <w:locked/>
    <w:rsid w:val="00F72E13"/>
    <w:rPr>
      <w:sz w:val="24"/>
      <w:szCs w:val="24"/>
    </w:rPr>
  </w:style>
  <w:style w:type="character" w:styleId="Strong">
    <w:name w:val="Strong"/>
    <w:uiPriority w:val="22"/>
    <w:qFormat/>
    <w:rsid w:val="0038787E"/>
    <w:rPr>
      <w:b/>
      <w:bCs/>
    </w:rPr>
  </w:style>
  <w:style w:type="character" w:customStyle="1" w:styleId="naisfChar">
    <w:name w:val="naisf Char"/>
    <w:link w:val="naisf"/>
    <w:locked/>
    <w:rsid w:val="0038787E"/>
    <w:rPr>
      <w:sz w:val="24"/>
      <w:szCs w:val="24"/>
    </w:rPr>
  </w:style>
  <w:style w:type="paragraph" w:customStyle="1" w:styleId="Default">
    <w:name w:val="Default"/>
    <w:rsid w:val="001C1A2E"/>
    <w:pPr>
      <w:autoSpaceDE w:val="0"/>
      <w:autoSpaceDN w:val="0"/>
      <w:adjustRightInd w:val="0"/>
    </w:pPr>
    <w:rPr>
      <w:rFonts w:ascii="EUAlbertina"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1C1A2E"/>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1C1A2E"/>
  </w:style>
  <w:style w:type="character" w:styleId="FootnoteReference">
    <w:name w:val="footnote reference"/>
    <w:aliases w:val="Footnote Reference Number,SUPERS"/>
    <w:basedOn w:val="DefaultParagraphFont"/>
    <w:rsid w:val="001C1A2E"/>
    <w:rPr>
      <w:vertAlign w:val="superscript"/>
    </w:rPr>
  </w:style>
  <w:style w:type="character" w:customStyle="1" w:styleId="CommentTextChar">
    <w:name w:val="Comment Text Char"/>
    <w:basedOn w:val="DefaultParagraphFont"/>
    <w:link w:val="CommentText"/>
    <w:uiPriority w:val="99"/>
    <w:semiHidden/>
    <w:rsid w:val="00504184"/>
  </w:style>
  <w:style w:type="paragraph" w:customStyle="1" w:styleId="doc-ti">
    <w:name w:val="doc-ti"/>
    <w:basedOn w:val="Normal"/>
    <w:rsid w:val="004024C2"/>
    <w:pPr>
      <w:spacing w:before="240" w:after="120"/>
      <w:jc w:val="center"/>
    </w:pPr>
    <w:rPr>
      <w:b/>
      <w:bCs/>
      <w:sz w:val="18"/>
      <w:szCs w:val="18"/>
    </w:rPr>
  </w:style>
  <w:style w:type="character" w:customStyle="1" w:styleId="Heading1Char">
    <w:name w:val="Heading 1 Char"/>
    <w:basedOn w:val="DefaultParagraphFont"/>
    <w:link w:val="Heading1"/>
    <w:uiPriority w:val="9"/>
    <w:rsid w:val="00DC5C95"/>
    <w:rPr>
      <w:b/>
      <w:bCs/>
      <w:kern w:val="36"/>
      <w:sz w:val="48"/>
      <w:szCs w:val="48"/>
    </w:rPr>
  </w:style>
  <w:style w:type="paragraph" w:styleId="BodyTextIndent2">
    <w:name w:val="Body Text Indent 2"/>
    <w:basedOn w:val="Normal"/>
    <w:link w:val="BodyTextIndent2Char"/>
    <w:uiPriority w:val="99"/>
    <w:unhideWhenUsed/>
    <w:rsid w:val="00731FAF"/>
    <w:pPr>
      <w:spacing w:after="120" w:line="480" w:lineRule="auto"/>
      <w:ind w:left="283"/>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rsid w:val="00731FA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6FB"/>
    <w:rPr>
      <w:sz w:val="24"/>
      <w:szCs w:val="24"/>
    </w:rPr>
  </w:style>
  <w:style w:type="paragraph" w:styleId="Heading1">
    <w:name w:val="heading 1"/>
    <w:basedOn w:val="Normal"/>
    <w:link w:val="Heading1Char"/>
    <w:uiPriority w:val="9"/>
    <w:qFormat/>
    <w:rsid w:val="00DC5C9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link w:val="naisfChar"/>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uiPriority w:val="99"/>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uiPriority w:val="59"/>
    <w:rsid w:val="0043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uiPriority w:val="99"/>
    <w:semiHidden/>
    <w:rsid w:val="006A06DE"/>
    <w:rPr>
      <w:sz w:val="16"/>
      <w:szCs w:val="16"/>
    </w:rPr>
  </w:style>
  <w:style w:type="paragraph" w:styleId="CommentText">
    <w:name w:val="annotation text"/>
    <w:basedOn w:val="Normal"/>
    <w:link w:val="CommentTextChar"/>
    <w:uiPriority w:val="99"/>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uiPriority w:val="99"/>
    <w:rsid w:val="002B708A"/>
    <w:rPr>
      <w:sz w:val="24"/>
      <w:szCs w:val="24"/>
    </w:rPr>
  </w:style>
  <w:style w:type="paragraph" w:styleId="BodyTextIndent">
    <w:name w:val="Body Text Indent"/>
    <w:basedOn w:val="Normal"/>
    <w:link w:val="BodyTextIndentChar"/>
    <w:rsid w:val="00722D04"/>
    <w:pPr>
      <w:spacing w:after="120"/>
      <w:ind w:left="283"/>
    </w:pPr>
  </w:style>
  <w:style w:type="character" w:customStyle="1" w:styleId="BodyTextIndentChar">
    <w:name w:val="Body Text Indent Char"/>
    <w:basedOn w:val="DefaultParagraphFont"/>
    <w:link w:val="BodyTextIndent"/>
    <w:rsid w:val="00722D04"/>
    <w:rPr>
      <w:sz w:val="24"/>
      <w:szCs w:val="24"/>
    </w:rPr>
  </w:style>
  <w:style w:type="paragraph" w:styleId="ListParagraph">
    <w:name w:val="List Paragraph"/>
    <w:basedOn w:val="Normal"/>
    <w:uiPriority w:val="34"/>
    <w:qFormat/>
    <w:rsid w:val="005E5231"/>
    <w:pPr>
      <w:spacing w:after="200" w:line="276" w:lineRule="auto"/>
      <w:ind w:left="720"/>
    </w:pPr>
    <w:rPr>
      <w:sz w:val="28"/>
      <w:szCs w:val="28"/>
    </w:rPr>
  </w:style>
  <w:style w:type="paragraph" w:styleId="NormalWeb">
    <w:name w:val="Normal (Web)"/>
    <w:basedOn w:val="Normal"/>
    <w:link w:val="NormalWebChar"/>
    <w:uiPriority w:val="99"/>
    <w:rsid w:val="00F72E13"/>
    <w:pPr>
      <w:spacing w:before="100" w:beforeAutospacing="1" w:after="100" w:afterAutospacing="1"/>
    </w:pPr>
  </w:style>
  <w:style w:type="character" w:customStyle="1" w:styleId="NormalWebChar">
    <w:name w:val="Normal (Web) Char"/>
    <w:basedOn w:val="DefaultParagraphFont"/>
    <w:link w:val="NormalWeb"/>
    <w:uiPriority w:val="99"/>
    <w:locked/>
    <w:rsid w:val="00F72E13"/>
    <w:rPr>
      <w:sz w:val="24"/>
      <w:szCs w:val="24"/>
    </w:rPr>
  </w:style>
  <w:style w:type="character" w:styleId="Strong">
    <w:name w:val="Strong"/>
    <w:uiPriority w:val="22"/>
    <w:qFormat/>
    <w:rsid w:val="0038787E"/>
    <w:rPr>
      <w:b/>
      <w:bCs/>
    </w:rPr>
  </w:style>
  <w:style w:type="character" w:customStyle="1" w:styleId="naisfChar">
    <w:name w:val="naisf Char"/>
    <w:link w:val="naisf"/>
    <w:locked/>
    <w:rsid w:val="0038787E"/>
    <w:rPr>
      <w:sz w:val="24"/>
      <w:szCs w:val="24"/>
    </w:rPr>
  </w:style>
  <w:style w:type="paragraph" w:customStyle="1" w:styleId="Default">
    <w:name w:val="Default"/>
    <w:rsid w:val="001C1A2E"/>
    <w:pPr>
      <w:autoSpaceDE w:val="0"/>
      <w:autoSpaceDN w:val="0"/>
      <w:adjustRightInd w:val="0"/>
    </w:pPr>
    <w:rPr>
      <w:rFonts w:ascii="EUAlbertina"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1C1A2E"/>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1C1A2E"/>
  </w:style>
  <w:style w:type="character" w:styleId="FootnoteReference">
    <w:name w:val="footnote reference"/>
    <w:aliases w:val="Footnote Reference Number,SUPERS"/>
    <w:basedOn w:val="DefaultParagraphFont"/>
    <w:rsid w:val="001C1A2E"/>
    <w:rPr>
      <w:vertAlign w:val="superscript"/>
    </w:rPr>
  </w:style>
  <w:style w:type="character" w:customStyle="1" w:styleId="CommentTextChar">
    <w:name w:val="Comment Text Char"/>
    <w:basedOn w:val="DefaultParagraphFont"/>
    <w:link w:val="CommentText"/>
    <w:uiPriority w:val="99"/>
    <w:semiHidden/>
    <w:rsid w:val="00504184"/>
  </w:style>
  <w:style w:type="paragraph" w:customStyle="1" w:styleId="doc-ti">
    <w:name w:val="doc-ti"/>
    <w:basedOn w:val="Normal"/>
    <w:rsid w:val="004024C2"/>
    <w:pPr>
      <w:spacing w:before="240" w:after="120"/>
      <w:jc w:val="center"/>
    </w:pPr>
    <w:rPr>
      <w:b/>
      <w:bCs/>
      <w:sz w:val="18"/>
      <w:szCs w:val="18"/>
    </w:rPr>
  </w:style>
  <w:style w:type="character" w:customStyle="1" w:styleId="Heading1Char">
    <w:name w:val="Heading 1 Char"/>
    <w:basedOn w:val="DefaultParagraphFont"/>
    <w:link w:val="Heading1"/>
    <w:uiPriority w:val="9"/>
    <w:rsid w:val="00DC5C95"/>
    <w:rPr>
      <w:b/>
      <w:bCs/>
      <w:kern w:val="36"/>
      <w:sz w:val="48"/>
      <w:szCs w:val="48"/>
    </w:rPr>
  </w:style>
  <w:style w:type="paragraph" w:styleId="BodyTextIndent2">
    <w:name w:val="Body Text Indent 2"/>
    <w:basedOn w:val="Normal"/>
    <w:link w:val="BodyTextIndent2Char"/>
    <w:uiPriority w:val="99"/>
    <w:unhideWhenUsed/>
    <w:rsid w:val="00731FAF"/>
    <w:pPr>
      <w:spacing w:after="120" w:line="480" w:lineRule="auto"/>
      <w:ind w:left="283"/>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rsid w:val="00731FA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8489">
      <w:bodyDiv w:val="1"/>
      <w:marLeft w:val="0"/>
      <w:marRight w:val="0"/>
      <w:marTop w:val="0"/>
      <w:marBottom w:val="0"/>
      <w:divBdr>
        <w:top w:val="none" w:sz="0" w:space="0" w:color="auto"/>
        <w:left w:val="none" w:sz="0" w:space="0" w:color="auto"/>
        <w:bottom w:val="none" w:sz="0" w:space="0" w:color="auto"/>
        <w:right w:val="none" w:sz="0" w:space="0" w:color="auto"/>
      </w:divBdr>
    </w:div>
    <w:div w:id="464272780">
      <w:bodyDiv w:val="1"/>
      <w:marLeft w:val="0"/>
      <w:marRight w:val="0"/>
      <w:marTop w:val="0"/>
      <w:marBottom w:val="0"/>
      <w:divBdr>
        <w:top w:val="none" w:sz="0" w:space="0" w:color="auto"/>
        <w:left w:val="none" w:sz="0" w:space="0" w:color="auto"/>
        <w:bottom w:val="none" w:sz="0" w:space="0" w:color="auto"/>
        <w:right w:val="none" w:sz="0" w:space="0" w:color="auto"/>
      </w:divBdr>
    </w:div>
    <w:div w:id="539634869">
      <w:bodyDiv w:val="1"/>
      <w:marLeft w:val="0"/>
      <w:marRight w:val="0"/>
      <w:marTop w:val="0"/>
      <w:marBottom w:val="0"/>
      <w:divBdr>
        <w:top w:val="none" w:sz="0" w:space="0" w:color="auto"/>
        <w:left w:val="none" w:sz="0" w:space="0" w:color="auto"/>
        <w:bottom w:val="none" w:sz="0" w:space="0" w:color="auto"/>
        <w:right w:val="none" w:sz="0" w:space="0" w:color="auto"/>
      </w:divBdr>
    </w:div>
    <w:div w:id="590046809">
      <w:bodyDiv w:val="1"/>
      <w:marLeft w:val="0"/>
      <w:marRight w:val="0"/>
      <w:marTop w:val="0"/>
      <w:marBottom w:val="0"/>
      <w:divBdr>
        <w:top w:val="none" w:sz="0" w:space="0" w:color="auto"/>
        <w:left w:val="none" w:sz="0" w:space="0" w:color="auto"/>
        <w:bottom w:val="none" w:sz="0" w:space="0" w:color="auto"/>
        <w:right w:val="none" w:sz="0" w:space="0" w:color="auto"/>
      </w:divBdr>
    </w:div>
    <w:div w:id="1065689281">
      <w:bodyDiv w:val="1"/>
      <w:marLeft w:val="0"/>
      <w:marRight w:val="0"/>
      <w:marTop w:val="0"/>
      <w:marBottom w:val="0"/>
      <w:divBdr>
        <w:top w:val="none" w:sz="0" w:space="0" w:color="auto"/>
        <w:left w:val="none" w:sz="0" w:space="0" w:color="auto"/>
        <w:bottom w:val="none" w:sz="0" w:space="0" w:color="auto"/>
        <w:right w:val="none" w:sz="0" w:space="0" w:color="auto"/>
      </w:divBdr>
    </w:div>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538621217">
      <w:bodyDiv w:val="1"/>
      <w:marLeft w:val="0"/>
      <w:marRight w:val="0"/>
      <w:marTop w:val="0"/>
      <w:marBottom w:val="0"/>
      <w:divBdr>
        <w:top w:val="none" w:sz="0" w:space="0" w:color="auto"/>
        <w:left w:val="none" w:sz="0" w:space="0" w:color="auto"/>
        <w:bottom w:val="none" w:sz="0" w:space="0" w:color="auto"/>
        <w:right w:val="none" w:sz="0" w:space="0" w:color="auto"/>
      </w:divBdr>
      <w:divsChild>
        <w:div w:id="2050252582">
          <w:marLeft w:val="0"/>
          <w:marRight w:val="0"/>
          <w:marTop w:val="0"/>
          <w:marBottom w:val="0"/>
          <w:divBdr>
            <w:top w:val="none" w:sz="0" w:space="0" w:color="auto"/>
            <w:left w:val="none" w:sz="0" w:space="0" w:color="auto"/>
            <w:bottom w:val="none" w:sz="0" w:space="0" w:color="auto"/>
            <w:right w:val="none" w:sz="0" w:space="0" w:color="auto"/>
          </w:divBdr>
          <w:divsChild>
            <w:div w:id="1779719245">
              <w:marLeft w:val="0"/>
              <w:marRight w:val="0"/>
              <w:marTop w:val="0"/>
              <w:marBottom w:val="0"/>
              <w:divBdr>
                <w:top w:val="none" w:sz="0" w:space="0" w:color="auto"/>
                <w:left w:val="none" w:sz="0" w:space="0" w:color="auto"/>
                <w:bottom w:val="none" w:sz="0" w:space="0" w:color="auto"/>
                <w:right w:val="none" w:sz="0" w:space="0" w:color="auto"/>
              </w:divBdr>
              <w:divsChild>
                <w:div w:id="1066300103">
                  <w:marLeft w:val="0"/>
                  <w:marRight w:val="0"/>
                  <w:marTop w:val="0"/>
                  <w:marBottom w:val="0"/>
                  <w:divBdr>
                    <w:top w:val="none" w:sz="0" w:space="0" w:color="auto"/>
                    <w:left w:val="none" w:sz="0" w:space="0" w:color="auto"/>
                    <w:bottom w:val="none" w:sz="0" w:space="0" w:color="auto"/>
                    <w:right w:val="none" w:sz="0" w:space="0" w:color="auto"/>
                  </w:divBdr>
                  <w:divsChild>
                    <w:div w:id="1186098779">
                      <w:marLeft w:val="0"/>
                      <w:marRight w:val="0"/>
                      <w:marTop w:val="0"/>
                      <w:marBottom w:val="0"/>
                      <w:divBdr>
                        <w:top w:val="none" w:sz="0" w:space="0" w:color="auto"/>
                        <w:left w:val="none" w:sz="0" w:space="0" w:color="auto"/>
                        <w:bottom w:val="none" w:sz="0" w:space="0" w:color="auto"/>
                        <w:right w:val="none" w:sz="0" w:space="0" w:color="auto"/>
                      </w:divBdr>
                    </w:div>
                    <w:div w:id="720203338">
                      <w:marLeft w:val="0"/>
                      <w:marRight w:val="0"/>
                      <w:marTop w:val="0"/>
                      <w:marBottom w:val="0"/>
                      <w:divBdr>
                        <w:top w:val="none" w:sz="0" w:space="0" w:color="auto"/>
                        <w:left w:val="none" w:sz="0" w:space="0" w:color="auto"/>
                        <w:bottom w:val="none" w:sz="0" w:space="0" w:color="auto"/>
                        <w:right w:val="none" w:sz="0" w:space="0" w:color="auto"/>
                      </w:divBdr>
                      <w:divsChild>
                        <w:div w:id="195702862">
                          <w:marLeft w:val="0"/>
                          <w:marRight w:val="0"/>
                          <w:marTop w:val="0"/>
                          <w:marBottom w:val="0"/>
                          <w:divBdr>
                            <w:top w:val="none" w:sz="0" w:space="0" w:color="auto"/>
                            <w:left w:val="none" w:sz="0" w:space="0" w:color="auto"/>
                            <w:bottom w:val="none" w:sz="0" w:space="0" w:color="auto"/>
                            <w:right w:val="none" w:sz="0" w:space="0" w:color="auto"/>
                          </w:divBdr>
                          <w:divsChild>
                            <w:div w:id="1311204950">
                              <w:marLeft w:val="0"/>
                              <w:marRight w:val="0"/>
                              <w:marTop w:val="0"/>
                              <w:marBottom w:val="0"/>
                              <w:divBdr>
                                <w:top w:val="none" w:sz="0" w:space="0" w:color="auto"/>
                                <w:left w:val="none" w:sz="0" w:space="0" w:color="auto"/>
                                <w:bottom w:val="none" w:sz="0" w:space="0" w:color="auto"/>
                                <w:right w:val="none" w:sz="0" w:space="0" w:color="auto"/>
                              </w:divBdr>
                            </w:div>
                            <w:div w:id="1103383204">
                              <w:marLeft w:val="0"/>
                              <w:marRight w:val="0"/>
                              <w:marTop w:val="0"/>
                              <w:marBottom w:val="0"/>
                              <w:divBdr>
                                <w:top w:val="none" w:sz="0" w:space="0" w:color="auto"/>
                                <w:left w:val="none" w:sz="0" w:space="0" w:color="auto"/>
                                <w:bottom w:val="none" w:sz="0" w:space="0" w:color="auto"/>
                                <w:right w:val="none" w:sz="0" w:space="0" w:color="auto"/>
                              </w:divBdr>
                              <w:divsChild>
                                <w:div w:id="1095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74177">
              <w:marLeft w:val="0"/>
              <w:marRight w:val="0"/>
              <w:marTop w:val="0"/>
              <w:marBottom w:val="0"/>
              <w:divBdr>
                <w:top w:val="none" w:sz="0" w:space="0" w:color="auto"/>
                <w:left w:val="none" w:sz="0" w:space="0" w:color="auto"/>
                <w:bottom w:val="none" w:sz="0" w:space="0" w:color="auto"/>
                <w:right w:val="none" w:sz="0" w:space="0" w:color="auto"/>
              </w:divBdr>
              <w:divsChild>
                <w:div w:id="276720843">
                  <w:marLeft w:val="0"/>
                  <w:marRight w:val="0"/>
                  <w:marTop w:val="0"/>
                  <w:marBottom w:val="0"/>
                  <w:divBdr>
                    <w:top w:val="none" w:sz="0" w:space="0" w:color="auto"/>
                    <w:left w:val="none" w:sz="0" w:space="0" w:color="auto"/>
                    <w:bottom w:val="none" w:sz="0" w:space="0" w:color="auto"/>
                    <w:right w:val="none" w:sz="0" w:space="0" w:color="auto"/>
                  </w:divBdr>
                </w:div>
                <w:div w:id="1464882537">
                  <w:marLeft w:val="0"/>
                  <w:marRight w:val="0"/>
                  <w:marTop w:val="0"/>
                  <w:marBottom w:val="0"/>
                  <w:divBdr>
                    <w:top w:val="none" w:sz="0" w:space="0" w:color="auto"/>
                    <w:left w:val="none" w:sz="0" w:space="0" w:color="auto"/>
                    <w:bottom w:val="none" w:sz="0" w:space="0" w:color="auto"/>
                    <w:right w:val="none" w:sz="0" w:space="0" w:color="auto"/>
                  </w:divBdr>
                </w:div>
                <w:div w:id="1275747410">
                  <w:marLeft w:val="0"/>
                  <w:marRight w:val="0"/>
                  <w:marTop w:val="0"/>
                  <w:marBottom w:val="0"/>
                  <w:divBdr>
                    <w:top w:val="none" w:sz="0" w:space="0" w:color="auto"/>
                    <w:left w:val="none" w:sz="0" w:space="0" w:color="auto"/>
                    <w:bottom w:val="none" w:sz="0" w:space="0" w:color="auto"/>
                    <w:right w:val="none" w:sz="0" w:space="0" w:color="auto"/>
                  </w:divBdr>
                </w:div>
                <w:div w:id="1348749977">
                  <w:marLeft w:val="0"/>
                  <w:marRight w:val="0"/>
                  <w:marTop w:val="0"/>
                  <w:marBottom w:val="0"/>
                  <w:divBdr>
                    <w:top w:val="none" w:sz="0" w:space="0" w:color="auto"/>
                    <w:left w:val="none" w:sz="0" w:space="0" w:color="auto"/>
                    <w:bottom w:val="none" w:sz="0" w:space="0" w:color="auto"/>
                    <w:right w:val="none" w:sz="0" w:space="0" w:color="auto"/>
                  </w:divBdr>
                </w:div>
                <w:div w:id="2041737455">
                  <w:marLeft w:val="0"/>
                  <w:marRight w:val="0"/>
                  <w:marTop w:val="0"/>
                  <w:marBottom w:val="0"/>
                  <w:divBdr>
                    <w:top w:val="none" w:sz="0" w:space="0" w:color="auto"/>
                    <w:left w:val="none" w:sz="0" w:space="0" w:color="auto"/>
                    <w:bottom w:val="none" w:sz="0" w:space="0" w:color="auto"/>
                    <w:right w:val="none" w:sz="0" w:space="0" w:color="auto"/>
                  </w:divBdr>
                </w:div>
                <w:div w:id="757597442">
                  <w:marLeft w:val="0"/>
                  <w:marRight w:val="0"/>
                  <w:marTop w:val="0"/>
                  <w:marBottom w:val="0"/>
                  <w:divBdr>
                    <w:top w:val="none" w:sz="0" w:space="0" w:color="auto"/>
                    <w:left w:val="none" w:sz="0" w:space="0" w:color="auto"/>
                    <w:bottom w:val="none" w:sz="0" w:space="0" w:color="auto"/>
                    <w:right w:val="none" w:sz="0" w:space="0" w:color="auto"/>
                  </w:divBdr>
                </w:div>
                <w:div w:id="457577568">
                  <w:marLeft w:val="0"/>
                  <w:marRight w:val="0"/>
                  <w:marTop w:val="0"/>
                  <w:marBottom w:val="0"/>
                  <w:divBdr>
                    <w:top w:val="none" w:sz="0" w:space="0" w:color="auto"/>
                    <w:left w:val="none" w:sz="0" w:space="0" w:color="auto"/>
                    <w:bottom w:val="none" w:sz="0" w:space="0" w:color="auto"/>
                    <w:right w:val="none" w:sz="0" w:space="0" w:color="auto"/>
                  </w:divBdr>
                </w:div>
                <w:div w:id="726732297">
                  <w:marLeft w:val="0"/>
                  <w:marRight w:val="0"/>
                  <w:marTop w:val="0"/>
                  <w:marBottom w:val="0"/>
                  <w:divBdr>
                    <w:top w:val="none" w:sz="0" w:space="0" w:color="auto"/>
                    <w:left w:val="none" w:sz="0" w:space="0" w:color="auto"/>
                    <w:bottom w:val="none" w:sz="0" w:space="0" w:color="auto"/>
                    <w:right w:val="none" w:sz="0" w:space="0" w:color="auto"/>
                  </w:divBdr>
                </w:div>
                <w:div w:id="2072194082">
                  <w:marLeft w:val="0"/>
                  <w:marRight w:val="0"/>
                  <w:marTop w:val="0"/>
                  <w:marBottom w:val="0"/>
                  <w:divBdr>
                    <w:top w:val="none" w:sz="0" w:space="0" w:color="auto"/>
                    <w:left w:val="none" w:sz="0" w:space="0" w:color="auto"/>
                    <w:bottom w:val="none" w:sz="0" w:space="0" w:color="auto"/>
                    <w:right w:val="none" w:sz="0" w:space="0" w:color="auto"/>
                  </w:divBdr>
                </w:div>
                <w:div w:id="688796827">
                  <w:marLeft w:val="0"/>
                  <w:marRight w:val="0"/>
                  <w:marTop w:val="0"/>
                  <w:marBottom w:val="0"/>
                  <w:divBdr>
                    <w:top w:val="none" w:sz="0" w:space="0" w:color="auto"/>
                    <w:left w:val="none" w:sz="0" w:space="0" w:color="auto"/>
                    <w:bottom w:val="none" w:sz="0" w:space="0" w:color="auto"/>
                    <w:right w:val="none" w:sz="0" w:space="0" w:color="auto"/>
                  </w:divBdr>
                </w:div>
                <w:div w:id="717364581">
                  <w:marLeft w:val="0"/>
                  <w:marRight w:val="0"/>
                  <w:marTop w:val="0"/>
                  <w:marBottom w:val="0"/>
                  <w:divBdr>
                    <w:top w:val="none" w:sz="0" w:space="0" w:color="auto"/>
                    <w:left w:val="none" w:sz="0" w:space="0" w:color="auto"/>
                    <w:bottom w:val="none" w:sz="0" w:space="0" w:color="auto"/>
                    <w:right w:val="none" w:sz="0" w:space="0" w:color="auto"/>
                  </w:divBdr>
                </w:div>
                <w:div w:id="909997049">
                  <w:marLeft w:val="0"/>
                  <w:marRight w:val="0"/>
                  <w:marTop w:val="0"/>
                  <w:marBottom w:val="0"/>
                  <w:divBdr>
                    <w:top w:val="none" w:sz="0" w:space="0" w:color="auto"/>
                    <w:left w:val="none" w:sz="0" w:space="0" w:color="auto"/>
                    <w:bottom w:val="none" w:sz="0" w:space="0" w:color="auto"/>
                    <w:right w:val="none" w:sz="0" w:space="0" w:color="auto"/>
                  </w:divBdr>
                </w:div>
                <w:div w:id="795221397">
                  <w:marLeft w:val="0"/>
                  <w:marRight w:val="0"/>
                  <w:marTop w:val="0"/>
                  <w:marBottom w:val="0"/>
                  <w:divBdr>
                    <w:top w:val="none" w:sz="0" w:space="0" w:color="auto"/>
                    <w:left w:val="none" w:sz="0" w:space="0" w:color="auto"/>
                    <w:bottom w:val="none" w:sz="0" w:space="0" w:color="auto"/>
                    <w:right w:val="none" w:sz="0" w:space="0" w:color="auto"/>
                  </w:divBdr>
                </w:div>
                <w:div w:id="1710109962">
                  <w:marLeft w:val="0"/>
                  <w:marRight w:val="0"/>
                  <w:marTop w:val="0"/>
                  <w:marBottom w:val="0"/>
                  <w:divBdr>
                    <w:top w:val="none" w:sz="0" w:space="0" w:color="auto"/>
                    <w:left w:val="none" w:sz="0" w:space="0" w:color="auto"/>
                    <w:bottom w:val="none" w:sz="0" w:space="0" w:color="auto"/>
                    <w:right w:val="none" w:sz="0" w:space="0" w:color="auto"/>
                  </w:divBdr>
                </w:div>
                <w:div w:id="1232353508">
                  <w:marLeft w:val="0"/>
                  <w:marRight w:val="0"/>
                  <w:marTop w:val="0"/>
                  <w:marBottom w:val="0"/>
                  <w:divBdr>
                    <w:top w:val="none" w:sz="0" w:space="0" w:color="auto"/>
                    <w:left w:val="none" w:sz="0" w:space="0" w:color="auto"/>
                    <w:bottom w:val="none" w:sz="0" w:space="0" w:color="auto"/>
                    <w:right w:val="none" w:sz="0" w:space="0" w:color="auto"/>
                  </w:divBdr>
                </w:div>
                <w:div w:id="499387663">
                  <w:marLeft w:val="0"/>
                  <w:marRight w:val="0"/>
                  <w:marTop w:val="0"/>
                  <w:marBottom w:val="0"/>
                  <w:divBdr>
                    <w:top w:val="none" w:sz="0" w:space="0" w:color="auto"/>
                    <w:left w:val="none" w:sz="0" w:space="0" w:color="auto"/>
                    <w:bottom w:val="none" w:sz="0" w:space="0" w:color="auto"/>
                    <w:right w:val="none" w:sz="0" w:space="0" w:color="auto"/>
                  </w:divBdr>
                </w:div>
                <w:div w:id="70125827">
                  <w:marLeft w:val="0"/>
                  <w:marRight w:val="0"/>
                  <w:marTop w:val="0"/>
                  <w:marBottom w:val="0"/>
                  <w:divBdr>
                    <w:top w:val="none" w:sz="0" w:space="0" w:color="auto"/>
                    <w:left w:val="none" w:sz="0" w:space="0" w:color="auto"/>
                    <w:bottom w:val="none" w:sz="0" w:space="0" w:color="auto"/>
                    <w:right w:val="none" w:sz="0" w:space="0" w:color="auto"/>
                  </w:divBdr>
                </w:div>
                <w:div w:id="838468338">
                  <w:marLeft w:val="0"/>
                  <w:marRight w:val="0"/>
                  <w:marTop w:val="0"/>
                  <w:marBottom w:val="0"/>
                  <w:divBdr>
                    <w:top w:val="none" w:sz="0" w:space="0" w:color="auto"/>
                    <w:left w:val="none" w:sz="0" w:space="0" w:color="auto"/>
                    <w:bottom w:val="none" w:sz="0" w:space="0" w:color="auto"/>
                    <w:right w:val="none" w:sz="0" w:space="0" w:color="auto"/>
                  </w:divBdr>
                </w:div>
                <w:div w:id="138963908">
                  <w:marLeft w:val="0"/>
                  <w:marRight w:val="0"/>
                  <w:marTop w:val="0"/>
                  <w:marBottom w:val="0"/>
                  <w:divBdr>
                    <w:top w:val="none" w:sz="0" w:space="0" w:color="auto"/>
                    <w:left w:val="none" w:sz="0" w:space="0" w:color="auto"/>
                    <w:bottom w:val="none" w:sz="0" w:space="0" w:color="auto"/>
                    <w:right w:val="none" w:sz="0" w:space="0" w:color="auto"/>
                  </w:divBdr>
                </w:div>
                <w:div w:id="1876455915">
                  <w:marLeft w:val="0"/>
                  <w:marRight w:val="0"/>
                  <w:marTop w:val="0"/>
                  <w:marBottom w:val="0"/>
                  <w:divBdr>
                    <w:top w:val="none" w:sz="0" w:space="0" w:color="auto"/>
                    <w:left w:val="none" w:sz="0" w:space="0" w:color="auto"/>
                    <w:bottom w:val="none" w:sz="0" w:space="0" w:color="auto"/>
                    <w:right w:val="none" w:sz="0" w:space="0" w:color="auto"/>
                  </w:divBdr>
                </w:div>
                <w:div w:id="1691032502">
                  <w:marLeft w:val="0"/>
                  <w:marRight w:val="0"/>
                  <w:marTop w:val="0"/>
                  <w:marBottom w:val="0"/>
                  <w:divBdr>
                    <w:top w:val="none" w:sz="0" w:space="0" w:color="auto"/>
                    <w:left w:val="none" w:sz="0" w:space="0" w:color="auto"/>
                    <w:bottom w:val="none" w:sz="0" w:space="0" w:color="auto"/>
                    <w:right w:val="none" w:sz="0" w:space="0" w:color="auto"/>
                  </w:divBdr>
                </w:div>
                <w:div w:id="775295814">
                  <w:marLeft w:val="0"/>
                  <w:marRight w:val="0"/>
                  <w:marTop w:val="0"/>
                  <w:marBottom w:val="0"/>
                  <w:divBdr>
                    <w:top w:val="none" w:sz="0" w:space="0" w:color="auto"/>
                    <w:left w:val="none" w:sz="0" w:space="0" w:color="auto"/>
                    <w:bottom w:val="none" w:sz="0" w:space="0" w:color="auto"/>
                    <w:right w:val="none" w:sz="0" w:space="0" w:color="auto"/>
                  </w:divBdr>
                </w:div>
                <w:div w:id="20017317">
                  <w:marLeft w:val="0"/>
                  <w:marRight w:val="0"/>
                  <w:marTop w:val="0"/>
                  <w:marBottom w:val="0"/>
                  <w:divBdr>
                    <w:top w:val="none" w:sz="0" w:space="0" w:color="auto"/>
                    <w:left w:val="none" w:sz="0" w:space="0" w:color="auto"/>
                    <w:bottom w:val="none" w:sz="0" w:space="0" w:color="auto"/>
                    <w:right w:val="none" w:sz="0" w:space="0" w:color="auto"/>
                  </w:divBdr>
                </w:div>
                <w:div w:id="422605735">
                  <w:marLeft w:val="0"/>
                  <w:marRight w:val="0"/>
                  <w:marTop w:val="0"/>
                  <w:marBottom w:val="0"/>
                  <w:divBdr>
                    <w:top w:val="none" w:sz="0" w:space="0" w:color="auto"/>
                    <w:left w:val="none" w:sz="0" w:space="0" w:color="auto"/>
                    <w:bottom w:val="none" w:sz="0" w:space="0" w:color="auto"/>
                    <w:right w:val="none" w:sz="0" w:space="0" w:color="auto"/>
                  </w:divBdr>
                </w:div>
              </w:divsChild>
            </w:div>
            <w:div w:id="417335302">
              <w:marLeft w:val="0"/>
              <w:marRight w:val="0"/>
              <w:marTop w:val="0"/>
              <w:marBottom w:val="0"/>
              <w:divBdr>
                <w:top w:val="none" w:sz="0" w:space="0" w:color="auto"/>
                <w:left w:val="none" w:sz="0" w:space="0" w:color="auto"/>
                <w:bottom w:val="none" w:sz="0" w:space="0" w:color="auto"/>
                <w:right w:val="none" w:sz="0" w:space="0" w:color="auto"/>
              </w:divBdr>
              <w:divsChild>
                <w:div w:id="1120223991">
                  <w:marLeft w:val="0"/>
                  <w:marRight w:val="0"/>
                  <w:marTop w:val="0"/>
                  <w:marBottom w:val="0"/>
                  <w:divBdr>
                    <w:top w:val="none" w:sz="0" w:space="0" w:color="auto"/>
                    <w:left w:val="none" w:sz="0" w:space="0" w:color="auto"/>
                    <w:bottom w:val="none" w:sz="0" w:space="0" w:color="auto"/>
                    <w:right w:val="none" w:sz="0" w:space="0" w:color="auto"/>
                  </w:divBdr>
                  <w:divsChild>
                    <w:div w:id="1694190980">
                      <w:marLeft w:val="0"/>
                      <w:marRight w:val="0"/>
                      <w:marTop w:val="0"/>
                      <w:marBottom w:val="0"/>
                      <w:divBdr>
                        <w:top w:val="none" w:sz="0" w:space="0" w:color="auto"/>
                        <w:left w:val="none" w:sz="0" w:space="0" w:color="auto"/>
                        <w:bottom w:val="none" w:sz="0" w:space="0" w:color="auto"/>
                        <w:right w:val="none" w:sz="0" w:space="0" w:color="auto"/>
                      </w:divBdr>
                    </w:div>
                    <w:div w:id="16016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465">
              <w:marLeft w:val="0"/>
              <w:marRight w:val="0"/>
              <w:marTop w:val="0"/>
              <w:marBottom w:val="0"/>
              <w:divBdr>
                <w:top w:val="none" w:sz="0" w:space="0" w:color="auto"/>
                <w:left w:val="none" w:sz="0" w:space="0" w:color="auto"/>
                <w:bottom w:val="none" w:sz="0" w:space="0" w:color="auto"/>
                <w:right w:val="none" w:sz="0" w:space="0" w:color="auto"/>
              </w:divBdr>
              <w:divsChild>
                <w:div w:id="1660773115">
                  <w:marLeft w:val="0"/>
                  <w:marRight w:val="0"/>
                  <w:marTop w:val="0"/>
                  <w:marBottom w:val="0"/>
                  <w:divBdr>
                    <w:top w:val="none" w:sz="0" w:space="0" w:color="auto"/>
                    <w:left w:val="none" w:sz="0" w:space="0" w:color="auto"/>
                    <w:bottom w:val="none" w:sz="0" w:space="0" w:color="auto"/>
                    <w:right w:val="none" w:sz="0" w:space="0" w:color="auto"/>
                  </w:divBdr>
                </w:div>
              </w:divsChild>
            </w:div>
            <w:div w:id="838696320">
              <w:marLeft w:val="0"/>
              <w:marRight w:val="0"/>
              <w:marTop w:val="0"/>
              <w:marBottom w:val="0"/>
              <w:divBdr>
                <w:top w:val="none" w:sz="0" w:space="0" w:color="auto"/>
                <w:left w:val="none" w:sz="0" w:space="0" w:color="auto"/>
                <w:bottom w:val="none" w:sz="0" w:space="0" w:color="auto"/>
                <w:right w:val="none" w:sz="0" w:space="0" w:color="auto"/>
              </w:divBdr>
              <w:divsChild>
                <w:div w:id="869687634">
                  <w:marLeft w:val="0"/>
                  <w:marRight w:val="0"/>
                  <w:marTop w:val="0"/>
                  <w:marBottom w:val="0"/>
                  <w:divBdr>
                    <w:top w:val="none" w:sz="0" w:space="0" w:color="auto"/>
                    <w:left w:val="none" w:sz="0" w:space="0" w:color="auto"/>
                    <w:bottom w:val="none" w:sz="0" w:space="0" w:color="auto"/>
                    <w:right w:val="none" w:sz="0" w:space="0" w:color="auto"/>
                  </w:divBdr>
                </w:div>
                <w:div w:id="236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60251">
      <w:bodyDiv w:val="1"/>
      <w:marLeft w:val="0"/>
      <w:marRight w:val="0"/>
      <w:marTop w:val="0"/>
      <w:marBottom w:val="0"/>
      <w:divBdr>
        <w:top w:val="none" w:sz="0" w:space="0" w:color="auto"/>
        <w:left w:val="none" w:sz="0" w:space="0" w:color="auto"/>
        <w:bottom w:val="none" w:sz="0" w:space="0" w:color="auto"/>
        <w:right w:val="none" w:sz="0" w:space="0" w:color="auto"/>
      </w:divBdr>
    </w:div>
    <w:div w:id="1851673341">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 w:id="2090416680">
      <w:bodyDiv w:val="1"/>
      <w:marLeft w:val="0"/>
      <w:marRight w:val="0"/>
      <w:marTop w:val="0"/>
      <w:marBottom w:val="0"/>
      <w:divBdr>
        <w:top w:val="none" w:sz="0" w:space="0" w:color="auto"/>
        <w:left w:val="none" w:sz="0" w:space="0" w:color="auto"/>
        <w:bottom w:val="none" w:sz="0" w:space="0" w:color="auto"/>
        <w:right w:val="none" w:sz="0" w:space="0" w:color="auto"/>
      </w:divBdr>
    </w:div>
    <w:div w:id="2103404941">
      <w:bodyDiv w:val="1"/>
      <w:marLeft w:val="0"/>
      <w:marRight w:val="0"/>
      <w:marTop w:val="0"/>
      <w:marBottom w:val="0"/>
      <w:divBdr>
        <w:top w:val="none" w:sz="0" w:space="0" w:color="auto"/>
        <w:left w:val="none" w:sz="0" w:space="0" w:color="auto"/>
        <w:bottom w:val="none" w:sz="0" w:space="0" w:color="auto"/>
        <w:right w:val="none" w:sz="0" w:space="0" w:color="auto"/>
      </w:divBdr>
    </w:div>
    <w:div w:id="21271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rlis.Pigens@em.gov.lv" TargetMode="External"/><Relationship Id="rId4" Type="http://schemas.microsoft.com/office/2007/relationships/stylesWithEffects" Target="stylesWithEffects.xml"/><Relationship Id="rId9" Type="http://schemas.openxmlformats.org/officeDocument/2006/relationships/hyperlink" Target="https://www.vestnesis.lv/?menu=doc&amp;id=26230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m.gov.lv/em/2nd/?cat=30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3E884-4874-43BD-BAF8-6B747658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6038</Words>
  <Characters>3442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9462</CharactersWithSpaces>
  <SharedDoc>false</SharedDoc>
  <HLinks>
    <vt:vector size="6" baseType="variant">
      <vt:variant>
        <vt:i4>1638449</vt:i4>
      </vt:variant>
      <vt:variant>
        <vt:i4>0</vt:i4>
      </vt:variant>
      <vt:variant>
        <vt:i4>0</vt:i4>
      </vt:variant>
      <vt:variant>
        <vt:i4>5</vt:i4>
      </vt:variant>
      <vt:variant>
        <vt:lpwstr>mailto:elina.ergle@mfa.gov.lv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Piģēns</dc:creator>
  <cp:lastModifiedBy>Kārlis Piģēns</cp:lastModifiedBy>
  <cp:revision>19</cp:revision>
  <cp:lastPrinted>2011-03-03T08:10:00Z</cp:lastPrinted>
  <dcterms:created xsi:type="dcterms:W3CDTF">2014-04-01T18:44:00Z</dcterms:created>
  <dcterms:modified xsi:type="dcterms:W3CDTF">2014-04-15T07:23:00Z</dcterms:modified>
</cp:coreProperties>
</file>