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02" w:rsidRPr="00834450" w:rsidRDefault="00773C02" w:rsidP="00773C02">
      <w:pPr>
        <w:jc w:val="center"/>
        <w:rPr>
          <w:szCs w:val="24"/>
        </w:rPr>
      </w:pPr>
      <w:r w:rsidRPr="00834450">
        <w:rPr>
          <w:b/>
          <w:szCs w:val="24"/>
        </w:rPr>
        <w:t>Ministru kabineta noteikumu projekta</w:t>
      </w:r>
      <w:bookmarkStart w:id="0" w:name="OLE_LINK3"/>
      <w:bookmarkStart w:id="1" w:name="OLE_LINK4"/>
      <w:r w:rsidRPr="00834450">
        <w:rPr>
          <w:b/>
          <w:szCs w:val="24"/>
        </w:rPr>
        <w:t xml:space="preserve"> „</w:t>
      </w:r>
      <w:r>
        <w:rPr>
          <w:b/>
          <w:szCs w:val="24"/>
        </w:rPr>
        <w:t xml:space="preserve"> Grozījumi Ministru kabineta 2013.gada 10.decembra noteikumos Nr.1442 „</w:t>
      </w:r>
      <w:r w:rsidRPr="00834450">
        <w:rPr>
          <w:b/>
          <w:szCs w:val="24"/>
        </w:rPr>
        <w:t>Norvēģijas finanšu instrumenta 2009.–2014.gada perioda programmas "Inovācijas "zaļās" ražošanas jomā" atklāta projektu konkursa īstenošanas kārtība”</w:t>
      </w:r>
      <w:bookmarkStart w:id="2" w:name="OLE_LINK5"/>
      <w:bookmarkStart w:id="3" w:name="OLE_LINK6"/>
      <w:bookmarkEnd w:id="0"/>
      <w:bookmarkEnd w:id="1"/>
      <w:r>
        <w:rPr>
          <w:szCs w:val="24"/>
        </w:rPr>
        <w:t xml:space="preserve">” </w:t>
      </w:r>
      <w:r w:rsidRPr="00834450">
        <w:rPr>
          <w:b/>
          <w:szCs w:val="24"/>
        </w:rPr>
        <w:t>sākotnējās ietekmes novērtējuma ziņojums (anotācija)</w:t>
      </w:r>
      <w:bookmarkEnd w:id="2"/>
      <w:bookmarkEnd w:id="3"/>
    </w:p>
    <w:p w:rsidR="007229BB" w:rsidRPr="007229BB" w:rsidRDefault="007229BB" w:rsidP="007229BB">
      <w:pPr>
        <w:shd w:val="clear" w:color="auto" w:fill="FFFFFF"/>
        <w:spacing w:before="45" w:line="248" w:lineRule="atLeast"/>
        <w:ind w:firstLine="300"/>
        <w:jc w:val="center"/>
        <w:rPr>
          <w:rFonts w:ascii="Arial" w:eastAsia="Times New Roman" w:hAnsi="Arial" w:cs="Arial"/>
          <w:i/>
          <w:i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29BB" w:rsidRPr="008B3325" w:rsidTr="007229B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I. Tiesību akta projekta izstrādes nepieciešamība</w:t>
            </w:r>
          </w:p>
        </w:tc>
      </w:tr>
      <w:tr w:rsidR="007229BB" w:rsidRPr="008B3325" w:rsidTr="007229B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F40139" w:rsidP="00773C02">
            <w:pPr>
              <w:tabs>
                <w:tab w:val="left" w:pos="814"/>
                <w:tab w:val="left" w:pos="1129"/>
              </w:tabs>
              <w:jc w:val="both"/>
              <w:rPr>
                <w:sz w:val="24"/>
                <w:szCs w:val="24"/>
              </w:rPr>
            </w:pPr>
            <w:r w:rsidRPr="008B3325">
              <w:rPr>
                <w:sz w:val="24"/>
                <w:szCs w:val="24"/>
              </w:rPr>
              <w:t xml:space="preserve">Ministru kabineta noteikumu projekts „Grozījumi Ministru kabineta </w:t>
            </w:r>
            <w:r w:rsidR="001D1BE8" w:rsidRPr="008B3325">
              <w:rPr>
                <w:sz w:val="24"/>
                <w:szCs w:val="24"/>
              </w:rPr>
              <w:t>2013.gada 10.decembra noteikumos Nr.1442 „Norvēģijas finanšu instrumenta 2009.-2014.gada perioda programmas „Inovācijas „zaļās” ražošanas jomā” atklāta projektu konkursa īstenošanas kārtība””</w:t>
            </w:r>
            <w:r w:rsidR="00320498" w:rsidRPr="008B3325">
              <w:rPr>
                <w:sz w:val="24"/>
                <w:szCs w:val="24"/>
              </w:rPr>
              <w:t xml:space="preserve"> (turpmāk – noteikumu projekts)</w:t>
            </w:r>
            <w:r w:rsidRPr="008B3325">
              <w:rPr>
                <w:sz w:val="24"/>
                <w:szCs w:val="24"/>
              </w:rPr>
              <w:t xml:space="preserve"> ir izstrādāts, lai atbilstoši </w:t>
            </w:r>
            <w:r w:rsidR="00320498" w:rsidRPr="008B3325">
              <w:rPr>
                <w:sz w:val="24"/>
                <w:szCs w:val="24"/>
              </w:rPr>
              <w:t>2013.gada 21.oktobra</w:t>
            </w:r>
            <w:r w:rsidR="00274191" w:rsidRPr="008B3325">
              <w:rPr>
                <w:sz w:val="24"/>
                <w:szCs w:val="24"/>
              </w:rPr>
              <w:t xml:space="preserve"> (ar </w:t>
            </w:r>
            <w:r w:rsidR="00320498" w:rsidRPr="008B3325">
              <w:rPr>
                <w:sz w:val="24"/>
                <w:szCs w:val="24"/>
              </w:rPr>
              <w:t xml:space="preserve">grozījumiem 2014.gada 17.februārī) </w:t>
            </w:r>
            <w:r w:rsidRPr="008B3325">
              <w:rPr>
                <w:sz w:val="24"/>
                <w:szCs w:val="24"/>
              </w:rPr>
              <w:t>Programmas līguma 2.pi</w:t>
            </w:r>
            <w:r w:rsidR="00067CFB" w:rsidRPr="008B3325">
              <w:rPr>
                <w:sz w:val="24"/>
                <w:szCs w:val="24"/>
              </w:rPr>
              <w:t>el</w:t>
            </w:r>
            <w:r w:rsidRPr="008B3325">
              <w:rPr>
                <w:sz w:val="24"/>
                <w:szCs w:val="24"/>
              </w:rPr>
              <w:t>ikuma 3.2. punktam nodrošinātu programmas atklāta konkursa projektu iesniegumu otrās atlases kārtas organizēšanu. Vienlaicīgi grozījumi</w:t>
            </w:r>
            <w:r w:rsidR="00067CFB" w:rsidRPr="008B3325">
              <w:rPr>
                <w:sz w:val="24"/>
                <w:szCs w:val="24"/>
              </w:rPr>
              <w:t xml:space="preserve"> izstrādāti, lai nodrošinātu atklāta konkursa otrās kārtas </w:t>
            </w:r>
            <w:r w:rsidRPr="008B3325">
              <w:rPr>
                <w:sz w:val="24"/>
                <w:szCs w:val="24"/>
              </w:rPr>
              <w:t xml:space="preserve"> īstenošanu atbilstoši </w:t>
            </w:r>
            <w:r w:rsidRPr="008B3325">
              <w:rPr>
                <w:bCs/>
                <w:sz w:val="24"/>
                <w:szCs w:val="24"/>
              </w:rPr>
              <w:t>Eiropas Komisijas</w:t>
            </w:r>
            <w:r w:rsidR="00067CFB" w:rsidRPr="008B3325">
              <w:rPr>
                <w:bCs/>
                <w:sz w:val="24"/>
                <w:szCs w:val="24"/>
              </w:rPr>
              <w:t xml:space="preserve"> </w:t>
            </w:r>
            <w:r w:rsidR="00067CFB" w:rsidRPr="008B3325">
              <w:rPr>
                <w:sz w:val="24"/>
                <w:szCs w:val="24"/>
              </w:rPr>
              <w:t>2014.gada 17.jūnija</w:t>
            </w:r>
            <w:r w:rsidR="00320498" w:rsidRPr="008B3325">
              <w:rPr>
                <w:bCs/>
                <w:sz w:val="24"/>
                <w:szCs w:val="24"/>
              </w:rPr>
              <w:t xml:space="preserve"> R</w:t>
            </w:r>
            <w:r w:rsidRPr="008B3325">
              <w:rPr>
                <w:bCs/>
                <w:sz w:val="24"/>
                <w:szCs w:val="24"/>
              </w:rPr>
              <w:t>egula</w:t>
            </w:r>
            <w:r w:rsidR="00320498" w:rsidRPr="008B3325">
              <w:rPr>
                <w:bCs/>
                <w:sz w:val="24"/>
                <w:szCs w:val="24"/>
              </w:rPr>
              <w:t>i</w:t>
            </w:r>
            <w:r w:rsidRPr="008B3325">
              <w:rPr>
                <w:bCs/>
                <w:sz w:val="24"/>
                <w:szCs w:val="24"/>
              </w:rPr>
              <w:t xml:space="preserve"> Nr.651/2014, ar ko noteiktas atbalsta kategorijas par saderīgām ar iekšējo tirgu, piemērojot Līguma 107. un 108.pantu</w:t>
            </w:r>
            <w:r w:rsidRPr="008B3325">
              <w:rPr>
                <w:sz w:val="24"/>
                <w:szCs w:val="24"/>
              </w:rPr>
              <w:t xml:space="preserve"> (Eiropas Savienības Oficiālais Vēstnesis, 2014.gada </w:t>
            </w:r>
            <w:r w:rsidR="00320498" w:rsidRPr="008B3325">
              <w:rPr>
                <w:sz w:val="24"/>
                <w:szCs w:val="24"/>
              </w:rPr>
              <w:t>26</w:t>
            </w:r>
            <w:r w:rsidRPr="008B3325">
              <w:rPr>
                <w:sz w:val="24"/>
                <w:szCs w:val="24"/>
              </w:rPr>
              <w:t>.</w:t>
            </w:r>
            <w:r w:rsidR="00320498" w:rsidRPr="008B3325">
              <w:rPr>
                <w:sz w:val="24"/>
                <w:szCs w:val="24"/>
              </w:rPr>
              <w:t>jūnijs, Nr. L 187</w:t>
            </w:r>
            <w:r w:rsidRPr="008B3325">
              <w:rPr>
                <w:sz w:val="24"/>
                <w:szCs w:val="24"/>
              </w:rPr>
              <w:t xml:space="preserve">/1) un Komisijas 2013.gada 18.decembra Regulai (ES) Nr.1407/2013 par Līguma par Eiropas Savienību darbību 107. un 108.panta piemērošanu </w:t>
            </w:r>
            <w:r w:rsidRPr="008B3325">
              <w:rPr>
                <w:i/>
                <w:sz w:val="24"/>
                <w:szCs w:val="24"/>
              </w:rPr>
              <w:t>de minimis</w:t>
            </w:r>
            <w:r w:rsidRPr="008B3325">
              <w:rPr>
                <w:sz w:val="24"/>
                <w:szCs w:val="24"/>
              </w:rPr>
              <w:t xml:space="preserve"> atbalstam (Eiropas Savienības Oficiālais Vēstnesis, 2013.gada 24.decembris, Nr. L 352/1).</w:t>
            </w:r>
          </w:p>
        </w:tc>
      </w:tr>
      <w:tr w:rsidR="007229BB" w:rsidRPr="008B3325" w:rsidTr="007229B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67CFB" w:rsidRPr="008B3325" w:rsidRDefault="00067CFB" w:rsidP="00A1229E">
            <w:pPr>
              <w:jc w:val="both"/>
              <w:rPr>
                <w:bCs/>
                <w:sz w:val="24"/>
                <w:szCs w:val="24"/>
                <w:shd w:val="clear" w:color="auto" w:fill="FEFEFE"/>
              </w:rPr>
            </w:pPr>
            <w:r w:rsidRPr="008B3325">
              <w:rPr>
                <w:rFonts w:eastAsia="Times New Roman" w:cs="Times New Roman"/>
                <w:sz w:val="24"/>
                <w:szCs w:val="24"/>
              </w:rPr>
              <w:t>Saskaņā ar M</w:t>
            </w:r>
            <w:r w:rsidR="00320498" w:rsidRPr="008B3325">
              <w:rPr>
                <w:rFonts w:eastAsia="Times New Roman" w:cs="Times New Roman"/>
                <w:sz w:val="24"/>
                <w:szCs w:val="24"/>
              </w:rPr>
              <w:t>inistru kabineta</w:t>
            </w:r>
            <w:r w:rsidRPr="008B3325">
              <w:rPr>
                <w:rFonts w:eastAsia="Times New Roman" w:cs="Times New Roman"/>
                <w:sz w:val="24"/>
                <w:szCs w:val="24"/>
              </w:rPr>
              <w:t xml:space="preserve"> noteikumiem Nr.1442</w:t>
            </w:r>
            <w:r w:rsidR="00320498" w:rsidRPr="008B3325">
              <w:rPr>
                <w:rFonts w:eastAsia="Times New Roman" w:cs="Times New Roman"/>
                <w:sz w:val="24"/>
                <w:szCs w:val="24"/>
              </w:rPr>
              <w:t xml:space="preserve"> </w:t>
            </w:r>
            <w:r w:rsidR="00320498" w:rsidRPr="008B3325">
              <w:rPr>
                <w:sz w:val="24"/>
                <w:szCs w:val="24"/>
              </w:rPr>
              <w:t>„Norvēģijas finanšu instrumenta 2009.-2014.gada perioda programmas „Inovācijas „zaļās” ražošanas jomā” atklāta projektu konkursa īstenošanas kārtība”</w:t>
            </w:r>
            <w:r w:rsidR="00320498" w:rsidRPr="008B3325">
              <w:rPr>
                <w:rFonts w:eastAsia="Times New Roman" w:cs="Times New Roman"/>
                <w:sz w:val="24"/>
                <w:szCs w:val="24"/>
              </w:rPr>
              <w:t xml:space="preserve"> </w:t>
            </w:r>
            <w:r w:rsidR="00EC6E7A" w:rsidRPr="008B3325">
              <w:rPr>
                <w:rFonts w:eastAsia="Times New Roman" w:cs="Times New Roman"/>
                <w:sz w:val="24"/>
                <w:szCs w:val="24"/>
              </w:rPr>
              <w:t xml:space="preserve">2014.gada 21.janvārī tika izsludināta atklāta konkursa projektu iesniegumu atlases pirmā kārta, kuras ietvaros kopējais pieejamas finansējums bija </w:t>
            </w:r>
            <w:r w:rsidR="00EC6E7A" w:rsidRPr="008B3325">
              <w:rPr>
                <w:bCs/>
                <w:sz w:val="24"/>
                <w:szCs w:val="24"/>
                <w:shd w:val="clear" w:color="auto" w:fill="FEFEFE"/>
              </w:rPr>
              <w:t xml:space="preserve">7 769 107 EUR, taču minētās kārtas ietvaros tika apstiprināti projekti par </w:t>
            </w:r>
            <w:r w:rsidR="00FC1C59" w:rsidRPr="008B3325">
              <w:rPr>
                <w:bCs/>
                <w:sz w:val="24"/>
                <w:szCs w:val="24"/>
                <w:lang w:eastAsia="lv-LV"/>
              </w:rPr>
              <w:t>1 931 837</w:t>
            </w:r>
            <w:r w:rsidR="00EC6E7A" w:rsidRPr="008B3325">
              <w:rPr>
                <w:bCs/>
                <w:sz w:val="24"/>
                <w:szCs w:val="24"/>
                <w:shd w:val="clear" w:color="auto" w:fill="FEFEFE"/>
              </w:rPr>
              <w:t xml:space="preserve"> EUR</w:t>
            </w:r>
            <w:r w:rsidRPr="008B3325">
              <w:rPr>
                <w:bCs/>
                <w:sz w:val="24"/>
                <w:szCs w:val="24"/>
                <w:shd w:val="clear" w:color="auto" w:fill="FEFEFE"/>
              </w:rPr>
              <w:t xml:space="preserve">. Saskaņā ar </w:t>
            </w:r>
            <w:r w:rsidR="00320498" w:rsidRPr="008B3325">
              <w:rPr>
                <w:sz w:val="24"/>
                <w:szCs w:val="24"/>
              </w:rPr>
              <w:t xml:space="preserve">2013.gada 21.oktobra (ar grozījumiem 2014.gada 17.februārī) </w:t>
            </w:r>
            <w:r w:rsidRPr="008B3325">
              <w:rPr>
                <w:sz w:val="24"/>
                <w:szCs w:val="24"/>
              </w:rPr>
              <w:t>Programmas</w:t>
            </w:r>
            <w:r w:rsidR="00320498" w:rsidRPr="008B3325">
              <w:rPr>
                <w:sz w:val="24"/>
                <w:szCs w:val="24"/>
              </w:rPr>
              <w:t xml:space="preserve"> līguma 2.pielikuma 3.2. punktu - </w:t>
            </w:r>
            <w:r w:rsidRPr="008B3325">
              <w:rPr>
                <w:sz w:val="24"/>
                <w:szCs w:val="24"/>
              </w:rPr>
              <w:t xml:space="preserve"> </w:t>
            </w:r>
            <w:r w:rsidR="00320498" w:rsidRPr="008B3325">
              <w:rPr>
                <w:sz w:val="24"/>
                <w:szCs w:val="24"/>
              </w:rPr>
              <w:t>g</w:t>
            </w:r>
            <w:r w:rsidRPr="008B3325">
              <w:rPr>
                <w:sz w:val="24"/>
                <w:szCs w:val="24"/>
              </w:rPr>
              <w:t>adījumā</w:t>
            </w:r>
            <w:r w:rsidR="00320498" w:rsidRPr="008B3325">
              <w:rPr>
                <w:sz w:val="24"/>
                <w:szCs w:val="24"/>
              </w:rPr>
              <w:t>,</w:t>
            </w:r>
            <w:r w:rsidRPr="008B3325">
              <w:rPr>
                <w:sz w:val="24"/>
                <w:szCs w:val="24"/>
              </w:rPr>
              <w:t xml:space="preserve"> </w:t>
            </w:r>
            <w:r w:rsidR="00320498" w:rsidRPr="008B3325">
              <w:rPr>
                <w:sz w:val="24"/>
                <w:szCs w:val="24"/>
              </w:rPr>
              <w:t>ja</w:t>
            </w:r>
            <w:r w:rsidRPr="008B3325">
              <w:rPr>
                <w:sz w:val="24"/>
                <w:szCs w:val="24"/>
              </w:rPr>
              <w:t xml:space="preserve"> atklāta konkursa atlases ietvaros netiek apgūts viss finansējums</w:t>
            </w:r>
            <w:r w:rsidR="00320498" w:rsidRPr="008B3325">
              <w:rPr>
                <w:sz w:val="24"/>
                <w:szCs w:val="24"/>
              </w:rPr>
              <w:t>,</w:t>
            </w:r>
            <w:r w:rsidRPr="008B3325">
              <w:rPr>
                <w:sz w:val="24"/>
                <w:szCs w:val="24"/>
              </w:rPr>
              <w:t xml:space="preserve"> jāorganizē otrā atlases kārta</w:t>
            </w:r>
            <w:r w:rsidR="00EC6E7A" w:rsidRPr="008B3325">
              <w:rPr>
                <w:bCs/>
                <w:sz w:val="24"/>
                <w:szCs w:val="24"/>
                <w:shd w:val="clear" w:color="auto" w:fill="FEFEFE"/>
              </w:rPr>
              <w:t xml:space="preserve">. </w:t>
            </w:r>
          </w:p>
          <w:p w:rsidR="001058C2" w:rsidRPr="008B3325" w:rsidRDefault="001058C2" w:rsidP="00A1229E">
            <w:pPr>
              <w:jc w:val="both"/>
              <w:rPr>
                <w:bCs/>
                <w:sz w:val="24"/>
                <w:szCs w:val="24"/>
                <w:shd w:val="clear" w:color="auto" w:fill="FEFEFE"/>
              </w:rPr>
            </w:pPr>
            <w:r w:rsidRPr="008B3325">
              <w:rPr>
                <w:bCs/>
                <w:sz w:val="24"/>
                <w:szCs w:val="24"/>
                <w:shd w:val="clear" w:color="auto" w:fill="FEFEFE"/>
              </w:rPr>
              <w:t xml:space="preserve">Norvēģijas finanšu </w:t>
            </w:r>
            <w:r w:rsidR="00FC1C59" w:rsidRPr="008B3325">
              <w:rPr>
                <w:bCs/>
                <w:sz w:val="24"/>
                <w:szCs w:val="24"/>
                <w:shd w:val="clear" w:color="auto" w:fill="FEFEFE"/>
              </w:rPr>
              <w:t>instrumenta 2009.-2014.gada peri</w:t>
            </w:r>
            <w:r w:rsidRPr="008B3325">
              <w:rPr>
                <w:bCs/>
                <w:sz w:val="24"/>
                <w:szCs w:val="24"/>
                <w:shd w:val="clear" w:color="auto" w:fill="FEFEFE"/>
              </w:rPr>
              <w:t xml:space="preserve">oda programmas LV06 „Inovācijas „zaļās” ražošanas jomā” (turpmāk – </w:t>
            </w:r>
            <w:r w:rsidR="00067CFB" w:rsidRPr="008B3325">
              <w:rPr>
                <w:bCs/>
                <w:sz w:val="24"/>
                <w:szCs w:val="24"/>
                <w:shd w:val="clear" w:color="auto" w:fill="FEFEFE"/>
              </w:rPr>
              <w:t>P</w:t>
            </w:r>
            <w:r w:rsidRPr="008B3325">
              <w:rPr>
                <w:bCs/>
                <w:sz w:val="24"/>
                <w:szCs w:val="24"/>
                <w:shd w:val="clear" w:color="auto" w:fill="FEFEFE"/>
              </w:rPr>
              <w:t>rogramma</w:t>
            </w:r>
            <w:r w:rsidR="00F16D4D" w:rsidRPr="008B3325">
              <w:rPr>
                <w:bCs/>
                <w:sz w:val="24"/>
                <w:szCs w:val="24"/>
                <w:shd w:val="clear" w:color="auto" w:fill="FEFEFE"/>
              </w:rPr>
              <w:t xml:space="preserve"> LV06</w:t>
            </w:r>
            <w:r w:rsidRPr="008B3325">
              <w:rPr>
                <w:bCs/>
                <w:sz w:val="24"/>
                <w:szCs w:val="24"/>
                <w:shd w:val="clear" w:color="auto" w:fill="FEFEFE"/>
              </w:rPr>
              <w:t>)</w:t>
            </w:r>
            <w:r w:rsidR="00F16D4D" w:rsidRPr="008B3325">
              <w:rPr>
                <w:bCs/>
                <w:sz w:val="24"/>
                <w:szCs w:val="24"/>
                <w:shd w:val="clear" w:color="auto" w:fill="FEFEFE"/>
              </w:rPr>
              <w:t xml:space="preserve"> sadarbības komitejas 2014.gada 28.maija sēdē tika </w:t>
            </w:r>
            <w:r w:rsidR="00067CFB" w:rsidRPr="008B3325">
              <w:rPr>
                <w:bCs/>
                <w:sz w:val="24"/>
                <w:szCs w:val="24"/>
                <w:shd w:val="clear" w:color="auto" w:fill="FEFEFE"/>
              </w:rPr>
              <w:t xml:space="preserve">panākta vienošanās, ka </w:t>
            </w:r>
            <w:r w:rsidRPr="008B3325">
              <w:rPr>
                <w:bCs/>
                <w:sz w:val="24"/>
                <w:szCs w:val="24"/>
                <w:shd w:val="clear" w:color="auto" w:fill="FEFEFE"/>
              </w:rPr>
              <w:t>Programmas LV06</w:t>
            </w:r>
            <w:r w:rsidR="00067CFB" w:rsidRPr="008B3325">
              <w:rPr>
                <w:bCs/>
                <w:sz w:val="24"/>
                <w:szCs w:val="24"/>
                <w:shd w:val="clear" w:color="auto" w:fill="FEFEFE"/>
              </w:rPr>
              <w:t xml:space="preserve"> atklāta konkursa </w:t>
            </w:r>
            <w:r w:rsidRPr="008B3325">
              <w:rPr>
                <w:bCs/>
                <w:sz w:val="24"/>
                <w:szCs w:val="24"/>
                <w:shd w:val="clear" w:color="auto" w:fill="FEFEFE"/>
              </w:rPr>
              <w:t xml:space="preserve">projektu iesnigumu atlases </w:t>
            </w:r>
            <w:r w:rsidR="00067CFB" w:rsidRPr="008B3325">
              <w:rPr>
                <w:bCs/>
                <w:sz w:val="24"/>
                <w:szCs w:val="24"/>
                <w:shd w:val="clear" w:color="auto" w:fill="FEFEFE"/>
              </w:rPr>
              <w:t>otrā k</w:t>
            </w:r>
            <w:r w:rsidR="007130B4" w:rsidRPr="008B3325">
              <w:rPr>
                <w:bCs/>
                <w:sz w:val="24"/>
                <w:szCs w:val="24"/>
                <w:shd w:val="clear" w:color="auto" w:fill="FEFEFE"/>
              </w:rPr>
              <w:t>ār</w:t>
            </w:r>
            <w:r w:rsidR="00067CFB" w:rsidRPr="008B3325">
              <w:rPr>
                <w:bCs/>
                <w:sz w:val="24"/>
                <w:szCs w:val="24"/>
                <w:shd w:val="clear" w:color="auto" w:fill="FEFEFE"/>
              </w:rPr>
              <w:t>ta</w:t>
            </w:r>
            <w:r w:rsidR="007130B4" w:rsidRPr="008B3325">
              <w:rPr>
                <w:bCs/>
                <w:sz w:val="24"/>
                <w:szCs w:val="24"/>
                <w:shd w:val="clear" w:color="auto" w:fill="FEFEFE"/>
              </w:rPr>
              <w:t xml:space="preserve"> </w:t>
            </w:r>
            <w:r w:rsidR="00067CFB" w:rsidRPr="008B3325">
              <w:rPr>
                <w:bCs/>
                <w:sz w:val="24"/>
                <w:szCs w:val="24"/>
                <w:shd w:val="clear" w:color="auto" w:fill="FEFEFE"/>
              </w:rPr>
              <w:t>jāizs</w:t>
            </w:r>
            <w:r w:rsidR="007130B4" w:rsidRPr="008B3325">
              <w:rPr>
                <w:bCs/>
                <w:sz w:val="24"/>
                <w:szCs w:val="24"/>
                <w:shd w:val="clear" w:color="auto" w:fill="FEFEFE"/>
              </w:rPr>
              <w:t>l</w:t>
            </w:r>
            <w:r w:rsidR="00067CFB" w:rsidRPr="008B3325">
              <w:rPr>
                <w:bCs/>
                <w:sz w:val="24"/>
                <w:szCs w:val="24"/>
                <w:shd w:val="clear" w:color="auto" w:fill="FEFEFE"/>
              </w:rPr>
              <w:t>udina</w:t>
            </w:r>
            <w:r w:rsidR="007130B4" w:rsidRPr="008B3325">
              <w:rPr>
                <w:bCs/>
                <w:sz w:val="24"/>
                <w:szCs w:val="24"/>
                <w:shd w:val="clear" w:color="auto" w:fill="FEFEFE"/>
              </w:rPr>
              <w:t xml:space="preserve"> 2014.gada III ceturksnī. Vienlaicīgi tika panākta vienošanās precizēt atbalsta nosacījumus un atlases kritērijus, lai nodrošinātu </w:t>
            </w:r>
            <w:r w:rsidR="007130B4" w:rsidRPr="008B3325">
              <w:rPr>
                <w:bCs/>
                <w:sz w:val="24"/>
                <w:szCs w:val="24"/>
                <w:shd w:val="clear" w:color="auto" w:fill="FEFEFE"/>
              </w:rPr>
              <w:lastRenderedPageBreak/>
              <w:t xml:space="preserve">programmas mērķu sasniegšanu un rezultatīvo rādītāju izpildi. </w:t>
            </w:r>
          </w:p>
          <w:p w:rsidR="007130B4" w:rsidRDefault="00FC1C59" w:rsidP="00A1229E">
            <w:pPr>
              <w:jc w:val="both"/>
              <w:rPr>
                <w:sz w:val="24"/>
                <w:szCs w:val="24"/>
              </w:rPr>
            </w:pPr>
            <w:r w:rsidRPr="008B3325">
              <w:rPr>
                <w:sz w:val="24"/>
                <w:szCs w:val="24"/>
              </w:rPr>
              <w:t>Noteikumu projekts</w:t>
            </w:r>
            <w:r w:rsidR="007130B4" w:rsidRPr="008B3325">
              <w:rPr>
                <w:sz w:val="24"/>
                <w:szCs w:val="24"/>
              </w:rPr>
              <w:t xml:space="preserve"> paredz sekojošu izmaiņu veikšanu:</w:t>
            </w:r>
          </w:p>
          <w:p w:rsidR="00C851E0" w:rsidRPr="00C851E0" w:rsidRDefault="00C851E0" w:rsidP="00C851E0">
            <w:pPr>
              <w:pStyle w:val="ListParagraph"/>
              <w:numPr>
                <w:ilvl w:val="0"/>
                <w:numId w:val="3"/>
              </w:numPr>
              <w:jc w:val="both"/>
              <w:rPr>
                <w:sz w:val="24"/>
                <w:szCs w:val="24"/>
              </w:rPr>
            </w:pPr>
            <w:r>
              <w:rPr>
                <w:sz w:val="24"/>
                <w:szCs w:val="24"/>
              </w:rPr>
              <w:t xml:space="preserve">Lai nodrošinātu noteikumu projekta atbilstību Eiropas Komisijas regulā Nr.651/2014 noteiktajiem ierobežojumiem reģionālā atbalsta sniegšanai (Eiropas Komisijas regulas Nr.651/2014 13.pantā minētais par </w:t>
            </w:r>
            <w:r w:rsidRPr="00DD32B2">
              <w:rPr>
                <w:sz w:val="24"/>
                <w:szCs w:val="24"/>
              </w:rPr>
              <w:t>atbalsta nepiemērošanu enerģijas ražošanai), ir veiktas izmaiņas atklāta konkursa mēr</w:t>
            </w:r>
            <w:r>
              <w:rPr>
                <w:sz w:val="24"/>
                <w:szCs w:val="24"/>
              </w:rPr>
              <w:t>ķī</w:t>
            </w:r>
            <w:r w:rsidRPr="00DD32B2">
              <w:rPr>
                <w:sz w:val="24"/>
                <w:szCs w:val="24"/>
              </w:rPr>
              <w:t xml:space="preserve">. </w:t>
            </w:r>
            <w:r>
              <w:rPr>
                <w:sz w:val="24"/>
                <w:szCs w:val="24"/>
              </w:rPr>
              <w:t>Lai nodrošinātu saprotamāku skaidrojumu projektu pieteicējiem, ka atbalstu atklāta konkursa projektu iesniegumu atlases otrajā kārtā nav atbalstāma enerģijas ražošana, ir noteikts ierobežojums 2.1.apakšpunktā, vienlaikus papildinot 2.7. apakšpunkta redakciju</w:t>
            </w:r>
            <w:r w:rsidRPr="00DD32B2">
              <w:rPr>
                <w:sz w:val="24"/>
                <w:szCs w:val="24"/>
              </w:rPr>
              <w:t>, lai nodrošinātu, ka atbalstu var saņemt apstrādes rūpniecības uzņēmumi, kas plāno  veikt sākotnējos ieguldījumus, lai ieviestu ražošanā produktus vai iekārtas (saules baterijas, vēja ģeneratorus vai to daļas utml.), kuras nodrošina atjaunojamo energoresursu efektīvu izmantošanu nevis, lai  ražotu pašu enerģiju. Tikai svītrojot 2.1.apakšpunktā iekļauto jomu, šie apstrādes rūpniecības uzņēmumi tiek nepamatoti izslēgti no iespējas saņemt atbalstu</w:t>
            </w:r>
            <w:r>
              <w:rPr>
                <w:sz w:val="24"/>
                <w:szCs w:val="24"/>
              </w:rPr>
              <w:t xml:space="preserve"> (Noteikumu projekta 1., 8. un 50.punkts);</w:t>
            </w:r>
          </w:p>
          <w:p w:rsidR="00294992" w:rsidRPr="008B3325" w:rsidRDefault="00294992" w:rsidP="00294992">
            <w:pPr>
              <w:numPr>
                <w:ilvl w:val="0"/>
                <w:numId w:val="3"/>
              </w:numPr>
              <w:jc w:val="both"/>
              <w:rPr>
                <w:sz w:val="24"/>
                <w:szCs w:val="24"/>
              </w:rPr>
            </w:pPr>
            <w:r w:rsidRPr="008B3325">
              <w:rPr>
                <w:sz w:val="24"/>
                <w:szCs w:val="24"/>
              </w:rPr>
              <w:t>Lai nodrošinātu otrās atlases kārtas</w:t>
            </w:r>
            <w:r w:rsidR="00C10DE0" w:rsidRPr="008B3325">
              <w:rPr>
                <w:sz w:val="24"/>
                <w:szCs w:val="24"/>
              </w:rPr>
              <w:t xml:space="preserve"> </w:t>
            </w:r>
            <w:r w:rsidR="00B51D98" w:rsidRPr="008B3325">
              <w:rPr>
                <w:sz w:val="24"/>
                <w:szCs w:val="24"/>
              </w:rPr>
              <w:t>organizēšanu</w:t>
            </w:r>
            <w:r w:rsidRPr="008B3325">
              <w:rPr>
                <w:sz w:val="24"/>
                <w:szCs w:val="24"/>
              </w:rPr>
              <w:t>, p</w:t>
            </w:r>
            <w:r w:rsidR="007130B4" w:rsidRPr="008B3325">
              <w:rPr>
                <w:sz w:val="24"/>
                <w:szCs w:val="24"/>
              </w:rPr>
              <w:t xml:space="preserve">recizēta atklāta konkursa iesniegumu iesniegšanas un vērtēšanas kārtība, </w:t>
            </w:r>
            <w:r w:rsidR="007C3B7C" w:rsidRPr="008B3325">
              <w:rPr>
                <w:sz w:val="24"/>
                <w:szCs w:val="24"/>
              </w:rPr>
              <w:t>iekļauta otrās kārtās pieteikumu veidlapa un kritēriji</w:t>
            </w:r>
            <w:r w:rsidR="000840ED">
              <w:rPr>
                <w:sz w:val="24"/>
                <w:szCs w:val="24"/>
              </w:rPr>
              <w:t xml:space="preserve"> </w:t>
            </w:r>
            <w:r w:rsidR="00D461D9">
              <w:rPr>
                <w:sz w:val="24"/>
                <w:szCs w:val="24"/>
              </w:rPr>
              <w:t>(Noteikumu projekta 3</w:t>
            </w:r>
            <w:r w:rsidR="00C851E0">
              <w:rPr>
                <w:sz w:val="24"/>
                <w:szCs w:val="24"/>
              </w:rPr>
              <w:t>2</w:t>
            </w:r>
            <w:r w:rsidR="00D461D9">
              <w:rPr>
                <w:sz w:val="24"/>
                <w:szCs w:val="24"/>
              </w:rPr>
              <w:t>.- 4</w:t>
            </w:r>
            <w:r w:rsidR="00C851E0">
              <w:rPr>
                <w:sz w:val="24"/>
                <w:szCs w:val="24"/>
              </w:rPr>
              <w:t>4</w:t>
            </w:r>
            <w:r w:rsidR="00D461D9">
              <w:rPr>
                <w:sz w:val="24"/>
                <w:szCs w:val="24"/>
              </w:rPr>
              <w:t xml:space="preserve">., </w:t>
            </w:r>
            <w:r w:rsidR="00C851E0">
              <w:rPr>
                <w:sz w:val="24"/>
                <w:szCs w:val="24"/>
              </w:rPr>
              <w:t>52</w:t>
            </w:r>
            <w:r w:rsidRPr="008B3325">
              <w:rPr>
                <w:sz w:val="24"/>
                <w:szCs w:val="24"/>
              </w:rPr>
              <w:t>.</w:t>
            </w:r>
            <w:r w:rsidR="00D461D9">
              <w:rPr>
                <w:sz w:val="24"/>
                <w:szCs w:val="24"/>
              </w:rPr>
              <w:t xml:space="preserve"> un 5</w:t>
            </w:r>
            <w:r w:rsidR="00C851E0">
              <w:rPr>
                <w:sz w:val="24"/>
                <w:szCs w:val="24"/>
              </w:rPr>
              <w:t>3</w:t>
            </w:r>
            <w:r w:rsidR="000840ED">
              <w:rPr>
                <w:sz w:val="24"/>
                <w:szCs w:val="24"/>
              </w:rPr>
              <w:t>.punkts</w:t>
            </w:r>
            <w:r w:rsidRPr="008B3325">
              <w:rPr>
                <w:sz w:val="24"/>
                <w:szCs w:val="24"/>
              </w:rPr>
              <w:t>);</w:t>
            </w:r>
          </w:p>
          <w:p w:rsidR="00294992" w:rsidRPr="003369B6" w:rsidRDefault="00294992" w:rsidP="00294992">
            <w:pPr>
              <w:numPr>
                <w:ilvl w:val="0"/>
                <w:numId w:val="3"/>
              </w:numPr>
              <w:jc w:val="both"/>
              <w:rPr>
                <w:sz w:val="24"/>
                <w:szCs w:val="24"/>
              </w:rPr>
            </w:pPr>
            <w:r w:rsidRPr="008B3325">
              <w:rPr>
                <w:sz w:val="24"/>
                <w:szCs w:val="24"/>
              </w:rPr>
              <w:t>Lai nodrošinātu</w:t>
            </w:r>
            <w:r w:rsidR="007C3B7C" w:rsidRPr="008B3325">
              <w:rPr>
                <w:sz w:val="24"/>
                <w:szCs w:val="24"/>
              </w:rPr>
              <w:t xml:space="preserve"> kvalitatīvāku un</w:t>
            </w:r>
            <w:r w:rsidRPr="008B3325">
              <w:rPr>
                <w:sz w:val="24"/>
                <w:szCs w:val="24"/>
              </w:rPr>
              <w:t xml:space="preserve"> </w:t>
            </w:r>
            <w:r w:rsidR="007C3B7C" w:rsidRPr="008B3325">
              <w:rPr>
                <w:sz w:val="24"/>
                <w:szCs w:val="24"/>
              </w:rPr>
              <w:t xml:space="preserve">programmas mērķim atbilstošu </w:t>
            </w:r>
            <w:r w:rsidRPr="008B3325">
              <w:rPr>
                <w:sz w:val="24"/>
                <w:szCs w:val="24"/>
              </w:rPr>
              <w:t>projekta iesniegumu sagatavošanu</w:t>
            </w:r>
            <w:r w:rsidR="00F75718" w:rsidRPr="008B3325">
              <w:rPr>
                <w:sz w:val="24"/>
                <w:szCs w:val="24"/>
              </w:rPr>
              <w:t>,</w:t>
            </w:r>
            <w:r w:rsidRPr="008B3325">
              <w:rPr>
                <w:sz w:val="24"/>
                <w:szCs w:val="24"/>
              </w:rPr>
              <w:t xml:space="preserve"> precizētas un papildinātas</w:t>
            </w:r>
            <w:r w:rsidRPr="008B3325">
              <w:rPr>
                <w:bCs/>
                <w:sz w:val="24"/>
                <w:szCs w:val="24"/>
                <w:shd w:val="clear" w:color="auto" w:fill="FEFEFE"/>
              </w:rPr>
              <w:t xml:space="preserve"> jauna pro</w:t>
            </w:r>
            <w:r w:rsidR="00F75718" w:rsidRPr="008B3325">
              <w:rPr>
                <w:bCs/>
                <w:sz w:val="24"/>
                <w:szCs w:val="24"/>
                <w:shd w:val="clear" w:color="auto" w:fill="FEFEFE"/>
              </w:rPr>
              <w:t>dukta un tehnoloģijas definīcija</w:t>
            </w:r>
            <w:r w:rsidRPr="008B3325">
              <w:rPr>
                <w:bCs/>
                <w:sz w:val="24"/>
                <w:szCs w:val="24"/>
                <w:shd w:val="clear" w:color="auto" w:fill="FEFEFE"/>
              </w:rPr>
              <w:t xml:space="preserve">s, uzsverot to nozīmi </w:t>
            </w:r>
            <w:r w:rsidR="007101F2">
              <w:rPr>
                <w:bCs/>
                <w:sz w:val="24"/>
                <w:szCs w:val="24"/>
                <w:shd w:val="clear" w:color="auto" w:fill="FEFEFE"/>
              </w:rPr>
              <w:t>samazinātas negatīvās</w:t>
            </w:r>
            <w:r w:rsidRPr="008B3325">
              <w:rPr>
                <w:bCs/>
                <w:sz w:val="24"/>
                <w:szCs w:val="24"/>
                <w:shd w:val="clear" w:color="auto" w:fill="FEFEFE"/>
              </w:rPr>
              <w:t xml:space="preserve"> ietekmes radīšanā uz vidi</w:t>
            </w:r>
            <w:r w:rsidR="007101F2">
              <w:rPr>
                <w:bCs/>
                <w:sz w:val="24"/>
                <w:szCs w:val="24"/>
                <w:shd w:val="clear" w:color="auto" w:fill="FEFEFE"/>
              </w:rPr>
              <w:t>, precizētas un papildinātas projekta partneru definīcijas</w:t>
            </w:r>
            <w:r w:rsidRPr="008B3325">
              <w:rPr>
                <w:bCs/>
                <w:sz w:val="24"/>
                <w:szCs w:val="24"/>
                <w:shd w:val="clear" w:color="auto" w:fill="FEFEFE"/>
              </w:rPr>
              <w:t>.</w:t>
            </w:r>
            <w:r w:rsidR="005C7080">
              <w:rPr>
                <w:sz w:val="24"/>
                <w:szCs w:val="24"/>
              </w:rPr>
              <w:t xml:space="preserve"> (Noteikumu projekta </w:t>
            </w:r>
            <w:r w:rsidR="00C851E0">
              <w:rPr>
                <w:sz w:val="24"/>
                <w:szCs w:val="24"/>
              </w:rPr>
              <w:t>16.-</w:t>
            </w:r>
            <w:bookmarkStart w:id="4" w:name="_GoBack"/>
            <w:bookmarkEnd w:id="4"/>
            <w:r w:rsidR="00C851E0" w:rsidRPr="003369B6">
              <w:rPr>
                <w:sz w:val="24"/>
                <w:szCs w:val="24"/>
              </w:rPr>
              <w:t>18., 20.- 24</w:t>
            </w:r>
            <w:r w:rsidRPr="003369B6">
              <w:rPr>
                <w:sz w:val="24"/>
                <w:szCs w:val="24"/>
              </w:rPr>
              <w:t>.punkti)</w:t>
            </w:r>
          </w:p>
          <w:p w:rsidR="007C3B7C" w:rsidRPr="003369B6" w:rsidRDefault="002A7D27" w:rsidP="007C3B7C">
            <w:pPr>
              <w:numPr>
                <w:ilvl w:val="0"/>
                <w:numId w:val="3"/>
              </w:numPr>
              <w:jc w:val="both"/>
              <w:rPr>
                <w:sz w:val="24"/>
                <w:szCs w:val="24"/>
              </w:rPr>
            </w:pPr>
            <w:r w:rsidRPr="003369B6">
              <w:rPr>
                <w:sz w:val="24"/>
                <w:szCs w:val="24"/>
              </w:rPr>
              <w:t>Ņemot</w:t>
            </w:r>
            <w:r w:rsidR="007C3B7C" w:rsidRPr="003369B6">
              <w:rPr>
                <w:sz w:val="24"/>
                <w:szCs w:val="24"/>
              </w:rPr>
              <w:t xml:space="preserve"> vērā donorvalsts partneru labo praksi un ieteikumus</w:t>
            </w:r>
            <w:r w:rsidRPr="003369B6">
              <w:rPr>
                <w:sz w:val="24"/>
                <w:szCs w:val="24"/>
              </w:rPr>
              <w:t>,</w:t>
            </w:r>
            <w:r w:rsidR="007C3B7C" w:rsidRPr="003369B6">
              <w:rPr>
                <w:sz w:val="24"/>
                <w:szCs w:val="24"/>
              </w:rPr>
              <w:t xml:space="preserve"> paredzēta iespēja veidot </w:t>
            </w:r>
            <w:r w:rsidR="007C3B7C" w:rsidRPr="003369B6">
              <w:rPr>
                <w:rFonts w:cs="Times New Roman"/>
                <w:bCs/>
                <w:sz w:val="24"/>
                <w:szCs w:val="24"/>
                <w:shd w:val="clear" w:color="auto" w:fill="FFFFFF"/>
              </w:rPr>
              <w:t>projektu rezerves sarakstu</w:t>
            </w:r>
            <w:r w:rsidR="00B1009D" w:rsidRPr="003369B6">
              <w:rPr>
                <w:rFonts w:cs="Times New Roman"/>
                <w:bCs/>
                <w:sz w:val="24"/>
                <w:szCs w:val="24"/>
                <w:shd w:val="clear" w:color="auto" w:fill="FFFFFF"/>
              </w:rPr>
              <w:t xml:space="preserve"> no projekta iesniegumiem, kurus projektu vērtēšanas komisija būs noraidījusi, pamatojoties uz neatbilstību 6.pielikuma IV nodaļas „Finansējuma piešķiršanas kritērijs” noteiktajam kritērijam – finansējuma pieejamība</w:t>
            </w:r>
            <w:r w:rsidR="007C3B7C" w:rsidRPr="003369B6">
              <w:rPr>
                <w:rFonts w:cs="Times New Roman"/>
                <w:bCs/>
                <w:sz w:val="24"/>
                <w:szCs w:val="24"/>
                <w:shd w:val="clear" w:color="auto" w:fill="FFFFFF"/>
              </w:rPr>
              <w:t>. Tas dos iespēju</w:t>
            </w:r>
            <w:r w:rsidRPr="003369B6">
              <w:rPr>
                <w:rFonts w:cs="Times New Roman"/>
                <w:bCs/>
                <w:sz w:val="24"/>
                <w:szCs w:val="24"/>
                <w:shd w:val="clear" w:color="auto" w:fill="FFFFFF"/>
              </w:rPr>
              <w:t xml:space="preserve"> rezerves sarakstā ievietotajiem projektu pieteicējiem pretendēt uz atklāta konkursa līdzfinansējumu</w:t>
            </w:r>
            <w:r w:rsidR="007C3B7C" w:rsidRPr="003369B6">
              <w:rPr>
                <w:rFonts w:cs="Times New Roman"/>
                <w:bCs/>
                <w:sz w:val="24"/>
                <w:szCs w:val="24"/>
                <w:shd w:val="clear" w:color="auto" w:fill="FFFFFF"/>
              </w:rPr>
              <w:t xml:space="preserve"> gadījumos</w:t>
            </w:r>
            <w:r w:rsidR="00F75718" w:rsidRPr="003369B6">
              <w:rPr>
                <w:rFonts w:cs="Times New Roman"/>
                <w:bCs/>
                <w:sz w:val="24"/>
                <w:szCs w:val="24"/>
                <w:shd w:val="clear" w:color="auto" w:fill="FFFFFF"/>
              </w:rPr>
              <w:t>,</w:t>
            </w:r>
            <w:r w:rsidR="007C3B7C" w:rsidRPr="003369B6">
              <w:rPr>
                <w:rFonts w:cs="Times New Roman"/>
                <w:bCs/>
                <w:sz w:val="24"/>
                <w:szCs w:val="24"/>
                <w:shd w:val="clear" w:color="auto" w:fill="FFFFFF"/>
              </w:rPr>
              <w:t xml:space="preserve"> ja kāds no sākotnēji atbalstītajiem projektu pi</w:t>
            </w:r>
            <w:r w:rsidRPr="003369B6">
              <w:rPr>
                <w:rFonts w:cs="Times New Roman"/>
                <w:bCs/>
                <w:sz w:val="24"/>
                <w:szCs w:val="24"/>
                <w:shd w:val="clear" w:color="auto" w:fill="FFFFFF"/>
              </w:rPr>
              <w:t>eteicējiem noteiktā laikā nespēs</w:t>
            </w:r>
            <w:r w:rsidR="007C3B7C" w:rsidRPr="003369B6">
              <w:rPr>
                <w:rFonts w:cs="Times New Roman"/>
                <w:bCs/>
                <w:sz w:val="24"/>
                <w:szCs w:val="24"/>
                <w:shd w:val="clear" w:color="auto" w:fill="FFFFFF"/>
              </w:rPr>
              <w:t xml:space="preserve"> izpildīt iz</w:t>
            </w:r>
            <w:r w:rsidRPr="003369B6">
              <w:rPr>
                <w:rFonts w:cs="Times New Roman"/>
                <w:bCs/>
                <w:sz w:val="24"/>
                <w:szCs w:val="24"/>
                <w:shd w:val="clear" w:color="auto" w:fill="FFFFFF"/>
              </w:rPr>
              <w:t xml:space="preserve">virzītos nosacījumus vai atteiksies no līguma parakstīšanas. </w:t>
            </w:r>
            <w:r w:rsidR="007C3B7C" w:rsidRPr="003369B6">
              <w:rPr>
                <w:sz w:val="24"/>
                <w:szCs w:val="24"/>
              </w:rPr>
              <w:t xml:space="preserve">(Noteikumu projekta </w:t>
            </w:r>
            <w:r w:rsidR="00D461D9" w:rsidRPr="003369B6">
              <w:rPr>
                <w:sz w:val="24"/>
                <w:szCs w:val="24"/>
              </w:rPr>
              <w:t>4</w:t>
            </w:r>
            <w:r w:rsidR="00C851E0" w:rsidRPr="003369B6">
              <w:rPr>
                <w:sz w:val="24"/>
                <w:szCs w:val="24"/>
              </w:rPr>
              <w:t>7</w:t>
            </w:r>
            <w:r w:rsidRPr="003369B6">
              <w:rPr>
                <w:sz w:val="24"/>
                <w:szCs w:val="24"/>
              </w:rPr>
              <w:t>.punkts</w:t>
            </w:r>
            <w:r w:rsidR="007C3B7C" w:rsidRPr="003369B6">
              <w:rPr>
                <w:sz w:val="24"/>
                <w:szCs w:val="24"/>
              </w:rPr>
              <w:t>)</w:t>
            </w:r>
          </w:p>
          <w:p w:rsidR="00294992" w:rsidRPr="008B3325" w:rsidRDefault="002A7D27" w:rsidP="007130B4">
            <w:pPr>
              <w:numPr>
                <w:ilvl w:val="0"/>
                <w:numId w:val="3"/>
              </w:numPr>
              <w:jc w:val="both"/>
              <w:rPr>
                <w:sz w:val="24"/>
                <w:szCs w:val="24"/>
              </w:rPr>
            </w:pPr>
            <w:r w:rsidRPr="008B3325">
              <w:rPr>
                <w:sz w:val="24"/>
                <w:szCs w:val="24"/>
              </w:rPr>
              <w:lastRenderedPageBreak/>
              <w:t xml:space="preserve">Atklāta konkursa projektu iesniegumu otrās kārtas ietvaros </w:t>
            </w:r>
            <w:r w:rsidR="0078226E" w:rsidRPr="008B3325">
              <w:rPr>
                <w:sz w:val="24"/>
                <w:szCs w:val="24"/>
              </w:rPr>
              <w:t xml:space="preserve">attiecināmo izmaksu saraksts ir papildināts ar projekta iesniedzēja kredītiestādes garantijas vēstules izmaksām, kura ir nepieciešama, lai saņemtu avansa maksājumu atklāta konkursa projekta atlases otrās kārtas ietvaros. (Noteikumu projekta </w:t>
            </w:r>
            <w:r w:rsidR="00C851E0">
              <w:rPr>
                <w:sz w:val="24"/>
                <w:szCs w:val="24"/>
              </w:rPr>
              <w:t>19., 25., 27</w:t>
            </w:r>
            <w:r w:rsidR="005C7080">
              <w:rPr>
                <w:sz w:val="24"/>
                <w:szCs w:val="24"/>
              </w:rPr>
              <w:t>.</w:t>
            </w:r>
            <w:r w:rsidR="00C851E0">
              <w:rPr>
                <w:sz w:val="24"/>
                <w:szCs w:val="24"/>
              </w:rPr>
              <w:t>, 28</w:t>
            </w:r>
            <w:r w:rsidR="007101F2">
              <w:rPr>
                <w:sz w:val="24"/>
                <w:szCs w:val="24"/>
              </w:rPr>
              <w:t>.</w:t>
            </w:r>
            <w:r w:rsidR="00C851E0">
              <w:rPr>
                <w:sz w:val="24"/>
                <w:szCs w:val="24"/>
              </w:rPr>
              <w:t xml:space="preserve"> un 31</w:t>
            </w:r>
            <w:r w:rsidR="001E780E">
              <w:rPr>
                <w:sz w:val="24"/>
                <w:szCs w:val="24"/>
              </w:rPr>
              <w:t>.</w:t>
            </w:r>
            <w:r w:rsidR="00077B7C" w:rsidRPr="008B3325">
              <w:rPr>
                <w:sz w:val="24"/>
                <w:szCs w:val="24"/>
              </w:rPr>
              <w:t>punkts)</w:t>
            </w:r>
          </w:p>
          <w:p w:rsidR="00294992" w:rsidRPr="009B454E" w:rsidRDefault="00294992" w:rsidP="009B454E">
            <w:pPr>
              <w:pStyle w:val="ListParagraph"/>
              <w:numPr>
                <w:ilvl w:val="0"/>
                <w:numId w:val="3"/>
              </w:numPr>
              <w:spacing w:after="120"/>
              <w:jc w:val="both"/>
              <w:rPr>
                <w:bCs/>
                <w:sz w:val="24"/>
                <w:szCs w:val="24"/>
                <w:shd w:val="clear" w:color="auto" w:fill="FEFEFE"/>
              </w:rPr>
            </w:pPr>
            <w:r w:rsidRPr="009B454E">
              <w:rPr>
                <w:bCs/>
                <w:sz w:val="24"/>
                <w:szCs w:val="24"/>
                <w:shd w:val="clear" w:color="auto" w:fill="FEFEFE"/>
              </w:rPr>
              <w:t xml:space="preserve">2014.gada 1.janvārī stājās spēkā Komisijas 2013.gada 18.decembra Regula (ES) Nr. 1407/2013 par Līguma par Eiropas Savienību darbību 107. un 108.panta piemērošanu de minimis atbalstam (Eiropas Savienības Oficiālais Vēstnesis, 2013.gada 24.decembris, Nr. L 352/1) (turpmāk – Komisijas regula Nr. 1407/2013), kas aizstāj Komisijas regulu Nr. 1998/2006. </w:t>
            </w:r>
            <w:r w:rsidR="0062243B" w:rsidRPr="009B454E">
              <w:rPr>
                <w:bCs/>
                <w:sz w:val="24"/>
                <w:szCs w:val="24"/>
                <w:shd w:val="clear" w:color="auto" w:fill="FEFEFE"/>
              </w:rPr>
              <w:t xml:space="preserve">Līdz šim spēkā esošo </w:t>
            </w:r>
            <w:r w:rsidRPr="009B454E">
              <w:rPr>
                <w:bCs/>
                <w:sz w:val="24"/>
                <w:szCs w:val="24"/>
                <w:shd w:val="clear" w:color="auto" w:fill="FEFEFE"/>
              </w:rPr>
              <w:t>Komisijas regulu Nr.1998/2006 pārejas perioda ietvaros var piemērot līdz 2014.gada 30.jūnijam.</w:t>
            </w:r>
          </w:p>
          <w:p w:rsidR="00294992" w:rsidRPr="008B3325" w:rsidRDefault="00294992" w:rsidP="00077B7C">
            <w:pPr>
              <w:ind w:left="399"/>
              <w:jc w:val="both"/>
              <w:rPr>
                <w:bCs/>
                <w:sz w:val="24"/>
                <w:szCs w:val="24"/>
                <w:shd w:val="clear" w:color="auto" w:fill="FEFEFE"/>
              </w:rPr>
            </w:pPr>
            <w:r w:rsidRPr="008B3325">
              <w:rPr>
                <w:bCs/>
                <w:sz w:val="24"/>
                <w:szCs w:val="24"/>
                <w:shd w:val="clear" w:color="auto" w:fill="FEFEFE"/>
              </w:rPr>
              <w:t>Līdz ar to noteikumu projekts paredz izmaiņas, lai nodrošinātu, ka atbalsts atklāta konkursa otrās kārtas ietvaros tiek sniegts atbilstoši Komisijas regulas Nr.1407/2013 nosacījumiem</w:t>
            </w:r>
            <w:r w:rsidR="006A56A8" w:rsidRPr="008B3325">
              <w:rPr>
                <w:bCs/>
                <w:sz w:val="24"/>
                <w:szCs w:val="24"/>
                <w:shd w:val="clear" w:color="auto" w:fill="FEFEFE"/>
              </w:rPr>
              <w:t>.</w:t>
            </w:r>
            <w:r w:rsidRPr="008B3325">
              <w:rPr>
                <w:bCs/>
                <w:sz w:val="24"/>
                <w:szCs w:val="24"/>
                <w:shd w:val="clear" w:color="auto" w:fill="FEFEFE"/>
              </w:rPr>
              <w:t xml:space="preserve"> (Noteikumu projekta </w:t>
            </w:r>
            <w:r w:rsidR="00C851E0">
              <w:rPr>
                <w:bCs/>
                <w:sz w:val="24"/>
                <w:szCs w:val="24"/>
                <w:shd w:val="clear" w:color="auto" w:fill="FEFEFE"/>
              </w:rPr>
              <w:t>3</w:t>
            </w:r>
            <w:r w:rsidRPr="008B3325">
              <w:rPr>
                <w:bCs/>
                <w:sz w:val="24"/>
                <w:szCs w:val="24"/>
                <w:shd w:val="clear" w:color="auto" w:fill="FEFEFE"/>
              </w:rPr>
              <w:t>.</w:t>
            </w:r>
            <w:r w:rsidR="00C851E0">
              <w:rPr>
                <w:bCs/>
                <w:sz w:val="24"/>
                <w:szCs w:val="24"/>
                <w:shd w:val="clear" w:color="auto" w:fill="FEFEFE"/>
              </w:rPr>
              <w:t>, 5., 7</w:t>
            </w:r>
            <w:r w:rsidR="006A56A8" w:rsidRPr="008B3325">
              <w:rPr>
                <w:bCs/>
                <w:sz w:val="24"/>
                <w:szCs w:val="24"/>
                <w:shd w:val="clear" w:color="auto" w:fill="FEFEFE"/>
              </w:rPr>
              <w:t>.</w:t>
            </w:r>
            <w:r w:rsidR="00C851E0">
              <w:rPr>
                <w:bCs/>
                <w:sz w:val="24"/>
                <w:szCs w:val="24"/>
                <w:shd w:val="clear" w:color="auto" w:fill="FEFEFE"/>
              </w:rPr>
              <w:t>, 8. un 10</w:t>
            </w:r>
            <w:r w:rsidR="001E780E">
              <w:rPr>
                <w:bCs/>
                <w:sz w:val="24"/>
                <w:szCs w:val="24"/>
                <w:shd w:val="clear" w:color="auto" w:fill="FEFEFE"/>
              </w:rPr>
              <w:t>.punkts</w:t>
            </w:r>
            <w:r w:rsidR="006A56A8" w:rsidRPr="008B3325">
              <w:rPr>
                <w:bCs/>
                <w:sz w:val="24"/>
                <w:szCs w:val="24"/>
                <w:shd w:val="clear" w:color="auto" w:fill="FEFEFE"/>
              </w:rPr>
              <w:t>)</w:t>
            </w:r>
          </w:p>
          <w:p w:rsidR="007130B4" w:rsidRPr="009B454E" w:rsidRDefault="007130B4" w:rsidP="009B454E">
            <w:pPr>
              <w:pStyle w:val="ListParagraph"/>
              <w:numPr>
                <w:ilvl w:val="0"/>
                <w:numId w:val="3"/>
              </w:numPr>
              <w:spacing w:after="120"/>
              <w:jc w:val="both"/>
              <w:rPr>
                <w:bCs/>
                <w:sz w:val="24"/>
                <w:szCs w:val="24"/>
                <w:shd w:val="clear" w:color="auto" w:fill="FEFEFE"/>
              </w:rPr>
            </w:pPr>
            <w:r w:rsidRPr="009B454E">
              <w:rPr>
                <w:bCs/>
                <w:sz w:val="24"/>
                <w:szCs w:val="24"/>
                <w:shd w:val="clear" w:color="auto" w:fill="FEFEFE"/>
              </w:rPr>
              <w:t>2014.gada 1.</w:t>
            </w:r>
            <w:r w:rsidR="00077B7C" w:rsidRPr="009B454E">
              <w:rPr>
                <w:bCs/>
                <w:sz w:val="24"/>
                <w:szCs w:val="24"/>
                <w:shd w:val="clear" w:color="auto" w:fill="FEFEFE"/>
              </w:rPr>
              <w:t>jūlijā stājās spēkā Komisijas 2014.gada 17</w:t>
            </w:r>
            <w:r w:rsidRPr="009B454E">
              <w:rPr>
                <w:bCs/>
                <w:sz w:val="24"/>
                <w:szCs w:val="24"/>
                <w:shd w:val="clear" w:color="auto" w:fill="FEFEFE"/>
              </w:rPr>
              <w:t>.</w:t>
            </w:r>
            <w:r w:rsidR="00077B7C" w:rsidRPr="009B454E">
              <w:rPr>
                <w:bCs/>
                <w:sz w:val="24"/>
                <w:szCs w:val="24"/>
                <w:shd w:val="clear" w:color="auto" w:fill="FEFEFE"/>
              </w:rPr>
              <w:t>jūnija Regula (ES) Nr. 651/2014, ar ko noteiktas atbalsta kategorijas atzīst par saderīgām ar iekšējo tirgu, piemērojot Līguma 107. un 108.pantu</w:t>
            </w:r>
            <w:r w:rsidRPr="009B454E">
              <w:rPr>
                <w:bCs/>
                <w:sz w:val="24"/>
                <w:szCs w:val="24"/>
                <w:shd w:val="clear" w:color="auto" w:fill="FEFEFE"/>
              </w:rPr>
              <w:t xml:space="preserve"> (Eiropas Savie</w:t>
            </w:r>
            <w:r w:rsidR="00077B7C" w:rsidRPr="009B454E">
              <w:rPr>
                <w:bCs/>
                <w:sz w:val="24"/>
                <w:szCs w:val="24"/>
                <w:shd w:val="clear" w:color="auto" w:fill="FEFEFE"/>
              </w:rPr>
              <w:t>nības Oficiālais Vēstnesis, 2014.gada 26</w:t>
            </w:r>
            <w:r w:rsidRPr="009B454E">
              <w:rPr>
                <w:bCs/>
                <w:sz w:val="24"/>
                <w:szCs w:val="24"/>
                <w:shd w:val="clear" w:color="auto" w:fill="FEFEFE"/>
              </w:rPr>
              <w:t>.</w:t>
            </w:r>
            <w:r w:rsidR="00077B7C" w:rsidRPr="009B454E">
              <w:rPr>
                <w:bCs/>
                <w:sz w:val="24"/>
                <w:szCs w:val="24"/>
                <w:shd w:val="clear" w:color="auto" w:fill="FEFEFE"/>
              </w:rPr>
              <w:t>jūnijs, Nr. L 187</w:t>
            </w:r>
            <w:r w:rsidRPr="009B454E">
              <w:rPr>
                <w:bCs/>
                <w:sz w:val="24"/>
                <w:szCs w:val="24"/>
                <w:shd w:val="clear" w:color="auto" w:fill="FEFEFE"/>
              </w:rPr>
              <w:t>/1) (tur</w:t>
            </w:r>
            <w:r w:rsidR="00077B7C" w:rsidRPr="009B454E">
              <w:rPr>
                <w:bCs/>
                <w:sz w:val="24"/>
                <w:szCs w:val="24"/>
                <w:shd w:val="clear" w:color="auto" w:fill="FEFEFE"/>
              </w:rPr>
              <w:t>pmāk – Komisijas regula Nr. 651/2014</w:t>
            </w:r>
            <w:r w:rsidRPr="009B454E">
              <w:rPr>
                <w:bCs/>
                <w:sz w:val="24"/>
                <w:szCs w:val="24"/>
                <w:shd w:val="clear" w:color="auto" w:fill="FEFEFE"/>
              </w:rPr>
              <w:t>), kas a</w:t>
            </w:r>
            <w:r w:rsidR="00077B7C" w:rsidRPr="009B454E">
              <w:rPr>
                <w:bCs/>
                <w:sz w:val="24"/>
                <w:szCs w:val="24"/>
                <w:shd w:val="clear" w:color="auto" w:fill="FEFEFE"/>
              </w:rPr>
              <w:t xml:space="preserve">izstāj Komisijas regulu Nr. 800/2008. </w:t>
            </w:r>
            <w:r w:rsidR="0062243B" w:rsidRPr="009B454E">
              <w:rPr>
                <w:bCs/>
                <w:sz w:val="24"/>
                <w:szCs w:val="24"/>
                <w:shd w:val="clear" w:color="auto" w:fill="FEFEFE"/>
              </w:rPr>
              <w:t>Līdz šim spēkā esošo</w:t>
            </w:r>
            <w:r w:rsidR="00077B7C" w:rsidRPr="009B454E">
              <w:rPr>
                <w:bCs/>
                <w:sz w:val="24"/>
                <w:szCs w:val="24"/>
                <w:shd w:val="clear" w:color="auto" w:fill="FEFEFE"/>
              </w:rPr>
              <w:t xml:space="preserve"> Komisijas regulu Nr.800/2008</w:t>
            </w:r>
            <w:r w:rsidRPr="009B454E">
              <w:rPr>
                <w:bCs/>
                <w:sz w:val="24"/>
                <w:szCs w:val="24"/>
                <w:shd w:val="clear" w:color="auto" w:fill="FEFEFE"/>
              </w:rPr>
              <w:t xml:space="preserve"> pārejas perioda ietvaros var piemērot līdz 2014.gada 30.jūnijam.</w:t>
            </w:r>
          </w:p>
          <w:p w:rsidR="00B72DC4" w:rsidRPr="008B3325" w:rsidRDefault="007130B4" w:rsidP="001E780E">
            <w:pPr>
              <w:ind w:left="399"/>
              <w:jc w:val="both"/>
              <w:rPr>
                <w:bCs/>
                <w:sz w:val="24"/>
                <w:szCs w:val="24"/>
                <w:shd w:val="clear" w:color="auto" w:fill="FEFEFE"/>
              </w:rPr>
            </w:pPr>
            <w:r w:rsidRPr="008B3325">
              <w:rPr>
                <w:bCs/>
                <w:sz w:val="24"/>
                <w:szCs w:val="24"/>
                <w:shd w:val="clear" w:color="auto" w:fill="FEFEFE"/>
              </w:rPr>
              <w:t xml:space="preserve">Līdz ar to noteikumu projekts paredz izmaiņas, lai nodrošinātu, ka atbalsts </w:t>
            </w:r>
            <w:r w:rsidR="00294992" w:rsidRPr="008B3325">
              <w:rPr>
                <w:bCs/>
                <w:sz w:val="24"/>
                <w:szCs w:val="24"/>
                <w:shd w:val="clear" w:color="auto" w:fill="FEFEFE"/>
              </w:rPr>
              <w:t>atklāta konkursa</w:t>
            </w:r>
            <w:r w:rsidR="00077B7C" w:rsidRPr="008B3325">
              <w:rPr>
                <w:bCs/>
                <w:sz w:val="24"/>
                <w:szCs w:val="24"/>
                <w:shd w:val="clear" w:color="auto" w:fill="FEFEFE"/>
              </w:rPr>
              <w:t xml:space="preserve"> projektu iesniegumu atlases</w:t>
            </w:r>
            <w:r w:rsidR="00294992" w:rsidRPr="008B3325">
              <w:rPr>
                <w:bCs/>
                <w:sz w:val="24"/>
                <w:szCs w:val="24"/>
                <w:shd w:val="clear" w:color="auto" w:fill="FEFEFE"/>
              </w:rPr>
              <w:t xml:space="preserve"> otrās kārtas ietvaros </w:t>
            </w:r>
            <w:r w:rsidRPr="008B3325">
              <w:rPr>
                <w:bCs/>
                <w:sz w:val="24"/>
                <w:szCs w:val="24"/>
                <w:shd w:val="clear" w:color="auto" w:fill="FEFEFE"/>
              </w:rPr>
              <w:t>tiek sniegts atbi</w:t>
            </w:r>
            <w:r w:rsidR="006A56A8" w:rsidRPr="008B3325">
              <w:rPr>
                <w:bCs/>
                <w:sz w:val="24"/>
                <w:szCs w:val="24"/>
                <w:shd w:val="clear" w:color="auto" w:fill="FEFEFE"/>
              </w:rPr>
              <w:t>lstoši Komisijas regulas Nr.651/2014</w:t>
            </w:r>
            <w:r w:rsidRPr="008B3325">
              <w:rPr>
                <w:bCs/>
                <w:sz w:val="24"/>
                <w:szCs w:val="24"/>
                <w:shd w:val="clear" w:color="auto" w:fill="FEFEFE"/>
              </w:rPr>
              <w:t xml:space="preserve"> nosacījumiem (Noteikumu projekta </w:t>
            </w:r>
            <w:r w:rsidR="00C851E0">
              <w:rPr>
                <w:bCs/>
                <w:sz w:val="24"/>
                <w:szCs w:val="24"/>
                <w:shd w:val="clear" w:color="auto" w:fill="FEFEFE"/>
              </w:rPr>
              <w:t>2., 3, 4., 6., 8., 9., 11.-14</w:t>
            </w:r>
            <w:r w:rsidR="005C7080">
              <w:rPr>
                <w:bCs/>
                <w:sz w:val="24"/>
                <w:szCs w:val="24"/>
                <w:shd w:val="clear" w:color="auto" w:fill="FEFEFE"/>
              </w:rPr>
              <w:t>.,</w:t>
            </w:r>
            <w:r w:rsidR="00C851E0">
              <w:rPr>
                <w:bCs/>
                <w:sz w:val="24"/>
                <w:szCs w:val="24"/>
                <w:shd w:val="clear" w:color="auto" w:fill="FEFEFE"/>
              </w:rPr>
              <w:t xml:space="preserve"> 26., 27</w:t>
            </w:r>
            <w:r w:rsidR="007101F2">
              <w:rPr>
                <w:bCs/>
                <w:sz w:val="24"/>
                <w:szCs w:val="24"/>
                <w:shd w:val="clear" w:color="auto" w:fill="FEFEFE"/>
              </w:rPr>
              <w:t>.,</w:t>
            </w:r>
            <w:r w:rsidR="00C851E0">
              <w:rPr>
                <w:bCs/>
                <w:sz w:val="24"/>
                <w:szCs w:val="24"/>
                <w:shd w:val="clear" w:color="auto" w:fill="FEFEFE"/>
              </w:rPr>
              <w:t xml:space="preserve"> 29</w:t>
            </w:r>
            <w:r w:rsidR="00D461D9">
              <w:rPr>
                <w:bCs/>
                <w:sz w:val="24"/>
                <w:szCs w:val="24"/>
                <w:shd w:val="clear" w:color="auto" w:fill="FEFEFE"/>
              </w:rPr>
              <w:t>.</w:t>
            </w:r>
            <w:r w:rsidR="00C851E0">
              <w:rPr>
                <w:bCs/>
                <w:sz w:val="24"/>
                <w:szCs w:val="24"/>
                <w:shd w:val="clear" w:color="auto" w:fill="FEFEFE"/>
              </w:rPr>
              <w:t>, 50., 52</w:t>
            </w:r>
            <w:r w:rsidR="007101F2">
              <w:rPr>
                <w:bCs/>
                <w:sz w:val="24"/>
                <w:szCs w:val="24"/>
                <w:shd w:val="clear" w:color="auto" w:fill="FEFEFE"/>
              </w:rPr>
              <w:t>.</w:t>
            </w:r>
            <w:r w:rsidR="00D461D9">
              <w:rPr>
                <w:bCs/>
                <w:sz w:val="24"/>
                <w:szCs w:val="24"/>
                <w:shd w:val="clear" w:color="auto" w:fill="FEFEFE"/>
              </w:rPr>
              <w:t xml:space="preserve"> un </w:t>
            </w:r>
            <w:r w:rsidR="00C851E0">
              <w:rPr>
                <w:bCs/>
                <w:sz w:val="24"/>
                <w:szCs w:val="24"/>
                <w:shd w:val="clear" w:color="auto" w:fill="FEFEFE"/>
              </w:rPr>
              <w:t>53</w:t>
            </w:r>
            <w:r w:rsidR="001E780E">
              <w:rPr>
                <w:bCs/>
                <w:sz w:val="24"/>
                <w:szCs w:val="24"/>
                <w:shd w:val="clear" w:color="auto" w:fill="FEFEFE"/>
              </w:rPr>
              <w:t>.punkts</w:t>
            </w:r>
            <w:r w:rsidRPr="008B3325">
              <w:rPr>
                <w:bCs/>
                <w:sz w:val="24"/>
                <w:szCs w:val="24"/>
                <w:shd w:val="clear" w:color="auto" w:fill="FEFEFE"/>
              </w:rPr>
              <w:t>).</w:t>
            </w:r>
          </w:p>
        </w:tc>
      </w:tr>
      <w:tr w:rsidR="007229BB" w:rsidRPr="008B3325" w:rsidTr="007229B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453D77" w:rsidP="00773C02">
            <w:pPr>
              <w:jc w:val="both"/>
              <w:rPr>
                <w:rFonts w:eastAsia="Times New Roman" w:cs="Times New Roman"/>
                <w:sz w:val="24"/>
                <w:szCs w:val="24"/>
              </w:rPr>
            </w:pPr>
            <w:r w:rsidRPr="008B3325">
              <w:rPr>
                <w:rFonts w:eastAsia="Times New Roman" w:cs="Times New Roman"/>
                <w:sz w:val="24"/>
                <w:szCs w:val="24"/>
              </w:rPr>
              <w:t xml:space="preserve">Noteikumu projekts ir izstrādāts sadarbojoties </w:t>
            </w:r>
            <w:r w:rsidR="00773C02" w:rsidRPr="008B3325">
              <w:rPr>
                <w:rFonts w:eastAsia="Times New Roman" w:cs="Times New Roman"/>
                <w:sz w:val="24"/>
                <w:szCs w:val="24"/>
              </w:rPr>
              <w:t xml:space="preserve">ar </w:t>
            </w:r>
            <w:r w:rsidR="007C3B7C" w:rsidRPr="008B3325">
              <w:rPr>
                <w:rFonts w:eastAsia="Times New Roman" w:cs="Times New Roman"/>
                <w:sz w:val="24"/>
                <w:szCs w:val="24"/>
              </w:rPr>
              <w:t xml:space="preserve">Programmas donorvalsts partneri </w:t>
            </w:r>
            <w:r w:rsidRPr="008B3325">
              <w:rPr>
                <w:rFonts w:eastAsia="Times New Roman" w:cs="Times New Roman"/>
                <w:sz w:val="24"/>
                <w:szCs w:val="24"/>
              </w:rPr>
              <w:t>Norvēģijas Karalistes valsts uzņēmumu „Innovation Norway.”, kā arī Latvijas Investīciju un attīstības aģentūru.</w:t>
            </w:r>
          </w:p>
        </w:tc>
      </w:tr>
      <w:tr w:rsidR="007229BB" w:rsidRPr="008B3325" w:rsidTr="007229BB">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5231C1"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7229BB" w:rsidRPr="008B3325" w:rsidRDefault="007229BB" w:rsidP="007229BB">
      <w:pPr>
        <w:shd w:val="clear" w:color="auto" w:fill="FFFFFF"/>
        <w:spacing w:before="100" w:beforeAutospacing="1" w:after="100" w:afterAutospacing="1" w:line="293" w:lineRule="atLeast"/>
        <w:ind w:firstLine="300"/>
        <w:rPr>
          <w:rFonts w:ascii="Arial" w:eastAsia="Times New Roman" w:hAnsi="Arial" w:cs="Arial"/>
          <w:color w:val="414142"/>
          <w:sz w:val="24"/>
          <w:szCs w:val="24"/>
        </w:rPr>
      </w:pPr>
      <w:r w:rsidRPr="008B3325">
        <w:rPr>
          <w:rFonts w:ascii="Arial" w:eastAsia="Times New Roman" w:hAnsi="Arial" w:cs="Arial"/>
          <w:color w:val="414142"/>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29BB" w:rsidRPr="008B3325" w:rsidTr="007229B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lastRenderedPageBreak/>
              <w:t>II. Tiesību akta projekta ietekme uz sabiedrību, tautsaimniecības attīstību un administratīvo slogu</w:t>
            </w:r>
          </w:p>
        </w:tc>
      </w:tr>
      <w:tr w:rsidR="007229BB" w:rsidRPr="008B3325" w:rsidTr="007229B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454002" w:rsidP="000F531E">
            <w:pPr>
              <w:jc w:val="both"/>
              <w:rPr>
                <w:rFonts w:eastAsia="Times New Roman" w:cs="Times New Roman"/>
                <w:sz w:val="24"/>
                <w:szCs w:val="24"/>
              </w:rPr>
            </w:pPr>
            <w:r w:rsidRPr="008B3325">
              <w:rPr>
                <w:rFonts w:eastAsia="Times New Roman" w:cs="Times New Roman"/>
                <w:sz w:val="24"/>
                <w:szCs w:val="24"/>
              </w:rPr>
              <w:t>Komersanti</w:t>
            </w:r>
          </w:p>
        </w:tc>
      </w:tr>
      <w:tr w:rsidR="007229BB" w:rsidRPr="008B3325" w:rsidTr="007229B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0F531E">
            <w:pPr>
              <w:jc w:val="both"/>
              <w:rPr>
                <w:rFonts w:eastAsia="Times New Roman" w:cs="Times New Roman"/>
                <w:sz w:val="24"/>
                <w:szCs w:val="24"/>
              </w:rPr>
            </w:pPr>
            <w:r w:rsidRPr="008B3325">
              <w:rPr>
                <w:rFonts w:eastAsia="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96AE9" w:rsidRPr="008B3325" w:rsidRDefault="00B96AE9" w:rsidP="00B96AE9">
            <w:pPr>
              <w:jc w:val="both"/>
              <w:rPr>
                <w:sz w:val="24"/>
                <w:szCs w:val="24"/>
              </w:rPr>
            </w:pPr>
            <w:r w:rsidRPr="008B3325">
              <w:rPr>
                <w:sz w:val="24"/>
                <w:szCs w:val="24"/>
              </w:rPr>
              <w:t>Noteikumu projekts neparedz mainīt M</w:t>
            </w:r>
            <w:r w:rsidR="006A56A8" w:rsidRPr="008B3325">
              <w:rPr>
                <w:sz w:val="24"/>
                <w:szCs w:val="24"/>
              </w:rPr>
              <w:t xml:space="preserve">inistru kabineta 2013.gada 10.decembra </w:t>
            </w:r>
            <w:r w:rsidRPr="008B3325">
              <w:rPr>
                <w:sz w:val="24"/>
                <w:szCs w:val="24"/>
              </w:rPr>
              <w:t>noteikumu Nr.1442</w:t>
            </w:r>
            <w:r w:rsidR="006A56A8" w:rsidRPr="008B3325">
              <w:rPr>
                <w:sz w:val="24"/>
                <w:szCs w:val="24"/>
              </w:rPr>
              <w:t xml:space="preserve"> „Norvēģijas finanšu instrumenta 2009.-2014.gada perioda programmas „Inovācijas „zaļās” ražošanas jomā” atklāta projektu konkursa īstenošanas kārtība”</w:t>
            </w:r>
            <w:r w:rsidRPr="008B3325">
              <w:rPr>
                <w:sz w:val="24"/>
                <w:szCs w:val="24"/>
              </w:rPr>
              <w:t xml:space="preserve"> ietvaros noteikto </w:t>
            </w:r>
            <w:r w:rsidR="006A56A8" w:rsidRPr="008B3325">
              <w:rPr>
                <w:sz w:val="24"/>
                <w:szCs w:val="24"/>
              </w:rPr>
              <w:t>Programmas LV06</w:t>
            </w:r>
            <w:r w:rsidRPr="008B3325">
              <w:rPr>
                <w:sz w:val="24"/>
                <w:szCs w:val="24"/>
              </w:rPr>
              <w:t xml:space="preserve"> mērķi un sasniedzamos rezultātus, līdz ar to  tiesiskā regulējuma ietekme uz tautsaimniecību būtiski nemainīsies, salīdzinot ar esošo regulējumu. Programmas ietvaros sagaidāms, ka tiks ieviesti ražošanā inovatīvi videi draudzīgi produkti un tehnoloģijas, kā rezultātā būs iespējams efektīvāk izmantot esošos dabas un enerģijas resursus un mazināt vides piesārņojumu. </w:t>
            </w:r>
          </w:p>
          <w:p w:rsidR="00C10DE0" w:rsidRPr="008B3325" w:rsidRDefault="00C10DE0" w:rsidP="00B96AE9">
            <w:pPr>
              <w:jc w:val="both"/>
              <w:rPr>
                <w:sz w:val="24"/>
                <w:szCs w:val="24"/>
              </w:rPr>
            </w:pPr>
          </w:p>
          <w:p w:rsidR="007229BB" w:rsidRPr="008B3325" w:rsidRDefault="002265E7" w:rsidP="00AC52A4">
            <w:pPr>
              <w:jc w:val="both"/>
              <w:rPr>
                <w:sz w:val="24"/>
                <w:szCs w:val="24"/>
              </w:rPr>
            </w:pPr>
            <w:r w:rsidRPr="008B3325">
              <w:rPr>
                <w:sz w:val="24"/>
                <w:szCs w:val="24"/>
              </w:rPr>
              <w:t xml:space="preserve">Tiesiskais regulējums </w:t>
            </w:r>
            <w:r w:rsidR="00AC52A4" w:rsidRPr="008B3325">
              <w:rPr>
                <w:sz w:val="24"/>
                <w:szCs w:val="24"/>
              </w:rPr>
              <w:t xml:space="preserve">salīdzinot ar spēkā esošo regulējumu </w:t>
            </w:r>
            <w:r w:rsidRPr="008B3325">
              <w:rPr>
                <w:sz w:val="24"/>
                <w:szCs w:val="24"/>
              </w:rPr>
              <w:t>rada skaidrākus nosacījumus potenciālajiem atbalsta saņēmējiem, iekļauj papildu attiecināmās izmaksas, samazina iesniedzamo dokumentu skaitu</w:t>
            </w:r>
            <w:r w:rsidR="00AC52A4">
              <w:rPr>
                <w:sz w:val="24"/>
                <w:szCs w:val="24"/>
              </w:rPr>
              <w:t xml:space="preserve"> un precizē iesniedzamo informāciju, kas tiks izmantota projekta iesniegumu vērtēšanā</w:t>
            </w:r>
            <w:r w:rsidRPr="008B3325">
              <w:rPr>
                <w:sz w:val="24"/>
                <w:szCs w:val="24"/>
              </w:rPr>
              <w:t>, līdz ar to samazinās administratīvais slogs potenciālajiem projekta iesniedzējiem.</w:t>
            </w:r>
          </w:p>
        </w:tc>
      </w:tr>
      <w:tr w:rsidR="007229BB" w:rsidRPr="008B3325" w:rsidTr="007229B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EC4CE6" w:rsidP="007229BB">
            <w:pPr>
              <w:rPr>
                <w:rFonts w:eastAsia="Times New Roman" w:cs="Times New Roman"/>
                <w:sz w:val="24"/>
                <w:szCs w:val="24"/>
              </w:rPr>
            </w:pPr>
            <w:r w:rsidRPr="008B3325">
              <w:rPr>
                <w:rFonts w:eastAsia="Times New Roman" w:cs="Times New Roman"/>
                <w:sz w:val="24"/>
                <w:szCs w:val="24"/>
              </w:rPr>
              <w:t>Projekts šo jomu neskar.</w:t>
            </w:r>
          </w:p>
        </w:tc>
      </w:tr>
      <w:tr w:rsidR="007229BB" w:rsidRPr="008B3325" w:rsidTr="007229B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29BB" w:rsidRPr="008B3325" w:rsidRDefault="00D11E3C" w:rsidP="00DB6431">
            <w:pPr>
              <w:spacing w:before="100" w:beforeAutospacing="1" w:after="100" w:afterAutospacing="1" w:line="293" w:lineRule="atLeast"/>
              <w:jc w:val="both"/>
              <w:rPr>
                <w:rFonts w:eastAsia="Times New Roman" w:cs="Times New Roman"/>
                <w:sz w:val="24"/>
                <w:szCs w:val="24"/>
              </w:rPr>
            </w:pPr>
            <w:r w:rsidRPr="008B3325">
              <w:rPr>
                <w:rFonts w:eastAsia="Times New Roman" w:cs="Times New Roman"/>
                <w:sz w:val="24"/>
                <w:szCs w:val="24"/>
              </w:rPr>
              <w:t>Nav.</w:t>
            </w:r>
          </w:p>
        </w:tc>
      </w:tr>
    </w:tbl>
    <w:p w:rsidR="007229BB" w:rsidRPr="007229BB" w:rsidRDefault="007229BB" w:rsidP="007229BB">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7229BB">
        <w:rPr>
          <w:rFonts w:ascii="Arial" w:eastAsia="Times New Roman"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7229BB" w:rsidRPr="007229BB" w:rsidTr="007229BB">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III. Tiesību akta projekta ietekme uz valsts budžetu un pašvaldību budžetiem</w:t>
            </w:r>
          </w:p>
        </w:tc>
      </w:tr>
      <w:tr w:rsidR="007229BB" w:rsidRPr="007229BB" w:rsidTr="007229BB">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Turpmākie trīs gadi (</w:t>
            </w:r>
            <w:r w:rsidRPr="008B3325">
              <w:rPr>
                <w:rFonts w:eastAsia="Times New Roman" w:cs="Times New Roman"/>
                <w:i/>
                <w:iCs/>
                <w:sz w:val="24"/>
                <w:szCs w:val="24"/>
              </w:rPr>
              <w:t>euro</w:t>
            </w:r>
            <w:r w:rsidRPr="008B3325">
              <w:rPr>
                <w:rFonts w:eastAsia="Times New Roman" w:cs="Times New Roman"/>
                <w:sz w:val="24"/>
                <w:szCs w:val="24"/>
              </w:rPr>
              <w:t>)</w:t>
            </w:r>
          </w:p>
        </w:tc>
      </w:tr>
      <w:tr w:rsidR="007229BB" w:rsidRPr="007229BB" w:rsidTr="007229B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n+3</w:t>
            </w:r>
          </w:p>
        </w:tc>
      </w:tr>
      <w:tr w:rsidR="007229BB" w:rsidRPr="007229BB" w:rsidTr="007229B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izmaiņas, salīdzinot ar kārtējo (n) gadu</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6</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xml:space="preserve">1.1. valsts pamatbudžets, tai skaitā ieņēmumi no maksas pakalpojumiem un citi pašu </w:t>
            </w:r>
            <w:r w:rsidRPr="008B3325">
              <w:rPr>
                <w:rFonts w:eastAsia="Times New Roman" w:cs="Times New Roman"/>
                <w:sz w:val="24"/>
                <w:szCs w:val="24"/>
              </w:rPr>
              <w:lastRenderedPageBreak/>
              <w:t>ieņēmumi</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lastRenderedPageBreak/>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r w:rsidR="007229BB" w:rsidRPr="008B3325">
              <w:rPr>
                <w:rFonts w:eastAsia="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r w:rsidR="000F531E"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229BB" w:rsidRPr="008B3325" w:rsidRDefault="000F531E" w:rsidP="007229BB">
            <w:pPr>
              <w:rPr>
                <w:rFonts w:eastAsia="Times New Roman" w:cs="Times New Roman"/>
                <w:sz w:val="24"/>
                <w:szCs w:val="24"/>
              </w:rPr>
            </w:pPr>
            <w:r w:rsidRPr="008B3325">
              <w:rPr>
                <w:rFonts w:eastAsia="Times New Roman" w:cs="Times New Roman"/>
                <w:sz w:val="24"/>
                <w:szCs w:val="24"/>
              </w:rPr>
              <w:t>0</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w:t>
            </w: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r>
      <w:tr w:rsidR="007229BB" w:rsidRPr="007229BB" w:rsidTr="007229BB">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p>
        </w:tc>
      </w:tr>
      <w:tr w:rsidR="007229BB" w:rsidRPr="007229BB" w:rsidTr="007229BB">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7229BB" w:rsidRPr="008B3325" w:rsidRDefault="00B96AE9" w:rsidP="00B96AE9">
            <w:pPr>
              <w:jc w:val="both"/>
              <w:rPr>
                <w:rFonts w:cs="Times New Roman"/>
                <w:sz w:val="24"/>
                <w:szCs w:val="24"/>
              </w:rPr>
            </w:pPr>
            <w:r w:rsidRPr="008B3325">
              <w:rPr>
                <w:rFonts w:cs="Times New Roman"/>
                <w:sz w:val="24"/>
                <w:szCs w:val="24"/>
              </w:rPr>
              <w:t xml:space="preserve">Programmas LV06 atklāta konkursa kopējais finansējums netiek mainīts un kopējais finansējums no publiskajiem līdzekļiem ir 7 769 107 EUR, no kuriem </w:t>
            </w:r>
            <w:r w:rsidR="00C10DE0" w:rsidRPr="008B3325">
              <w:rPr>
                <w:rFonts w:cs="Times New Roman"/>
                <w:sz w:val="24"/>
                <w:szCs w:val="24"/>
              </w:rPr>
              <w:t xml:space="preserve">6 992 196 </w:t>
            </w:r>
            <w:r w:rsidRPr="008B3325">
              <w:rPr>
                <w:rFonts w:cs="Times New Roman"/>
                <w:sz w:val="24"/>
                <w:szCs w:val="24"/>
              </w:rPr>
              <w:t xml:space="preserve">EUR ir Norvēģijas finanšu instrumenta līdzfinansējums un </w:t>
            </w:r>
            <w:r w:rsidR="00C10DE0" w:rsidRPr="008B3325">
              <w:rPr>
                <w:rFonts w:cs="Times New Roman"/>
                <w:sz w:val="24"/>
                <w:szCs w:val="24"/>
              </w:rPr>
              <w:t xml:space="preserve">776 911 </w:t>
            </w:r>
            <w:r w:rsidRPr="008B3325">
              <w:rPr>
                <w:rFonts w:cs="Times New Roman"/>
                <w:sz w:val="24"/>
                <w:szCs w:val="24"/>
              </w:rPr>
              <w:t xml:space="preserve">EUR ir Latvijas valsts budžeta līdzekļi. </w:t>
            </w:r>
          </w:p>
          <w:p w:rsidR="00B96AE9" w:rsidRPr="008B3325" w:rsidRDefault="00B96AE9" w:rsidP="007101F2">
            <w:pPr>
              <w:jc w:val="both"/>
              <w:rPr>
                <w:rFonts w:eastAsia="Times New Roman" w:cs="Times New Roman"/>
                <w:sz w:val="24"/>
                <w:szCs w:val="24"/>
              </w:rPr>
            </w:pPr>
            <w:r w:rsidRPr="008B3325">
              <w:rPr>
                <w:rFonts w:cs="Times New Roman"/>
                <w:sz w:val="24"/>
                <w:szCs w:val="24"/>
              </w:rPr>
              <w:t xml:space="preserve">Indikatīvais atklāta konkursa otrās kārtas kopējais finansējums ir </w:t>
            </w:r>
            <w:r w:rsidR="007101F2">
              <w:rPr>
                <w:rFonts w:cs="Times New Roman"/>
                <w:sz w:val="24"/>
                <w:szCs w:val="24"/>
              </w:rPr>
              <w:t>6 273 320</w:t>
            </w:r>
            <w:r w:rsidR="00C10DE0" w:rsidRPr="008B3325">
              <w:rPr>
                <w:rFonts w:cs="Times New Roman"/>
                <w:sz w:val="24"/>
                <w:szCs w:val="24"/>
              </w:rPr>
              <w:t xml:space="preserve"> </w:t>
            </w:r>
            <w:r w:rsidRPr="008B3325">
              <w:rPr>
                <w:rFonts w:cs="Times New Roman"/>
                <w:sz w:val="24"/>
                <w:szCs w:val="24"/>
              </w:rPr>
              <w:t>EUR</w:t>
            </w:r>
            <w:r w:rsidR="00773C02" w:rsidRPr="008B3325">
              <w:rPr>
                <w:rFonts w:cs="Times New Roman"/>
                <w:sz w:val="24"/>
                <w:szCs w:val="24"/>
              </w:rPr>
              <w:t>.</w:t>
            </w:r>
          </w:p>
        </w:tc>
      </w:tr>
    </w:tbl>
    <w:p w:rsidR="007229BB" w:rsidRPr="00D11E3C" w:rsidRDefault="007229BB" w:rsidP="00BB05B6">
      <w:pPr>
        <w:spacing w:after="120"/>
        <w:rPr>
          <w:i/>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7229BB" w:rsidRPr="007229BB" w:rsidTr="007229B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 Tiesību akta projekta atbilstība Latvijas Republikas starptautiskajām saistībām</w:t>
            </w:r>
          </w:p>
        </w:tc>
      </w:tr>
      <w:tr w:rsidR="007229BB" w:rsidRPr="007229BB" w:rsidTr="007229BB">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t>1.</w:t>
            </w:r>
          </w:p>
        </w:tc>
        <w:tc>
          <w:tcPr>
            <w:tcW w:w="4890" w:type="dxa"/>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454002" w:rsidRPr="008B3325" w:rsidRDefault="00454002" w:rsidP="00454002">
            <w:pPr>
              <w:jc w:val="both"/>
              <w:rPr>
                <w:sz w:val="24"/>
                <w:szCs w:val="24"/>
              </w:rPr>
            </w:pPr>
            <w:r w:rsidRPr="008B3325">
              <w:rPr>
                <w:sz w:val="24"/>
                <w:szCs w:val="24"/>
              </w:rPr>
              <w:t>Tiesību akta projekts nodrošina šādu Eiropas Savienības tiesību akta prasību ievērošanu:</w:t>
            </w:r>
          </w:p>
          <w:p w:rsidR="00454002" w:rsidRPr="008B3325" w:rsidRDefault="00454002" w:rsidP="00B96AE9">
            <w:pPr>
              <w:numPr>
                <w:ilvl w:val="0"/>
                <w:numId w:val="1"/>
              </w:numPr>
              <w:tabs>
                <w:tab w:val="left" w:pos="835"/>
              </w:tabs>
              <w:jc w:val="both"/>
              <w:rPr>
                <w:sz w:val="24"/>
                <w:szCs w:val="24"/>
              </w:rPr>
            </w:pPr>
            <w:r w:rsidRPr="008B3325">
              <w:rPr>
                <w:sz w:val="24"/>
                <w:szCs w:val="24"/>
              </w:rPr>
              <w:t>Eiropas Komisijas 2014.gada 17.jūnija Regula Nr. 651/2014;</w:t>
            </w:r>
          </w:p>
          <w:p w:rsidR="007229BB" w:rsidRPr="008B3325" w:rsidRDefault="00454002" w:rsidP="00B96AE9">
            <w:pPr>
              <w:numPr>
                <w:ilvl w:val="0"/>
                <w:numId w:val="1"/>
              </w:numPr>
              <w:tabs>
                <w:tab w:val="left" w:pos="835"/>
              </w:tabs>
              <w:jc w:val="both"/>
              <w:rPr>
                <w:sz w:val="24"/>
                <w:szCs w:val="24"/>
              </w:rPr>
            </w:pPr>
            <w:r w:rsidRPr="008B3325">
              <w:rPr>
                <w:bCs/>
                <w:sz w:val="24"/>
                <w:szCs w:val="24"/>
              </w:rPr>
              <w:lastRenderedPageBreak/>
              <w:t>Eiropas Komisijas 2013.gada 18.decembra Regula (EK) Nr. 1407/2013.</w:t>
            </w:r>
          </w:p>
        </w:tc>
      </w:tr>
      <w:tr w:rsidR="007229BB" w:rsidRPr="007229BB" w:rsidTr="007229BB">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lastRenderedPageBreak/>
              <w:t>2.</w:t>
            </w:r>
          </w:p>
        </w:tc>
        <w:tc>
          <w:tcPr>
            <w:tcW w:w="4890" w:type="dxa"/>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7229BB" w:rsidRPr="008B3325" w:rsidRDefault="00454002" w:rsidP="00454002">
            <w:pPr>
              <w:jc w:val="both"/>
              <w:rPr>
                <w:rFonts w:eastAsia="Times New Roman" w:cs="Times New Roman"/>
                <w:sz w:val="24"/>
                <w:szCs w:val="24"/>
              </w:rPr>
            </w:pPr>
            <w:r w:rsidRPr="008B3325">
              <w:rPr>
                <w:iCs/>
                <w:sz w:val="24"/>
                <w:szCs w:val="24"/>
              </w:rPr>
              <w:t>Tiesību akta projekts nodrošina Latvijas Republikas un Norvēģijas Karalistes saprašanās memoranda par Norvēģijas finanšu instrumenta ieviešanu 2009.–2014.gadā (apstiprināts ar Ministru kabineta 2011.gada 29.marta noteikumiem Nr.252) īstenošanu.</w:t>
            </w:r>
          </w:p>
        </w:tc>
      </w:tr>
      <w:tr w:rsidR="007229BB" w:rsidRPr="007229BB" w:rsidTr="007229BB">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t>3.</w:t>
            </w:r>
          </w:p>
        </w:tc>
        <w:tc>
          <w:tcPr>
            <w:tcW w:w="4890" w:type="dxa"/>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7229BB" w:rsidRPr="008B3325" w:rsidRDefault="00BB05B6" w:rsidP="00454002">
            <w:pPr>
              <w:spacing w:before="100" w:beforeAutospacing="1" w:after="100" w:afterAutospacing="1" w:line="293" w:lineRule="atLeast"/>
              <w:jc w:val="both"/>
              <w:rPr>
                <w:rFonts w:eastAsia="Times New Roman" w:cs="Times New Roman"/>
                <w:sz w:val="24"/>
                <w:szCs w:val="24"/>
              </w:rPr>
            </w:pPr>
            <w:r w:rsidRPr="008B3325">
              <w:rPr>
                <w:iCs/>
                <w:sz w:val="24"/>
                <w:szCs w:val="24"/>
              </w:rPr>
              <w:t xml:space="preserve">Nav. </w:t>
            </w:r>
          </w:p>
        </w:tc>
      </w:tr>
    </w:tbl>
    <w:p w:rsidR="007229BB" w:rsidRPr="007229BB" w:rsidRDefault="007229BB" w:rsidP="007229BB">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7229BB">
        <w:rPr>
          <w:rFonts w:ascii="Arial" w:eastAsia="Times New Roman"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0"/>
        <w:gridCol w:w="250"/>
        <w:gridCol w:w="1583"/>
        <w:gridCol w:w="1192"/>
        <w:gridCol w:w="1189"/>
        <w:gridCol w:w="2377"/>
      </w:tblGrid>
      <w:tr w:rsidR="007229BB" w:rsidRPr="008B3325" w:rsidTr="007229BB">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1.tabula</w:t>
            </w:r>
            <w:r w:rsidRPr="008B3325">
              <w:rPr>
                <w:rFonts w:eastAsia="Times New Roman" w:cs="Times New Roman"/>
                <w:b/>
                <w:bCs/>
                <w:sz w:val="24"/>
                <w:szCs w:val="24"/>
              </w:rPr>
              <w:br/>
              <w:t>Tiesību akta projekta atbilstība ES tiesību aktiem</w:t>
            </w:r>
          </w:p>
        </w:tc>
      </w:tr>
      <w:tr w:rsidR="007229BB" w:rsidRPr="008B3325" w:rsidTr="007229BB">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454002" w:rsidRPr="008B3325" w:rsidRDefault="00454002" w:rsidP="00454002">
            <w:pPr>
              <w:jc w:val="both"/>
              <w:rPr>
                <w:rFonts w:cs="Times New Roman"/>
                <w:sz w:val="24"/>
                <w:szCs w:val="24"/>
              </w:rPr>
            </w:pPr>
            <w:r w:rsidRPr="008B3325">
              <w:rPr>
                <w:rFonts w:cs="Times New Roman"/>
                <w:sz w:val="24"/>
                <w:szCs w:val="24"/>
              </w:rPr>
              <w:t>Tiesību akta projekts nodrošina šādu Eiropas Savienības tiesību akta prasību ievērošanu:</w:t>
            </w:r>
          </w:p>
          <w:p w:rsidR="00454002" w:rsidRPr="008B3325" w:rsidRDefault="00454002" w:rsidP="00454002">
            <w:pPr>
              <w:numPr>
                <w:ilvl w:val="1"/>
                <w:numId w:val="2"/>
              </w:numPr>
              <w:tabs>
                <w:tab w:val="left" w:pos="835"/>
              </w:tabs>
              <w:jc w:val="both"/>
              <w:rPr>
                <w:rFonts w:cs="Times New Roman"/>
                <w:sz w:val="24"/>
                <w:szCs w:val="24"/>
              </w:rPr>
            </w:pPr>
            <w:r w:rsidRPr="008B3325">
              <w:rPr>
                <w:rFonts w:cs="Times New Roman"/>
                <w:sz w:val="24"/>
                <w:szCs w:val="24"/>
              </w:rPr>
              <w:t>Komisijas Regula Nr. 651/2014;</w:t>
            </w:r>
          </w:p>
          <w:p w:rsidR="007229BB" w:rsidRPr="008B3325" w:rsidRDefault="00454002" w:rsidP="00454002">
            <w:pPr>
              <w:pStyle w:val="ListParagraph"/>
              <w:numPr>
                <w:ilvl w:val="0"/>
                <w:numId w:val="2"/>
              </w:numPr>
              <w:tabs>
                <w:tab w:val="clear" w:pos="720"/>
              </w:tabs>
              <w:ind w:firstLine="14"/>
              <w:jc w:val="both"/>
              <w:rPr>
                <w:rFonts w:eastAsia="Times New Roman" w:cs="Times New Roman"/>
                <w:sz w:val="24"/>
                <w:szCs w:val="24"/>
              </w:rPr>
            </w:pPr>
            <w:r w:rsidRPr="008B3325">
              <w:rPr>
                <w:rFonts w:cs="Times New Roman"/>
                <w:bCs/>
                <w:sz w:val="24"/>
                <w:szCs w:val="24"/>
              </w:rPr>
              <w:t>Komisijas Regula Nr.1407/2013.</w:t>
            </w:r>
          </w:p>
        </w:tc>
      </w:tr>
      <w:tr w:rsidR="007229BB"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D</w:t>
            </w:r>
          </w:p>
        </w:tc>
      </w:tr>
      <w:tr w:rsidR="007229BB"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DB76A4">
            <w:pPr>
              <w:rPr>
                <w:rFonts w:eastAsia="Times New Roman" w:cs="Times New Roman"/>
                <w:sz w:val="24"/>
                <w:szCs w:val="24"/>
              </w:rPr>
            </w:pPr>
            <w:r w:rsidRPr="008B3325">
              <w:rPr>
                <w:rFonts w:eastAsia="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Informācija par to, vai šīs tabulas A ailē minētās ES tiesību akta vienības tiek pārņemtas vai ieviestas pilnībā vai daļēji.</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Informācija par to, vai šīs tabulas B ailē minētās projekta vienības paredz stingrākas prasības nekā šīs tabulas A ailē minētās ES tiesību akta vienības.</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Ja projekts satur stingrākas prasības nekā attiecīgais ES tiesību akts, norāda pamatojumu un samērīgumu.</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C7080"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5C7080" w:rsidRPr="00BA3C1F" w:rsidRDefault="005C7080" w:rsidP="007229BB">
            <w:pPr>
              <w:rPr>
                <w:rFonts w:eastAsia="Times New Roman" w:cs="Times New Roman"/>
                <w:sz w:val="24"/>
                <w:szCs w:val="24"/>
              </w:rPr>
            </w:pPr>
            <w:r>
              <w:rPr>
                <w:rFonts w:eastAsia="Times New Roman" w:cs="Times New Roman"/>
                <w:sz w:val="24"/>
                <w:szCs w:val="24"/>
              </w:rPr>
              <w:t xml:space="preserve">Komisijas regulas </w:t>
            </w:r>
            <w:r>
              <w:rPr>
                <w:rFonts w:eastAsia="Times New Roman" w:cs="Times New Roman"/>
                <w:sz w:val="24"/>
                <w:szCs w:val="24"/>
              </w:rPr>
              <w:lastRenderedPageBreak/>
              <w:t>Nr.651/2014 9.panta 1.un 4.punktu</w:t>
            </w:r>
          </w:p>
        </w:tc>
        <w:tc>
          <w:tcPr>
            <w:tcW w:w="1100" w:type="pct"/>
            <w:gridSpan w:val="2"/>
            <w:tcBorders>
              <w:top w:val="outset" w:sz="6" w:space="0" w:color="414142"/>
              <w:left w:val="outset" w:sz="6" w:space="0" w:color="414142"/>
              <w:bottom w:val="outset" w:sz="6" w:space="0" w:color="414142"/>
              <w:right w:val="outset" w:sz="6" w:space="0" w:color="414142"/>
            </w:tcBorders>
          </w:tcPr>
          <w:p w:rsidR="005C7080" w:rsidRPr="00BA3C1F" w:rsidRDefault="00AD37EF" w:rsidP="00DB76A4">
            <w:pPr>
              <w:rPr>
                <w:rFonts w:eastAsia="Times New Roman" w:cs="Times New Roman"/>
                <w:sz w:val="24"/>
                <w:szCs w:val="24"/>
              </w:rPr>
            </w:pPr>
            <w:r>
              <w:rPr>
                <w:rFonts w:eastAsia="Times New Roman" w:cs="Times New Roman"/>
                <w:sz w:val="24"/>
                <w:szCs w:val="24"/>
              </w:rPr>
              <w:lastRenderedPageBreak/>
              <w:t xml:space="preserve">Ministru kabineta </w:t>
            </w:r>
            <w:r>
              <w:rPr>
                <w:rFonts w:eastAsia="Times New Roman" w:cs="Times New Roman"/>
                <w:sz w:val="24"/>
                <w:szCs w:val="24"/>
              </w:rPr>
              <w:lastRenderedPageBreak/>
              <w:t xml:space="preserve">noteikumu </w:t>
            </w:r>
            <w:r w:rsidR="00C851E0">
              <w:rPr>
                <w:rFonts w:eastAsia="Times New Roman" w:cs="Times New Roman"/>
                <w:sz w:val="24"/>
                <w:szCs w:val="24"/>
              </w:rPr>
              <w:t>projekta 2</w:t>
            </w:r>
            <w:r>
              <w:rPr>
                <w:rFonts w:eastAsia="Times New Roman" w:cs="Times New Roman"/>
                <w:sz w:val="24"/>
                <w:szCs w:val="24"/>
              </w:rPr>
              <w:t>.punkts (tiek papildināti MK noteikumi Nr.1442 ar 1.punktu)</w:t>
            </w:r>
          </w:p>
        </w:tc>
        <w:tc>
          <w:tcPr>
            <w:tcW w:w="1400" w:type="pct"/>
            <w:gridSpan w:val="2"/>
            <w:tcBorders>
              <w:top w:val="outset" w:sz="6" w:space="0" w:color="414142"/>
              <w:left w:val="outset" w:sz="6" w:space="0" w:color="414142"/>
              <w:bottom w:val="outset" w:sz="6" w:space="0" w:color="414142"/>
              <w:right w:val="outset" w:sz="6" w:space="0" w:color="414142"/>
            </w:tcBorders>
          </w:tcPr>
          <w:p w:rsidR="005C7080" w:rsidRPr="00BA3C1F" w:rsidRDefault="00AD37EF" w:rsidP="007229BB">
            <w:pPr>
              <w:rPr>
                <w:rFonts w:eastAsia="Times New Roman" w:cs="Times New Roman"/>
                <w:i/>
                <w:sz w:val="24"/>
                <w:szCs w:val="24"/>
              </w:rPr>
            </w:pPr>
            <w:r>
              <w:rPr>
                <w:rFonts w:eastAsia="Times New Roman" w:cs="Times New Roman"/>
                <w:i/>
                <w:sz w:val="24"/>
                <w:szCs w:val="24"/>
              </w:rPr>
              <w:lastRenderedPageBreak/>
              <w:t>Ieviesta pilnībā</w:t>
            </w:r>
          </w:p>
        </w:tc>
        <w:tc>
          <w:tcPr>
            <w:tcW w:w="1350" w:type="pct"/>
            <w:tcBorders>
              <w:top w:val="outset" w:sz="6" w:space="0" w:color="414142"/>
              <w:left w:val="outset" w:sz="6" w:space="0" w:color="414142"/>
              <w:bottom w:val="outset" w:sz="6" w:space="0" w:color="414142"/>
              <w:right w:val="outset" w:sz="6" w:space="0" w:color="414142"/>
            </w:tcBorders>
          </w:tcPr>
          <w:p w:rsidR="005C7080" w:rsidRPr="00BA3C1F" w:rsidRDefault="00AD37EF" w:rsidP="007229BB">
            <w:pPr>
              <w:rPr>
                <w:rFonts w:eastAsia="Times New Roman" w:cs="Times New Roman"/>
                <w:i/>
                <w:sz w:val="24"/>
                <w:szCs w:val="24"/>
              </w:rPr>
            </w:pPr>
            <w:r>
              <w:rPr>
                <w:rFonts w:eastAsia="Times New Roman" w:cs="Times New Roman"/>
                <w:i/>
                <w:sz w:val="24"/>
                <w:szCs w:val="24"/>
              </w:rPr>
              <w:t xml:space="preserve">Neparedz stingrākas </w:t>
            </w:r>
            <w:r>
              <w:rPr>
                <w:rFonts w:eastAsia="Times New Roman" w:cs="Times New Roman"/>
                <w:i/>
                <w:sz w:val="24"/>
                <w:szCs w:val="24"/>
              </w:rPr>
              <w:lastRenderedPageBreak/>
              <w:t>prasības</w:t>
            </w:r>
          </w:p>
        </w:tc>
      </w:tr>
      <w:tr w:rsidR="00DB76A4"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sz w:val="24"/>
                <w:szCs w:val="24"/>
              </w:rPr>
            </w:pPr>
            <w:r w:rsidRPr="00BA3C1F">
              <w:rPr>
                <w:rFonts w:eastAsia="Times New Roman" w:cs="Times New Roman"/>
                <w:sz w:val="24"/>
                <w:szCs w:val="24"/>
              </w:rPr>
              <w:lastRenderedPageBreak/>
              <w:t xml:space="preserve">Komisijas regula Nr.651/2014 </w:t>
            </w:r>
          </w:p>
        </w:tc>
        <w:tc>
          <w:tcPr>
            <w:tcW w:w="11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DB76A4">
            <w:pPr>
              <w:rPr>
                <w:rFonts w:eastAsia="Times New Roman" w:cs="Times New Roman"/>
                <w:sz w:val="24"/>
                <w:szCs w:val="24"/>
              </w:rPr>
            </w:pPr>
            <w:r w:rsidRPr="00BA3C1F">
              <w:rPr>
                <w:rFonts w:eastAsia="Times New Roman" w:cs="Times New Roman"/>
                <w:sz w:val="24"/>
                <w:szCs w:val="24"/>
              </w:rPr>
              <w:t>Minist</w:t>
            </w:r>
            <w:r w:rsidR="00C851E0">
              <w:rPr>
                <w:rFonts w:eastAsia="Times New Roman" w:cs="Times New Roman"/>
                <w:sz w:val="24"/>
                <w:szCs w:val="24"/>
              </w:rPr>
              <w:t>ru kabineta noteikumu projekta 3</w:t>
            </w:r>
            <w:r w:rsidRPr="00BA3C1F">
              <w:rPr>
                <w:rFonts w:eastAsia="Times New Roman" w:cs="Times New Roman"/>
                <w:sz w:val="24"/>
                <w:szCs w:val="24"/>
              </w:rPr>
              <w:t>.punkts (tiek aizstāts MK noteikumu Nr.1442 6.punkts)</w:t>
            </w:r>
          </w:p>
        </w:tc>
        <w:tc>
          <w:tcPr>
            <w:tcW w:w="14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DB76A4"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sz w:val="24"/>
                <w:szCs w:val="24"/>
              </w:rPr>
            </w:pPr>
            <w:r w:rsidRPr="00BA3C1F">
              <w:rPr>
                <w:rFonts w:eastAsia="Times New Roman" w:cs="Times New Roman"/>
                <w:sz w:val="24"/>
                <w:szCs w:val="24"/>
              </w:rPr>
              <w:t>Komisijas regula Nr.1407/2013</w:t>
            </w:r>
          </w:p>
        </w:tc>
        <w:tc>
          <w:tcPr>
            <w:tcW w:w="11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DB76A4">
            <w:pPr>
              <w:rPr>
                <w:rFonts w:eastAsia="Times New Roman" w:cs="Times New Roman"/>
                <w:sz w:val="24"/>
                <w:szCs w:val="24"/>
              </w:rPr>
            </w:pPr>
            <w:r w:rsidRPr="00BA3C1F">
              <w:rPr>
                <w:rFonts w:eastAsia="Times New Roman" w:cs="Times New Roman"/>
                <w:sz w:val="24"/>
                <w:szCs w:val="24"/>
              </w:rPr>
              <w:t>Minist</w:t>
            </w:r>
            <w:r w:rsidR="00BA3C1F" w:rsidRPr="00BA3C1F">
              <w:rPr>
                <w:rFonts w:eastAsia="Times New Roman" w:cs="Times New Roman"/>
                <w:sz w:val="24"/>
                <w:szCs w:val="24"/>
              </w:rPr>
              <w:t xml:space="preserve">ru kabineta noteikumu </w:t>
            </w:r>
            <w:r w:rsidR="00C851E0">
              <w:rPr>
                <w:rFonts w:eastAsia="Times New Roman" w:cs="Times New Roman"/>
                <w:sz w:val="24"/>
                <w:szCs w:val="24"/>
              </w:rPr>
              <w:t>projekta 3</w:t>
            </w:r>
            <w:r w:rsidRPr="00BA3C1F">
              <w:rPr>
                <w:rFonts w:eastAsia="Times New Roman" w:cs="Times New Roman"/>
                <w:sz w:val="24"/>
                <w:szCs w:val="24"/>
              </w:rPr>
              <w:t>.punkts (tiek aizstāts MK noteikumu Nr.1442 7.punkts)</w:t>
            </w:r>
          </w:p>
        </w:tc>
        <w:tc>
          <w:tcPr>
            <w:tcW w:w="14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DB76A4"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DB76A4" w:rsidRPr="00BA3C1F" w:rsidRDefault="00DB76A4" w:rsidP="00DB76A4">
            <w:pPr>
              <w:rPr>
                <w:rFonts w:eastAsia="Times New Roman" w:cs="Times New Roman"/>
                <w:sz w:val="24"/>
                <w:szCs w:val="24"/>
              </w:rPr>
            </w:pPr>
            <w:r w:rsidRPr="00BA3C1F">
              <w:rPr>
                <w:rFonts w:eastAsia="Times New Roman" w:cs="Times New Roman"/>
                <w:sz w:val="24"/>
                <w:szCs w:val="24"/>
                <w:lang w:eastAsia="lv-LV"/>
              </w:rPr>
              <w:t>Komisijas regulas Nr.651/2014 5.panta 2.punkta „a” apakšpunkts</w:t>
            </w:r>
          </w:p>
        </w:tc>
        <w:tc>
          <w:tcPr>
            <w:tcW w:w="11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DB76A4">
            <w:pPr>
              <w:rPr>
                <w:rFonts w:eastAsia="Times New Roman" w:cs="Times New Roman"/>
                <w:sz w:val="24"/>
                <w:szCs w:val="24"/>
              </w:rPr>
            </w:pPr>
            <w:r w:rsidRPr="00BA3C1F">
              <w:rPr>
                <w:rFonts w:eastAsia="Times New Roman" w:cs="Times New Roman"/>
                <w:sz w:val="24"/>
                <w:szCs w:val="24"/>
              </w:rPr>
              <w:t>Minist</w:t>
            </w:r>
            <w:r w:rsidR="00C851E0">
              <w:rPr>
                <w:rFonts w:eastAsia="Times New Roman" w:cs="Times New Roman"/>
                <w:sz w:val="24"/>
                <w:szCs w:val="24"/>
              </w:rPr>
              <w:t>ru kabineta noteikumu projekta 4</w:t>
            </w:r>
            <w:r w:rsidRPr="00BA3C1F">
              <w:rPr>
                <w:rFonts w:eastAsia="Times New Roman" w:cs="Times New Roman"/>
                <w:sz w:val="24"/>
                <w:szCs w:val="24"/>
              </w:rPr>
              <w:t>.punkts (tiek papildināts MK noteikumi Nr.1442 ar 6.</w:t>
            </w:r>
            <w:r w:rsidRPr="00BA3C1F">
              <w:rPr>
                <w:rFonts w:eastAsia="Times New Roman" w:cs="Times New Roman"/>
                <w:sz w:val="24"/>
                <w:szCs w:val="24"/>
                <w:vertAlign w:val="superscript"/>
              </w:rPr>
              <w:t>1</w:t>
            </w:r>
            <w:r w:rsidRPr="00BA3C1F">
              <w:rPr>
                <w:rFonts w:eastAsia="Times New Roman" w:cs="Times New Roman"/>
                <w:sz w:val="24"/>
                <w:szCs w:val="24"/>
              </w:rPr>
              <w:t xml:space="preserve"> punktu)</w:t>
            </w:r>
          </w:p>
        </w:tc>
        <w:tc>
          <w:tcPr>
            <w:tcW w:w="14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454002"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454002" w:rsidRPr="008B3325" w:rsidRDefault="000E21A6" w:rsidP="007229BB">
            <w:pPr>
              <w:rPr>
                <w:rFonts w:eastAsia="Times New Roman" w:cs="Times New Roman"/>
                <w:sz w:val="24"/>
                <w:szCs w:val="24"/>
              </w:rPr>
            </w:pPr>
            <w:r w:rsidRPr="008B3325">
              <w:rPr>
                <w:rFonts w:eastAsia="Times New Roman" w:cs="Times New Roman"/>
                <w:sz w:val="24"/>
                <w:szCs w:val="24"/>
                <w:lang w:eastAsia="lv-LV"/>
              </w:rPr>
              <w:t>Komisijas regulas Nr.1407/2013 3.panta 2.punkts</w:t>
            </w:r>
          </w:p>
        </w:tc>
        <w:tc>
          <w:tcPr>
            <w:tcW w:w="1100" w:type="pct"/>
            <w:gridSpan w:val="2"/>
            <w:tcBorders>
              <w:top w:val="outset" w:sz="6" w:space="0" w:color="414142"/>
              <w:left w:val="outset" w:sz="6" w:space="0" w:color="414142"/>
              <w:bottom w:val="outset" w:sz="6" w:space="0" w:color="414142"/>
              <w:right w:val="outset" w:sz="6" w:space="0" w:color="414142"/>
            </w:tcBorders>
          </w:tcPr>
          <w:p w:rsidR="00454002" w:rsidRPr="008B3325" w:rsidRDefault="000E21A6" w:rsidP="006A1728">
            <w:pPr>
              <w:rPr>
                <w:rFonts w:eastAsia="Times New Roman" w:cs="Times New Roman"/>
                <w:sz w:val="24"/>
                <w:szCs w:val="24"/>
              </w:rPr>
            </w:pPr>
            <w:r w:rsidRPr="008B3325">
              <w:rPr>
                <w:rFonts w:eastAsia="Times New Roman" w:cs="Times New Roman"/>
                <w:sz w:val="24"/>
                <w:szCs w:val="24"/>
              </w:rPr>
              <w:t>Minist</w:t>
            </w:r>
            <w:r w:rsidR="00CF7421">
              <w:rPr>
                <w:rFonts w:eastAsia="Times New Roman" w:cs="Times New Roman"/>
                <w:sz w:val="24"/>
                <w:szCs w:val="24"/>
              </w:rPr>
              <w:t xml:space="preserve">ru </w:t>
            </w:r>
            <w:r w:rsidR="00B952ED">
              <w:rPr>
                <w:rFonts w:eastAsia="Times New Roman" w:cs="Times New Roman"/>
                <w:sz w:val="24"/>
                <w:szCs w:val="24"/>
              </w:rPr>
              <w:t xml:space="preserve">kabineta noteikumu </w:t>
            </w:r>
            <w:r w:rsidR="00C851E0">
              <w:rPr>
                <w:rFonts w:eastAsia="Times New Roman" w:cs="Times New Roman"/>
                <w:sz w:val="24"/>
                <w:szCs w:val="24"/>
              </w:rPr>
              <w:t>projekta 5</w:t>
            </w:r>
            <w:r w:rsidRPr="008B3325">
              <w:rPr>
                <w:rFonts w:eastAsia="Times New Roman" w:cs="Times New Roman"/>
                <w:sz w:val="24"/>
                <w:szCs w:val="24"/>
              </w:rPr>
              <w:t>.</w:t>
            </w:r>
            <w:r w:rsidR="00A06BA9">
              <w:rPr>
                <w:rFonts w:eastAsia="Times New Roman" w:cs="Times New Roman"/>
                <w:sz w:val="24"/>
                <w:szCs w:val="24"/>
              </w:rPr>
              <w:t xml:space="preserve">, </w:t>
            </w:r>
            <w:r w:rsidR="00C851E0">
              <w:rPr>
                <w:rFonts w:eastAsia="Times New Roman" w:cs="Times New Roman"/>
                <w:sz w:val="24"/>
                <w:szCs w:val="24"/>
              </w:rPr>
              <w:t>7</w:t>
            </w:r>
            <w:r w:rsidR="00A06BA9">
              <w:rPr>
                <w:rFonts w:eastAsia="Times New Roman" w:cs="Times New Roman"/>
                <w:sz w:val="24"/>
                <w:szCs w:val="24"/>
              </w:rPr>
              <w:t>.</w:t>
            </w:r>
            <w:r w:rsidR="00365D2C" w:rsidRPr="008B3325">
              <w:rPr>
                <w:rFonts w:eastAsia="Times New Roman" w:cs="Times New Roman"/>
                <w:sz w:val="24"/>
                <w:szCs w:val="24"/>
              </w:rPr>
              <w:t xml:space="preserve"> </w:t>
            </w:r>
            <w:r w:rsidR="00CF7421">
              <w:rPr>
                <w:rFonts w:eastAsia="Times New Roman" w:cs="Times New Roman"/>
                <w:sz w:val="24"/>
                <w:szCs w:val="24"/>
              </w:rPr>
              <w:t xml:space="preserve">un </w:t>
            </w:r>
            <w:r w:rsidR="00A06BA9">
              <w:rPr>
                <w:rFonts w:eastAsia="Times New Roman" w:cs="Times New Roman"/>
                <w:sz w:val="24"/>
                <w:szCs w:val="24"/>
              </w:rPr>
              <w:t>2</w:t>
            </w:r>
            <w:r w:rsidR="00C851E0">
              <w:rPr>
                <w:rFonts w:eastAsia="Times New Roman" w:cs="Times New Roman"/>
                <w:sz w:val="24"/>
                <w:szCs w:val="24"/>
              </w:rPr>
              <w:t>7</w:t>
            </w:r>
            <w:r w:rsidR="006A1728" w:rsidRPr="008B3325">
              <w:rPr>
                <w:rFonts w:eastAsia="Times New Roman" w:cs="Times New Roman"/>
                <w:sz w:val="24"/>
                <w:szCs w:val="24"/>
              </w:rPr>
              <w:t xml:space="preserve">.punkts </w:t>
            </w:r>
            <w:r w:rsidR="00365D2C" w:rsidRPr="008B3325">
              <w:rPr>
                <w:rFonts w:eastAsia="Times New Roman" w:cs="Times New Roman"/>
                <w:sz w:val="24"/>
                <w:szCs w:val="24"/>
              </w:rPr>
              <w:t>(tiek veikti grozījumi MK noteikumu Nr.</w:t>
            </w:r>
            <w:r w:rsidR="00B27EED" w:rsidRPr="008B3325">
              <w:rPr>
                <w:rFonts w:eastAsia="Times New Roman" w:cs="Times New Roman"/>
                <w:sz w:val="24"/>
                <w:szCs w:val="24"/>
              </w:rPr>
              <w:t>1442 8. un 10.punktā</w:t>
            </w:r>
            <w:r w:rsidR="00A06BA9">
              <w:rPr>
                <w:rFonts w:eastAsia="Times New Roman" w:cs="Times New Roman"/>
                <w:sz w:val="24"/>
                <w:szCs w:val="24"/>
              </w:rPr>
              <w:t xml:space="preserve"> un papildināts ar </w:t>
            </w:r>
            <w:r w:rsidR="00A06BA9" w:rsidRPr="00A06BA9">
              <w:rPr>
                <w:rFonts w:eastAsia="Times New Roman"/>
                <w:sz w:val="24"/>
                <w:szCs w:val="24"/>
                <w:lang w:eastAsia="lv-LV"/>
              </w:rPr>
              <w:t>33.</w:t>
            </w:r>
            <w:r w:rsidR="00A06BA9" w:rsidRPr="00A06BA9">
              <w:rPr>
                <w:rFonts w:eastAsia="Times New Roman"/>
                <w:sz w:val="24"/>
                <w:szCs w:val="24"/>
                <w:vertAlign w:val="superscript"/>
                <w:lang w:eastAsia="lv-LV"/>
              </w:rPr>
              <w:t>1</w:t>
            </w:r>
            <w:r w:rsidR="00A06BA9">
              <w:rPr>
                <w:rFonts w:eastAsia="Times New Roman"/>
                <w:sz w:val="24"/>
                <w:szCs w:val="24"/>
                <w:lang w:eastAsia="lv-LV"/>
              </w:rPr>
              <w:t xml:space="preserve"> punktu</w:t>
            </w:r>
            <w:r w:rsidR="00B27EED" w:rsidRPr="008B3325">
              <w:rPr>
                <w:rFonts w:eastAsia="Times New Roman" w:cs="Times New Roman"/>
                <w:sz w:val="24"/>
                <w:szCs w:val="24"/>
              </w:rPr>
              <w:t>).</w:t>
            </w:r>
          </w:p>
        </w:tc>
        <w:tc>
          <w:tcPr>
            <w:tcW w:w="1400" w:type="pct"/>
            <w:gridSpan w:val="2"/>
            <w:tcBorders>
              <w:top w:val="outset" w:sz="6" w:space="0" w:color="414142"/>
              <w:left w:val="outset" w:sz="6" w:space="0" w:color="414142"/>
              <w:bottom w:val="outset" w:sz="6" w:space="0" w:color="414142"/>
              <w:right w:val="outset" w:sz="6" w:space="0" w:color="414142"/>
            </w:tcBorders>
          </w:tcPr>
          <w:p w:rsidR="00454002" w:rsidRPr="008B3325" w:rsidRDefault="000E21A6"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454002" w:rsidRPr="008B3325" w:rsidRDefault="000E21A6"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DB76A4"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sz w:val="24"/>
                <w:szCs w:val="24"/>
                <w:lang w:eastAsia="lv-LV"/>
              </w:rPr>
            </w:pPr>
            <w:r w:rsidRPr="00BA3C1F">
              <w:rPr>
                <w:rFonts w:eastAsia="Times New Roman"/>
                <w:sz w:val="24"/>
                <w:szCs w:val="24"/>
                <w:lang w:eastAsia="lv-LV"/>
              </w:rPr>
              <w:t>Komisijas regulas Nr. 651/2014 1.pielikuma 3.panta 3.punkts</w:t>
            </w:r>
          </w:p>
        </w:tc>
        <w:tc>
          <w:tcPr>
            <w:tcW w:w="11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6A1728">
            <w:pPr>
              <w:rPr>
                <w:rFonts w:eastAsia="Times New Roman" w:cs="Times New Roman"/>
                <w:sz w:val="24"/>
                <w:szCs w:val="24"/>
              </w:rPr>
            </w:pPr>
            <w:r w:rsidRPr="00BA3C1F">
              <w:rPr>
                <w:rFonts w:eastAsia="Times New Roman" w:cs="Times New Roman"/>
                <w:sz w:val="24"/>
                <w:szCs w:val="24"/>
              </w:rPr>
              <w:t xml:space="preserve">Ministru </w:t>
            </w:r>
            <w:r w:rsidR="00B952ED">
              <w:rPr>
                <w:rFonts w:eastAsia="Times New Roman" w:cs="Times New Roman"/>
                <w:sz w:val="24"/>
                <w:szCs w:val="24"/>
              </w:rPr>
              <w:t xml:space="preserve">kabineta noteikumu </w:t>
            </w:r>
            <w:r w:rsidR="00C851E0">
              <w:rPr>
                <w:rFonts w:eastAsia="Times New Roman" w:cs="Times New Roman"/>
                <w:sz w:val="24"/>
                <w:szCs w:val="24"/>
              </w:rPr>
              <w:t>projekta 6</w:t>
            </w:r>
            <w:r w:rsidRPr="00BA3C1F">
              <w:rPr>
                <w:rFonts w:eastAsia="Times New Roman" w:cs="Times New Roman"/>
                <w:sz w:val="24"/>
                <w:szCs w:val="24"/>
              </w:rPr>
              <w:t>.punkts (tiek veikti grozījumi MK noteikumu Nr.1442 9.punktā)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0E21A6"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0E21A6" w:rsidRPr="008B3325" w:rsidRDefault="000E21A6"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 1407/2013 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rsidR="000E21A6" w:rsidRPr="008B3325" w:rsidRDefault="000E21A6" w:rsidP="00CF7421">
            <w:pPr>
              <w:rPr>
                <w:rFonts w:eastAsia="Times New Roman" w:cs="Times New Roman"/>
                <w:sz w:val="24"/>
                <w:szCs w:val="24"/>
              </w:rPr>
            </w:pPr>
            <w:r w:rsidRPr="008B3325">
              <w:rPr>
                <w:rFonts w:eastAsia="Times New Roman" w:cs="Times New Roman"/>
                <w:sz w:val="24"/>
                <w:szCs w:val="24"/>
              </w:rPr>
              <w:t xml:space="preserve">Ministru kabineta noteikumu projekta </w:t>
            </w:r>
            <w:r w:rsidR="00C851E0">
              <w:rPr>
                <w:rFonts w:eastAsia="Times New Roman" w:cs="Times New Roman"/>
                <w:sz w:val="24"/>
                <w:szCs w:val="24"/>
              </w:rPr>
              <w:t>7</w:t>
            </w:r>
            <w:r w:rsidR="007E165A" w:rsidRPr="008B3325">
              <w:rPr>
                <w:rFonts w:eastAsia="Times New Roman" w:cs="Times New Roman"/>
                <w:sz w:val="24"/>
                <w:szCs w:val="24"/>
              </w:rPr>
              <w:t>.punkts</w:t>
            </w:r>
            <w:r w:rsidR="00365D2C" w:rsidRPr="008B3325">
              <w:rPr>
                <w:rFonts w:eastAsia="Times New Roman" w:cs="Times New Roman"/>
                <w:sz w:val="24"/>
                <w:szCs w:val="24"/>
              </w:rPr>
              <w:t xml:space="preserve"> (tiek </w:t>
            </w:r>
            <w:r w:rsidR="00CF7421">
              <w:rPr>
                <w:rFonts w:eastAsia="Times New Roman" w:cs="Times New Roman"/>
                <w:sz w:val="24"/>
                <w:szCs w:val="24"/>
              </w:rPr>
              <w:t>veikti grozījumi MK noteikumu</w:t>
            </w:r>
            <w:r w:rsidR="00365D2C" w:rsidRPr="008B3325">
              <w:rPr>
                <w:rFonts w:eastAsia="Times New Roman" w:cs="Times New Roman"/>
                <w:sz w:val="24"/>
                <w:szCs w:val="24"/>
              </w:rPr>
              <w:t xml:space="preserve"> </w:t>
            </w:r>
            <w:r w:rsidR="00365D2C" w:rsidRPr="008B3325">
              <w:rPr>
                <w:rFonts w:eastAsia="Times New Roman" w:cs="Times New Roman"/>
                <w:sz w:val="24"/>
                <w:szCs w:val="24"/>
              </w:rPr>
              <w:lastRenderedPageBreak/>
              <w:t xml:space="preserve">Nr.1442 </w:t>
            </w:r>
            <w:r w:rsidR="00CF7421">
              <w:rPr>
                <w:rFonts w:eastAsia="Times New Roman" w:cs="Times New Roman"/>
                <w:sz w:val="24"/>
                <w:szCs w:val="24"/>
              </w:rPr>
              <w:t>10.punktā</w:t>
            </w:r>
            <w:r w:rsidR="00365D2C" w:rsidRPr="008B3325">
              <w:rPr>
                <w:rFonts w:eastAsia="Times New Roman" w:cs="Times New Roman"/>
                <w:sz w:val="24"/>
                <w:szCs w:val="24"/>
              </w:rPr>
              <w:t>)</w:t>
            </w:r>
          </w:p>
        </w:tc>
        <w:tc>
          <w:tcPr>
            <w:tcW w:w="1400" w:type="pct"/>
            <w:gridSpan w:val="2"/>
            <w:tcBorders>
              <w:top w:val="outset" w:sz="6" w:space="0" w:color="414142"/>
              <w:left w:val="outset" w:sz="6" w:space="0" w:color="414142"/>
              <w:bottom w:val="outset" w:sz="6" w:space="0" w:color="414142"/>
              <w:right w:val="outset" w:sz="6" w:space="0" w:color="414142"/>
            </w:tcBorders>
          </w:tcPr>
          <w:p w:rsidR="000E21A6" w:rsidRPr="008B3325" w:rsidRDefault="007E165A" w:rsidP="007229BB">
            <w:pPr>
              <w:rPr>
                <w:rFonts w:eastAsia="Times New Roman" w:cs="Times New Roman"/>
                <w:i/>
                <w:sz w:val="24"/>
                <w:szCs w:val="24"/>
              </w:rPr>
            </w:pPr>
            <w:r w:rsidRPr="008B3325">
              <w:rPr>
                <w:rFonts w:eastAsia="Times New Roman" w:cs="Times New Roman"/>
                <w:i/>
                <w:sz w:val="24"/>
                <w:szCs w:val="24"/>
              </w:rPr>
              <w:lastRenderedPageBreak/>
              <w:t>Ieviesta pilnībā</w:t>
            </w:r>
          </w:p>
        </w:tc>
        <w:tc>
          <w:tcPr>
            <w:tcW w:w="1350" w:type="pct"/>
            <w:tcBorders>
              <w:top w:val="outset" w:sz="6" w:space="0" w:color="414142"/>
              <w:left w:val="outset" w:sz="6" w:space="0" w:color="414142"/>
              <w:bottom w:val="outset" w:sz="6" w:space="0" w:color="414142"/>
              <w:right w:val="outset" w:sz="6" w:space="0" w:color="414142"/>
            </w:tcBorders>
          </w:tcPr>
          <w:p w:rsidR="000E21A6" w:rsidRPr="008B3325" w:rsidRDefault="007E165A"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DB76A4"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sz w:val="24"/>
                <w:szCs w:val="24"/>
                <w:lang w:eastAsia="lv-LV"/>
              </w:rPr>
            </w:pPr>
            <w:r w:rsidRPr="00BA3C1F">
              <w:rPr>
                <w:rFonts w:eastAsia="Times New Roman"/>
                <w:sz w:val="24"/>
                <w:szCs w:val="24"/>
                <w:lang w:eastAsia="lv-LV"/>
              </w:rPr>
              <w:lastRenderedPageBreak/>
              <w:t>Komisijas regulas Nr.651/2014 13.pants</w:t>
            </w:r>
          </w:p>
        </w:tc>
        <w:tc>
          <w:tcPr>
            <w:tcW w:w="11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CF7421">
            <w:pPr>
              <w:rPr>
                <w:rFonts w:eastAsia="Times New Roman" w:cs="Times New Roman"/>
                <w:sz w:val="24"/>
                <w:szCs w:val="24"/>
              </w:rPr>
            </w:pPr>
            <w:r w:rsidRPr="00BA3C1F">
              <w:rPr>
                <w:rFonts w:eastAsia="Times New Roman" w:cs="Times New Roman"/>
                <w:sz w:val="24"/>
                <w:szCs w:val="24"/>
              </w:rPr>
              <w:t>Minist</w:t>
            </w:r>
            <w:r w:rsidR="00BA3C1F" w:rsidRPr="00BA3C1F">
              <w:rPr>
                <w:rFonts w:eastAsia="Times New Roman" w:cs="Times New Roman"/>
                <w:sz w:val="24"/>
                <w:szCs w:val="24"/>
              </w:rPr>
              <w:t xml:space="preserve">ru </w:t>
            </w:r>
            <w:r w:rsidR="005C7080">
              <w:rPr>
                <w:rFonts w:eastAsia="Times New Roman" w:cs="Times New Roman"/>
                <w:sz w:val="24"/>
                <w:szCs w:val="24"/>
              </w:rPr>
              <w:t xml:space="preserve">kabineta noteikumu </w:t>
            </w:r>
            <w:r w:rsidR="00C851E0">
              <w:rPr>
                <w:rFonts w:eastAsia="Times New Roman" w:cs="Times New Roman"/>
                <w:sz w:val="24"/>
                <w:szCs w:val="24"/>
              </w:rPr>
              <w:t>projekta 8</w:t>
            </w:r>
            <w:r w:rsidRPr="00BA3C1F">
              <w:rPr>
                <w:rFonts w:eastAsia="Times New Roman" w:cs="Times New Roman"/>
                <w:sz w:val="24"/>
                <w:szCs w:val="24"/>
              </w:rPr>
              <w:t xml:space="preserve">.punkts un </w:t>
            </w:r>
            <w:r w:rsidR="00C851E0">
              <w:rPr>
                <w:rFonts w:eastAsia="Times New Roman" w:cs="Times New Roman"/>
                <w:sz w:val="24"/>
                <w:szCs w:val="24"/>
              </w:rPr>
              <w:t>50</w:t>
            </w:r>
            <w:r w:rsidRPr="00BA3C1F">
              <w:rPr>
                <w:rFonts w:eastAsia="Times New Roman" w:cs="Times New Roman"/>
                <w:sz w:val="24"/>
                <w:szCs w:val="24"/>
              </w:rPr>
              <w:t>.punkts (tiek veikti grozījumi MK noteikumu Nr.1442 11.punktā</w:t>
            </w:r>
            <w:r w:rsidR="00BA3C1F">
              <w:rPr>
                <w:rFonts w:eastAsia="Times New Roman" w:cs="Times New Roman"/>
                <w:sz w:val="24"/>
                <w:szCs w:val="24"/>
              </w:rPr>
              <w:t xml:space="preserve"> un aizstāts 1.pielikums</w:t>
            </w:r>
            <w:r w:rsidRPr="00BA3C1F">
              <w:rPr>
                <w:rFonts w:eastAsia="Times New Roman" w:cs="Times New Roman"/>
                <w:sz w:val="24"/>
                <w:szCs w:val="24"/>
              </w:rPr>
              <w:t>)</w:t>
            </w:r>
          </w:p>
        </w:tc>
        <w:tc>
          <w:tcPr>
            <w:tcW w:w="1400" w:type="pct"/>
            <w:gridSpan w:val="2"/>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DB76A4" w:rsidRPr="00BA3C1F" w:rsidRDefault="00DB76A4"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6F3C2B"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6F3C2B" w:rsidRPr="00BA3C1F" w:rsidRDefault="006F3C2B" w:rsidP="007229BB">
            <w:pPr>
              <w:rPr>
                <w:rFonts w:eastAsia="Times New Roman"/>
                <w:sz w:val="24"/>
                <w:szCs w:val="24"/>
                <w:lang w:eastAsia="lv-LV"/>
              </w:rPr>
            </w:pPr>
            <w:r w:rsidRPr="00BA3C1F">
              <w:rPr>
                <w:rFonts w:eastAsia="Times New Roman"/>
                <w:sz w:val="24"/>
                <w:szCs w:val="24"/>
                <w:lang w:eastAsia="lv-LV"/>
              </w:rPr>
              <w:t>Komisijas regulas Nr.1407/2013 5.pants</w:t>
            </w:r>
          </w:p>
        </w:tc>
        <w:tc>
          <w:tcPr>
            <w:tcW w:w="1100" w:type="pct"/>
            <w:gridSpan w:val="2"/>
            <w:tcBorders>
              <w:top w:val="outset" w:sz="6" w:space="0" w:color="414142"/>
              <w:left w:val="outset" w:sz="6" w:space="0" w:color="414142"/>
              <w:bottom w:val="outset" w:sz="6" w:space="0" w:color="414142"/>
              <w:right w:val="outset" w:sz="6" w:space="0" w:color="414142"/>
            </w:tcBorders>
          </w:tcPr>
          <w:p w:rsidR="006F3C2B" w:rsidRPr="00BA3C1F" w:rsidRDefault="006F3C2B" w:rsidP="00CF7421">
            <w:pPr>
              <w:rPr>
                <w:rFonts w:eastAsia="Times New Roman" w:cs="Times New Roman"/>
                <w:sz w:val="24"/>
                <w:szCs w:val="24"/>
              </w:rPr>
            </w:pPr>
            <w:r w:rsidRPr="00BA3C1F">
              <w:rPr>
                <w:rFonts w:eastAsia="Times New Roman" w:cs="Times New Roman"/>
                <w:sz w:val="24"/>
                <w:szCs w:val="24"/>
              </w:rPr>
              <w:t>Minist</w:t>
            </w:r>
            <w:r w:rsidR="00BA3C1F" w:rsidRPr="00BA3C1F">
              <w:rPr>
                <w:rFonts w:eastAsia="Times New Roman" w:cs="Times New Roman"/>
                <w:sz w:val="24"/>
                <w:szCs w:val="24"/>
              </w:rPr>
              <w:t>r</w:t>
            </w:r>
            <w:r w:rsidR="00C851E0">
              <w:rPr>
                <w:rFonts w:eastAsia="Times New Roman" w:cs="Times New Roman"/>
                <w:sz w:val="24"/>
                <w:szCs w:val="24"/>
              </w:rPr>
              <w:t>u kabineta noteikumu projekta 10</w:t>
            </w:r>
            <w:r w:rsidRPr="00BA3C1F">
              <w:rPr>
                <w:rFonts w:eastAsia="Times New Roman" w:cs="Times New Roman"/>
                <w:sz w:val="24"/>
                <w:szCs w:val="24"/>
              </w:rPr>
              <w:t>.punkts (tiek veikti grozījumi MK noteikumu Nr.1442 13.punktā)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6F3C2B" w:rsidRPr="00BA3C1F" w:rsidRDefault="006F3C2B"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6F3C2B" w:rsidRPr="00BA3C1F" w:rsidRDefault="006F3C2B"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E8145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sz w:val="24"/>
                <w:szCs w:val="24"/>
                <w:lang w:eastAsia="lv-LV"/>
              </w:rPr>
            </w:pPr>
            <w:r w:rsidRPr="00BA3C1F">
              <w:rPr>
                <w:rFonts w:eastAsia="Times New Roman"/>
                <w:sz w:val="24"/>
                <w:szCs w:val="24"/>
                <w:lang w:eastAsia="lv-LV"/>
              </w:rPr>
              <w:t>Komisijas regulas Nr.651/2014 8.pants un 14.panta 12.punkts</w:t>
            </w:r>
          </w:p>
        </w:tc>
        <w:tc>
          <w:tcPr>
            <w:tcW w:w="1100" w:type="pct"/>
            <w:gridSpan w:val="2"/>
            <w:tcBorders>
              <w:top w:val="outset" w:sz="6" w:space="0" w:color="414142"/>
              <w:left w:val="outset" w:sz="6" w:space="0" w:color="414142"/>
              <w:bottom w:val="outset" w:sz="6" w:space="0" w:color="414142"/>
              <w:right w:val="outset" w:sz="6" w:space="0" w:color="414142"/>
            </w:tcBorders>
          </w:tcPr>
          <w:p w:rsidR="00E8145A" w:rsidRPr="00BA3C1F" w:rsidRDefault="00E8145A" w:rsidP="00CF7421">
            <w:pPr>
              <w:rPr>
                <w:rFonts w:eastAsia="Times New Roman" w:cs="Times New Roman"/>
                <w:sz w:val="24"/>
                <w:szCs w:val="24"/>
              </w:rPr>
            </w:pPr>
            <w:r w:rsidRPr="00BA3C1F">
              <w:rPr>
                <w:rFonts w:eastAsia="Times New Roman" w:cs="Times New Roman"/>
                <w:sz w:val="24"/>
                <w:szCs w:val="24"/>
              </w:rPr>
              <w:t>Minist</w:t>
            </w:r>
            <w:r w:rsidR="00BA3C1F" w:rsidRPr="00BA3C1F">
              <w:rPr>
                <w:rFonts w:eastAsia="Times New Roman" w:cs="Times New Roman"/>
                <w:sz w:val="24"/>
                <w:szCs w:val="24"/>
              </w:rPr>
              <w:t>r</w:t>
            </w:r>
            <w:r w:rsidR="00C851E0">
              <w:rPr>
                <w:rFonts w:eastAsia="Times New Roman" w:cs="Times New Roman"/>
                <w:sz w:val="24"/>
                <w:szCs w:val="24"/>
              </w:rPr>
              <w:t>u kabineta noteikumu projekta 11</w:t>
            </w:r>
            <w:r w:rsidRPr="00BA3C1F">
              <w:rPr>
                <w:rFonts w:eastAsia="Times New Roman" w:cs="Times New Roman"/>
                <w:sz w:val="24"/>
                <w:szCs w:val="24"/>
              </w:rPr>
              <w:t>.punkts (tiek veikti grozījumi MK noteikumu Nr.1442 15. un 16.punktos)</w:t>
            </w:r>
          </w:p>
        </w:tc>
        <w:tc>
          <w:tcPr>
            <w:tcW w:w="1400" w:type="pct"/>
            <w:gridSpan w:val="2"/>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7E165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7E165A" w:rsidRPr="008B3325" w:rsidRDefault="007E165A"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Nr.651/2014 1.pielikums</w:t>
            </w:r>
          </w:p>
        </w:tc>
        <w:tc>
          <w:tcPr>
            <w:tcW w:w="1100" w:type="pct"/>
            <w:gridSpan w:val="2"/>
            <w:tcBorders>
              <w:top w:val="outset" w:sz="6" w:space="0" w:color="414142"/>
              <w:left w:val="outset" w:sz="6" w:space="0" w:color="414142"/>
              <w:bottom w:val="outset" w:sz="6" w:space="0" w:color="414142"/>
              <w:right w:val="outset" w:sz="6" w:space="0" w:color="414142"/>
            </w:tcBorders>
          </w:tcPr>
          <w:p w:rsidR="007E165A" w:rsidRPr="008B3325" w:rsidRDefault="007E165A" w:rsidP="006A1728">
            <w:pPr>
              <w:rPr>
                <w:rFonts w:eastAsia="Times New Roman" w:cs="Times New Roman"/>
                <w:sz w:val="24"/>
                <w:szCs w:val="24"/>
              </w:rPr>
            </w:pPr>
            <w:r w:rsidRPr="008B3325">
              <w:rPr>
                <w:rFonts w:eastAsia="Times New Roman" w:cs="Times New Roman"/>
                <w:sz w:val="24"/>
                <w:szCs w:val="24"/>
              </w:rPr>
              <w:t xml:space="preserve">Ministru kabineta noteikumu projekta </w:t>
            </w:r>
            <w:r w:rsidR="00C851E0">
              <w:rPr>
                <w:rFonts w:eastAsia="Times New Roman" w:cs="Times New Roman"/>
                <w:sz w:val="24"/>
                <w:szCs w:val="24"/>
              </w:rPr>
              <w:t>6., 13</w:t>
            </w:r>
            <w:r w:rsidR="005C7080">
              <w:rPr>
                <w:rFonts w:eastAsia="Times New Roman" w:cs="Times New Roman"/>
                <w:sz w:val="24"/>
                <w:szCs w:val="24"/>
              </w:rPr>
              <w:t>.,</w:t>
            </w:r>
            <w:r w:rsidR="00C851E0">
              <w:rPr>
                <w:rFonts w:eastAsia="Times New Roman" w:cs="Times New Roman"/>
                <w:sz w:val="24"/>
                <w:szCs w:val="24"/>
              </w:rPr>
              <w:t xml:space="preserve"> 52. un 53</w:t>
            </w:r>
            <w:r w:rsidR="006A1728" w:rsidRPr="008B3325">
              <w:rPr>
                <w:rFonts w:eastAsia="Times New Roman" w:cs="Times New Roman"/>
                <w:sz w:val="24"/>
                <w:szCs w:val="24"/>
              </w:rPr>
              <w:t>.punkts</w:t>
            </w:r>
            <w:r w:rsidRPr="008B3325">
              <w:rPr>
                <w:rFonts w:eastAsia="Times New Roman" w:cs="Times New Roman"/>
                <w:sz w:val="24"/>
                <w:szCs w:val="24"/>
              </w:rPr>
              <w:t xml:space="preserve">, </w:t>
            </w:r>
            <w:r w:rsidR="00365D2C" w:rsidRPr="008B3325">
              <w:rPr>
                <w:rFonts w:eastAsia="Times New Roman" w:cs="Times New Roman"/>
                <w:sz w:val="24"/>
                <w:szCs w:val="24"/>
              </w:rPr>
              <w:t>(tiek veikti grozījumi MK noteik</w:t>
            </w:r>
            <w:r w:rsidR="00CF7421">
              <w:rPr>
                <w:rFonts w:eastAsia="Times New Roman" w:cs="Times New Roman"/>
                <w:sz w:val="24"/>
                <w:szCs w:val="24"/>
              </w:rPr>
              <w:t>umu Nr.1442 9., 17. un 18.punktā</w:t>
            </w:r>
            <w:r w:rsidR="00365D2C" w:rsidRPr="008B3325">
              <w:rPr>
                <w:rFonts w:eastAsia="Times New Roman" w:cs="Times New Roman"/>
                <w:sz w:val="24"/>
                <w:szCs w:val="24"/>
              </w:rPr>
              <w:t>)</w:t>
            </w:r>
          </w:p>
        </w:tc>
        <w:tc>
          <w:tcPr>
            <w:tcW w:w="1400" w:type="pct"/>
            <w:gridSpan w:val="2"/>
            <w:tcBorders>
              <w:top w:val="outset" w:sz="6" w:space="0" w:color="414142"/>
              <w:left w:val="outset" w:sz="6" w:space="0" w:color="414142"/>
              <w:bottom w:val="outset" w:sz="6" w:space="0" w:color="414142"/>
              <w:right w:val="outset" w:sz="6" w:space="0" w:color="414142"/>
            </w:tcBorders>
          </w:tcPr>
          <w:p w:rsidR="007E165A" w:rsidRPr="008B3325" w:rsidRDefault="007E165A"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7E165A" w:rsidRPr="008B3325" w:rsidRDefault="007E165A"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3F6F7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3F6F7A" w:rsidRPr="00BA3C1F" w:rsidRDefault="003F6F7A" w:rsidP="007229BB">
            <w:pPr>
              <w:rPr>
                <w:rFonts w:eastAsia="Times New Roman" w:cs="Times New Roman"/>
                <w:sz w:val="24"/>
                <w:szCs w:val="24"/>
                <w:lang w:eastAsia="lv-LV"/>
              </w:rPr>
            </w:pPr>
            <w:r w:rsidRPr="00BA3C1F">
              <w:rPr>
                <w:rFonts w:eastAsia="Times New Roman" w:cs="Times New Roman"/>
                <w:sz w:val="24"/>
                <w:szCs w:val="24"/>
                <w:lang w:eastAsia="lv-LV"/>
              </w:rPr>
              <w:t>Komisijas regulas Nr.651/2014 1.pielikuma 2.pants</w:t>
            </w:r>
          </w:p>
        </w:tc>
        <w:tc>
          <w:tcPr>
            <w:tcW w:w="1100" w:type="pct"/>
            <w:gridSpan w:val="2"/>
            <w:tcBorders>
              <w:top w:val="outset" w:sz="6" w:space="0" w:color="414142"/>
              <w:left w:val="outset" w:sz="6" w:space="0" w:color="414142"/>
              <w:bottom w:val="outset" w:sz="6" w:space="0" w:color="414142"/>
              <w:right w:val="outset" w:sz="6" w:space="0" w:color="414142"/>
            </w:tcBorders>
          </w:tcPr>
          <w:p w:rsidR="003F6F7A" w:rsidRPr="00BA3C1F" w:rsidRDefault="003F6F7A" w:rsidP="006A1728">
            <w:pPr>
              <w:rPr>
                <w:rFonts w:eastAsia="Times New Roman" w:cs="Times New Roman"/>
                <w:sz w:val="24"/>
                <w:szCs w:val="24"/>
              </w:rPr>
            </w:pPr>
            <w:r w:rsidRPr="00BA3C1F">
              <w:rPr>
                <w:rFonts w:eastAsia="Times New Roman" w:cs="Times New Roman"/>
                <w:sz w:val="24"/>
                <w:szCs w:val="24"/>
              </w:rPr>
              <w:t>Ministr</w:t>
            </w:r>
            <w:r w:rsidR="00B952ED">
              <w:rPr>
                <w:rFonts w:eastAsia="Times New Roman" w:cs="Times New Roman"/>
                <w:sz w:val="24"/>
                <w:szCs w:val="24"/>
              </w:rPr>
              <w:t>u kabineta noteikumu p</w:t>
            </w:r>
            <w:r w:rsidR="00C851E0">
              <w:rPr>
                <w:rFonts w:eastAsia="Times New Roman" w:cs="Times New Roman"/>
                <w:sz w:val="24"/>
                <w:szCs w:val="24"/>
              </w:rPr>
              <w:t>rojekta 13</w:t>
            </w:r>
            <w:r w:rsidRPr="00BA3C1F">
              <w:rPr>
                <w:rFonts w:eastAsia="Times New Roman" w:cs="Times New Roman"/>
                <w:sz w:val="24"/>
                <w:szCs w:val="24"/>
              </w:rPr>
              <w:t>.punkts (tiek veikti grozījumi MK noteikumu Nr.1442 17. Un 18.punktā)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3F6F7A" w:rsidRPr="00BA3C1F" w:rsidRDefault="003F6F7A"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3F6F7A" w:rsidRPr="00BA3C1F" w:rsidRDefault="003F6F7A"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A9141D"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A9141D" w:rsidRPr="00BA3C1F" w:rsidRDefault="00A9141D" w:rsidP="007229BB">
            <w:pPr>
              <w:rPr>
                <w:rFonts w:eastAsia="Times New Roman" w:cs="Times New Roman"/>
                <w:sz w:val="24"/>
                <w:szCs w:val="24"/>
                <w:lang w:eastAsia="lv-LV"/>
              </w:rPr>
            </w:pPr>
            <w:r w:rsidRPr="00BA3C1F">
              <w:rPr>
                <w:rFonts w:eastAsia="Times New Roman" w:cs="Times New Roman"/>
                <w:sz w:val="24"/>
                <w:szCs w:val="24"/>
                <w:lang w:eastAsia="lv-LV"/>
              </w:rPr>
              <w:t>Komisijas regulas Nr.651/2014 8.panta 4.punkts</w:t>
            </w:r>
          </w:p>
        </w:tc>
        <w:tc>
          <w:tcPr>
            <w:tcW w:w="1100" w:type="pct"/>
            <w:gridSpan w:val="2"/>
            <w:tcBorders>
              <w:top w:val="outset" w:sz="6" w:space="0" w:color="414142"/>
              <w:left w:val="outset" w:sz="6" w:space="0" w:color="414142"/>
              <w:bottom w:val="outset" w:sz="6" w:space="0" w:color="414142"/>
              <w:right w:val="outset" w:sz="6" w:space="0" w:color="414142"/>
            </w:tcBorders>
          </w:tcPr>
          <w:p w:rsidR="00A9141D" w:rsidRPr="00BA3C1F" w:rsidRDefault="00A9141D" w:rsidP="006A1728">
            <w:pPr>
              <w:rPr>
                <w:rFonts w:eastAsia="Times New Roman" w:cs="Times New Roman"/>
                <w:sz w:val="24"/>
                <w:szCs w:val="24"/>
              </w:rPr>
            </w:pPr>
            <w:r w:rsidRPr="00BA3C1F">
              <w:rPr>
                <w:rFonts w:eastAsia="Times New Roman" w:cs="Times New Roman"/>
                <w:sz w:val="24"/>
                <w:szCs w:val="24"/>
              </w:rPr>
              <w:t>Minist</w:t>
            </w:r>
            <w:r w:rsidR="00BA3C1F" w:rsidRPr="00BA3C1F">
              <w:rPr>
                <w:rFonts w:eastAsia="Times New Roman" w:cs="Times New Roman"/>
                <w:sz w:val="24"/>
                <w:szCs w:val="24"/>
              </w:rPr>
              <w:t>r</w:t>
            </w:r>
            <w:r w:rsidR="00C851E0">
              <w:rPr>
                <w:rFonts w:eastAsia="Times New Roman" w:cs="Times New Roman"/>
                <w:sz w:val="24"/>
                <w:szCs w:val="24"/>
              </w:rPr>
              <w:t xml:space="preserve">u kabineta noteikumu projekta </w:t>
            </w:r>
            <w:r w:rsidR="00C851E0">
              <w:rPr>
                <w:rFonts w:eastAsia="Times New Roman" w:cs="Times New Roman"/>
                <w:sz w:val="24"/>
                <w:szCs w:val="24"/>
              </w:rPr>
              <w:lastRenderedPageBreak/>
              <w:t>12</w:t>
            </w:r>
            <w:r w:rsidRPr="00BA3C1F">
              <w:rPr>
                <w:rFonts w:eastAsia="Times New Roman" w:cs="Times New Roman"/>
                <w:sz w:val="24"/>
                <w:szCs w:val="24"/>
              </w:rPr>
              <w:t>.punkts (tiek papildināti MK noteikumi Nr.1442 ar 16.</w:t>
            </w:r>
            <w:r w:rsidRPr="00BA3C1F">
              <w:rPr>
                <w:rFonts w:eastAsia="Times New Roman" w:cs="Times New Roman"/>
                <w:sz w:val="24"/>
                <w:szCs w:val="24"/>
                <w:vertAlign w:val="superscript"/>
              </w:rPr>
              <w:t>1</w:t>
            </w:r>
            <w:r w:rsidRPr="00BA3C1F">
              <w:rPr>
                <w:rFonts w:eastAsia="Times New Roman" w:cs="Times New Roman"/>
                <w:sz w:val="24"/>
                <w:szCs w:val="24"/>
              </w:rPr>
              <w:t xml:space="preserve"> punktu)</w:t>
            </w:r>
          </w:p>
        </w:tc>
        <w:tc>
          <w:tcPr>
            <w:tcW w:w="1400" w:type="pct"/>
            <w:gridSpan w:val="2"/>
            <w:tcBorders>
              <w:top w:val="outset" w:sz="6" w:space="0" w:color="414142"/>
              <w:left w:val="outset" w:sz="6" w:space="0" w:color="414142"/>
              <w:bottom w:val="outset" w:sz="6" w:space="0" w:color="414142"/>
              <w:right w:val="outset" w:sz="6" w:space="0" w:color="414142"/>
            </w:tcBorders>
          </w:tcPr>
          <w:p w:rsidR="00A9141D" w:rsidRPr="00BA3C1F" w:rsidRDefault="00A9141D" w:rsidP="007229BB">
            <w:pPr>
              <w:rPr>
                <w:rFonts w:eastAsia="Times New Roman" w:cs="Times New Roman"/>
                <w:i/>
                <w:sz w:val="24"/>
                <w:szCs w:val="24"/>
              </w:rPr>
            </w:pPr>
            <w:r w:rsidRPr="00BA3C1F">
              <w:rPr>
                <w:rFonts w:eastAsia="Times New Roman" w:cs="Times New Roman"/>
                <w:i/>
                <w:sz w:val="24"/>
                <w:szCs w:val="24"/>
              </w:rPr>
              <w:lastRenderedPageBreak/>
              <w:t>Ieviesta pilnībā</w:t>
            </w:r>
          </w:p>
        </w:tc>
        <w:tc>
          <w:tcPr>
            <w:tcW w:w="1350" w:type="pct"/>
            <w:tcBorders>
              <w:top w:val="outset" w:sz="6" w:space="0" w:color="414142"/>
              <w:left w:val="outset" w:sz="6" w:space="0" w:color="414142"/>
              <w:bottom w:val="outset" w:sz="6" w:space="0" w:color="414142"/>
              <w:right w:val="outset" w:sz="6" w:space="0" w:color="414142"/>
            </w:tcBorders>
          </w:tcPr>
          <w:p w:rsidR="00A9141D" w:rsidRPr="00BA3C1F" w:rsidRDefault="00A9141D"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E8145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cs="Times New Roman"/>
                <w:sz w:val="24"/>
                <w:szCs w:val="24"/>
                <w:lang w:eastAsia="lv-LV"/>
              </w:rPr>
            </w:pPr>
            <w:r w:rsidRPr="00BA3C1F">
              <w:rPr>
                <w:rFonts w:eastAsia="Times New Roman" w:cs="Times New Roman"/>
                <w:sz w:val="24"/>
                <w:szCs w:val="24"/>
                <w:lang w:eastAsia="lv-LV"/>
              </w:rPr>
              <w:lastRenderedPageBreak/>
              <w:t>Komisijas regulas 651/2014 2.panta 24.punkts</w:t>
            </w:r>
          </w:p>
        </w:tc>
        <w:tc>
          <w:tcPr>
            <w:tcW w:w="1100" w:type="pct"/>
            <w:gridSpan w:val="2"/>
            <w:tcBorders>
              <w:top w:val="outset" w:sz="6" w:space="0" w:color="414142"/>
              <w:left w:val="outset" w:sz="6" w:space="0" w:color="414142"/>
              <w:bottom w:val="outset" w:sz="6" w:space="0" w:color="414142"/>
              <w:right w:val="outset" w:sz="6" w:space="0" w:color="414142"/>
            </w:tcBorders>
          </w:tcPr>
          <w:p w:rsidR="00E8145A" w:rsidRPr="00BA3C1F" w:rsidRDefault="00E8145A" w:rsidP="006A1728">
            <w:pPr>
              <w:rPr>
                <w:rFonts w:eastAsia="Times New Roman" w:cs="Times New Roman"/>
                <w:sz w:val="24"/>
                <w:szCs w:val="24"/>
              </w:rPr>
            </w:pPr>
            <w:r w:rsidRPr="00BA3C1F">
              <w:rPr>
                <w:rFonts w:eastAsia="Times New Roman" w:cs="Times New Roman"/>
                <w:sz w:val="24"/>
                <w:szCs w:val="24"/>
              </w:rPr>
              <w:t>Ministr</w:t>
            </w:r>
            <w:r w:rsidR="00BA3C1F" w:rsidRPr="00BA3C1F">
              <w:rPr>
                <w:rFonts w:eastAsia="Times New Roman" w:cs="Times New Roman"/>
                <w:sz w:val="24"/>
                <w:szCs w:val="24"/>
              </w:rPr>
              <w:t xml:space="preserve">u kabineta </w:t>
            </w:r>
            <w:r w:rsidR="00C851E0">
              <w:rPr>
                <w:rFonts w:eastAsia="Times New Roman" w:cs="Times New Roman"/>
                <w:sz w:val="24"/>
                <w:szCs w:val="24"/>
              </w:rPr>
              <w:t>noteikumu projekta 13</w:t>
            </w:r>
            <w:r w:rsidRPr="00BA3C1F">
              <w:rPr>
                <w:rFonts w:eastAsia="Times New Roman" w:cs="Times New Roman"/>
                <w:sz w:val="24"/>
                <w:szCs w:val="24"/>
              </w:rPr>
              <w:t>.punkts (tiek veikti grozījumi MK noteikumu Nr.1442 18.punktā)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E8145A" w:rsidRPr="00BA3C1F" w:rsidRDefault="00E8145A"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7E165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7E165A" w:rsidRPr="008B3325" w:rsidRDefault="0090299E"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Nr.651/2014 14.panta 13.punkts</w:t>
            </w:r>
          </w:p>
        </w:tc>
        <w:tc>
          <w:tcPr>
            <w:tcW w:w="1100" w:type="pct"/>
            <w:gridSpan w:val="2"/>
            <w:tcBorders>
              <w:top w:val="outset" w:sz="6" w:space="0" w:color="414142"/>
              <w:left w:val="outset" w:sz="6" w:space="0" w:color="414142"/>
              <w:bottom w:val="outset" w:sz="6" w:space="0" w:color="414142"/>
              <w:right w:val="outset" w:sz="6" w:space="0" w:color="414142"/>
            </w:tcBorders>
          </w:tcPr>
          <w:p w:rsidR="007E165A" w:rsidRPr="008B3325" w:rsidRDefault="0090299E" w:rsidP="00365D2C">
            <w:pPr>
              <w:rPr>
                <w:rFonts w:eastAsia="Times New Roman" w:cs="Times New Roman"/>
                <w:sz w:val="24"/>
                <w:szCs w:val="24"/>
              </w:rPr>
            </w:pPr>
            <w:r w:rsidRPr="008B3325">
              <w:rPr>
                <w:rFonts w:eastAsia="Times New Roman" w:cs="Times New Roman"/>
                <w:sz w:val="24"/>
                <w:szCs w:val="24"/>
              </w:rPr>
              <w:t xml:space="preserve">Ministru </w:t>
            </w:r>
            <w:r w:rsidR="00CF7421">
              <w:rPr>
                <w:rFonts w:eastAsia="Times New Roman" w:cs="Times New Roman"/>
                <w:sz w:val="24"/>
                <w:szCs w:val="24"/>
              </w:rPr>
              <w:t xml:space="preserve">kabineta noteikumu projekta </w:t>
            </w:r>
            <w:r w:rsidR="00C851E0">
              <w:rPr>
                <w:rFonts w:eastAsia="Times New Roman" w:cs="Times New Roman"/>
                <w:sz w:val="24"/>
                <w:szCs w:val="24"/>
              </w:rPr>
              <w:t>14</w:t>
            </w:r>
            <w:r w:rsidRPr="008B3325">
              <w:rPr>
                <w:rFonts w:eastAsia="Times New Roman" w:cs="Times New Roman"/>
                <w:sz w:val="24"/>
                <w:szCs w:val="24"/>
              </w:rPr>
              <w:t>.punkts</w:t>
            </w:r>
            <w:r w:rsidR="00365D2C" w:rsidRPr="008B3325">
              <w:rPr>
                <w:rFonts w:eastAsia="Times New Roman" w:cs="Times New Roman"/>
                <w:sz w:val="24"/>
                <w:szCs w:val="24"/>
              </w:rPr>
              <w:t xml:space="preserve"> (tiek papild</w:t>
            </w:r>
            <w:r w:rsidR="006A1728" w:rsidRPr="008B3325">
              <w:rPr>
                <w:rFonts w:eastAsia="Times New Roman" w:cs="Times New Roman"/>
                <w:sz w:val="24"/>
                <w:szCs w:val="24"/>
              </w:rPr>
              <w:t>ināti MK noteikumi Nr.1442 ar 19</w:t>
            </w:r>
            <w:r w:rsidR="00CF7421">
              <w:rPr>
                <w:rFonts w:eastAsia="Times New Roman" w:cs="Times New Roman"/>
                <w:sz w:val="24"/>
                <w:szCs w:val="24"/>
              </w:rPr>
              <w:t>.punktā</w:t>
            </w:r>
            <w:r w:rsidR="00365D2C" w:rsidRPr="008B3325">
              <w:rPr>
                <w:rFonts w:eastAsia="Times New Roman" w:cs="Times New Roman"/>
                <w:sz w:val="24"/>
                <w:szCs w:val="24"/>
              </w:rPr>
              <w:t xml:space="preserve">) </w:t>
            </w:r>
          </w:p>
        </w:tc>
        <w:tc>
          <w:tcPr>
            <w:tcW w:w="1400" w:type="pct"/>
            <w:gridSpan w:val="2"/>
            <w:tcBorders>
              <w:top w:val="outset" w:sz="6" w:space="0" w:color="414142"/>
              <w:left w:val="outset" w:sz="6" w:space="0" w:color="414142"/>
              <w:bottom w:val="outset" w:sz="6" w:space="0" w:color="414142"/>
              <w:right w:val="outset" w:sz="6" w:space="0" w:color="414142"/>
            </w:tcBorders>
          </w:tcPr>
          <w:p w:rsidR="007E165A" w:rsidRPr="008B3325" w:rsidRDefault="0090299E"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7E165A" w:rsidRPr="008B3325" w:rsidRDefault="0090299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90299E"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Nr.1407/2013 1.panta 1.punkts un Komisijas regulas 651/2014 1.panta 2. un 3.punkts</w:t>
            </w:r>
          </w:p>
        </w:tc>
        <w:tc>
          <w:tcPr>
            <w:tcW w:w="11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rPr>
            </w:pPr>
            <w:r w:rsidRPr="008B3325">
              <w:rPr>
                <w:rFonts w:eastAsia="Times New Roman" w:cs="Times New Roman"/>
                <w:sz w:val="24"/>
                <w:szCs w:val="24"/>
              </w:rPr>
              <w:t xml:space="preserve">Ministru </w:t>
            </w:r>
            <w:r w:rsidR="00C851E0">
              <w:rPr>
                <w:rFonts w:eastAsia="Times New Roman" w:cs="Times New Roman"/>
                <w:sz w:val="24"/>
                <w:szCs w:val="24"/>
              </w:rPr>
              <w:t>kabineta noteikumu projekta 8</w:t>
            </w:r>
            <w:r w:rsidRPr="008B3325">
              <w:rPr>
                <w:rFonts w:eastAsia="Times New Roman" w:cs="Times New Roman"/>
                <w:sz w:val="24"/>
                <w:szCs w:val="24"/>
              </w:rPr>
              <w:t>.punkts</w:t>
            </w:r>
            <w:r w:rsidR="00365D2C" w:rsidRPr="008B3325">
              <w:rPr>
                <w:rFonts w:eastAsia="Times New Roman" w:cs="Times New Roman"/>
                <w:sz w:val="24"/>
                <w:szCs w:val="24"/>
              </w:rPr>
              <w:t xml:space="preserve"> (tiek veikti grozījum</w:t>
            </w:r>
            <w:r w:rsidR="00CF7421">
              <w:rPr>
                <w:rFonts w:eastAsia="Times New Roman" w:cs="Times New Roman"/>
                <w:sz w:val="24"/>
                <w:szCs w:val="24"/>
              </w:rPr>
              <w:t>i MK noteikumu Nr.1442 11.punktā</w:t>
            </w:r>
            <w:r w:rsidR="00365D2C" w:rsidRPr="008B3325">
              <w:rPr>
                <w:rFonts w:eastAsia="Times New Roman" w:cs="Times New Roman"/>
                <w:sz w:val="24"/>
                <w:szCs w:val="24"/>
              </w:rPr>
              <w:t>)</w:t>
            </w:r>
          </w:p>
        </w:tc>
        <w:tc>
          <w:tcPr>
            <w:tcW w:w="14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90299E"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Nr.651/2014 2.panta 18.punkts</w:t>
            </w:r>
          </w:p>
        </w:tc>
        <w:tc>
          <w:tcPr>
            <w:tcW w:w="11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rPr>
            </w:pPr>
            <w:r w:rsidRPr="008B3325">
              <w:rPr>
                <w:rFonts w:eastAsia="Times New Roman" w:cs="Times New Roman"/>
                <w:sz w:val="24"/>
                <w:szCs w:val="24"/>
              </w:rPr>
              <w:t>Ministru k</w:t>
            </w:r>
            <w:r w:rsidR="00CF7421">
              <w:rPr>
                <w:rFonts w:eastAsia="Times New Roman" w:cs="Times New Roman"/>
                <w:sz w:val="24"/>
                <w:szCs w:val="24"/>
              </w:rPr>
              <w:t>abineta noteikumu projekta</w:t>
            </w:r>
            <w:r w:rsidR="00C851E0">
              <w:rPr>
                <w:rFonts w:eastAsia="Times New Roman" w:cs="Times New Roman"/>
                <w:sz w:val="24"/>
                <w:szCs w:val="24"/>
              </w:rPr>
              <w:t xml:space="preserve"> 9</w:t>
            </w:r>
            <w:r w:rsidR="0067068F" w:rsidRPr="008B3325">
              <w:rPr>
                <w:rFonts w:eastAsia="Times New Roman" w:cs="Times New Roman"/>
                <w:sz w:val="24"/>
                <w:szCs w:val="24"/>
              </w:rPr>
              <w:t>.</w:t>
            </w:r>
            <w:r w:rsidRPr="008B3325">
              <w:rPr>
                <w:rFonts w:eastAsia="Times New Roman" w:cs="Times New Roman"/>
                <w:sz w:val="24"/>
                <w:szCs w:val="24"/>
              </w:rPr>
              <w:t>punkts</w:t>
            </w:r>
            <w:r w:rsidR="00365D2C" w:rsidRPr="008B3325">
              <w:rPr>
                <w:rFonts w:eastAsia="Times New Roman" w:cs="Times New Roman"/>
                <w:sz w:val="24"/>
                <w:szCs w:val="24"/>
              </w:rPr>
              <w:t xml:space="preserve"> (tiek veikti grozījumi MK noteikumu </w:t>
            </w:r>
            <w:r w:rsidR="00CF7421">
              <w:rPr>
                <w:rFonts w:eastAsia="Times New Roman" w:cs="Times New Roman"/>
                <w:sz w:val="24"/>
                <w:szCs w:val="24"/>
              </w:rPr>
              <w:t xml:space="preserve">Nr.1442 </w:t>
            </w:r>
            <w:r w:rsidR="00365D2C" w:rsidRPr="008B3325">
              <w:rPr>
                <w:rFonts w:eastAsia="Times New Roman" w:cs="Times New Roman"/>
                <w:sz w:val="24"/>
                <w:szCs w:val="24"/>
              </w:rPr>
              <w:t>12.punktā)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90299E"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Nr.651/2014 1.panta 4.punkta „a” apakšpunkts</w:t>
            </w:r>
          </w:p>
        </w:tc>
        <w:tc>
          <w:tcPr>
            <w:tcW w:w="11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sz w:val="24"/>
                <w:szCs w:val="24"/>
              </w:rPr>
            </w:pPr>
            <w:r w:rsidRPr="008B3325">
              <w:rPr>
                <w:rFonts w:eastAsia="Times New Roman" w:cs="Times New Roman"/>
                <w:sz w:val="24"/>
                <w:szCs w:val="24"/>
              </w:rPr>
              <w:t>Ministru k</w:t>
            </w:r>
            <w:r w:rsidR="00C851E0">
              <w:rPr>
                <w:rFonts w:eastAsia="Times New Roman" w:cs="Times New Roman"/>
                <w:sz w:val="24"/>
                <w:szCs w:val="24"/>
              </w:rPr>
              <w:t>abineta noteikumu projekta 9</w:t>
            </w:r>
            <w:r w:rsidR="0067068F" w:rsidRPr="008B3325">
              <w:rPr>
                <w:rFonts w:eastAsia="Times New Roman" w:cs="Times New Roman"/>
                <w:sz w:val="24"/>
                <w:szCs w:val="24"/>
              </w:rPr>
              <w:t>.</w:t>
            </w:r>
            <w:r w:rsidRPr="008B3325">
              <w:rPr>
                <w:rFonts w:eastAsia="Times New Roman" w:cs="Times New Roman"/>
                <w:sz w:val="24"/>
                <w:szCs w:val="24"/>
              </w:rPr>
              <w:t>punkts</w:t>
            </w:r>
            <w:r w:rsidR="00365D2C" w:rsidRPr="008B3325">
              <w:rPr>
                <w:rFonts w:eastAsia="Times New Roman" w:cs="Times New Roman"/>
                <w:sz w:val="24"/>
                <w:szCs w:val="24"/>
              </w:rPr>
              <w:t xml:space="preserve"> (tiek veikti grozījumi MK noteikumu </w:t>
            </w:r>
            <w:r w:rsidR="00CF7421">
              <w:rPr>
                <w:rFonts w:eastAsia="Times New Roman" w:cs="Times New Roman"/>
                <w:sz w:val="24"/>
                <w:szCs w:val="24"/>
              </w:rPr>
              <w:t xml:space="preserve">Nr.1442 </w:t>
            </w:r>
            <w:r w:rsidR="00365D2C" w:rsidRPr="008B3325">
              <w:rPr>
                <w:rFonts w:eastAsia="Times New Roman" w:cs="Times New Roman"/>
                <w:sz w:val="24"/>
                <w:szCs w:val="24"/>
              </w:rPr>
              <w:t>12.punktā)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 xml:space="preserve">Ieviesta pilnībā </w:t>
            </w:r>
          </w:p>
        </w:tc>
        <w:tc>
          <w:tcPr>
            <w:tcW w:w="1350" w:type="pct"/>
            <w:tcBorders>
              <w:top w:val="outset" w:sz="6" w:space="0" w:color="414142"/>
              <w:left w:val="outset" w:sz="6" w:space="0" w:color="414142"/>
              <w:bottom w:val="outset" w:sz="6" w:space="0" w:color="414142"/>
              <w:right w:val="outset" w:sz="6" w:space="0" w:color="414142"/>
            </w:tcBorders>
          </w:tcPr>
          <w:p w:rsidR="0090299E" w:rsidRPr="008B3325" w:rsidRDefault="0090299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2C6DA9"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2C6DA9" w:rsidRPr="008B3325" w:rsidRDefault="002C6DA9" w:rsidP="007229BB">
            <w:pPr>
              <w:rPr>
                <w:rFonts w:eastAsia="Times New Roman" w:cs="Times New Roman"/>
                <w:sz w:val="24"/>
                <w:szCs w:val="24"/>
                <w:lang w:eastAsia="lv-LV"/>
              </w:rPr>
            </w:pPr>
            <w:r w:rsidRPr="008B3325">
              <w:rPr>
                <w:rFonts w:eastAsia="Times New Roman" w:cs="Times New Roman"/>
                <w:sz w:val="24"/>
                <w:szCs w:val="24"/>
                <w:lang w:eastAsia="lv-LV"/>
              </w:rPr>
              <w:t>Komisijas regulas N</w:t>
            </w:r>
            <w:r w:rsidR="000E25AB">
              <w:rPr>
                <w:rFonts w:eastAsia="Times New Roman" w:cs="Times New Roman"/>
                <w:sz w:val="24"/>
                <w:szCs w:val="24"/>
                <w:lang w:eastAsia="lv-LV"/>
              </w:rPr>
              <w:t>r.651/2014 21., 22. un 23.pants</w:t>
            </w:r>
          </w:p>
        </w:tc>
        <w:tc>
          <w:tcPr>
            <w:tcW w:w="1100" w:type="pct"/>
            <w:gridSpan w:val="2"/>
            <w:tcBorders>
              <w:top w:val="outset" w:sz="6" w:space="0" w:color="414142"/>
              <w:left w:val="outset" w:sz="6" w:space="0" w:color="414142"/>
              <w:bottom w:val="outset" w:sz="6" w:space="0" w:color="414142"/>
              <w:right w:val="outset" w:sz="6" w:space="0" w:color="414142"/>
            </w:tcBorders>
          </w:tcPr>
          <w:p w:rsidR="002C6DA9" w:rsidRPr="008B3325" w:rsidRDefault="002C6DA9" w:rsidP="0067068F">
            <w:pPr>
              <w:rPr>
                <w:rFonts w:eastAsia="Times New Roman" w:cs="Times New Roman"/>
                <w:sz w:val="24"/>
                <w:szCs w:val="24"/>
              </w:rPr>
            </w:pPr>
            <w:r w:rsidRPr="008B3325">
              <w:rPr>
                <w:rFonts w:eastAsia="Times New Roman" w:cs="Times New Roman"/>
                <w:sz w:val="24"/>
                <w:szCs w:val="24"/>
              </w:rPr>
              <w:t>Ministru</w:t>
            </w:r>
            <w:r w:rsidR="00C851E0">
              <w:rPr>
                <w:rFonts w:eastAsia="Times New Roman" w:cs="Times New Roman"/>
                <w:sz w:val="24"/>
                <w:szCs w:val="24"/>
              </w:rPr>
              <w:t xml:space="preserve"> kabineta noteikumu projekta </w:t>
            </w:r>
            <w:r w:rsidR="00C851E0">
              <w:rPr>
                <w:rFonts w:eastAsia="Times New Roman" w:cs="Times New Roman"/>
                <w:sz w:val="24"/>
                <w:szCs w:val="24"/>
              </w:rPr>
              <w:lastRenderedPageBreak/>
              <w:t>12</w:t>
            </w:r>
            <w:r w:rsidR="0067068F" w:rsidRPr="008B3325">
              <w:rPr>
                <w:rFonts w:eastAsia="Times New Roman" w:cs="Times New Roman"/>
                <w:sz w:val="24"/>
                <w:szCs w:val="24"/>
              </w:rPr>
              <w:t>.</w:t>
            </w:r>
            <w:r w:rsidRPr="008B3325">
              <w:rPr>
                <w:rFonts w:eastAsia="Times New Roman" w:cs="Times New Roman"/>
                <w:sz w:val="24"/>
                <w:szCs w:val="24"/>
              </w:rPr>
              <w:t>punkts</w:t>
            </w:r>
            <w:r w:rsidR="00365D2C" w:rsidRPr="008B3325">
              <w:rPr>
                <w:rFonts w:eastAsia="Times New Roman" w:cs="Times New Roman"/>
                <w:sz w:val="24"/>
                <w:szCs w:val="24"/>
              </w:rPr>
              <w:t xml:space="preserve"> (tiek papild</w:t>
            </w:r>
            <w:r w:rsidR="0067068F" w:rsidRPr="008B3325">
              <w:rPr>
                <w:rFonts w:eastAsia="Times New Roman" w:cs="Times New Roman"/>
                <w:sz w:val="24"/>
                <w:szCs w:val="24"/>
              </w:rPr>
              <w:t>ināti MK noteikumi Nr.1442 ar 16.</w:t>
            </w:r>
            <w:r w:rsidR="0067068F" w:rsidRPr="008B3325">
              <w:rPr>
                <w:rFonts w:eastAsia="Times New Roman" w:cs="Times New Roman"/>
                <w:sz w:val="24"/>
                <w:szCs w:val="24"/>
                <w:vertAlign w:val="superscript"/>
              </w:rPr>
              <w:t>1</w:t>
            </w:r>
            <w:r w:rsidR="0067068F" w:rsidRPr="008B3325">
              <w:rPr>
                <w:rFonts w:eastAsia="Times New Roman" w:cs="Times New Roman"/>
                <w:sz w:val="24"/>
                <w:szCs w:val="24"/>
              </w:rPr>
              <w:t xml:space="preserve"> </w:t>
            </w:r>
            <w:r w:rsidR="00365D2C" w:rsidRPr="008B3325">
              <w:rPr>
                <w:rFonts w:eastAsia="Times New Roman" w:cs="Times New Roman"/>
                <w:sz w:val="24"/>
                <w:szCs w:val="24"/>
              </w:rPr>
              <w:t>punktu)</w:t>
            </w:r>
          </w:p>
        </w:tc>
        <w:tc>
          <w:tcPr>
            <w:tcW w:w="1400" w:type="pct"/>
            <w:gridSpan w:val="2"/>
            <w:tcBorders>
              <w:top w:val="outset" w:sz="6" w:space="0" w:color="414142"/>
              <w:left w:val="outset" w:sz="6" w:space="0" w:color="414142"/>
              <w:bottom w:val="outset" w:sz="6" w:space="0" w:color="414142"/>
              <w:right w:val="outset" w:sz="6" w:space="0" w:color="414142"/>
            </w:tcBorders>
          </w:tcPr>
          <w:p w:rsidR="002C6DA9" w:rsidRPr="008B3325" w:rsidRDefault="002C6DA9" w:rsidP="007229BB">
            <w:pPr>
              <w:rPr>
                <w:rFonts w:eastAsia="Times New Roman" w:cs="Times New Roman"/>
                <w:i/>
                <w:sz w:val="24"/>
                <w:szCs w:val="24"/>
              </w:rPr>
            </w:pPr>
            <w:r w:rsidRPr="008B3325">
              <w:rPr>
                <w:rFonts w:eastAsia="Times New Roman" w:cs="Times New Roman"/>
                <w:i/>
                <w:sz w:val="24"/>
                <w:szCs w:val="24"/>
              </w:rPr>
              <w:lastRenderedPageBreak/>
              <w:t>Ieviesta pilnībā</w:t>
            </w:r>
          </w:p>
        </w:tc>
        <w:tc>
          <w:tcPr>
            <w:tcW w:w="1350" w:type="pct"/>
            <w:tcBorders>
              <w:top w:val="outset" w:sz="6" w:space="0" w:color="414142"/>
              <w:left w:val="outset" w:sz="6" w:space="0" w:color="414142"/>
              <w:bottom w:val="outset" w:sz="6" w:space="0" w:color="414142"/>
              <w:right w:val="outset" w:sz="6" w:space="0" w:color="414142"/>
            </w:tcBorders>
          </w:tcPr>
          <w:p w:rsidR="002C6DA9" w:rsidRPr="008B3325" w:rsidRDefault="002C6DA9"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330F72"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330F72" w:rsidRPr="008B3325" w:rsidRDefault="00330F72" w:rsidP="007229BB">
            <w:pPr>
              <w:rPr>
                <w:rFonts w:eastAsia="Times New Roman" w:cs="Times New Roman"/>
                <w:sz w:val="24"/>
                <w:szCs w:val="24"/>
                <w:lang w:eastAsia="lv-LV"/>
              </w:rPr>
            </w:pPr>
            <w:r>
              <w:rPr>
                <w:rFonts w:eastAsia="Times New Roman" w:cs="Times New Roman"/>
                <w:sz w:val="24"/>
                <w:szCs w:val="24"/>
                <w:lang w:eastAsia="lv-LV"/>
              </w:rPr>
              <w:lastRenderedPageBreak/>
              <w:t>Komisijas regulas Nr.651/2014 6.panta 2.punkts</w:t>
            </w:r>
          </w:p>
        </w:tc>
        <w:tc>
          <w:tcPr>
            <w:tcW w:w="1100" w:type="pct"/>
            <w:gridSpan w:val="2"/>
            <w:tcBorders>
              <w:top w:val="outset" w:sz="6" w:space="0" w:color="414142"/>
              <w:left w:val="outset" w:sz="6" w:space="0" w:color="414142"/>
              <w:bottom w:val="outset" w:sz="6" w:space="0" w:color="414142"/>
              <w:right w:val="outset" w:sz="6" w:space="0" w:color="414142"/>
            </w:tcBorders>
          </w:tcPr>
          <w:p w:rsidR="00330F72" w:rsidRPr="008B3325" w:rsidRDefault="00330F72" w:rsidP="0067068F">
            <w:pPr>
              <w:rPr>
                <w:rFonts w:eastAsia="Times New Roman" w:cs="Times New Roman"/>
                <w:sz w:val="24"/>
                <w:szCs w:val="24"/>
              </w:rPr>
            </w:pPr>
            <w:r>
              <w:rPr>
                <w:rFonts w:eastAsia="Times New Roman" w:cs="Times New Roman"/>
                <w:sz w:val="24"/>
                <w:szCs w:val="24"/>
              </w:rPr>
              <w:t>Ministr</w:t>
            </w:r>
            <w:r w:rsidR="00C851E0">
              <w:rPr>
                <w:rFonts w:eastAsia="Times New Roman" w:cs="Times New Roman"/>
                <w:sz w:val="24"/>
                <w:szCs w:val="24"/>
              </w:rPr>
              <w:t>u kabineta noteikumu projekta 15</w:t>
            </w:r>
            <w:r>
              <w:rPr>
                <w:rFonts w:eastAsia="Times New Roman" w:cs="Times New Roman"/>
                <w:sz w:val="24"/>
                <w:szCs w:val="24"/>
              </w:rPr>
              <w:t>.punkts (tiek aizstāts MK noteikumu Nr.1442 20.punkts)</w:t>
            </w:r>
          </w:p>
        </w:tc>
        <w:tc>
          <w:tcPr>
            <w:tcW w:w="1400" w:type="pct"/>
            <w:gridSpan w:val="2"/>
            <w:tcBorders>
              <w:top w:val="outset" w:sz="6" w:space="0" w:color="414142"/>
              <w:left w:val="outset" w:sz="6" w:space="0" w:color="414142"/>
              <w:bottom w:val="outset" w:sz="6" w:space="0" w:color="414142"/>
              <w:right w:val="outset" w:sz="6" w:space="0" w:color="414142"/>
            </w:tcBorders>
          </w:tcPr>
          <w:p w:rsidR="00330F72" w:rsidRPr="008B3325" w:rsidRDefault="007101F2" w:rsidP="007229BB">
            <w:pPr>
              <w:rPr>
                <w:rFonts w:eastAsia="Times New Roman" w:cs="Times New Roman"/>
                <w:i/>
                <w:sz w:val="24"/>
                <w:szCs w:val="24"/>
              </w:rPr>
            </w:pPr>
            <w:r>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330F72" w:rsidRPr="008B3325" w:rsidRDefault="007101F2" w:rsidP="007229BB">
            <w:pPr>
              <w:rPr>
                <w:rFonts w:eastAsia="Times New Roman" w:cs="Times New Roman"/>
                <w:i/>
                <w:sz w:val="24"/>
                <w:szCs w:val="24"/>
              </w:rPr>
            </w:pPr>
            <w:r>
              <w:rPr>
                <w:rFonts w:eastAsia="Times New Roman" w:cs="Times New Roman"/>
                <w:i/>
                <w:sz w:val="24"/>
                <w:szCs w:val="24"/>
              </w:rPr>
              <w:t>Neparedz stingrākas prasības</w:t>
            </w:r>
          </w:p>
        </w:tc>
      </w:tr>
      <w:tr w:rsidR="0012374B"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12374B" w:rsidRPr="00BA3C1F" w:rsidRDefault="0012374B" w:rsidP="007229BB">
            <w:pPr>
              <w:rPr>
                <w:rFonts w:eastAsia="Times New Roman" w:cs="Times New Roman"/>
                <w:sz w:val="24"/>
                <w:szCs w:val="24"/>
                <w:lang w:eastAsia="lv-LV"/>
              </w:rPr>
            </w:pPr>
            <w:r w:rsidRPr="00BA3C1F">
              <w:rPr>
                <w:rFonts w:eastAsia="Times New Roman" w:cs="Times New Roman"/>
                <w:sz w:val="24"/>
                <w:szCs w:val="24"/>
                <w:lang w:eastAsia="lv-LV"/>
              </w:rPr>
              <w:t>Komisijas regulas Nr.651/2014 14.panta 7.punkts</w:t>
            </w:r>
          </w:p>
        </w:tc>
        <w:tc>
          <w:tcPr>
            <w:tcW w:w="1100" w:type="pct"/>
            <w:gridSpan w:val="2"/>
            <w:tcBorders>
              <w:top w:val="outset" w:sz="6" w:space="0" w:color="414142"/>
              <w:left w:val="outset" w:sz="6" w:space="0" w:color="414142"/>
              <w:bottom w:val="outset" w:sz="6" w:space="0" w:color="414142"/>
              <w:right w:val="outset" w:sz="6" w:space="0" w:color="414142"/>
            </w:tcBorders>
          </w:tcPr>
          <w:p w:rsidR="0012374B" w:rsidRPr="00BA3C1F" w:rsidRDefault="0012374B" w:rsidP="0067068F">
            <w:pPr>
              <w:rPr>
                <w:rFonts w:eastAsia="Times New Roman" w:cs="Times New Roman"/>
                <w:sz w:val="24"/>
                <w:szCs w:val="24"/>
              </w:rPr>
            </w:pPr>
            <w:r w:rsidRPr="00BA3C1F">
              <w:rPr>
                <w:rFonts w:eastAsia="Times New Roman" w:cs="Times New Roman"/>
                <w:sz w:val="24"/>
                <w:szCs w:val="24"/>
              </w:rPr>
              <w:t>Ministr</w:t>
            </w:r>
            <w:r w:rsidR="005C7080">
              <w:rPr>
                <w:rFonts w:eastAsia="Times New Roman" w:cs="Times New Roman"/>
                <w:sz w:val="24"/>
                <w:szCs w:val="24"/>
              </w:rPr>
              <w:t xml:space="preserve">u </w:t>
            </w:r>
            <w:r w:rsidR="00C851E0">
              <w:rPr>
                <w:rFonts w:eastAsia="Times New Roman" w:cs="Times New Roman"/>
                <w:sz w:val="24"/>
                <w:szCs w:val="24"/>
              </w:rPr>
              <w:t>kabineta noteikumu projekta 23</w:t>
            </w:r>
            <w:r w:rsidRPr="00BA3C1F">
              <w:rPr>
                <w:rFonts w:eastAsia="Times New Roman" w:cs="Times New Roman"/>
                <w:sz w:val="24"/>
                <w:szCs w:val="24"/>
              </w:rPr>
              <w:t>.punkts (tiek papildināti MK noteikumi Nr.1442 ar 26.</w:t>
            </w:r>
            <w:r w:rsidRPr="00BA3C1F">
              <w:rPr>
                <w:rFonts w:eastAsia="Times New Roman" w:cs="Times New Roman"/>
                <w:sz w:val="24"/>
                <w:szCs w:val="24"/>
                <w:vertAlign w:val="superscript"/>
              </w:rPr>
              <w:t>2</w:t>
            </w:r>
            <w:r w:rsidRPr="00BA3C1F">
              <w:rPr>
                <w:rFonts w:eastAsia="Times New Roman" w:cs="Times New Roman"/>
                <w:sz w:val="24"/>
                <w:szCs w:val="24"/>
              </w:rPr>
              <w:t xml:space="preserve"> punktu)</w:t>
            </w:r>
          </w:p>
        </w:tc>
        <w:tc>
          <w:tcPr>
            <w:tcW w:w="1400" w:type="pct"/>
            <w:gridSpan w:val="2"/>
            <w:tcBorders>
              <w:top w:val="outset" w:sz="6" w:space="0" w:color="414142"/>
              <w:left w:val="outset" w:sz="6" w:space="0" w:color="414142"/>
              <w:bottom w:val="outset" w:sz="6" w:space="0" w:color="414142"/>
              <w:right w:val="outset" w:sz="6" w:space="0" w:color="414142"/>
            </w:tcBorders>
          </w:tcPr>
          <w:p w:rsidR="0012374B" w:rsidRPr="00BA3C1F" w:rsidRDefault="0012374B"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12374B" w:rsidRPr="00BA3C1F" w:rsidRDefault="0012374B"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2C6DA9"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tcPr>
          <w:p w:rsidR="002C6DA9" w:rsidRPr="008B3325" w:rsidRDefault="000C48EC" w:rsidP="003F6F7A">
            <w:pPr>
              <w:rPr>
                <w:rFonts w:eastAsia="Times New Roman" w:cs="Times New Roman"/>
                <w:sz w:val="24"/>
                <w:szCs w:val="24"/>
                <w:lang w:eastAsia="lv-LV"/>
              </w:rPr>
            </w:pPr>
            <w:r w:rsidRPr="008B3325">
              <w:rPr>
                <w:rFonts w:eastAsia="Times New Roman" w:cs="Times New Roman"/>
                <w:sz w:val="24"/>
                <w:szCs w:val="24"/>
                <w:lang w:eastAsia="lv-LV"/>
              </w:rPr>
              <w:t>Komisijas regul</w:t>
            </w:r>
            <w:r w:rsidR="003F6F7A">
              <w:rPr>
                <w:rFonts w:eastAsia="Times New Roman" w:cs="Times New Roman"/>
                <w:sz w:val="24"/>
                <w:szCs w:val="24"/>
                <w:lang w:eastAsia="lv-LV"/>
              </w:rPr>
              <w:t>as Nr.651/2014 14.panta 8.punkts</w:t>
            </w:r>
          </w:p>
        </w:tc>
        <w:tc>
          <w:tcPr>
            <w:tcW w:w="1100" w:type="pct"/>
            <w:gridSpan w:val="2"/>
            <w:tcBorders>
              <w:top w:val="outset" w:sz="6" w:space="0" w:color="414142"/>
              <w:left w:val="outset" w:sz="6" w:space="0" w:color="414142"/>
              <w:bottom w:val="outset" w:sz="6" w:space="0" w:color="414142"/>
              <w:right w:val="outset" w:sz="6" w:space="0" w:color="414142"/>
            </w:tcBorders>
          </w:tcPr>
          <w:p w:rsidR="002C6DA9" w:rsidRPr="008B3325" w:rsidRDefault="000C48EC" w:rsidP="007229BB">
            <w:pPr>
              <w:rPr>
                <w:rFonts w:eastAsia="Times New Roman" w:cs="Times New Roman"/>
                <w:sz w:val="24"/>
                <w:szCs w:val="24"/>
              </w:rPr>
            </w:pPr>
            <w:r w:rsidRPr="008B3325">
              <w:rPr>
                <w:rFonts w:eastAsia="Times New Roman" w:cs="Times New Roman"/>
                <w:sz w:val="24"/>
                <w:szCs w:val="24"/>
              </w:rPr>
              <w:t>Ministru kabine</w:t>
            </w:r>
            <w:r w:rsidR="00CF7421">
              <w:rPr>
                <w:rFonts w:eastAsia="Times New Roman" w:cs="Times New Roman"/>
                <w:sz w:val="24"/>
                <w:szCs w:val="24"/>
              </w:rPr>
              <w:t xml:space="preserve">ta noteikumu projekta </w:t>
            </w:r>
            <w:r w:rsidR="00C851E0">
              <w:rPr>
                <w:rFonts w:eastAsia="Times New Roman" w:cs="Times New Roman"/>
                <w:sz w:val="24"/>
                <w:szCs w:val="24"/>
              </w:rPr>
              <w:t>26</w:t>
            </w:r>
            <w:r w:rsidR="0067068F" w:rsidRPr="008B3325">
              <w:rPr>
                <w:rFonts w:eastAsia="Times New Roman" w:cs="Times New Roman"/>
                <w:sz w:val="24"/>
                <w:szCs w:val="24"/>
              </w:rPr>
              <w:t>.</w:t>
            </w:r>
            <w:r w:rsidRPr="008B3325">
              <w:rPr>
                <w:rFonts w:eastAsia="Times New Roman" w:cs="Times New Roman"/>
                <w:sz w:val="24"/>
                <w:szCs w:val="24"/>
              </w:rPr>
              <w:t>punkts</w:t>
            </w:r>
            <w:r w:rsidR="00365D2C" w:rsidRPr="008B3325">
              <w:rPr>
                <w:rFonts w:eastAsia="Times New Roman" w:cs="Times New Roman"/>
                <w:sz w:val="24"/>
                <w:szCs w:val="24"/>
              </w:rPr>
              <w:t xml:space="preserve"> (tiek veikti grozījumi</w:t>
            </w:r>
            <w:r w:rsidR="003F6F7A">
              <w:rPr>
                <w:rFonts w:eastAsia="Times New Roman" w:cs="Times New Roman"/>
                <w:sz w:val="24"/>
                <w:szCs w:val="24"/>
              </w:rPr>
              <w:t xml:space="preserve"> MK noteikumu Nr.1442 30.</w:t>
            </w:r>
            <w:r w:rsidR="00365D2C" w:rsidRPr="008B3325">
              <w:rPr>
                <w:rFonts w:eastAsia="Times New Roman" w:cs="Times New Roman"/>
                <w:sz w:val="24"/>
                <w:szCs w:val="24"/>
              </w:rPr>
              <w:t>punktā)</w:t>
            </w:r>
          </w:p>
        </w:tc>
        <w:tc>
          <w:tcPr>
            <w:tcW w:w="1400" w:type="pct"/>
            <w:gridSpan w:val="2"/>
            <w:tcBorders>
              <w:top w:val="outset" w:sz="6" w:space="0" w:color="414142"/>
              <w:left w:val="outset" w:sz="6" w:space="0" w:color="414142"/>
              <w:bottom w:val="outset" w:sz="6" w:space="0" w:color="414142"/>
              <w:right w:val="outset" w:sz="6" w:space="0" w:color="414142"/>
            </w:tcBorders>
          </w:tcPr>
          <w:p w:rsidR="002C6DA9" w:rsidRPr="008B3325" w:rsidRDefault="000C48EC"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tcPr>
          <w:p w:rsidR="002C6DA9" w:rsidRPr="008B3325" w:rsidRDefault="000C48EC"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0C48EC"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0C48EC" w:rsidRPr="008B3325" w:rsidRDefault="000C48EC" w:rsidP="007229BB">
            <w:pPr>
              <w:rPr>
                <w:rFonts w:eastAsia="Times New Roman" w:cs="Times New Roman"/>
                <w:sz w:val="24"/>
                <w:szCs w:val="24"/>
                <w:lang w:eastAsia="lv-LV"/>
              </w:rPr>
            </w:pPr>
            <w:r w:rsidRPr="008B3325">
              <w:rPr>
                <w:rFonts w:eastAsia="Times New Roman" w:cs="Times New Roman"/>
                <w:sz w:val="24"/>
                <w:szCs w:val="24"/>
                <w:lang w:eastAsia="lv-LV"/>
              </w:rPr>
              <w:t>Komisijas regulas Nr.651/2014 6.panta 3.punkta „b” apakšpunkts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tcPr>
          <w:p w:rsidR="000C48EC" w:rsidRPr="008B3325" w:rsidRDefault="000C48EC" w:rsidP="0067068F">
            <w:pPr>
              <w:rPr>
                <w:rFonts w:eastAsia="Times New Roman" w:cs="Times New Roman"/>
                <w:sz w:val="24"/>
                <w:szCs w:val="24"/>
              </w:rPr>
            </w:pPr>
            <w:r w:rsidRPr="008B3325">
              <w:rPr>
                <w:rFonts w:eastAsia="Times New Roman" w:cs="Times New Roman"/>
                <w:sz w:val="24"/>
                <w:szCs w:val="24"/>
              </w:rPr>
              <w:t xml:space="preserve">Ministru kabineta noteikumu projekta </w:t>
            </w:r>
            <w:r w:rsidR="00C851E0">
              <w:rPr>
                <w:rFonts w:eastAsia="Times New Roman" w:cs="Times New Roman"/>
                <w:sz w:val="24"/>
                <w:szCs w:val="24"/>
              </w:rPr>
              <w:t>29</w:t>
            </w:r>
            <w:r w:rsidR="0067068F" w:rsidRPr="008B3325">
              <w:rPr>
                <w:rFonts w:eastAsia="Times New Roman" w:cs="Times New Roman"/>
                <w:sz w:val="24"/>
                <w:szCs w:val="24"/>
              </w:rPr>
              <w:t>.punkts</w:t>
            </w:r>
            <w:r w:rsidR="00365D2C" w:rsidRPr="008B3325">
              <w:rPr>
                <w:rFonts w:eastAsia="Times New Roman" w:cs="Times New Roman"/>
                <w:sz w:val="24"/>
                <w:szCs w:val="24"/>
              </w:rPr>
              <w:t xml:space="preserve"> (tiek veikti grozījumi MK noteikumu Nr.1442 35.6.apakšpunktā)</w:t>
            </w:r>
          </w:p>
        </w:tc>
        <w:tc>
          <w:tcPr>
            <w:tcW w:w="1400" w:type="pct"/>
            <w:gridSpan w:val="2"/>
            <w:tcBorders>
              <w:top w:val="outset" w:sz="6" w:space="0" w:color="414142"/>
              <w:left w:val="outset" w:sz="6" w:space="0" w:color="414142"/>
              <w:bottom w:val="outset" w:sz="6" w:space="0" w:color="414142"/>
              <w:right w:val="outset" w:sz="6" w:space="0" w:color="414142"/>
            </w:tcBorders>
            <w:shd w:val="clear" w:color="auto" w:fill="auto"/>
          </w:tcPr>
          <w:p w:rsidR="000C48EC" w:rsidRPr="008B3325" w:rsidRDefault="00A1023E" w:rsidP="007229BB">
            <w:pPr>
              <w:rPr>
                <w:rFonts w:eastAsia="Times New Roman" w:cs="Times New Roman"/>
                <w:i/>
                <w:sz w:val="24"/>
                <w:szCs w:val="24"/>
              </w:rPr>
            </w:pPr>
            <w:r w:rsidRPr="008B3325">
              <w:rPr>
                <w:rFonts w:eastAsia="Times New Roman" w:cs="Times New Roman"/>
                <w:i/>
                <w:sz w:val="24"/>
                <w:szCs w:val="24"/>
              </w:rPr>
              <w:t>Ieviesta pilnība</w:t>
            </w:r>
          </w:p>
        </w:tc>
        <w:tc>
          <w:tcPr>
            <w:tcW w:w="1350" w:type="pct"/>
            <w:tcBorders>
              <w:top w:val="outset" w:sz="6" w:space="0" w:color="414142"/>
              <w:left w:val="outset" w:sz="6" w:space="0" w:color="414142"/>
              <w:bottom w:val="outset" w:sz="6" w:space="0" w:color="414142"/>
              <w:right w:val="outset" w:sz="6" w:space="0" w:color="414142"/>
            </w:tcBorders>
            <w:shd w:val="clear" w:color="auto" w:fill="auto"/>
          </w:tcPr>
          <w:p w:rsidR="000C48EC" w:rsidRPr="008B3325" w:rsidRDefault="00A1023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3F6F7A"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3F6F7A" w:rsidRPr="00BA3C1F" w:rsidRDefault="003F6F7A" w:rsidP="007229BB">
            <w:pPr>
              <w:rPr>
                <w:rFonts w:eastAsia="Times New Roman" w:cs="Times New Roman"/>
                <w:sz w:val="24"/>
                <w:szCs w:val="24"/>
                <w:lang w:eastAsia="lv-LV"/>
              </w:rPr>
            </w:pPr>
            <w:r w:rsidRPr="00BA3C1F">
              <w:rPr>
                <w:rFonts w:eastAsia="Times New Roman" w:cs="Times New Roman"/>
                <w:sz w:val="24"/>
                <w:szCs w:val="24"/>
                <w:lang w:eastAsia="lv-LV"/>
              </w:rPr>
              <w:t>Komisijas regulas Nr.651/2014 14.panta 14.punkts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tcPr>
          <w:p w:rsidR="003F6F7A" w:rsidRPr="00BA3C1F" w:rsidRDefault="003F6F7A" w:rsidP="00330F72">
            <w:pPr>
              <w:rPr>
                <w:rFonts w:eastAsia="Times New Roman" w:cs="Times New Roman"/>
                <w:sz w:val="24"/>
                <w:szCs w:val="24"/>
              </w:rPr>
            </w:pPr>
            <w:r w:rsidRPr="00BA3C1F">
              <w:rPr>
                <w:rFonts w:eastAsia="Times New Roman" w:cs="Times New Roman"/>
                <w:sz w:val="24"/>
                <w:szCs w:val="24"/>
              </w:rPr>
              <w:t>Ministr</w:t>
            </w:r>
            <w:r w:rsidR="00330F72">
              <w:rPr>
                <w:rFonts w:eastAsia="Times New Roman" w:cs="Times New Roman"/>
                <w:sz w:val="24"/>
                <w:szCs w:val="24"/>
              </w:rPr>
              <w:t>u kabineta noteikumu Nr.1442 39.punkts</w:t>
            </w:r>
          </w:p>
        </w:tc>
        <w:tc>
          <w:tcPr>
            <w:tcW w:w="1400" w:type="pct"/>
            <w:gridSpan w:val="2"/>
            <w:tcBorders>
              <w:top w:val="outset" w:sz="6" w:space="0" w:color="414142"/>
              <w:left w:val="outset" w:sz="6" w:space="0" w:color="414142"/>
              <w:bottom w:val="outset" w:sz="6" w:space="0" w:color="414142"/>
              <w:right w:val="outset" w:sz="6" w:space="0" w:color="414142"/>
            </w:tcBorders>
            <w:shd w:val="clear" w:color="auto" w:fill="auto"/>
          </w:tcPr>
          <w:p w:rsidR="003F6F7A" w:rsidRPr="00BA3C1F" w:rsidRDefault="003F6F7A" w:rsidP="007229BB">
            <w:pPr>
              <w:rPr>
                <w:rFonts w:eastAsia="Times New Roman" w:cs="Times New Roman"/>
                <w:i/>
                <w:sz w:val="24"/>
                <w:szCs w:val="24"/>
              </w:rPr>
            </w:pPr>
            <w:r w:rsidRPr="00BA3C1F">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shd w:val="clear" w:color="auto" w:fill="auto"/>
          </w:tcPr>
          <w:p w:rsidR="003F6F7A" w:rsidRPr="00BA3C1F" w:rsidRDefault="003F6F7A" w:rsidP="007229BB">
            <w:pPr>
              <w:rPr>
                <w:rFonts w:eastAsia="Times New Roman" w:cs="Times New Roman"/>
                <w:i/>
                <w:sz w:val="24"/>
                <w:szCs w:val="24"/>
              </w:rPr>
            </w:pPr>
            <w:r w:rsidRPr="00BA3C1F">
              <w:rPr>
                <w:rFonts w:eastAsia="Times New Roman" w:cs="Times New Roman"/>
                <w:i/>
                <w:sz w:val="24"/>
                <w:szCs w:val="24"/>
              </w:rPr>
              <w:t>Neparedz stingrākas prasības</w:t>
            </w:r>
          </w:p>
        </w:tc>
      </w:tr>
      <w:tr w:rsidR="00330F72"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330F72" w:rsidRPr="00BA3C1F" w:rsidRDefault="00330F72" w:rsidP="007229BB">
            <w:pPr>
              <w:rPr>
                <w:rFonts w:eastAsia="Times New Roman" w:cs="Times New Roman"/>
                <w:sz w:val="24"/>
                <w:szCs w:val="24"/>
                <w:lang w:eastAsia="lv-LV"/>
              </w:rPr>
            </w:pPr>
            <w:r>
              <w:rPr>
                <w:rFonts w:eastAsia="Times New Roman" w:cs="Times New Roman"/>
                <w:sz w:val="24"/>
                <w:szCs w:val="24"/>
                <w:lang w:eastAsia="lv-LV"/>
              </w:rPr>
              <w:t>Komisijas regulas Nr.651/2014 1.panta 3.punkts, 2.panta 8., 9., 10., 11., 13., 43., 44., 45. un 130.punkts, 13.panta „a” apakšpunkts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tcPr>
          <w:p w:rsidR="00330F72" w:rsidRPr="00BA3C1F" w:rsidRDefault="00330F72" w:rsidP="0067068F">
            <w:pPr>
              <w:rPr>
                <w:rFonts w:eastAsia="Times New Roman" w:cs="Times New Roman"/>
                <w:sz w:val="24"/>
                <w:szCs w:val="24"/>
              </w:rPr>
            </w:pPr>
            <w:r>
              <w:rPr>
                <w:rFonts w:eastAsia="Times New Roman" w:cs="Times New Roman"/>
                <w:sz w:val="24"/>
                <w:szCs w:val="24"/>
              </w:rPr>
              <w:t>Ministr</w:t>
            </w:r>
            <w:r w:rsidR="00C851E0">
              <w:rPr>
                <w:rFonts w:eastAsia="Times New Roman" w:cs="Times New Roman"/>
                <w:sz w:val="24"/>
                <w:szCs w:val="24"/>
              </w:rPr>
              <w:t>u kabineta noteikumu projekta 50</w:t>
            </w:r>
            <w:r>
              <w:rPr>
                <w:rFonts w:eastAsia="Times New Roman" w:cs="Times New Roman"/>
                <w:sz w:val="24"/>
                <w:szCs w:val="24"/>
              </w:rPr>
              <w:t xml:space="preserve">.punkts (tiek aizstāts MK noteikumu Nr.1442 </w:t>
            </w:r>
            <w:r>
              <w:rPr>
                <w:rFonts w:eastAsia="Times New Roman" w:cs="Times New Roman"/>
                <w:sz w:val="24"/>
                <w:szCs w:val="24"/>
              </w:rPr>
              <w:lastRenderedPageBreak/>
              <w:t>1.pielikums)</w:t>
            </w:r>
          </w:p>
        </w:tc>
        <w:tc>
          <w:tcPr>
            <w:tcW w:w="1400" w:type="pct"/>
            <w:gridSpan w:val="2"/>
            <w:tcBorders>
              <w:top w:val="outset" w:sz="6" w:space="0" w:color="414142"/>
              <w:left w:val="outset" w:sz="6" w:space="0" w:color="414142"/>
              <w:bottom w:val="outset" w:sz="6" w:space="0" w:color="414142"/>
              <w:right w:val="outset" w:sz="6" w:space="0" w:color="414142"/>
            </w:tcBorders>
            <w:shd w:val="clear" w:color="auto" w:fill="auto"/>
          </w:tcPr>
          <w:p w:rsidR="00330F72" w:rsidRPr="00BA3C1F" w:rsidRDefault="00330F72" w:rsidP="007229BB">
            <w:pPr>
              <w:rPr>
                <w:rFonts w:eastAsia="Times New Roman" w:cs="Times New Roman"/>
                <w:i/>
                <w:sz w:val="24"/>
                <w:szCs w:val="24"/>
              </w:rPr>
            </w:pPr>
            <w:r>
              <w:rPr>
                <w:rFonts w:eastAsia="Times New Roman" w:cs="Times New Roman"/>
                <w:i/>
                <w:sz w:val="24"/>
                <w:szCs w:val="24"/>
              </w:rPr>
              <w:lastRenderedPageBreak/>
              <w:t>Ieviesta pilnībā</w:t>
            </w:r>
          </w:p>
        </w:tc>
        <w:tc>
          <w:tcPr>
            <w:tcW w:w="1350" w:type="pct"/>
            <w:tcBorders>
              <w:top w:val="outset" w:sz="6" w:space="0" w:color="414142"/>
              <w:left w:val="outset" w:sz="6" w:space="0" w:color="414142"/>
              <w:bottom w:val="outset" w:sz="6" w:space="0" w:color="414142"/>
              <w:right w:val="outset" w:sz="6" w:space="0" w:color="414142"/>
            </w:tcBorders>
            <w:shd w:val="clear" w:color="auto" w:fill="auto"/>
          </w:tcPr>
          <w:p w:rsidR="00330F72" w:rsidRPr="00BA3C1F" w:rsidRDefault="00330F72" w:rsidP="007229BB">
            <w:pPr>
              <w:rPr>
                <w:rFonts w:eastAsia="Times New Roman" w:cs="Times New Roman"/>
                <w:i/>
                <w:sz w:val="24"/>
                <w:szCs w:val="24"/>
              </w:rPr>
            </w:pPr>
            <w:r>
              <w:rPr>
                <w:rFonts w:eastAsia="Times New Roman" w:cs="Times New Roman"/>
                <w:i/>
                <w:sz w:val="24"/>
                <w:szCs w:val="24"/>
              </w:rPr>
              <w:t>Neparedz stingrākas prasības</w:t>
            </w:r>
          </w:p>
        </w:tc>
      </w:tr>
      <w:tr w:rsidR="00A1023E" w:rsidRPr="008B3325" w:rsidTr="00B27EE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A1023E" w:rsidRPr="008B3325" w:rsidRDefault="00A1023E" w:rsidP="007229BB">
            <w:pPr>
              <w:rPr>
                <w:rFonts w:eastAsia="Times New Roman" w:cs="Times New Roman"/>
                <w:sz w:val="24"/>
                <w:szCs w:val="24"/>
                <w:lang w:eastAsia="lv-LV"/>
              </w:rPr>
            </w:pPr>
            <w:r w:rsidRPr="008B3325">
              <w:rPr>
                <w:rFonts w:eastAsia="Times New Roman" w:cs="Times New Roman"/>
                <w:sz w:val="24"/>
                <w:szCs w:val="24"/>
                <w:lang w:eastAsia="lv-LV"/>
              </w:rPr>
              <w:lastRenderedPageBreak/>
              <w:t>Komisijas regulas Nr.651/2014 2.panta 3. un 4.punkts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tcPr>
          <w:p w:rsidR="0067068F" w:rsidRPr="008B3325" w:rsidRDefault="00A1023E" w:rsidP="007229BB">
            <w:pPr>
              <w:rPr>
                <w:rFonts w:eastAsia="Times New Roman" w:cs="Times New Roman"/>
                <w:sz w:val="24"/>
                <w:szCs w:val="24"/>
              </w:rPr>
            </w:pPr>
            <w:r w:rsidRPr="008B3325">
              <w:rPr>
                <w:rFonts w:eastAsia="Times New Roman" w:cs="Times New Roman"/>
                <w:sz w:val="24"/>
                <w:szCs w:val="24"/>
              </w:rPr>
              <w:t>Ministru kabineta noteikumu projekta</w:t>
            </w:r>
          </w:p>
          <w:p w:rsidR="00A1023E" w:rsidRPr="008B3325" w:rsidRDefault="00C851E0" w:rsidP="0067068F">
            <w:pPr>
              <w:rPr>
                <w:rFonts w:eastAsia="Times New Roman" w:cs="Times New Roman"/>
                <w:sz w:val="24"/>
                <w:szCs w:val="24"/>
              </w:rPr>
            </w:pPr>
            <w:r>
              <w:rPr>
                <w:rFonts w:eastAsia="Times New Roman" w:cs="Times New Roman"/>
                <w:sz w:val="24"/>
                <w:szCs w:val="24"/>
              </w:rPr>
              <w:t>52</w:t>
            </w:r>
            <w:r w:rsidR="00D461D9">
              <w:rPr>
                <w:rFonts w:eastAsia="Times New Roman" w:cs="Times New Roman"/>
                <w:sz w:val="24"/>
                <w:szCs w:val="24"/>
              </w:rPr>
              <w:t>. un 5</w:t>
            </w:r>
            <w:r>
              <w:rPr>
                <w:rFonts w:eastAsia="Times New Roman" w:cs="Times New Roman"/>
                <w:sz w:val="24"/>
                <w:szCs w:val="24"/>
              </w:rPr>
              <w:t>3</w:t>
            </w:r>
            <w:r w:rsidR="0067068F" w:rsidRPr="008B3325">
              <w:rPr>
                <w:rFonts w:eastAsia="Times New Roman" w:cs="Times New Roman"/>
                <w:sz w:val="24"/>
                <w:szCs w:val="24"/>
              </w:rPr>
              <w:t>.punkts</w:t>
            </w:r>
            <w:r w:rsidR="00A1023E" w:rsidRPr="008B3325">
              <w:rPr>
                <w:rFonts w:eastAsia="Times New Roman" w:cs="Times New Roman"/>
                <w:sz w:val="24"/>
                <w:szCs w:val="24"/>
              </w:rPr>
              <w:t xml:space="preserve"> </w:t>
            </w:r>
            <w:r w:rsidR="00E326EE" w:rsidRPr="008B3325">
              <w:rPr>
                <w:rFonts w:eastAsia="Times New Roman" w:cs="Times New Roman"/>
                <w:sz w:val="24"/>
                <w:szCs w:val="24"/>
              </w:rPr>
              <w:t>(MK noteikumi Nr.1442</w:t>
            </w:r>
            <w:r w:rsidR="0067068F" w:rsidRPr="008B3325">
              <w:rPr>
                <w:rFonts w:eastAsia="Times New Roman" w:cs="Times New Roman"/>
                <w:sz w:val="24"/>
                <w:szCs w:val="24"/>
              </w:rPr>
              <w:t xml:space="preserve"> tiek papildināti ar 5.pielikumu, kurā ir precizēta 5.1.apakšsadaļa)</w:t>
            </w:r>
          </w:p>
        </w:tc>
        <w:tc>
          <w:tcPr>
            <w:tcW w:w="1400" w:type="pct"/>
            <w:gridSpan w:val="2"/>
            <w:tcBorders>
              <w:top w:val="outset" w:sz="6" w:space="0" w:color="414142"/>
              <w:left w:val="outset" w:sz="6" w:space="0" w:color="414142"/>
              <w:bottom w:val="outset" w:sz="6" w:space="0" w:color="414142"/>
              <w:right w:val="outset" w:sz="6" w:space="0" w:color="414142"/>
            </w:tcBorders>
            <w:shd w:val="clear" w:color="auto" w:fill="auto"/>
          </w:tcPr>
          <w:p w:rsidR="00A1023E" w:rsidRPr="008B3325" w:rsidRDefault="00A1023E" w:rsidP="007229BB">
            <w:pPr>
              <w:rPr>
                <w:rFonts w:eastAsia="Times New Roman" w:cs="Times New Roman"/>
                <w:i/>
                <w:sz w:val="24"/>
                <w:szCs w:val="24"/>
              </w:rPr>
            </w:pPr>
            <w:r w:rsidRPr="008B3325">
              <w:rPr>
                <w:rFonts w:eastAsia="Times New Roman" w:cs="Times New Roman"/>
                <w:i/>
                <w:sz w:val="24"/>
                <w:szCs w:val="24"/>
              </w:rPr>
              <w:t>Ieviesta pilnībā</w:t>
            </w:r>
          </w:p>
        </w:tc>
        <w:tc>
          <w:tcPr>
            <w:tcW w:w="1350" w:type="pct"/>
            <w:tcBorders>
              <w:top w:val="outset" w:sz="6" w:space="0" w:color="414142"/>
              <w:left w:val="outset" w:sz="6" w:space="0" w:color="414142"/>
              <w:bottom w:val="outset" w:sz="6" w:space="0" w:color="414142"/>
              <w:right w:val="outset" w:sz="6" w:space="0" w:color="414142"/>
            </w:tcBorders>
            <w:shd w:val="clear" w:color="auto" w:fill="auto"/>
          </w:tcPr>
          <w:p w:rsidR="00A1023E" w:rsidRPr="008B3325" w:rsidRDefault="00A1023E" w:rsidP="007229BB">
            <w:pPr>
              <w:rPr>
                <w:rFonts w:eastAsia="Times New Roman" w:cs="Times New Roman"/>
                <w:i/>
                <w:sz w:val="24"/>
                <w:szCs w:val="24"/>
              </w:rPr>
            </w:pPr>
            <w:r w:rsidRPr="008B3325">
              <w:rPr>
                <w:rFonts w:eastAsia="Times New Roman" w:cs="Times New Roman"/>
                <w:i/>
                <w:sz w:val="24"/>
                <w:szCs w:val="24"/>
              </w:rPr>
              <w:t>Neparedz stingrākas prasības</w:t>
            </w:r>
          </w:p>
        </w:tc>
      </w:tr>
      <w:tr w:rsidR="007229BB" w:rsidRPr="008B3325" w:rsidTr="007229BB">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Kā ir izmantota ES tiesību aktā paredzētā rīcības brīvība dalībvalstij pārņemt vai ieviest noteiktas ES tiesību akta normas?</w:t>
            </w:r>
            <w:r w:rsidRPr="008B3325">
              <w:rPr>
                <w:rFonts w:eastAsia="Times New Roman" w:cs="Times New Roman"/>
                <w:sz w:val="24"/>
                <w:szCs w:val="24"/>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826345" w:rsidRPr="008B3325" w:rsidRDefault="00E326EE" w:rsidP="007229BB">
            <w:pPr>
              <w:rPr>
                <w:rFonts w:eastAsia="Times New Roman" w:cs="Times New Roman"/>
                <w:sz w:val="24"/>
                <w:szCs w:val="24"/>
              </w:rPr>
            </w:pPr>
            <w:r w:rsidRPr="008B3325">
              <w:rPr>
                <w:rFonts w:cs="Times New Roman"/>
                <w:iCs/>
                <w:sz w:val="24"/>
                <w:szCs w:val="24"/>
              </w:rPr>
              <w:t>Noteikumu projekts šo jomu neskar.</w:t>
            </w:r>
          </w:p>
        </w:tc>
      </w:tr>
      <w:tr w:rsidR="007229BB" w:rsidRPr="008B3325" w:rsidTr="007229BB">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229BB" w:rsidRPr="008B3325" w:rsidRDefault="00445035" w:rsidP="00445035">
            <w:pPr>
              <w:jc w:val="both"/>
              <w:rPr>
                <w:rFonts w:eastAsia="Times New Roman" w:cs="Times New Roman"/>
                <w:sz w:val="24"/>
                <w:szCs w:val="24"/>
              </w:rPr>
            </w:pPr>
            <w:r w:rsidRPr="00445035">
              <w:rPr>
                <w:rFonts w:eastAsia="Times New Roman" w:cs="Times New Roman"/>
                <w:sz w:val="24"/>
                <w:szCs w:val="24"/>
                <w:lang w:eastAsia="lv-LV"/>
              </w:rPr>
              <w:t>Saskaņā ar Komisijas Regulas Nr.651/2014 11.pantu Eiropas Komisijai 20 darba dienu laikā</w:t>
            </w:r>
            <w:r w:rsidR="007101F2">
              <w:rPr>
                <w:rFonts w:eastAsia="Times New Roman" w:cs="Times New Roman"/>
                <w:sz w:val="24"/>
                <w:szCs w:val="24"/>
                <w:lang w:eastAsia="lv-LV"/>
              </w:rPr>
              <w:t xml:space="preserve"> pēc šī Ministru kabineta noteikumu projekta apstiprināšanas</w:t>
            </w:r>
            <w:r w:rsidRPr="00445035">
              <w:rPr>
                <w:rFonts w:eastAsia="Times New Roman" w:cs="Times New Roman"/>
                <w:sz w:val="24"/>
                <w:szCs w:val="24"/>
                <w:lang w:eastAsia="lv-LV"/>
              </w:rPr>
              <w:t xml:space="preserve"> ir jānosūta kopsavilkuma informācija par šo atbalsta pasākumu.</w:t>
            </w:r>
          </w:p>
        </w:tc>
      </w:tr>
      <w:tr w:rsidR="007229BB" w:rsidRPr="008B3325" w:rsidTr="007229BB">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229BB" w:rsidRPr="008B3325" w:rsidRDefault="00512B0A"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r w:rsidR="007229BB" w:rsidRPr="008B3325" w:rsidTr="007229BB">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2.tabula</w:t>
            </w:r>
            <w:r w:rsidRPr="008B3325">
              <w:rPr>
                <w:rFonts w:eastAsia="Times New Roman" w:cs="Times New Roman"/>
                <w:b/>
                <w:bCs/>
                <w:sz w:val="24"/>
                <w:szCs w:val="24"/>
              </w:rPr>
              <w:br/>
              <w:t>Ar tiesību akta projektu izpildītās vai uzņemtās saistības, kas izriet no starptautiskajiem tiesību aktiem vai starptautiskas institūcijas vai organizācijas dokumentiem.</w:t>
            </w:r>
            <w:r w:rsidRPr="008B3325">
              <w:rPr>
                <w:rFonts w:eastAsia="Times New Roman" w:cs="Times New Roman"/>
                <w:b/>
                <w:bCs/>
                <w:sz w:val="24"/>
                <w:szCs w:val="24"/>
              </w:rPr>
              <w:br/>
              <w:t>Pasākumi šo saistību izpildei</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Attiecīgā starptautiskā tiesību akta vai starptautiskas institūcijas vai organizācijas dokumenta (turpmāk – starptautiskais dokuments) datums, numurs un nosaukums</w:t>
            </w:r>
          </w:p>
        </w:tc>
        <w:tc>
          <w:tcPr>
            <w:tcW w:w="3699" w:type="pct"/>
            <w:gridSpan w:val="4"/>
            <w:tcBorders>
              <w:top w:val="outset" w:sz="6" w:space="0" w:color="414142"/>
              <w:left w:val="outset" w:sz="6" w:space="0" w:color="414142"/>
              <w:bottom w:val="outset" w:sz="6" w:space="0" w:color="414142"/>
              <w:right w:val="outset" w:sz="6" w:space="0" w:color="414142"/>
            </w:tcBorders>
            <w:hideMark/>
          </w:tcPr>
          <w:p w:rsidR="007229BB" w:rsidRPr="008B3325" w:rsidRDefault="00B27EED" w:rsidP="0024088D">
            <w:pPr>
              <w:jc w:val="both"/>
              <w:rPr>
                <w:rFonts w:eastAsia="Times New Roman" w:cs="Times New Roman"/>
                <w:sz w:val="24"/>
                <w:szCs w:val="24"/>
              </w:rPr>
            </w:pPr>
            <w:r w:rsidRPr="008B3325">
              <w:rPr>
                <w:rFonts w:eastAsia="Times New Roman" w:cs="Times New Roman"/>
                <w:sz w:val="24"/>
                <w:szCs w:val="24"/>
              </w:rPr>
              <w:t>Noteikumu projekts šo jomu neskar.</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sz w:val="24"/>
                <w:szCs w:val="24"/>
              </w:rPr>
            </w:pPr>
            <w:r w:rsidRPr="008B3325">
              <w:rPr>
                <w:rFonts w:eastAsia="Times New Roman" w:cs="Times New Roman"/>
                <w:sz w:val="24"/>
                <w:szCs w:val="24"/>
              </w:rPr>
              <w:t>C</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 xml:space="preserve">Starptautiskās saistības (pēc būtības), kas izriet no norādītā starptautiskā </w:t>
            </w:r>
            <w:r w:rsidRPr="008B3325">
              <w:rPr>
                <w:rFonts w:eastAsia="Times New Roman" w:cs="Times New Roman"/>
                <w:sz w:val="24"/>
                <w:szCs w:val="24"/>
              </w:rPr>
              <w:lastRenderedPageBreak/>
              <w:t>dokumenta.</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lastRenderedPageBreak/>
              <w:t xml:space="preserve">Ja pasākumi vai uzdevumi, ar ko tiks izpildītas starptautiskās saistības, tiek </w:t>
            </w:r>
            <w:r w:rsidRPr="008B3325">
              <w:rPr>
                <w:rFonts w:eastAsia="Times New Roman" w:cs="Times New Roman"/>
                <w:sz w:val="24"/>
                <w:szCs w:val="24"/>
              </w:rPr>
              <w:lastRenderedPageBreak/>
              <w:t>noteikti projektā, norāda attiecīgo projekta vienību vai dokumentu, kurā sniegts izvērsts skaidrojums, kādā veidā tiks nodrošināta starptautisko saistību izpilde</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lastRenderedPageBreak/>
              <w:t xml:space="preserve">Informācija par to, vai starptautiskās saistības, kas minētas šīs tabulas A ailē, tiek izpildītas </w:t>
            </w:r>
            <w:r w:rsidRPr="008B3325">
              <w:rPr>
                <w:rFonts w:eastAsia="Times New Roman" w:cs="Times New Roman"/>
                <w:sz w:val="24"/>
                <w:szCs w:val="24"/>
              </w:rPr>
              <w:lastRenderedPageBreak/>
              <w:t>pilnībā vai daļēji.</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Ja attiecīgās starptautiskās saistības tiek izpildītas daļēji, sniedz skaidrojumu, kā arī precīzi norāda, kad un kādā veidā starptautiskās saistības tiks izpildītas pilnībā.</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Norāda institūciju, kas ir atbildīga par šo saistību izpildi pilnībā</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B27EED" w:rsidP="007229BB">
            <w:pPr>
              <w:rPr>
                <w:rFonts w:eastAsia="Times New Roman" w:cs="Times New Roman"/>
                <w:sz w:val="24"/>
                <w:szCs w:val="24"/>
              </w:rPr>
            </w:pPr>
            <w:r w:rsidRPr="008B3325">
              <w:rPr>
                <w:rFonts w:eastAsia="Times New Roman" w:cs="Times New Roman"/>
                <w:sz w:val="24"/>
                <w:szCs w:val="24"/>
              </w:rPr>
              <w:lastRenderedPageBreak/>
              <w:t>Noteikumu projekts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B27EED" w:rsidP="007229BB">
            <w:pPr>
              <w:rPr>
                <w:rFonts w:eastAsia="Times New Roman" w:cs="Times New Roman"/>
                <w:sz w:val="24"/>
                <w:szCs w:val="24"/>
              </w:rPr>
            </w:pPr>
            <w:r w:rsidRPr="008B3325">
              <w:rPr>
                <w:rFonts w:eastAsia="Times New Roman" w:cs="Times New Roman"/>
                <w:sz w:val="24"/>
                <w:szCs w:val="24"/>
              </w:rPr>
              <w:t>Noteikumu 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B27EED"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Noteikumu projekts šo jomu neskar.</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Vai starptautiskajā dokumentā paredzētās saistības nav pretrunā ar jau esošajām Latvijas Republikas starptautiskajām saistībām</w:t>
            </w:r>
          </w:p>
        </w:tc>
        <w:tc>
          <w:tcPr>
            <w:tcW w:w="3699" w:type="pct"/>
            <w:gridSpan w:val="4"/>
            <w:tcBorders>
              <w:top w:val="outset" w:sz="6" w:space="0" w:color="414142"/>
              <w:left w:val="outset" w:sz="6" w:space="0" w:color="414142"/>
              <w:bottom w:val="outset" w:sz="6" w:space="0" w:color="414142"/>
              <w:right w:val="outset" w:sz="6" w:space="0" w:color="414142"/>
            </w:tcBorders>
            <w:hideMark/>
          </w:tcPr>
          <w:p w:rsidR="007229BB" w:rsidRPr="008B3325" w:rsidRDefault="00B27EED" w:rsidP="007229BB">
            <w:pPr>
              <w:rPr>
                <w:rFonts w:eastAsia="Times New Roman" w:cs="Times New Roman"/>
                <w:sz w:val="24"/>
                <w:szCs w:val="24"/>
              </w:rPr>
            </w:pPr>
            <w:r w:rsidRPr="008B3325">
              <w:rPr>
                <w:rFonts w:eastAsia="Times New Roman" w:cs="Times New Roman"/>
                <w:sz w:val="24"/>
                <w:szCs w:val="24"/>
              </w:rPr>
              <w:t>Noteikumu projekts šo jomu neskar.</w:t>
            </w:r>
          </w:p>
        </w:tc>
      </w:tr>
      <w:tr w:rsidR="007229BB" w:rsidRPr="008B3325" w:rsidTr="00B27EED">
        <w:trPr>
          <w:jc w:val="center"/>
        </w:trPr>
        <w:tc>
          <w:tcPr>
            <w:tcW w:w="1301" w:type="pct"/>
            <w:gridSpan w:val="2"/>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3699" w:type="pct"/>
            <w:gridSpan w:val="4"/>
            <w:tcBorders>
              <w:top w:val="outset" w:sz="6" w:space="0" w:color="414142"/>
              <w:left w:val="outset" w:sz="6" w:space="0" w:color="414142"/>
              <w:bottom w:val="outset" w:sz="6" w:space="0" w:color="414142"/>
              <w:right w:val="outset" w:sz="6" w:space="0" w:color="414142"/>
            </w:tcBorders>
            <w:hideMark/>
          </w:tcPr>
          <w:p w:rsidR="007229BB" w:rsidRPr="008B3325" w:rsidRDefault="00B27EED"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7229BB" w:rsidRPr="008B3325" w:rsidRDefault="007229BB" w:rsidP="007229BB">
      <w:pPr>
        <w:shd w:val="clear" w:color="auto" w:fill="FFFFFF"/>
        <w:spacing w:before="100" w:beforeAutospacing="1" w:after="100" w:afterAutospacing="1" w:line="293" w:lineRule="atLeast"/>
        <w:ind w:firstLine="300"/>
        <w:rPr>
          <w:rFonts w:ascii="Arial" w:eastAsia="Times New Roman" w:hAnsi="Arial" w:cs="Arial"/>
          <w:color w:val="414142"/>
          <w:sz w:val="24"/>
          <w:szCs w:val="24"/>
        </w:rPr>
      </w:pPr>
      <w:r w:rsidRPr="008B3325">
        <w:rPr>
          <w:rFonts w:ascii="Arial" w:eastAsia="Times New Roman" w:hAnsi="Arial" w:cs="Arial"/>
          <w:color w:val="414142"/>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00"/>
        <w:gridCol w:w="5274"/>
      </w:tblGrid>
      <w:tr w:rsidR="007229BB" w:rsidRPr="008B3325" w:rsidTr="007229BB">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VI. Sabiedrības līdzdalība un komunikācijas aktivitātes</w:t>
            </w:r>
          </w:p>
        </w:tc>
      </w:tr>
      <w:tr w:rsidR="007229BB" w:rsidRPr="008B3325" w:rsidTr="008B3325">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color w:val="414142"/>
                <w:sz w:val="24"/>
                <w:szCs w:val="24"/>
              </w:rPr>
            </w:pPr>
            <w:r w:rsidRPr="008B3325">
              <w:rPr>
                <w:rFonts w:eastAsia="Times New Roman" w:cs="Times New Roman"/>
                <w:color w:val="414142"/>
                <w:sz w:val="24"/>
                <w:szCs w:val="24"/>
              </w:rPr>
              <w:t>1.</w:t>
            </w:r>
          </w:p>
        </w:tc>
        <w:tc>
          <w:tcPr>
            <w:tcW w:w="1862"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Plānotās sabiedrības līdzdalības un komunikācijas aktivitātes saistībā ar projektu</w:t>
            </w:r>
          </w:p>
        </w:tc>
        <w:tc>
          <w:tcPr>
            <w:tcW w:w="2887" w:type="pct"/>
            <w:tcBorders>
              <w:top w:val="outset" w:sz="6" w:space="0" w:color="414142"/>
              <w:left w:val="outset" w:sz="6" w:space="0" w:color="414142"/>
              <w:bottom w:val="outset" w:sz="6" w:space="0" w:color="414142"/>
              <w:right w:val="outset" w:sz="6" w:space="0" w:color="414142"/>
            </w:tcBorders>
            <w:hideMark/>
          </w:tcPr>
          <w:p w:rsidR="007229BB" w:rsidRPr="008B3325" w:rsidRDefault="00C90CE3" w:rsidP="00C90CE3">
            <w:pPr>
              <w:jc w:val="both"/>
              <w:rPr>
                <w:rFonts w:eastAsia="Times New Roman" w:cs="Times New Roman"/>
                <w:sz w:val="24"/>
                <w:szCs w:val="24"/>
              </w:rPr>
            </w:pPr>
            <w:r w:rsidRPr="008B3325">
              <w:rPr>
                <w:rFonts w:eastAsia="Times New Roman" w:cs="Times New Roman"/>
                <w:sz w:val="24"/>
                <w:szCs w:val="24"/>
              </w:rPr>
              <w:t xml:space="preserve">LIAA pēc konkursa izsludināšanas organizēs informatīvos un divpusējās sadarbības veicināšanas pasākumus, kuros potenciālie </w:t>
            </w:r>
            <w:r w:rsidR="00DB6431" w:rsidRPr="008B3325">
              <w:rPr>
                <w:rFonts w:eastAsia="Times New Roman" w:cs="Times New Roman"/>
                <w:sz w:val="24"/>
                <w:szCs w:val="24"/>
              </w:rPr>
              <w:t>projektu pieteicēji un interesenti tiks plašāk informēti par</w:t>
            </w:r>
            <w:r w:rsidRPr="008B3325">
              <w:rPr>
                <w:rFonts w:eastAsia="Times New Roman" w:cs="Times New Roman"/>
                <w:sz w:val="24"/>
                <w:szCs w:val="24"/>
              </w:rPr>
              <w:t xml:space="preserve"> </w:t>
            </w:r>
            <w:r w:rsidR="00DB6431" w:rsidRPr="008B3325">
              <w:rPr>
                <w:rFonts w:eastAsia="Times New Roman" w:cs="Times New Roman"/>
                <w:sz w:val="24"/>
                <w:szCs w:val="24"/>
              </w:rPr>
              <w:t>atklāta konkursa projektu iesniegumu atlases otrās kārtas izsludināšanu</w:t>
            </w:r>
            <w:r w:rsidR="008A61E3">
              <w:rPr>
                <w:rFonts w:eastAsia="Times New Roman" w:cs="Times New Roman"/>
                <w:sz w:val="24"/>
                <w:szCs w:val="24"/>
              </w:rPr>
              <w:t xml:space="preserve"> un izmaiņām konkursa nosacījumos</w:t>
            </w:r>
            <w:r w:rsidR="00DB6431" w:rsidRPr="008B3325">
              <w:rPr>
                <w:rFonts w:eastAsia="Times New Roman" w:cs="Times New Roman"/>
                <w:sz w:val="24"/>
                <w:szCs w:val="24"/>
              </w:rPr>
              <w:t>. Tādējādi tiks nodrošināta sabiedrības informētība par atklāta konkursa projektu iesniegumu atlases otrās kārtas nosacījumiem un ar to saistītajiem jautājumiem.</w:t>
            </w:r>
          </w:p>
        </w:tc>
      </w:tr>
      <w:tr w:rsidR="007229BB" w:rsidRPr="008B3325" w:rsidTr="008B3325">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color w:val="414142"/>
                <w:sz w:val="24"/>
                <w:szCs w:val="24"/>
              </w:rPr>
            </w:pPr>
            <w:r w:rsidRPr="008B3325">
              <w:rPr>
                <w:rFonts w:eastAsia="Times New Roman" w:cs="Times New Roman"/>
                <w:color w:val="414142"/>
                <w:sz w:val="24"/>
                <w:szCs w:val="24"/>
              </w:rPr>
              <w:t>2.</w:t>
            </w:r>
          </w:p>
        </w:tc>
        <w:tc>
          <w:tcPr>
            <w:tcW w:w="1862"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Sabiedrības līdzdalība projekta izstrādē</w:t>
            </w:r>
          </w:p>
        </w:tc>
        <w:tc>
          <w:tcPr>
            <w:tcW w:w="2887" w:type="pct"/>
            <w:tcBorders>
              <w:top w:val="outset" w:sz="6" w:space="0" w:color="414142"/>
              <w:left w:val="outset" w:sz="6" w:space="0" w:color="414142"/>
              <w:bottom w:val="outset" w:sz="6" w:space="0" w:color="414142"/>
              <w:right w:val="outset" w:sz="6" w:space="0" w:color="414142"/>
            </w:tcBorders>
            <w:hideMark/>
          </w:tcPr>
          <w:p w:rsidR="007229BB" w:rsidRPr="008B3325" w:rsidRDefault="00D11E3C" w:rsidP="00D11E3C">
            <w:pPr>
              <w:jc w:val="both"/>
              <w:rPr>
                <w:rFonts w:eastAsia="Times New Roman" w:cs="Times New Roman"/>
                <w:sz w:val="24"/>
                <w:szCs w:val="24"/>
              </w:rPr>
            </w:pPr>
            <w:r w:rsidRPr="008B3325">
              <w:rPr>
                <w:rFonts w:eastAsia="Times New Roman" w:cs="Times New Roman"/>
                <w:iCs/>
                <w:sz w:val="24"/>
                <w:szCs w:val="24"/>
                <w:lang w:eastAsia="lv-LV"/>
              </w:rPr>
              <w:t xml:space="preserve">Noteikumu projekts paredz labvēlīgākus nosacījumus </w:t>
            </w:r>
            <w:r w:rsidR="00C90CE3" w:rsidRPr="008B3325">
              <w:rPr>
                <w:rFonts w:eastAsia="Times New Roman" w:cs="Times New Roman"/>
                <w:iCs/>
                <w:sz w:val="24"/>
                <w:szCs w:val="24"/>
                <w:lang w:eastAsia="lv-LV"/>
              </w:rPr>
              <w:t xml:space="preserve">potenciālajiem projektu iesniedzējiem salīdzinājumā ar spēkā esošajiem noteikumiem, tāpēc konsultācijas nebija nepieciešams rīkot. Vienlaicīgi </w:t>
            </w:r>
            <w:r w:rsidR="00C90CE3" w:rsidRPr="008B3325">
              <w:rPr>
                <w:rFonts w:eastAsia="Times New Roman" w:cs="Times New Roman"/>
                <w:sz w:val="24"/>
                <w:szCs w:val="24"/>
              </w:rPr>
              <w:t>noteikumu projekts ir izvietots Ekonomikas ministrijas mājas lapā.</w:t>
            </w:r>
          </w:p>
        </w:tc>
      </w:tr>
      <w:tr w:rsidR="007229BB" w:rsidRPr="008B3325" w:rsidTr="008B3325">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color w:val="414142"/>
                <w:sz w:val="24"/>
                <w:szCs w:val="24"/>
              </w:rPr>
            </w:pPr>
            <w:r w:rsidRPr="008B3325">
              <w:rPr>
                <w:rFonts w:eastAsia="Times New Roman" w:cs="Times New Roman"/>
                <w:color w:val="414142"/>
                <w:sz w:val="24"/>
                <w:szCs w:val="24"/>
              </w:rPr>
              <w:t>3.</w:t>
            </w:r>
          </w:p>
        </w:tc>
        <w:tc>
          <w:tcPr>
            <w:tcW w:w="1862"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Sabiedrības līdzdalības rezultāti</w:t>
            </w:r>
          </w:p>
        </w:tc>
        <w:tc>
          <w:tcPr>
            <w:tcW w:w="2887" w:type="pct"/>
            <w:tcBorders>
              <w:top w:val="outset" w:sz="6" w:space="0" w:color="414142"/>
              <w:left w:val="outset" w:sz="6" w:space="0" w:color="414142"/>
              <w:bottom w:val="outset" w:sz="6" w:space="0" w:color="414142"/>
              <w:right w:val="outset" w:sz="6" w:space="0" w:color="414142"/>
            </w:tcBorders>
            <w:hideMark/>
          </w:tcPr>
          <w:p w:rsidR="007229BB" w:rsidRPr="008B3325" w:rsidRDefault="00DB6431" w:rsidP="007229BB">
            <w:pPr>
              <w:rPr>
                <w:rFonts w:eastAsia="Times New Roman" w:cs="Times New Roman"/>
                <w:sz w:val="24"/>
                <w:szCs w:val="24"/>
              </w:rPr>
            </w:pPr>
            <w:r w:rsidRPr="008B3325">
              <w:rPr>
                <w:rFonts w:eastAsia="Times New Roman" w:cs="Times New Roman"/>
                <w:sz w:val="24"/>
                <w:szCs w:val="24"/>
              </w:rPr>
              <w:t>Nav.</w:t>
            </w:r>
          </w:p>
        </w:tc>
      </w:tr>
      <w:tr w:rsidR="007229BB" w:rsidRPr="008B3325" w:rsidTr="008B3325">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color w:val="414142"/>
                <w:sz w:val="24"/>
                <w:szCs w:val="24"/>
              </w:rPr>
            </w:pPr>
            <w:r w:rsidRPr="008B3325">
              <w:rPr>
                <w:rFonts w:eastAsia="Times New Roman" w:cs="Times New Roman"/>
                <w:color w:val="414142"/>
                <w:sz w:val="24"/>
                <w:szCs w:val="24"/>
              </w:rPr>
              <w:t>4.</w:t>
            </w:r>
          </w:p>
        </w:tc>
        <w:tc>
          <w:tcPr>
            <w:tcW w:w="1862"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2887" w:type="pct"/>
            <w:tcBorders>
              <w:top w:val="outset" w:sz="6" w:space="0" w:color="414142"/>
              <w:left w:val="outset" w:sz="6" w:space="0" w:color="414142"/>
              <w:bottom w:val="outset" w:sz="6" w:space="0" w:color="414142"/>
              <w:right w:val="outset" w:sz="6" w:space="0" w:color="414142"/>
            </w:tcBorders>
            <w:hideMark/>
          </w:tcPr>
          <w:p w:rsidR="007229BB" w:rsidRPr="008B3325" w:rsidRDefault="00E630B7"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7229BB" w:rsidRPr="007229BB" w:rsidRDefault="007229BB" w:rsidP="007229BB">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7229BB">
        <w:rPr>
          <w:rFonts w:ascii="Arial" w:eastAsia="Times New Roman" w:hAnsi="Arial" w:cs="Arial"/>
          <w:color w:val="414142"/>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229BB" w:rsidRPr="007229BB" w:rsidTr="007229B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29BB" w:rsidRPr="008B3325" w:rsidRDefault="007229BB" w:rsidP="007229BB">
            <w:pPr>
              <w:spacing w:before="100" w:beforeAutospacing="1" w:after="100" w:afterAutospacing="1" w:line="293" w:lineRule="atLeast"/>
              <w:jc w:val="center"/>
              <w:rPr>
                <w:rFonts w:eastAsia="Times New Roman" w:cs="Times New Roman"/>
                <w:b/>
                <w:bCs/>
                <w:sz w:val="24"/>
                <w:szCs w:val="24"/>
              </w:rPr>
            </w:pPr>
            <w:r w:rsidRPr="008B3325">
              <w:rPr>
                <w:rFonts w:eastAsia="Times New Roman" w:cs="Times New Roman"/>
                <w:b/>
                <w:bCs/>
                <w:sz w:val="24"/>
                <w:szCs w:val="24"/>
              </w:rPr>
              <w:t>VII. Tiesību akta projekta izpildes nodrošināšana un tās ietekme uz institūcijām</w:t>
            </w:r>
          </w:p>
        </w:tc>
      </w:tr>
      <w:tr w:rsidR="007229BB" w:rsidRPr="007229BB" w:rsidTr="007229BB">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630B7" w:rsidRPr="008B3325" w:rsidRDefault="00E630B7" w:rsidP="00E630B7">
            <w:pPr>
              <w:jc w:val="both"/>
              <w:rPr>
                <w:sz w:val="24"/>
                <w:szCs w:val="24"/>
              </w:rPr>
            </w:pPr>
            <w:r w:rsidRPr="008B3325">
              <w:rPr>
                <w:sz w:val="24"/>
                <w:szCs w:val="24"/>
              </w:rPr>
              <w:t>Noteikumu projekta īstenošanā ir iesaistīta Ekonomikas ministrija kā programmas apsaimniekotājs un LIAA kā Aģentūra, kam ir deleģētas Ekonomikas ministrijas funkcijas attiecībā uz programmas īstenošanu.</w:t>
            </w:r>
          </w:p>
        </w:tc>
      </w:tr>
      <w:tr w:rsidR="007229BB" w:rsidRPr="007229BB" w:rsidTr="007229BB">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t>2.</w:t>
            </w:r>
          </w:p>
        </w:tc>
        <w:tc>
          <w:tcPr>
            <w:tcW w:w="19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Projekta izpildes ietekme uz pārvaldes funkcijām un institucionālo struktūru.</w:t>
            </w:r>
          </w:p>
          <w:p w:rsidR="007229BB" w:rsidRPr="008B3325" w:rsidRDefault="007229BB"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229BB" w:rsidRPr="008B3325" w:rsidRDefault="00E630B7" w:rsidP="009C0BE2">
            <w:pPr>
              <w:jc w:val="both"/>
              <w:rPr>
                <w:rFonts w:eastAsia="Times New Roman" w:cs="Times New Roman"/>
                <w:sz w:val="24"/>
                <w:szCs w:val="24"/>
              </w:rPr>
            </w:pPr>
            <w:r w:rsidRPr="008B3325">
              <w:rPr>
                <w:rFonts w:eastAsia="Times New Roman" w:cs="Times New Roman"/>
                <w:sz w:val="24"/>
                <w:szCs w:val="24"/>
              </w:rPr>
              <w:t>Noteikumu projektam nav ietekmes uz pārvaldes funkcijām un institucionālo struktūru.</w:t>
            </w:r>
          </w:p>
        </w:tc>
      </w:tr>
      <w:tr w:rsidR="007229BB" w:rsidRPr="007229BB" w:rsidTr="007229BB">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229BB" w:rsidRPr="007229BB" w:rsidRDefault="007229BB" w:rsidP="007229BB">
            <w:pPr>
              <w:rPr>
                <w:rFonts w:eastAsia="Times New Roman" w:cs="Times New Roman"/>
                <w:color w:val="414142"/>
                <w:sz w:val="20"/>
                <w:szCs w:val="20"/>
              </w:rPr>
            </w:pPr>
            <w:r w:rsidRPr="007229BB">
              <w:rPr>
                <w:rFonts w:eastAsia="Times New Roman" w:cs="Times New Roman"/>
                <w:color w:val="414142"/>
                <w:sz w:val="20"/>
                <w:szCs w:val="20"/>
              </w:rPr>
              <w:t>3.</w:t>
            </w:r>
          </w:p>
        </w:tc>
        <w:tc>
          <w:tcPr>
            <w:tcW w:w="1900" w:type="pct"/>
            <w:tcBorders>
              <w:top w:val="outset" w:sz="6" w:space="0" w:color="414142"/>
              <w:left w:val="outset" w:sz="6" w:space="0" w:color="414142"/>
              <w:bottom w:val="outset" w:sz="6" w:space="0" w:color="414142"/>
              <w:right w:val="outset" w:sz="6" w:space="0" w:color="414142"/>
            </w:tcBorders>
            <w:hideMark/>
          </w:tcPr>
          <w:p w:rsidR="007229BB" w:rsidRPr="008B3325" w:rsidRDefault="007229BB" w:rsidP="007229BB">
            <w:pPr>
              <w:rPr>
                <w:rFonts w:eastAsia="Times New Roman" w:cs="Times New Roman"/>
                <w:sz w:val="24"/>
                <w:szCs w:val="24"/>
              </w:rPr>
            </w:pPr>
            <w:r w:rsidRPr="008B3325">
              <w:rPr>
                <w:rFonts w:eastAsia="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29BB" w:rsidRPr="008B3325" w:rsidRDefault="00E630B7" w:rsidP="007229BB">
            <w:pPr>
              <w:spacing w:before="100" w:beforeAutospacing="1" w:after="100" w:afterAutospacing="1" w:line="293" w:lineRule="atLeast"/>
              <w:rPr>
                <w:rFonts w:eastAsia="Times New Roman" w:cs="Times New Roman"/>
                <w:sz w:val="24"/>
                <w:szCs w:val="24"/>
              </w:rPr>
            </w:pPr>
            <w:r w:rsidRPr="008B3325">
              <w:rPr>
                <w:rFonts w:eastAsia="Times New Roman" w:cs="Times New Roman"/>
                <w:sz w:val="24"/>
                <w:szCs w:val="24"/>
              </w:rPr>
              <w:t>Nav.</w:t>
            </w:r>
          </w:p>
        </w:tc>
      </w:tr>
    </w:tbl>
    <w:p w:rsidR="002A7ABF" w:rsidRDefault="002A7ABF"/>
    <w:p w:rsidR="00340912" w:rsidRDefault="00D11E3C" w:rsidP="00E630B7">
      <w:pPr>
        <w:pStyle w:val="naisf"/>
        <w:tabs>
          <w:tab w:val="left" w:pos="6710"/>
        </w:tabs>
        <w:spacing w:before="0" w:after="120"/>
        <w:rPr>
          <w:szCs w:val="24"/>
        </w:rPr>
      </w:pPr>
      <w:r w:rsidRPr="00D70622">
        <w:rPr>
          <w:i/>
          <w:szCs w:val="28"/>
        </w:rPr>
        <w:t>Anotācijas IV</w:t>
      </w:r>
      <w:r>
        <w:rPr>
          <w:i/>
          <w:szCs w:val="28"/>
        </w:rPr>
        <w:t xml:space="preserve"> sadaļa</w:t>
      </w:r>
      <w:r w:rsidRPr="00D70622">
        <w:rPr>
          <w:i/>
          <w:szCs w:val="28"/>
        </w:rPr>
        <w:t xml:space="preserve"> -  projekts š</w:t>
      </w:r>
      <w:r>
        <w:rPr>
          <w:i/>
          <w:szCs w:val="28"/>
        </w:rPr>
        <w:t>o</w:t>
      </w:r>
      <w:r w:rsidRPr="00D70622">
        <w:rPr>
          <w:i/>
          <w:szCs w:val="28"/>
        </w:rPr>
        <w:t xml:space="preserve"> jom</w:t>
      </w:r>
      <w:r>
        <w:rPr>
          <w:i/>
          <w:szCs w:val="28"/>
        </w:rPr>
        <w:t>u</w:t>
      </w:r>
      <w:r w:rsidRPr="00D70622">
        <w:rPr>
          <w:i/>
          <w:szCs w:val="28"/>
        </w:rPr>
        <w:t xml:space="preserve"> neskar.</w:t>
      </w:r>
    </w:p>
    <w:p w:rsidR="00340912" w:rsidRDefault="00340912" w:rsidP="00E630B7">
      <w:pPr>
        <w:pStyle w:val="naisf"/>
        <w:tabs>
          <w:tab w:val="left" w:pos="6710"/>
        </w:tabs>
        <w:spacing w:before="0" w:after="120"/>
        <w:rPr>
          <w:szCs w:val="24"/>
        </w:rPr>
      </w:pPr>
    </w:p>
    <w:p w:rsidR="00E630B7" w:rsidRPr="00380DA5" w:rsidRDefault="00E630B7" w:rsidP="00E630B7">
      <w:pPr>
        <w:pStyle w:val="naisf"/>
        <w:tabs>
          <w:tab w:val="left" w:pos="6710"/>
        </w:tabs>
        <w:spacing w:before="0" w:after="120"/>
        <w:rPr>
          <w:szCs w:val="24"/>
        </w:rPr>
      </w:pPr>
      <w:r>
        <w:rPr>
          <w:szCs w:val="24"/>
        </w:rPr>
        <w:t>Ekonomikas ministrs</w:t>
      </w:r>
      <w:r>
        <w:rPr>
          <w:szCs w:val="24"/>
        </w:rPr>
        <w:tab/>
      </w:r>
      <w:r>
        <w:rPr>
          <w:szCs w:val="24"/>
        </w:rPr>
        <w:tab/>
        <w:t xml:space="preserve">     V</w:t>
      </w:r>
      <w:r w:rsidRPr="00380DA5">
        <w:rPr>
          <w:szCs w:val="24"/>
        </w:rPr>
        <w:t>.</w:t>
      </w:r>
      <w:r>
        <w:rPr>
          <w:szCs w:val="24"/>
        </w:rPr>
        <w:t>Dombrovskis</w:t>
      </w:r>
    </w:p>
    <w:p w:rsidR="00E630B7" w:rsidRPr="00380DA5" w:rsidRDefault="00E630B7" w:rsidP="00E630B7">
      <w:pPr>
        <w:pStyle w:val="EnvelopeReturn"/>
        <w:spacing w:before="0"/>
        <w:rPr>
          <w:sz w:val="24"/>
          <w:szCs w:val="24"/>
          <w:lang w:val="lv-LV"/>
        </w:rPr>
      </w:pPr>
    </w:p>
    <w:p w:rsidR="00E630B7" w:rsidRDefault="00E630B7" w:rsidP="00E630B7">
      <w:pPr>
        <w:pStyle w:val="EnvelopeReturn"/>
        <w:spacing w:before="0"/>
        <w:rPr>
          <w:sz w:val="24"/>
          <w:szCs w:val="24"/>
          <w:lang w:val="lv-LV"/>
        </w:rPr>
      </w:pPr>
    </w:p>
    <w:p w:rsidR="00E630B7" w:rsidRDefault="00E630B7" w:rsidP="00E630B7">
      <w:pPr>
        <w:pStyle w:val="EnvelopeReturn"/>
        <w:spacing w:before="0"/>
        <w:rPr>
          <w:sz w:val="24"/>
          <w:szCs w:val="24"/>
          <w:lang w:val="lv-LV"/>
        </w:rPr>
      </w:pPr>
    </w:p>
    <w:p w:rsidR="00E630B7" w:rsidRPr="00380DA5" w:rsidRDefault="00E630B7" w:rsidP="00E630B7">
      <w:pPr>
        <w:pStyle w:val="EnvelopeReturn"/>
        <w:spacing w:before="0"/>
        <w:rPr>
          <w:sz w:val="24"/>
          <w:szCs w:val="24"/>
          <w:lang w:val="lv-LV"/>
        </w:rPr>
      </w:pPr>
      <w:r w:rsidRPr="00380DA5">
        <w:rPr>
          <w:sz w:val="24"/>
          <w:szCs w:val="24"/>
          <w:lang w:val="lv-LV"/>
        </w:rPr>
        <w:t>Vīza: Valsts sekretār</w:t>
      </w:r>
      <w:r w:rsidR="00445035">
        <w:rPr>
          <w:sz w:val="24"/>
          <w:szCs w:val="24"/>
          <w:lang w:val="lv-LV"/>
        </w:rPr>
        <w:t>s</w:t>
      </w:r>
      <w:r w:rsidR="00445035">
        <w:rPr>
          <w:sz w:val="24"/>
          <w:szCs w:val="24"/>
          <w:lang w:val="lv-LV"/>
        </w:rPr>
        <w:tab/>
      </w:r>
      <w:r w:rsidR="00445035">
        <w:rPr>
          <w:sz w:val="24"/>
          <w:szCs w:val="24"/>
          <w:lang w:val="lv-LV"/>
        </w:rPr>
        <w:tab/>
      </w:r>
      <w:r w:rsidR="00445035">
        <w:rPr>
          <w:sz w:val="24"/>
          <w:szCs w:val="24"/>
          <w:lang w:val="lv-LV"/>
        </w:rPr>
        <w:tab/>
      </w:r>
      <w:r w:rsidR="00445035">
        <w:rPr>
          <w:sz w:val="24"/>
          <w:szCs w:val="24"/>
          <w:lang w:val="lv-LV"/>
        </w:rPr>
        <w:tab/>
      </w:r>
      <w:r w:rsidR="00445035">
        <w:rPr>
          <w:sz w:val="24"/>
          <w:szCs w:val="24"/>
          <w:lang w:val="lv-LV"/>
        </w:rPr>
        <w:tab/>
      </w:r>
      <w:r w:rsidR="00445035">
        <w:rPr>
          <w:sz w:val="24"/>
          <w:szCs w:val="24"/>
          <w:lang w:val="lv-LV"/>
        </w:rPr>
        <w:tab/>
      </w:r>
      <w:r w:rsidR="00445035">
        <w:rPr>
          <w:sz w:val="24"/>
          <w:szCs w:val="24"/>
          <w:lang w:val="lv-LV"/>
        </w:rPr>
        <w:tab/>
      </w:r>
      <w:r w:rsidR="00445035">
        <w:rPr>
          <w:sz w:val="24"/>
          <w:szCs w:val="24"/>
          <w:lang w:val="lv-LV"/>
        </w:rPr>
        <w:tab/>
        <w:t xml:space="preserve">       M.Lazdovskis</w:t>
      </w:r>
    </w:p>
    <w:p w:rsidR="00E630B7" w:rsidRDefault="00E630B7" w:rsidP="00E630B7">
      <w:pPr>
        <w:jc w:val="both"/>
        <w:rPr>
          <w:color w:val="000000"/>
          <w:sz w:val="20"/>
        </w:rPr>
      </w:pPr>
    </w:p>
    <w:p w:rsidR="00445035" w:rsidRDefault="00445035" w:rsidP="00E630B7">
      <w:pPr>
        <w:jc w:val="both"/>
        <w:rPr>
          <w:color w:val="000000"/>
          <w:sz w:val="20"/>
        </w:rPr>
      </w:pPr>
    </w:p>
    <w:p w:rsidR="00E630B7" w:rsidRPr="00D97559" w:rsidRDefault="00006C29" w:rsidP="00E630B7">
      <w:pPr>
        <w:jc w:val="both"/>
        <w:rPr>
          <w:b/>
          <w:color w:val="000000"/>
          <w:sz w:val="20"/>
        </w:rPr>
      </w:pPr>
      <w:r>
        <w:rPr>
          <w:color w:val="000000"/>
          <w:sz w:val="20"/>
        </w:rPr>
        <w:t>17</w:t>
      </w:r>
      <w:r w:rsidR="00445035">
        <w:rPr>
          <w:color w:val="000000"/>
          <w:sz w:val="20"/>
        </w:rPr>
        <w:t>.</w:t>
      </w:r>
      <w:r w:rsidR="008E6289">
        <w:rPr>
          <w:color w:val="000000"/>
          <w:sz w:val="20"/>
        </w:rPr>
        <w:t>1</w:t>
      </w:r>
      <w:r w:rsidR="00445035">
        <w:rPr>
          <w:color w:val="000000"/>
          <w:sz w:val="20"/>
        </w:rPr>
        <w:t>0</w:t>
      </w:r>
      <w:r w:rsidR="00E200DF">
        <w:rPr>
          <w:color w:val="000000"/>
          <w:sz w:val="20"/>
        </w:rPr>
        <w:t xml:space="preserve">.2014  </w:t>
      </w:r>
      <w:r>
        <w:rPr>
          <w:color w:val="000000"/>
          <w:sz w:val="20"/>
        </w:rPr>
        <w:t>10</w:t>
      </w:r>
      <w:r w:rsidR="00E07B66">
        <w:rPr>
          <w:color w:val="000000"/>
          <w:sz w:val="20"/>
        </w:rPr>
        <w:t>:</w:t>
      </w:r>
      <w:r w:rsidR="00EE5927">
        <w:rPr>
          <w:color w:val="000000"/>
          <w:sz w:val="20"/>
        </w:rPr>
        <w:t>3</w:t>
      </w:r>
      <w:r w:rsidR="00E07B66">
        <w:rPr>
          <w:color w:val="000000"/>
          <w:sz w:val="20"/>
        </w:rPr>
        <w:t>0</w:t>
      </w:r>
    </w:p>
    <w:p w:rsidR="00E630B7" w:rsidRDefault="00F709A3" w:rsidP="00E630B7">
      <w:pPr>
        <w:jc w:val="both"/>
        <w:rPr>
          <w:color w:val="000000"/>
          <w:sz w:val="20"/>
        </w:rPr>
      </w:pPr>
      <w:r>
        <w:rPr>
          <w:color w:val="000000"/>
          <w:sz w:val="20"/>
        </w:rPr>
        <w:t>2</w:t>
      </w:r>
      <w:r w:rsidR="00006C29">
        <w:rPr>
          <w:color w:val="000000"/>
          <w:sz w:val="20"/>
        </w:rPr>
        <w:t>700</w:t>
      </w:r>
    </w:p>
    <w:p w:rsidR="00E630B7" w:rsidRPr="00CC6D14" w:rsidRDefault="008E6289" w:rsidP="00E630B7">
      <w:pPr>
        <w:rPr>
          <w:sz w:val="20"/>
          <w:lang w:eastAsia="en-US"/>
        </w:rPr>
      </w:pPr>
      <w:r>
        <w:rPr>
          <w:sz w:val="20"/>
          <w:lang w:eastAsia="en-US"/>
        </w:rPr>
        <w:t>E.Grūbe</w:t>
      </w:r>
      <w:r w:rsidR="00E630B7">
        <w:rPr>
          <w:sz w:val="20"/>
          <w:lang w:eastAsia="en-US"/>
        </w:rPr>
        <w:t>, 67013</w:t>
      </w:r>
      <w:r>
        <w:rPr>
          <w:sz w:val="20"/>
          <w:lang w:eastAsia="en-US"/>
        </w:rPr>
        <w:t>022</w:t>
      </w:r>
    </w:p>
    <w:p w:rsidR="00E630B7" w:rsidRDefault="00867A7E" w:rsidP="00E630B7">
      <w:pPr>
        <w:jc w:val="both"/>
        <w:rPr>
          <w:sz w:val="20"/>
          <w:lang w:eastAsia="en-US"/>
        </w:rPr>
      </w:pPr>
      <w:hyperlink r:id="rId9" w:history="1">
        <w:r w:rsidR="008E6289" w:rsidRPr="00E11279">
          <w:rPr>
            <w:rStyle w:val="Hyperlink"/>
            <w:sz w:val="20"/>
            <w:lang w:eastAsia="en-US"/>
          </w:rPr>
          <w:t>Evita.Grube@em.gov.lv</w:t>
        </w:r>
      </w:hyperlink>
      <w:r w:rsidR="00E630B7">
        <w:rPr>
          <w:sz w:val="20"/>
          <w:lang w:eastAsia="en-US"/>
        </w:rPr>
        <w:t xml:space="preserve"> </w:t>
      </w:r>
    </w:p>
    <w:p w:rsidR="008E6289" w:rsidRDefault="008E6289" w:rsidP="00E630B7">
      <w:pPr>
        <w:jc w:val="both"/>
        <w:rPr>
          <w:sz w:val="20"/>
          <w:lang w:eastAsia="en-US"/>
        </w:rPr>
      </w:pPr>
    </w:p>
    <w:p w:rsidR="008E6289" w:rsidRDefault="008E6289" w:rsidP="00E630B7">
      <w:pPr>
        <w:jc w:val="both"/>
        <w:rPr>
          <w:sz w:val="20"/>
          <w:lang w:eastAsia="en-US"/>
        </w:rPr>
      </w:pPr>
      <w:r>
        <w:rPr>
          <w:sz w:val="20"/>
          <w:lang w:eastAsia="en-US"/>
        </w:rPr>
        <w:t>U.Vanaga, 67013129</w:t>
      </w:r>
    </w:p>
    <w:p w:rsidR="008E6289" w:rsidRDefault="00867A7E" w:rsidP="00E630B7">
      <w:pPr>
        <w:jc w:val="both"/>
        <w:rPr>
          <w:sz w:val="20"/>
          <w:lang w:eastAsia="en-US"/>
        </w:rPr>
      </w:pPr>
      <w:hyperlink r:id="rId10" w:history="1">
        <w:r w:rsidR="008E6289" w:rsidRPr="00E11279">
          <w:rPr>
            <w:rStyle w:val="Hyperlink"/>
            <w:sz w:val="20"/>
            <w:lang w:eastAsia="en-US"/>
          </w:rPr>
          <w:t>Una.Vanaga@em.gov.lv</w:t>
        </w:r>
      </w:hyperlink>
    </w:p>
    <w:p w:rsidR="008E6289" w:rsidRPr="004B111A" w:rsidRDefault="008E6289" w:rsidP="00E630B7">
      <w:pPr>
        <w:jc w:val="both"/>
        <w:rPr>
          <w:sz w:val="20"/>
        </w:rPr>
      </w:pPr>
    </w:p>
    <w:p w:rsidR="00E630B7" w:rsidRDefault="00E630B7"/>
    <w:sectPr w:rsidR="00E630B7" w:rsidSect="00307AFC">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2E" w:rsidRDefault="00DE312E" w:rsidP="00307AFC">
      <w:r>
        <w:separator/>
      </w:r>
    </w:p>
  </w:endnote>
  <w:endnote w:type="continuationSeparator" w:id="0">
    <w:p w:rsidR="00DE312E" w:rsidRDefault="00DE312E" w:rsidP="003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80" w:rsidRPr="00307AFC" w:rsidRDefault="00E200DF" w:rsidP="00307AFC">
    <w:pPr>
      <w:jc w:val="both"/>
      <w:rPr>
        <w:sz w:val="20"/>
        <w:szCs w:val="20"/>
      </w:rPr>
    </w:pPr>
    <w:r>
      <w:rPr>
        <w:sz w:val="20"/>
        <w:szCs w:val="20"/>
      </w:rPr>
      <w:t>EMAnot_</w:t>
    </w:r>
    <w:r w:rsidR="00006C29">
      <w:rPr>
        <w:sz w:val="20"/>
        <w:szCs w:val="20"/>
      </w:rPr>
      <w:t>17</w:t>
    </w:r>
    <w:r w:rsidR="007D4427">
      <w:rPr>
        <w:sz w:val="20"/>
        <w:szCs w:val="20"/>
      </w:rPr>
      <w:t>10</w:t>
    </w:r>
    <w:r w:rsidR="005C7080" w:rsidRPr="00307AFC">
      <w:rPr>
        <w:sz w:val="20"/>
        <w:szCs w:val="20"/>
      </w:rPr>
      <w:t>2014_NORProgramma; Ministru kabineta noteikumu projekta „Grozījumi Ministru kabineta 2013.gada 10.decembra noteikumos Nr.1442 „Norvēģijas finanšu instrumenta 2009.–2014.gada perioda programmas "Inovācijas "zaļās" ražošanas jomā" atklāta projektu konkursa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80" w:rsidRPr="00307AFC" w:rsidRDefault="00EE5927" w:rsidP="00307AFC">
    <w:pPr>
      <w:jc w:val="both"/>
      <w:rPr>
        <w:sz w:val="20"/>
        <w:szCs w:val="20"/>
      </w:rPr>
    </w:pPr>
    <w:r>
      <w:rPr>
        <w:sz w:val="20"/>
        <w:szCs w:val="20"/>
      </w:rPr>
      <w:t>EMAnot_</w:t>
    </w:r>
    <w:r w:rsidR="00006C29">
      <w:rPr>
        <w:sz w:val="20"/>
        <w:szCs w:val="20"/>
      </w:rPr>
      <w:t>17</w:t>
    </w:r>
    <w:r>
      <w:rPr>
        <w:sz w:val="20"/>
        <w:szCs w:val="20"/>
      </w:rPr>
      <w:t>10</w:t>
    </w:r>
    <w:r w:rsidR="005C7080" w:rsidRPr="00307AFC">
      <w:rPr>
        <w:sz w:val="20"/>
        <w:szCs w:val="20"/>
      </w:rPr>
      <w:t>2014_NORProgramma; Ministru kabineta noteikumu projekta „Grozījumi Ministru kabineta 2013.gada 10.decembra noteikumos Nr.1442 „Norvēģijas finanšu instrumenta 2009.–2014.gada perioda programmas "Inovācijas "zaļās" ražošanas jomā" atklāta projektu konkursa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2E" w:rsidRDefault="00DE312E" w:rsidP="00307AFC">
      <w:r>
        <w:separator/>
      </w:r>
    </w:p>
  </w:footnote>
  <w:footnote w:type="continuationSeparator" w:id="0">
    <w:p w:rsidR="00DE312E" w:rsidRDefault="00DE312E" w:rsidP="00307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93809"/>
      <w:docPartObj>
        <w:docPartGallery w:val="Page Numbers (Top of Page)"/>
        <w:docPartUnique/>
      </w:docPartObj>
    </w:sdtPr>
    <w:sdtEndPr>
      <w:rPr>
        <w:noProof/>
      </w:rPr>
    </w:sdtEndPr>
    <w:sdtContent>
      <w:p w:rsidR="005C7080" w:rsidRDefault="005C7080">
        <w:pPr>
          <w:pStyle w:val="Header"/>
          <w:jc w:val="center"/>
        </w:pPr>
        <w:r>
          <w:fldChar w:fldCharType="begin"/>
        </w:r>
        <w:r>
          <w:instrText xml:space="preserve"> PAGE   \* MERGEFORMAT </w:instrText>
        </w:r>
        <w:r>
          <w:fldChar w:fldCharType="separate"/>
        </w:r>
        <w:r w:rsidR="00867A7E">
          <w:rPr>
            <w:noProof/>
          </w:rPr>
          <w:t>2</w:t>
        </w:r>
        <w:r>
          <w:rPr>
            <w:noProof/>
          </w:rPr>
          <w:fldChar w:fldCharType="end"/>
        </w:r>
      </w:p>
    </w:sdtContent>
  </w:sdt>
  <w:p w:rsidR="005C7080" w:rsidRDefault="005C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D27"/>
    <w:multiLevelType w:val="hybridMultilevel"/>
    <w:tmpl w:val="35B4B20C"/>
    <w:lvl w:ilvl="0" w:tplc="04260001">
      <w:start w:val="1"/>
      <w:numFmt w:val="bullet"/>
      <w:lvlText w:val=""/>
      <w:lvlJc w:val="left"/>
      <w:pPr>
        <w:ind w:left="735" w:hanging="360"/>
      </w:pPr>
      <w:rPr>
        <w:rFonts w:ascii="Symbol" w:hAnsi="Symbol"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046922"/>
    <w:multiLevelType w:val="multilevel"/>
    <w:tmpl w:val="8BA227B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B273FE9"/>
    <w:multiLevelType w:val="hybridMultilevel"/>
    <w:tmpl w:val="084215EC"/>
    <w:lvl w:ilvl="0" w:tplc="2C424D4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BB"/>
    <w:rsid w:val="00006C29"/>
    <w:rsid w:val="00045620"/>
    <w:rsid w:val="0006487E"/>
    <w:rsid w:val="00067CFB"/>
    <w:rsid w:val="00071586"/>
    <w:rsid w:val="00077B7C"/>
    <w:rsid w:val="000840ED"/>
    <w:rsid w:val="0009085D"/>
    <w:rsid w:val="000C48EC"/>
    <w:rsid w:val="000C4EA1"/>
    <w:rsid w:val="000E21A6"/>
    <w:rsid w:val="000E25AB"/>
    <w:rsid w:val="000E3AB0"/>
    <w:rsid w:val="000F3EDF"/>
    <w:rsid w:val="000F531E"/>
    <w:rsid w:val="001058C2"/>
    <w:rsid w:val="0012374B"/>
    <w:rsid w:val="00153416"/>
    <w:rsid w:val="001D1BE8"/>
    <w:rsid w:val="001D4C8A"/>
    <w:rsid w:val="001E780E"/>
    <w:rsid w:val="001F18D6"/>
    <w:rsid w:val="002065D0"/>
    <w:rsid w:val="002265E7"/>
    <w:rsid w:val="0024088D"/>
    <w:rsid w:val="00247B34"/>
    <w:rsid w:val="00252330"/>
    <w:rsid w:val="00270770"/>
    <w:rsid w:val="00274191"/>
    <w:rsid w:val="00294992"/>
    <w:rsid w:val="002A7ABF"/>
    <w:rsid w:val="002A7D27"/>
    <w:rsid w:val="002C6DA9"/>
    <w:rsid w:val="002E52D7"/>
    <w:rsid w:val="002F3714"/>
    <w:rsid w:val="00307AFC"/>
    <w:rsid w:val="00320498"/>
    <w:rsid w:val="00330F72"/>
    <w:rsid w:val="003369B6"/>
    <w:rsid w:val="00340912"/>
    <w:rsid w:val="00365D2C"/>
    <w:rsid w:val="003C66D1"/>
    <w:rsid w:val="003F0129"/>
    <w:rsid w:val="003F6F7A"/>
    <w:rsid w:val="00425A56"/>
    <w:rsid w:val="00445035"/>
    <w:rsid w:val="00453D77"/>
    <w:rsid w:val="00454002"/>
    <w:rsid w:val="00483DEF"/>
    <w:rsid w:val="004856EA"/>
    <w:rsid w:val="004930FD"/>
    <w:rsid w:val="004B16BF"/>
    <w:rsid w:val="004F3691"/>
    <w:rsid w:val="00512B0A"/>
    <w:rsid w:val="005231C1"/>
    <w:rsid w:val="00531997"/>
    <w:rsid w:val="005948D0"/>
    <w:rsid w:val="005C7080"/>
    <w:rsid w:val="00602A7C"/>
    <w:rsid w:val="0061050C"/>
    <w:rsid w:val="0062243B"/>
    <w:rsid w:val="0067068F"/>
    <w:rsid w:val="00681021"/>
    <w:rsid w:val="006A1728"/>
    <w:rsid w:val="006A56A8"/>
    <w:rsid w:val="006B31FD"/>
    <w:rsid w:val="006F3C2B"/>
    <w:rsid w:val="007101F2"/>
    <w:rsid w:val="007130B4"/>
    <w:rsid w:val="007229BB"/>
    <w:rsid w:val="007450A9"/>
    <w:rsid w:val="00773C02"/>
    <w:rsid w:val="0078226E"/>
    <w:rsid w:val="007C3B7C"/>
    <w:rsid w:val="007D4427"/>
    <w:rsid w:val="007E165A"/>
    <w:rsid w:val="00826345"/>
    <w:rsid w:val="00867A7E"/>
    <w:rsid w:val="008A61E3"/>
    <w:rsid w:val="008B3325"/>
    <w:rsid w:val="008E6289"/>
    <w:rsid w:val="008F0D85"/>
    <w:rsid w:val="008F4BA3"/>
    <w:rsid w:val="0090299E"/>
    <w:rsid w:val="00904374"/>
    <w:rsid w:val="009B454E"/>
    <w:rsid w:val="009C0BE2"/>
    <w:rsid w:val="009C572B"/>
    <w:rsid w:val="00A06BA9"/>
    <w:rsid w:val="00A1023E"/>
    <w:rsid w:val="00A117F7"/>
    <w:rsid w:val="00A1229E"/>
    <w:rsid w:val="00A9141D"/>
    <w:rsid w:val="00A946A4"/>
    <w:rsid w:val="00AB6246"/>
    <w:rsid w:val="00AC52A4"/>
    <w:rsid w:val="00AD37EF"/>
    <w:rsid w:val="00B1009D"/>
    <w:rsid w:val="00B27EED"/>
    <w:rsid w:val="00B51D98"/>
    <w:rsid w:val="00B55B00"/>
    <w:rsid w:val="00B72DC4"/>
    <w:rsid w:val="00B952ED"/>
    <w:rsid w:val="00B96AE9"/>
    <w:rsid w:val="00BA3C1F"/>
    <w:rsid w:val="00BB05B6"/>
    <w:rsid w:val="00BF2DBC"/>
    <w:rsid w:val="00BF623D"/>
    <w:rsid w:val="00C04EC5"/>
    <w:rsid w:val="00C10DE0"/>
    <w:rsid w:val="00C851E0"/>
    <w:rsid w:val="00C90CE3"/>
    <w:rsid w:val="00CB71DA"/>
    <w:rsid w:val="00CD203F"/>
    <w:rsid w:val="00CD6D6C"/>
    <w:rsid w:val="00CF7421"/>
    <w:rsid w:val="00D11E3C"/>
    <w:rsid w:val="00D307D1"/>
    <w:rsid w:val="00D461D9"/>
    <w:rsid w:val="00D5115C"/>
    <w:rsid w:val="00D6386A"/>
    <w:rsid w:val="00DA0E5A"/>
    <w:rsid w:val="00DB6431"/>
    <w:rsid w:val="00DB76A4"/>
    <w:rsid w:val="00DD3F80"/>
    <w:rsid w:val="00DE312E"/>
    <w:rsid w:val="00DF0F6C"/>
    <w:rsid w:val="00E07B66"/>
    <w:rsid w:val="00E1552C"/>
    <w:rsid w:val="00E200DF"/>
    <w:rsid w:val="00E2174D"/>
    <w:rsid w:val="00E24C3C"/>
    <w:rsid w:val="00E326EE"/>
    <w:rsid w:val="00E46D58"/>
    <w:rsid w:val="00E473BE"/>
    <w:rsid w:val="00E50353"/>
    <w:rsid w:val="00E630B7"/>
    <w:rsid w:val="00E8145A"/>
    <w:rsid w:val="00E82CB1"/>
    <w:rsid w:val="00E85A1E"/>
    <w:rsid w:val="00E9606E"/>
    <w:rsid w:val="00EB0726"/>
    <w:rsid w:val="00EC4CE6"/>
    <w:rsid w:val="00EC6E7A"/>
    <w:rsid w:val="00EE285B"/>
    <w:rsid w:val="00EE55A7"/>
    <w:rsid w:val="00EE5927"/>
    <w:rsid w:val="00F16D4D"/>
    <w:rsid w:val="00F40139"/>
    <w:rsid w:val="00F709A3"/>
    <w:rsid w:val="00F75718"/>
    <w:rsid w:val="00FC1C5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heme="minorBidi"/>
        <w:sz w:val="28"/>
        <w:szCs w:val="22"/>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229B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7229BB"/>
  </w:style>
  <w:style w:type="character" w:styleId="Hyperlink">
    <w:name w:val="Hyperlink"/>
    <w:basedOn w:val="DefaultParagraphFont"/>
    <w:uiPriority w:val="99"/>
    <w:unhideWhenUsed/>
    <w:rsid w:val="007229BB"/>
    <w:rPr>
      <w:color w:val="0000FF"/>
      <w:u w:val="single"/>
    </w:rPr>
  </w:style>
  <w:style w:type="paragraph" w:customStyle="1" w:styleId="tvhtml">
    <w:name w:val="tv_html"/>
    <w:basedOn w:val="Normal"/>
    <w:rsid w:val="007229BB"/>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454002"/>
    <w:pPr>
      <w:ind w:left="720"/>
      <w:contextualSpacing/>
    </w:pPr>
  </w:style>
  <w:style w:type="character" w:styleId="CommentReference">
    <w:name w:val="annotation reference"/>
    <w:basedOn w:val="DefaultParagraphFont"/>
    <w:uiPriority w:val="99"/>
    <w:semiHidden/>
    <w:unhideWhenUsed/>
    <w:rsid w:val="00DB6431"/>
    <w:rPr>
      <w:sz w:val="16"/>
      <w:szCs w:val="16"/>
    </w:rPr>
  </w:style>
  <w:style w:type="paragraph" w:styleId="CommentText">
    <w:name w:val="annotation text"/>
    <w:basedOn w:val="Normal"/>
    <w:link w:val="CommentTextChar"/>
    <w:uiPriority w:val="99"/>
    <w:unhideWhenUsed/>
    <w:rsid w:val="00DB6431"/>
    <w:rPr>
      <w:sz w:val="20"/>
      <w:szCs w:val="20"/>
    </w:rPr>
  </w:style>
  <w:style w:type="character" w:customStyle="1" w:styleId="CommentTextChar">
    <w:name w:val="Comment Text Char"/>
    <w:basedOn w:val="DefaultParagraphFont"/>
    <w:link w:val="CommentText"/>
    <w:uiPriority w:val="99"/>
    <w:rsid w:val="00DB6431"/>
    <w:rPr>
      <w:sz w:val="20"/>
      <w:szCs w:val="20"/>
    </w:rPr>
  </w:style>
  <w:style w:type="paragraph" w:styleId="CommentSubject">
    <w:name w:val="annotation subject"/>
    <w:basedOn w:val="CommentText"/>
    <w:next w:val="CommentText"/>
    <w:link w:val="CommentSubjectChar"/>
    <w:uiPriority w:val="99"/>
    <w:semiHidden/>
    <w:unhideWhenUsed/>
    <w:rsid w:val="00DB6431"/>
    <w:rPr>
      <w:b/>
      <w:bCs/>
    </w:rPr>
  </w:style>
  <w:style w:type="character" w:customStyle="1" w:styleId="CommentSubjectChar">
    <w:name w:val="Comment Subject Char"/>
    <w:basedOn w:val="CommentTextChar"/>
    <w:link w:val="CommentSubject"/>
    <w:uiPriority w:val="99"/>
    <w:semiHidden/>
    <w:rsid w:val="00DB6431"/>
    <w:rPr>
      <w:b/>
      <w:bCs/>
      <w:sz w:val="20"/>
      <w:szCs w:val="20"/>
    </w:rPr>
  </w:style>
  <w:style w:type="paragraph" w:styleId="BalloonText">
    <w:name w:val="Balloon Text"/>
    <w:basedOn w:val="Normal"/>
    <w:link w:val="BalloonTextChar"/>
    <w:uiPriority w:val="99"/>
    <w:semiHidden/>
    <w:unhideWhenUsed/>
    <w:rsid w:val="00DB6431"/>
    <w:rPr>
      <w:rFonts w:ascii="Tahoma" w:hAnsi="Tahoma" w:cs="Tahoma"/>
      <w:sz w:val="16"/>
      <w:szCs w:val="16"/>
    </w:rPr>
  </w:style>
  <w:style w:type="character" w:customStyle="1" w:styleId="BalloonTextChar">
    <w:name w:val="Balloon Text Char"/>
    <w:basedOn w:val="DefaultParagraphFont"/>
    <w:link w:val="BalloonText"/>
    <w:uiPriority w:val="99"/>
    <w:semiHidden/>
    <w:rsid w:val="00DB6431"/>
    <w:rPr>
      <w:rFonts w:ascii="Tahoma" w:hAnsi="Tahoma" w:cs="Tahoma"/>
      <w:sz w:val="16"/>
      <w:szCs w:val="16"/>
    </w:rPr>
  </w:style>
  <w:style w:type="paragraph" w:customStyle="1" w:styleId="naisf">
    <w:name w:val="naisf"/>
    <w:basedOn w:val="Normal"/>
    <w:rsid w:val="00E630B7"/>
    <w:pPr>
      <w:spacing w:before="100" w:after="100"/>
    </w:pPr>
    <w:rPr>
      <w:rFonts w:eastAsia="Times New Roman" w:cs="Times New Roman"/>
      <w:sz w:val="24"/>
      <w:szCs w:val="20"/>
      <w:lang w:eastAsia="lv-LV"/>
    </w:rPr>
  </w:style>
  <w:style w:type="paragraph" w:styleId="EnvelopeReturn">
    <w:name w:val="envelope return"/>
    <w:basedOn w:val="Normal"/>
    <w:semiHidden/>
    <w:rsid w:val="00E630B7"/>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07AFC"/>
    <w:pPr>
      <w:tabs>
        <w:tab w:val="center" w:pos="4153"/>
        <w:tab w:val="right" w:pos="8306"/>
      </w:tabs>
    </w:pPr>
  </w:style>
  <w:style w:type="character" w:customStyle="1" w:styleId="HeaderChar">
    <w:name w:val="Header Char"/>
    <w:basedOn w:val="DefaultParagraphFont"/>
    <w:link w:val="Header"/>
    <w:uiPriority w:val="99"/>
    <w:rsid w:val="00307AFC"/>
  </w:style>
  <w:style w:type="paragraph" w:styleId="Footer">
    <w:name w:val="footer"/>
    <w:basedOn w:val="Normal"/>
    <w:link w:val="FooterChar"/>
    <w:uiPriority w:val="99"/>
    <w:unhideWhenUsed/>
    <w:rsid w:val="00307AFC"/>
    <w:pPr>
      <w:tabs>
        <w:tab w:val="center" w:pos="4153"/>
        <w:tab w:val="right" w:pos="8306"/>
      </w:tabs>
    </w:pPr>
  </w:style>
  <w:style w:type="character" w:customStyle="1" w:styleId="FooterChar">
    <w:name w:val="Footer Char"/>
    <w:basedOn w:val="DefaultParagraphFont"/>
    <w:link w:val="Footer"/>
    <w:uiPriority w:val="99"/>
    <w:rsid w:val="0030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heme="minorBidi"/>
        <w:sz w:val="28"/>
        <w:szCs w:val="22"/>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229B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7229BB"/>
  </w:style>
  <w:style w:type="character" w:styleId="Hyperlink">
    <w:name w:val="Hyperlink"/>
    <w:basedOn w:val="DefaultParagraphFont"/>
    <w:uiPriority w:val="99"/>
    <w:unhideWhenUsed/>
    <w:rsid w:val="007229BB"/>
    <w:rPr>
      <w:color w:val="0000FF"/>
      <w:u w:val="single"/>
    </w:rPr>
  </w:style>
  <w:style w:type="paragraph" w:customStyle="1" w:styleId="tvhtml">
    <w:name w:val="tv_html"/>
    <w:basedOn w:val="Normal"/>
    <w:rsid w:val="007229BB"/>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454002"/>
    <w:pPr>
      <w:ind w:left="720"/>
      <w:contextualSpacing/>
    </w:pPr>
  </w:style>
  <w:style w:type="character" w:styleId="CommentReference">
    <w:name w:val="annotation reference"/>
    <w:basedOn w:val="DefaultParagraphFont"/>
    <w:uiPriority w:val="99"/>
    <w:semiHidden/>
    <w:unhideWhenUsed/>
    <w:rsid w:val="00DB6431"/>
    <w:rPr>
      <w:sz w:val="16"/>
      <w:szCs w:val="16"/>
    </w:rPr>
  </w:style>
  <w:style w:type="paragraph" w:styleId="CommentText">
    <w:name w:val="annotation text"/>
    <w:basedOn w:val="Normal"/>
    <w:link w:val="CommentTextChar"/>
    <w:uiPriority w:val="99"/>
    <w:unhideWhenUsed/>
    <w:rsid w:val="00DB6431"/>
    <w:rPr>
      <w:sz w:val="20"/>
      <w:szCs w:val="20"/>
    </w:rPr>
  </w:style>
  <w:style w:type="character" w:customStyle="1" w:styleId="CommentTextChar">
    <w:name w:val="Comment Text Char"/>
    <w:basedOn w:val="DefaultParagraphFont"/>
    <w:link w:val="CommentText"/>
    <w:uiPriority w:val="99"/>
    <w:rsid w:val="00DB6431"/>
    <w:rPr>
      <w:sz w:val="20"/>
      <w:szCs w:val="20"/>
    </w:rPr>
  </w:style>
  <w:style w:type="paragraph" w:styleId="CommentSubject">
    <w:name w:val="annotation subject"/>
    <w:basedOn w:val="CommentText"/>
    <w:next w:val="CommentText"/>
    <w:link w:val="CommentSubjectChar"/>
    <w:uiPriority w:val="99"/>
    <w:semiHidden/>
    <w:unhideWhenUsed/>
    <w:rsid w:val="00DB6431"/>
    <w:rPr>
      <w:b/>
      <w:bCs/>
    </w:rPr>
  </w:style>
  <w:style w:type="character" w:customStyle="1" w:styleId="CommentSubjectChar">
    <w:name w:val="Comment Subject Char"/>
    <w:basedOn w:val="CommentTextChar"/>
    <w:link w:val="CommentSubject"/>
    <w:uiPriority w:val="99"/>
    <w:semiHidden/>
    <w:rsid w:val="00DB6431"/>
    <w:rPr>
      <w:b/>
      <w:bCs/>
      <w:sz w:val="20"/>
      <w:szCs w:val="20"/>
    </w:rPr>
  </w:style>
  <w:style w:type="paragraph" w:styleId="BalloonText">
    <w:name w:val="Balloon Text"/>
    <w:basedOn w:val="Normal"/>
    <w:link w:val="BalloonTextChar"/>
    <w:uiPriority w:val="99"/>
    <w:semiHidden/>
    <w:unhideWhenUsed/>
    <w:rsid w:val="00DB6431"/>
    <w:rPr>
      <w:rFonts w:ascii="Tahoma" w:hAnsi="Tahoma" w:cs="Tahoma"/>
      <w:sz w:val="16"/>
      <w:szCs w:val="16"/>
    </w:rPr>
  </w:style>
  <w:style w:type="character" w:customStyle="1" w:styleId="BalloonTextChar">
    <w:name w:val="Balloon Text Char"/>
    <w:basedOn w:val="DefaultParagraphFont"/>
    <w:link w:val="BalloonText"/>
    <w:uiPriority w:val="99"/>
    <w:semiHidden/>
    <w:rsid w:val="00DB6431"/>
    <w:rPr>
      <w:rFonts w:ascii="Tahoma" w:hAnsi="Tahoma" w:cs="Tahoma"/>
      <w:sz w:val="16"/>
      <w:szCs w:val="16"/>
    </w:rPr>
  </w:style>
  <w:style w:type="paragraph" w:customStyle="1" w:styleId="naisf">
    <w:name w:val="naisf"/>
    <w:basedOn w:val="Normal"/>
    <w:rsid w:val="00E630B7"/>
    <w:pPr>
      <w:spacing w:before="100" w:after="100"/>
    </w:pPr>
    <w:rPr>
      <w:rFonts w:eastAsia="Times New Roman" w:cs="Times New Roman"/>
      <w:sz w:val="24"/>
      <w:szCs w:val="20"/>
      <w:lang w:eastAsia="lv-LV"/>
    </w:rPr>
  </w:style>
  <w:style w:type="paragraph" w:styleId="EnvelopeReturn">
    <w:name w:val="envelope return"/>
    <w:basedOn w:val="Normal"/>
    <w:semiHidden/>
    <w:rsid w:val="00E630B7"/>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07AFC"/>
    <w:pPr>
      <w:tabs>
        <w:tab w:val="center" w:pos="4153"/>
        <w:tab w:val="right" w:pos="8306"/>
      </w:tabs>
    </w:pPr>
  </w:style>
  <w:style w:type="character" w:customStyle="1" w:styleId="HeaderChar">
    <w:name w:val="Header Char"/>
    <w:basedOn w:val="DefaultParagraphFont"/>
    <w:link w:val="Header"/>
    <w:uiPriority w:val="99"/>
    <w:rsid w:val="00307AFC"/>
  </w:style>
  <w:style w:type="paragraph" w:styleId="Footer">
    <w:name w:val="footer"/>
    <w:basedOn w:val="Normal"/>
    <w:link w:val="FooterChar"/>
    <w:uiPriority w:val="99"/>
    <w:unhideWhenUsed/>
    <w:rsid w:val="00307AFC"/>
    <w:pPr>
      <w:tabs>
        <w:tab w:val="center" w:pos="4153"/>
        <w:tab w:val="right" w:pos="8306"/>
      </w:tabs>
    </w:pPr>
  </w:style>
  <w:style w:type="character" w:customStyle="1" w:styleId="FooterChar">
    <w:name w:val="Footer Char"/>
    <w:basedOn w:val="DefaultParagraphFont"/>
    <w:link w:val="Footer"/>
    <w:uiPriority w:val="99"/>
    <w:rsid w:val="0030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209">
      <w:bodyDiv w:val="1"/>
      <w:marLeft w:val="0"/>
      <w:marRight w:val="0"/>
      <w:marTop w:val="0"/>
      <w:marBottom w:val="0"/>
      <w:divBdr>
        <w:top w:val="none" w:sz="0" w:space="0" w:color="auto"/>
        <w:left w:val="none" w:sz="0" w:space="0" w:color="auto"/>
        <w:bottom w:val="none" w:sz="0" w:space="0" w:color="auto"/>
        <w:right w:val="none" w:sz="0" w:space="0" w:color="auto"/>
      </w:divBdr>
      <w:divsChild>
        <w:div w:id="1574386249">
          <w:marLeft w:val="0"/>
          <w:marRight w:val="0"/>
          <w:marTop w:val="400"/>
          <w:marBottom w:val="0"/>
          <w:divBdr>
            <w:top w:val="none" w:sz="0" w:space="0" w:color="auto"/>
            <w:left w:val="none" w:sz="0" w:space="0" w:color="auto"/>
            <w:bottom w:val="none" w:sz="0" w:space="0" w:color="auto"/>
            <w:right w:val="none" w:sz="0" w:space="0" w:color="auto"/>
          </w:divBdr>
        </w:div>
        <w:div w:id="1211265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na.Vanaga@em.gov.lv" TargetMode="External"/><Relationship Id="rId4" Type="http://schemas.microsoft.com/office/2007/relationships/stylesWithEffects" Target="stylesWithEffects.xml"/><Relationship Id="rId9" Type="http://schemas.openxmlformats.org/officeDocument/2006/relationships/hyperlink" Target="mailto:Evita.Grub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3E9D-8CA5-40AA-8082-08F9DD3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13895</Words>
  <Characters>7921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Kronberga</dc:creator>
  <cp:lastModifiedBy>Evita Grūbe</cp:lastModifiedBy>
  <cp:revision>5</cp:revision>
  <cp:lastPrinted>2014-10-17T08:49:00Z</cp:lastPrinted>
  <dcterms:created xsi:type="dcterms:W3CDTF">2014-10-17T07:30:00Z</dcterms:created>
  <dcterms:modified xsi:type="dcterms:W3CDTF">2014-10-17T12:15:00Z</dcterms:modified>
</cp:coreProperties>
</file>