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 w:val="26"/>
          <w:szCs w:val="26"/>
        </w:rPr>
      </w:pPr>
      <w:bookmarkStart w:id="0" w:name="OLE_LINK3"/>
      <w:bookmarkStart w:id="1" w:name="OLE_LINK1"/>
      <w:bookmarkStart w:id="2" w:name="OLE_LINK2"/>
      <w:r w:rsidRPr="00235168">
        <w:rPr>
          <w:b/>
          <w:sz w:val="26"/>
          <w:szCs w:val="26"/>
        </w:rPr>
        <w:t xml:space="preserve">Ministru kabineta </w:t>
      </w:r>
      <w:r w:rsidR="00C83591" w:rsidRPr="00235168">
        <w:rPr>
          <w:b/>
          <w:sz w:val="26"/>
          <w:szCs w:val="26"/>
        </w:rPr>
        <w:t>noteikumu</w:t>
      </w:r>
      <w:r w:rsidR="001764E7" w:rsidRPr="00235168">
        <w:rPr>
          <w:b/>
          <w:sz w:val="26"/>
          <w:szCs w:val="26"/>
        </w:rPr>
        <w:t xml:space="preserve"> </w:t>
      </w:r>
      <w:r w:rsidRPr="00235168">
        <w:rPr>
          <w:b/>
          <w:sz w:val="26"/>
          <w:szCs w:val="26"/>
        </w:rPr>
        <w:t xml:space="preserve">projekta </w:t>
      </w:r>
      <w:r w:rsidR="00634095" w:rsidRPr="00235168">
        <w:rPr>
          <w:b/>
          <w:sz w:val="26"/>
          <w:szCs w:val="26"/>
        </w:rPr>
        <w:t>„</w:t>
      </w:r>
      <w:r w:rsidR="0067603D" w:rsidRPr="0067603D">
        <w:rPr>
          <w:b/>
          <w:sz w:val="26"/>
          <w:szCs w:val="26"/>
        </w:rPr>
        <w:t xml:space="preserve">Grozījumi Ministru kabineta 2013.gada 24.septembra noteikumos Nr.898 „Noteikumi par apmācību nodrošināšanu saimnieciskās darbības uzsācējiem un personām, kas vēlas uzsākt saimniecisko darbību”” </w:t>
      </w:r>
      <w:r w:rsidR="003000F0" w:rsidRPr="00235168">
        <w:rPr>
          <w:b/>
          <w:sz w:val="26"/>
          <w:szCs w:val="26"/>
        </w:rPr>
        <w:t xml:space="preserve">sākotnējās ietekmes novērtējuma </w:t>
      </w:r>
      <w:smartTag w:uri="schemas-tilde-lv/tildestengine" w:element="veidnes">
        <w:smartTagPr>
          <w:attr w:name="id" w:val="-1"/>
          <w:attr w:name="baseform" w:val="ziņojums"/>
          <w:attr w:name="text" w:val="ziņojums"/>
        </w:smartTagPr>
        <w:r w:rsidR="003000F0" w:rsidRPr="00235168">
          <w:rPr>
            <w:b/>
            <w:sz w:val="26"/>
            <w:szCs w:val="26"/>
          </w:rPr>
          <w:t>ziņojums</w:t>
        </w:r>
      </w:smartTag>
      <w:r w:rsidR="00E73425" w:rsidRPr="00235168">
        <w:rPr>
          <w:b/>
          <w:sz w:val="26"/>
          <w:szCs w:val="26"/>
        </w:rPr>
        <w:t xml:space="preserve"> </w:t>
      </w:r>
      <w:r w:rsidR="003000F0" w:rsidRPr="00235168">
        <w:rPr>
          <w:b/>
          <w:sz w:val="26"/>
          <w:szCs w:val="26"/>
        </w:rPr>
        <w:t>(</w:t>
      </w:r>
      <w:r w:rsidR="00E73425" w:rsidRPr="00235168">
        <w:rPr>
          <w:b/>
          <w:sz w:val="26"/>
          <w:szCs w:val="26"/>
        </w:rPr>
        <w:t>anotācija</w:t>
      </w:r>
      <w:r w:rsidR="003000F0" w:rsidRPr="00235168">
        <w:rPr>
          <w:b/>
          <w:sz w:val="26"/>
          <w:szCs w:val="26"/>
        </w:rPr>
        <w:t>)</w:t>
      </w:r>
    </w:p>
    <w:p w:rsidR="00B84C4B" w:rsidRPr="00235168" w:rsidRDefault="00B84C4B" w:rsidP="00F22471">
      <w:pPr>
        <w:pStyle w:val="BodyText"/>
        <w:jc w:val="center"/>
        <w:rPr>
          <w:b/>
          <w:sz w:val="26"/>
          <w:szCs w:val="26"/>
        </w:r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A31FDC" w:rsidRPr="00235168" w:rsidTr="00C3167F">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235168" w:rsidRDefault="00A31FDC" w:rsidP="00F22471">
            <w:pPr>
              <w:ind w:firstLine="720"/>
              <w:jc w:val="both"/>
              <w:rPr>
                <w:rFonts w:eastAsia="Times New Roman"/>
                <w:b/>
                <w:sz w:val="26"/>
                <w:szCs w:val="26"/>
                <w:lang w:val="lv-LV" w:eastAsia="lv-LV"/>
              </w:rPr>
            </w:pPr>
            <w:r w:rsidRPr="00235168">
              <w:rPr>
                <w:rFonts w:eastAsia="Times New Roman"/>
                <w:b/>
                <w:sz w:val="26"/>
                <w:szCs w:val="26"/>
                <w:lang w:val="lv-LV" w:eastAsia="lv-LV"/>
              </w:rPr>
              <w:t>I.Tiesību akta projekta izstrādes nepieciešamība</w:t>
            </w:r>
          </w:p>
        </w:tc>
      </w:tr>
      <w:tr w:rsidR="00A31FDC" w:rsidRPr="00235168" w:rsidTr="00C3167F">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243A0" w:rsidRDefault="0067603D" w:rsidP="007243A0">
            <w:pPr>
              <w:jc w:val="both"/>
              <w:rPr>
                <w:sz w:val="26"/>
                <w:szCs w:val="26"/>
                <w:lang w:val="lv-LV"/>
              </w:rPr>
            </w:pPr>
            <w:r w:rsidRPr="0067603D">
              <w:rPr>
                <w:sz w:val="26"/>
                <w:szCs w:val="26"/>
                <w:lang w:val="lv-LV"/>
              </w:rPr>
              <w:t>Noteikumu projekts sagatavots pamatojoties uz Ministru kabineta iekārtas likuma 31.panta pirmās daļas 3.punktu.</w:t>
            </w:r>
          </w:p>
        </w:tc>
      </w:tr>
      <w:tr w:rsidR="00A31FDC" w:rsidRPr="00235168" w:rsidTr="00C3167F">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7243A0" w:rsidP="00F22471">
            <w:pPr>
              <w:jc w:val="both"/>
              <w:rPr>
                <w:rFonts w:eastAsia="Times New Roman"/>
                <w:sz w:val="26"/>
                <w:szCs w:val="26"/>
                <w:lang w:val="lv-LV" w:eastAsia="lv-LV"/>
              </w:rPr>
            </w:pPr>
            <w:r w:rsidRPr="007243A0">
              <w:rPr>
                <w:rFonts w:eastAsia="Times New Roman"/>
                <w:sz w:val="26"/>
                <w:szCs w:val="26"/>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5099" w:rsidRDefault="002F48AF" w:rsidP="002F48AF">
            <w:pPr>
              <w:suppressAutoHyphens/>
              <w:jc w:val="both"/>
              <w:rPr>
                <w:sz w:val="26"/>
                <w:szCs w:val="26"/>
                <w:lang w:val="lv-LV"/>
              </w:rPr>
            </w:pPr>
            <w:r>
              <w:rPr>
                <w:rFonts w:eastAsia="Times New Roman"/>
                <w:bCs/>
                <w:sz w:val="26"/>
                <w:szCs w:val="26"/>
                <w:lang w:val="lv-LV"/>
              </w:rPr>
              <w:t xml:space="preserve">Saskaņā ar Ministru </w:t>
            </w:r>
            <w:r w:rsidR="00F02020">
              <w:rPr>
                <w:rFonts w:eastAsia="Times New Roman"/>
                <w:bCs/>
                <w:sz w:val="26"/>
                <w:szCs w:val="26"/>
                <w:lang w:val="lv-LV"/>
              </w:rPr>
              <w:t xml:space="preserve">kabineta </w:t>
            </w:r>
            <w:r w:rsidR="00F02020" w:rsidRPr="002F0ACA">
              <w:rPr>
                <w:rFonts w:eastAsia="Times New Roman"/>
                <w:bCs/>
                <w:sz w:val="26"/>
                <w:szCs w:val="26"/>
                <w:lang w:val="lv-LV"/>
              </w:rPr>
              <w:t>2013</w:t>
            </w:r>
            <w:r w:rsidR="00F02020">
              <w:rPr>
                <w:rFonts w:eastAsia="Times New Roman"/>
                <w:bCs/>
                <w:sz w:val="26"/>
                <w:szCs w:val="26"/>
                <w:lang w:val="lv-LV"/>
              </w:rPr>
              <w:t xml:space="preserve">.gada 24.septembra </w:t>
            </w:r>
            <w:r>
              <w:rPr>
                <w:rFonts w:eastAsia="Times New Roman"/>
                <w:bCs/>
                <w:sz w:val="26"/>
                <w:szCs w:val="26"/>
                <w:lang w:val="lv-LV"/>
              </w:rPr>
              <w:t xml:space="preserve">noteikumiem Nr.898 </w:t>
            </w:r>
            <w:r w:rsidRPr="00D9708B">
              <w:rPr>
                <w:rFonts w:eastAsia="Times New Roman"/>
                <w:bCs/>
                <w:sz w:val="26"/>
                <w:szCs w:val="26"/>
                <w:lang w:val="lv-LV"/>
              </w:rPr>
              <w:t xml:space="preserve"> </w:t>
            </w:r>
            <w:r w:rsidRPr="002F48AF">
              <w:rPr>
                <w:rFonts w:eastAsia="Times New Roman"/>
                <w:bCs/>
                <w:sz w:val="26"/>
                <w:szCs w:val="26"/>
                <w:lang w:val="lv-LV"/>
              </w:rPr>
              <w:t>„Noteikumi par apmācību nodrošināšanu saimnieciskās darbības uzsācējiem un personām, kas vēlas uzsākt saimniecisko darbību”</w:t>
            </w:r>
            <w:r>
              <w:rPr>
                <w:rFonts w:eastAsia="Times New Roman"/>
                <w:bCs/>
                <w:sz w:val="26"/>
                <w:szCs w:val="26"/>
                <w:lang w:val="lv-LV"/>
              </w:rPr>
              <w:t xml:space="preserve"> (turpmāk – MK noteikumi Nr.898) </w:t>
            </w:r>
            <w:r w:rsidRPr="00D9708B">
              <w:rPr>
                <w:rFonts w:eastAsia="Times New Roman"/>
                <w:bCs/>
                <w:sz w:val="26"/>
                <w:szCs w:val="26"/>
                <w:lang w:val="lv-LV"/>
              </w:rPr>
              <w:t xml:space="preserve">valsts akciju sabiedrība “Latvijas </w:t>
            </w:r>
            <w:r w:rsidR="00AC4F22">
              <w:rPr>
                <w:rFonts w:eastAsia="Times New Roman"/>
                <w:bCs/>
                <w:sz w:val="26"/>
                <w:szCs w:val="26"/>
                <w:lang w:val="lv-LV"/>
              </w:rPr>
              <w:t>A</w:t>
            </w:r>
            <w:r>
              <w:rPr>
                <w:rFonts w:eastAsia="Times New Roman"/>
                <w:bCs/>
                <w:sz w:val="26"/>
                <w:szCs w:val="26"/>
                <w:lang w:val="lv-LV"/>
              </w:rPr>
              <w:t xml:space="preserve">ttīstības finanšu institūcija </w:t>
            </w:r>
            <w:proofErr w:type="spellStart"/>
            <w:r>
              <w:rPr>
                <w:rFonts w:eastAsia="Times New Roman"/>
                <w:bCs/>
                <w:sz w:val="26"/>
                <w:szCs w:val="26"/>
                <w:lang w:val="lv-LV"/>
              </w:rPr>
              <w:t>Altum</w:t>
            </w:r>
            <w:proofErr w:type="spellEnd"/>
            <w:r>
              <w:rPr>
                <w:rFonts w:eastAsia="Times New Roman"/>
                <w:bCs/>
                <w:sz w:val="26"/>
                <w:szCs w:val="26"/>
                <w:lang w:val="lv-LV"/>
              </w:rPr>
              <w:t>” (turpmāk –</w:t>
            </w:r>
            <w:r w:rsidR="00AC4F22">
              <w:rPr>
                <w:rFonts w:eastAsia="Times New Roman"/>
                <w:bCs/>
                <w:sz w:val="26"/>
                <w:szCs w:val="26"/>
                <w:lang w:val="lv-LV"/>
              </w:rPr>
              <w:t xml:space="preserve"> sabiedrība</w:t>
            </w:r>
            <w:r>
              <w:rPr>
                <w:rFonts w:eastAsia="Times New Roman"/>
                <w:bCs/>
                <w:sz w:val="26"/>
                <w:szCs w:val="26"/>
                <w:lang w:val="lv-LV"/>
              </w:rPr>
              <w:t xml:space="preserve"> </w:t>
            </w:r>
            <w:proofErr w:type="spellStart"/>
            <w:r>
              <w:rPr>
                <w:rFonts w:eastAsia="Times New Roman"/>
                <w:bCs/>
                <w:sz w:val="26"/>
                <w:szCs w:val="26"/>
                <w:lang w:val="lv-LV"/>
              </w:rPr>
              <w:t>Altum</w:t>
            </w:r>
            <w:proofErr w:type="spellEnd"/>
            <w:r>
              <w:rPr>
                <w:rFonts w:eastAsia="Times New Roman"/>
                <w:bCs/>
                <w:sz w:val="26"/>
                <w:szCs w:val="26"/>
                <w:lang w:val="lv-LV"/>
              </w:rPr>
              <w:t xml:space="preserve">) </w:t>
            </w:r>
            <w:r w:rsidR="00785099">
              <w:rPr>
                <w:rFonts w:eastAsia="Times New Roman"/>
                <w:bCs/>
                <w:sz w:val="26"/>
                <w:szCs w:val="26"/>
                <w:lang w:val="lv-LV"/>
              </w:rPr>
              <w:t>komplektē</w:t>
            </w:r>
            <w:r w:rsidRPr="00D9708B">
              <w:rPr>
                <w:rFonts w:eastAsia="Times New Roman"/>
                <w:bCs/>
                <w:sz w:val="26"/>
                <w:szCs w:val="26"/>
                <w:lang w:val="lv-LV"/>
              </w:rPr>
              <w:t xml:space="preserve"> grupas apmācību nodrošināšanai </w:t>
            </w:r>
            <w:r w:rsidRPr="00421833">
              <w:rPr>
                <w:sz w:val="26"/>
                <w:szCs w:val="26"/>
                <w:lang w:val="lv-LV"/>
              </w:rPr>
              <w:t xml:space="preserve">personām, kas vēlas uzsākt saimniecisko darbību un izstrādāt biznesa plānu savas biznesa idejas īstenošanai. </w:t>
            </w:r>
            <w:r w:rsidR="00785099" w:rsidRPr="00421833">
              <w:rPr>
                <w:sz w:val="26"/>
                <w:szCs w:val="26"/>
                <w:lang w:val="lv-LV"/>
              </w:rPr>
              <w:t>Saskaņā ar MK noteikumiem Nr.898 paredzētajās apmācībās var piedalīties tikai tās personas, kas ir noslēgušas vienošanos ar</w:t>
            </w:r>
            <w:r w:rsidR="00AC4F22">
              <w:rPr>
                <w:sz w:val="26"/>
                <w:szCs w:val="26"/>
                <w:lang w:val="lv-LV"/>
              </w:rPr>
              <w:t xml:space="preserve"> sabiedrību</w:t>
            </w:r>
            <w:r w:rsidR="00785099" w:rsidRPr="00421833">
              <w:rPr>
                <w:sz w:val="26"/>
                <w:szCs w:val="26"/>
                <w:lang w:val="lv-LV"/>
              </w:rPr>
              <w:t xml:space="preserve"> </w:t>
            </w:r>
            <w:proofErr w:type="spellStart"/>
            <w:r w:rsidR="00785099">
              <w:rPr>
                <w:sz w:val="26"/>
                <w:szCs w:val="26"/>
                <w:lang w:val="lv-LV"/>
              </w:rPr>
              <w:t>Altum</w:t>
            </w:r>
            <w:proofErr w:type="spellEnd"/>
            <w:r w:rsidR="00785099" w:rsidRPr="00421833">
              <w:rPr>
                <w:sz w:val="26"/>
                <w:szCs w:val="26"/>
                <w:lang w:val="lv-LV"/>
              </w:rPr>
              <w:t xml:space="preserve"> </w:t>
            </w:r>
            <w:r w:rsidR="00785099">
              <w:rPr>
                <w:sz w:val="26"/>
                <w:szCs w:val="26"/>
                <w:lang w:val="lv-LV"/>
              </w:rPr>
              <w:t>2007.-2013.gada Eiropas Savienības fondu plānošanas perioda d</w:t>
            </w:r>
            <w:r w:rsidR="00785099" w:rsidRPr="00421833">
              <w:rPr>
                <w:sz w:val="26"/>
                <w:szCs w:val="26"/>
                <w:lang w:val="lv-LV"/>
              </w:rPr>
              <w:t xml:space="preserve">arbības programmas „Cilvēkresursi un nodarbinātība” papildinājuma 1.3.1.2.aktivitātes „Atbalsts </w:t>
            </w:r>
            <w:proofErr w:type="spellStart"/>
            <w:r w:rsidR="00785099" w:rsidRPr="00421833">
              <w:rPr>
                <w:sz w:val="26"/>
                <w:szCs w:val="26"/>
                <w:lang w:val="lv-LV"/>
              </w:rPr>
              <w:t>pašnodarbinātības</w:t>
            </w:r>
            <w:proofErr w:type="spellEnd"/>
            <w:r w:rsidR="00785099" w:rsidRPr="00421833">
              <w:rPr>
                <w:sz w:val="26"/>
                <w:szCs w:val="26"/>
                <w:lang w:val="lv-LV"/>
              </w:rPr>
              <w:t xml:space="preserve"> un uzņēmējdarbības uzsākšanai” (turpmāk – 1.3.1.2.aktivitāte) ietvaros.</w:t>
            </w:r>
            <w:r w:rsidR="00785099">
              <w:rPr>
                <w:sz w:val="26"/>
                <w:szCs w:val="26"/>
                <w:lang w:val="lv-LV"/>
              </w:rPr>
              <w:t xml:space="preserve"> Finansējums šo apmācību nodrošināšanai tika rasts </w:t>
            </w:r>
            <w:r w:rsidR="00785099" w:rsidRPr="00421833">
              <w:rPr>
                <w:sz w:val="26"/>
                <w:szCs w:val="26"/>
                <w:lang w:val="lv-LV"/>
              </w:rPr>
              <w:t>no 2004.-2006.gada Eiropas Savienības fondu plānošanas perioda 3.1.3</w:t>
            </w:r>
            <w:r w:rsidR="00785099">
              <w:rPr>
                <w:sz w:val="26"/>
                <w:szCs w:val="26"/>
                <w:lang w:val="lv-LV"/>
              </w:rPr>
              <w:t>.</w:t>
            </w:r>
            <w:r w:rsidR="00785099" w:rsidRPr="00421833">
              <w:rPr>
                <w:sz w:val="26"/>
                <w:szCs w:val="26"/>
                <w:lang w:val="lv-LV"/>
              </w:rPr>
              <w:t xml:space="preserve">nacionālās programmas „Apmācības un konsultācijas komercdarbības un </w:t>
            </w:r>
            <w:proofErr w:type="spellStart"/>
            <w:r w:rsidR="00785099" w:rsidRPr="00421833">
              <w:rPr>
                <w:sz w:val="26"/>
                <w:szCs w:val="26"/>
                <w:lang w:val="lv-LV"/>
              </w:rPr>
              <w:t>pašnodarbinātības</w:t>
            </w:r>
            <w:proofErr w:type="spellEnd"/>
            <w:r w:rsidR="00785099" w:rsidRPr="00421833">
              <w:rPr>
                <w:sz w:val="26"/>
                <w:szCs w:val="26"/>
                <w:lang w:val="lv-LV"/>
              </w:rPr>
              <w:t xml:space="preserve"> uzsācējiem” valsts budžeta atmaksas daļas.</w:t>
            </w:r>
          </w:p>
          <w:p w:rsidR="00785099" w:rsidRDefault="002F48AF" w:rsidP="002F48AF">
            <w:pPr>
              <w:suppressAutoHyphens/>
              <w:jc w:val="both"/>
              <w:rPr>
                <w:sz w:val="26"/>
                <w:szCs w:val="26"/>
                <w:lang w:val="lv-LV"/>
              </w:rPr>
            </w:pPr>
            <w:r w:rsidRPr="00421833">
              <w:rPr>
                <w:sz w:val="26"/>
                <w:szCs w:val="26"/>
                <w:lang w:val="lv-LV"/>
              </w:rPr>
              <w:t xml:space="preserve">Šīs apmācības </w:t>
            </w:r>
            <w:r w:rsidR="00496127">
              <w:rPr>
                <w:sz w:val="26"/>
                <w:szCs w:val="26"/>
                <w:lang w:val="lv-LV"/>
              </w:rPr>
              <w:t xml:space="preserve">pašreiz </w:t>
            </w:r>
            <w:r w:rsidRPr="00421833">
              <w:rPr>
                <w:sz w:val="26"/>
                <w:szCs w:val="26"/>
                <w:lang w:val="lv-LV"/>
              </w:rPr>
              <w:t xml:space="preserve">nodrošina </w:t>
            </w:r>
            <w:r w:rsidR="00496127">
              <w:rPr>
                <w:sz w:val="26"/>
                <w:szCs w:val="26"/>
                <w:lang w:val="lv-LV"/>
              </w:rPr>
              <w:t xml:space="preserve">2009.gadā organizētās iepirkuma procedūras </w:t>
            </w:r>
            <w:r w:rsidRPr="00421833">
              <w:rPr>
                <w:sz w:val="26"/>
                <w:szCs w:val="26"/>
                <w:lang w:val="lv-LV"/>
              </w:rPr>
              <w:t>rezultātā noteiktie uzvarētāji</w:t>
            </w:r>
            <w:r w:rsidR="00496127">
              <w:rPr>
                <w:sz w:val="26"/>
                <w:szCs w:val="26"/>
                <w:lang w:val="lv-LV"/>
              </w:rPr>
              <w:t xml:space="preserve"> - </w:t>
            </w:r>
            <w:r w:rsidR="00496127" w:rsidRPr="00421833">
              <w:rPr>
                <w:sz w:val="26"/>
                <w:szCs w:val="26"/>
                <w:lang w:val="lv-LV"/>
              </w:rPr>
              <w:t xml:space="preserve"> SIA „Grāmatvedības un finanšu koledža”,  SIA „</w:t>
            </w:r>
            <w:proofErr w:type="spellStart"/>
            <w:r w:rsidR="00496127" w:rsidRPr="00421833">
              <w:rPr>
                <w:sz w:val="26"/>
                <w:szCs w:val="26"/>
                <w:lang w:val="lv-LV"/>
              </w:rPr>
              <w:t>Stockholm</w:t>
            </w:r>
            <w:proofErr w:type="spellEnd"/>
            <w:r w:rsidR="00496127" w:rsidRPr="00421833">
              <w:rPr>
                <w:sz w:val="26"/>
                <w:szCs w:val="26"/>
                <w:lang w:val="lv-LV"/>
              </w:rPr>
              <w:t xml:space="preserve"> </w:t>
            </w:r>
            <w:proofErr w:type="spellStart"/>
            <w:r w:rsidR="00496127" w:rsidRPr="00421833">
              <w:rPr>
                <w:sz w:val="26"/>
                <w:szCs w:val="26"/>
                <w:lang w:val="lv-LV"/>
              </w:rPr>
              <w:t>School</w:t>
            </w:r>
            <w:proofErr w:type="spellEnd"/>
            <w:r w:rsidR="00496127" w:rsidRPr="00421833">
              <w:rPr>
                <w:sz w:val="26"/>
                <w:szCs w:val="26"/>
                <w:lang w:val="lv-LV"/>
              </w:rPr>
              <w:t xml:space="preserve"> </w:t>
            </w:r>
            <w:proofErr w:type="spellStart"/>
            <w:r w:rsidR="00496127" w:rsidRPr="00421833">
              <w:rPr>
                <w:sz w:val="26"/>
                <w:szCs w:val="26"/>
                <w:lang w:val="lv-LV"/>
              </w:rPr>
              <w:t>of</w:t>
            </w:r>
            <w:proofErr w:type="spellEnd"/>
            <w:r w:rsidR="00496127" w:rsidRPr="00421833">
              <w:rPr>
                <w:sz w:val="26"/>
                <w:szCs w:val="26"/>
                <w:lang w:val="lv-LV"/>
              </w:rPr>
              <w:t xml:space="preserve"> </w:t>
            </w:r>
            <w:proofErr w:type="spellStart"/>
            <w:r w:rsidR="00496127" w:rsidRPr="00421833">
              <w:rPr>
                <w:sz w:val="26"/>
                <w:szCs w:val="26"/>
                <w:lang w:val="lv-LV"/>
              </w:rPr>
              <w:t>Economics</w:t>
            </w:r>
            <w:proofErr w:type="spellEnd"/>
            <w:r w:rsidR="00496127" w:rsidRPr="00421833">
              <w:rPr>
                <w:sz w:val="26"/>
                <w:szCs w:val="26"/>
                <w:lang w:val="lv-LV"/>
              </w:rPr>
              <w:t xml:space="preserve"> </w:t>
            </w:r>
            <w:proofErr w:type="spellStart"/>
            <w:r w:rsidR="00496127" w:rsidRPr="00421833">
              <w:rPr>
                <w:sz w:val="26"/>
                <w:szCs w:val="26"/>
                <w:lang w:val="lv-LV"/>
              </w:rPr>
              <w:t>in</w:t>
            </w:r>
            <w:proofErr w:type="spellEnd"/>
            <w:r w:rsidR="00496127" w:rsidRPr="00421833">
              <w:rPr>
                <w:sz w:val="26"/>
                <w:szCs w:val="26"/>
                <w:lang w:val="lv-LV"/>
              </w:rPr>
              <w:t xml:space="preserve"> </w:t>
            </w:r>
            <w:proofErr w:type="spellStart"/>
            <w:r w:rsidR="00496127" w:rsidRPr="00421833">
              <w:rPr>
                <w:sz w:val="26"/>
                <w:szCs w:val="26"/>
                <w:lang w:val="lv-LV"/>
              </w:rPr>
              <w:t>Riga</w:t>
            </w:r>
            <w:proofErr w:type="spellEnd"/>
            <w:r w:rsidR="00496127" w:rsidRPr="00421833">
              <w:rPr>
                <w:sz w:val="26"/>
                <w:szCs w:val="26"/>
                <w:lang w:val="lv-LV"/>
              </w:rPr>
              <w:t>” un SIA „Mācību un konsultāciju centrs ABC”.</w:t>
            </w:r>
            <w:r>
              <w:rPr>
                <w:sz w:val="26"/>
                <w:szCs w:val="26"/>
                <w:lang w:val="lv-LV"/>
              </w:rPr>
              <w:t xml:space="preserve"> </w:t>
            </w:r>
          </w:p>
          <w:p w:rsidR="00C3167F" w:rsidRDefault="00C3167F" w:rsidP="002F48AF">
            <w:pPr>
              <w:suppressAutoHyphens/>
              <w:jc w:val="both"/>
              <w:rPr>
                <w:sz w:val="26"/>
                <w:szCs w:val="26"/>
                <w:lang w:val="lv-LV"/>
              </w:rPr>
            </w:pPr>
            <w:r>
              <w:rPr>
                <w:sz w:val="26"/>
                <w:szCs w:val="26"/>
                <w:lang w:val="lv-LV"/>
              </w:rPr>
              <w:t>2014.gada 4.februārī</w:t>
            </w:r>
            <w:r w:rsidR="00AC4F22">
              <w:rPr>
                <w:sz w:val="26"/>
                <w:szCs w:val="26"/>
                <w:lang w:val="lv-LV"/>
              </w:rPr>
              <w:t xml:space="preserve"> sabiedrība</w:t>
            </w:r>
            <w:r>
              <w:rPr>
                <w:sz w:val="26"/>
                <w:szCs w:val="26"/>
                <w:lang w:val="lv-LV"/>
              </w:rPr>
              <w:t xml:space="preserve"> </w:t>
            </w:r>
            <w:proofErr w:type="spellStart"/>
            <w:r>
              <w:rPr>
                <w:sz w:val="26"/>
                <w:szCs w:val="26"/>
                <w:lang w:val="lv-LV"/>
              </w:rPr>
              <w:t>Altum</w:t>
            </w:r>
            <w:proofErr w:type="spellEnd"/>
            <w:r>
              <w:rPr>
                <w:sz w:val="26"/>
                <w:szCs w:val="26"/>
                <w:lang w:val="lv-LV"/>
              </w:rPr>
              <w:t xml:space="preserve"> izsludināja</w:t>
            </w:r>
            <w:r w:rsidR="00C7438E">
              <w:rPr>
                <w:sz w:val="26"/>
                <w:szCs w:val="26"/>
                <w:lang w:val="lv-LV"/>
              </w:rPr>
              <w:t xml:space="preserve"> jaunu</w:t>
            </w:r>
            <w:r>
              <w:rPr>
                <w:sz w:val="26"/>
                <w:szCs w:val="26"/>
                <w:lang w:val="lv-LV"/>
              </w:rPr>
              <w:t xml:space="preserve"> iepirkumu procedūru „</w:t>
            </w:r>
            <w:r w:rsidRPr="00C3167F">
              <w:rPr>
                <w:sz w:val="26"/>
                <w:szCs w:val="26"/>
                <w:lang w:val="lv-LV"/>
              </w:rPr>
              <w:t>Mācību nodrošināšana valsts atbalsta programmas "Apmācību nodrošināšana saimnieciskās darbības uzsācējiem un personām, kas vēlas uzsākt saimniecisko darbību" ietvaros</w:t>
            </w:r>
            <w:r>
              <w:rPr>
                <w:sz w:val="26"/>
                <w:szCs w:val="26"/>
                <w:lang w:val="lv-LV"/>
              </w:rPr>
              <w:t xml:space="preserve">”. Šobrīd notiek </w:t>
            </w:r>
            <w:r w:rsidR="00294392">
              <w:rPr>
                <w:sz w:val="26"/>
                <w:szCs w:val="26"/>
                <w:lang w:val="lv-LV"/>
              </w:rPr>
              <w:t xml:space="preserve">iesniegto piedāvājumu izvērtēšana un </w:t>
            </w:r>
            <w:r>
              <w:rPr>
                <w:sz w:val="26"/>
                <w:szCs w:val="26"/>
                <w:lang w:val="lv-LV"/>
              </w:rPr>
              <w:t xml:space="preserve">lēmuma pieņemšana par </w:t>
            </w:r>
            <w:r w:rsidR="00294392">
              <w:rPr>
                <w:sz w:val="26"/>
                <w:szCs w:val="26"/>
                <w:lang w:val="lv-LV"/>
              </w:rPr>
              <w:t>uzvarētāju noteikšanu. Līdz lēmuma p</w:t>
            </w:r>
            <w:r w:rsidR="00B72F89">
              <w:rPr>
                <w:sz w:val="26"/>
                <w:szCs w:val="26"/>
                <w:lang w:val="lv-LV"/>
              </w:rPr>
              <w:t>i</w:t>
            </w:r>
            <w:r w:rsidR="00294392">
              <w:rPr>
                <w:sz w:val="26"/>
                <w:szCs w:val="26"/>
                <w:lang w:val="lv-LV"/>
              </w:rPr>
              <w:t>eņemšanai apmācības nodrošina 2009.gada iepirkuma procedūras rezultātā noteiktie uzvarētāji.</w:t>
            </w:r>
          </w:p>
          <w:p w:rsidR="002F48AF" w:rsidRDefault="002F48AF" w:rsidP="002F48AF">
            <w:pPr>
              <w:suppressAutoHyphens/>
              <w:jc w:val="both"/>
              <w:rPr>
                <w:rFonts w:eastAsia="Times New Roman"/>
                <w:bCs/>
                <w:sz w:val="26"/>
                <w:szCs w:val="26"/>
                <w:lang w:val="lv-LV"/>
              </w:rPr>
            </w:pPr>
            <w:r w:rsidRPr="00D9708B">
              <w:rPr>
                <w:rFonts w:eastAsia="Times New Roman"/>
                <w:bCs/>
                <w:sz w:val="26"/>
                <w:szCs w:val="26"/>
                <w:lang w:val="lv-LV"/>
              </w:rPr>
              <w:t xml:space="preserve">2013.gada 4.oktobrī Ekonomikas ministrija </w:t>
            </w:r>
            <w:r>
              <w:rPr>
                <w:rFonts w:eastAsia="Times New Roman"/>
                <w:bCs/>
                <w:sz w:val="26"/>
                <w:szCs w:val="26"/>
                <w:lang w:val="lv-LV"/>
              </w:rPr>
              <w:t>(turpmāk – EM)</w:t>
            </w:r>
            <w:r w:rsidRPr="00D9708B">
              <w:rPr>
                <w:rFonts w:eastAsia="Times New Roman"/>
                <w:bCs/>
                <w:sz w:val="26"/>
                <w:szCs w:val="26"/>
                <w:lang w:val="lv-LV"/>
              </w:rPr>
              <w:t xml:space="preserve"> noslēdza līgumu ar</w:t>
            </w:r>
            <w:r w:rsidR="00AC4F22">
              <w:rPr>
                <w:rFonts w:eastAsia="Times New Roman"/>
                <w:bCs/>
                <w:sz w:val="26"/>
                <w:szCs w:val="26"/>
                <w:lang w:val="lv-LV"/>
              </w:rPr>
              <w:t xml:space="preserve"> sabiedrību</w:t>
            </w:r>
            <w:r w:rsidRPr="00D9708B">
              <w:rPr>
                <w:rFonts w:eastAsia="Times New Roman"/>
                <w:bCs/>
                <w:sz w:val="26"/>
                <w:szCs w:val="26"/>
                <w:lang w:val="lv-LV"/>
              </w:rPr>
              <w:t xml:space="preserve"> </w:t>
            </w:r>
            <w:proofErr w:type="spellStart"/>
            <w:r w:rsidR="00C3167F">
              <w:rPr>
                <w:rFonts w:eastAsia="Times New Roman"/>
                <w:bCs/>
                <w:sz w:val="26"/>
                <w:szCs w:val="26"/>
                <w:lang w:val="lv-LV"/>
              </w:rPr>
              <w:t>Altum</w:t>
            </w:r>
            <w:proofErr w:type="spellEnd"/>
            <w:r w:rsidRPr="00D9708B">
              <w:rPr>
                <w:rFonts w:eastAsia="Times New Roman"/>
                <w:bCs/>
                <w:sz w:val="26"/>
                <w:szCs w:val="26"/>
                <w:lang w:val="lv-LV"/>
              </w:rPr>
              <w:t xml:space="preserve"> par finansējuma izlietošanas un uzraudzības kārtību.</w:t>
            </w:r>
          </w:p>
          <w:p w:rsidR="002F48AF" w:rsidRPr="00421833" w:rsidRDefault="002F48AF" w:rsidP="002F48AF">
            <w:pPr>
              <w:suppressAutoHyphens/>
              <w:jc w:val="both"/>
              <w:rPr>
                <w:sz w:val="26"/>
                <w:szCs w:val="26"/>
                <w:lang w:val="lv-LV"/>
              </w:rPr>
            </w:pPr>
            <w:r>
              <w:rPr>
                <w:rFonts w:eastAsia="Times New Roman"/>
                <w:bCs/>
                <w:sz w:val="26"/>
                <w:szCs w:val="26"/>
                <w:lang w:val="lv-LV"/>
              </w:rPr>
              <w:t xml:space="preserve">Ar 2013.gada 10.marta grozījumiem MK noteikumos Nr.898 tika </w:t>
            </w:r>
          </w:p>
          <w:p w:rsidR="002F48AF" w:rsidRDefault="00C3167F" w:rsidP="0067603D">
            <w:pPr>
              <w:suppressAutoHyphens/>
              <w:jc w:val="both"/>
              <w:rPr>
                <w:rFonts w:eastAsia="Times New Roman"/>
                <w:bCs/>
                <w:sz w:val="26"/>
                <w:szCs w:val="26"/>
                <w:lang w:val="lv-LV"/>
              </w:rPr>
            </w:pPr>
            <w:r>
              <w:rPr>
                <w:rFonts w:eastAsia="Times New Roman"/>
                <w:bCs/>
                <w:sz w:val="26"/>
                <w:szCs w:val="26"/>
                <w:lang w:val="lv-LV"/>
              </w:rPr>
              <w:t>p</w:t>
            </w:r>
            <w:r w:rsidR="00785099">
              <w:rPr>
                <w:rFonts w:eastAsia="Times New Roman"/>
                <w:bCs/>
                <w:sz w:val="26"/>
                <w:szCs w:val="26"/>
                <w:lang w:val="lv-LV"/>
              </w:rPr>
              <w:t xml:space="preserve">iešķirts papildus finansējums apmācību nodrošināšanai un </w:t>
            </w:r>
            <w:r w:rsidR="00785099">
              <w:rPr>
                <w:rFonts w:eastAsia="Times New Roman"/>
                <w:bCs/>
                <w:sz w:val="26"/>
                <w:szCs w:val="26"/>
                <w:lang w:val="lv-LV"/>
              </w:rPr>
              <w:lastRenderedPageBreak/>
              <w:t>pagarināts valsts atbalsta programmas termiņš līdz 2014.gada 30.jūnijam.</w:t>
            </w:r>
          </w:p>
          <w:p w:rsidR="00A56909" w:rsidRDefault="00C3167F" w:rsidP="0067603D">
            <w:pPr>
              <w:suppressAutoHyphens/>
              <w:jc w:val="both"/>
              <w:rPr>
                <w:rFonts w:eastAsia="Times New Roman"/>
                <w:bCs/>
                <w:sz w:val="26"/>
                <w:szCs w:val="26"/>
                <w:lang w:val="lv-LV"/>
              </w:rPr>
            </w:pPr>
            <w:r>
              <w:rPr>
                <w:rFonts w:eastAsia="Times New Roman"/>
                <w:bCs/>
                <w:sz w:val="26"/>
                <w:szCs w:val="26"/>
                <w:lang w:val="lv-LV"/>
              </w:rPr>
              <w:t>2013.gada 28.decembrī EM</w:t>
            </w:r>
            <w:r w:rsidRPr="00D9708B">
              <w:rPr>
                <w:rFonts w:eastAsia="Times New Roman"/>
                <w:bCs/>
                <w:sz w:val="26"/>
                <w:szCs w:val="26"/>
                <w:lang w:val="lv-LV"/>
              </w:rPr>
              <w:t xml:space="preserve"> noslēdza līgumu ar </w:t>
            </w:r>
            <w:r w:rsidR="00AC4F22">
              <w:rPr>
                <w:rFonts w:eastAsia="Times New Roman"/>
                <w:bCs/>
                <w:sz w:val="26"/>
                <w:szCs w:val="26"/>
                <w:lang w:val="lv-LV"/>
              </w:rPr>
              <w:t xml:space="preserve">sabiedrību </w:t>
            </w:r>
            <w:proofErr w:type="spellStart"/>
            <w:r>
              <w:rPr>
                <w:rFonts w:eastAsia="Times New Roman"/>
                <w:bCs/>
                <w:sz w:val="26"/>
                <w:szCs w:val="26"/>
                <w:lang w:val="lv-LV"/>
              </w:rPr>
              <w:t>Altum</w:t>
            </w:r>
            <w:proofErr w:type="spellEnd"/>
            <w:r w:rsidRPr="00D9708B">
              <w:rPr>
                <w:rFonts w:eastAsia="Times New Roman"/>
                <w:bCs/>
                <w:sz w:val="26"/>
                <w:szCs w:val="26"/>
                <w:lang w:val="lv-LV"/>
              </w:rPr>
              <w:t xml:space="preserve"> par</w:t>
            </w:r>
            <w:r>
              <w:rPr>
                <w:rFonts w:eastAsia="Times New Roman"/>
                <w:bCs/>
                <w:sz w:val="26"/>
                <w:szCs w:val="26"/>
                <w:lang w:val="lv-LV"/>
              </w:rPr>
              <w:t xml:space="preserve"> </w:t>
            </w:r>
            <w:r w:rsidRPr="00D9708B">
              <w:rPr>
                <w:rFonts w:eastAsia="Times New Roman"/>
                <w:bCs/>
                <w:sz w:val="26"/>
                <w:szCs w:val="26"/>
                <w:lang w:val="lv-LV"/>
              </w:rPr>
              <w:t xml:space="preserve"> </w:t>
            </w:r>
            <w:r>
              <w:rPr>
                <w:rFonts w:eastAsia="Times New Roman"/>
                <w:bCs/>
                <w:sz w:val="26"/>
                <w:szCs w:val="26"/>
                <w:lang w:val="lv-LV"/>
              </w:rPr>
              <w:t xml:space="preserve">papildus piešķirtā </w:t>
            </w:r>
            <w:r w:rsidRPr="00D9708B">
              <w:rPr>
                <w:rFonts w:eastAsia="Times New Roman"/>
                <w:bCs/>
                <w:sz w:val="26"/>
                <w:szCs w:val="26"/>
                <w:lang w:val="lv-LV"/>
              </w:rPr>
              <w:t>finansējuma izlietošanas un uzraudzības kārtību.</w:t>
            </w:r>
            <w:r w:rsidR="00C7438E">
              <w:rPr>
                <w:rFonts w:eastAsia="Times New Roman"/>
                <w:bCs/>
                <w:sz w:val="26"/>
                <w:szCs w:val="26"/>
                <w:lang w:val="lv-LV"/>
              </w:rPr>
              <w:t xml:space="preserve"> Līguma darbības termiņš ir saskaņots ar Latvijas Investīciju un attīstības aģentūras un</w:t>
            </w:r>
            <w:r w:rsidR="00AC4F22">
              <w:rPr>
                <w:rFonts w:eastAsia="Times New Roman"/>
                <w:bCs/>
                <w:sz w:val="26"/>
                <w:szCs w:val="26"/>
                <w:lang w:val="lv-LV"/>
              </w:rPr>
              <w:t xml:space="preserve"> sabiedrības</w:t>
            </w:r>
            <w:r w:rsidR="00C7438E">
              <w:rPr>
                <w:rFonts w:eastAsia="Times New Roman"/>
                <w:bCs/>
                <w:sz w:val="26"/>
                <w:szCs w:val="26"/>
                <w:lang w:val="lv-LV"/>
              </w:rPr>
              <w:t xml:space="preserve"> </w:t>
            </w:r>
            <w:proofErr w:type="spellStart"/>
            <w:r w:rsidR="00C7438E">
              <w:rPr>
                <w:rFonts w:eastAsia="Times New Roman"/>
                <w:bCs/>
                <w:sz w:val="26"/>
                <w:szCs w:val="26"/>
                <w:lang w:val="lv-LV"/>
              </w:rPr>
              <w:t>Altum</w:t>
            </w:r>
            <w:proofErr w:type="spellEnd"/>
            <w:r w:rsidR="00C7438E">
              <w:rPr>
                <w:rFonts w:eastAsia="Times New Roman"/>
                <w:bCs/>
                <w:sz w:val="26"/>
                <w:szCs w:val="26"/>
                <w:lang w:val="lv-LV"/>
              </w:rPr>
              <w:t xml:space="preserve"> noslēgtā l</w:t>
            </w:r>
            <w:r w:rsidR="00AF29A4">
              <w:rPr>
                <w:rFonts w:eastAsia="Times New Roman"/>
                <w:bCs/>
                <w:sz w:val="26"/>
                <w:szCs w:val="26"/>
                <w:lang w:val="lv-LV"/>
              </w:rPr>
              <w:t>īguma par 1.3.1.2.aktivit</w:t>
            </w:r>
            <w:r w:rsidR="00C7438E">
              <w:rPr>
                <w:rFonts w:eastAsia="Times New Roman"/>
                <w:bCs/>
                <w:sz w:val="26"/>
                <w:szCs w:val="26"/>
                <w:lang w:val="lv-LV"/>
              </w:rPr>
              <w:t>ātes projekta īstenošanas termiņu</w:t>
            </w:r>
            <w:r w:rsidR="00AF29A4">
              <w:rPr>
                <w:rFonts w:eastAsia="Times New Roman"/>
                <w:bCs/>
                <w:sz w:val="26"/>
                <w:szCs w:val="26"/>
                <w:lang w:val="lv-LV"/>
              </w:rPr>
              <w:t>, kas nosaka, ka 1.3.1.2.aktivitāte tiek īstenota</w:t>
            </w:r>
            <w:r w:rsidR="00C7438E">
              <w:rPr>
                <w:rFonts w:eastAsia="Times New Roman"/>
                <w:bCs/>
                <w:sz w:val="26"/>
                <w:szCs w:val="26"/>
                <w:lang w:val="lv-LV"/>
              </w:rPr>
              <w:t xml:space="preserve"> līdz 2015.gada 30.j</w:t>
            </w:r>
            <w:r w:rsidR="00AF29A4">
              <w:rPr>
                <w:rFonts w:eastAsia="Times New Roman"/>
                <w:bCs/>
                <w:sz w:val="26"/>
                <w:szCs w:val="26"/>
                <w:lang w:val="lv-LV"/>
              </w:rPr>
              <w:t xml:space="preserve">ūnijam. Tādējādi EM un </w:t>
            </w:r>
            <w:r w:rsidR="00AC4F22">
              <w:rPr>
                <w:rFonts w:eastAsia="Times New Roman"/>
                <w:bCs/>
                <w:sz w:val="26"/>
                <w:szCs w:val="26"/>
                <w:lang w:val="lv-LV"/>
              </w:rPr>
              <w:t xml:space="preserve">sabiedrības </w:t>
            </w:r>
            <w:proofErr w:type="spellStart"/>
            <w:r w:rsidR="00AF29A4">
              <w:rPr>
                <w:rFonts w:eastAsia="Times New Roman"/>
                <w:bCs/>
                <w:sz w:val="26"/>
                <w:szCs w:val="26"/>
                <w:lang w:val="lv-LV"/>
              </w:rPr>
              <w:t>Altum</w:t>
            </w:r>
            <w:proofErr w:type="spellEnd"/>
            <w:r w:rsidR="00AF29A4">
              <w:rPr>
                <w:rFonts w:eastAsia="Times New Roman"/>
                <w:bCs/>
                <w:sz w:val="26"/>
                <w:szCs w:val="26"/>
                <w:lang w:val="lv-LV"/>
              </w:rPr>
              <w:t xml:space="preserve"> apmācību līguma termiņš ir līdz 2015.gada 30.jūnijam apmācību grupu komplektēšanai un līdz 2015.gada 30.septembrim apmācību nodrošināšanai.</w:t>
            </w:r>
            <w:r w:rsidR="00E909BD">
              <w:rPr>
                <w:rFonts w:eastAsia="Times New Roman"/>
                <w:bCs/>
                <w:sz w:val="26"/>
                <w:szCs w:val="26"/>
                <w:lang w:val="lv-LV"/>
              </w:rPr>
              <w:t xml:space="preserve"> Apmācību nodrošināšanai termiņš ir noteikts par trim mēnešiem ilgāks</w:t>
            </w:r>
            <w:r w:rsidR="002965B9">
              <w:rPr>
                <w:rFonts w:eastAsia="Times New Roman"/>
                <w:bCs/>
                <w:sz w:val="26"/>
                <w:szCs w:val="26"/>
                <w:lang w:val="lv-LV"/>
              </w:rPr>
              <w:t xml:space="preserve">, lai varētu nodrošināt apmācības tiem interesentiem, kas iesniegs finansiālā atbalsta pieteikumu </w:t>
            </w:r>
            <w:r w:rsidR="00AC4F22">
              <w:rPr>
                <w:rFonts w:eastAsia="Times New Roman"/>
                <w:bCs/>
                <w:sz w:val="26"/>
                <w:szCs w:val="26"/>
                <w:lang w:val="lv-LV"/>
              </w:rPr>
              <w:t xml:space="preserve">sabiedrībā </w:t>
            </w:r>
            <w:proofErr w:type="spellStart"/>
            <w:r w:rsidR="002965B9">
              <w:rPr>
                <w:rFonts w:eastAsia="Times New Roman"/>
                <w:bCs/>
                <w:sz w:val="26"/>
                <w:szCs w:val="26"/>
                <w:lang w:val="lv-LV"/>
              </w:rPr>
              <w:t>Altum</w:t>
            </w:r>
            <w:proofErr w:type="spellEnd"/>
            <w:r w:rsidR="002965B9">
              <w:rPr>
                <w:rFonts w:eastAsia="Times New Roman"/>
                <w:bCs/>
                <w:sz w:val="26"/>
                <w:szCs w:val="26"/>
                <w:lang w:val="lv-LV"/>
              </w:rPr>
              <w:t xml:space="preserve"> 2015.gada jūnija mēnesī. Tādējādi arī tiem klientiem tiks nodrošinātas apmācību iespējas.</w:t>
            </w:r>
            <w:r w:rsidR="00E909BD">
              <w:rPr>
                <w:rFonts w:eastAsia="Times New Roman"/>
                <w:bCs/>
                <w:sz w:val="26"/>
                <w:szCs w:val="26"/>
                <w:lang w:val="lv-LV"/>
              </w:rPr>
              <w:t xml:space="preserve"> </w:t>
            </w:r>
          </w:p>
          <w:p w:rsidR="00D359FE" w:rsidRDefault="00785099" w:rsidP="00785099">
            <w:pPr>
              <w:suppressAutoHyphens/>
              <w:jc w:val="both"/>
              <w:rPr>
                <w:sz w:val="26"/>
                <w:szCs w:val="26"/>
                <w:lang w:val="lv-LV"/>
              </w:rPr>
            </w:pPr>
            <w:r w:rsidRPr="00421833">
              <w:rPr>
                <w:sz w:val="26"/>
                <w:szCs w:val="26"/>
                <w:lang w:val="lv-LV"/>
              </w:rPr>
              <w:t xml:space="preserve">Ņemot vērā, ka apmācības ir svarīgas saimnieciskās darbības </w:t>
            </w:r>
            <w:r>
              <w:rPr>
                <w:sz w:val="26"/>
                <w:szCs w:val="26"/>
                <w:lang w:val="lv-LV"/>
              </w:rPr>
              <w:t>uzsācējiem un personām, kas vēla</w:t>
            </w:r>
            <w:r w:rsidRPr="00421833">
              <w:rPr>
                <w:sz w:val="26"/>
                <w:szCs w:val="26"/>
                <w:lang w:val="lv-LV"/>
              </w:rPr>
              <w:t xml:space="preserve">s uzsākt saimniecisko darbību, un tās ir nepieciešamas, lai veiksmīgi īstenotu </w:t>
            </w:r>
            <w:r>
              <w:rPr>
                <w:sz w:val="26"/>
                <w:szCs w:val="26"/>
                <w:lang w:val="lv-LV"/>
              </w:rPr>
              <w:t>1.3.1.2.aktivitātes</w:t>
            </w:r>
            <w:r w:rsidRPr="00421833">
              <w:rPr>
                <w:sz w:val="26"/>
                <w:szCs w:val="26"/>
                <w:lang w:val="lv-LV"/>
              </w:rPr>
              <w:t xml:space="preserve"> ietvaros iesniegtos projektu</w:t>
            </w:r>
            <w:r>
              <w:rPr>
                <w:sz w:val="26"/>
                <w:szCs w:val="26"/>
                <w:lang w:val="lv-LV"/>
              </w:rPr>
              <w:t>s</w:t>
            </w:r>
            <w:r w:rsidRPr="00421833">
              <w:rPr>
                <w:sz w:val="26"/>
                <w:szCs w:val="26"/>
                <w:lang w:val="lv-LV"/>
              </w:rPr>
              <w:t>, ir nepieciešams apmācības nodrošināt</w:t>
            </w:r>
            <w:r>
              <w:rPr>
                <w:sz w:val="26"/>
                <w:szCs w:val="26"/>
                <w:lang w:val="lv-LV"/>
              </w:rPr>
              <w:t xml:space="preserve"> arī pēc 2014</w:t>
            </w:r>
            <w:r w:rsidRPr="00421833">
              <w:rPr>
                <w:sz w:val="26"/>
                <w:szCs w:val="26"/>
                <w:lang w:val="lv-LV"/>
              </w:rPr>
              <w:t xml:space="preserve">.gada </w:t>
            </w:r>
            <w:r>
              <w:rPr>
                <w:sz w:val="26"/>
                <w:szCs w:val="26"/>
                <w:lang w:val="lv-LV"/>
              </w:rPr>
              <w:t>30.jūnija.</w:t>
            </w:r>
          </w:p>
          <w:p w:rsidR="00785099" w:rsidRDefault="00785099" w:rsidP="00785099">
            <w:pPr>
              <w:suppressAutoHyphens/>
              <w:jc w:val="both"/>
              <w:rPr>
                <w:rFonts w:eastAsia="Times New Roman"/>
                <w:bCs/>
                <w:sz w:val="26"/>
                <w:szCs w:val="26"/>
                <w:lang w:val="lv-LV"/>
              </w:rPr>
            </w:pPr>
            <w:r>
              <w:rPr>
                <w:rFonts w:eastAsia="Times New Roman"/>
                <w:bCs/>
                <w:sz w:val="26"/>
                <w:szCs w:val="26"/>
                <w:lang w:val="lv-LV"/>
              </w:rPr>
              <w:t xml:space="preserve">Tā kā atbalsts valsts atbalsta programmas </w:t>
            </w:r>
            <w:r w:rsidRPr="002F48AF">
              <w:rPr>
                <w:rFonts w:eastAsia="Times New Roman"/>
                <w:bCs/>
                <w:sz w:val="26"/>
                <w:szCs w:val="26"/>
                <w:lang w:val="lv-LV"/>
              </w:rPr>
              <w:t xml:space="preserve">ietvaros tiek piešķirts kā </w:t>
            </w:r>
            <w:proofErr w:type="spellStart"/>
            <w:r w:rsidRPr="00785099">
              <w:rPr>
                <w:rFonts w:eastAsia="Times New Roman"/>
                <w:bCs/>
                <w:i/>
                <w:sz w:val="26"/>
                <w:szCs w:val="26"/>
                <w:lang w:val="lv-LV"/>
              </w:rPr>
              <w:t>de</w:t>
            </w:r>
            <w:proofErr w:type="spellEnd"/>
            <w:r w:rsidRPr="00785099">
              <w:rPr>
                <w:rFonts w:eastAsia="Times New Roman"/>
                <w:bCs/>
                <w:i/>
                <w:sz w:val="26"/>
                <w:szCs w:val="26"/>
                <w:lang w:val="lv-LV"/>
              </w:rPr>
              <w:t xml:space="preserve"> </w:t>
            </w:r>
            <w:proofErr w:type="spellStart"/>
            <w:r w:rsidRPr="00785099">
              <w:rPr>
                <w:rFonts w:eastAsia="Times New Roman"/>
                <w:bCs/>
                <w:i/>
                <w:sz w:val="26"/>
                <w:szCs w:val="26"/>
                <w:lang w:val="lv-LV"/>
              </w:rPr>
              <w:t>minimis</w:t>
            </w:r>
            <w:proofErr w:type="spellEnd"/>
            <w:r w:rsidRPr="002F48AF">
              <w:rPr>
                <w:rFonts w:eastAsia="Times New Roman"/>
                <w:bCs/>
                <w:sz w:val="26"/>
                <w:szCs w:val="26"/>
                <w:lang w:val="lv-LV"/>
              </w:rPr>
              <w:t xml:space="preserve"> atbalsts, līdz šim atbalsta piešķiršana notika saskaņā ar 2006.gada 15.decembra Komisijas Regulu (EK) </w:t>
            </w:r>
            <w:proofErr w:type="spellStart"/>
            <w:r w:rsidRPr="002F48AF">
              <w:rPr>
                <w:rFonts w:eastAsia="Times New Roman"/>
                <w:bCs/>
                <w:sz w:val="26"/>
                <w:szCs w:val="26"/>
                <w:lang w:val="lv-LV"/>
              </w:rPr>
              <w:t>Nr</w:t>
            </w:r>
            <w:proofErr w:type="spellEnd"/>
            <w:r w:rsidRPr="002F48AF">
              <w:rPr>
                <w:rFonts w:eastAsia="Times New Roman"/>
                <w:bCs/>
                <w:sz w:val="26"/>
                <w:szCs w:val="26"/>
                <w:lang w:val="lv-LV"/>
              </w:rPr>
              <w:t xml:space="preserve">. 1998/2006 par Līguma 87. un 88. panta piemērošanu </w:t>
            </w:r>
            <w:proofErr w:type="spellStart"/>
            <w:r w:rsidRPr="00785099">
              <w:rPr>
                <w:rFonts w:eastAsia="Times New Roman"/>
                <w:bCs/>
                <w:i/>
                <w:sz w:val="26"/>
                <w:szCs w:val="26"/>
                <w:lang w:val="lv-LV"/>
              </w:rPr>
              <w:t>de</w:t>
            </w:r>
            <w:proofErr w:type="spellEnd"/>
            <w:r w:rsidRPr="00785099">
              <w:rPr>
                <w:rFonts w:eastAsia="Times New Roman"/>
                <w:bCs/>
                <w:i/>
                <w:sz w:val="26"/>
                <w:szCs w:val="26"/>
                <w:lang w:val="lv-LV"/>
              </w:rPr>
              <w:t xml:space="preserve"> </w:t>
            </w:r>
            <w:proofErr w:type="spellStart"/>
            <w:r w:rsidRPr="00785099">
              <w:rPr>
                <w:rFonts w:eastAsia="Times New Roman"/>
                <w:bCs/>
                <w:i/>
                <w:sz w:val="26"/>
                <w:szCs w:val="26"/>
                <w:lang w:val="lv-LV"/>
              </w:rPr>
              <w:t>minimis</w:t>
            </w:r>
            <w:proofErr w:type="spellEnd"/>
            <w:r w:rsidR="00AC4F22">
              <w:rPr>
                <w:rFonts w:eastAsia="Times New Roman"/>
                <w:bCs/>
                <w:sz w:val="26"/>
                <w:szCs w:val="26"/>
                <w:lang w:val="lv-LV"/>
              </w:rPr>
              <w:t xml:space="preserve"> atbalstam (turpmāk – Regula Nr.</w:t>
            </w:r>
            <w:r w:rsidRPr="002F48AF">
              <w:rPr>
                <w:rFonts w:eastAsia="Times New Roman"/>
                <w:bCs/>
                <w:sz w:val="26"/>
                <w:szCs w:val="26"/>
                <w:lang w:val="lv-LV"/>
              </w:rPr>
              <w:t xml:space="preserve">1998/2006). Ņemot vērā Regulas Nr.1998/2006 6.pantu, kas nosaka, ka Regulu Nr.1998/2006 piemēro līdz 2013.gada 31.decembrim un 5.panta 3.punktu, kas nosaka, ka Regulas Nr.1998/2006 spēkā esamības laika beigās jebkuru </w:t>
            </w:r>
            <w:proofErr w:type="spellStart"/>
            <w:r w:rsidRPr="00785099">
              <w:rPr>
                <w:rFonts w:eastAsia="Times New Roman"/>
                <w:bCs/>
                <w:i/>
                <w:sz w:val="26"/>
                <w:szCs w:val="26"/>
                <w:lang w:val="lv-LV"/>
              </w:rPr>
              <w:t>de</w:t>
            </w:r>
            <w:proofErr w:type="spellEnd"/>
            <w:r w:rsidRPr="00785099">
              <w:rPr>
                <w:rFonts w:eastAsia="Times New Roman"/>
                <w:bCs/>
                <w:i/>
                <w:sz w:val="26"/>
                <w:szCs w:val="26"/>
                <w:lang w:val="lv-LV"/>
              </w:rPr>
              <w:t xml:space="preserve"> </w:t>
            </w:r>
            <w:proofErr w:type="spellStart"/>
            <w:r w:rsidRPr="00785099">
              <w:rPr>
                <w:rFonts w:eastAsia="Times New Roman"/>
                <w:bCs/>
                <w:i/>
                <w:sz w:val="26"/>
                <w:szCs w:val="26"/>
                <w:lang w:val="lv-LV"/>
              </w:rPr>
              <w:t>minimis</w:t>
            </w:r>
            <w:proofErr w:type="spellEnd"/>
            <w:r w:rsidRPr="002F48AF">
              <w:rPr>
                <w:rFonts w:eastAsia="Times New Roman"/>
                <w:bCs/>
                <w:sz w:val="26"/>
                <w:szCs w:val="26"/>
                <w:lang w:val="lv-LV"/>
              </w:rPr>
              <w:t xml:space="preserve"> atbalstu, kurš atbilst Regulas</w:t>
            </w:r>
            <w:r w:rsidR="00AC4F22">
              <w:rPr>
                <w:rFonts w:eastAsia="Times New Roman"/>
                <w:bCs/>
                <w:sz w:val="26"/>
                <w:szCs w:val="26"/>
                <w:lang w:val="lv-LV"/>
              </w:rPr>
              <w:t xml:space="preserve"> </w:t>
            </w:r>
            <w:proofErr w:type="spellStart"/>
            <w:r w:rsidR="00AC4F22">
              <w:rPr>
                <w:rFonts w:eastAsia="Times New Roman"/>
                <w:bCs/>
                <w:sz w:val="26"/>
                <w:szCs w:val="26"/>
                <w:lang w:val="lv-LV"/>
              </w:rPr>
              <w:t>Nr</w:t>
            </w:r>
            <w:proofErr w:type="spellEnd"/>
            <w:r w:rsidR="00AC4F22">
              <w:rPr>
                <w:rFonts w:eastAsia="Times New Roman"/>
                <w:bCs/>
                <w:sz w:val="26"/>
                <w:szCs w:val="26"/>
                <w:lang w:val="lv-LV"/>
              </w:rPr>
              <w:t>.</w:t>
            </w:r>
            <w:r w:rsidRPr="002F48AF">
              <w:rPr>
                <w:rFonts w:eastAsia="Times New Roman"/>
                <w:bCs/>
                <w:sz w:val="26"/>
                <w:szCs w:val="26"/>
                <w:lang w:val="lv-LV"/>
              </w:rPr>
              <w:t xml:space="preserve"> 1998/2006 nosacījumiem, var likumīgi īstenot turpmākajos sešos mēnešos, ar 2013.gada 10.decembra grozījumiem MK noteikumos Nr.</w:t>
            </w:r>
            <w:r>
              <w:rPr>
                <w:rFonts w:eastAsia="Times New Roman"/>
                <w:bCs/>
                <w:sz w:val="26"/>
                <w:szCs w:val="26"/>
                <w:lang w:val="lv-LV"/>
              </w:rPr>
              <w:t>898</w:t>
            </w:r>
            <w:r w:rsidRPr="002F48AF">
              <w:rPr>
                <w:rFonts w:eastAsia="Times New Roman"/>
                <w:bCs/>
                <w:sz w:val="26"/>
                <w:szCs w:val="26"/>
                <w:lang w:val="lv-LV"/>
              </w:rPr>
              <w:t xml:space="preserve">, tika pagarināts </w:t>
            </w:r>
            <w:r>
              <w:rPr>
                <w:rFonts w:eastAsia="Times New Roman"/>
                <w:bCs/>
                <w:sz w:val="26"/>
                <w:szCs w:val="26"/>
                <w:lang w:val="lv-LV"/>
              </w:rPr>
              <w:t>apmācību īstenošana</w:t>
            </w:r>
            <w:r w:rsidRPr="002F48AF">
              <w:rPr>
                <w:rFonts w:eastAsia="Times New Roman"/>
                <w:bCs/>
                <w:sz w:val="26"/>
                <w:szCs w:val="26"/>
                <w:lang w:val="lv-LV"/>
              </w:rPr>
              <w:t xml:space="preserve">s </w:t>
            </w:r>
            <w:r>
              <w:rPr>
                <w:rFonts w:eastAsia="Times New Roman"/>
                <w:bCs/>
                <w:sz w:val="26"/>
                <w:szCs w:val="26"/>
                <w:lang w:val="lv-LV"/>
              </w:rPr>
              <w:t>t</w:t>
            </w:r>
            <w:r w:rsidRPr="002F48AF">
              <w:rPr>
                <w:rFonts w:eastAsia="Times New Roman"/>
                <w:bCs/>
                <w:sz w:val="26"/>
                <w:szCs w:val="26"/>
                <w:lang w:val="lv-LV"/>
              </w:rPr>
              <w:t xml:space="preserve">ermiņš līdz 2014.gada 30.jūnijam. </w:t>
            </w:r>
            <w:r w:rsidR="00294392">
              <w:rPr>
                <w:rFonts w:eastAsia="Times New Roman"/>
                <w:bCs/>
                <w:sz w:val="26"/>
                <w:szCs w:val="26"/>
                <w:lang w:val="lv-LV"/>
              </w:rPr>
              <w:t>Tā kā</w:t>
            </w:r>
            <w:r w:rsidRPr="002F48AF">
              <w:rPr>
                <w:rFonts w:eastAsia="Times New Roman"/>
                <w:bCs/>
                <w:sz w:val="26"/>
                <w:szCs w:val="26"/>
                <w:lang w:val="lv-LV"/>
              </w:rPr>
              <w:t xml:space="preserve"> 201</w:t>
            </w:r>
            <w:r w:rsidR="00D359FE">
              <w:rPr>
                <w:rFonts w:eastAsia="Times New Roman"/>
                <w:bCs/>
                <w:sz w:val="26"/>
                <w:szCs w:val="26"/>
                <w:lang w:val="lv-LV"/>
              </w:rPr>
              <w:t>4</w:t>
            </w:r>
            <w:r w:rsidRPr="002F48AF">
              <w:rPr>
                <w:rFonts w:eastAsia="Times New Roman"/>
                <w:bCs/>
                <w:sz w:val="26"/>
                <w:szCs w:val="26"/>
                <w:lang w:val="lv-LV"/>
              </w:rPr>
              <w:t>.gada 1.</w:t>
            </w:r>
            <w:r w:rsidR="00D359FE">
              <w:rPr>
                <w:rFonts w:eastAsia="Times New Roman"/>
                <w:bCs/>
                <w:sz w:val="26"/>
                <w:szCs w:val="26"/>
                <w:lang w:val="lv-LV"/>
              </w:rPr>
              <w:t>janvārī</w:t>
            </w:r>
            <w:r w:rsidRPr="002F48AF">
              <w:rPr>
                <w:rFonts w:eastAsia="Times New Roman"/>
                <w:bCs/>
                <w:sz w:val="26"/>
                <w:szCs w:val="26"/>
                <w:lang w:val="lv-LV"/>
              </w:rPr>
              <w:t xml:space="preserve"> stājās spēkā jaunais </w:t>
            </w:r>
            <w:proofErr w:type="spellStart"/>
            <w:r w:rsidRPr="00785099">
              <w:rPr>
                <w:rFonts w:eastAsia="Times New Roman"/>
                <w:bCs/>
                <w:i/>
                <w:sz w:val="26"/>
                <w:szCs w:val="26"/>
                <w:lang w:val="lv-LV"/>
              </w:rPr>
              <w:t>de</w:t>
            </w:r>
            <w:proofErr w:type="spellEnd"/>
            <w:r w:rsidRPr="00785099">
              <w:rPr>
                <w:rFonts w:eastAsia="Times New Roman"/>
                <w:bCs/>
                <w:i/>
                <w:sz w:val="26"/>
                <w:szCs w:val="26"/>
                <w:lang w:val="lv-LV"/>
              </w:rPr>
              <w:t xml:space="preserve"> </w:t>
            </w:r>
            <w:proofErr w:type="spellStart"/>
            <w:r w:rsidRPr="00785099">
              <w:rPr>
                <w:rFonts w:eastAsia="Times New Roman"/>
                <w:bCs/>
                <w:i/>
                <w:sz w:val="26"/>
                <w:szCs w:val="26"/>
                <w:lang w:val="lv-LV"/>
              </w:rPr>
              <w:t>minimis</w:t>
            </w:r>
            <w:proofErr w:type="spellEnd"/>
            <w:r w:rsidRPr="002F48AF">
              <w:rPr>
                <w:rFonts w:eastAsia="Times New Roman"/>
                <w:bCs/>
                <w:sz w:val="26"/>
                <w:szCs w:val="26"/>
                <w:lang w:val="lv-LV"/>
              </w:rPr>
              <w:t xml:space="preserve"> atbalsta regulējums -  2013.gada 18.decembra Komisijas Regula (EK) </w:t>
            </w:r>
            <w:proofErr w:type="spellStart"/>
            <w:r w:rsidRPr="002F48AF">
              <w:rPr>
                <w:rFonts w:eastAsia="Times New Roman"/>
                <w:bCs/>
                <w:sz w:val="26"/>
                <w:szCs w:val="26"/>
                <w:lang w:val="lv-LV"/>
              </w:rPr>
              <w:t>Nr</w:t>
            </w:r>
            <w:proofErr w:type="spellEnd"/>
            <w:r w:rsidRPr="002F48AF">
              <w:rPr>
                <w:rFonts w:eastAsia="Times New Roman"/>
                <w:bCs/>
                <w:sz w:val="26"/>
                <w:szCs w:val="26"/>
                <w:lang w:val="lv-LV"/>
              </w:rPr>
              <w:t xml:space="preserve">. 1407/2013 par Līguma par Eiropas Savienības darbību 107. un 108.panta piemērošanu </w:t>
            </w:r>
            <w:proofErr w:type="spellStart"/>
            <w:r w:rsidRPr="00C7438E">
              <w:rPr>
                <w:rFonts w:eastAsia="Times New Roman"/>
                <w:bCs/>
                <w:i/>
                <w:sz w:val="26"/>
                <w:szCs w:val="26"/>
                <w:lang w:val="lv-LV"/>
              </w:rPr>
              <w:t>de</w:t>
            </w:r>
            <w:proofErr w:type="spellEnd"/>
            <w:r w:rsidRPr="00C7438E">
              <w:rPr>
                <w:rFonts w:eastAsia="Times New Roman"/>
                <w:bCs/>
                <w:i/>
                <w:sz w:val="26"/>
                <w:szCs w:val="26"/>
                <w:lang w:val="lv-LV"/>
              </w:rPr>
              <w:t xml:space="preserve"> </w:t>
            </w:r>
            <w:proofErr w:type="spellStart"/>
            <w:r w:rsidRPr="00C7438E">
              <w:rPr>
                <w:rFonts w:eastAsia="Times New Roman"/>
                <w:bCs/>
                <w:i/>
                <w:sz w:val="26"/>
                <w:szCs w:val="26"/>
                <w:lang w:val="lv-LV"/>
              </w:rPr>
              <w:t>minimis</w:t>
            </w:r>
            <w:proofErr w:type="spellEnd"/>
            <w:r w:rsidRPr="002F48AF">
              <w:rPr>
                <w:rFonts w:eastAsia="Times New Roman"/>
                <w:bCs/>
                <w:sz w:val="26"/>
                <w:szCs w:val="26"/>
                <w:lang w:val="lv-LV"/>
              </w:rPr>
              <w:t xml:space="preserve"> atbalstam (Eiropas Savienības Oficiālais Vēstnesis, 2013.gada 24.decembris, </w:t>
            </w:r>
            <w:proofErr w:type="spellStart"/>
            <w:r w:rsidRPr="002F48AF">
              <w:rPr>
                <w:rFonts w:eastAsia="Times New Roman"/>
                <w:bCs/>
                <w:sz w:val="26"/>
                <w:szCs w:val="26"/>
                <w:lang w:val="lv-LV"/>
              </w:rPr>
              <w:t>Nr</w:t>
            </w:r>
            <w:proofErr w:type="spellEnd"/>
            <w:r w:rsidRPr="002F48AF">
              <w:rPr>
                <w:rFonts w:eastAsia="Times New Roman"/>
                <w:bCs/>
                <w:sz w:val="26"/>
                <w:szCs w:val="26"/>
                <w:lang w:val="lv-LV"/>
              </w:rPr>
              <w:t xml:space="preserve">. L 352) (turpmāk – Komisijas Regula </w:t>
            </w:r>
            <w:proofErr w:type="spellStart"/>
            <w:r w:rsidRPr="002F48AF">
              <w:rPr>
                <w:rFonts w:eastAsia="Times New Roman"/>
                <w:bCs/>
                <w:sz w:val="26"/>
                <w:szCs w:val="26"/>
                <w:lang w:val="lv-LV"/>
              </w:rPr>
              <w:t>Nr</w:t>
            </w:r>
            <w:proofErr w:type="spellEnd"/>
            <w:r w:rsidRPr="002F48AF">
              <w:rPr>
                <w:rFonts w:eastAsia="Times New Roman"/>
                <w:bCs/>
                <w:sz w:val="26"/>
                <w:szCs w:val="26"/>
                <w:lang w:val="lv-LV"/>
              </w:rPr>
              <w:t xml:space="preserve">. 1407/2013), </w:t>
            </w:r>
            <w:r w:rsidR="00C7438E">
              <w:rPr>
                <w:rFonts w:eastAsia="Times New Roman"/>
                <w:bCs/>
                <w:sz w:val="26"/>
                <w:szCs w:val="26"/>
                <w:lang w:val="lv-LV"/>
              </w:rPr>
              <w:t>EM</w:t>
            </w:r>
            <w:r w:rsidRPr="002F48AF">
              <w:rPr>
                <w:rFonts w:eastAsia="Times New Roman"/>
                <w:bCs/>
                <w:sz w:val="26"/>
                <w:szCs w:val="26"/>
                <w:lang w:val="lv-LV"/>
              </w:rPr>
              <w:t xml:space="preserve"> ir veikusi</w:t>
            </w:r>
            <w:r>
              <w:rPr>
                <w:rFonts w:eastAsia="Times New Roman"/>
                <w:bCs/>
                <w:sz w:val="26"/>
                <w:szCs w:val="26"/>
                <w:lang w:val="lv-LV"/>
              </w:rPr>
              <w:t xml:space="preserve"> grozījumus MK noteikumos Nr.898</w:t>
            </w:r>
            <w:r w:rsidRPr="002F48AF">
              <w:rPr>
                <w:rFonts w:eastAsia="Times New Roman"/>
                <w:bCs/>
                <w:sz w:val="26"/>
                <w:szCs w:val="26"/>
                <w:lang w:val="lv-LV"/>
              </w:rPr>
              <w:t xml:space="preserve">, </w:t>
            </w:r>
            <w:r w:rsidRPr="00C3167F">
              <w:rPr>
                <w:rFonts w:eastAsia="Times New Roman"/>
                <w:bCs/>
                <w:sz w:val="26"/>
                <w:szCs w:val="26"/>
                <w:u w:val="single"/>
                <w:lang w:val="lv-LV"/>
              </w:rPr>
              <w:t>pielāgojot noteikumu regulējumu Komisijas Regulai Nr.1407/2013, kā arī pagarinājusi apmācību nodrošinājuma termiņu līdz 2015.gada 30.</w:t>
            </w:r>
            <w:r w:rsidR="00A56909">
              <w:rPr>
                <w:rFonts w:eastAsia="Times New Roman"/>
                <w:bCs/>
                <w:sz w:val="26"/>
                <w:szCs w:val="26"/>
                <w:u w:val="single"/>
                <w:lang w:val="lv-LV"/>
              </w:rPr>
              <w:t>septembrim</w:t>
            </w:r>
            <w:r w:rsidRPr="002F48AF">
              <w:rPr>
                <w:rFonts w:eastAsia="Times New Roman"/>
                <w:bCs/>
                <w:sz w:val="26"/>
                <w:szCs w:val="26"/>
                <w:lang w:val="lv-LV"/>
              </w:rPr>
              <w:t>. Regulas Nr.1407/2013 nosacījumi</w:t>
            </w:r>
            <w:r>
              <w:rPr>
                <w:rFonts w:eastAsia="Times New Roman"/>
                <w:bCs/>
                <w:sz w:val="26"/>
                <w:szCs w:val="26"/>
                <w:lang w:val="lv-LV"/>
              </w:rPr>
              <w:t xml:space="preserve"> ir</w:t>
            </w:r>
            <w:r w:rsidRPr="002F48AF">
              <w:rPr>
                <w:rFonts w:eastAsia="Times New Roman"/>
                <w:bCs/>
                <w:sz w:val="26"/>
                <w:szCs w:val="26"/>
                <w:lang w:val="lv-LV"/>
              </w:rPr>
              <w:t xml:space="preserve"> saskanīgi ar Regulas Nr.1998/2006 nosacījumiem,</w:t>
            </w:r>
            <w:r w:rsidR="00E0051C">
              <w:rPr>
                <w:rFonts w:eastAsia="Times New Roman"/>
                <w:bCs/>
                <w:sz w:val="26"/>
                <w:szCs w:val="26"/>
                <w:lang w:val="lv-LV"/>
              </w:rPr>
              <w:t xml:space="preserve"> </w:t>
            </w:r>
            <w:r w:rsidR="00E0051C">
              <w:rPr>
                <w:rFonts w:eastAsia="Times New Roman"/>
                <w:bCs/>
                <w:sz w:val="26"/>
                <w:szCs w:val="26"/>
                <w:lang w:val="lv-LV"/>
              </w:rPr>
              <w:lastRenderedPageBreak/>
              <w:t xml:space="preserve">turklāt atšķirībā no Regulas </w:t>
            </w:r>
            <w:r w:rsidR="00D21BB8">
              <w:rPr>
                <w:rFonts w:eastAsia="Times New Roman"/>
                <w:bCs/>
                <w:sz w:val="26"/>
                <w:szCs w:val="26"/>
                <w:lang w:val="lv-LV"/>
              </w:rPr>
              <w:t>Nr.1998/2006 Regulā</w:t>
            </w:r>
            <w:r w:rsidR="00F02020">
              <w:rPr>
                <w:rFonts w:eastAsia="Times New Roman"/>
                <w:bCs/>
                <w:sz w:val="26"/>
                <w:szCs w:val="26"/>
                <w:lang w:val="lv-LV"/>
              </w:rPr>
              <w:t xml:space="preserve"> Nr.1407/2013 kā </w:t>
            </w:r>
            <w:r w:rsidRPr="002F48AF">
              <w:rPr>
                <w:rFonts w:eastAsia="Times New Roman"/>
                <w:bCs/>
                <w:sz w:val="26"/>
                <w:szCs w:val="26"/>
                <w:lang w:val="lv-LV"/>
              </w:rPr>
              <w:t xml:space="preserve"> </w:t>
            </w:r>
            <w:r w:rsidR="00F02020">
              <w:rPr>
                <w:rFonts w:eastAsia="Times New Roman"/>
                <w:bCs/>
                <w:sz w:val="26"/>
                <w:szCs w:val="26"/>
                <w:lang w:val="lv-LV"/>
              </w:rPr>
              <w:t>v</w:t>
            </w:r>
            <w:r w:rsidR="00F02020" w:rsidRPr="002F48AF">
              <w:rPr>
                <w:rFonts w:eastAsia="Times New Roman"/>
                <w:bCs/>
                <w:sz w:val="26"/>
                <w:szCs w:val="26"/>
                <w:lang w:val="lv-LV"/>
              </w:rPr>
              <w:t xml:space="preserve">ienīgais </w:t>
            </w:r>
            <w:r w:rsidRPr="002F48AF">
              <w:rPr>
                <w:rFonts w:eastAsia="Times New Roman"/>
                <w:bCs/>
                <w:sz w:val="26"/>
                <w:szCs w:val="26"/>
                <w:lang w:val="lv-LV"/>
              </w:rPr>
              <w:t>ierobežojums atbalsta saņemšanai ir  gadījumā, ja uzņēmumam piemērots maksātnespējas process vai tas neatbilst normatīvajos aktos noteiktiem kritērijiem, lai tam pēc kreditoru pieprasījuma piemērotu kolektīvu maksātnespēj</w:t>
            </w:r>
            <w:r>
              <w:rPr>
                <w:rFonts w:eastAsia="Times New Roman"/>
                <w:bCs/>
                <w:sz w:val="26"/>
                <w:szCs w:val="26"/>
                <w:lang w:val="lv-LV"/>
              </w:rPr>
              <w:t>as procedūru (paredzēts MK noteikumu Nr.898 17</w:t>
            </w:r>
            <w:r w:rsidRPr="002F48AF">
              <w:rPr>
                <w:rFonts w:eastAsia="Times New Roman"/>
                <w:bCs/>
                <w:sz w:val="26"/>
                <w:szCs w:val="26"/>
                <w:lang w:val="lv-LV"/>
              </w:rPr>
              <w:t xml:space="preserve">.1.punktā). </w:t>
            </w:r>
          </w:p>
          <w:p w:rsidR="00060806" w:rsidRPr="00C3167F" w:rsidRDefault="00785099" w:rsidP="00AC4F22">
            <w:pPr>
              <w:suppressAutoHyphens/>
              <w:jc w:val="both"/>
              <w:rPr>
                <w:sz w:val="24"/>
                <w:szCs w:val="24"/>
                <w:lang w:val="lv-LV"/>
              </w:rPr>
            </w:pPr>
            <w:r w:rsidRPr="002F48AF">
              <w:rPr>
                <w:rFonts w:eastAsia="Times New Roman"/>
                <w:bCs/>
                <w:sz w:val="26"/>
                <w:szCs w:val="26"/>
                <w:lang w:val="lv-LV"/>
              </w:rPr>
              <w:t>Ņemot vērā, ka ar 2014.gad</w:t>
            </w:r>
            <w:r w:rsidR="00AC4F22">
              <w:rPr>
                <w:rFonts w:eastAsia="Times New Roman"/>
                <w:bCs/>
                <w:sz w:val="26"/>
                <w:szCs w:val="26"/>
                <w:lang w:val="lv-LV"/>
              </w:rPr>
              <w:t>a 1.janvāri valsts akciju sabiedrībai</w:t>
            </w:r>
            <w:r w:rsidRPr="002F48AF">
              <w:rPr>
                <w:rFonts w:eastAsia="Times New Roman"/>
                <w:bCs/>
                <w:sz w:val="26"/>
                <w:szCs w:val="26"/>
                <w:lang w:val="lv-LV"/>
              </w:rPr>
              <w:t xml:space="preserve"> „Latvijas Hipotēku un zemes banka” tika mainīts nosaukums uz </w:t>
            </w:r>
            <w:r w:rsidR="00AC4F22">
              <w:rPr>
                <w:rFonts w:eastAsia="Times New Roman"/>
                <w:bCs/>
                <w:sz w:val="26"/>
                <w:szCs w:val="26"/>
                <w:lang w:val="lv-LV"/>
              </w:rPr>
              <w:t xml:space="preserve">sabiedrību </w:t>
            </w:r>
            <w:proofErr w:type="spellStart"/>
            <w:r w:rsidR="00294392">
              <w:rPr>
                <w:rFonts w:eastAsia="Times New Roman"/>
                <w:bCs/>
                <w:sz w:val="26"/>
                <w:szCs w:val="26"/>
                <w:lang w:val="lv-LV"/>
              </w:rPr>
              <w:t>Altum</w:t>
            </w:r>
            <w:proofErr w:type="spellEnd"/>
            <w:r w:rsidRPr="002F48AF">
              <w:rPr>
                <w:rFonts w:eastAsia="Times New Roman"/>
                <w:bCs/>
                <w:sz w:val="26"/>
                <w:szCs w:val="26"/>
                <w:lang w:val="lv-LV"/>
              </w:rPr>
              <w:t xml:space="preserve">, noteikumu projektā ir grozīts </w:t>
            </w:r>
            <w:r w:rsidR="00AC4F22">
              <w:rPr>
                <w:rFonts w:eastAsia="Times New Roman"/>
                <w:bCs/>
                <w:sz w:val="26"/>
                <w:szCs w:val="26"/>
                <w:lang w:val="lv-LV"/>
              </w:rPr>
              <w:t xml:space="preserve">apmācību nodrošinātāja </w:t>
            </w:r>
            <w:r w:rsidRPr="002F48AF">
              <w:rPr>
                <w:rFonts w:eastAsia="Times New Roman"/>
                <w:bCs/>
                <w:sz w:val="26"/>
                <w:szCs w:val="26"/>
                <w:lang w:val="lv-LV"/>
              </w:rPr>
              <w:t>nosaukums.</w:t>
            </w:r>
          </w:p>
        </w:tc>
      </w:tr>
      <w:tr w:rsidR="00A31FDC" w:rsidRPr="00235168" w:rsidTr="00C3167F">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7243A0" w:rsidP="00F22471">
            <w:pPr>
              <w:jc w:val="both"/>
              <w:rPr>
                <w:rFonts w:eastAsia="Times New Roman"/>
                <w:sz w:val="26"/>
                <w:szCs w:val="26"/>
                <w:lang w:val="lv-LV" w:eastAsia="lv-LV"/>
              </w:rPr>
            </w:pPr>
            <w:r w:rsidRPr="007243A0">
              <w:rPr>
                <w:rFonts w:eastAsia="Times New Roman"/>
                <w:sz w:val="26"/>
                <w:szCs w:val="26"/>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DF5D85">
            <w:pPr>
              <w:jc w:val="both"/>
              <w:rPr>
                <w:bCs/>
                <w:sz w:val="26"/>
                <w:szCs w:val="26"/>
                <w:lang w:val="lv-LV"/>
              </w:rPr>
            </w:pPr>
            <w:r w:rsidRPr="00235168">
              <w:rPr>
                <w:iCs/>
                <w:sz w:val="26"/>
                <w:szCs w:val="26"/>
                <w:lang w:val="lv-LV"/>
              </w:rPr>
              <w:t>Projekts šo jomu neskar</w:t>
            </w:r>
            <w:r w:rsidRPr="00235168">
              <w:rPr>
                <w:color w:val="000000"/>
                <w:sz w:val="26"/>
                <w:szCs w:val="26"/>
                <w:lang w:val="lv-LV"/>
              </w:rPr>
              <w:t xml:space="preserve">. </w:t>
            </w:r>
          </w:p>
        </w:tc>
      </w:tr>
      <w:tr w:rsidR="00D95EF7" w:rsidRPr="00235168" w:rsidTr="00C3167F">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235168" w:rsidRDefault="007243A0" w:rsidP="00F22471">
            <w:pPr>
              <w:jc w:val="both"/>
              <w:rPr>
                <w:rFonts w:eastAsia="Times New Roman"/>
                <w:sz w:val="26"/>
                <w:szCs w:val="26"/>
                <w:lang w:val="lv-LV" w:eastAsia="lv-LV"/>
              </w:rPr>
            </w:pPr>
            <w:r>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235168" w:rsidRDefault="007243A0" w:rsidP="00F22471">
            <w:pPr>
              <w:jc w:val="both"/>
              <w:rPr>
                <w:rFonts w:eastAsia="Times New Roman"/>
                <w:sz w:val="26"/>
                <w:szCs w:val="26"/>
                <w:lang w:val="lv-LV" w:eastAsia="lv-LV"/>
              </w:rPr>
            </w:pPr>
            <w:r w:rsidRPr="007243A0">
              <w:rPr>
                <w:rFonts w:eastAsia="Times New Roman"/>
                <w:sz w:val="26"/>
                <w:szCs w:val="26"/>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235168" w:rsidRDefault="00BF2E4B" w:rsidP="00D95EF7">
            <w:pPr>
              <w:jc w:val="both"/>
              <w:rPr>
                <w:iCs/>
                <w:sz w:val="26"/>
                <w:szCs w:val="26"/>
                <w:lang w:val="lv-LV"/>
              </w:rPr>
            </w:pPr>
            <w:r>
              <w:rPr>
                <w:iCs/>
                <w:sz w:val="26"/>
                <w:szCs w:val="26"/>
                <w:lang w:val="lv-LV"/>
              </w:rPr>
              <w:t>Nav</w:t>
            </w:r>
          </w:p>
        </w:tc>
      </w:tr>
    </w:tbl>
    <w:p w:rsidR="00C97F6E" w:rsidRPr="00235168" w:rsidRDefault="00C97F6E" w:rsidP="00F22471">
      <w:pPr>
        <w:jc w:val="both"/>
        <w:rPr>
          <w:rFonts w:eastAsia="Times New Roman"/>
          <w:sz w:val="26"/>
          <w:szCs w:val="26"/>
          <w:lang w:val="lv-LV" w:eastAsia="lv-LV"/>
        </w:rPr>
        <w:sectPr w:rsidR="00C97F6E" w:rsidRPr="0023516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Default="00C97F6E" w:rsidP="00F22471">
      <w:pPr>
        <w:jc w:val="both"/>
        <w:rPr>
          <w:rFonts w:eastAsia="Times New Roman"/>
          <w:sz w:val="26"/>
          <w:szCs w:val="26"/>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67603D" w:rsidRPr="00C3167F" w:rsidTr="00C82FA6">
        <w:trPr>
          <w:tblCellSpacing w:w="0" w:type="dxa"/>
        </w:trPr>
        <w:tc>
          <w:tcPr>
            <w:tcW w:w="9191" w:type="dxa"/>
            <w:gridSpan w:val="3"/>
            <w:hideMark/>
          </w:tcPr>
          <w:p w:rsidR="0067603D" w:rsidRPr="00C3167F" w:rsidRDefault="0067603D" w:rsidP="00C82FA6">
            <w:pPr>
              <w:ind w:firstLine="709"/>
              <w:jc w:val="both"/>
              <w:rPr>
                <w:rFonts w:eastAsia="Times New Roman"/>
                <w:b/>
                <w:bCs/>
                <w:sz w:val="26"/>
                <w:szCs w:val="26"/>
                <w:lang w:val="lv-LV" w:eastAsia="lv-LV"/>
              </w:rPr>
            </w:pPr>
            <w:r w:rsidRPr="00C3167F">
              <w:rPr>
                <w:rFonts w:eastAsia="Times New Roman"/>
                <w:b/>
                <w:bCs/>
                <w:sz w:val="26"/>
                <w:szCs w:val="26"/>
                <w:lang w:val="lv-LV" w:eastAsia="lv-LV"/>
              </w:rPr>
              <w:t> V. Tiesību akta projekta atbilstība Latvijas Republikas starptautiskajām saistībām</w:t>
            </w:r>
          </w:p>
        </w:tc>
      </w:tr>
      <w:tr w:rsidR="0067603D" w:rsidRPr="00C3167F" w:rsidTr="00962A44">
        <w:trPr>
          <w:trHeight w:val="1422"/>
          <w:tblCellSpacing w:w="0" w:type="dxa"/>
        </w:trPr>
        <w:tc>
          <w:tcPr>
            <w:tcW w:w="400"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1.</w:t>
            </w:r>
          </w:p>
        </w:tc>
        <w:tc>
          <w:tcPr>
            <w:tcW w:w="1645"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Saistības pret Eiropas Savienību</w:t>
            </w:r>
          </w:p>
        </w:tc>
        <w:tc>
          <w:tcPr>
            <w:tcW w:w="7146" w:type="dxa"/>
            <w:hideMark/>
          </w:tcPr>
          <w:p w:rsidR="0067603D" w:rsidRPr="00C3167F" w:rsidRDefault="0067603D" w:rsidP="00294392">
            <w:pPr>
              <w:jc w:val="both"/>
              <w:rPr>
                <w:rFonts w:eastAsia="Times New Roman"/>
                <w:sz w:val="26"/>
                <w:szCs w:val="26"/>
                <w:lang w:val="lv-LV" w:eastAsia="lv-LV"/>
              </w:rPr>
            </w:pPr>
            <w:r w:rsidRPr="00C3167F">
              <w:rPr>
                <w:rFonts w:eastAsia="Times New Roman"/>
                <w:sz w:val="26"/>
                <w:szCs w:val="26"/>
                <w:lang w:val="lv-LV" w:eastAsia="lv-LV"/>
              </w:rPr>
              <w:t>Ar tie</w:t>
            </w:r>
            <w:r w:rsidR="00962A44" w:rsidRPr="00C3167F">
              <w:rPr>
                <w:rFonts w:eastAsia="Times New Roman"/>
                <w:sz w:val="26"/>
                <w:szCs w:val="26"/>
                <w:lang w:val="lv-LV" w:eastAsia="lv-LV"/>
              </w:rPr>
              <w:t xml:space="preserve">sību akta projektu tiek ieviesta </w:t>
            </w:r>
            <w:r w:rsidRPr="00C3167F">
              <w:rPr>
                <w:sz w:val="26"/>
                <w:szCs w:val="26"/>
              </w:rPr>
              <w:t xml:space="preserve">2013.gada 18.decembra </w:t>
            </w:r>
            <w:proofErr w:type="spellStart"/>
            <w:r w:rsidR="00962A44" w:rsidRPr="00C3167F">
              <w:rPr>
                <w:sz w:val="26"/>
                <w:szCs w:val="26"/>
              </w:rPr>
              <w:t>Komisijas</w:t>
            </w:r>
            <w:proofErr w:type="spellEnd"/>
            <w:r w:rsidR="00962A44" w:rsidRPr="00C3167F">
              <w:rPr>
                <w:sz w:val="26"/>
                <w:szCs w:val="26"/>
              </w:rPr>
              <w:t xml:space="preserve"> </w:t>
            </w:r>
            <w:proofErr w:type="spellStart"/>
            <w:r w:rsidR="00962A44" w:rsidRPr="00C3167F">
              <w:rPr>
                <w:sz w:val="26"/>
                <w:szCs w:val="26"/>
              </w:rPr>
              <w:t>Regula</w:t>
            </w:r>
            <w:proofErr w:type="spellEnd"/>
            <w:r w:rsidRPr="00C3167F">
              <w:rPr>
                <w:sz w:val="26"/>
                <w:szCs w:val="26"/>
              </w:rPr>
              <w:t xml:space="preserve"> (EK) Nr. 1407/2013 par </w:t>
            </w:r>
            <w:proofErr w:type="spellStart"/>
            <w:r w:rsidRPr="00C3167F">
              <w:rPr>
                <w:sz w:val="26"/>
                <w:szCs w:val="26"/>
              </w:rPr>
              <w:t>Līguma</w:t>
            </w:r>
            <w:proofErr w:type="spellEnd"/>
            <w:r w:rsidRPr="00C3167F">
              <w:rPr>
                <w:sz w:val="26"/>
                <w:szCs w:val="26"/>
              </w:rPr>
              <w:t xml:space="preserve"> par </w:t>
            </w:r>
            <w:proofErr w:type="spellStart"/>
            <w:r w:rsidRPr="00C3167F">
              <w:rPr>
                <w:sz w:val="26"/>
                <w:szCs w:val="26"/>
              </w:rPr>
              <w:t>Eiropas</w:t>
            </w:r>
            <w:proofErr w:type="spellEnd"/>
            <w:r w:rsidRPr="00C3167F">
              <w:rPr>
                <w:sz w:val="26"/>
                <w:szCs w:val="26"/>
              </w:rPr>
              <w:t xml:space="preserve"> </w:t>
            </w:r>
            <w:proofErr w:type="spellStart"/>
            <w:r w:rsidRPr="00C3167F">
              <w:rPr>
                <w:sz w:val="26"/>
                <w:szCs w:val="26"/>
              </w:rPr>
              <w:t>Savienības</w:t>
            </w:r>
            <w:proofErr w:type="spellEnd"/>
            <w:r w:rsidRPr="00C3167F">
              <w:rPr>
                <w:sz w:val="26"/>
                <w:szCs w:val="26"/>
              </w:rPr>
              <w:t xml:space="preserve"> </w:t>
            </w:r>
            <w:proofErr w:type="spellStart"/>
            <w:r w:rsidRPr="00C3167F">
              <w:rPr>
                <w:sz w:val="26"/>
                <w:szCs w:val="26"/>
              </w:rPr>
              <w:t>darbību</w:t>
            </w:r>
            <w:proofErr w:type="spellEnd"/>
            <w:r w:rsidRPr="00C3167F">
              <w:rPr>
                <w:sz w:val="26"/>
                <w:szCs w:val="26"/>
              </w:rPr>
              <w:t xml:space="preserve"> 107. un 108.panta </w:t>
            </w:r>
            <w:proofErr w:type="spellStart"/>
            <w:r w:rsidRPr="00C3167F">
              <w:rPr>
                <w:sz w:val="26"/>
                <w:szCs w:val="26"/>
              </w:rPr>
              <w:t>piemērošanu</w:t>
            </w:r>
            <w:proofErr w:type="spellEnd"/>
            <w:r w:rsidRPr="00C3167F">
              <w:rPr>
                <w:sz w:val="26"/>
                <w:szCs w:val="26"/>
              </w:rPr>
              <w:t xml:space="preserve"> </w:t>
            </w:r>
            <w:r w:rsidRPr="00C3167F">
              <w:rPr>
                <w:i/>
                <w:sz w:val="26"/>
                <w:szCs w:val="26"/>
              </w:rPr>
              <w:t xml:space="preserve">de </w:t>
            </w:r>
            <w:proofErr w:type="spellStart"/>
            <w:r w:rsidRPr="00C3167F">
              <w:rPr>
                <w:i/>
                <w:sz w:val="26"/>
                <w:szCs w:val="26"/>
              </w:rPr>
              <w:t>minimis</w:t>
            </w:r>
            <w:proofErr w:type="spellEnd"/>
            <w:r w:rsidRPr="00C3167F">
              <w:rPr>
                <w:sz w:val="26"/>
                <w:szCs w:val="26"/>
              </w:rPr>
              <w:t xml:space="preserve"> </w:t>
            </w:r>
            <w:proofErr w:type="spellStart"/>
            <w:r w:rsidRPr="00C3167F">
              <w:rPr>
                <w:sz w:val="26"/>
                <w:szCs w:val="26"/>
              </w:rPr>
              <w:t>atbalstam</w:t>
            </w:r>
            <w:proofErr w:type="spellEnd"/>
            <w:r w:rsidRPr="00C3167F">
              <w:rPr>
                <w:sz w:val="26"/>
                <w:szCs w:val="26"/>
              </w:rPr>
              <w:t xml:space="preserve"> (</w:t>
            </w:r>
            <w:proofErr w:type="spellStart"/>
            <w:r w:rsidRPr="00C3167F">
              <w:rPr>
                <w:sz w:val="26"/>
                <w:szCs w:val="26"/>
              </w:rPr>
              <w:t>Eiropas</w:t>
            </w:r>
            <w:proofErr w:type="spellEnd"/>
            <w:r w:rsidRPr="00C3167F">
              <w:rPr>
                <w:sz w:val="26"/>
                <w:szCs w:val="26"/>
              </w:rPr>
              <w:t xml:space="preserve"> </w:t>
            </w:r>
            <w:proofErr w:type="spellStart"/>
            <w:r w:rsidRPr="00C3167F">
              <w:rPr>
                <w:sz w:val="26"/>
                <w:szCs w:val="26"/>
              </w:rPr>
              <w:t>Savienības</w:t>
            </w:r>
            <w:proofErr w:type="spellEnd"/>
            <w:r w:rsidRPr="00C3167F">
              <w:rPr>
                <w:sz w:val="26"/>
                <w:szCs w:val="26"/>
              </w:rPr>
              <w:t xml:space="preserve"> </w:t>
            </w:r>
            <w:proofErr w:type="spellStart"/>
            <w:r w:rsidRPr="00C3167F">
              <w:rPr>
                <w:sz w:val="26"/>
                <w:szCs w:val="26"/>
              </w:rPr>
              <w:t>Oficiālais</w:t>
            </w:r>
            <w:proofErr w:type="spellEnd"/>
            <w:r w:rsidRPr="00C3167F">
              <w:rPr>
                <w:sz w:val="26"/>
                <w:szCs w:val="26"/>
              </w:rPr>
              <w:t xml:space="preserve"> </w:t>
            </w:r>
            <w:proofErr w:type="spellStart"/>
            <w:r w:rsidRPr="00C3167F">
              <w:rPr>
                <w:sz w:val="26"/>
                <w:szCs w:val="26"/>
              </w:rPr>
              <w:t>Vēstnesis</w:t>
            </w:r>
            <w:proofErr w:type="spellEnd"/>
            <w:r w:rsidRPr="00C3167F">
              <w:rPr>
                <w:sz w:val="26"/>
                <w:szCs w:val="26"/>
              </w:rPr>
              <w:t>, 2013.gada 24.decembris, Nr. L 352)</w:t>
            </w:r>
            <w:r w:rsidR="00294392">
              <w:rPr>
                <w:sz w:val="26"/>
                <w:szCs w:val="26"/>
              </w:rPr>
              <w:t>.</w:t>
            </w:r>
          </w:p>
        </w:tc>
      </w:tr>
      <w:tr w:rsidR="0067603D" w:rsidRPr="00C3167F" w:rsidTr="00C82FA6">
        <w:trPr>
          <w:tblCellSpacing w:w="0" w:type="dxa"/>
        </w:trPr>
        <w:tc>
          <w:tcPr>
            <w:tcW w:w="400"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2.</w:t>
            </w:r>
          </w:p>
        </w:tc>
        <w:tc>
          <w:tcPr>
            <w:tcW w:w="1645"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Citas starptautiskās saistības</w:t>
            </w:r>
          </w:p>
        </w:tc>
        <w:tc>
          <w:tcPr>
            <w:tcW w:w="7146" w:type="dxa"/>
            <w:hideMark/>
          </w:tcPr>
          <w:p w:rsidR="0067603D" w:rsidRPr="00C3167F" w:rsidRDefault="0067603D" w:rsidP="00962A44">
            <w:pPr>
              <w:rPr>
                <w:rFonts w:eastAsia="Times New Roman"/>
                <w:sz w:val="26"/>
                <w:szCs w:val="26"/>
                <w:lang w:val="lv-LV" w:eastAsia="lv-LV"/>
              </w:rPr>
            </w:pPr>
            <w:r w:rsidRPr="00C3167F">
              <w:rPr>
                <w:sz w:val="26"/>
                <w:szCs w:val="26"/>
                <w:lang w:val="lv-LV"/>
              </w:rPr>
              <w:t>Projekts šo jomu neskar.</w:t>
            </w:r>
          </w:p>
        </w:tc>
      </w:tr>
      <w:tr w:rsidR="0067603D" w:rsidRPr="00C3167F" w:rsidTr="00C82FA6">
        <w:trPr>
          <w:tblCellSpacing w:w="0" w:type="dxa"/>
        </w:trPr>
        <w:tc>
          <w:tcPr>
            <w:tcW w:w="400"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3.</w:t>
            </w:r>
          </w:p>
        </w:tc>
        <w:tc>
          <w:tcPr>
            <w:tcW w:w="1645" w:type="dxa"/>
            <w:hideMark/>
          </w:tcPr>
          <w:p w:rsidR="0067603D" w:rsidRPr="00C3167F" w:rsidRDefault="0067603D" w:rsidP="00C82FA6">
            <w:pPr>
              <w:rPr>
                <w:sz w:val="26"/>
                <w:szCs w:val="26"/>
                <w:lang w:val="lv-LV"/>
              </w:rPr>
            </w:pPr>
            <w:r w:rsidRPr="00C3167F">
              <w:rPr>
                <w:sz w:val="26"/>
                <w:szCs w:val="26"/>
                <w:lang w:val="lv-LV"/>
              </w:rPr>
              <w:t> Cita informācija</w:t>
            </w:r>
          </w:p>
        </w:tc>
        <w:tc>
          <w:tcPr>
            <w:tcW w:w="7146" w:type="dxa"/>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Projekts šo jomu neskar.</w:t>
            </w:r>
          </w:p>
          <w:p w:rsidR="0067603D" w:rsidRPr="00C3167F" w:rsidRDefault="0067603D" w:rsidP="00C82FA6">
            <w:pPr>
              <w:jc w:val="both"/>
              <w:rPr>
                <w:rFonts w:eastAsia="Times New Roman"/>
                <w:sz w:val="26"/>
                <w:szCs w:val="26"/>
                <w:lang w:val="lv-LV" w:eastAsia="lv-LV"/>
              </w:rPr>
            </w:pPr>
          </w:p>
        </w:tc>
      </w:tr>
    </w:tbl>
    <w:p w:rsidR="0067603D" w:rsidRPr="00C3167F" w:rsidRDefault="0067603D" w:rsidP="0067603D">
      <w:pPr>
        <w:ind w:firstLine="468"/>
        <w:jc w:val="both"/>
        <w:rPr>
          <w:rFonts w:eastAsia="Times New Roman"/>
          <w:sz w:val="26"/>
          <w:szCs w:val="26"/>
          <w:lang w:val="lv-LV" w:eastAsia="lv-LV"/>
        </w:rPr>
      </w:pPr>
      <w:r w:rsidRPr="00C3167F">
        <w:rPr>
          <w:rFonts w:eastAsia="Times New Roman"/>
          <w:sz w:val="26"/>
          <w:szCs w:val="26"/>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67603D" w:rsidRPr="00C3167F" w:rsidTr="00C82FA6">
        <w:trPr>
          <w:trHeight w:val="525"/>
          <w:tblCellSpacing w:w="0" w:type="dxa"/>
        </w:trPr>
        <w:tc>
          <w:tcPr>
            <w:tcW w:w="9191" w:type="dxa"/>
            <w:gridSpan w:val="4"/>
            <w:vAlign w:val="center"/>
            <w:hideMark/>
          </w:tcPr>
          <w:p w:rsidR="0067603D" w:rsidRPr="00C3167F" w:rsidRDefault="0067603D" w:rsidP="00C82FA6">
            <w:pPr>
              <w:jc w:val="center"/>
              <w:rPr>
                <w:rFonts w:eastAsia="Times New Roman"/>
                <w:b/>
                <w:bCs/>
                <w:sz w:val="26"/>
                <w:szCs w:val="26"/>
                <w:lang w:val="lv-LV" w:eastAsia="lv-LV"/>
              </w:rPr>
            </w:pPr>
            <w:r w:rsidRPr="00C3167F">
              <w:rPr>
                <w:rFonts w:eastAsia="Times New Roman"/>
                <w:b/>
                <w:bCs/>
                <w:sz w:val="26"/>
                <w:szCs w:val="26"/>
                <w:lang w:val="lv-LV" w:eastAsia="lv-LV"/>
              </w:rPr>
              <w:t> 1.tabula</w:t>
            </w:r>
          </w:p>
          <w:p w:rsidR="0067603D" w:rsidRPr="00C3167F" w:rsidRDefault="0067603D" w:rsidP="00C82FA6">
            <w:pPr>
              <w:jc w:val="center"/>
              <w:rPr>
                <w:rFonts w:eastAsia="Times New Roman"/>
                <w:b/>
                <w:bCs/>
                <w:sz w:val="26"/>
                <w:szCs w:val="26"/>
                <w:lang w:val="lv-LV" w:eastAsia="lv-LV"/>
              </w:rPr>
            </w:pPr>
            <w:r w:rsidRPr="00C3167F">
              <w:rPr>
                <w:rFonts w:eastAsia="Times New Roman"/>
                <w:b/>
                <w:bCs/>
                <w:sz w:val="26"/>
                <w:szCs w:val="26"/>
                <w:lang w:val="lv-LV" w:eastAsia="lv-LV"/>
              </w:rPr>
              <w:t>Tiesību akta projekta atbilstība ES tiesību aktiem</w:t>
            </w:r>
          </w:p>
        </w:tc>
      </w:tr>
      <w:tr w:rsidR="0067603D" w:rsidRPr="00C3167F" w:rsidTr="00C82FA6">
        <w:trPr>
          <w:trHeight w:val="1256"/>
          <w:tblCellSpacing w:w="0" w:type="dxa"/>
        </w:trPr>
        <w:tc>
          <w:tcPr>
            <w:tcW w:w="2003" w:type="dxa"/>
            <w:vAlign w:val="center"/>
            <w:hideMark/>
          </w:tcPr>
          <w:p w:rsidR="0067603D" w:rsidRPr="00C3167F" w:rsidRDefault="0067603D" w:rsidP="00C82FA6">
            <w:pPr>
              <w:jc w:val="center"/>
              <w:rPr>
                <w:rFonts w:eastAsia="Times New Roman"/>
                <w:sz w:val="26"/>
                <w:szCs w:val="26"/>
                <w:lang w:val="lv-LV" w:eastAsia="lv-LV"/>
              </w:rPr>
            </w:pPr>
            <w:r w:rsidRPr="00C3167F">
              <w:rPr>
                <w:rFonts w:eastAsia="Times New Roman"/>
                <w:sz w:val="26"/>
                <w:szCs w:val="26"/>
                <w:lang w:val="lv-LV" w:eastAsia="lv-LV"/>
              </w:rPr>
              <w:t> Attiecīgā ES tiesību akta datums, numurs un nosaukums</w:t>
            </w:r>
          </w:p>
        </w:tc>
        <w:tc>
          <w:tcPr>
            <w:tcW w:w="7188" w:type="dxa"/>
            <w:gridSpan w:val="3"/>
            <w:vAlign w:val="center"/>
            <w:hideMark/>
          </w:tcPr>
          <w:p w:rsidR="0067603D" w:rsidRPr="00C3167F" w:rsidRDefault="0067603D" w:rsidP="00EE1F99">
            <w:pPr>
              <w:jc w:val="both"/>
              <w:rPr>
                <w:rFonts w:eastAsia="Times New Roman"/>
                <w:sz w:val="26"/>
                <w:szCs w:val="26"/>
                <w:lang w:val="lv-LV" w:eastAsia="lv-LV"/>
              </w:rPr>
            </w:pPr>
            <w:r w:rsidRPr="00C3167F">
              <w:rPr>
                <w:rFonts w:eastAsia="Times New Roman"/>
                <w:sz w:val="26"/>
                <w:szCs w:val="26"/>
                <w:lang w:val="lv-LV" w:eastAsia="lv-LV"/>
              </w:rPr>
              <w:t xml:space="preserve"> Ar </w:t>
            </w:r>
            <w:r w:rsidR="00EE1F99" w:rsidRPr="00C3167F">
              <w:rPr>
                <w:rFonts w:eastAsia="Times New Roman"/>
                <w:sz w:val="26"/>
                <w:szCs w:val="26"/>
                <w:lang w:val="lv-LV" w:eastAsia="lv-LV"/>
              </w:rPr>
              <w:t>normatīvo aktu tiek ieviestas</w:t>
            </w:r>
            <w:r w:rsidRPr="00C3167F">
              <w:rPr>
                <w:rFonts w:eastAsia="Times New Roman"/>
                <w:sz w:val="26"/>
                <w:szCs w:val="26"/>
                <w:lang w:val="lv-LV" w:eastAsia="lv-LV"/>
              </w:rPr>
              <w:t xml:space="preserve"> Eiropas S</w:t>
            </w:r>
            <w:r w:rsidR="00EE1F99" w:rsidRPr="00C3167F">
              <w:rPr>
                <w:rFonts w:eastAsia="Times New Roman"/>
                <w:sz w:val="26"/>
                <w:szCs w:val="26"/>
                <w:lang w:val="lv-LV" w:eastAsia="lv-LV"/>
              </w:rPr>
              <w:t xml:space="preserve">avienības tiesību akta prasības- </w:t>
            </w:r>
            <w:r w:rsidR="00EE1F99" w:rsidRPr="00C3167F">
              <w:rPr>
                <w:sz w:val="26"/>
                <w:szCs w:val="26"/>
                <w:lang w:val="lv-LV"/>
              </w:rPr>
              <w:t>Komisijas Regula Nr.1407/2013</w:t>
            </w:r>
          </w:p>
          <w:p w:rsidR="0067603D" w:rsidRPr="00C3167F" w:rsidRDefault="0067603D" w:rsidP="00EE1F99">
            <w:pPr>
              <w:jc w:val="both"/>
              <w:rPr>
                <w:sz w:val="26"/>
                <w:szCs w:val="26"/>
                <w:lang w:val="lv-LV"/>
              </w:rPr>
            </w:pPr>
          </w:p>
        </w:tc>
      </w:tr>
      <w:tr w:rsidR="0067603D" w:rsidRPr="00C3167F" w:rsidTr="00C82FA6">
        <w:trPr>
          <w:trHeight w:val="166"/>
          <w:tblCellSpacing w:w="0" w:type="dxa"/>
        </w:trPr>
        <w:tc>
          <w:tcPr>
            <w:tcW w:w="2003" w:type="dxa"/>
            <w:vAlign w:val="center"/>
            <w:hideMark/>
          </w:tcPr>
          <w:p w:rsidR="0067603D" w:rsidRPr="00C3167F" w:rsidRDefault="0067603D" w:rsidP="00C82FA6">
            <w:pPr>
              <w:jc w:val="center"/>
              <w:rPr>
                <w:rFonts w:eastAsia="Times New Roman"/>
                <w:sz w:val="26"/>
                <w:szCs w:val="26"/>
                <w:lang w:val="lv-LV" w:eastAsia="lv-LV"/>
              </w:rPr>
            </w:pPr>
            <w:r w:rsidRPr="00C3167F">
              <w:rPr>
                <w:rFonts w:eastAsia="Times New Roman"/>
                <w:sz w:val="26"/>
                <w:szCs w:val="26"/>
                <w:lang w:val="lv-LV" w:eastAsia="lv-LV"/>
              </w:rPr>
              <w:t> A</w:t>
            </w:r>
          </w:p>
        </w:tc>
        <w:tc>
          <w:tcPr>
            <w:tcW w:w="2452" w:type="dxa"/>
            <w:vAlign w:val="center"/>
            <w:hideMark/>
          </w:tcPr>
          <w:p w:rsidR="0067603D" w:rsidRPr="00C3167F" w:rsidRDefault="0067603D" w:rsidP="00C82FA6">
            <w:pPr>
              <w:jc w:val="center"/>
              <w:rPr>
                <w:rFonts w:eastAsia="Times New Roman"/>
                <w:sz w:val="26"/>
                <w:szCs w:val="26"/>
                <w:lang w:val="lv-LV" w:eastAsia="lv-LV"/>
              </w:rPr>
            </w:pPr>
            <w:r w:rsidRPr="00C3167F">
              <w:rPr>
                <w:rFonts w:eastAsia="Times New Roman"/>
                <w:sz w:val="26"/>
                <w:szCs w:val="26"/>
                <w:lang w:val="lv-LV" w:eastAsia="lv-LV"/>
              </w:rPr>
              <w:t> B</w:t>
            </w:r>
          </w:p>
        </w:tc>
        <w:tc>
          <w:tcPr>
            <w:tcW w:w="2703" w:type="dxa"/>
            <w:vAlign w:val="center"/>
            <w:hideMark/>
          </w:tcPr>
          <w:p w:rsidR="0067603D" w:rsidRPr="00C3167F" w:rsidRDefault="0067603D" w:rsidP="00C82FA6">
            <w:pPr>
              <w:jc w:val="center"/>
              <w:rPr>
                <w:rFonts w:eastAsia="Times New Roman"/>
                <w:sz w:val="26"/>
                <w:szCs w:val="26"/>
                <w:lang w:val="lv-LV" w:eastAsia="lv-LV"/>
              </w:rPr>
            </w:pPr>
            <w:r w:rsidRPr="00C3167F">
              <w:rPr>
                <w:rFonts w:eastAsia="Times New Roman"/>
                <w:sz w:val="26"/>
                <w:szCs w:val="26"/>
                <w:lang w:val="lv-LV" w:eastAsia="lv-LV"/>
              </w:rPr>
              <w:t> C</w:t>
            </w:r>
          </w:p>
        </w:tc>
        <w:tc>
          <w:tcPr>
            <w:tcW w:w="2033" w:type="dxa"/>
            <w:vAlign w:val="center"/>
            <w:hideMark/>
          </w:tcPr>
          <w:p w:rsidR="0067603D" w:rsidRPr="00C3167F" w:rsidRDefault="0067603D" w:rsidP="00C82FA6">
            <w:pPr>
              <w:jc w:val="center"/>
              <w:rPr>
                <w:rFonts w:eastAsia="Times New Roman"/>
                <w:sz w:val="26"/>
                <w:szCs w:val="26"/>
                <w:lang w:val="lv-LV" w:eastAsia="lv-LV"/>
              </w:rPr>
            </w:pPr>
            <w:r w:rsidRPr="00C3167F">
              <w:rPr>
                <w:rFonts w:eastAsia="Times New Roman"/>
                <w:sz w:val="26"/>
                <w:szCs w:val="26"/>
                <w:lang w:val="lv-LV" w:eastAsia="lv-LV"/>
              </w:rPr>
              <w:t> D</w:t>
            </w:r>
          </w:p>
        </w:tc>
      </w:tr>
      <w:tr w:rsidR="0067603D" w:rsidRPr="00C3167F" w:rsidTr="00C82FA6">
        <w:trPr>
          <w:trHeight w:val="2917"/>
          <w:tblCellSpacing w:w="0" w:type="dxa"/>
        </w:trPr>
        <w:tc>
          <w:tcPr>
            <w:tcW w:w="2003"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lastRenderedPageBreak/>
              <w:t> Attiecīgā ES tiesību akta panta numurs (uzskaitot katru tiesību akta</w:t>
            </w:r>
            <w:r w:rsidRPr="00C3167F">
              <w:rPr>
                <w:rFonts w:eastAsia="Times New Roman"/>
                <w:sz w:val="26"/>
                <w:szCs w:val="26"/>
                <w:lang w:val="lv-LV" w:eastAsia="lv-LV"/>
              </w:rPr>
              <w:br/>
              <w:t>vienību – pantu, daļu, punktu, apakšpunktu)</w:t>
            </w:r>
          </w:p>
        </w:tc>
        <w:tc>
          <w:tcPr>
            <w:tcW w:w="2452"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Projekta vienība, kas pārņem vai ievieš katru šīs tabulas A ailē minēto ES tiesību akta vienību</w:t>
            </w:r>
          </w:p>
        </w:tc>
        <w:tc>
          <w:tcPr>
            <w:tcW w:w="2703"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Informācija par to, vai šīs tabulas A ailē minētās ES tiesību akta vienības tiek pārņemtas vai ieviestas pilnībā vai daļēji.</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Ja attiecīgā ES tiesību akta vienība tiek pārņemta vai ieviesta daļēji, – sniedz attiecīgu skaidrojumu, kā arī precīzi norāda, kad un kādā veidā ES tiesību akta vienība tiks pārņemta vai ieviesta pilnībā.</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Norāda institūciju, kas ir atbildīga par šo saistību izpildi pilnībā</w:t>
            </w:r>
          </w:p>
        </w:tc>
        <w:tc>
          <w:tcPr>
            <w:tcW w:w="2033" w:type="dxa"/>
            <w:hideMark/>
          </w:tcPr>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Informācija par to, vai šīs tabulas B ailē minētās projekta vienības paredz stingrākas prasības nekā šīs tabulas A ailē minētās ES tiesību akta vienības.</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Ja projekts satur stingrākas prasības nekā attiecīgais ES tiesību akts, – norāda pamatojumu un samērīgumu.</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 </w:t>
            </w:r>
          </w:p>
          <w:p w:rsidR="0067603D" w:rsidRPr="00C3167F" w:rsidRDefault="0067603D" w:rsidP="00C82FA6">
            <w:pPr>
              <w:rPr>
                <w:rFonts w:eastAsia="Times New Roman"/>
                <w:sz w:val="26"/>
                <w:szCs w:val="26"/>
                <w:lang w:val="lv-LV" w:eastAsia="lv-LV"/>
              </w:rPr>
            </w:pPr>
            <w:r w:rsidRPr="00C3167F">
              <w:rPr>
                <w:rFonts w:eastAsia="Times New Roman"/>
                <w:sz w:val="26"/>
                <w:szCs w:val="26"/>
                <w:lang w:val="lv-LV" w:eastAsia="lv-LV"/>
              </w:rPr>
              <w:t>Norāda iespējamās alternatīvas (</w:t>
            </w:r>
            <w:proofErr w:type="spellStart"/>
            <w:r w:rsidRPr="00C3167F">
              <w:rPr>
                <w:rFonts w:eastAsia="Times New Roman"/>
                <w:sz w:val="26"/>
                <w:szCs w:val="26"/>
                <w:lang w:val="lv-LV" w:eastAsia="lv-LV"/>
              </w:rPr>
              <w:t>t.sk</w:t>
            </w:r>
            <w:proofErr w:type="spellEnd"/>
            <w:r w:rsidRPr="00C3167F">
              <w:rPr>
                <w:rFonts w:eastAsia="Times New Roman"/>
                <w:sz w:val="26"/>
                <w:szCs w:val="26"/>
                <w:lang w:val="lv-LV" w:eastAsia="lv-LV"/>
              </w:rPr>
              <w:t>. alternatīvas, kas neparedz tiesiskā regulējuma izstrādi) – kādos gadījumos būtu iespējams izvairīties no stingrāku prasību noteikšanas, nekā paredzēts attiecīgajos ES tiesību aktos</w:t>
            </w:r>
          </w:p>
        </w:tc>
      </w:tr>
      <w:tr w:rsidR="00EE1F99" w:rsidRPr="00C3167F" w:rsidTr="00C82FA6">
        <w:trPr>
          <w:trHeight w:val="360"/>
          <w:tblCellSpacing w:w="0" w:type="dxa"/>
        </w:trPr>
        <w:tc>
          <w:tcPr>
            <w:tcW w:w="2003" w:type="dxa"/>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t>Komisijas regulas Nr.1407/2013 8.pants</w:t>
            </w:r>
          </w:p>
        </w:tc>
        <w:tc>
          <w:tcPr>
            <w:tcW w:w="2452" w:type="dxa"/>
          </w:tcPr>
          <w:p w:rsidR="00EE1F99" w:rsidRPr="00C3167F" w:rsidRDefault="00EE1F99" w:rsidP="00EE1F99">
            <w:pPr>
              <w:jc w:val="both"/>
              <w:rPr>
                <w:rFonts w:eastAsia="Times New Roman"/>
                <w:sz w:val="26"/>
                <w:szCs w:val="26"/>
                <w:lang w:val="lv-LV"/>
              </w:rPr>
            </w:pPr>
            <w:r w:rsidRPr="00C3167F">
              <w:rPr>
                <w:rFonts w:eastAsia="Times New Roman"/>
                <w:i/>
                <w:sz w:val="26"/>
                <w:szCs w:val="26"/>
                <w:lang w:val="lv-LV"/>
              </w:rPr>
              <w:t xml:space="preserve">Noteikumu projekta 1.3.punkts (Ar ko groza MK noteikumu Nr.898 </w:t>
            </w:r>
            <w:r w:rsidRPr="00C3167F">
              <w:rPr>
                <w:i/>
                <w:sz w:val="26"/>
                <w:szCs w:val="26"/>
              </w:rPr>
              <w:t xml:space="preserve">7. </w:t>
            </w:r>
            <w:r w:rsidRPr="00C3167F">
              <w:rPr>
                <w:rFonts w:eastAsia="Times New Roman"/>
                <w:i/>
                <w:sz w:val="26"/>
                <w:szCs w:val="26"/>
                <w:lang w:val="lv-LV"/>
              </w:rPr>
              <w:t>punktu).</w:t>
            </w:r>
          </w:p>
        </w:tc>
        <w:tc>
          <w:tcPr>
            <w:tcW w:w="2703" w:type="dxa"/>
          </w:tcPr>
          <w:p w:rsidR="00EE1F99" w:rsidRPr="00C3167F" w:rsidRDefault="00EE1F99" w:rsidP="00C82FA6">
            <w:pPr>
              <w:pStyle w:val="naisf"/>
              <w:spacing w:before="0" w:after="0"/>
              <w:rPr>
                <w:i/>
                <w:sz w:val="26"/>
                <w:szCs w:val="26"/>
              </w:rPr>
            </w:pPr>
            <w:r w:rsidRPr="00C3167F">
              <w:rPr>
                <w:i/>
                <w:sz w:val="26"/>
                <w:szCs w:val="26"/>
              </w:rPr>
              <w:t>ieviesta pilnībā</w:t>
            </w:r>
          </w:p>
        </w:tc>
        <w:tc>
          <w:tcPr>
            <w:tcW w:w="2033" w:type="dxa"/>
          </w:tcPr>
          <w:p w:rsidR="00EE1F99" w:rsidRPr="00C3167F" w:rsidRDefault="00EE1F99" w:rsidP="00C82FA6">
            <w:pPr>
              <w:pStyle w:val="naisf"/>
              <w:spacing w:before="0" w:after="0"/>
              <w:ind w:firstLine="0"/>
              <w:rPr>
                <w:i/>
                <w:sz w:val="26"/>
                <w:szCs w:val="26"/>
              </w:rPr>
            </w:pPr>
            <w:r w:rsidRPr="00C3167F">
              <w:rPr>
                <w:i/>
                <w:sz w:val="26"/>
                <w:szCs w:val="26"/>
              </w:rPr>
              <w:t>neparedz stingrākas prasības</w:t>
            </w:r>
          </w:p>
        </w:tc>
      </w:tr>
      <w:tr w:rsidR="00EE1F99" w:rsidRPr="00C3167F" w:rsidTr="00C82FA6">
        <w:trPr>
          <w:trHeight w:val="360"/>
          <w:tblCellSpacing w:w="0" w:type="dxa"/>
        </w:trPr>
        <w:tc>
          <w:tcPr>
            <w:tcW w:w="2003" w:type="dxa"/>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t>Komisijas regulas Nr.1407/2013 2.panta 2.punkts</w:t>
            </w:r>
          </w:p>
        </w:tc>
        <w:tc>
          <w:tcPr>
            <w:tcW w:w="2452" w:type="dxa"/>
          </w:tcPr>
          <w:p w:rsidR="00EE1F99" w:rsidRPr="00C3167F" w:rsidRDefault="00EE1F99" w:rsidP="00EE1F99">
            <w:pPr>
              <w:jc w:val="both"/>
              <w:rPr>
                <w:rFonts w:eastAsia="Times New Roman"/>
                <w:sz w:val="26"/>
                <w:szCs w:val="26"/>
                <w:lang w:val="lv-LV"/>
              </w:rPr>
            </w:pPr>
            <w:r w:rsidRPr="00C3167F">
              <w:rPr>
                <w:rFonts w:eastAsia="Times New Roman"/>
                <w:i/>
                <w:sz w:val="26"/>
                <w:szCs w:val="26"/>
                <w:lang w:val="lv-LV"/>
              </w:rPr>
              <w:t xml:space="preserve">Noteikumu projekta 1.4.punkts (Ar ko groza MK noteikumu Nr.898 </w:t>
            </w:r>
            <w:r w:rsidRPr="00C3167F">
              <w:rPr>
                <w:i/>
                <w:sz w:val="26"/>
                <w:szCs w:val="26"/>
              </w:rPr>
              <w:t xml:space="preserve">15. </w:t>
            </w:r>
            <w:r w:rsidRPr="00C3167F">
              <w:rPr>
                <w:rFonts w:eastAsia="Times New Roman"/>
                <w:i/>
                <w:sz w:val="26"/>
                <w:szCs w:val="26"/>
                <w:lang w:val="lv-LV"/>
              </w:rPr>
              <w:t>punktu).</w:t>
            </w:r>
          </w:p>
        </w:tc>
        <w:tc>
          <w:tcPr>
            <w:tcW w:w="2703" w:type="dxa"/>
          </w:tcPr>
          <w:p w:rsidR="00EE1F99" w:rsidRPr="00C3167F" w:rsidRDefault="00EE1F99" w:rsidP="00C82FA6">
            <w:pPr>
              <w:pStyle w:val="naisf"/>
              <w:spacing w:before="0" w:after="0"/>
              <w:rPr>
                <w:i/>
                <w:sz w:val="26"/>
                <w:szCs w:val="26"/>
              </w:rPr>
            </w:pPr>
            <w:r w:rsidRPr="00C3167F">
              <w:rPr>
                <w:i/>
                <w:sz w:val="26"/>
                <w:szCs w:val="26"/>
              </w:rPr>
              <w:t>ieviesta pilnībā</w:t>
            </w:r>
          </w:p>
        </w:tc>
        <w:tc>
          <w:tcPr>
            <w:tcW w:w="2033" w:type="dxa"/>
          </w:tcPr>
          <w:p w:rsidR="00EE1F99" w:rsidRPr="00C3167F" w:rsidRDefault="00EE1F99" w:rsidP="00C82FA6">
            <w:pPr>
              <w:pStyle w:val="naisf"/>
              <w:spacing w:before="0" w:after="0"/>
              <w:ind w:firstLine="0"/>
              <w:rPr>
                <w:i/>
                <w:sz w:val="26"/>
                <w:szCs w:val="26"/>
              </w:rPr>
            </w:pPr>
            <w:r w:rsidRPr="00C3167F">
              <w:rPr>
                <w:i/>
                <w:sz w:val="26"/>
                <w:szCs w:val="26"/>
              </w:rPr>
              <w:t>neparedz stingrākas prasības</w:t>
            </w:r>
          </w:p>
        </w:tc>
      </w:tr>
      <w:tr w:rsidR="00EE1F99" w:rsidRPr="00C3167F" w:rsidTr="00C82FA6">
        <w:trPr>
          <w:trHeight w:val="360"/>
          <w:tblCellSpacing w:w="0" w:type="dxa"/>
        </w:trPr>
        <w:tc>
          <w:tcPr>
            <w:tcW w:w="2003" w:type="dxa"/>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lastRenderedPageBreak/>
              <w:t xml:space="preserve">Komisijas regulas Nr.1407/2013 1.pants </w:t>
            </w:r>
          </w:p>
        </w:tc>
        <w:tc>
          <w:tcPr>
            <w:tcW w:w="2452" w:type="dxa"/>
          </w:tcPr>
          <w:p w:rsidR="00EE1F99" w:rsidRPr="00C3167F" w:rsidRDefault="00EE1F99" w:rsidP="00EE1F99">
            <w:pPr>
              <w:jc w:val="both"/>
              <w:rPr>
                <w:rFonts w:eastAsia="Times New Roman"/>
                <w:sz w:val="26"/>
                <w:szCs w:val="26"/>
                <w:lang w:val="lv-LV"/>
              </w:rPr>
            </w:pPr>
            <w:r w:rsidRPr="00C3167F">
              <w:rPr>
                <w:rFonts w:eastAsia="Times New Roman"/>
                <w:i/>
                <w:sz w:val="26"/>
                <w:szCs w:val="26"/>
                <w:lang w:val="lv-LV"/>
              </w:rPr>
              <w:t xml:space="preserve">Noteikumu projekta 1.5.punkts (Ar ko groza MK noteikumu Nr.898 </w:t>
            </w:r>
            <w:r w:rsidRPr="00C3167F">
              <w:rPr>
                <w:i/>
                <w:sz w:val="26"/>
                <w:szCs w:val="26"/>
              </w:rPr>
              <w:t xml:space="preserve">16.1. </w:t>
            </w:r>
            <w:r w:rsidRPr="00C3167F">
              <w:rPr>
                <w:rFonts w:eastAsia="Times New Roman"/>
                <w:i/>
                <w:sz w:val="26"/>
                <w:szCs w:val="26"/>
                <w:lang w:val="lv-LV"/>
              </w:rPr>
              <w:t>punktu).</w:t>
            </w:r>
          </w:p>
        </w:tc>
        <w:tc>
          <w:tcPr>
            <w:tcW w:w="2703" w:type="dxa"/>
          </w:tcPr>
          <w:p w:rsidR="00EE1F99" w:rsidRPr="00C3167F" w:rsidRDefault="00EE1F99" w:rsidP="00C82FA6">
            <w:pPr>
              <w:pStyle w:val="naisf"/>
              <w:spacing w:before="0" w:after="0"/>
              <w:rPr>
                <w:i/>
                <w:sz w:val="26"/>
                <w:szCs w:val="26"/>
              </w:rPr>
            </w:pPr>
            <w:r w:rsidRPr="00C3167F">
              <w:rPr>
                <w:i/>
                <w:sz w:val="26"/>
                <w:szCs w:val="26"/>
              </w:rPr>
              <w:t>ieviesta pilnībā</w:t>
            </w:r>
          </w:p>
        </w:tc>
        <w:tc>
          <w:tcPr>
            <w:tcW w:w="2033" w:type="dxa"/>
          </w:tcPr>
          <w:p w:rsidR="00EE1F99" w:rsidRPr="00C3167F" w:rsidRDefault="00EE1F99" w:rsidP="00C82FA6">
            <w:pPr>
              <w:pStyle w:val="naisf"/>
              <w:spacing w:before="0" w:after="0"/>
              <w:ind w:firstLine="0"/>
              <w:rPr>
                <w:i/>
                <w:sz w:val="26"/>
                <w:szCs w:val="26"/>
              </w:rPr>
            </w:pPr>
            <w:r w:rsidRPr="00C3167F">
              <w:rPr>
                <w:i/>
                <w:sz w:val="26"/>
                <w:szCs w:val="26"/>
              </w:rPr>
              <w:t>neparedz stingrākas prasības</w:t>
            </w:r>
          </w:p>
        </w:tc>
      </w:tr>
      <w:tr w:rsidR="00EE1F99" w:rsidRPr="00C3167F" w:rsidTr="00C82FA6">
        <w:trPr>
          <w:trHeight w:val="360"/>
          <w:tblCellSpacing w:w="0" w:type="dxa"/>
        </w:trPr>
        <w:tc>
          <w:tcPr>
            <w:tcW w:w="2003" w:type="dxa"/>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t>Komisijas regulas Nr.1407/2013 4.panta 3.punkta a) daļa</w:t>
            </w:r>
          </w:p>
        </w:tc>
        <w:tc>
          <w:tcPr>
            <w:tcW w:w="2452" w:type="dxa"/>
          </w:tcPr>
          <w:p w:rsidR="00EE1F99" w:rsidRPr="00C3167F" w:rsidRDefault="00EE1F99" w:rsidP="00EE1F99">
            <w:pPr>
              <w:jc w:val="both"/>
              <w:rPr>
                <w:rFonts w:eastAsia="Times New Roman"/>
                <w:sz w:val="26"/>
                <w:szCs w:val="26"/>
                <w:lang w:val="lv-LV"/>
              </w:rPr>
            </w:pPr>
            <w:r w:rsidRPr="00C3167F">
              <w:rPr>
                <w:rFonts w:eastAsia="Times New Roman"/>
                <w:i/>
                <w:sz w:val="26"/>
                <w:szCs w:val="26"/>
                <w:lang w:val="lv-LV"/>
              </w:rPr>
              <w:t xml:space="preserve">Noteikumu projekta 1.6.punkts (Ar ko groza MK noteikumu Nr.898 </w:t>
            </w:r>
            <w:r w:rsidRPr="00C3167F">
              <w:rPr>
                <w:i/>
                <w:sz w:val="26"/>
                <w:szCs w:val="26"/>
              </w:rPr>
              <w:t xml:space="preserve">17. </w:t>
            </w:r>
            <w:r w:rsidRPr="00C3167F">
              <w:rPr>
                <w:rFonts w:eastAsia="Times New Roman"/>
                <w:i/>
                <w:sz w:val="26"/>
                <w:szCs w:val="26"/>
                <w:lang w:val="lv-LV"/>
              </w:rPr>
              <w:t>punktu).</w:t>
            </w:r>
          </w:p>
        </w:tc>
        <w:tc>
          <w:tcPr>
            <w:tcW w:w="2703" w:type="dxa"/>
          </w:tcPr>
          <w:p w:rsidR="00EE1F99" w:rsidRPr="00C3167F" w:rsidRDefault="00EE1F99" w:rsidP="00C82FA6">
            <w:pPr>
              <w:pStyle w:val="naisf"/>
              <w:spacing w:before="0" w:after="0"/>
              <w:rPr>
                <w:i/>
                <w:sz w:val="26"/>
                <w:szCs w:val="26"/>
              </w:rPr>
            </w:pPr>
            <w:r w:rsidRPr="00C3167F">
              <w:rPr>
                <w:i/>
                <w:sz w:val="26"/>
                <w:szCs w:val="26"/>
              </w:rPr>
              <w:t>ieviesta pilnībā</w:t>
            </w:r>
          </w:p>
        </w:tc>
        <w:tc>
          <w:tcPr>
            <w:tcW w:w="2033" w:type="dxa"/>
          </w:tcPr>
          <w:p w:rsidR="00EE1F99" w:rsidRPr="00C3167F" w:rsidRDefault="00EE1F99" w:rsidP="00C82FA6">
            <w:pPr>
              <w:pStyle w:val="naisf"/>
              <w:spacing w:before="0" w:after="0"/>
              <w:ind w:firstLine="0"/>
              <w:rPr>
                <w:i/>
                <w:sz w:val="26"/>
                <w:szCs w:val="26"/>
              </w:rPr>
            </w:pPr>
            <w:r w:rsidRPr="00C3167F">
              <w:rPr>
                <w:i/>
                <w:sz w:val="26"/>
                <w:szCs w:val="26"/>
              </w:rPr>
              <w:t>neparedz stingrākas prasības</w:t>
            </w:r>
          </w:p>
        </w:tc>
      </w:tr>
      <w:tr w:rsidR="00EE1F99" w:rsidRPr="00C3167F" w:rsidTr="00C82FA6">
        <w:trPr>
          <w:trHeight w:val="360"/>
          <w:tblCellSpacing w:w="0" w:type="dxa"/>
        </w:trPr>
        <w:tc>
          <w:tcPr>
            <w:tcW w:w="2003" w:type="dxa"/>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t xml:space="preserve">Komisijas regulas Nr.1407/20136 </w:t>
            </w:r>
            <w:r w:rsidR="000C5028" w:rsidRPr="00C3167F">
              <w:rPr>
                <w:rFonts w:eastAsia="Times New Roman"/>
                <w:i/>
                <w:sz w:val="26"/>
                <w:szCs w:val="26"/>
                <w:lang w:val="lv-LV" w:eastAsia="lv-LV"/>
              </w:rPr>
              <w:t>3</w:t>
            </w:r>
            <w:r w:rsidRPr="00C3167F">
              <w:rPr>
                <w:rFonts w:eastAsia="Times New Roman"/>
                <w:i/>
                <w:sz w:val="26"/>
                <w:szCs w:val="26"/>
                <w:lang w:val="lv-LV" w:eastAsia="lv-LV"/>
              </w:rPr>
              <w:t>.</w:t>
            </w:r>
            <w:r w:rsidR="000C5028" w:rsidRPr="00C3167F">
              <w:rPr>
                <w:rFonts w:eastAsia="Times New Roman"/>
                <w:i/>
                <w:sz w:val="26"/>
                <w:szCs w:val="26"/>
                <w:lang w:val="lv-LV" w:eastAsia="lv-LV"/>
              </w:rPr>
              <w:t>pants 2</w:t>
            </w:r>
            <w:r w:rsidRPr="00C3167F">
              <w:rPr>
                <w:rFonts w:eastAsia="Times New Roman"/>
                <w:i/>
                <w:sz w:val="26"/>
                <w:szCs w:val="26"/>
                <w:lang w:val="lv-LV" w:eastAsia="lv-LV"/>
              </w:rPr>
              <w:t>.punkts</w:t>
            </w:r>
          </w:p>
        </w:tc>
        <w:tc>
          <w:tcPr>
            <w:tcW w:w="2452" w:type="dxa"/>
          </w:tcPr>
          <w:p w:rsidR="00EE1F99" w:rsidRPr="00C3167F" w:rsidRDefault="00EE1F99" w:rsidP="000C5028">
            <w:pPr>
              <w:jc w:val="both"/>
              <w:rPr>
                <w:rFonts w:eastAsia="Times New Roman"/>
                <w:sz w:val="26"/>
                <w:szCs w:val="26"/>
                <w:lang w:val="lv-LV"/>
              </w:rPr>
            </w:pPr>
            <w:r w:rsidRPr="00C3167F">
              <w:rPr>
                <w:rFonts w:eastAsia="Times New Roman"/>
                <w:i/>
                <w:sz w:val="26"/>
                <w:szCs w:val="26"/>
                <w:lang w:val="lv-LV"/>
              </w:rPr>
              <w:t xml:space="preserve">Noteikumu projekta </w:t>
            </w:r>
            <w:r w:rsidR="000C5028" w:rsidRPr="00C3167F">
              <w:rPr>
                <w:rFonts w:eastAsia="Times New Roman"/>
                <w:i/>
                <w:sz w:val="26"/>
                <w:szCs w:val="26"/>
                <w:lang w:val="lv-LV"/>
              </w:rPr>
              <w:t>1.7</w:t>
            </w:r>
            <w:r w:rsidRPr="00C3167F">
              <w:rPr>
                <w:rFonts w:eastAsia="Times New Roman"/>
                <w:i/>
                <w:sz w:val="26"/>
                <w:szCs w:val="26"/>
                <w:lang w:val="lv-LV"/>
              </w:rPr>
              <w:t>.punkts (Ar ko groza MK noteikumu Nr.</w:t>
            </w:r>
            <w:r w:rsidR="000C5028" w:rsidRPr="00C3167F">
              <w:rPr>
                <w:rFonts w:eastAsia="Times New Roman"/>
                <w:i/>
                <w:sz w:val="26"/>
                <w:szCs w:val="26"/>
                <w:lang w:val="lv-LV"/>
              </w:rPr>
              <w:t>898</w:t>
            </w:r>
            <w:r w:rsidRPr="00C3167F">
              <w:rPr>
                <w:rFonts w:eastAsia="Times New Roman"/>
                <w:i/>
                <w:sz w:val="26"/>
                <w:szCs w:val="26"/>
                <w:lang w:val="lv-LV"/>
              </w:rPr>
              <w:t xml:space="preserve"> </w:t>
            </w:r>
            <w:r w:rsidR="000C5028" w:rsidRPr="00C3167F">
              <w:rPr>
                <w:i/>
                <w:sz w:val="26"/>
                <w:szCs w:val="26"/>
              </w:rPr>
              <w:t>19</w:t>
            </w:r>
            <w:r w:rsidRPr="00C3167F">
              <w:rPr>
                <w:i/>
                <w:sz w:val="26"/>
                <w:szCs w:val="26"/>
              </w:rPr>
              <w:t xml:space="preserve">. </w:t>
            </w:r>
            <w:r w:rsidRPr="00C3167F">
              <w:rPr>
                <w:rFonts w:eastAsia="Times New Roman"/>
                <w:i/>
                <w:sz w:val="26"/>
                <w:szCs w:val="26"/>
                <w:lang w:val="lv-LV"/>
              </w:rPr>
              <w:t>punktu).</w:t>
            </w:r>
          </w:p>
        </w:tc>
        <w:tc>
          <w:tcPr>
            <w:tcW w:w="2703" w:type="dxa"/>
          </w:tcPr>
          <w:p w:rsidR="00EE1F99" w:rsidRPr="00C3167F" w:rsidRDefault="00EE1F99" w:rsidP="00C82FA6">
            <w:pPr>
              <w:pStyle w:val="naisf"/>
              <w:spacing w:before="0" w:after="0"/>
              <w:rPr>
                <w:i/>
                <w:sz w:val="26"/>
                <w:szCs w:val="26"/>
              </w:rPr>
            </w:pPr>
            <w:r w:rsidRPr="00C3167F">
              <w:rPr>
                <w:i/>
                <w:sz w:val="26"/>
                <w:szCs w:val="26"/>
              </w:rPr>
              <w:t>ieviesta pilnībā</w:t>
            </w:r>
          </w:p>
        </w:tc>
        <w:tc>
          <w:tcPr>
            <w:tcW w:w="2033" w:type="dxa"/>
          </w:tcPr>
          <w:p w:rsidR="00EE1F99" w:rsidRPr="00C3167F" w:rsidRDefault="00EE1F99" w:rsidP="00C82FA6">
            <w:pPr>
              <w:pStyle w:val="naisf"/>
              <w:spacing w:before="0" w:after="0"/>
              <w:ind w:firstLine="0"/>
              <w:rPr>
                <w:i/>
                <w:sz w:val="26"/>
                <w:szCs w:val="26"/>
              </w:rPr>
            </w:pPr>
            <w:r w:rsidRPr="00C3167F">
              <w:rPr>
                <w:i/>
                <w:sz w:val="26"/>
                <w:szCs w:val="26"/>
              </w:rPr>
              <w:t>neparedz stingrākas prasības</w:t>
            </w:r>
          </w:p>
        </w:tc>
      </w:tr>
      <w:tr w:rsidR="00EE1F99" w:rsidRPr="00C3167F" w:rsidTr="00C82FA6">
        <w:trPr>
          <w:trHeight w:val="360"/>
          <w:tblCellSpacing w:w="0" w:type="dxa"/>
        </w:trPr>
        <w:tc>
          <w:tcPr>
            <w:tcW w:w="2003" w:type="dxa"/>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t>Komisijas regulas Nr.1407/2013</w:t>
            </w:r>
            <w:r w:rsidR="000C5028" w:rsidRPr="00C3167F">
              <w:rPr>
                <w:rFonts w:eastAsia="Times New Roman"/>
                <w:i/>
                <w:sz w:val="26"/>
                <w:szCs w:val="26"/>
                <w:lang w:val="lv-LV" w:eastAsia="lv-LV"/>
              </w:rPr>
              <w:t xml:space="preserve"> 6.panta 1.punkts</w:t>
            </w:r>
            <w:r w:rsidRPr="00C3167F">
              <w:rPr>
                <w:rFonts w:eastAsia="Times New Roman"/>
                <w:i/>
                <w:sz w:val="26"/>
                <w:szCs w:val="26"/>
                <w:lang w:val="lv-LV" w:eastAsia="lv-LV"/>
              </w:rPr>
              <w:t xml:space="preserve"> </w:t>
            </w:r>
          </w:p>
        </w:tc>
        <w:tc>
          <w:tcPr>
            <w:tcW w:w="2452" w:type="dxa"/>
          </w:tcPr>
          <w:p w:rsidR="00EE1F99" w:rsidRPr="00C3167F" w:rsidRDefault="00EE1F99" w:rsidP="000C5028">
            <w:pPr>
              <w:jc w:val="both"/>
              <w:rPr>
                <w:rFonts w:eastAsia="Times New Roman"/>
                <w:sz w:val="26"/>
                <w:szCs w:val="26"/>
                <w:lang w:val="lv-LV"/>
              </w:rPr>
            </w:pPr>
            <w:r w:rsidRPr="00C3167F">
              <w:rPr>
                <w:rFonts w:eastAsia="Times New Roman"/>
                <w:i/>
                <w:sz w:val="26"/>
                <w:szCs w:val="26"/>
                <w:lang w:val="lv-LV"/>
              </w:rPr>
              <w:t xml:space="preserve">Noteikumu projekta </w:t>
            </w:r>
            <w:r w:rsidR="000C5028" w:rsidRPr="00C3167F">
              <w:rPr>
                <w:rFonts w:eastAsia="Times New Roman"/>
                <w:i/>
                <w:sz w:val="26"/>
                <w:szCs w:val="26"/>
                <w:lang w:val="lv-LV"/>
              </w:rPr>
              <w:t>1.8</w:t>
            </w:r>
            <w:r w:rsidRPr="00C3167F">
              <w:rPr>
                <w:rFonts w:eastAsia="Times New Roman"/>
                <w:i/>
                <w:sz w:val="26"/>
                <w:szCs w:val="26"/>
                <w:lang w:val="lv-LV"/>
              </w:rPr>
              <w:t>.punkts (Ar ko groza MK noteikumu Nr.</w:t>
            </w:r>
            <w:r w:rsidR="000C5028" w:rsidRPr="00C3167F">
              <w:rPr>
                <w:rFonts w:eastAsia="Times New Roman"/>
                <w:i/>
                <w:sz w:val="26"/>
                <w:szCs w:val="26"/>
                <w:lang w:val="lv-LV"/>
              </w:rPr>
              <w:t>898</w:t>
            </w:r>
            <w:r w:rsidRPr="00C3167F">
              <w:rPr>
                <w:rFonts w:eastAsia="Times New Roman"/>
                <w:i/>
                <w:sz w:val="26"/>
                <w:szCs w:val="26"/>
                <w:lang w:val="lv-LV"/>
              </w:rPr>
              <w:t xml:space="preserve"> </w:t>
            </w:r>
            <w:r w:rsidR="000C5028" w:rsidRPr="00C3167F">
              <w:rPr>
                <w:i/>
                <w:sz w:val="26"/>
                <w:szCs w:val="26"/>
              </w:rPr>
              <w:t>2</w:t>
            </w:r>
            <w:r w:rsidRPr="00C3167F">
              <w:rPr>
                <w:i/>
                <w:sz w:val="26"/>
                <w:szCs w:val="26"/>
              </w:rPr>
              <w:t xml:space="preserve">1. </w:t>
            </w:r>
            <w:r w:rsidRPr="00C3167F">
              <w:rPr>
                <w:rFonts w:eastAsia="Times New Roman"/>
                <w:i/>
                <w:sz w:val="26"/>
                <w:szCs w:val="26"/>
                <w:lang w:val="lv-LV"/>
              </w:rPr>
              <w:t>punktu).</w:t>
            </w:r>
          </w:p>
        </w:tc>
        <w:tc>
          <w:tcPr>
            <w:tcW w:w="2703" w:type="dxa"/>
          </w:tcPr>
          <w:p w:rsidR="00EE1F99" w:rsidRPr="00C3167F" w:rsidRDefault="00EE1F99" w:rsidP="00C82FA6">
            <w:pPr>
              <w:pStyle w:val="naisf"/>
              <w:spacing w:before="0" w:after="0"/>
              <w:rPr>
                <w:i/>
                <w:sz w:val="26"/>
                <w:szCs w:val="26"/>
              </w:rPr>
            </w:pPr>
            <w:r w:rsidRPr="00C3167F">
              <w:rPr>
                <w:i/>
                <w:sz w:val="26"/>
                <w:szCs w:val="26"/>
              </w:rPr>
              <w:t>ieviesta pilnībā</w:t>
            </w:r>
          </w:p>
        </w:tc>
        <w:tc>
          <w:tcPr>
            <w:tcW w:w="2033" w:type="dxa"/>
          </w:tcPr>
          <w:p w:rsidR="00EE1F99" w:rsidRPr="00C3167F" w:rsidRDefault="00EE1F99" w:rsidP="00C82FA6">
            <w:pPr>
              <w:pStyle w:val="naisf"/>
              <w:spacing w:before="0" w:after="0"/>
              <w:ind w:firstLine="0"/>
              <w:rPr>
                <w:i/>
                <w:sz w:val="26"/>
                <w:szCs w:val="26"/>
              </w:rPr>
            </w:pPr>
            <w:r w:rsidRPr="00C3167F">
              <w:rPr>
                <w:i/>
                <w:sz w:val="26"/>
                <w:szCs w:val="26"/>
              </w:rPr>
              <w:t>neparedz stingrākas prasības</w:t>
            </w:r>
          </w:p>
        </w:tc>
      </w:tr>
      <w:tr w:rsidR="00EE1F99" w:rsidRPr="00C3167F" w:rsidTr="00C82FA6">
        <w:trPr>
          <w:trHeight w:val="282"/>
          <w:tblCellSpacing w:w="0" w:type="dxa"/>
        </w:trPr>
        <w:tc>
          <w:tcPr>
            <w:tcW w:w="2003" w:type="dxa"/>
            <w:vAlign w:val="center"/>
            <w:hideMark/>
          </w:tcPr>
          <w:p w:rsidR="00EE1F99" w:rsidRPr="00C3167F" w:rsidRDefault="00EE1F99" w:rsidP="00C82FA6">
            <w:pPr>
              <w:rPr>
                <w:rFonts w:eastAsia="Times New Roman"/>
                <w:sz w:val="26"/>
                <w:szCs w:val="26"/>
                <w:lang w:val="lv-LV" w:eastAsia="lv-LV"/>
              </w:rPr>
            </w:pPr>
            <w:r w:rsidRPr="00C3167F">
              <w:rPr>
                <w:rFonts w:eastAsia="Times New Roman"/>
                <w:sz w:val="26"/>
                <w:szCs w:val="26"/>
                <w:lang w:val="lv-LV" w:eastAsia="lv-LV"/>
              </w:rPr>
              <w:t> Kā ir izmantota ES tiesību aktā paredzētā rīcības brīvība dalībvalstij pārņemt vai ieviest noteiktas ES tiesību akta normas.</w:t>
            </w:r>
          </w:p>
          <w:p w:rsidR="00EE1F99" w:rsidRPr="00C3167F" w:rsidRDefault="00EE1F99" w:rsidP="00C82FA6">
            <w:pPr>
              <w:rPr>
                <w:rFonts w:eastAsia="Times New Roman"/>
                <w:sz w:val="26"/>
                <w:szCs w:val="26"/>
                <w:lang w:val="lv-LV" w:eastAsia="lv-LV"/>
              </w:rPr>
            </w:pPr>
            <w:r w:rsidRPr="00C3167F">
              <w:rPr>
                <w:rFonts w:eastAsia="Times New Roman"/>
                <w:sz w:val="26"/>
                <w:szCs w:val="26"/>
                <w:lang w:val="lv-LV" w:eastAsia="lv-LV"/>
              </w:rPr>
              <w:t>Kādēļ?</w:t>
            </w:r>
          </w:p>
        </w:tc>
        <w:tc>
          <w:tcPr>
            <w:tcW w:w="7188" w:type="dxa"/>
            <w:gridSpan w:val="3"/>
            <w:hideMark/>
          </w:tcPr>
          <w:p w:rsidR="00EE1F99" w:rsidRPr="00C3167F" w:rsidRDefault="00EE1F99" w:rsidP="00C82FA6">
            <w:pPr>
              <w:rPr>
                <w:rFonts w:eastAsia="Times New Roman"/>
                <w:i/>
                <w:sz w:val="26"/>
                <w:szCs w:val="26"/>
                <w:lang w:val="lv-LV" w:eastAsia="lv-LV"/>
              </w:rPr>
            </w:pPr>
            <w:r w:rsidRPr="00C3167F">
              <w:rPr>
                <w:rFonts w:eastAsia="Times New Roman"/>
                <w:sz w:val="26"/>
                <w:szCs w:val="26"/>
                <w:lang w:val="lv-LV" w:eastAsia="lv-LV"/>
              </w:rPr>
              <w:t> </w:t>
            </w:r>
            <w:r w:rsidRPr="00C3167F">
              <w:rPr>
                <w:rFonts w:eastAsia="Times New Roman"/>
                <w:i/>
                <w:sz w:val="26"/>
                <w:szCs w:val="26"/>
                <w:lang w:val="lv-LV" w:eastAsia="lv-LV"/>
              </w:rPr>
              <w:t>Projekts šo jomu neskar.</w:t>
            </w:r>
          </w:p>
        </w:tc>
      </w:tr>
      <w:tr w:rsidR="00EE1F99" w:rsidRPr="00C3167F" w:rsidTr="00C82FA6">
        <w:trPr>
          <w:trHeight w:val="916"/>
          <w:tblCellSpacing w:w="0" w:type="dxa"/>
        </w:trPr>
        <w:tc>
          <w:tcPr>
            <w:tcW w:w="2003" w:type="dxa"/>
            <w:vAlign w:val="center"/>
            <w:hideMark/>
          </w:tcPr>
          <w:p w:rsidR="00EE1F99" w:rsidRPr="00C3167F" w:rsidRDefault="00EE1F99" w:rsidP="00C82FA6">
            <w:pPr>
              <w:rPr>
                <w:rFonts w:eastAsia="Times New Roman"/>
                <w:sz w:val="26"/>
                <w:szCs w:val="26"/>
                <w:lang w:val="lv-LV" w:eastAsia="lv-LV"/>
              </w:rPr>
            </w:pPr>
            <w:r w:rsidRPr="00C3167F">
              <w:rPr>
                <w:rFonts w:eastAsia="Times New Roman"/>
                <w:sz w:val="26"/>
                <w:szCs w:val="26"/>
                <w:lang w:val="lv-LV" w:eastAsia="lv-LV"/>
              </w:rPr>
              <w:t xml:space="preserve"> Saistības sniegt paziņojumu ES institūcijām un ES dalībvalstīm atbilstoši normatīvajiem aktiem, kas regulē informācijas sniegšanu par tehnisko noteikumu, valsts atbalsta piešķiršanas un </w:t>
            </w:r>
            <w:r w:rsidRPr="00C3167F">
              <w:rPr>
                <w:rFonts w:eastAsia="Times New Roman"/>
                <w:sz w:val="26"/>
                <w:szCs w:val="26"/>
                <w:lang w:val="lv-LV" w:eastAsia="lv-LV"/>
              </w:rPr>
              <w:lastRenderedPageBreak/>
              <w:t>finanšu noteikumu (attiecībā uz monetāro politiku) projektiem</w:t>
            </w:r>
          </w:p>
        </w:tc>
        <w:tc>
          <w:tcPr>
            <w:tcW w:w="7188" w:type="dxa"/>
            <w:gridSpan w:val="3"/>
            <w:hideMark/>
          </w:tcPr>
          <w:p w:rsidR="00EE1F99" w:rsidRPr="00C3167F" w:rsidRDefault="00EE1F99" w:rsidP="00C82FA6">
            <w:pPr>
              <w:jc w:val="both"/>
              <w:rPr>
                <w:rFonts w:eastAsia="Times New Roman"/>
                <w:i/>
                <w:sz w:val="26"/>
                <w:szCs w:val="26"/>
                <w:lang w:val="lv-LV" w:eastAsia="lv-LV"/>
              </w:rPr>
            </w:pPr>
            <w:r w:rsidRPr="00C3167F">
              <w:rPr>
                <w:rFonts w:eastAsia="Times New Roman"/>
                <w:i/>
                <w:sz w:val="26"/>
                <w:szCs w:val="26"/>
                <w:lang w:val="lv-LV" w:eastAsia="lv-LV"/>
              </w:rPr>
              <w:lastRenderedPageBreak/>
              <w:t>Projekts šo jomu neskar.</w:t>
            </w:r>
          </w:p>
        </w:tc>
      </w:tr>
      <w:tr w:rsidR="00EE1F99" w:rsidRPr="00C3167F" w:rsidTr="00C82FA6">
        <w:trPr>
          <w:trHeight w:val="249"/>
          <w:tblCellSpacing w:w="0" w:type="dxa"/>
        </w:trPr>
        <w:tc>
          <w:tcPr>
            <w:tcW w:w="2003" w:type="dxa"/>
            <w:hideMark/>
          </w:tcPr>
          <w:p w:rsidR="00EE1F99" w:rsidRPr="00C3167F" w:rsidRDefault="00EE1F99" w:rsidP="00C82FA6">
            <w:pPr>
              <w:rPr>
                <w:rFonts w:eastAsia="Times New Roman"/>
                <w:sz w:val="26"/>
                <w:szCs w:val="26"/>
                <w:lang w:val="lv-LV" w:eastAsia="lv-LV"/>
              </w:rPr>
            </w:pPr>
            <w:r w:rsidRPr="00C3167F">
              <w:rPr>
                <w:rFonts w:eastAsia="Times New Roman"/>
                <w:sz w:val="26"/>
                <w:szCs w:val="26"/>
                <w:lang w:val="lv-LV" w:eastAsia="lv-LV"/>
              </w:rPr>
              <w:lastRenderedPageBreak/>
              <w:t> Cita informācija</w:t>
            </w:r>
          </w:p>
        </w:tc>
        <w:tc>
          <w:tcPr>
            <w:tcW w:w="7188" w:type="dxa"/>
            <w:gridSpan w:val="3"/>
            <w:hideMark/>
          </w:tcPr>
          <w:p w:rsidR="00EE1F99" w:rsidRPr="00C3167F" w:rsidRDefault="00EE1F99" w:rsidP="00C82FA6">
            <w:pPr>
              <w:rPr>
                <w:rFonts w:eastAsia="Times New Roman"/>
                <w:i/>
                <w:sz w:val="26"/>
                <w:szCs w:val="26"/>
                <w:lang w:val="lv-LV" w:eastAsia="lv-LV"/>
              </w:rPr>
            </w:pPr>
            <w:r w:rsidRPr="00C3167F">
              <w:rPr>
                <w:rFonts w:eastAsia="Times New Roman"/>
                <w:sz w:val="26"/>
                <w:szCs w:val="26"/>
                <w:lang w:val="lv-LV" w:eastAsia="lv-LV"/>
              </w:rPr>
              <w:t> </w:t>
            </w:r>
            <w:r w:rsidRPr="00C3167F">
              <w:rPr>
                <w:i/>
                <w:sz w:val="26"/>
                <w:szCs w:val="26"/>
                <w:lang w:val="lv-LV"/>
              </w:rPr>
              <w:t>Nav.</w:t>
            </w:r>
          </w:p>
        </w:tc>
      </w:tr>
    </w:tbl>
    <w:p w:rsidR="0067603D" w:rsidRPr="00C3167F" w:rsidRDefault="0067603D" w:rsidP="0067603D">
      <w:pPr>
        <w:ind w:firstLine="468"/>
        <w:jc w:val="both"/>
        <w:rPr>
          <w:rFonts w:eastAsia="Times New Roman"/>
          <w:sz w:val="26"/>
          <w:szCs w:val="26"/>
          <w:lang w:val="lv-LV" w:eastAsia="lv-LV"/>
        </w:rPr>
      </w:pPr>
      <w:r w:rsidRPr="00C3167F">
        <w:rPr>
          <w:rFonts w:eastAsia="Times New Roman"/>
          <w:sz w:val="26"/>
          <w:szCs w:val="26"/>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67603D" w:rsidRPr="00C3167F" w:rsidTr="00C82FA6">
        <w:trPr>
          <w:trHeight w:val="796"/>
          <w:tblCellSpacing w:w="0" w:type="dxa"/>
        </w:trPr>
        <w:tc>
          <w:tcPr>
            <w:tcW w:w="9115" w:type="dxa"/>
            <w:gridSpan w:val="4"/>
            <w:vAlign w:val="center"/>
            <w:hideMark/>
          </w:tcPr>
          <w:p w:rsidR="0067603D" w:rsidRPr="00C3167F" w:rsidRDefault="0067603D" w:rsidP="00C82FA6">
            <w:pPr>
              <w:jc w:val="center"/>
              <w:rPr>
                <w:rFonts w:eastAsia="Times New Roman"/>
                <w:b/>
                <w:bCs/>
                <w:sz w:val="26"/>
                <w:szCs w:val="26"/>
                <w:lang w:val="lv-LV"/>
              </w:rPr>
            </w:pPr>
            <w:r w:rsidRPr="00C3167F">
              <w:rPr>
                <w:rFonts w:eastAsia="Times New Roman"/>
                <w:b/>
                <w:bCs/>
                <w:sz w:val="26"/>
                <w:szCs w:val="26"/>
                <w:lang w:val="lv-LV"/>
              </w:rPr>
              <w:t> 2.tabula</w:t>
            </w:r>
          </w:p>
          <w:p w:rsidR="0067603D" w:rsidRPr="00C3167F" w:rsidRDefault="0067603D" w:rsidP="00C82FA6">
            <w:pPr>
              <w:jc w:val="center"/>
              <w:rPr>
                <w:rFonts w:eastAsia="Times New Roman"/>
                <w:b/>
                <w:bCs/>
                <w:sz w:val="26"/>
                <w:szCs w:val="26"/>
                <w:lang w:val="lv-LV"/>
              </w:rPr>
            </w:pPr>
            <w:r w:rsidRPr="00C3167F">
              <w:rPr>
                <w:rFonts w:eastAsia="Times New Roman"/>
                <w:b/>
                <w:bCs/>
                <w:sz w:val="26"/>
                <w:szCs w:val="26"/>
                <w:lang w:val="lv-LV"/>
              </w:rPr>
              <w:t>Ar tiesību akta projektu uzņemtās saistības, kas izriet no starptautiskajiem tiesību aktiem vai starptautiskas institūcijas vai organizācijas dokumentiem</w:t>
            </w:r>
          </w:p>
          <w:p w:rsidR="0067603D" w:rsidRPr="00C3167F" w:rsidRDefault="0067603D" w:rsidP="00C82FA6">
            <w:pPr>
              <w:jc w:val="center"/>
              <w:rPr>
                <w:rFonts w:eastAsia="Times New Roman"/>
                <w:b/>
                <w:bCs/>
                <w:sz w:val="26"/>
                <w:szCs w:val="26"/>
                <w:lang w:val="lv-LV"/>
              </w:rPr>
            </w:pPr>
            <w:r w:rsidRPr="00C3167F">
              <w:rPr>
                <w:rFonts w:eastAsia="Times New Roman"/>
                <w:b/>
                <w:bCs/>
                <w:sz w:val="26"/>
                <w:szCs w:val="26"/>
                <w:lang w:val="lv-LV"/>
              </w:rPr>
              <w:t>Pasākumi šo saistību izpildei</w:t>
            </w:r>
          </w:p>
        </w:tc>
      </w:tr>
      <w:tr w:rsidR="0067603D" w:rsidRPr="00C3167F" w:rsidTr="00C82FA6">
        <w:trPr>
          <w:trHeight w:val="1393"/>
          <w:tblCellSpacing w:w="0" w:type="dxa"/>
        </w:trPr>
        <w:tc>
          <w:tcPr>
            <w:tcW w:w="3594" w:type="dxa"/>
            <w:gridSpan w:val="2"/>
            <w:vAlign w:val="center"/>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t> Attiecīgā starptautiskā tiesību akta vai starptautiskas institūcijas vai organizācijas dokumenta (turpmāk – starptautiskais dokuments) datums, numurs un nosaukums</w:t>
            </w:r>
          </w:p>
        </w:tc>
        <w:tc>
          <w:tcPr>
            <w:tcW w:w="5521" w:type="dxa"/>
            <w:gridSpan w:val="2"/>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67603D" w:rsidRPr="00C3167F" w:rsidTr="00C82FA6">
        <w:trPr>
          <w:trHeight w:val="343"/>
          <w:tblCellSpacing w:w="0" w:type="dxa"/>
        </w:trPr>
        <w:tc>
          <w:tcPr>
            <w:tcW w:w="2602" w:type="dxa"/>
            <w:vAlign w:val="center"/>
            <w:hideMark/>
          </w:tcPr>
          <w:p w:rsidR="0067603D" w:rsidRPr="00C3167F" w:rsidRDefault="0067603D" w:rsidP="00C82FA6">
            <w:pPr>
              <w:jc w:val="center"/>
              <w:rPr>
                <w:rFonts w:eastAsia="Times New Roman"/>
                <w:sz w:val="26"/>
                <w:szCs w:val="26"/>
                <w:lang w:val="lv-LV"/>
              </w:rPr>
            </w:pPr>
            <w:r w:rsidRPr="00C3167F">
              <w:rPr>
                <w:rFonts w:eastAsia="Times New Roman"/>
                <w:sz w:val="26"/>
                <w:szCs w:val="26"/>
                <w:lang w:val="lv-LV"/>
              </w:rPr>
              <w:t> A</w:t>
            </w:r>
          </w:p>
        </w:tc>
        <w:tc>
          <w:tcPr>
            <w:tcW w:w="2599" w:type="dxa"/>
            <w:gridSpan w:val="2"/>
            <w:vAlign w:val="center"/>
            <w:hideMark/>
          </w:tcPr>
          <w:p w:rsidR="0067603D" w:rsidRPr="00C3167F" w:rsidRDefault="0067603D" w:rsidP="00C82FA6">
            <w:pPr>
              <w:jc w:val="center"/>
              <w:rPr>
                <w:rFonts w:eastAsia="Times New Roman"/>
                <w:sz w:val="26"/>
                <w:szCs w:val="26"/>
                <w:lang w:val="lv-LV"/>
              </w:rPr>
            </w:pPr>
            <w:r w:rsidRPr="00C3167F">
              <w:rPr>
                <w:rFonts w:eastAsia="Times New Roman"/>
                <w:sz w:val="26"/>
                <w:szCs w:val="26"/>
                <w:lang w:val="lv-LV"/>
              </w:rPr>
              <w:t> B</w:t>
            </w:r>
          </w:p>
        </w:tc>
        <w:tc>
          <w:tcPr>
            <w:tcW w:w="3914" w:type="dxa"/>
            <w:vAlign w:val="center"/>
            <w:hideMark/>
          </w:tcPr>
          <w:p w:rsidR="0067603D" w:rsidRPr="00C3167F" w:rsidRDefault="0067603D" w:rsidP="00C82FA6">
            <w:pPr>
              <w:jc w:val="center"/>
              <w:rPr>
                <w:rFonts w:eastAsia="Times New Roman"/>
                <w:sz w:val="26"/>
                <w:szCs w:val="26"/>
                <w:lang w:val="lv-LV"/>
              </w:rPr>
            </w:pPr>
            <w:r w:rsidRPr="00C3167F">
              <w:rPr>
                <w:rFonts w:eastAsia="Times New Roman"/>
                <w:sz w:val="26"/>
                <w:szCs w:val="26"/>
                <w:lang w:val="lv-LV"/>
              </w:rPr>
              <w:t> C</w:t>
            </w:r>
          </w:p>
        </w:tc>
      </w:tr>
      <w:tr w:rsidR="0067603D" w:rsidRPr="00C3167F" w:rsidTr="00C82FA6">
        <w:trPr>
          <w:trHeight w:val="1362"/>
          <w:tblCellSpacing w:w="0" w:type="dxa"/>
        </w:trPr>
        <w:tc>
          <w:tcPr>
            <w:tcW w:w="2602" w:type="dxa"/>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t> Starptautiskās saistības (pēc būtības), kas izriet no norādītā starptautiskā dokumenta.</w:t>
            </w:r>
          </w:p>
          <w:p w:rsidR="0067603D" w:rsidRPr="00C3167F" w:rsidRDefault="0067603D" w:rsidP="00C82FA6">
            <w:pPr>
              <w:rPr>
                <w:rFonts w:eastAsia="Times New Roman"/>
                <w:sz w:val="26"/>
                <w:szCs w:val="26"/>
                <w:lang w:val="lv-LV"/>
              </w:rPr>
            </w:pPr>
            <w:r w:rsidRPr="00C3167F">
              <w:rPr>
                <w:rFonts w:eastAsia="Times New Roman"/>
                <w:sz w:val="26"/>
                <w:szCs w:val="26"/>
                <w:lang w:val="lv-LV"/>
              </w:rPr>
              <w:t> </w:t>
            </w:r>
          </w:p>
          <w:p w:rsidR="0067603D" w:rsidRPr="00C3167F" w:rsidRDefault="0067603D" w:rsidP="00C82FA6">
            <w:pPr>
              <w:rPr>
                <w:rFonts w:eastAsia="Times New Roman"/>
                <w:sz w:val="26"/>
                <w:szCs w:val="26"/>
                <w:lang w:val="lv-LV"/>
              </w:rPr>
            </w:pPr>
            <w:r w:rsidRPr="00C3167F">
              <w:rPr>
                <w:rFonts w:eastAsia="Times New Roman"/>
                <w:sz w:val="26"/>
                <w:szCs w:val="26"/>
                <w:lang w:val="lv-LV"/>
              </w:rPr>
              <w:t>Konkrēti veicamie pasākumi vai uzdevumi, kas nepieciešami šo starptautisko saistību izpildei</w:t>
            </w:r>
          </w:p>
        </w:tc>
        <w:tc>
          <w:tcPr>
            <w:tcW w:w="2599" w:type="dxa"/>
            <w:gridSpan w:val="2"/>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t> Ja pasākumi vai uzdevumi, ar ko tiks izpildītas starptautiskās saistības, tiek noteikti projektā, norāda attiecīgo projekta vienību.</w:t>
            </w:r>
          </w:p>
          <w:p w:rsidR="0067603D" w:rsidRPr="00C3167F" w:rsidRDefault="0067603D" w:rsidP="00C82FA6">
            <w:pPr>
              <w:rPr>
                <w:rFonts w:eastAsia="Times New Roman"/>
                <w:sz w:val="26"/>
                <w:szCs w:val="26"/>
                <w:lang w:val="lv-LV"/>
              </w:rPr>
            </w:pPr>
            <w:r w:rsidRPr="00C3167F">
              <w:rPr>
                <w:rFonts w:eastAsia="Times New Roman"/>
                <w:sz w:val="26"/>
                <w:szCs w:val="26"/>
                <w:lang w:val="lv-LV"/>
              </w:rPr>
              <w:t> </w:t>
            </w:r>
          </w:p>
          <w:p w:rsidR="0067603D" w:rsidRPr="00C3167F" w:rsidRDefault="0067603D" w:rsidP="00C82FA6">
            <w:pPr>
              <w:rPr>
                <w:rFonts w:eastAsia="Times New Roman"/>
                <w:sz w:val="26"/>
                <w:szCs w:val="26"/>
                <w:lang w:val="lv-LV"/>
              </w:rPr>
            </w:pPr>
            <w:r w:rsidRPr="00C3167F">
              <w:rPr>
                <w:rFonts w:eastAsia="Times New Roman"/>
                <w:sz w:val="26"/>
                <w:szCs w:val="26"/>
                <w:lang w:val="lv-LV"/>
              </w:rPr>
              <w:t>Vai arī norāda dokumentu, kurā sniegts izvērsts skaidrojums, kādā veidā tiks nodrošināta starptautisko saistību izpilde</w:t>
            </w:r>
          </w:p>
        </w:tc>
        <w:tc>
          <w:tcPr>
            <w:tcW w:w="3914" w:type="dxa"/>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t> Informācija par to, vai starptautiskās saistības, kas minētas šīs tabulas A ailē, tiek izpildītas pilnībā vai daļēji.</w:t>
            </w:r>
          </w:p>
          <w:p w:rsidR="0067603D" w:rsidRPr="00C3167F" w:rsidRDefault="0067603D" w:rsidP="00C82FA6">
            <w:pPr>
              <w:rPr>
                <w:rFonts w:eastAsia="Times New Roman"/>
                <w:sz w:val="26"/>
                <w:szCs w:val="26"/>
                <w:lang w:val="lv-LV"/>
              </w:rPr>
            </w:pPr>
            <w:r w:rsidRPr="00C3167F">
              <w:rPr>
                <w:rFonts w:eastAsia="Times New Roman"/>
                <w:sz w:val="26"/>
                <w:szCs w:val="26"/>
                <w:lang w:val="lv-LV"/>
              </w:rPr>
              <w:t> </w:t>
            </w:r>
          </w:p>
          <w:p w:rsidR="0067603D" w:rsidRPr="00C3167F" w:rsidRDefault="0067603D" w:rsidP="00C82FA6">
            <w:pPr>
              <w:rPr>
                <w:rFonts w:eastAsia="Times New Roman"/>
                <w:sz w:val="26"/>
                <w:szCs w:val="26"/>
                <w:lang w:val="lv-LV"/>
              </w:rPr>
            </w:pPr>
            <w:r w:rsidRPr="00C3167F">
              <w:rPr>
                <w:rFonts w:eastAsia="Times New Roman"/>
                <w:sz w:val="26"/>
                <w:szCs w:val="26"/>
                <w:lang w:val="lv-LV"/>
              </w:rPr>
              <w:t>Ja attiecīgās starptautiskās saistības tiek izpildītas daļēji, sniedz attiecīgu skaidrojumu, kā arī precīzi norāda, kad un kādā veidā starptautiskās saistības tiks izpildītas pilnībā.</w:t>
            </w:r>
          </w:p>
          <w:p w:rsidR="0067603D" w:rsidRPr="00C3167F" w:rsidRDefault="0067603D" w:rsidP="00C82FA6">
            <w:pPr>
              <w:rPr>
                <w:rFonts w:eastAsia="Times New Roman"/>
                <w:sz w:val="26"/>
                <w:szCs w:val="26"/>
                <w:lang w:val="lv-LV"/>
              </w:rPr>
            </w:pPr>
            <w:r w:rsidRPr="00C3167F">
              <w:rPr>
                <w:rFonts w:eastAsia="Times New Roman"/>
                <w:sz w:val="26"/>
                <w:szCs w:val="26"/>
                <w:lang w:val="lv-LV"/>
              </w:rPr>
              <w:t> </w:t>
            </w:r>
          </w:p>
          <w:p w:rsidR="0067603D" w:rsidRPr="00C3167F" w:rsidRDefault="0067603D" w:rsidP="00C82FA6">
            <w:pPr>
              <w:rPr>
                <w:rFonts w:eastAsia="Times New Roman"/>
                <w:sz w:val="26"/>
                <w:szCs w:val="26"/>
                <w:lang w:val="lv-LV"/>
              </w:rPr>
            </w:pPr>
            <w:r w:rsidRPr="00C3167F">
              <w:rPr>
                <w:rFonts w:eastAsia="Times New Roman"/>
                <w:sz w:val="26"/>
                <w:szCs w:val="26"/>
                <w:lang w:val="lv-LV"/>
              </w:rPr>
              <w:t>Norāda institūciju, kas ir atbildīga par šo saistību izpildi pilnībā</w:t>
            </w:r>
          </w:p>
        </w:tc>
      </w:tr>
      <w:tr w:rsidR="0067603D" w:rsidRPr="00C3167F" w:rsidTr="00C82FA6">
        <w:trPr>
          <w:trHeight w:val="282"/>
          <w:tblCellSpacing w:w="0" w:type="dxa"/>
        </w:trPr>
        <w:tc>
          <w:tcPr>
            <w:tcW w:w="2602" w:type="dxa"/>
            <w:hideMark/>
          </w:tcPr>
          <w:p w:rsidR="0067603D" w:rsidRPr="00C3167F" w:rsidRDefault="0067603D" w:rsidP="00C82FA6">
            <w:pPr>
              <w:rPr>
                <w:rFonts w:eastAsia="Times New Roman"/>
                <w:i/>
                <w:sz w:val="26"/>
                <w:szCs w:val="26"/>
                <w:lang w:val="lv-LV"/>
              </w:rPr>
            </w:pPr>
            <w:r w:rsidRPr="00C3167F">
              <w:rPr>
                <w:rFonts w:eastAsia="Times New Roman"/>
                <w:i/>
                <w:sz w:val="26"/>
                <w:szCs w:val="26"/>
                <w:lang w:val="lv-LV"/>
              </w:rPr>
              <w:t xml:space="preserve"> Projekts šo jomu neskar.</w:t>
            </w:r>
          </w:p>
        </w:tc>
        <w:tc>
          <w:tcPr>
            <w:tcW w:w="2599" w:type="dxa"/>
            <w:gridSpan w:val="2"/>
            <w:hideMark/>
          </w:tcPr>
          <w:p w:rsidR="0067603D" w:rsidRPr="00C3167F" w:rsidRDefault="0067603D" w:rsidP="00C82FA6">
            <w:pPr>
              <w:rPr>
                <w:rFonts w:eastAsia="Times New Roman"/>
                <w:i/>
                <w:sz w:val="26"/>
                <w:szCs w:val="26"/>
                <w:lang w:val="lv-LV"/>
              </w:rPr>
            </w:pPr>
            <w:r w:rsidRPr="00C3167F">
              <w:rPr>
                <w:rFonts w:eastAsia="Times New Roman"/>
                <w:i/>
                <w:sz w:val="26"/>
                <w:szCs w:val="26"/>
                <w:lang w:val="lv-LV"/>
              </w:rPr>
              <w:t xml:space="preserve"> Projekts šo jomu neskar.</w:t>
            </w:r>
          </w:p>
        </w:tc>
        <w:tc>
          <w:tcPr>
            <w:tcW w:w="3914" w:type="dxa"/>
            <w:hideMark/>
          </w:tcPr>
          <w:p w:rsidR="0067603D" w:rsidRPr="00C3167F" w:rsidRDefault="0067603D" w:rsidP="00C82FA6">
            <w:pPr>
              <w:rPr>
                <w:rFonts w:eastAsia="Times New Roman"/>
                <w:i/>
                <w:sz w:val="26"/>
                <w:szCs w:val="26"/>
                <w:lang w:val="lv-LV"/>
              </w:rPr>
            </w:pPr>
            <w:r w:rsidRPr="00C3167F">
              <w:rPr>
                <w:rFonts w:eastAsia="Times New Roman"/>
                <w:i/>
                <w:sz w:val="26"/>
                <w:szCs w:val="26"/>
                <w:lang w:val="lv-LV"/>
              </w:rPr>
              <w:t xml:space="preserve"> Projekts šo jomu neskar.</w:t>
            </w:r>
          </w:p>
        </w:tc>
      </w:tr>
      <w:tr w:rsidR="0067603D" w:rsidRPr="00C3167F" w:rsidTr="00021AEE">
        <w:trPr>
          <w:trHeight w:val="653"/>
          <w:tblCellSpacing w:w="0" w:type="dxa"/>
        </w:trPr>
        <w:tc>
          <w:tcPr>
            <w:tcW w:w="2602" w:type="dxa"/>
            <w:vAlign w:val="center"/>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t xml:space="preserve"> Vai starptautiskajā dokumentā paredzētās saistības nav pretrunā ar jau esošajām Latvijas Republikas </w:t>
            </w:r>
            <w:r w:rsidRPr="00C3167F">
              <w:rPr>
                <w:rFonts w:eastAsia="Times New Roman"/>
                <w:sz w:val="26"/>
                <w:szCs w:val="26"/>
                <w:lang w:val="lv-LV"/>
              </w:rPr>
              <w:lastRenderedPageBreak/>
              <w:t>starptautiskajām saistībām</w:t>
            </w:r>
          </w:p>
        </w:tc>
        <w:tc>
          <w:tcPr>
            <w:tcW w:w="6513" w:type="dxa"/>
            <w:gridSpan w:val="3"/>
            <w:hideMark/>
          </w:tcPr>
          <w:p w:rsidR="0067603D" w:rsidRPr="00C3167F" w:rsidRDefault="0067603D" w:rsidP="00C82FA6">
            <w:pPr>
              <w:rPr>
                <w:rFonts w:eastAsia="Times New Roman"/>
                <w:i/>
                <w:sz w:val="26"/>
                <w:szCs w:val="26"/>
                <w:lang w:val="lv-LV"/>
              </w:rPr>
            </w:pPr>
            <w:r w:rsidRPr="00C3167F">
              <w:rPr>
                <w:rFonts w:eastAsia="Times New Roman"/>
                <w:sz w:val="26"/>
                <w:szCs w:val="26"/>
                <w:lang w:val="lv-LV"/>
              </w:rPr>
              <w:lastRenderedPageBreak/>
              <w:t> </w:t>
            </w:r>
            <w:r w:rsidRPr="00C3167F">
              <w:rPr>
                <w:rFonts w:eastAsia="Times New Roman"/>
                <w:i/>
                <w:sz w:val="26"/>
                <w:szCs w:val="26"/>
                <w:lang w:val="lv-LV"/>
              </w:rPr>
              <w:t>Projekts šo jomu neskar.</w:t>
            </w:r>
          </w:p>
        </w:tc>
      </w:tr>
      <w:tr w:rsidR="0067603D" w:rsidRPr="00C3167F" w:rsidTr="00C82FA6">
        <w:trPr>
          <w:trHeight w:val="337"/>
          <w:tblCellSpacing w:w="0" w:type="dxa"/>
        </w:trPr>
        <w:tc>
          <w:tcPr>
            <w:tcW w:w="2602" w:type="dxa"/>
            <w:hideMark/>
          </w:tcPr>
          <w:p w:rsidR="0067603D" w:rsidRPr="00C3167F" w:rsidRDefault="0067603D" w:rsidP="00C82FA6">
            <w:pPr>
              <w:rPr>
                <w:rFonts w:eastAsia="Times New Roman"/>
                <w:sz w:val="26"/>
                <w:szCs w:val="26"/>
                <w:lang w:val="lv-LV"/>
              </w:rPr>
            </w:pPr>
            <w:r w:rsidRPr="00C3167F">
              <w:rPr>
                <w:rFonts w:eastAsia="Times New Roman"/>
                <w:sz w:val="26"/>
                <w:szCs w:val="26"/>
                <w:lang w:val="lv-LV"/>
              </w:rPr>
              <w:lastRenderedPageBreak/>
              <w:t> Cita informācija</w:t>
            </w:r>
          </w:p>
        </w:tc>
        <w:tc>
          <w:tcPr>
            <w:tcW w:w="6513" w:type="dxa"/>
            <w:gridSpan w:val="3"/>
            <w:hideMark/>
          </w:tcPr>
          <w:p w:rsidR="0067603D" w:rsidRPr="00C3167F" w:rsidRDefault="0067603D" w:rsidP="00C82FA6">
            <w:pPr>
              <w:rPr>
                <w:rFonts w:eastAsia="Times New Roman"/>
                <w:i/>
                <w:sz w:val="26"/>
                <w:szCs w:val="26"/>
                <w:lang w:val="lv-LV"/>
              </w:rPr>
            </w:pPr>
            <w:r w:rsidRPr="00C3167F">
              <w:rPr>
                <w:rFonts w:eastAsia="Times New Roman"/>
                <w:sz w:val="26"/>
                <w:szCs w:val="26"/>
                <w:lang w:val="lv-LV"/>
              </w:rPr>
              <w:t xml:space="preserve"> </w:t>
            </w:r>
            <w:r w:rsidRPr="00C3167F">
              <w:rPr>
                <w:rFonts w:eastAsia="Times New Roman"/>
                <w:i/>
                <w:sz w:val="26"/>
                <w:szCs w:val="26"/>
                <w:lang w:val="lv-LV"/>
              </w:rPr>
              <w:t>Nav.</w:t>
            </w:r>
          </w:p>
        </w:tc>
      </w:tr>
    </w:tbl>
    <w:p w:rsidR="0067603D" w:rsidRPr="00C3167F" w:rsidRDefault="0067603D" w:rsidP="0067603D">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67603D" w:rsidRPr="00C3167F" w:rsidTr="00C82FA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ind w:firstLine="720"/>
              <w:jc w:val="both"/>
              <w:rPr>
                <w:rFonts w:eastAsia="Times New Roman"/>
                <w:b/>
                <w:sz w:val="26"/>
                <w:szCs w:val="26"/>
                <w:lang w:val="lv-LV" w:eastAsia="lv-LV"/>
              </w:rPr>
            </w:pPr>
            <w:r w:rsidRPr="00C3167F">
              <w:rPr>
                <w:rFonts w:eastAsia="Times New Roman"/>
                <w:b/>
                <w:sz w:val="26"/>
                <w:szCs w:val="26"/>
                <w:lang w:val="lv-LV" w:eastAsia="lv-LV"/>
              </w:rPr>
              <w:t>VII. Tiesību akta projekta izpildes nodrošināšana un tās ietekme uz institūcijām</w:t>
            </w:r>
          </w:p>
        </w:tc>
      </w:tr>
      <w:tr w:rsidR="0067603D" w:rsidRPr="00C3167F" w:rsidTr="00C82FA6">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C7438E" w:rsidP="00C82FA6">
            <w:pPr>
              <w:jc w:val="both"/>
              <w:rPr>
                <w:rFonts w:eastAsia="Times New Roman"/>
                <w:sz w:val="26"/>
                <w:szCs w:val="26"/>
                <w:lang w:val="lv-LV" w:eastAsia="lv-LV"/>
              </w:rPr>
            </w:pPr>
            <w:r>
              <w:rPr>
                <w:rFonts w:eastAsia="Times New Roman"/>
                <w:sz w:val="26"/>
                <w:szCs w:val="26"/>
                <w:lang w:val="lv-LV" w:eastAsia="lv-LV"/>
              </w:rPr>
              <w:t>EM</w:t>
            </w:r>
            <w:r w:rsidR="000C5028" w:rsidRPr="00C3167F">
              <w:rPr>
                <w:rFonts w:eastAsia="Times New Roman"/>
                <w:sz w:val="26"/>
                <w:szCs w:val="26"/>
                <w:lang w:val="lv-LV" w:eastAsia="lv-LV"/>
              </w:rPr>
              <w:t xml:space="preserve"> un</w:t>
            </w:r>
            <w:r w:rsidR="00AC4F22">
              <w:rPr>
                <w:rFonts w:eastAsia="Times New Roman"/>
                <w:sz w:val="26"/>
                <w:szCs w:val="26"/>
                <w:lang w:val="lv-LV" w:eastAsia="lv-LV"/>
              </w:rPr>
              <w:t xml:space="preserve"> sabiedrība</w:t>
            </w:r>
            <w:r w:rsidR="000C5028" w:rsidRPr="00C3167F">
              <w:rPr>
                <w:rFonts w:eastAsia="Times New Roman"/>
                <w:sz w:val="26"/>
                <w:szCs w:val="26"/>
                <w:lang w:val="lv-LV" w:eastAsia="lv-LV"/>
              </w:rPr>
              <w:t xml:space="preserve"> </w:t>
            </w:r>
            <w:proofErr w:type="spellStart"/>
            <w:r w:rsidR="000C5028" w:rsidRPr="00C3167F">
              <w:rPr>
                <w:rFonts w:eastAsia="Times New Roman"/>
                <w:sz w:val="26"/>
                <w:szCs w:val="26"/>
                <w:lang w:val="lv-LV" w:eastAsia="lv-LV"/>
              </w:rPr>
              <w:t>Altum</w:t>
            </w:r>
            <w:proofErr w:type="spellEnd"/>
          </w:p>
        </w:tc>
      </w:tr>
      <w:tr w:rsidR="0067603D" w:rsidRPr="00C3167F" w:rsidTr="00C82FA6">
        <w:trPr>
          <w:trHeight w:val="60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Projekts šo jomu neskar</w:t>
            </w:r>
          </w:p>
        </w:tc>
      </w:tr>
      <w:tr w:rsidR="0067603D" w:rsidRPr="00C3167F" w:rsidTr="00C82FA6">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sz w:val="26"/>
                <w:szCs w:val="26"/>
                <w:lang w:val="lv-LV"/>
              </w:rPr>
              <w:t>MK noteikumu projekta izpildei nav nepieciešams izveidot jaunas institūcijas</w:t>
            </w:r>
            <w:r w:rsidRPr="00C3167F">
              <w:rPr>
                <w:rFonts w:eastAsia="Times New Roman"/>
                <w:sz w:val="26"/>
                <w:szCs w:val="26"/>
                <w:lang w:val="lv-LV" w:eastAsia="lv-LV"/>
              </w:rPr>
              <w:t>.</w:t>
            </w:r>
          </w:p>
        </w:tc>
      </w:tr>
      <w:tr w:rsidR="0067603D" w:rsidRPr="00C3167F" w:rsidTr="00C82FA6">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sz w:val="26"/>
                <w:szCs w:val="26"/>
                <w:lang w:val="lv-LV"/>
              </w:rPr>
            </w:pPr>
            <w:r w:rsidRPr="00C3167F">
              <w:rPr>
                <w:sz w:val="26"/>
                <w:szCs w:val="26"/>
                <w:lang w:val="lv-LV"/>
              </w:rPr>
              <w:t>MK noteikumu projekta izpildei nav nepieciešams likvidēt esošās institūcijas</w:t>
            </w:r>
            <w:r w:rsidRPr="00C3167F">
              <w:rPr>
                <w:rFonts w:eastAsia="Times New Roman"/>
                <w:sz w:val="26"/>
                <w:szCs w:val="26"/>
                <w:lang w:val="lv-LV" w:eastAsia="lv-LV"/>
              </w:rPr>
              <w:t>.</w:t>
            </w:r>
          </w:p>
        </w:tc>
      </w:tr>
      <w:tr w:rsidR="0067603D" w:rsidRPr="00C3167F" w:rsidTr="00C82FA6">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 xml:space="preserve">MK </w:t>
            </w:r>
            <w:r w:rsidRPr="00C3167F">
              <w:rPr>
                <w:sz w:val="26"/>
                <w:szCs w:val="26"/>
                <w:lang w:val="lv-LV"/>
              </w:rPr>
              <w:t>noteikumu projekta izpildei nav nepieciešams reorganizēt esošās institūcijas</w:t>
            </w:r>
            <w:r w:rsidRPr="00C3167F">
              <w:rPr>
                <w:rFonts w:eastAsia="Times New Roman"/>
                <w:sz w:val="26"/>
                <w:szCs w:val="26"/>
                <w:lang w:val="lv-LV" w:eastAsia="lv-LV"/>
              </w:rPr>
              <w:t>.</w:t>
            </w:r>
          </w:p>
          <w:p w:rsidR="0067603D" w:rsidRPr="00C3167F" w:rsidRDefault="0067603D" w:rsidP="00C82FA6">
            <w:pPr>
              <w:jc w:val="both"/>
              <w:rPr>
                <w:rFonts w:eastAsia="Times New Roman"/>
                <w:sz w:val="26"/>
                <w:szCs w:val="26"/>
                <w:lang w:val="lv-LV" w:eastAsia="lv-LV"/>
              </w:rPr>
            </w:pPr>
          </w:p>
        </w:tc>
      </w:tr>
      <w:tr w:rsidR="0067603D" w:rsidRPr="00C3167F" w:rsidTr="00C82FA6">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7603D" w:rsidRPr="00C3167F" w:rsidRDefault="0067603D" w:rsidP="00C82FA6">
            <w:pPr>
              <w:jc w:val="both"/>
              <w:rPr>
                <w:rFonts w:eastAsia="Times New Roman"/>
                <w:sz w:val="26"/>
                <w:szCs w:val="26"/>
                <w:lang w:val="lv-LV" w:eastAsia="lv-LV"/>
              </w:rPr>
            </w:pPr>
            <w:r w:rsidRPr="00C3167F">
              <w:rPr>
                <w:rFonts w:eastAsia="Times New Roman"/>
                <w:sz w:val="26"/>
                <w:szCs w:val="26"/>
                <w:lang w:val="lv-LV" w:eastAsia="lv-LV"/>
              </w:rPr>
              <w:t>Nav.</w:t>
            </w:r>
          </w:p>
        </w:tc>
      </w:tr>
    </w:tbl>
    <w:p w:rsidR="0067603D" w:rsidRPr="00C3167F" w:rsidRDefault="0067603D" w:rsidP="0067603D">
      <w:pPr>
        <w:tabs>
          <w:tab w:val="left" w:pos="7655"/>
        </w:tabs>
        <w:rPr>
          <w:sz w:val="26"/>
          <w:szCs w:val="26"/>
          <w:lang w:val="lv-LV"/>
        </w:rPr>
      </w:pPr>
    </w:p>
    <w:p w:rsidR="0067603D" w:rsidRPr="00C3167F" w:rsidRDefault="0067603D" w:rsidP="0067603D">
      <w:pPr>
        <w:rPr>
          <w:rFonts w:eastAsia="Times New Roman"/>
          <w:b/>
          <w:sz w:val="26"/>
          <w:szCs w:val="26"/>
          <w:lang w:val="lv-LV" w:eastAsia="lv-LV"/>
        </w:rPr>
        <w:sectPr w:rsidR="0067603D" w:rsidRPr="00C3167F" w:rsidSect="00C97F6E">
          <w:type w:val="continuous"/>
          <w:pgSz w:w="11906" w:h="16838"/>
          <w:pgMar w:top="1418" w:right="1134" w:bottom="1134" w:left="1701" w:header="709" w:footer="709" w:gutter="0"/>
          <w:cols w:space="708"/>
          <w:titlePg/>
          <w:docGrid w:linePitch="360"/>
        </w:sectPr>
      </w:pPr>
      <w:r w:rsidRPr="00C3167F">
        <w:rPr>
          <w:rFonts w:eastAsia="Times New Roman"/>
          <w:b/>
          <w:sz w:val="26"/>
          <w:szCs w:val="26"/>
          <w:lang w:val="lv-LV" w:eastAsia="lv-LV"/>
        </w:rPr>
        <w:t>Anotācijas II, III, IV, VI sadaļa – projekts šo jomu neskar</w:t>
      </w:r>
    </w:p>
    <w:p w:rsidR="009D5C1D" w:rsidRPr="00C3167F" w:rsidRDefault="009D5C1D" w:rsidP="00F22471">
      <w:pPr>
        <w:tabs>
          <w:tab w:val="left" w:pos="7655"/>
        </w:tabs>
        <w:rPr>
          <w:sz w:val="26"/>
          <w:szCs w:val="26"/>
          <w:lang w:val="lv-LV"/>
        </w:rPr>
      </w:pPr>
    </w:p>
    <w:p w:rsidR="000C5028" w:rsidRPr="00C3167F" w:rsidRDefault="000C5028" w:rsidP="00F22471">
      <w:pPr>
        <w:tabs>
          <w:tab w:val="left" w:pos="7655"/>
        </w:tabs>
        <w:rPr>
          <w:sz w:val="26"/>
          <w:szCs w:val="26"/>
          <w:lang w:val="lv-LV"/>
        </w:rPr>
      </w:pPr>
    </w:p>
    <w:p w:rsidR="007243A0" w:rsidRPr="00C3167F" w:rsidRDefault="007243A0" w:rsidP="00A43665">
      <w:pPr>
        <w:tabs>
          <w:tab w:val="right" w:pos="9072"/>
        </w:tabs>
        <w:rPr>
          <w:sz w:val="26"/>
          <w:szCs w:val="26"/>
          <w:lang w:val="lv-LV"/>
        </w:rPr>
      </w:pPr>
    </w:p>
    <w:p w:rsidR="00522B62" w:rsidRPr="00C3167F" w:rsidRDefault="00E73425" w:rsidP="00A43665">
      <w:pPr>
        <w:tabs>
          <w:tab w:val="right" w:pos="9072"/>
        </w:tabs>
        <w:rPr>
          <w:sz w:val="26"/>
          <w:szCs w:val="26"/>
          <w:lang w:val="lv-LV"/>
        </w:rPr>
      </w:pPr>
      <w:r w:rsidRPr="00C3167F">
        <w:rPr>
          <w:sz w:val="26"/>
          <w:szCs w:val="26"/>
          <w:lang w:val="lv-LV"/>
        </w:rPr>
        <w:t>Ekonomikas ministrs</w:t>
      </w:r>
      <w:r w:rsidR="00A43665" w:rsidRPr="00C3167F">
        <w:rPr>
          <w:sz w:val="26"/>
          <w:szCs w:val="26"/>
          <w:lang w:val="lv-LV"/>
        </w:rPr>
        <w:tab/>
      </w:r>
      <w:proofErr w:type="spellStart"/>
      <w:r w:rsidR="00BF2E4B" w:rsidRPr="00C3167F">
        <w:rPr>
          <w:sz w:val="26"/>
          <w:szCs w:val="26"/>
          <w:lang w:val="lv-LV"/>
        </w:rPr>
        <w:t>V.Dombrovskis</w:t>
      </w:r>
      <w:proofErr w:type="spellEnd"/>
      <w:r w:rsidR="00A43665" w:rsidRPr="00C3167F">
        <w:rPr>
          <w:sz w:val="26"/>
          <w:szCs w:val="26"/>
          <w:lang w:val="lv-LV"/>
        </w:rPr>
        <w:tab/>
      </w:r>
      <w:r w:rsidR="00A43665" w:rsidRPr="00C3167F">
        <w:rPr>
          <w:sz w:val="26"/>
          <w:szCs w:val="26"/>
          <w:lang w:val="lv-LV"/>
        </w:rPr>
        <w:tab/>
      </w:r>
      <w:r w:rsidR="00A43665" w:rsidRPr="00C3167F">
        <w:rPr>
          <w:sz w:val="26"/>
          <w:szCs w:val="26"/>
          <w:lang w:val="lv-LV"/>
        </w:rPr>
        <w:tab/>
      </w:r>
      <w:r w:rsidR="00A43665" w:rsidRPr="00C3167F">
        <w:rPr>
          <w:sz w:val="26"/>
          <w:szCs w:val="26"/>
          <w:lang w:val="lv-LV"/>
        </w:rPr>
        <w:tab/>
      </w:r>
      <w:r w:rsidR="00A43665" w:rsidRPr="00C3167F">
        <w:rPr>
          <w:sz w:val="26"/>
          <w:szCs w:val="26"/>
          <w:lang w:val="lv-LV"/>
        </w:rPr>
        <w:tab/>
      </w:r>
    </w:p>
    <w:p w:rsidR="007243A0" w:rsidRPr="00C3167F" w:rsidRDefault="007243A0" w:rsidP="008E5F7D">
      <w:pPr>
        <w:tabs>
          <w:tab w:val="right" w:pos="9072"/>
        </w:tabs>
        <w:rPr>
          <w:sz w:val="26"/>
          <w:szCs w:val="26"/>
          <w:lang w:val="lv-LV"/>
        </w:rPr>
      </w:pPr>
    </w:p>
    <w:p w:rsidR="00BF2E4B" w:rsidRPr="00C3167F" w:rsidRDefault="00BF2E4B" w:rsidP="008E5F7D">
      <w:pPr>
        <w:tabs>
          <w:tab w:val="right" w:pos="9072"/>
        </w:tabs>
        <w:rPr>
          <w:sz w:val="26"/>
          <w:szCs w:val="26"/>
          <w:lang w:val="lv-LV"/>
        </w:rPr>
      </w:pPr>
    </w:p>
    <w:p w:rsidR="007715A2" w:rsidRPr="00C3167F" w:rsidRDefault="00B74BCA" w:rsidP="008E5F7D">
      <w:pPr>
        <w:tabs>
          <w:tab w:val="right" w:pos="9072"/>
        </w:tabs>
        <w:rPr>
          <w:sz w:val="26"/>
          <w:szCs w:val="26"/>
          <w:lang w:val="lv-LV"/>
        </w:rPr>
      </w:pPr>
      <w:r w:rsidRPr="00C3167F">
        <w:rPr>
          <w:sz w:val="26"/>
          <w:szCs w:val="26"/>
          <w:lang w:val="lv-LV"/>
        </w:rPr>
        <w:t>Vīza: valsts sekretār</w:t>
      </w:r>
      <w:r w:rsidR="000C5028" w:rsidRPr="00C3167F">
        <w:rPr>
          <w:sz w:val="26"/>
          <w:szCs w:val="26"/>
          <w:lang w:val="lv-LV"/>
        </w:rPr>
        <w:t>s</w:t>
      </w:r>
      <w:r w:rsidR="000C5028" w:rsidRPr="00C3167F">
        <w:rPr>
          <w:sz w:val="26"/>
          <w:szCs w:val="26"/>
          <w:lang w:val="lv-LV"/>
        </w:rPr>
        <w:tab/>
      </w:r>
      <w:proofErr w:type="spellStart"/>
      <w:r w:rsidR="000C5028" w:rsidRPr="00C3167F">
        <w:rPr>
          <w:sz w:val="26"/>
          <w:szCs w:val="26"/>
          <w:lang w:val="lv-LV"/>
        </w:rPr>
        <w:t>M.Lazdovskis</w:t>
      </w:r>
      <w:proofErr w:type="spellEnd"/>
      <w:r w:rsidR="008E5F7D" w:rsidRPr="00C3167F">
        <w:rPr>
          <w:sz w:val="26"/>
          <w:szCs w:val="26"/>
          <w:lang w:val="lv-LV"/>
        </w:rPr>
        <w:tab/>
      </w:r>
    </w:p>
    <w:p w:rsidR="00BE6E9C" w:rsidRDefault="00BE6E9C" w:rsidP="00F22471">
      <w:pPr>
        <w:jc w:val="both"/>
        <w:rPr>
          <w:color w:val="000000"/>
          <w:sz w:val="28"/>
          <w:szCs w:val="28"/>
          <w:lang w:val="lv-LV"/>
        </w:rPr>
      </w:pPr>
    </w:p>
    <w:p w:rsidR="000C5028" w:rsidRDefault="000C5028" w:rsidP="00F22471">
      <w:pPr>
        <w:jc w:val="both"/>
        <w:rPr>
          <w:color w:val="000000"/>
          <w:sz w:val="28"/>
          <w:szCs w:val="28"/>
          <w:lang w:val="lv-LV"/>
        </w:rPr>
      </w:pPr>
    </w:p>
    <w:p w:rsidR="00BF2E4B" w:rsidRDefault="00BF2E4B" w:rsidP="00F22471">
      <w:pPr>
        <w:jc w:val="both"/>
        <w:rPr>
          <w:color w:val="000000"/>
          <w:sz w:val="28"/>
          <w:szCs w:val="28"/>
          <w:lang w:val="lv-LV"/>
        </w:rPr>
      </w:pPr>
    </w:p>
    <w:p w:rsidR="00BF2F17" w:rsidRPr="00D743CB" w:rsidRDefault="004C2284" w:rsidP="00F22471">
      <w:pPr>
        <w:jc w:val="both"/>
        <w:rPr>
          <w:sz w:val="22"/>
          <w:szCs w:val="22"/>
        </w:rPr>
      </w:pPr>
      <w:r w:rsidRPr="00D743CB">
        <w:rPr>
          <w:sz w:val="22"/>
          <w:szCs w:val="22"/>
        </w:rPr>
        <w:fldChar w:fldCharType="begin"/>
      </w:r>
      <w:r w:rsidR="00BF2F17" w:rsidRPr="00D743CB">
        <w:rPr>
          <w:sz w:val="22"/>
          <w:szCs w:val="22"/>
          <w:lang w:val="lv-LV"/>
        </w:rPr>
        <w:instrText xml:space="preserve"> TIME \@ "dd.MM.yyyy. H:mm" </w:instrText>
      </w:r>
      <w:r w:rsidRPr="00D743CB">
        <w:rPr>
          <w:sz w:val="22"/>
          <w:szCs w:val="22"/>
        </w:rPr>
        <w:fldChar w:fldCharType="separate"/>
      </w:r>
      <w:r w:rsidR="00AC4F22">
        <w:rPr>
          <w:noProof/>
          <w:sz w:val="22"/>
          <w:szCs w:val="22"/>
          <w:lang w:val="lv-LV"/>
        </w:rPr>
        <w:t>25.04.2014. 15:18</w:t>
      </w:r>
      <w:r w:rsidRPr="00D743CB">
        <w:rPr>
          <w:sz w:val="22"/>
          <w:szCs w:val="22"/>
        </w:rPr>
        <w:fldChar w:fldCharType="end"/>
      </w:r>
    </w:p>
    <w:p w:rsidR="00BF2F17" w:rsidRPr="00D743CB" w:rsidRDefault="00DF5D85" w:rsidP="00F22471">
      <w:pPr>
        <w:jc w:val="both"/>
        <w:rPr>
          <w:sz w:val="22"/>
          <w:szCs w:val="22"/>
        </w:rPr>
      </w:pPr>
      <w:r w:rsidRPr="00D743CB">
        <w:rPr>
          <w:sz w:val="22"/>
          <w:szCs w:val="22"/>
        </w:rPr>
        <w:fldChar w:fldCharType="begin"/>
      </w:r>
      <w:r w:rsidRPr="00D743CB">
        <w:rPr>
          <w:sz w:val="22"/>
          <w:szCs w:val="22"/>
        </w:rPr>
        <w:instrText xml:space="preserve"> NUMWORDS   \* MERGEFORMAT </w:instrText>
      </w:r>
      <w:r w:rsidRPr="00D743CB">
        <w:rPr>
          <w:sz w:val="22"/>
          <w:szCs w:val="22"/>
        </w:rPr>
        <w:fldChar w:fldCharType="separate"/>
      </w:r>
      <w:r w:rsidR="00AC4F22">
        <w:rPr>
          <w:noProof/>
          <w:sz w:val="22"/>
          <w:szCs w:val="22"/>
        </w:rPr>
        <w:t>1462</w:t>
      </w:r>
      <w:r w:rsidRPr="00D743CB">
        <w:rPr>
          <w:noProof/>
          <w:sz w:val="22"/>
          <w:szCs w:val="22"/>
        </w:rPr>
        <w:fldChar w:fldCharType="end"/>
      </w:r>
      <w:bookmarkStart w:id="6" w:name="_GoBack"/>
      <w:bookmarkEnd w:id="6"/>
    </w:p>
    <w:p w:rsidR="00643B54" w:rsidRPr="00D743CB" w:rsidRDefault="00634095" w:rsidP="00F22471">
      <w:pPr>
        <w:jc w:val="both"/>
        <w:rPr>
          <w:color w:val="000000"/>
          <w:sz w:val="22"/>
          <w:szCs w:val="22"/>
          <w:lang w:val="lv-LV"/>
        </w:rPr>
      </w:pPr>
      <w:r w:rsidRPr="00D743CB">
        <w:rPr>
          <w:color w:val="000000"/>
          <w:sz w:val="22"/>
          <w:szCs w:val="22"/>
          <w:lang w:val="lv-LV"/>
        </w:rPr>
        <w:t>E.Dlohi</w:t>
      </w:r>
    </w:p>
    <w:p w:rsidR="00097583" w:rsidRPr="00D743CB" w:rsidRDefault="00B74BCA" w:rsidP="00F22471">
      <w:pPr>
        <w:jc w:val="both"/>
        <w:rPr>
          <w:color w:val="000000"/>
          <w:sz w:val="22"/>
          <w:szCs w:val="22"/>
          <w:lang w:val="lv-LV"/>
        </w:rPr>
      </w:pPr>
      <w:r w:rsidRPr="00D743CB">
        <w:rPr>
          <w:sz w:val="22"/>
          <w:szCs w:val="22"/>
          <w:lang w:val="lv-LV"/>
        </w:rPr>
        <w:t>67013</w:t>
      </w:r>
      <w:r w:rsidR="00634095" w:rsidRPr="00D743CB">
        <w:rPr>
          <w:sz w:val="22"/>
          <w:szCs w:val="22"/>
          <w:lang w:val="lv-LV"/>
        </w:rPr>
        <w:t>082</w:t>
      </w:r>
      <w:r w:rsidR="00386053" w:rsidRPr="00D743CB">
        <w:rPr>
          <w:sz w:val="22"/>
          <w:szCs w:val="22"/>
          <w:lang w:val="lv-LV"/>
        </w:rPr>
        <w:t>,</w:t>
      </w:r>
      <w:r w:rsidRPr="00D743CB">
        <w:rPr>
          <w:sz w:val="22"/>
          <w:szCs w:val="22"/>
          <w:lang w:val="lv-LV"/>
        </w:rPr>
        <w:t xml:space="preserve"> </w:t>
      </w:r>
      <w:hyperlink r:id="rId12" w:history="1">
        <w:r w:rsidR="00634095" w:rsidRPr="00D743CB">
          <w:rPr>
            <w:rStyle w:val="Hyperlink"/>
            <w:sz w:val="22"/>
            <w:szCs w:val="22"/>
            <w:lang w:val="lv-LV"/>
          </w:rPr>
          <w:t>Elina.Dlohi@em.gov.lv</w:t>
        </w:r>
      </w:hyperlink>
    </w:p>
    <w:sectPr w:rsidR="00097583" w:rsidRPr="00D743CB"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A4" w:rsidRDefault="00992DA4" w:rsidP="00B014C2">
      <w:r>
        <w:separator/>
      </w:r>
    </w:p>
  </w:endnote>
  <w:endnote w:type="continuationSeparator" w:id="0">
    <w:p w:rsidR="00992DA4" w:rsidRDefault="00992DA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3D" w:rsidRPr="00C33F2C" w:rsidRDefault="0067603D" w:rsidP="0067603D">
    <w:pPr>
      <w:pStyle w:val="BodyText"/>
      <w:rPr>
        <w:sz w:val="24"/>
        <w:szCs w:val="24"/>
      </w:rPr>
    </w:pPr>
    <w:r>
      <w:rPr>
        <w:sz w:val="24"/>
        <w:szCs w:val="24"/>
      </w:rPr>
      <w:t>EMAnot_</w:t>
    </w:r>
    <w:r w:rsidR="00133E60">
      <w:rPr>
        <w:sz w:val="24"/>
        <w:szCs w:val="24"/>
      </w:rPr>
      <w:t>25</w:t>
    </w:r>
    <w:r>
      <w:rPr>
        <w:sz w:val="24"/>
        <w:szCs w:val="24"/>
      </w:rPr>
      <w:t>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Pr="00C33F2C">
        <w:rPr>
          <w:sz w:val="24"/>
          <w:szCs w:val="24"/>
        </w:rPr>
        <w:t>ziņojums</w:t>
      </w:r>
    </w:smartTag>
    <w:r w:rsidRPr="00C33F2C">
      <w:rPr>
        <w:sz w:val="24"/>
        <w:szCs w:val="24"/>
      </w:rPr>
      <w:t xml:space="preserve"> (anotācija)</w:t>
    </w:r>
  </w:p>
  <w:p w:rsidR="000275AB" w:rsidRPr="0067603D" w:rsidRDefault="000275AB" w:rsidP="0067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B" w:rsidRPr="00C33F2C" w:rsidRDefault="0067603D" w:rsidP="00D7256E">
    <w:pPr>
      <w:pStyle w:val="BodyText"/>
      <w:rPr>
        <w:sz w:val="24"/>
        <w:szCs w:val="24"/>
      </w:rPr>
    </w:pPr>
    <w:r>
      <w:rPr>
        <w:sz w:val="24"/>
        <w:szCs w:val="24"/>
      </w:rPr>
      <w:t>EMAnot_</w:t>
    </w:r>
    <w:r w:rsidR="00133E60">
      <w:rPr>
        <w:sz w:val="24"/>
        <w:szCs w:val="24"/>
      </w:rPr>
      <w:t>25</w:t>
    </w:r>
    <w:r>
      <w:rPr>
        <w:sz w:val="24"/>
        <w:szCs w:val="24"/>
      </w:rPr>
      <w:t>04</w:t>
    </w:r>
    <w:r w:rsidR="000275AB">
      <w:rPr>
        <w:sz w:val="24"/>
        <w:szCs w:val="24"/>
      </w:rPr>
      <w:t>1</w:t>
    </w:r>
    <w:r w:rsidR="007243A0">
      <w:rPr>
        <w:sz w:val="24"/>
        <w:szCs w:val="24"/>
      </w:rPr>
      <w:t>4</w:t>
    </w:r>
    <w:r>
      <w:rPr>
        <w:sz w:val="24"/>
        <w:szCs w:val="24"/>
      </w:rPr>
      <w:t>_groz898</w:t>
    </w:r>
    <w:r w:rsidR="000275AB" w:rsidRPr="00634095">
      <w:rPr>
        <w:sz w:val="24"/>
        <w:szCs w:val="24"/>
      </w:rPr>
      <w:t xml:space="preserve">; </w:t>
    </w:r>
    <w:bookmarkStart w:id="3" w:name="OLE_LINK12"/>
    <w:bookmarkStart w:id="4" w:name="OLE_LINK13"/>
    <w:bookmarkStart w:id="5" w:name="_Hlk259447629"/>
    <w:r w:rsidR="000275AB" w:rsidRPr="00634095">
      <w:rPr>
        <w:sz w:val="24"/>
        <w:szCs w:val="24"/>
      </w:rPr>
      <w:t>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sidR="000275AB">
      <w:rPr>
        <w:sz w:val="24"/>
        <w:szCs w:val="24"/>
      </w:rPr>
      <w:t xml:space="preserve"> </w:t>
    </w:r>
    <w:r w:rsidR="000275AB"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0275AB" w:rsidRPr="00C33F2C">
        <w:rPr>
          <w:sz w:val="24"/>
          <w:szCs w:val="24"/>
        </w:rPr>
        <w:t>ziņojums</w:t>
      </w:r>
    </w:smartTag>
    <w:r w:rsidR="000275AB" w:rsidRPr="00C33F2C">
      <w:rPr>
        <w:sz w:val="24"/>
        <w:szCs w:val="24"/>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A4" w:rsidRDefault="00992DA4" w:rsidP="00B014C2">
      <w:r>
        <w:separator/>
      </w:r>
    </w:p>
  </w:footnote>
  <w:footnote w:type="continuationSeparator" w:id="0">
    <w:p w:rsidR="00992DA4" w:rsidRDefault="00992DA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0275AB" w:rsidRPr="00B014C2" w:rsidRDefault="004C2284">
        <w:pPr>
          <w:pStyle w:val="Header"/>
          <w:jc w:val="center"/>
          <w:rPr>
            <w:sz w:val="24"/>
            <w:szCs w:val="24"/>
          </w:rPr>
        </w:pPr>
        <w:r w:rsidRPr="00B014C2">
          <w:rPr>
            <w:sz w:val="24"/>
            <w:szCs w:val="24"/>
          </w:rPr>
          <w:fldChar w:fldCharType="begin"/>
        </w:r>
        <w:r w:rsidR="000275AB" w:rsidRPr="00B014C2">
          <w:rPr>
            <w:sz w:val="24"/>
            <w:szCs w:val="24"/>
          </w:rPr>
          <w:instrText xml:space="preserve"> PAGE   \* MERGEFORMAT </w:instrText>
        </w:r>
        <w:r w:rsidRPr="00B014C2">
          <w:rPr>
            <w:sz w:val="24"/>
            <w:szCs w:val="24"/>
          </w:rPr>
          <w:fldChar w:fldCharType="separate"/>
        </w:r>
        <w:r w:rsidR="00AC4F22">
          <w:rPr>
            <w:noProof/>
            <w:sz w:val="24"/>
            <w:szCs w:val="24"/>
          </w:rPr>
          <w:t>7</w:t>
        </w:r>
        <w:r w:rsidRPr="00B014C2">
          <w:rPr>
            <w:sz w:val="24"/>
            <w:szCs w:val="24"/>
          </w:rPr>
          <w:fldChar w:fldCharType="end"/>
        </w:r>
      </w:p>
    </w:sdtContent>
  </w:sdt>
  <w:p w:rsidR="000275AB" w:rsidRDefault="0002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3">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4">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6"/>
  </w:num>
  <w:num w:numId="3">
    <w:abstractNumId w:val="10"/>
  </w:num>
  <w:num w:numId="4">
    <w:abstractNumId w:val="1"/>
  </w:num>
  <w:num w:numId="5">
    <w:abstractNumId w:val="0"/>
  </w:num>
  <w:num w:numId="6">
    <w:abstractNumId w:val="8"/>
  </w:num>
  <w:num w:numId="7">
    <w:abstractNumId w:val="14"/>
  </w:num>
  <w:num w:numId="8">
    <w:abstractNumId w:val="5"/>
  </w:num>
  <w:num w:numId="9">
    <w:abstractNumId w:val="9"/>
  </w:num>
  <w:num w:numId="10">
    <w:abstractNumId w:val="11"/>
  </w:num>
  <w:num w:numId="11">
    <w:abstractNumId w:val="3"/>
  </w:num>
  <w:num w:numId="12">
    <w:abstractNumId w:val="7"/>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1AEE"/>
    <w:rsid w:val="00023CF5"/>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806"/>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10BD"/>
    <w:rsid w:val="000B2AE3"/>
    <w:rsid w:val="000C5028"/>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54CC"/>
    <w:rsid w:val="001267F1"/>
    <w:rsid w:val="001305B3"/>
    <w:rsid w:val="00130D33"/>
    <w:rsid w:val="00131980"/>
    <w:rsid w:val="00131C62"/>
    <w:rsid w:val="00133E60"/>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A69A7"/>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0CE6"/>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4392"/>
    <w:rsid w:val="002954D4"/>
    <w:rsid w:val="00295C0F"/>
    <w:rsid w:val="002965B9"/>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201"/>
    <w:rsid w:val="002E7530"/>
    <w:rsid w:val="002E7962"/>
    <w:rsid w:val="002E7BEF"/>
    <w:rsid w:val="002F063C"/>
    <w:rsid w:val="002F423D"/>
    <w:rsid w:val="002F4553"/>
    <w:rsid w:val="002F48AF"/>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041B"/>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6127"/>
    <w:rsid w:val="00497086"/>
    <w:rsid w:val="004A0E4C"/>
    <w:rsid w:val="004A22E5"/>
    <w:rsid w:val="004A554F"/>
    <w:rsid w:val="004B18A4"/>
    <w:rsid w:val="004B1FE7"/>
    <w:rsid w:val="004B77C0"/>
    <w:rsid w:val="004C1463"/>
    <w:rsid w:val="004C2284"/>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469D"/>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03D"/>
    <w:rsid w:val="00676770"/>
    <w:rsid w:val="0068051B"/>
    <w:rsid w:val="00681496"/>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20EE5"/>
    <w:rsid w:val="00721401"/>
    <w:rsid w:val="007217E4"/>
    <w:rsid w:val="00721D6C"/>
    <w:rsid w:val="00721E50"/>
    <w:rsid w:val="007243A0"/>
    <w:rsid w:val="00725107"/>
    <w:rsid w:val="00725B16"/>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85099"/>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42"/>
    <w:rsid w:val="007E63F8"/>
    <w:rsid w:val="007E7623"/>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6318"/>
    <w:rsid w:val="00836455"/>
    <w:rsid w:val="00837E38"/>
    <w:rsid w:val="00840961"/>
    <w:rsid w:val="008444BD"/>
    <w:rsid w:val="00844DC6"/>
    <w:rsid w:val="00851D2A"/>
    <w:rsid w:val="008535B7"/>
    <w:rsid w:val="00855B83"/>
    <w:rsid w:val="00860387"/>
    <w:rsid w:val="00861366"/>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2693"/>
    <w:rsid w:val="00962A44"/>
    <w:rsid w:val="00962CEA"/>
    <w:rsid w:val="00971B45"/>
    <w:rsid w:val="00972275"/>
    <w:rsid w:val="00977A1D"/>
    <w:rsid w:val="0098472B"/>
    <w:rsid w:val="00992DA4"/>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56909"/>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4F22"/>
    <w:rsid w:val="00AC6009"/>
    <w:rsid w:val="00AD0DF6"/>
    <w:rsid w:val="00AD2826"/>
    <w:rsid w:val="00AD4944"/>
    <w:rsid w:val="00AD5849"/>
    <w:rsid w:val="00AD7CF0"/>
    <w:rsid w:val="00AE05F1"/>
    <w:rsid w:val="00AE1659"/>
    <w:rsid w:val="00AE4EB6"/>
    <w:rsid w:val="00AE51EC"/>
    <w:rsid w:val="00AE6E0C"/>
    <w:rsid w:val="00AF1E99"/>
    <w:rsid w:val="00AF29A4"/>
    <w:rsid w:val="00B00407"/>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2F89"/>
    <w:rsid w:val="00B74BCA"/>
    <w:rsid w:val="00B756EA"/>
    <w:rsid w:val="00B75B65"/>
    <w:rsid w:val="00B7774A"/>
    <w:rsid w:val="00B81E82"/>
    <w:rsid w:val="00B82499"/>
    <w:rsid w:val="00B84C4B"/>
    <w:rsid w:val="00B85C22"/>
    <w:rsid w:val="00B866E5"/>
    <w:rsid w:val="00B91EA5"/>
    <w:rsid w:val="00B931D1"/>
    <w:rsid w:val="00B943B1"/>
    <w:rsid w:val="00BA0A22"/>
    <w:rsid w:val="00BA14F4"/>
    <w:rsid w:val="00BA2B9F"/>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E4B"/>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67F"/>
    <w:rsid w:val="00C31A26"/>
    <w:rsid w:val="00C327A5"/>
    <w:rsid w:val="00C32F05"/>
    <w:rsid w:val="00C33F2C"/>
    <w:rsid w:val="00C34377"/>
    <w:rsid w:val="00C34941"/>
    <w:rsid w:val="00C37B14"/>
    <w:rsid w:val="00C40FDA"/>
    <w:rsid w:val="00C443D1"/>
    <w:rsid w:val="00C44943"/>
    <w:rsid w:val="00C44C95"/>
    <w:rsid w:val="00C4549D"/>
    <w:rsid w:val="00C45AB4"/>
    <w:rsid w:val="00C5082A"/>
    <w:rsid w:val="00C52C5E"/>
    <w:rsid w:val="00C5549D"/>
    <w:rsid w:val="00C61BDC"/>
    <w:rsid w:val="00C61FF9"/>
    <w:rsid w:val="00C627A2"/>
    <w:rsid w:val="00C65525"/>
    <w:rsid w:val="00C6637E"/>
    <w:rsid w:val="00C66CCF"/>
    <w:rsid w:val="00C7152A"/>
    <w:rsid w:val="00C728A7"/>
    <w:rsid w:val="00C7438E"/>
    <w:rsid w:val="00C7500F"/>
    <w:rsid w:val="00C751EA"/>
    <w:rsid w:val="00C75A4F"/>
    <w:rsid w:val="00C772EA"/>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C7CB9"/>
    <w:rsid w:val="00CD40FD"/>
    <w:rsid w:val="00CD4E1C"/>
    <w:rsid w:val="00CE09F6"/>
    <w:rsid w:val="00CE128B"/>
    <w:rsid w:val="00CE4049"/>
    <w:rsid w:val="00CE46A5"/>
    <w:rsid w:val="00CF0131"/>
    <w:rsid w:val="00CF05DA"/>
    <w:rsid w:val="00CF370C"/>
    <w:rsid w:val="00CF4D9E"/>
    <w:rsid w:val="00CF50F6"/>
    <w:rsid w:val="00CF5C7C"/>
    <w:rsid w:val="00D0079F"/>
    <w:rsid w:val="00D03BE9"/>
    <w:rsid w:val="00D11E93"/>
    <w:rsid w:val="00D12D69"/>
    <w:rsid w:val="00D12F6E"/>
    <w:rsid w:val="00D215C9"/>
    <w:rsid w:val="00D21BB8"/>
    <w:rsid w:val="00D23D51"/>
    <w:rsid w:val="00D23E53"/>
    <w:rsid w:val="00D24EDC"/>
    <w:rsid w:val="00D277E5"/>
    <w:rsid w:val="00D315BC"/>
    <w:rsid w:val="00D31657"/>
    <w:rsid w:val="00D31FAE"/>
    <w:rsid w:val="00D359FE"/>
    <w:rsid w:val="00D419F1"/>
    <w:rsid w:val="00D478F2"/>
    <w:rsid w:val="00D50452"/>
    <w:rsid w:val="00D56DA8"/>
    <w:rsid w:val="00D62CCB"/>
    <w:rsid w:val="00D71175"/>
    <w:rsid w:val="00D7155A"/>
    <w:rsid w:val="00D71706"/>
    <w:rsid w:val="00D7256E"/>
    <w:rsid w:val="00D72F3D"/>
    <w:rsid w:val="00D74282"/>
    <w:rsid w:val="00D743CB"/>
    <w:rsid w:val="00D8286C"/>
    <w:rsid w:val="00D83021"/>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5BB"/>
    <w:rsid w:val="00DF0637"/>
    <w:rsid w:val="00DF0A7E"/>
    <w:rsid w:val="00DF4BCE"/>
    <w:rsid w:val="00DF5D85"/>
    <w:rsid w:val="00E0051C"/>
    <w:rsid w:val="00E03A78"/>
    <w:rsid w:val="00E07DF2"/>
    <w:rsid w:val="00E147E0"/>
    <w:rsid w:val="00E22906"/>
    <w:rsid w:val="00E22D5A"/>
    <w:rsid w:val="00E22EBE"/>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9BD"/>
    <w:rsid w:val="00E90C7E"/>
    <w:rsid w:val="00E921F7"/>
    <w:rsid w:val="00E9274F"/>
    <w:rsid w:val="00E96F9B"/>
    <w:rsid w:val="00EA2820"/>
    <w:rsid w:val="00EA6137"/>
    <w:rsid w:val="00EA6907"/>
    <w:rsid w:val="00EB03F5"/>
    <w:rsid w:val="00EB263C"/>
    <w:rsid w:val="00EB4862"/>
    <w:rsid w:val="00EC09FD"/>
    <w:rsid w:val="00EC1C10"/>
    <w:rsid w:val="00EC1CD1"/>
    <w:rsid w:val="00EC4103"/>
    <w:rsid w:val="00ED175B"/>
    <w:rsid w:val="00ED29AD"/>
    <w:rsid w:val="00ED377B"/>
    <w:rsid w:val="00ED49F3"/>
    <w:rsid w:val="00EE1F99"/>
    <w:rsid w:val="00EE35DE"/>
    <w:rsid w:val="00EE4E64"/>
    <w:rsid w:val="00EE4FC3"/>
    <w:rsid w:val="00EF26A5"/>
    <w:rsid w:val="00EF335B"/>
    <w:rsid w:val="00EF4B50"/>
    <w:rsid w:val="00EF662A"/>
    <w:rsid w:val="00EF6CB9"/>
    <w:rsid w:val="00EF6E5B"/>
    <w:rsid w:val="00EF7435"/>
    <w:rsid w:val="00EF7A99"/>
    <w:rsid w:val="00F017F1"/>
    <w:rsid w:val="00F02020"/>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5D66"/>
    <w:rsid w:val="00F573E5"/>
    <w:rsid w:val="00F64547"/>
    <w:rsid w:val="00F65DC0"/>
    <w:rsid w:val="00F65EC5"/>
    <w:rsid w:val="00F67545"/>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67603D"/>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67603D"/>
    <w:rPr>
      <w:rFonts w:eastAsia="Calibri" w:cs="Times New Roman"/>
      <w:sz w:val="20"/>
      <w:szCs w:val="20"/>
      <w:lang w:val="en-AU"/>
    </w:rPr>
  </w:style>
  <w:style w:type="character" w:styleId="FootnoteReference">
    <w:name w:val="footnote reference"/>
    <w:basedOn w:val="DefaultParagraphFont"/>
    <w:uiPriority w:val="99"/>
    <w:semiHidden/>
    <w:unhideWhenUsed/>
    <w:rsid w:val="00676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67603D"/>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67603D"/>
    <w:rPr>
      <w:rFonts w:eastAsia="Calibri" w:cs="Times New Roman"/>
      <w:sz w:val="20"/>
      <w:szCs w:val="20"/>
      <w:lang w:val="en-AU"/>
    </w:rPr>
  </w:style>
  <w:style w:type="character" w:styleId="FootnoteReference">
    <w:name w:val="footnote reference"/>
    <w:basedOn w:val="DefaultParagraphFont"/>
    <w:uiPriority w:val="99"/>
    <w:semiHidden/>
    <w:unhideWhenUsed/>
    <w:rsid w:val="00676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378B-991F-4980-A4C2-AB85F7CC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1494</Words>
  <Characters>10522</Characters>
  <Application>Microsoft Office Word</Application>
  <DocSecurity>0</DocSecurity>
  <Lines>478</Lines>
  <Paragraphs>148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31.marta noteikumos Nr.293 „Noteikumi par darbības programmas „Cilvēkresursi un nodarbinātība” papildinājuma 1.3.1.2.aktivitāti „Atbalsts pašnodarbinātības un uzņēmējdarbības uzsākšanai””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5</cp:revision>
  <cp:lastPrinted>2014-04-25T12:18:00Z</cp:lastPrinted>
  <dcterms:created xsi:type="dcterms:W3CDTF">2014-04-17T07:50:00Z</dcterms:created>
  <dcterms:modified xsi:type="dcterms:W3CDTF">2014-04-25T12:18:00Z</dcterms:modified>
</cp:coreProperties>
</file>