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Pr="00B81B37" w:rsidRDefault="00BB09C5" w:rsidP="00F22471">
      <w:pPr>
        <w:pStyle w:val="BodyText"/>
        <w:jc w:val="center"/>
        <w:rPr>
          <w:b/>
          <w:sz w:val="24"/>
          <w:szCs w:val="24"/>
        </w:rPr>
      </w:pPr>
      <w:bookmarkStart w:id="0" w:name="OLE_LINK3"/>
      <w:bookmarkStart w:id="1" w:name="OLE_LINK1"/>
      <w:bookmarkStart w:id="2" w:name="OLE_LINK2"/>
      <w:r w:rsidRPr="00B81B37">
        <w:rPr>
          <w:b/>
          <w:sz w:val="24"/>
          <w:szCs w:val="24"/>
        </w:rPr>
        <w:t xml:space="preserve">Ministru kabineta </w:t>
      </w:r>
      <w:r w:rsidR="00C83591" w:rsidRPr="00B81B37">
        <w:rPr>
          <w:b/>
          <w:sz w:val="24"/>
          <w:szCs w:val="24"/>
        </w:rPr>
        <w:t>noteikumu</w:t>
      </w:r>
      <w:r w:rsidR="00747779" w:rsidRPr="00B81B37">
        <w:rPr>
          <w:b/>
          <w:sz w:val="24"/>
          <w:szCs w:val="24"/>
        </w:rPr>
        <w:t xml:space="preserve"> </w:t>
      </w:r>
      <w:r w:rsidRPr="00B81B37">
        <w:rPr>
          <w:b/>
          <w:sz w:val="24"/>
          <w:szCs w:val="24"/>
        </w:rPr>
        <w:t xml:space="preserve">projekta </w:t>
      </w:r>
      <w:r w:rsidR="0040578F" w:rsidRPr="00B81B37">
        <w:rPr>
          <w:b/>
          <w:sz w:val="24"/>
          <w:szCs w:val="24"/>
        </w:rPr>
        <w:t>„</w:t>
      </w:r>
      <w:r w:rsidR="0050440A" w:rsidRPr="00B81B37">
        <w:rPr>
          <w:b/>
          <w:sz w:val="24"/>
          <w:szCs w:val="24"/>
        </w:rPr>
        <w:t xml:space="preserve">Noteikumi par </w:t>
      </w:r>
      <w:r w:rsidR="00747779" w:rsidRPr="00B81B37">
        <w:rPr>
          <w:b/>
          <w:sz w:val="24"/>
          <w:szCs w:val="24"/>
        </w:rPr>
        <w:t>atbalst</w:t>
      </w:r>
      <w:r w:rsidR="0048088B" w:rsidRPr="00B81B37">
        <w:rPr>
          <w:b/>
          <w:sz w:val="24"/>
          <w:szCs w:val="24"/>
        </w:rPr>
        <w:t>u</w:t>
      </w:r>
      <w:r w:rsidR="00747779" w:rsidRPr="00B81B37">
        <w:rPr>
          <w:b/>
          <w:sz w:val="24"/>
          <w:szCs w:val="24"/>
        </w:rPr>
        <w:t xml:space="preserve"> </w:t>
      </w:r>
      <w:r w:rsidR="0048088B" w:rsidRPr="00B81B37">
        <w:rPr>
          <w:b/>
          <w:sz w:val="24"/>
          <w:szCs w:val="24"/>
        </w:rPr>
        <w:t>iesācējuzņēmumu apmācību un semināru organizēšanai</w:t>
      </w:r>
      <w:r w:rsidR="00EF5FA2" w:rsidRPr="00B81B37">
        <w:rPr>
          <w:b/>
          <w:sz w:val="24"/>
          <w:szCs w:val="24"/>
        </w:rPr>
        <w:t>”</w:t>
      </w:r>
      <w:r w:rsidR="008F230C" w:rsidRPr="00B81B37">
        <w:rPr>
          <w:b/>
          <w:sz w:val="24"/>
          <w:szCs w:val="24"/>
        </w:rPr>
        <w:t>”</w:t>
      </w:r>
      <w:r w:rsidR="00747779" w:rsidRPr="00B81B37">
        <w:rPr>
          <w:b/>
          <w:sz w:val="24"/>
          <w:szCs w:val="24"/>
        </w:rPr>
        <w:t xml:space="preserve"> </w:t>
      </w:r>
      <w:r w:rsidR="003000F0" w:rsidRPr="00B81B37">
        <w:rPr>
          <w:b/>
          <w:sz w:val="24"/>
          <w:szCs w:val="24"/>
        </w:rPr>
        <w:t>sākotnējās ietekmes novērtējuma ziņojums</w:t>
      </w:r>
      <w:r w:rsidR="00747779" w:rsidRPr="00B81B37">
        <w:rPr>
          <w:b/>
          <w:sz w:val="24"/>
          <w:szCs w:val="24"/>
        </w:rPr>
        <w:t xml:space="preserve"> </w:t>
      </w:r>
      <w:r w:rsidR="003000F0" w:rsidRPr="00B81B37">
        <w:rPr>
          <w:b/>
          <w:sz w:val="24"/>
          <w:szCs w:val="24"/>
        </w:rPr>
        <w:t>(</w:t>
      </w:r>
      <w:r w:rsidR="00E73425" w:rsidRPr="00B81B37">
        <w:rPr>
          <w:b/>
          <w:sz w:val="24"/>
          <w:szCs w:val="24"/>
        </w:rPr>
        <w:t>anotācija</w:t>
      </w:r>
      <w:r w:rsidR="003000F0" w:rsidRPr="00B81B37">
        <w:rPr>
          <w:b/>
          <w:sz w:val="24"/>
          <w:szCs w:val="24"/>
        </w:rPr>
        <w:t>)</w:t>
      </w:r>
    </w:p>
    <w:p w:rsidR="00944C30" w:rsidRPr="00B81B37" w:rsidRDefault="00944C30" w:rsidP="00F22471">
      <w:pPr>
        <w:pStyle w:val="BodyText"/>
        <w:jc w:val="center"/>
        <w:rPr>
          <w:b/>
          <w:sz w:val="24"/>
          <w:szCs w:val="24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157576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B81B37" w:rsidRDefault="00A31FDC" w:rsidP="00517993">
            <w:pPr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b/>
                <w:sz w:val="24"/>
                <w:szCs w:val="24"/>
                <w:lang w:val="lv-LV" w:eastAsia="lv-LV"/>
              </w:rPr>
              <w:t>I.Tiesību akta projekta izstrādes nepieciešamība</w:t>
            </w:r>
          </w:p>
        </w:tc>
      </w:tr>
      <w:tr w:rsidR="00A31FDC" w:rsidRPr="00157576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B81B37" w:rsidRDefault="00A31FDC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B81B37" w:rsidRDefault="00A31FDC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960BB" w:rsidRPr="00B81B37" w:rsidRDefault="008960BB" w:rsidP="008960BB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Ņemot vērā, ka </w:t>
            </w:r>
            <w:r w:rsidRPr="008960BB">
              <w:rPr>
                <w:sz w:val="24"/>
                <w:szCs w:val="24"/>
                <w:lang w:val="lv-LV"/>
              </w:rPr>
              <w:t>nacionālajā regulējumā nav noteikta kārtība, kādā tiek izmantot</w:t>
            </w:r>
            <w:r>
              <w:rPr>
                <w:sz w:val="24"/>
                <w:szCs w:val="24"/>
                <w:lang w:val="lv-LV"/>
              </w:rPr>
              <w:t xml:space="preserve">i </w:t>
            </w:r>
            <w:r w:rsidR="00C901A4" w:rsidRPr="006E6EFD">
              <w:rPr>
                <w:bCs/>
                <w:sz w:val="24"/>
                <w:szCs w:val="24"/>
                <w:lang w:val="lv-LV"/>
              </w:rPr>
              <w:t>sabiedrība</w:t>
            </w:r>
            <w:r w:rsidR="00C901A4">
              <w:rPr>
                <w:bCs/>
                <w:sz w:val="24"/>
                <w:szCs w:val="24"/>
                <w:lang w:val="lv-LV"/>
              </w:rPr>
              <w:t>s</w:t>
            </w:r>
            <w:r w:rsidR="00C901A4" w:rsidRPr="006E6EFD">
              <w:rPr>
                <w:bCs/>
                <w:sz w:val="24"/>
                <w:szCs w:val="24"/>
                <w:lang w:val="lv-LV"/>
              </w:rPr>
              <w:t xml:space="preserve"> ar ierobežotu atbildību </w:t>
            </w:r>
            <w:r w:rsidR="00C901A4">
              <w:rPr>
                <w:bCs/>
                <w:sz w:val="24"/>
                <w:szCs w:val="24"/>
                <w:lang w:val="lv-LV"/>
              </w:rPr>
              <w:t>„</w:t>
            </w:r>
            <w:r>
              <w:rPr>
                <w:sz w:val="24"/>
                <w:szCs w:val="24"/>
                <w:lang w:val="lv-LV"/>
              </w:rPr>
              <w:t>Latvijas Garantiju aģentūra</w:t>
            </w:r>
            <w:r w:rsidR="00C901A4">
              <w:rPr>
                <w:sz w:val="24"/>
                <w:szCs w:val="24"/>
                <w:lang w:val="lv-LV"/>
              </w:rPr>
              <w:t>”</w:t>
            </w:r>
            <w:r w:rsidRPr="008960BB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(turpmāk – LGA) līdzekļi</w:t>
            </w:r>
            <w:r w:rsidRPr="008960BB">
              <w:rPr>
                <w:sz w:val="24"/>
                <w:szCs w:val="24"/>
                <w:lang w:val="lv-LV"/>
              </w:rPr>
              <w:t>,</w:t>
            </w:r>
            <w:r>
              <w:rPr>
                <w:sz w:val="24"/>
                <w:szCs w:val="24"/>
                <w:lang w:val="lv-LV"/>
              </w:rPr>
              <w:t xml:space="preserve"> tajā skaitā nav noteikts </w:t>
            </w:r>
            <w:r w:rsidRPr="008960BB">
              <w:rPr>
                <w:sz w:val="24"/>
                <w:szCs w:val="24"/>
                <w:lang w:val="lv-LV"/>
              </w:rPr>
              <w:t>deleģējum</w:t>
            </w:r>
            <w:r>
              <w:rPr>
                <w:sz w:val="24"/>
                <w:szCs w:val="24"/>
                <w:lang w:val="lv-LV"/>
              </w:rPr>
              <w:t>s</w:t>
            </w:r>
            <w:r w:rsidRPr="008960BB">
              <w:rPr>
                <w:sz w:val="24"/>
                <w:szCs w:val="24"/>
                <w:lang w:val="lv-LV"/>
              </w:rPr>
              <w:t xml:space="preserve"> M</w:t>
            </w:r>
            <w:r>
              <w:rPr>
                <w:sz w:val="24"/>
                <w:szCs w:val="24"/>
                <w:lang w:val="lv-LV"/>
              </w:rPr>
              <w:t>inistru kabinetam</w:t>
            </w:r>
            <w:r w:rsidRPr="008960BB">
              <w:rPr>
                <w:sz w:val="24"/>
                <w:szCs w:val="24"/>
                <w:lang w:val="lv-LV"/>
              </w:rPr>
              <w:t xml:space="preserve"> pieņemt valsts atbalsta nosacījumus</w:t>
            </w:r>
            <w:r>
              <w:rPr>
                <w:sz w:val="24"/>
                <w:szCs w:val="24"/>
                <w:lang w:val="lv-LV"/>
              </w:rPr>
              <w:t xml:space="preserve">, kuru ietvaros tiktu izsniegti LGA līdzekļi, </w:t>
            </w:r>
            <w:r w:rsidRPr="008960BB">
              <w:rPr>
                <w:sz w:val="24"/>
                <w:szCs w:val="24"/>
                <w:lang w:val="lv-LV"/>
              </w:rPr>
              <w:t>Ministru kabineta noteikumu projekts ir izstrādāts</w:t>
            </w:r>
            <w:r>
              <w:rPr>
                <w:sz w:val="24"/>
                <w:szCs w:val="24"/>
                <w:lang w:val="lv-LV"/>
              </w:rPr>
              <w:t>,</w:t>
            </w:r>
            <w:r w:rsidRPr="008960BB">
              <w:rPr>
                <w:sz w:val="24"/>
                <w:szCs w:val="24"/>
                <w:lang w:val="lv-LV"/>
              </w:rPr>
              <w:t xml:space="preserve"> pamatojoties uz Ministru kabineta iekārtas likuma 31.panta pirmās daļas 3.punktu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A31FDC" w:rsidRPr="00157576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B81B37" w:rsidRDefault="00A31FDC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B81B37" w:rsidRDefault="00BB13F4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5E40" w:rsidRPr="00B81B37" w:rsidRDefault="0048088B" w:rsidP="00C35A92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81B37">
              <w:rPr>
                <w:sz w:val="24"/>
                <w:szCs w:val="24"/>
                <w:lang w:val="lv-LV"/>
              </w:rPr>
              <w:t xml:space="preserve">Saskaņā ar Ekonomikas ministrijas (turpmāk – EM) 2014.gada 2.ceturksnī </w:t>
            </w:r>
            <w:r w:rsidR="00830297">
              <w:rPr>
                <w:sz w:val="24"/>
                <w:szCs w:val="24"/>
                <w:lang w:val="lv-LV"/>
              </w:rPr>
              <w:t>veikto tirgus nepilnību analīzi</w:t>
            </w:r>
            <w:r w:rsidRPr="00B81B37">
              <w:rPr>
                <w:sz w:val="24"/>
                <w:szCs w:val="24"/>
                <w:lang w:val="lv-LV"/>
              </w:rPr>
              <w:t xml:space="preserve"> Latvijā nav attīstīta vienota ekosistēma, kas nepieciešama jaunu iesācējuzņēmumu (</w:t>
            </w:r>
            <w:r w:rsidRPr="00B929B4">
              <w:rPr>
                <w:i/>
                <w:sz w:val="24"/>
                <w:szCs w:val="24"/>
                <w:lang w:val="lv-LV"/>
              </w:rPr>
              <w:t>start – up</w:t>
            </w:r>
            <w:r w:rsidRPr="00B81B37">
              <w:rPr>
                <w:sz w:val="24"/>
                <w:szCs w:val="24"/>
                <w:lang w:val="lv-LV"/>
              </w:rPr>
              <w:t>) veidošanai.</w:t>
            </w:r>
            <w:r w:rsidR="00DF2F96" w:rsidRPr="00B81B37">
              <w:rPr>
                <w:sz w:val="24"/>
                <w:szCs w:val="24"/>
                <w:lang w:val="lv-LV"/>
              </w:rPr>
              <w:t xml:space="preserve"> Informācijas trūkums par privāto investīciju piesaistes iespējām iesācējuzņēmumiem ir bieži vien noteicošais faktors, kas samazina jaunu un iespējams potenciāli veiksmīgu ideju radīšanu un attīstīšanu. </w:t>
            </w:r>
            <w:r w:rsidR="00A35E40" w:rsidRPr="00B81B37">
              <w:rPr>
                <w:sz w:val="24"/>
                <w:szCs w:val="24"/>
                <w:lang w:val="lv-LV"/>
              </w:rPr>
              <w:t xml:space="preserve">Arī privāto investīciju apmērs Latvijā ir neliels, un informācijas trūkums par potenciāli veiksmīgām investēšanas iespējam bieži vien ir galvenais faktors, kas palēnina veikto privāto investīciju pieaugumu. </w:t>
            </w:r>
            <w:r w:rsidR="00DF2F96" w:rsidRPr="00B81B37">
              <w:rPr>
                <w:sz w:val="24"/>
                <w:szCs w:val="24"/>
                <w:lang w:val="lv-LV"/>
              </w:rPr>
              <w:t xml:space="preserve">Lai arī pastāv atsevišķas struktūras, kā </w:t>
            </w:r>
            <w:r w:rsidR="00C378B5" w:rsidRPr="00B81B37">
              <w:rPr>
                <w:sz w:val="24"/>
                <w:szCs w:val="24"/>
                <w:lang w:val="lv-LV"/>
              </w:rPr>
              <w:t xml:space="preserve">piemēram, </w:t>
            </w:r>
            <w:r w:rsidR="00B81B37">
              <w:rPr>
                <w:sz w:val="24"/>
                <w:szCs w:val="24"/>
                <w:lang w:val="lv-LV"/>
              </w:rPr>
              <w:t>biedrība „</w:t>
            </w:r>
            <w:r w:rsidR="00074BBD" w:rsidRPr="00B81B37">
              <w:rPr>
                <w:sz w:val="24"/>
                <w:szCs w:val="24"/>
                <w:lang w:val="lv-LV"/>
              </w:rPr>
              <w:t>TechHub</w:t>
            </w:r>
            <w:r w:rsidR="00B81B37">
              <w:rPr>
                <w:sz w:val="24"/>
                <w:szCs w:val="24"/>
                <w:lang w:val="lv-LV"/>
              </w:rPr>
              <w:t xml:space="preserve"> Riga”</w:t>
            </w:r>
            <w:r w:rsidR="00074BBD" w:rsidRPr="00B81B37">
              <w:rPr>
                <w:sz w:val="24"/>
                <w:szCs w:val="24"/>
                <w:lang w:val="lv-LV"/>
              </w:rPr>
              <w:t xml:space="preserve">, </w:t>
            </w:r>
            <w:r w:rsidR="00876177">
              <w:rPr>
                <w:sz w:val="24"/>
                <w:szCs w:val="24"/>
                <w:lang w:val="lv-LV"/>
              </w:rPr>
              <w:t>„</w:t>
            </w:r>
            <w:r w:rsidR="00074BBD" w:rsidRPr="00B81B37">
              <w:rPr>
                <w:sz w:val="24"/>
                <w:szCs w:val="24"/>
                <w:lang w:val="lv-LV"/>
              </w:rPr>
              <w:t>Komercializācijas reaktors</w:t>
            </w:r>
            <w:r w:rsidR="00876177">
              <w:rPr>
                <w:sz w:val="24"/>
                <w:szCs w:val="24"/>
                <w:lang w:val="lv-LV"/>
              </w:rPr>
              <w:t>”</w:t>
            </w:r>
            <w:r w:rsidR="00074BBD" w:rsidRPr="00B81B37">
              <w:rPr>
                <w:sz w:val="24"/>
                <w:szCs w:val="24"/>
                <w:lang w:val="lv-LV"/>
              </w:rPr>
              <w:t xml:space="preserve">, jaundibinātā biznesa eņģeļu asociācija „LatBAN”, kuru darbība </w:t>
            </w:r>
            <w:r w:rsidR="00C35A92" w:rsidRPr="00B81B37">
              <w:rPr>
                <w:sz w:val="24"/>
                <w:szCs w:val="24"/>
                <w:lang w:val="lv-LV"/>
              </w:rPr>
              <w:t>paredz</w:t>
            </w:r>
            <w:r w:rsidR="00074BBD" w:rsidRPr="00B81B37">
              <w:rPr>
                <w:sz w:val="24"/>
                <w:szCs w:val="24"/>
                <w:lang w:val="lv-LV"/>
              </w:rPr>
              <w:t xml:space="preserve"> iesācējuzņēmumu ekosistēmas attīstīšanu, tomēr ierobežoto finansiālo resursu dēļ pasākumu, kuros tiktu savesti </w:t>
            </w:r>
            <w:r w:rsidR="00C35A92" w:rsidRPr="00B81B37">
              <w:rPr>
                <w:sz w:val="24"/>
                <w:szCs w:val="24"/>
                <w:lang w:val="lv-LV"/>
              </w:rPr>
              <w:t xml:space="preserve">kopā </w:t>
            </w:r>
            <w:r w:rsidR="00074BBD" w:rsidRPr="00B81B37">
              <w:rPr>
                <w:sz w:val="24"/>
                <w:szCs w:val="24"/>
                <w:lang w:val="lv-LV"/>
              </w:rPr>
              <w:t>iesācējuzņēmumi ar privātajiem investoriem</w:t>
            </w:r>
            <w:r w:rsidR="00E3282D" w:rsidRPr="00B81B37">
              <w:rPr>
                <w:sz w:val="24"/>
                <w:szCs w:val="24"/>
                <w:lang w:val="lv-LV"/>
              </w:rPr>
              <w:t xml:space="preserve"> un nodrošināta informācijas pieejamība par investēšanas iespējām un pieejamo </w:t>
            </w:r>
            <w:r w:rsidR="00C35A92" w:rsidRPr="00B81B37">
              <w:rPr>
                <w:sz w:val="24"/>
                <w:szCs w:val="24"/>
                <w:lang w:val="lv-LV"/>
              </w:rPr>
              <w:t>finansējumu</w:t>
            </w:r>
            <w:r w:rsidR="00074BBD" w:rsidRPr="00B81B37">
              <w:rPr>
                <w:sz w:val="24"/>
                <w:szCs w:val="24"/>
                <w:lang w:val="lv-LV"/>
              </w:rPr>
              <w:t xml:space="preserve">, organizēšana ir ierobežota. </w:t>
            </w:r>
            <w:r w:rsidR="00A35E40" w:rsidRPr="00B81B37">
              <w:rPr>
                <w:sz w:val="24"/>
                <w:szCs w:val="24"/>
                <w:lang w:val="lv-LV"/>
              </w:rPr>
              <w:t>Tādejādi, l</w:t>
            </w:r>
            <w:r w:rsidR="00DF2F96" w:rsidRPr="00B81B37">
              <w:rPr>
                <w:sz w:val="24"/>
                <w:szCs w:val="24"/>
                <w:lang w:val="lv-LV"/>
              </w:rPr>
              <w:t xml:space="preserve">ai sekmētu </w:t>
            </w:r>
            <w:r w:rsidR="00E3282D" w:rsidRPr="00B81B37">
              <w:rPr>
                <w:sz w:val="24"/>
                <w:szCs w:val="24"/>
                <w:lang w:val="lv-LV"/>
              </w:rPr>
              <w:t xml:space="preserve">iesācējuzņēmumu saskarsmes iespējas ar privātajiem investoriem un veicinātu </w:t>
            </w:r>
            <w:r w:rsidR="00DF2F96" w:rsidRPr="00B81B37">
              <w:rPr>
                <w:sz w:val="24"/>
                <w:szCs w:val="24"/>
                <w:lang w:val="lv-LV"/>
              </w:rPr>
              <w:t xml:space="preserve">veiksmīgas </w:t>
            </w:r>
            <w:r w:rsidR="00DF2F96" w:rsidRPr="00BE1FBF">
              <w:rPr>
                <w:sz w:val="24"/>
                <w:szCs w:val="24"/>
                <w:lang w:val="lv-LV"/>
              </w:rPr>
              <w:t xml:space="preserve">privātās investīcijas </w:t>
            </w:r>
            <w:r w:rsidR="00074BBD" w:rsidRPr="00BE1FBF">
              <w:rPr>
                <w:sz w:val="24"/>
                <w:szCs w:val="24"/>
                <w:lang w:val="lv-LV"/>
              </w:rPr>
              <w:t>jaunos</w:t>
            </w:r>
            <w:r w:rsidR="00DF2F96" w:rsidRPr="00BE1FBF">
              <w:rPr>
                <w:sz w:val="24"/>
                <w:szCs w:val="24"/>
                <w:lang w:val="lv-LV"/>
              </w:rPr>
              <w:t xml:space="preserve"> iesācējuzņēmum</w:t>
            </w:r>
            <w:r w:rsidR="00074BBD" w:rsidRPr="00BE1FBF">
              <w:rPr>
                <w:sz w:val="24"/>
                <w:szCs w:val="24"/>
                <w:lang w:val="lv-LV"/>
              </w:rPr>
              <w:t>os</w:t>
            </w:r>
            <w:r w:rsidR="00DF2F96" w:rsidRPr="00BE1FBF">
              <w:rPr>
                <w:sz w:val="24"/>
                <w:szCs w:val="24"/>
                <w:lang w:val="lv-LV"/>
              </w:rPr>
              <w:t xml:space="preserve">, </w:t>
            </w:r>
            <w:r w:rsidR="00876177" w:rsidRPr="00BE1FBF">
              <w:rPr>
                <w:sz w:val="24"/>
                <w:szCs w:val="24"/>
                <w:lang w:val="lv-LV"/>
              </w:rPr>
              <w:t xml:space="preserve">ir </w:t>
            </w:r>
            <w:r w:rsidR="00074BBD" w:rsidRPr="00BE1FBF">
              <w:rPr>
                <w:sz w:val="24"/>
                <w:szCs w:val="24"/>
                <w:lang w:val="lv-LV"/>
              </w:rPr>
              <w:t>nepieciešam</w:t>
            </w:r>
            <w:r w:rsidR="00C87BA7" w:rsidRPr="00BE1FBF">
              <w:rPr>
                <w:sz w:val="24"/>
                <w:szCs w:val="24"/>
                <w:lang w:val="lv-LV"/>
              </w:rPr>
              <w:t>a valsts intervence</w:t>
            </w:r>
            <w:r w:rsidR="00841F5A" w:rsidRPr="00BE1FBF">
              <w:rPr>
                <w:sz w:val="24"/>
                <w:szCs w:val="24"/>
                <w:lang w:val="lv-LV"/>
              </w:rPr>
              <w:t>, veicinot apmācību un komunikācijas ar investoriem pasākumu norisi</w:t>
            </w:r>
            <w:r w:rsidR="000B23BA" w:rsidRPr="00BE1FBF">
              <w:rPr>
                <w:sz w:val="24"/>
                <w:szCs w:val="24"/>
                <w:lang w:val="lv-LV"/>
              </w:rPr>
              <w:t>.</w:t>
            </w:r>
          </w:p>
          <w:p w:rsidR="0048088B" w:rsidRDefault="005B2D96" w:rsidP="00A35E40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81B37">
              <w:rPr>
                <w:sz w:val="24"/>
                <w:szCs w:val="24"/>
                <w:lang w:val="lv-LV"/>
              </w:rPr>
              <w:t xml:space="preserve">Veicināt </w:t>
            </w:r>
            <w:r w:rsidR="00C87BA7" w:rsidRPr="00B81B37">
              <w:rPr>
                <w:sz w:val="24"/>
                <w:szCs w:val="24"/>
                <w:lang w:val="lv-LV"/>
              </w:rPr>
              <w:t>iesācējuzņēmumu izveid</w:t>
            </w:r>
            <w:r w:rsidRPr="00B81B37">
              <w:rPr>
                <w:sz w:val="24"/>
                <w:szCs w:val="24"/>
                <w:lang w:val="lv-LV"/>
              </w:rPr>
              <w:t>i</w:t>
            </w:r>
            <w:r w:rsidR="00664A60" w:rsidRPr="00B81B37">
              <w:rPr>
                <w:sz w:val="24"/>
                <w:szCs w:val="24"/>
                <w:lang w:val="lv-LV"/>
              </w:rPr>
              <w:t xml:space="preserve"> </w:t>
            </w:r>
            <w:r w:rsidR="00C87BA7" w:rsidRPr="00B81B37">
              <w:rPr>
                <w:sz w:val="24"/>
                <w:szCs w:val="24"/>
                <w:lang w:val="lv-LV"/>
              </w:rPr>
              <w:t xml:space="preserve">ir </w:t>
            </w:r>
            <w:r w:rsidR="00830297">
              <w:rPr>
                <w:sz w:val="24"/>
                <w:szCs w:val="24"/>
                <w:lang w:val="lv-LV"/>
              </w:rPr>
              <w:t xml:space="preserve">arī </w:t>
            </w:r>
            <w:r w:rsidR="00C87BA7" w:rsidRPr="00B81B37">
              <w:rPr>
                <w:sz w:val="24"/>
                <w:szCs w:val="24"/>
                <w:lang w:val="lv-LV"/>
              </w:rPr>
              <w:t xml:space="preserve">būtiski, lai sekmētu </w:t>
            </w:r>
            <w:r w:rsidR="00E3282D" w:rsidRPr="00B81B37">
              <w:rPr>
                <w:sz w:val="24"/>
                <w:szCs w:val="24"/>
                <w:lang w:val="lv-LV"/>
              </w:rPr>
              <w:t>pietiekamu darījumu plūsmu n</w:t>
            </w:r>
            <w:r w:rsidR="00C87BA7" w:rsidRPr="00B81B37">
              <w:rPr>
                <w:sz w:val="24"/>
                <w:szCs w:val="24"/>
                <w:lang w:val="lv-LV"/>
              </w:rPr>
              <w:t xml:space="preserve">ākamās kārtas </w:t>
            </w:r>
            <w:r w:rsidRPr="00B81B37">
              <w:rPr>
                <w:sz w:val="24"/>
                <w:szCs w:val="24"/>
                <w:lang w:val="lv-LV"/>
              </w:rPr>
              <w:t>investīcijām</w:t>
            </w:r>
            <w:r w:rsidR="00E3282D" w:rsidRPr="00B81B37">
              <w:rPr>
                <w:sz w:val="24"/>
                <w:szCs w:val="24"/>
                <w:lang w:val="lv-LV"/>
              </w:rPr>
              <w:t>,</w:t>
            </w:r>
            <w:r w:rsidR="00C87BA7" w:rsidRPr="00B81B37">
              <w:rPr>
                <w:sz w:val="24"/>
                <w:szCs w:val="24"/>
                <w:lang w:val="lv-LV"/>
              </w:rPr>
              <w:t xml:space="preserve"> tādejādi </w:t>
            </w:r>
            <w:r w:rsidRPr="00B81B37">
              <w:rPr>
                <w:sz w:val="24"/>
                <w:szCs w:val="24"/>
                <w:lang w:val="lv-LV"/>
              </w:rPr>
              <w:t xml:space="preserve">veicinot riska kapitāla investīciju pieaugumu un </w:t>
            </w:r>
            <w:r w:rsidR="00C87BA7" w:rsidRPr="00B81B37">
              <w:rPr>
                <w:sz w:val="24"/>
                <w:szCs w:val="24"/>
                <w:lang w:val="lv-LV"/>
              </w:rPr>
              <w:t>snie</w:t>
            </w:r>
            <w:r w:rsidR="00E3282D" w:rsidRPr="00B81B37">
              <w:rPr>
                <w:sz w:val="24"/>
                <w:szCs w:val="24"/>
                <w:lang w:val="lv-LV"/>
              </w:rPr>
              <w:t>dzot</w:t>
            </w:r>
            <w:r w:rsidR="00C87BA7" w:rsidRPr="00B81B37">
              <w:rPr>
                <w:sz w:val="24"/>
                <w:szCs w:val="24"/>
                <w:lang w:val="lv-LV"/>
              </w:rPr>
              <w:t xml:space="preserve"> ieguldījumu Latvijas riska kapitāla nozares attīstībā</w:t>
            </w:r>
            <w:r w:rsidRPr="00B81B37">
              <w:rPr>
                <w:sz w:val="24"/>
                <w:szCs w:val="24"/>
                <w:lang w:val="lv-LV"/>
              </w:rPr>
              <w:t>.</w:t>
            </w:r>
            <w:r w:rsidR="00C87BA7" w:rsidRPr="00B81B37">
              <w:rPr>
                <w:sz w:val="24"/>
                <w:szCs w:val="24"/>
                <w:lang w:val="lv-LV"/>
              </w:rPr>
              <w:t xml:space="preserve"> </w:t>
            </w:r>
          </w:p>
          <w:p w:rsidR="008960BB" w:rsidRPr="00BE1FBF" w:rsidRDefault="00876177" w:rsidP="008960BB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Ņemot vērā minēto,</w:t>
            </w:r>
            <w:r w:rsidRPr="00876177">
              <w:rPr>
                <w:sz w:val="24"/>
                <w:szCs w:val="24"/>
                <w:lang w:val="lv-LV"/>
              </w:rPr>
              <w:t xml:space="preserve"> </w:t>
            </w:r>
            <w:r w:rsidR="00830297">
              <w:rPr>
                <w:sz w:val="24"/>
                <w:szCs w:val="24"/>
                <w:lang w:val="lv-LV"/>
              </w:rPr>
              <w:t>noteikumu projekts paredz sniegt</w:t>
            </w:r>
            <w:r w:rsidRPr="00876177">
              <w:rPr>
                <w:sz w:val="24"/>
                <w:szCs w:val="24"/>
                <w:lang w:val="lv-LV"/>
              </w:rPr>
              <w:t xml:space="preserve"> iespējas saņemt finansiālu atbalstu grantu formā pasākumu, apmācību un </w:t>
            </w:r>
            <w:r w:rsidRPr="00BE1FBF">
              <w:rPr>
                <w:sz w:val="24"/>
                <w:szCs w:val="24"/>
                <w:lang w:val="lv-LV"/>
              </w:rPr>
              <w:t>semināru organizēšan</w:t>
            </w:r>
            <w:r w:rsidR="00830297" w:rsidRPr="00BE1FBF">
              <w:rPr>
                <w:sz w:val="24"/>
                <w:szCs w:val="24"/>
                <w:lang w:val="lv-LV"/>
              </w:rPr>
              <w:t>ai.</w:t>
            </w:r>
            <w:r w:rsidR="00D521BD" w:rsidRPr="00BE1FBF">
              <w:rPr>
                <w:lang w:val="lv-LV"/>
              </w:rPr>
              <w:t xml:space="preserve"> </w:t>
            </w:r>
            <w:r w:rsidR="001E11BB" w:rsidRPr="00BE1FBF">
              <w:rPr>
                <w:sz w:val="24"/>
                <w:szCs w:val="24"/>
                <w:lang w:val="lv-LV"/>
              </w:rPr>
              <w:t>Atbalsts grantu formā tiks sniegts</w:t>
            </w:r>
            <w:r w:rsidR="00D521BD" w:rsidRPr="00BE1FBF">
              <w:rPr>
                <w:sz w:val="24"/>
                <w:szCs w:val="24"/>
                <w:lang w:val="lv-LV"/>
              </w:rPr>
              <w:t xml:space="preserve"> pasākum</w:t>
            </w:r>
            <w:r w:rsidR="001E11BB" w:rsidRPr="00BE1FBF">
              <w:rPr>
                <w:sz w:val="24"/>
                <w:szCs w:val="24"/>
                <w:lang w:val="lv-LV"/>
              </w:rPr>
              <w:t>a</w:t>
            </w:r>
            <w:r w:rsidR="00D521BD" w:rsidRPr="00BE1FBF">
              <w:rPr>
                <w:sz w:val="24"/>
                <w:szCs w:val="24"/>
                <w:lang w:val="lv-LV"/>
              </w:rPr>
              <w:t xml:space="preserve"> </w:t>
            </w:r>
            <w:r w:rsidR="001E11BB" w:rsidRPr="00BE1FBF">
              <w:rPr>
                <w:sz w:val="24"/>
                <w:szCs w:val="24"/>
                <w:lang w:val="lv-LV"/>
              </w:rPr>
              <w:t>rīkotājam</w:t>
            </w:r>
            <w:r w:rsidR="00D521BD" w:rsidRPr="00BE1FBF">
              <w:rPr>
                <w:sz w:val="24"/>
                <w:szCs w:val="24"/>
                <w:lang w:val="lv-LV"/>
              </w:rPr>
              <w:t>, un pasākumi, apmācības un semināri būs pieejami jebkuram iesācējuzņēmumam bez ierobežojumiem.</w:t>
            </w:r>
            <w:r w:rsidR="001E11BB" w:rsidRPr="00BE1FBF">
              <w:rPr>
                <w:sz w:val="24"/>
                <w:szCs w:val="24"/>
                <w:lang w:val="lv-LV"/>
              </w:rPr>
              <w:t xml:space="preserve"> LGA nodrošinās</w:t>
            </w:r>
            <w:r w:rsidR="001E11BB" w:rsidRPr="00BE1FBF">
              <w:rPr>
                <w:lang w:val="lv-LV"/>
              </w:rPr>
              <w:t xml:space="preserve"> </w:t>
            </w:r>
            <w:r w:rsidR="001E11BB" w:rsidRPr="00BE1FBF">
              <w:rPr>
                <w:sz w:val="24"/>
                <w:szCs w:val="24"/>
                <w:lang w:val="lv-LV"/>
              </w:rPr>
              <w:t>atbalsta uzskaiti.</w:t>
            </w:r>
          </w:p>
          <w:p w:rsidR="00E20B5B" w:rsidRPr="00BE1FBF" w:rsidRDefault="001C45AB" w:rsidP="00B119E0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E1FBF">
              <w:rPr>
                <w:sz w:val="24"/>
                <w:szCs w:val="24"/>
                <w:lang w:val="lv-LV"/>
              </w:rPr>
              <w:t xml:space="preserve">Finansējuma </w:t>
            </w:r>
            <w:r w:rsidR="00EC2922" w:rsidRPr="00BE1FBF">
              <w:rPr>
                <w:sz w:val="24"/>
                <w:szCs w:val="24"/>
                <w:lang w:val="lv-LV"/>
              </w:rPr>
              <w:t xml:space="preserve">sniedzējs ir </w:t>
            </w:r>
            <w:r w:rsidR="00C901A4">
              <w:rPr>
                <w:sz w:val="24"/>
                <w:szCs w:val="24"/>
                <w:lang w:val="lv-LV"/>
              </w:rPr>
              <w:t>LGA</w:t>
            </w:r>
            <w:r w:rsidR="00EC2922" w:rsidRPr="00BE1FBF">
              <w:rPr>
                <w:sz w:val="24"/>
                <w:szCs w:val="24"/>
                <w:lang w:val="lv-LV"/>
              </w:rPr>
              <w:t xml:space="preserve">. Kopējais pieejamā finansējuma apmērs pasākumu, semināru un apmācību organizēšanai ir 500 000 </w:t>
            </w:r>
            <w:r w:rsidR="00347252" w:rsidRPr="00BE1FBF">
              <w:rPr>
                <w:i/>
                <w:sz w:val="24"/>
                <w:szCs w:val="24"/>
                <w:lang w:val="lv-LV"/>
              </w:rPr>
              <w:t>euro</w:t>
            </w:r>
            <w:r w:rsidR="00EC2922" w:rsidRPr="00BE1FBF">
              <w:rPr>
                <w:sz w:val="24"/>
                <w:szCs w:val="24"/>
                <w:lang w:val="lv-LV"/>
              </w:rPr>
              <w:t xml:space="preserve">, </w:t>
            </w:r>
            <w:r w:rsidR="00E20B5B" w:rsidRPr="00BE1FBF">
              <w:rPr>
                <w:sz w:val="24"/>
                <w:szCs w:val="24"/>
                <w:lang w:val="lv-LV"/>
              </w:rPr>
              <w:t>ko veido</w:t>
            </w:r>
            <w:r w:rsidR="00EC2922" w:rsidRPr="00BE1FBF">
              <w:rPr>
                <w:sz w:val="24"/>
                <w:szCs w:val="24"/>
                <w:lang w:val="lv-LV"/>
              </w:rPr>
              <w:t xml:space="preserve"> LGA </w:t>
            </w:r>
            <w:r w:rsidR="00E20B5B" w:rsidRPr="00BE1FBF">
              <w:rPr>
                <w:sz w:val="24"/>
                <w:szCs w:val="24"/>
                <w:lang w:val="lv-LV"/>
              </w:rPr>
              <w:t>līdzekļi (netiek izmantots struktūrfondu finansējums)</w:t>
            </w:r>
            <w:r w:rsidR="00EC2922" w:rsidRPr="00BE1FBF">
              <w:rPr>
                <w:sz w:val="24"/>
                <w:szCs w:val="24"/>
                <w:lang w:val="lv-LV"/>
              </w:rPr>
              <w:t xml:space="preserve">. </w:t>
            </w:r>
            <w:r w:rsidR="00E20B5B" w:rsidRPr="00BE1FBF">
              <w:rPr>
                <w:sz w:val="24"/>
                <w:szCs w:val="24"/>
                <w:lang w:val="lv-LV"/>
              </w:rPr>
              <w:t>Atbalsts būs pieejams</w:t>
            </w:r>
            <w:r w:rsidR="00EC2922" w:rsidRPr="00BE1FBF">
              <w:rPr>
                <w:sz w:val="24"/>
                <w:szCs w:val="24"/>
                <w:lang w:val="lv-LV"/>
              </w:rPr>
              <w:t xml:space="preserve"> Latvijas Republikā reģistrētam komersant</w:t>
            </w:r>
            <w:r w:rsidR="00E20B5B" w:rsidRPr="00BE1FBF">
              <w:rPr>
                <w:sz w:val="24"/>
                <w:szCs w:val="24"/>
                <w:lang w:val="lv-LV"/>
              </w:rPr>
              <w:t>am, biedrībai vai nodibinājumam.</w:t>
            </w:r>
          </w:p>
          <w:p w:rsidR="00E20B5B" w:rsidRPr="00BE1FBF" w:rsidRDefault="00EC2922" w:rsidP="00B119E0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E1FBF">
              <w:rPr>
                <w:sz w:val="24"/>
                <w:szCs w:val="24"/>
                <w:lang w:val="lv-LV"/>
              </w:rPr>
              <w:t>Atbalst</w:t>
            </w:r>
            <w:r w:rsidR="00E20B5B" w:rsidRPr="00BE1FBF">
              <w:rPr>
                <w:sz w:val="24"/>
                <w:szCs w:val="24"/>
                <w:lang w:val="lv-LV"/>
              </w:rPr>
              <w:t>u</w:t>
            </w:r>
            <w:r w:rsidRPr="00BE1FBF">
              <w:rPr>
                <w:sz w:val="24"/>
                <w:szCs w:val="24"/>
                <w:lang w:val="lv-LV"/>
              </w:rPr>
              <w:t xml:space="preserve"> </w:t>
            </w:r>
            <w:r w:rsidR="00B119E0" w:rsidRPr="00BE1FBF">
              <w:rPr>
                <w:sz w:val="24"/>
                <w:szCs w:val="24"/>
                <w:lang w:val="lv-LV"/>
              </w:rPr>
              <w:t>paredzēts sniegt</w:t>
            </w:r>
            <w:r w:rsidRPr="00BE1FBF">
              <w:rPr>
                <w:sz w:val="24"/>
                <w:szCs w:val="24"/>
                <w:lang w:val="lv-LV"/>
              </w:rPr>
              <w:t xml:space="preserve"> kā </w:t>
            </w:r>
            <w:r w:rsidRPr="00BE1FBF">
              <w:rPr>
                <w:i/>
                <w:sz w:val="24"/>
                <w:szCs w:val="24"/>
                <w:lang w:val="lv-LV"/>
              </w:rPr>
              <w:t>de minimis</w:t>
            </w:r>
            <w:r w:rsidRPr="00BE1FBF">
              <w:rPr>
                <w:sz w:val="24"/>
                <w:szCs w:val="24"/>
                <w:lang w:val="lv-LV"/>
              </w:rPr>
              <w:t xml:space="preserve"> atbalst</w:t>
            </w:r>
            <w:r w:rsidR="00B119E0" w:rsidRPr="00BE1FBF">
              <w:rPr>
                <w:sz w:val="24"/>
                <w:szCs w:val="24"/>
                <w:lang w:val="lv-LV"/>
              </w:rPr>
              <w:t>u</w:t>
            </w:r>
            <w:r w:rsidRPr="00BE1FBF">
              <w:rPr>
                <w:sz w:val="24"/>
                <w:szCs w:val="24"/>
                <w:lang w:val="lv-LV"/>
              </w:rPr>
              <w:t xml:space="preserve"> saskaņā ar Komisijas 2013.gada 18.decembra Regulu (EK) Nr.1407/2013 par </w:t>
            </w:r>
            <w:r w:rsidRPr="00BE1FBF">
              <w:rPr>
                <w:sz w:val="24"/>
                <w:szCs w:val="24"/>
                <w:lang w:val="lv-LV"/>
              </w:rPr>
              <w:lastRenderedPageBreak/>
              <w:t xml:space="preserve">Līguma par Eiropas Savienības darbību 107. un 108.panta piemērošanu </w:t>
            </w:r>
            <w:r w:rsidRPr="00BE1FBF">
              <w:rPr>
                <w:i/>
                <w:sz w:val="24"/>
                <w:szCs w:val="24"/>
                <w:lang w:val="lv-LV"/>
              </w:rPr>
              <w:t>de minimis</w:t>
            </w:r>
            <w:r w:rsidRPr="00BE1FBF">
              <w:rPr>
                <w:sz w:val="24"/>
                <w:szCs w:val="24"/>
                <w:lang w:val="lv-LV"/>
              </w:rPr>
              <w:t xml:space="preserve"> atbalstam (turpmāk – Komisijas Regula Nr.1407/2013</w:t>
            </w:r>
            <w:r w:rsidR="00C901A4">
              <w:rPr>
                <w:sz w:val="24"/>
                <w:szCs w:val="24"/>
                <w:lang w:val="lv-LV"/>
              </w:rPr>
              <w:t xml:space="preserve">). </w:t>
            </w:r>
            <w:r w:rsidR="001C45AB" w:rsidRPr="00BE1FBF">
              <w:rPr>
                <w:sz w:val="24"/>
                <w:szCs w:val="24"/>
                <w:lang w:val="lv-LV"/>
              </w:rPr>
              <w:t>L</w:t>
            </w:r>
            <w:r w:rsidR="00E20B5B" w:rsidRPr="00BE1FBF">
              <w:rPr>
                <w:sz w:val="24"/>
                <w:szCs w:val="24"/>
                <w:lang w:val="lv-LV"/>
              </w:rPr>
              <w:t xml:space="preserve">ai nodrošinātu mērķtiecīgu ierobežotā finansējuma izlietojumu, noteikumu projekts </w:t>
            </w:r>
            <w:r w:rsidR="00846804" w:rsidRPr="00BE1FBF">
              <w:rPr>
                <w:sz w:val="24"/>
                <w:szCs w:val="24"/>
                <w:lang w:val="lv-LV"/>
              </w:rPr>
              <w:t>paredz noteikt</w:t>
            </w:r>
            <w:r w:rsidR="00E20B5B" w:rsidRPr="00BE1FBF">
              <w:rPr>
                <w:sz w:val="24"/>
                <w:szCs w:val="24"/>
                <w:lang w:val="lv-LV"/>
              </w:rPr>
              <w:t xml:space="preserve"> </w:t>
            </w:r>
            <w:r w:rsidR="00157576" w:rsidRPr="00BE1FBF">
              <w:rPr>
                <w:sz w:val="24"/>
                <w:szCs w:val="24"/>
                <w:lang w:val="lv-LV"/>
              </w:rPr>
              <w:t xml:space="preserve">atbalsta pretendentu </w:t>
            </w:r>
            <w:r w:rsidR="001C45AB" w:rsidRPr="00BE1FBF">
              <w:rPr>
                <w:sz w:val="24"/>
                <w:szCs w:val="24"/>
                <w:lang w:val="lv-LV"/>
              </w:rPr>
              <w:t xml:space="preserve">neatbalstāmās nozares </w:t>
            </w:r>
            <w:r w:rsidR="00E20B5B" w:rsidRPr="00BE1FBF">
              <w:rPr>
                <w:sz w:val="24"/>
                <w:szCs w:val="24"/>
                <w:lang w:val="lv-LV"/>
              </w:rPr>
              <w:t xml:space="preserve">un </w:t>
            </w:r>
            <w:r w:rsidR="001C45AB" w:rsidRPr="00BE1FBF">
              <w:rPr>
                <w:sz w:val="24"/>
                <w:szCs w:val="24"/>
                <w:lang w:val="lv-LV"/>
              </w:rPr>
              <w:t>darbības</w:t>
            </w:r>
            <w:r w:rsidR="00C901A4">
              <w:rPr>
                <w:sz w:val="24"/>
                <w:szCs w:val="24"/>
                <w:lang w:val="lv-LV"/>
              </w:rPr>
              <w:t>,</w:t>
            </w:r>
            <w:r w:rsidR="001C45AB" w:rsidRPr="00BE1FBF">
              <w:rPr>
                <w:sz w:val="24"/>
                <w:szCs w:val="24"/>
                <w:lang w:val="lv-LV"/>
              </w:rPr>
              <w:t xml:space="preserve"> </w:t>
            </w:r>
            <w:r w:rsidR="00846804" w:rsidRPr="00BE1FBF">
              <w:rPr>
                <w:sz w:val="24"/>
                <w:szCs w:val="24"/>
                <w:lang w:val="lv-LV"/>
              </w:rPr>
              <w:t>kas</w:t>
            </w:r>
            <w:r w:rsidR="00E20B5B" w:rsidRPr="00BE1FBF">
              <w:rPr>
                <w:sz w:val="24"/>
                <w:szCs w:val="24"/>
                <w:lang w:val="lv-LV"/>
              </w:rPr>
              <w:t xml:space="preserve"> </w:t>
            </w:r>
            <w:r w:rsidR="00846804" w:rsidRPr="00BE1FBF">
              <w:rPr>
                <w:sz w:val="24"/>
                <w:szCs w:val="24"/>
                <w:lang w:val="lv-LV"/>
              </w:rPr>
              <w:t xml:space="preserve">paredz arī  Komisijas Regulā Nr.1407/2013 ietvertos ierobežojumus. </w:t>
            </w:r>
          </w:p>
          <w:p w:rsidR="00EC2922" w:rsidRPr="00BE1FBF" w:rsidRDefault="00EC2922" w:rsidP="001C45AB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E1FBF">
              <w:rPr>
                <w:sz w:val="24"/>
                <w:szCs w:val="24"/>
                <w:lang w:val="lv-LV"/>
              </w:rPr>
              <w:t xml:space="preserve">Lai nodrošinātu rezultatīvu ierobežotā finansējuma izmantošanu, noteikumu projekts paredz noteikt kritērijus, </w:t>
            </w:r>
            <w:r w:rsidR="00846804" w:rsidRPr="00BE1FBF">
              <w:rPr>
                <w:sz w:val="24"/>
                <w:szCs w:val="24"/>
                <w:lang w:val="lv-LV"/>
              </w:rPr>
              <w:t>atbilstoši kuriem tiks izvērtēt</w:t>
            </w:r>
            <w:r w:rsidRPr="00BE1FBF">
              <w:rPr>
                <w:sz w:val="24"/>
                <w:szCs w:val="24"/>
                <w:lang w:val="lv-LV"/>
              </w:rPr>
              <w:t>s</w:t>
            </w:r>
            <w:r w:rsidR="00846804" w:rsidRPr="00BE1FBF">
              <w:rPr>
                <w:sz w:val="24"/>
                <w:szCs w:val="24"/>
                <w:lang w:val="lv-LV"/>
              </w:rPr>
              <w:t xml:space="preserve"> un pieņemts lēmums par </w:t>
            </w:r>
            <w:r w:rsidR="001C45AB" w:rsidRPr="00BE1FBF">
              <w:rPr>
                <w:sz w:val="24"/>
                <w:szCs w:val="24"/>
                <w:lang w:val="lv-LV"/>
              </w:rPr>
              <w:t xml:space="preserve">finansējuma </w:t>
            </w:r>
            <w:r w:rsidR="00846804" w:rsidRPr="00BE1FBF">
              <w:rPr>
                <w:sz w:val="24"/>
                <w:szCs w:val="24"/>
                <w:lang w:val="lv-LV"/>
              </w:rPr>
              <w:t>piešķiršanu</w:t>
            </w:r>
            <w:r w:rsidR="00830297" w:rsidRPr="00BE1FBF">
              <w:rPr>
                <w:sz w:val="24"/>
                <w:szCs w:val="24"/>
                <w:lang w:val="lv-LV"/>
              </w:rPr>
              <w:t xml:space="preserve"> konkrētajam subjektam</w:t>
            </w:r>
            <w:r w:rsidR="001C45AB" w:rsidRPr="00BE1FBF">
              <w:rPr>
                <w:sz w:val="24"/>
                <w:szCs w:val="24"/>
                <w:lang w:val="lv-LV"/>
              </w:rPr>
              <w:t xml:space="preserve"> – pasākuma organizēšanai.</w:t>
            </w:r>
          </w:p>
          <w:p w:rsidR="00846804" w:rsidRPr="00BE1FBF" w:rsidRDefault="00EC2922" w:rsidP="00B119E0">
            <w:pPr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E1FBF">
              <w:rPr>
                <w:sz w:val="24"/>
                <w:szCs w:val="24"/>
                <w:lang w:val="lv-LV"/>
              </w:rPr>
              <w:t xml:space="preserve">Atbalsta pieteikumus LGA vērtēs individuāli pieteikumu iesniegšanas kārtībā, kamēr noteiktais pieejamais finansējums tiks apgūts pilnā apmērā. </w:t>
            </w:r>
          </w:p>
          <w:p w:rsidR="00747779" w:rsidRPr="00B81B37" w:rsidRDefault="00EC2922" w:rsidP="001C45AB">
            <w:pPr>
              <w:spacing w:after="240"/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E1FBF">
              <w:rPr>
                <w:sz w:val="24"/>
                <w:szCs w:val="24"/>
                <w:lang w:val="lv-LV"/>
              </w:rPr>
              <w:t xml:space="preserve">Informācija par plānoto atbalsta programmu, tās nepieciešamību un </w:t>
            </w:r>
            <w:r w:rsidR="00846804" w:rsidRPr="00BE1FBF">
              <w:rPr>
                <w:sz w:val="24"/>
                <w:szCs w:val="24"/>
                <w:lang w:val="lv-LV"/>
              </w:rPr>
              <w:t xml:space="preserve">iespējamiem </w:t>
            </w:r>
            <w:r w:rsidRPr="00BE1FBF">
              <w:rPr>
                <w:sz w:val="24"/>
                <w:szCs w:val="24"/>
                <w:lang w:val="lv-LV"/>
              </w:rPr>
              <w:t xml:space="preserve">atbalsta sniegšanas nosacījumiem tika sniegta </w:t>
            </w:r>
            <w:r w:rsidR="00846804" w:rsidRPr="00BE1FBF">
              <w:rPr>
                <w:sz w:val="24"/>
                <w:szCs w:val="24"/>
                <w:lang w:val="lv-LV"/>
              </w:rPr>
              <w:t>š.g. 8.maija Valsts atbalsta programmu koordinācijas konsultatīvajā padomē.</w:t>
            </w:r>
            <w:r w:rsidR="001C45AB" w:rsidRPr="00BE1FBF">
              <w:rPr>
                <w:sz w:val="24"/>
                <w:szCs w:val="24"/>
                <w:lang w:val="lv-LV"/>
              </w:rPr>
              <w:t xml:space="preserve"> Programma konceptuāli tika atbalstīta arī Finanšu ministrijas organizētajā ekspertu darba grupā ar Riska kapitāla asociācijas pārstāvjiem, kas notika Finanšu ministrijā 2014.gada 15.jūlijā.</w:t>
            </w:r>
          </w:p>
        </w:tc>
      </w:tr>
      <w:tr w:rsidR="003C77AE" w:rsidRPr="00B81B37" w:rsidTr="003C77AE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3C77AE">
            <w:pPr>
              <w:spacing w:after="240"/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81B37">
              <w:rPr>
                <w:sz w:val="24"/>
                <w:szCs w:val="24"/>
                <w:lang w:val="lv-LV"/>
              </w:rPr>
              <w:t xml:space="preserve">Ekonomikas ministrija </w:t>
            </w:r>
          </w:p>
        </w:tc>
      </w:tr>
      <w:tr w:rsidR="003C77AE" w:rsidRPr="00B81B37" w:rsidTr="003C77AE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3C77AE">
            <w:pPr>
              <w:spacing w:after="240"/>
              <w:ind w:firstLine="709"/>
              <w:jc w:val="both"/>
              <w:rPr>
                <w:sz w:val="24"/>
                <w:szCs w:val="24"/>
                <w:lang w:val="lv-LV"/>
              </w:rPr>
            </w:pPr>
            <w:r w:rsidRPr="00B81B37">
              <w:rPr>
                <w:sz w:val="24"/>
                <w:szCs w:val="24"/>
                <w:lang w:val="lv-LV"/>
              </w:rPr>
              <w:t>Nav</w:t>
            </w:r>
          </w:p>
        </w:tc>
      </w:tr>
    </w:tbl>
    <w:p w:rsidR="00C97F6E" w:rsidRPr="00B81B37" w:rsidRDefault="00C97F6E" w:rsidP="00F22471">
      <w:pPr>
        <w:jc w:val="both"/>
        <w:rPr>
          <w:rFonts w:eastAsia="Times New Roman"/>
          <w:sz w:val="24"/>
          <w:szCs w:val="24"/>
          <w:lang w:val="lv-LV" w:eastAsia="lv-LV"/>
        </w:rPr>
        <w:sectPr w:rsidR="00C97F6E" w:rsidRPr="00B81B37" w:rsidSect="00B014C2">
          <w:headerReference w:type="default" r:id="rId9"/>
          <w:footerReference w:type="default" r:id="rId10"/>
          <w:footerReference w:type="first" r:id="rId11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AB4C36" w:rsidRPr="00B81B37" w:rsidRDefault="00AB4C36" w:rsidP="00F22471">
      <w:pPr>
        <w:jc w:val="both"/>
        <w:rPr>
          <w:rFonts w:eastAsia="Times New Roman"/>
          <w:sz w:val="24"/>
          <w:szCs w:val="24"/>
          <w:lang w:val="lv-LV" w:eastAsia="lv-LV"/>
        </w:rPr>
      </w:pPr>
    </w:p>
    <w:p w:rsidR="00AB4C36" w:rsidRPr="00B81B37" w:rsidRDefault="00AB4C36" w:rsidP="00F22471">
      <w:pPr>
        <w:jc w:val="both"/>
        <w:rPr>
          <w:rFonts w:eastAsia="Times New Roman"/>
          <w:sz w:val="24"/>
          <w:szCs w:val="24"/>
          <w:lang w:val="lv-LV" w:eastAsia="lv-LV"/>
        </w:rPr>
        <w:sectPr w:rsidR="00AB4C36" w:rsidRPr="00B81B37" w:rsidSect="00C97F6E"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3C77AE" w:rsidRPr="00157576" w:rsidTr="003C77AE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3C77AE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b/>
                <w:sz w:val="24"/>
                <w:szCs w:val="24"/>
                <w:lang w:val="lv-LV"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C77AE" w:rsidRPr="00B81B37" w:rsidTr="001E3522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Sabiedrības mērķgrupas, kurs tiesiskais regulējums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DC30F7" w:rsidP="00DC30F7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Komersanti, biedrības nodibinājumi, </w:t>
            </w:r>
            <w:r w:rsidR="00EC2922"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fiziskas personas.</w:t>
            </w:r>
          </w:p>
        </w:tc>
      </w:tr>
      <w:tr w:rsidR="003C77AE" w:rsidRPr="00B81B37" w:rsidTr="001E3522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C77AE" w:rsidRPr="00B81B37" w:rsidRDefault="003C77AE" w:rsidP="001E3522">
            <w:pPr>
              <w:pStyle w:val="BodyText"/>
              <w:ind w:right="142" w:firstLine="720"/>
              <w:rPr>
                <w:sz w:val="24"/>
                <w:szCs w:val="24"/>
              </w:rPr>
            </w:pPr>
            <w:r w:rsidRPr="00B81B37">
              <w:rPr>
                <w:sz w:val="24"/>
                <w:szCs w:val="24"/>
              </w:rPr>
              <w:t>Projekts šo jomu neskar</w:t>
            </w:r>
          </w:p>
        </w:tc>
      </w:tr>
      <w:tr w:rsidR="003C77AE" w:rsidRPr="00B81B37" w:rsidTr="001E3522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pStyle w:val="BodyText"/>
              <w:ind w:right="142" w:firstLine="720"/>
              <w:rPr>
                <w:sz w:val="24"/>
                <w:szCs w:val="24"/>
              </w:rPr>
            </w:pPr>
            <w:r w:rsidRPr="00B81B37">
              <w:rPr>
                <w:sz w:val="24"/>
                <w:szCs w:val="24"/>
              </w:rPr>
              <w:t>Projekts šo jomu neskar</w:t>
            </w:r>
          </w:p>
        </w:tc>
      </w:tr>
      <w:tr w:rsidR="003C77AE" w:rsidRPr="00B81B37" w:rsidTr="001E3522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C77AE" w:rsidRPr="00B81B37" w:rsidRDefault="003C77AE" w:rsidP="001E3522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765A89" w:rsidRPr="00B81B37" w:rsidRDefault="00765A89" w:rsidP="00F22471">
      <w:pPr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157576" w:rsidTr="003C77AE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B81B37" w:rsidRDefault="003A7D89" w:rsidP="00F22471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b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:rsidR="003A7D89" w:rsidRPr="00B81B37" w:rsidTr="003C77A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B81B37" w:rsidRDefault="003A7D89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B81B37" w:rsidRDefault="003A7D89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13F4" w:rsidRPr="00B81B37" w:rsidRDefault="00E86AEA" w:rsidP="00BB13F4">
            <w:pPr>
              <w:pStyle w:val="BodyText"/>
              <w:ind w:right="142" w:firstLine="720"/>
              <w:rPr>
                <w:sz w:val="24"/>
                <w:szCs w:val="24"/>
              </w:rPr>
            </w:pPr>
            <w:r w:rsidRPr="00B81B37">
              <w:rPr>
                <w:sz w:val="24"/>
                <w:szCs w:val="24"/>
              </w:rPr>
              <w:t xml:space="preserve"> </w:t>
            </w:r>
            <w:r w:rsidR="00BB13F4" w:rsidRPr="00B81B37">
              <w:rPr>
                <w:sz w:val="24"/>
                <w:szCs w:val="24"/>
              </w:rPr>
              <w:t>Projekts šo jomu neskar.</w:t>
            </w:r>
          </w:p>
        </w:tc>
      </w:tr>
      <w:tr w:rsidR="003A7D89" w:rsidRPr="00B81B37" w:rsidTr="003C77A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B81B37" w:rsidRDefault="003A7D89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B81B37" w:rsidRDefault="003A7D89" w:rsidP="00F22471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B81B37" w:rsidRDefault="00EC2922" w:rsidP="003C77AE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Nav </w:t>
            </w:r>
            <w:r w:rsidR="003C77AE"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</w:tbl>
    <w:p w:rsidR="00765A89" w:rsidRPr="00B81B37" w:rsidRDefault="00765A89" w:rsidP="00C9779A">
      <w:pPr>
        <w:rPr>
          <w:sz w:val="24"/>
          <w:szCs w:val="24"/>
          <w:lang w:val="lv-LV"/>
        </w:rPr>
      </w:pPr>
    </w:p>
    <w:tbl>
      <w:tblPr>
        <w:tblW w:w="4803" w:type="pct"/>
        <w:tblCellSpacing w:w="15" w:type="dxa"/>
        <w:tblInd w:w="102" w:type="dxa"/>
        <w:tblBorders>
          <w:top w:val="thickThinLargeGap" w:sz="6" w:space="0" w:color="C0C0C0"/>
          <w:left w:val="thickThinLargeGap" w:sz="6" w:space="0" w:color="C0C0C0"/>
          <w:bottom w:val="thinThickLargeGap" w:sz="6" w:space="0" w:color="C0C0C0"/>
          <w:right w:val="thinThickLargeGap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1969"/>
        <w:gridCol w:w="813"/>
        <w:gridCol w:w="1247"/>
        <w:gridCol w:w="1493"/>
        <w:gridCol w:w="3061"/>
      </w:tblGrid>
      <w:tr w:rsidR="001E3522" w:rsidRPr="00B81B37" w:rsidTr="001E3522">
        <w:trPr>
          <w:tblCellSpacing w:w="15" w:type="dxa"/>
        </w:trPr>
        <w:tc>
          <w:tcPr>
            <w:tcW w:w="4966" w:type="pct"/>
            <w:gridSpan w:val="6"/>
            <w:shd w:val="clear" w:color="auto" w:fill="auto"/>
            <w:hideMark/>
          </w:tcPr>
          <w:p w:rsidR="001E3522" w:rsidRPr="00B81B37" w:rsidRDefault="001E3522" w:rsidP="001E352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1E3522" w:rsidRPr="00B81B37" w:rsidTr="00B929B4">
        <w:trPr>
          <w:tblCellSpacing w:w="15" w:type="dxa"/>
        </w:trPr>
        <w:tc>
          <w:tcPr>
            <w:tcW w:w="178" w:type="pct"/>
            <w:shd w:val="clear" w:color="auto" w:fill="auto"/>
            <w:hideMark/>
          </w:tcPr>
          <w:p w:rsidR="001E3522" w:rsidRPr="00B81B37" w:rsidRDefault="001E3522" w:rsidP="001E3522">
            <w:pPr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549" w:type="pct"/>
            <w:gridSpan w:val="2"/>
            <w:shd w:val="clear" w:color="auto" w:fill="auto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Saistības pret Eiropas </w:t>
            </w: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Savienību</w:t>
            </w:r>
          </w:p>
        </w:tc>
        <w:tc>
          <w:tcPr>
            <w:tcW w:w="3206" w:type="pct"/>
            <w:gridSpan w:val="3"/>
            <w:shd w:val="clear" w:color="auto" w:fill="auto"/>
            <w:hideMark/>
          </w:tcPr>
          <w:p w:rsidR="001E3522" w:rsidRPr="00B81B37" w:rsidRDefault="00C901A4" w:rsidP="00B929B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046CE3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 xml:space="preserve">Ar tiesību akta projektu tiek ieviesta </w:t>
            </w:r>
            <w:r w:rsidRPr="00046CE3">
              <w:rPr>
                <w:sz w:val="24"/>
                <w:szCs w:val="24"/>
              </w:rPr>
              <w:t xml:space="preserve">Komisijas 2013.gada </w:t>
            </w:r>
            <w:r w:rsidRPr="00046CE3">
              <w:rPr>
                <w:sz w:val="24"/>
                <w:szCs w:val="24"/>
              </w:rPr>
              <w:lastRenderedPageBreak/>
              <w:t xml:space="preserve">18.decembra Regula (EK) Nr. 1407/2013 par Līguma par Eiropas Savienības darbību 107. un 108.panta piemērošanu </w:t>
            </w:r>
            <w:r w:rsidRPr="00046CE3">
              <w:rPr>
                <w:i/>
                <w:sz w:val="24"/>
                <w:szCs w:val="24"/>
              </w:rPr>
              <w:t>de minimis</w:t>
            </w:r>
            <w:r w:rsidRPr="00046CE3">
              <w:rPr>
                <w:sz w:val="24"/>
                <w:szCs w:val="24"/>
              </w:rPr>
              <w:t xml:space="preserve"> atbalstam (Eiropas Savienības Oficiālais Vēstnesis, 2013.gada 24.decembris, Nr. L 352</w:t>
            </w:r>
          </w:p>
        </w:tc>
      </w:tr>
      <w:tr w:rsidR="001E3522" w:rsidRPr="00B81B37" w:rsidTr="00B929B4">
        <w:trPr>
          <w:tblCellSpacing w:w="15" w:type="dxa"/>
        </w:trPr>
        <w:tc>
          <w:tcPr>
            <w:tcW w:w="178" w:type="pct"/>
            <w:shd w:val="clear" w:color="auto" w:fill="auto"/>
            <w:hideMark/>
          </w:tcPr>
          <w:p w:rsidR="001E3522" w:rsidRPr="00B81B37" w:rsidRDefault="001E3522" w:rsidP="001E3522">
            <w:pPr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2.</w:t>
            </w:r>
          </w:p>
        </w:tc>
        <w:tc>
          <w:tcPr>
            <w:tcW w:w="1549" w:type="pct"/>
            <w:gridSpan w:val="2"/>
            <w:shd w:val="clear" w:color="auto" w:fill="auto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3206" w:type="pct"/>
            <w:gridSpan w:val="3"/>
            <w:shd w:val="clear" w:color="auto" w:fill="auto"/>
            <w:hideMark/>
          </w:tcPr>
          <w:p w:rsidR="001E3522" w:rsidRPr="00B81B37" w:rsidRDefault="001E3522" w:rsidP="001E3522">
            <w:pPr>
              <w:ind w:firstLine="341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1E3522" w:rsidRPr="00B81B37" w:rsidTr="00B929B4">
        <w:trPr>
          <w:tblCellSpacing w:w="15" w:type="dxa"/>
        </w:trPr>
        <w:tc>
          <w:tcPr>
            <w:tcW w:w="178" w:type="pct"/>
            <w:shd w:val="clear" w:color="auto" w:fill="auto"/>
            <w:hideMark/>
          </w:tcPr>
          <w:p w:rsidR="001E3522" w:rsidRPr="00B81B37" w:rsidRDefault="001E3522" w:rsidP="001E3522">
            <w:pPr>
              <w:jc w:val="center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549" w:type="pct"/>
            <w:gridSpan w:val="2"/>
            <w:shd w:val="clear" w:color="auto" w:fill="auto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206" w:type="pct"/>
            <w:gridSpan w:val="3"/>
            <w:shd w:val="clear" w:color="auto" w:fill="auto"/>
            <w:hideMark/>
          </w:tcPr>
          <w:p w:rsidR="001E3522" w:rsidRPr="00B81B37" w:rsidRDefault="001E3522" w:rsidP="001E3522">
            <w:pPr>
              <w:ind w:firstLine="341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1E3522" w:rsidRPr="00B81B37" w:rsidTr="001E3522">
        <w:trPr>
          <w:tblCellSpacing w:w="15" w:type="dxa"/>
        </w:trPr>
        <w:tc>
          <w:tcPr>
            <w:tcW w:w="4966" w:type="pct"/>
            <w:gridSpan w:val="6"/>
            <w:shd w:val="clear" w:color="auto" w:fill="auto"/>
            <w:vAlign w:val="center"/>
            <w:hideMark/>
          </w:tcPr>
          <w:p w:rsidR="001E3522" w:rsidRPr="00B81B37" w:rsidRDefault="001E3522" w:rsidP="001E352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1.tabula</w:t>
            </w:r>
            <w:r w:rsidRPr="00B81B37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</w:tc>
      </w:tr>
      <w:tr w:rsidR="001E3522" w:rsidRPr="00157576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Attiecīgā ES tiesību akta datums, numurs un nosaukums</w:t>
            </w:r>
          </w:p>
        </w:tc>
        <w:tc>
          <w:tcPr>
            <w:tcW w:w="3668" w:type="pct"/>
            <w:gridSpan w:val="4"/>
            <w:shd w:val="clear" w:color="auto" w:fill="auto"/>
            <w:vAlign w:val="center"/>
            <w:hideMark/>
          </w:tcPr>
          <w:p w:rsidR="001E3522" w:rsidRDefault="00DC30F7" w:rsidP="001E3522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 w:rsidRPr="00B81B37">
              <w:rPr>
                <w:sz w:val="24"/>
                <w:szCs w:val="24"/>
                <w:lang w:val="lv-LV"/>
              </w:rPr>
              <w:t>K</w:t>
            </w:r>
            <w:r w:rsidR="001E3522" w:rsidRPr="00B81B37">
              <w:rPr>
                <w:sz w:val="24"/>
                <w:szCs w:val="24"/>
                <w:lang w:val="lv-LV"/>
              </w:rPr>
              <w:t xml:space="preserve">omisijas 2013.gada 18.decembra Regula (EK) Nr.1407/2013 par Līguma 87. un 88.panta piemērošanu </w:t>
            </w:r>
            <w:r w:rsidR="001E3522" w:rsidRPr="00B81B37">
              <w:rPr>
                <w:i/>
                <w:sz w:val="24"/>
                <w:szCs w:val="24"/>
                <w:lang w:val="lv-LV"/>
              </w:rPr>
              <w:t>de minimis</w:t>
            </w:r>
            <w:r w:rsidR="001E3522" w:rsidRPr="00B81B37">
              <w:rPr>
                <w:sz w:val="24"/>
                <w:szCs w:val="24"/>
                <w:lang w:val="lv-LV"/>
              </w:rPr>
              <w:t xml:space="preserve"> atbalstam (Eiropas Savienības Oficiālais Vēstnesis, 2013.gada 24.decembris, Nr. L 352/1).</w:t>
            </w:r>
          </w:p>
          <w:p w:rsidR="00A40A34" w:rsidRPr="00B81B37" w:rsidRDefault="00A40A34" w:rsidP="00A40A34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E3522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1665" w:type="pct"/>
            <w:shd w:val="clear" w:color="auto" w:fill="auto"/>
            <w:vAlign w:val="center"/>
            <w:hideMark/>
          </w:tcPr>
          <w:p w:rsidR="001E3522" w:rsidRPr="00B81B37" w:rsidRDefault="001E3522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D</w:t>
            </w:r>
          </w:p>
        </w:tc>
      </w:tr>
      <w:tr w:rsidR="001E3522" w:rsidRPr="00157576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  <w:hideMark/>
          </w:tcPr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 xml:space="preserve">Attiecīgā ES tiesību akta panta numurs (uzskaitot katru tiesību akta </w:t>
            </w:r>
            <w:r w:rsidRPr="00B81B37">
              <w:br/>
              <w:t>vienību – pantu, daļu, punktu, apakšpunktu)</w:t>
            </w:r>
          </w:p>
        </w:tc>
        <w:tc>
          <w:tcPr>
            <w:tcW w:w="1138" w:type="pct"/>
            <w:gridSpan w:val="2"/>
            <w:shd w:val="clear" w:color="auto" w:fill="auto"/>
            <w:hideMark/>
          </w:tcPr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>Projekta vienība, kas pārņem vai ievieš katru šīs tabulas A ailē minēto ES tiesību akta vienību</w:t>
            </w:r>
          </w:p>
        </w:tc>
        <w:tc>
          <w:tcPr>
            <w:tcW w:w="832" w:type="pct"/>
            <w:shd w:val="clear" w:color="auto" w:fill="auto"/>
            <w:hideMark/>
          </w:tcPr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>Informācija par to, vai šīs tabulas A ailē minētās ES tiesību akta vienības tiek pārņemtas vai ieviestas pilnībā vai daļēji.</w:t>
            </w:r>
          </w:p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 xml:space="preserve">Norāda institūciju, kas ir atbildīga par šo saistību </w:t>
            </w:r>
            <w:r w:rsidRPr="00B81B37">
              <w:lastRenderedPageBreak/>
              <w:t>izpildi pilnībā</w:t>
            </w:r>
          </w:p>
        </w:tc>
        <w:tc>
          <w:tcPr>
            <w:tcW w:w="1665" w:type="pct"/>
            <w:shd w:val="clear" w:color="auto" w:fill="auto"/>
            <w:hideMark/>
          </w:tcPr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B81B37">
                <w:t>akts</w:t>
              </w:r>
            </w:smartTag>
            <w:r w:rsidRPr="00B81B37">
              <w:t>, – norāda pamatojumu un samērīgumu.</w:t>
            </w:r>
          </w:p>
          <w:p w:rsidR="001E3522" w:rsidRPr="00B81B37" w:rsidRDefault="001E3522" w:rsidP="001E3522">
            <w:pPr>
              <w:pStyle w:val="naiskr"/>
              <w:spacing w:before="0" w:after="0"/>
              <w:jc w:val="both"/>
            </w:pPr>
            <w:r w:rsidRPr="00B81B37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929B4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</w:tcPr>
          <w:p w:rsidR="00B929B4" w:rsidRPr="00BE1FBF" w:rsidRDefault="00B929B4" w:rsidP="002024E9">
            <w:pPr>
              <w:pStyle w:val="naiskr"/>
              <w:spacing w:before="0" w:after="0"/>
              <w:jc w:val="both"/>
              <w:rPr>
                <w:i/>
                <w:color w:val="000000" w:themeColor="text1"/>
              </w:rPr>
            </w:pPr>
            <w:r w:rsidRPr="00BE1FBF">
              <w:rPr>
                <w:i/>
                <w:color w:val="000000" w:themeColor="text1"/>
              </w:rPr>
              <w:lastRenderedPageBreak/>
              <w:t xml:space="preserve">Komisijas Regulas Nr.1407/2013 2.panta 2.punkts </w:t>
            </w:r>
            <w:r>
              <w:rPr>
                <w:i/>
                <w:color w:val="000000" w:themeColor="text1"/>
              </w:rPr>
              <w:t xml:space="preserve">un </w:t>
            </w:r>
            <w:r w:rsidRPr="00BE1FBF">
              <w:rPr>
                <w:i/>
                <w:color w:val="000000" w:themeColor="text1"/>
              </w:rPr>
              <w:t>Komisijas Regulas Nr.1407/2013 3.panta 2.punkts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B929B4" w:rsidRPr="00BE1FBF" w:rsidRDefault="00B929B4" w:rsidP="00804CD9">
            <w:pPr>
              <w:pStyle w:val="naiskr"/>
              <w:spacing w:before="0" w:after="0"/>
              <w:jc w:val="both"/>
            </w:pPr>
            <w:r w:rsidRPr="00BE1FBF">
              <w:t>Noteikumu projekta 25.punkts</w:t>
            </w:r>
          </w:p>
        </w:tc>
        <w:tc>
          <w:tcPr>
            <w:tcW w:w="832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Ieviests pilnībā</w:t>
            </w:r>
          </w:p>
        </w:tc>
        <w:tc>
          <w:tcPr>
            <w:tcW w:w="1665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Neparedz stingrākas prasības</w:t>
            </w:r>
          </w:p>
        </w:tc>
      </w:tr>
      <w:tr w:rsidR="00B929B4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</w:tcPr>
          <w:p w:rsidR="00B929B4" w:rsidRPr="00BE1FBF" w:rsidRDefault="00B929B4" w:rsidP="002024E9">
            <w:pPr>
              <w:pStyle w:val="naiskr"/>
              <w:jc w:val="both"/>
              <w:rPr>
                <w:i/>
                <w:color w:val="000000" w:themeColor="text1"/>
              </w:rPr>
            </w:pPr>
            <w:r w:rsidRPr="00BE1FBF">
              <w:rPr>
                <w:i/>
                <w:color w:val="000000" w:themeColor="text1"/>
              </w:rPr>
              <w:t>Komisijas Regulas Nr.1407/2013 1.panta 1.daļas a ,b, c, d, e apakšpunkts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B929B4" w:rsidRPr="00BE1FBF" w:rsidRDefault="00B929B4" w:rsidP="00804CD9">
            <w:pPr>
              <w:pStyle w:val="naiskr"/>
              <w:spacing w:before="0" w:after="0"/>
              <w:jc w:val="both"/>
            </w:pPr>
            <w:r w:rsidRPr="00BE1FBF">
              <w:t>Noteikumu projekta 7.1. punkts</w:t>
            </w:r>
          </w:p>
        </w:tc>
        <w:tc>
          <w:tcPr>
            <w:tcW w:w="832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Ieviests pilnībā</w:t>
            </w:r>
          </w:p>
        </w:tc>
        <w:tc>
          <w:tcPr>
            <w:tcW w:w="1665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Neparedz stingrākas prasības</w:t>
            </w:r>
          </w:p>
        </w:tc>
      </w:tr>
      <w:tr w:rsidR="00B929B4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</w:tcPr>
          <w:p w:rsidR="00B929B4" w:rsidRPr="00BE1FBF" w:rsidRDefault="00B929B4" w:rsidP="00966EDD">
            <w:pPr>
              <w:pStyle w:val="naiskr"/>
              <w:jc w:val="both"/>
              <w:rPr>
                <w:i/>
                <w:color w:val="000000" w:themeColor="text1"/>
              </w:rPr>
            </w:pPr>
            <w:r w:rsidRPr="00BE1FBF">
              <w:rPr>
                <w:i/>
                <w:color w:val="000000" w:themeColor="text1"/>
              </w:rPr>
              <w:t>Komisijas Regulas Nr.1407/2013 3.panta 2.punkts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B929B4" w:rsidRPr="00BE1FBF" w:rsidRDefault="00B929B4" w:rsidP="00804CD9">
            <w:pPr>
              <w:pStyle w:val="naiskr"/>
              <w:spacing w:before="0" w:after="0"/>
              <w:jc w:val="both"/>
            </w:pPr>
            <w:r w:rsidRPr="00BE1FBF">
              <w:t>Noteikumu projekts 2</w:t>
            </w:r>
            <w:r>
              <w:t>3</w:t>
            </w:r>
            <w:r w:rsidRPr="00BE1FBF">
              <w:t>.punkts</w:t>
            </w:r>
          </w:p>
        </w:tc>
        <w:tc>
          <w:tcPr>
            <w:tcW w:w="832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Ieviests pilnībā</w:t>
            </w:r>
          </w:p>
        </w:tc>
        <w:tc>
          <w:tcPr>
            <w:tcW w:w="1665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Neparedz stingrākas prasības</w:t>
            </w:r>
          </w:p>
        </w:tc>
      </w:tr>
      <w:tr w:rsidR="00B929B4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</w:tcPr>
          <w:p w:rsidR="00B929B4" w:rsidRPr="00BE1FBF" w:rsidRDefault="00B929B4" w:rsidP="002024E9">
            <w:pPr>
              <w:pStyle w:val="naiskr"/>
              <w:jc w:val="both"/>
              <w:rPr>
                <w:i/>
                <w:color w:val="000000" w:themeColor="text1"/>
              </w:rPr>
            </w:pPr>
            <w:r w:rsidRPr="00BE1FBF">
              <w:rPr>
                <w:i/>
                <w:color w:val="000000" w:themeColor="text1"/>
              </w:rPr>
              <w:t>Komisijas Regulas Nr.1407/2013 6.panta 4.punkts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B929B4" w:rsidRPr="00BE1FBF" w:rsidRDefault="00B929B4" w:rsidP="00830297">
            <w:pPr>
              <w:pStyle w:val="naiskr"/>
              <w:spacing w:before="0" w:after="0"/>
              <w:jc w:val="both"/>
            </w:pPr>
            <w:r w:rsidRPr="00BE1FBF">
              <w:t>Noteikumu projekta 27.punkts</w:t>
            </w:r>
          </w:p>
        </w:tc>
        <w:tc>
          <w:tcPr>
            <w:tcW w:w="832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Ieviests pilnībā</w:t>
            </w:r>
          </w:p>
        </w:tc>
        <w:tc>
          <w:tcPr>
            <w:tcW w:w="1665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Neparedz stingrākas prasības</w:t>
            </w:r>
          </w:p>
        </w:tc>
      </w:tr>
      <w:tr w:rsidR="00B929B4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</w:tcPr>
          <w:p w:rsidR="00B929B4" w:rsidRPr="00BE1FBF" w:rsidRDefault="00B929B4" w:rsidP="002024E9">
            <w:pPr>
              <w:pStyle w:val="naiskr"/>
              <w:jc w:val="both"/>
              <w:rPr>
                <w:i/>
                <w:color w:val="000000" w:themeColor="text1"/>
              </w:rPr>
            </w:pPr>
            <w:r w:rsidRPr="00BE1FBF">
              <w:rPr>
                <w:i/>
                <w:color w:val="000000" w:themeColor="text1"/>
              </w:rPr>
              <w:t>Komisijas Regulas Nr.1407/2013 6.panta 4.punkts un 5.punkts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B929B4" w:rsidRPr="00BE1FBF" w:rsidRDefault="00B929B4" w:rsidP="00830297">
            <w:pPr>
              <w:pStyle w:val="naiskr"/>
              <w:spacing w:before="0" w:after="0"/>
              <w:jc w:val="both"/>
            </w:pPr>
            <w:r w:rsidRPr="00BE1FBF">
              <w:t>Noteikumu projekta 28.punkts</w:t>
            </w:r>
          </w:p>
        </w:tc>
        <w:tc>
          <w:tcPr>
            <w:tcW w:w="832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Ieviests pilnībā</w:t>
            </w:r>
          </w:p>
        </w:tc>
        <w:tc>
          <w:tcPr>
            <w:tcW w:w="1665" w:type="pct"/>
            <w:shd w:val="clear" w:color="auto" w:fill="auto"/>
          </w:tcPr>
          <w:p w:rsidR="00B929B4" w:rsidRPr="00B81B37" w:rsidRDefault="00B929B4" w:rsidP="001E3522">
            <w:pPr>
              <w:pStyle w:val="naiskr"/>
              <w:spacing w:before="0" w:after="0"/>
              <w:jc w:val="both"/>
            </w:pPr>
            <w:r w:rsidRPr="00B81B37">
              <w:t>Neparedz stingrākas prasības</w:t>
            </w:r>
          </w:p>
        </w:tc>
      </w:tr>
      <w:tr w:rsidR="00D4717B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D4717B" w:rsidRPr="00B81B37" w:rsidRDefault="00D4717B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Kā ir izmantota ES tiesību aktā paredzētā rīcības brīvība dalībvalstij pārņemt vai ieviest noteiktas ES tiesību akta normas.</w:t>
            </w:r>
          </w:p>
        </w:tc>
        <w:tc>
          <w:tcPr>
            <w:tcW w:w="3668" w:type="pct"/>
            <w:gridSpan w:val="4"/>
            <w:shd w:val="clear" w:color="auto" w:fill="auto"/>
            <w:hideMark/>
          </w:tcPr>
          <w:p w:rsidR="00D4717B" w:rsidRPr="00B81B37" w:rsidRDefault="00D4717B" w:rsidP="001E3522">
            <w:pPr>
              <w:autoSpaceDE w:val="0"/>
              <w:autoSpaceDN w:val="0"/>
              <w:adjustRightInd w:val="0"/>
              <w:jc w:val="both"/>
              <w:rPr>
                <w:rFonts w:ascii="EUAlbertina" w:hAnsi="EUAlbertina" w:cs="EUAlbertina"/>
                <w:sz w:val="24"/>
                <w:szCs w:val="24"/>
                <w:lang w:val="lv-LV"/>
              </w:rPr>
            </w:pP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Lai sniegtu </w:t>
            </w:r>
            <w:r w:rsidRPr="00B81B37">
              <w:rPr>
                <w:rFonts w:eastAsia="Times New Roman"/>
                <w:i/>
                <w:iCs/>
                <w:sz w:val="24"/>
                <w:szCs w:val="24"/>
                <w:lang w:val="lv-LV" w:eastAsia="lv-LV"/>
              </w:rPr>
              <w:t>de minimis</w:t>
            </w: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valsts atbalstu,  dalībvalstij ir obligāti jāpiemēro Komisijas Regula Nr.1407/2013.</w:t>
            </w:r>
          </w:p>
          <w:p w:rsidR="00D4717B" w:rsidRPr="00B81B37" w:rsidRDefault="00D4717B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D4717B" w:rsidRPr="00157576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D4717B" w:rsidRPr="00B81B37" w:rsidRDefault="00D4717B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68" w:type="pct"/>
            <w:gridSpan w:val="4"/>
            <w:shd w:val="clear" w:color="auto" w:fill="auto"/>
            <w:hideMark/>
          </w:tcPr>
          <w:p w:rsidR="00D4717B" w:rsidRPr="00B81B37" w:rsidRDefault="00D4717B" w:rsidP="001E3522">
            <w:pPr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Atbilstoši Komisijas Regula</w:t>
            </w:r>
            <w:r w:rsidR="00DC30F7"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i Nr.1407/2013</w:t>
            </w: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 </w:t>
            </w:r>
            <w:r w:rsidR="00DC30F7"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nav nepieciešams sniegt kopsavilkumu par noteikumu projektu EK.</w:t>
            </w:r>
          </w:p>
          <w:p w:rsidR="00D4717B" w:rsidRPr="00B81B37" w:rsidRDefault="00D4717B" w:rsidP="001E3522">
            <w:pPr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</w:p>
          <w:p w:rsidR="00D4717B" w:rsidRPr="00B81B37" w:rsidRDefault="00D4717B" w:rsidP="001E3522">
            <w:pPr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</w:p>
          <w:p w:rsidR="00D4717B" w:rsidRPr="00B81B37" w:rsidRDefault="00D4717B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D4717B" w:rsidRPr="00B81B37" w:rsidTr="00B929B4">
        <w:trPr>
          <w:tblCellSpacing w:w="15" w:type="dxa"/>
        </w:trPr>
        <w:tc>
          <w:tcPr>
            <w:tcW w:w="1281" w:type="pct"/>
            <w:gridSpan w:val="2"/>
            <w:shd w:val="clear" w:color="auto" w:fill="auto"/>
            <w:hideMark/>
          </w:tcPr>
          <w:p w:rsidR="00D4717B" w:rsidRPr="00B81B37" w:rsidRDefault="00D4717B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668" w:type="pct"/>
            <w:gridSpan w:val="4"/>
            <w:shd w:val="clear" w:color="auto" w:fill="auto"/>
            <w:hideMark/>
          </w:tcPr>
          <w:p w:rsidR="00D4717B" w:rsidRPr="00B81B37" w:rsidRDefault="00D4717B" w:rsidP="001E3522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1E3522" w:rsidRPr="00B81B37" w:rsidRDefault="001E3522" w:rsidP="00C9779A">
      <w:pPr>
        <w:rPr>
          <w:sz w:val="24"/>
          <w:szCs w:val="24"/>
          <w:lang w:val="lv-LV"/>
        </w:rPr>
      </w:pPr>
    </w:p>
    <w:tbl>
      <w:tblPr>
        <w:tblW w:w="8931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230"/>
        <w:gridCol w:w="4925"/>
      </w:tblGrid>
      <w:tr w:rsidR="006C7215" w:rsidRPr="00157576" w:rsidTr="001E3522">
        <w:tc>
          <w:tcPr>
            <w:tcW w:w="893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jc w:val="center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81B37">
              <w:rPr>
                <w:b/>
                <w:bCs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6C7215" w:rsidRPr="00157576" w:rsidTr="001E3522"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1.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sz w:val="24"/>
                <w:szCs w:val="24"/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ind w:left="124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Sabiedrības līdzdalība noteikumu projekta izstrādē nav nepieciešama.</w:t>
            </w:r>
          </w:p>
        </w:tc>
      </w:tr>
      <w:tr w:rsidR="006C7215" w:rsidRPr="00157576" w:rsidTr="001E3522"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sz w:val="24"/>
                <w:szCs w:val="24"/>
                <w:lang w:val="lv-LV"/>
              </w:rPr>
              <w:t>Sabiedrības līdzdalība projekta izstrādē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ind w:left="124"/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Sabiedrības līdzdalība noteikumu projekta izstrādē nav nepieciešama.</w:t>
            </w:r>
          </w:p>
          <w:p w:rsidR="006C7215" w:rsidRPr="00B81B37" w:rsidRDefault="006C7215" w:rsidP="006C7215">
            <w:pPr>
              <w:ind w:left="124"/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</w:p>
        </w:tc>
      </w:tr>
      <w:tr w:rsidR="006C7215" w:rsidRPr="00157576" w:rsidTr="001E3522">
        <w:trPr>
          <w:trHeight w:val="930"/>
        </w:trPr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sz w:val="24"/>
                <w:szCs w:val="24"/>
                <w:lang w:val="lv-LV"/>
              </w:rPr>
              <w:t>Sabiedrības līdzdalības rezultāti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ind w:left="124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Sabiedrības līdzdalība noteikumu projekta izstrādē nav nepieciešama.</w:t>
            </w:r>
          </w:p>
        </w:tc>
      </w:tr>
      <w:tr w:rsidR="006C7215" w:rsidRPr="00B81B37" w:rsidTr="001E3522">
        <w:trPr>
          <w:trHeight w:val="391"/>
        </w:trPr>
        <w:tc>
          <w:tcPr>
            <w:tcW w:w="7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32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49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ind w:firstLine="284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6C7215" w:rsidRPr="00B81B37" w:rsidRDefault="006C7215" w:rsidP="006C7215">
      <w:pPr>
        <w:rPr>
          <w:sz w:val="24"/>
          <w:szCs w:val="24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6C7215" w:rsidRPr="00B81B37" w:rsidTr="001E3522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C7215" w:rsidRPr="00B81B37" w:rsidRDefault="006C7215" w:rsidP="006C7215">
            <w:pPr>
              <w:ind w:firstLine="720"/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b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6C7215" w:rsidRPr="00B81B37" w:rsidTr="001E3522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C7215" w:rsidRPr="00B81B37" w:rsidRDefault="006C7215" w:rsidP="006C7215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375943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Ministru kabineta </w:t>
            </w:r>
            <w:r w:rsidRPr="00B81B37">
              <w:rPr>
                <w:sz w:val="24"/>
                <w:szCs w:val="24"/>
                <w:lang w:val="lv-LV"/>
              </w:rPr>
              <w:t>noteikumu</w:t>
            </w: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 projekta izpildi nodrošinās EM un LGA.</w:t>
            </w:r>
          </w:p>
          <w:p w:rsidR="00375943" w:rsidRPr="00B81B37" w:rsidRDefault="00375943" w:rsidP="00375943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6C7215" w:rsidRPr="00157576" w:rsidTr="001E3522">
        <w:trPr>
          <w:trHeight w:val="374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C7215" w:rsidRPr="00B81B37" w:rsidRDefault="006C7215" w:rsidP="006C7215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Ministru kabineta </w:t>
            </w:r>
            <w:r w:rsidRPr="00B81B37">
              <w:rPr>
                <w:sz w:val="24"/>
                <w:szCs w:val="24"/>
                <w:lang w:val="lv-LV"/>
              </w:rPr>
              <w:t>noteikumu</w:t>
            </w: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 xml:space="preserve"> projekta izpilde tiks nodrošināta EM un LGA esošo funkciju ietvaros.</w:t>
            </w:r>
          </w:p>
          <w:p w:rsidR="006C7215" w:rsidRPr="00B81B37" w:rsidRDefault="006C7215" w:rsidP="006C7215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6C7215" w:rsidRPr="00B81B37" w:rsidTr="001E3522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C7215" w:rsidRPr="00B81B37" w:rsidRDefault="006C7215" w:rsidP="006C7215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C7215" w:rsidRPr="00B81B37" w:rsidRDefault="006C7215" w:rsidP="006C7215">
            <w:pPr>
              <w:ind w:firstLine="720"/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B81B37">
              <w:rPr>
                <w:rFonts w:eastAsia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710120" w:rsidRPr="00B81B37" w:rsidRDefault="00710120" w:rsidP="006C7215">
      <w:pPr>
        <w:tabs>
          <w:tab w:val="left" w:pos="7655"/>
        </w:tabs>
        <w:jc w:val="both"/>
        <w:rPr>
          <w:sz w:val="24"/>
          <w:szCs w:val="24"/>
          <w:lang w:val="lv-LV"/>
        </w:rPr>
      </w:pPr>
    </w:p>
    <w:p w:rsidR="006C7215" w:rsidRPr="00B81B37" w:rsidRDefault="006C7215" w:rsidP="006C7215">
      <w:pPr>
        <w:tabs>
          <w:tab w:val="left" w:pos="7655"/>
        </w:tabs>
        <w:jc w:val="both"/>
        <w:rPr>
          <w:sz w:val="24"/>
          <w:szCs w:val="24"/>
          <w:lang w:val="lv-LV"/>
        </w:rPr>
      </w:pPr>
      <w:r w:rsidRPr="00B81B37">
        <w:rPr>
          <w:sz w:val="24"/>
          <w:szCs w:val="24"/>
          <w:lang w:val="lv-LV"/>
        </w:rPr>
        <w:t>Anotācijas III</w:t>
      </w:r>
      <w:r w:rsidRPr="00B81B37">
        <w:rPr>
          <w:rFonts w:ascii="Times" w:hAnsi="Times"/>
          <w:sz w:val="24"/>
          <w:szCs w:val="24"/>
          <w:lang w:val="lv-LV"/>
        </w:rPr>
        <w:t xml:space="preserve"> </w:t>
      </w:r>
      <w:r w:rsidRPr="00B81B37">
        <w:rPr>
          <w:sz w:val="24"/>
          <w:szCs w:val="24"/>
          <w:lang w:val="lv-LV"/>
        </w:rPr>
        <w:t xml:space="preserve">sadaļa – noteikumu </w:t>
      </w:r>
      <w:r w:rsidRPr="00B81B37">
        <w:rPr>
          <w:iCs/>
          <w:sz w:val="24"/>
          <w:szCs w:val="24"/>
          <w:lang w:val="lv-LV"/>
        </w:rPr>
        <w:t>projekts šo jomu neskar</w:t>
      </w:r>
      <w:r w:rsidRPr="00B81B37">
        <w:rPr>
          <w:sz w:val="24"/>
          <w:szCs w:val="24"/>
          <w:lang w:val="lv-LV"/>
        </w:rPr>
        <w:t>.</w:t>
      </w:r>
    </w:p>
    <w:p w:rsidR="007074EF" w:rsidRPr="00B81B37" w:rsidRDefault="007074EF" w:rsidP="00A43665">
      <w:pPr>
        <w:tabs>
          <w:tab w:val="right" w:pos="9072"/>
        </w:tabs>
        <w:rPr>
          <w:sz w:val="24"/>
          <w:szCs w:val="24"/>
          <w:lang w:val="lv-LV"/>
        </w:rPr>
      </w:pPr>
    </w:p>
    <w:p w:rsidR="00E05D8F" w:rsidRPr="00B81B37" w:rsidRDefault="00E05D8F" w:rsidP="00A43665">
      <w:pPr>
        <w:tabs>
          <w:tab w:val="right" w:pos="9072"/>
        </w:tabs>
        <w:rPr>
          <w:sz w:val="24"/>
          <w:szCs w:val="24"/>
          <w:lang w:val="lv-LV"/>
        </w:rPr>
      </w:pPr>
    </w:p>
    <w:p w:rsidR="00E05D8F" w:rsidRPr="00B81B37" w:rsidRDefault="00E05D8F" w:rsidP="00A43665">
      <w:pPr>
        <w:tabs>
          <w:tab w:val="right" w:pos="9072"/>
        </w:tabs>
        <w:rPr>
          <w:sz w:val="24"/>
          <w:szCs w:val="24"/>
          <w:lang w:val="lv-LV"/>
        </w:rPr>
      </w:pPr>
    </w:p>
    <w:p w:rsidR="00E05D8F" w:rsidRDefault="00E05D8F" w:rsidP="00A43665">
      <w:pPr>
        <w:tabs>
          <w:tab w:val="right" w:pos="9072"/>
        </w:tabs>
        <w:rPr>
          <w:sz w:val="24"/>
          <w:szCs w:val="24"/>
          <w:lang w:val="lv-LV"/>
        </w:rPr>
      </w:pPr>
    </w:p>
    <w:p w:rsidR="00830297" w:rsidRPr="00B81B37" w:rsidRDefault="00830297" w:rsidP="00A43665">
      <w:pPr>
        <w:tabs>
          <w:tab w:val="right" w:pos="9072"/>
        </w:tabs>
        <w:rPr>
          <w:sz w:val="24"/>
          <w:szCs w:val="24"/>
          <w:lang w:val="lv-LV"/>
        </w:rPr>
      </w:pPr>
    </w:p>
    <w:p w:rsidR="00745E0F" w:rsidRPr="00B81B37" w:rsidRDefault="00745E0F" w:rsidP="00745E0F">
      <w:pPr>
        <w:tabs>
          <w:tab w:val="right" w:pos="9072"/>
        </w:tabs>
        <w:rPr>
          <w:sz w:val="24"/>
          <w:szCs w:val="24"/>
          <w:lang w:val="lv-LV"/>
        </w:rPr>
      </w:pPr>
      <w:r w:rsidRPr="00B81B37">
        <w:rPr>
          <w:sz w:val="24"/>
          <w:szCs w:val="24"/>
          <w:lang w:val="lv-LV"/>
        </w:rPr>
        <w:t xml:space="preserve">Ekonomikas ministrs </w:t>
      </w:r>
      <w:r w:rsidRPr="00B81B37">
        <w:rPr>
          <w:sz w:val="24"/>
          <w:szCs w:val="24"/>
          <w:lang w:val="lv-LV"/>
        </w:rPr>
        <w:tab/>
      </w:r>
      <w:r w:rsidR="006C7215" w:rsidRPr="00B81B37">
        <w:rPr>
          <w:sz w:val="24"/>
          <w:szCs w:val="24"/>
          <w:lang w:val="lv-LV"/>
        </w:rPr>
        <w:t>V.Dombrovskis</w:t>
      </w:r>
    </w:p>
    <w:p w:rsidR="00522B62" w:rsidRPr="00B81B37" w:rsidRDefault="00A43665" w:rsidP="00A43665">
      <w:pPr>
        <w:tabs>
          <w:tab w:val="right" w:pos="9072"/>
        </w:tabs>
        <w:rPr>
          <w:sz w:val="24"/>
          <w:szCs w:val="24"/>
          <w:lang w:val="lv-LV"/>
        </w:rPr>
      </w:pPr>
      <w:r w:rsidRPr="00B81B37">
        <w:rPr>
          <w:sz w:val="24"/>
          <w:szCs w:val="24"/>
          <w:lang w:val="lv-LV"/>
        </w:rPr>
        <w:tab/>
      </w:r>
      <w:r w:rsidRPr="00B81B37">
        <w:rPr>
          <w:sz w:val="24"/>
          <w:szCs w:val="24"/>
          <w:lang w:val="lv-LV"/>
        </w:rPr>
        <w:tab/>
      </w:r>
      <w:r w:rsidRPr="00B81B37">
        <w:rPr>
          <w:sz w:val="24"/>
          <w:szCs w:val="24"/>
          <w:lang w:val="lv-LV"/>
        </w:rPr>
        <w:tab/>
      </w:r>
      <w:r w:rsidRPr="00B81B37">
        <w:rPr>
          <w:sz w:val="24"/>
          <w:szCs w:val="24"/>
          <w:lang w:val="lv-LV"/>
        </w:rPr>
        <w:tab/>
      </w:r>
      <w:r w:rsidRPr="00B81B37">
        <w:rPr>
          <w:sz w:val="24"/>
          <w:szCs w:val="24"/>
          <w:lang w:val="lv-LV"/>
        </w:rPr>
        <w:tab/>
      </w:r>
    </w:p>
    <w:p w:rsidR="00BE6E9C" w:rsidRPr="00B81B37" w:rsidRDefault="00BE6E9C" w:rsidP="008E5F7D">
      <w:pPr>
        <w:tabs>
          <w:tab w:val="right" w:pos="9072"/>
        </w:tabs>
        <w:rPr>
          <w:sz w:val="24"/>
          <w:szCs w:val="24"/>
          <w:lang w:val="lv-LV"/>
        </w:rPr>
      </w:pPr>
    </w:p>
    <w:p w:rsidR="007074EF" w:rsidRPr="00B81B37" w:rsidRDefault="00A42E43" w:rsidP="00A40A34">
      <w:pPr>
        <w:tabs>
          <w:tab w:val="right" w:pos="9072"/>
        </w:tabs>
        <w:rPr>
          <w:sz w:val="24"/>
          <w:szCs w:val="24"/>
          <w:lang w:val="lv-LV"/>
        </w:rPr>
      </w:pPr>
      <w:r w:rsidRPr="00B81B37">
        <w:rPr>
          <w:sz w:val="24"/>
          <w:szCs w:val="24"/>
          <w:lang w:val="lv-LV"/>
        </w:rPr>
        <w:t>Vīza: V</w:t>
      </w:r>
      <w:r w:rsidR="009519D4" w:rsidRPr="00B81B37">
        <w:rPr>
          <w:sz w:val="24"/>
          <w:szCs w:val="24"/>
          <w:lang w:val="lv-LV"/>
        </w:rPr>
        <w:t xml:space="preserve">alsts </w:t>
      </w:r>
      <w:r w:rsidR="00A40A34">
        <w:rPr>
          <w:sz w:val="24"/>
          <w:szCs w:val="24"/>
          <w:lang w:val="lv-LV"/>
        </w:rPr>
        <w:t>sekretārs</w:t>
      </w:r>
      <w:r w:rsidR="00861930" w:rsidRPr="00B81B37">
        <w:rPr>
          <w:sz w:val="24"/>
          <w:szCs w:val="24"/>
          <w:lang w:val="lv-LV"/>
        </w:rPr>
        <w:tab/>
      </w:r>
      <w:r w:rsidR="00A40A34">
        <w:rPr>
          <w:sz w:val="24"/>
          <w:szCs w:val="24"/>
          <w:lang w:val="lv-LV"/>
        </w:rPr>
        <w:t>M.Lazdovskis</w:t>
      </w:r>
    </w:p>
    <w:p w:rsidR="007074EF" w:rsidRPr="00B81B37" w:rsidRDefault="007074EF" w:rsidP="00F22471">
      <w:pPr>
        <w:jc w:val="both"/>
        <w:rPr>
          <w:color w:val="000000"/>
          <w:sz w:val="24"/>
          <w:szCs w:val="24"/>
          <w:lang w:val="lv-LV"/>
        </w:rPr>
      </w:pPr>
    </w:p>
    <w:p w:rsidR="00BE6E9C" w:rsidRDefault="00BE6E9C" w:rsidP="00F22471">
      <w:pPr>
        <w:jc w:val="both"/>
        <w:rPr>
          <w:color w:val="000000"/>
          <w:sz w:val="22"/>
          <w:szCs w:val="22"/>
          <w:lang w:val="lv-LV"/>
        </w:rPr>
      </w:pPr>
    </w:p>
    <w:p w:rsidR="00830297" w:rsidRDefault="00830297" w:rsidP="00F22471">
      <w:pPr>
        <w:jc w:val="both"/>
        <w:rPr>
          <w:color w:val="000000"/>
          <w:sz w:val="22"/>
          <w:szCs w:val="22"/>
          <w:lang w:val="lv-LV"/>
        </w:rPr>
      </w:pPr>
    </w:p>
    <w:p w:rsidR="00921FB1" w:rsidRDefault="00921FB1" w:rsidP="00F22471">
      <w:pPr>
        <w:jc w:val="both"/>
        <w:rPr>
          <w:color w:val="000000"/>
          <w:sz w:val="22"/>
          <w:szCs w:val="22"/>
          <w:lang w:val="lv-LV"/>
        </w:rPr>
      </w:pPr>
    </w:p>
    <w:p w:rsidR="00112B00" w:rsidRDefault="00112B00" w:rsidP="00F22471">
      <w:pPr>
        <w:jc w:val="both"/>
        <w:rPr>
          <w:lang w:val="lv-LV"/>
        </w:rPr>
      </w:pPr>
      <w:r>
        <w:rPr>
          <w:lang w:val="lv-LV"/>
        </w:rPr>
        <w:t>26.08.2014 12:30:18</w:t>
      </w:r>
    </w:p>
    <w:p w:rsidR="000463C2" w:rsidRDefault="000463C2" w:rsidP="00F22471">
      <w:pPr>
        <w:jc w:val="both"/>
        <w:rPr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NUMWORDS   \* MERGEFORMAT </w:instrText>
      </w:r>
      <w:r>
        <w:rPr>
          <w:lang w:val="lv-LV"/>
        </w:rPr>
        <w:fldChar w:fldCharType="separate"/>
      </w:r>
      <w:r w:rsidR="003A6FA0">
        <w:rPr>
          <w:noProof/>
          <w:lang w:val="lv-LV"/>
        </w:rPr>
        <w:t>1129</w:t>
      </w:r>
      <w:r>
        <w:rPr>
          <w:lang w:val="lv-LV"/>
        </w:rPr>
        <w:fldChar w:fldCharType="end"/>
      </w:r>
    </w:p>
    <w:p w:rsidR="00643B54" w:rsidRPr="00830297" w:rsidRDefault="00112B00" w:rsidP="00F22471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B.Strode</w:t>
      </w:r>
    </w:p>
    <w:p w:rsidR="00097583" w:rsidRPr="00830297" w:rsidRDefault="00B74BCA" w:rsidP="00F22471">
      <w:pPr>
        <w:jc w:val="both"/>
        <w:rPr>
          <w:color w:val="000000"/>
          <w:lang w:val="lv-LV"/>
        </w:rPr>
      </w:pPr>
      <w:r w:rsidRPr="00830297">
        <w:rPr>
          <w:lang w:val="lv-LV"/>
        </w:rPr>
        <w:t>67013</w:t>
      </w:r>
      <w:r w:rsidR="00842EE7" w:rsidRPr="00830297">
        <w:rPr>
          <w:lang w:val="lv-LV"/>
        </w:rPr>
        <w:t>2</w:t>
      </w:r>
      <w:r w:rsidR="00112B00">
        <w:rPr>
          <w:lang w:val="lv-LV"/>
        </w:rPr>
        <w:t>70</w:t>
      </w:r>
      <w:r w:rsidR="00386053" w:rsidRPr="00830297">
        <w:rPr>
          <w:lang w:val="lv-LV"/>
        </w:rPr>
        <w:t>,</w:t>
      </w:r>
      <w:r w:rsidR="00B12DEF" w:rsidRPr="00830297">
        <w:rPr>
          <w:lang w:val="lv-LV"/>
        </w:rPr>
        <w:t xml:space="preserve"> </w:t>
      </w:r>
      <w:r w:rsidR="00112B00">
        <w:rPr>
          <w:lang w:val="lv-LV"/>
        </w:rPr>
        <w:t>Baiba.Strode</w:t>
      </w:r>
      <w:r w:rsidR="00842EE7" w:rsidRPr="00830297">
        <w:rPr>
          <w:lang w:val="lv-LV"/>
        </w:rPr>
        <w:t>@em.gov.lv</w:t>
      </w:r>
      <w:bookmarkStart w:id="6" w:name="_GoBack"/>
      <w:bookmarkEnd w:id="6"/>
    </w:p>
    <w:sectPr w:rsidR="00097583" w:rsidRPr="00830297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F7" w:rsidRDefault="002A10F7" w:rsidP="00B014C2">
      <w:r>
        <w:separator/>
      </w:r>
    </w:p>
  </w:endnote>
  <w:endnote w:type="continuationSeparator" w:id="0">
    <w:p w:rsidR="002A10F7" w:rsidRDefault="002A10F7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28" w:rsidRPr="0080150E" w:rsidRDefault="00D06428" w:rsidP="0080150E">
    <w:pPr>
      <w:pStyle w:val="BodyText"/>
      <w:rPr>
        <w:sz w:val="20"/>
      </w:rPr>
    </w:pPr>
    <w:r>
      <w:rPr>
        <w:sz w:val="20"/>
      </w:rPr>
      <w:t>EMA</w:t>
    </w:r>
    <w:r w:rsidR="00C901A4">
      <w:rPr>
        <w:sz w:val="20"/>
      </w:rPr>
      <w:t>not</w:t>
    </w:r>
    <w:r>
      <w:rPr>
        <w:sz w:val="20"/>
      </w:rPr>
      <w:t>_</w:t>
    </w:r>
    <w:r w:rsidR="00112B00">
      <w:rPr>
        <w:sz w:val="20"/>
      </w:rPr>
      <w:t>26</w:t>
    </w:r>
    <w:r w:rsidR="00A40A34">
      <w:rPr>
        <w:sz w:val="20"/>
      </w:rPr>
      <w:t>0</w:t>
    </w:r>
    <w:r w:rsidR="00F6109C">
      <w:rPr>
        <w:sz w:val="20"/>
      </w:rPr>
      <w:t>8</w:t>
    </w:r>
    <w:r w:rsidR="00A40A34">
      <w:rPr>
        <w:sz w:val="20"/>
      </w:rPr>
      <w:t>14</w:t>
    </w:r>
    <w:r>
      <w:rPr>
        <w:sz w:val="20"/>
      </w:rPr>
      <w:t>_</w:t>
    </w:r>
    <w:r w:rsidR="00DC30F7">
      <w:rPr>
        <w:sz w:val="20"/>
      </w:rPr>
      <w:t>A</w:t>
    </w:r>
    <w:r w:rsidR="00C901A4">
      <w:rPr>
        <w:sz w:val="20"/>
      </w:rPr>
      <w:t>pmacibas</w:t>
    </w:r>
    <w:r w:rsidRPr="005741F1">
      <w:rPr>
        <w:sz w:val="20"/>
      </w:rPr>
      <w:t xml:space="preserve">; </w:t>
    </w:r>
    <w:bookmarkStart w:id="3" w:name="OLE_LINK4"/>
    <w:bookmarkStart w:id="4" w:name="OLE_LINK5"/>
    <w:bookmarkStart w:id="5" w:name="OLE_LINK6"/>
    <w:r w:rsidRPr="005741F1">
      <w:rPr>
        <w:sz w:val="20"/>
      </w:rPr>
      <w:t>Ministru kabine</w:t>
    </w:r>
    <w:r w:rsidR="00DC30F7">
      <w:rPr>
        <w:sz w:val="20"/>
      </w:rPr>
      <w:t xml:space="preserve">ta noteikumu projekta </w:t>
    </w:r>
    <w:r w:rsidR="00DC30F7" w:rsidRPr="00DC30F7">
      <w:rPr>
        <w:sz w:val="20"/>
      </w:rPr>
      <w:t>„Noteikumi par atbalstu iesācējuzņēmumu apmācību un semināru organizēšanai” sākotnējās ietekmes novērtējuma ziņojums (anotācija)</w:t>
    </w:r>
    <w:bookmarkEnd w:id="3"/>
    <w:bookmarkEnd w:id="4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7" w:rsidRPr="0080150E" w:rsidRDefault="00B81B37" w:rsidP="00DC30F7">
    <w:pPr>
      <w:pStyle w:val="BodyText"/>
      <w:rPr>
        <w:sz w:val="20"/>
      </w:rPr>
    </w:pPr>
    <w:r>
      <w:rPr>
        <w:sz w:val="20"/>
      </w:rPr>
      <w:t>EMA</w:t>
    </w:r>
    <w:r w:rsidR="00C901A4">
      <w:rPr>
        <w:sz w:val="20"/>
      </w:rPr>
      <w:t>not</w:t>
    </w:r>
    <w:r>
      <w:rPr>
        <w:sz w:val="20"/>
      </w:rPr>
      <w:t>_</w:t>
    </w:r>
    <w:r w:rsidR="00112B00">
      <w:rPr>
        <w:sz w:val="20"/>
      </w:rPr>
      <w:t>26</w:t>
    </w:r>
    <w:r w:rsidR="00A40A34">
      <w:rPr>
        <w:sz w:val="20"/>
      </w:rPr>
      <w:t>0</w:t>
    </w:r>
    <w:r w:rsidR="00F6109C">
      <w:rPr>
        <w:sz w:val="20"/>
      </w:rPr>
      <w:t>8</w:t>
    </w:r>
    <w:r w:rsidR="00A40A34">
      <w:rPr>
        <w:sz w:val="20"/>
      </w:rPr>
      <w:t>14</w:t>
    </w:r>
    <w:r w:rsidR="00DC30F7">
      <w:rPr>
        <w:sz w:val="20"/>
      </w:rPr>
      <w:t>_A</w:t>
    </w:r>
    <w:r w:rsidR="00C901A4">
      <w:rPr>
        <w:sz w:val="20"/>
      </w:rPr>
      <w:t>pmacibas</w:t>
    </w:r>
    <w:r w:rsidR="00DC30F7" w:rsidRPr="005741F1">
      <w:rPr>
        <w:sz w:val="20"/>
      </w:rPr>
      <w:t>; Ministru kabine</w:t>
    </w:r>
    <w:r w:rsidR="00DC30F7">
      <w:rPr>
        <w:sz w:val="20"/>
      </w:rPr>
      <w:t xml:space="preserve">ta noteikumu projekta </w:t>
    </w:r>
    <w:r w:rsidR="00DC30F7" w:rsidRPr="00DC30F7">
      <w:rPr>
        <w:sz w:val="20"/>
      </w:rPr>
      <w:t>„Noteikumi par atbalstu iesācējuzņēmumu apmācību un semināru organizēšanai” sākotnējās ietekmes novērtējuma ziņojums (anotācija)</w:t>
    </w:r>
  </w:p>
  <w:p w:rsidR="00D06428" w:rsidRPr="00DC30F7" w:rsidRDefault="00D06428" w:rsidP="00DC3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F7" w:rsidRDefault="002A10F7" w:rsidP="00B014C2">
      <w:r>
        <w:separator/>
      </w:r>
    </w:p>
  </w:footnote>
  <w:footnote w:type="continuationSeparator" w:id="0">
    <w:p w:rsidR="002A10F7" w:rsidRDefault="002A10F7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6428" w:rsidRPr="00B014C2" w:rsidRDefault="00347252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D06428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3A6FA0">
          <w:rPr>
            <w:noProof/>
            <w:sz w:val="24"/>
            <w:szCs w:val="24"/>
          </w:rPr>
          <w:t>5</w:t>
        </w:r>
        <w:r w:rsidRPr="00B014C2">
          <w:rPr>
            <w:sz w:val="24"/>
            <w:szCs w:val="24"/>
          </w:rPr>
          <w:fldChar w:fldCharType="end"/>
        </w:r>
      </w:p>
    </w:sdtContent>
  </w:sdt>
  <w:p w:rsidR="00D06428" w:rsidRDefault="00D06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020"/>
    <w:multiLevelType w:val="hybridMultilevel"/>
    <w:tmpl w:val="6DF6D3A6"/>
    <w:lvl w:ilvl="0" w:tplc="52840A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2509D1"/>
    <w:multiLevelType w:val="hybridMultilevel"/>
    <w:tmpl w:val="9B9EA9D0"/>
    <w:lvl w:ilvl="0" w:tplc="FEB85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BB09C5"/>
    <w:rsid w:val="000016AB"/>
    <w:rsid w:val="00004C45"/>
    <w:rsid w:val="0001186C"/>
    <w:rsid w:val="000120A0"/>
    <w:rsid w:val="000126C7"/>
    <w:rsid w:val="00012AA4"/>
    <w:rsid w:val="00014006"/>
    <w:rsid w:val="0001626D"/>
    <w:rsid w:val="0001764D"/>
    <w:rsid w:val="00020A02"/>
    <w:rsid w:val="000214DF"/>
    <w:rsid w:val="0002637E"/>
    <w:rsid w:val="00026BA7"/>
    <w:rsid w:val="00026C03"/>
    <w:rsid w:val="0002762A"/>
    <w:rsid w:val="00031099"/>
    <w:rsid w:val="000320DD"/>
    <w:rsid w:val="000364B2"/>
    <w:rsid w:val="0003693D"/>
    <w:rsid w:val="00036E03"/>
    <w:rsid w:val="0004167C"/>
    <w:rsid w:val="00043EE5"/>
    <w:rsid w:val="000445F3"/>
    <w:rsid w:val="000463C2"/>
    <w:rsid w:val="00047EF5"/>
    <w:rsid w:val="00050184"/>
    <w:rsid w:val="00050EA4"/>
    <w:rsid w:val="00052380"/>
    <w:rsid w:val="000564DA"/>
    <w:rsid w:val="00060D39"/>
    <w:rsid w:val="000643D5"/>
    <w:rsid w:val="00064EDB"/>
    <w:rsid w:val="00071114"/>
    <w:rsid w:val="000729ED"/>
    <w:rsid w:val="00072ECD"/>
    <w:rsid w:val="00074BBD"/>
    <w:rsid w:val="00080CEC"/>
    <w:rsid w:val="00080F3F"/>
    <w:rsid w:val="00081C1D"/>
    <w:rsid w:val="00081F44"/>
    <w:rsid w:val="00083704"/>
    <w:rsid w:val="000847AE"/>
    <w:rsid w:val="0008486C"/>
    <w:rsid w:val="00086412"/>
    <w:rsid w:val="00087524"/>
    <w:rsid w:val="00091581"/>
    <w:rsid w:val="00091DBA"/>
    <w:rsid w:val="00096F08"/>
    <w:rsid w:val="00097583"/>
    <w:rsid w:val="000A164A"/>
    <w:rsid w:val="000A402E"/>
    <w:rsid w:val="000A4AED"/>
    <w:rsid w:val="000A5FB9"/>
    <w:rsid w:val="000B0719"/>
    <w:rsid w:val="000B23BA"/>
    <w:rsid w:val="000B2AE3"/>
    <w:rsid w:val="000D0388"/>
    <w:rsid w:val="000D19C8"/>
    <w:rsid w:val="000D2F05"/>
    <w:rsid w:val="000D4DC9"/>
    <w:rsid w:val="000D6996"/>
    <w:rsid w:val="000D6DF2"/>
    <w:rsid w:val="000E2F17"/>
    <w:rsid w:val="000E3A55"/>
    <w:rsid w:val="000E409F"/>
    <w:rsid w:val="000E4277"/>
    <w:rsid w:val="000F0232"/>
    <w:rsid w:val="000F2C55"/>
    <w:rsid w:val="000F63A5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06923"/>
    <w:rsid w:val="0011218B"/>
    <w:rsid w:val="00112B00"/>
    <w:rsid w:val="00115CBB"/>
    <w:rsid w:val="00115E25"/>
    <w:rsid w:val="001162BB"/>
    <w:rsid w:val="00116B3E"/>
    <w:rsid w:val="00120651"/>
    <w:rsid w:val="0012067B"/>
    <w:rsid w:val="00123047"/>
    <w:rsid w:val="001232D1"/>
    <w:rsid w:val="001254CC"/>
    <w:rsid w:val="001267F1"/>
    <w:rsid w:val="001305B3"/>
    <w:rsid w:val="00130D33"/>
    <w:rsid w:val="00131980"/>
    <w:rsid w:val="00131C62"/>
    <w:rsid w:val="00134E0F"/>
    <w:rsid w:val="001428EB"/>
    <w:rsid w:val="00142A69"/>
    <w:rsid w:val="00142AC2"/>
    <w:rsid w:val="00142AD7"/>
    <w:rsid w:val="00142CBB"/>
    <w:rsid w:val="00144D39"/>
    <w:rsid w:val="0015178E"/>
    <w:rsid w:val="00153C1A"/>
    <w:rsid w:val="00157576"/>
    <w:rsid w:val="001611D0"/>
    <w:rsid w:val="0016652F"/>
    <w:rsid w:val="00172B7F"/>
    <w:rsid w:val="0017312C"/>
    <w:rsid w:val="001733BE"/>
    <w:rsid w:val="0017472D"/>
    <w:rsid w:val="001764E7"/>
    <w:rsid w:val="00182537"/>
    <w:rsid w:val="00182CC4"/>
    <w:rsid w:val="001831F7"/>
    <w:rsid w:val="00184308"/>
    <w:rsid w:val="00184C02"/>
    <w:rsid w:val="00184E37"/>
    <w:rsid w:val="00186003"/>
    <w:rsid w:val="00186895"/>
    <w:rsid w:val="001871BB"/>
    <w:rsid w:val="00190498"/>
    <w:rsid w:val="00191102"/>
    <w:rsid w:val="00191B2C"/>
    <w:rsid w:val="00192AFB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C1BFF"/>
    <w:rsid w:val="001C1C5C"/>
    <w:rsid w:val="001C2D96"/>
    <w:rsid w:val="001C3985"/>
    <w:rsid w:val="001C45AB"/>
    <w:rsid w:val="001C5831"/>
    <w:rsid w:val="001C6A1F"/>
    <w:rsid w:val="001C7464"/>
    <w:rsid w:val="001D02A2"/>
    <w:rsid w:val="001D2EDB"/>
    <w:rsid w:val="001D39D9"/>
    <w:rsid w:val="001D416F"/>
    <w:rsid w:val="001D46D6"/>
    <w:rsid w:val="001D4E7C"/>
    <w:rsid w:val="001D5E9C"/>
    <w:rsid w:val="001D76FC"/>
    <w:rsid w:val="001E11BB"/>
    <w:rsid w:val="001E344F"/>
    <w:rsid w:val="001E3522"/>
    <w:rsid w:val="001E3BD0"/>
    <w:rsid w:val="001E497E"/>
    <w:rsid w:val="001E5031"/>
    <w:rsid w:val="001E511B"/>
    <w:rsid w:val="001E7BB7"/>
    <w:rsid w:val="001F02C1"/>
    <w:rsid w:val="001F6151"/>
    <w:rsid w:val="001F7527"/>
    <w:rsid w:val="00200045"/>
    <w:rsid w:val="00200612"/>
    <w:rsid w:val="002024E9"/>
    <w:rsid w:val="00205FEE"/>
    <w:rsid w:val="0021241F"/>
    <w:rsid w:val="00213D6A"/>
    <w:rsid w:val="002149CB"/>
    <w:rsid w:val="00216B96"/>
    <w:rsid w:val="00221058"/>
    <w:rsid w:val="00221205"/>
    <w:rsid w:val="00221561"/>
    <w:rsid w:val="00221CAE"/>
    <w:rsid w:val="00224C7C"/>
    <w:rsid w:val="0023085A"/>
    <w:rsid w:val="00230FB6"/>
    <w:rsid w:val="00231EB0"/>
    <w:rsid w:val="00233657"/>
    <w:rsid w:val="00233F7A"/>
    <w:rsid w:val="0023462C"/>
    <w:rsid w:val="00234C58"/>
    <w:rsid w:val="00234DDC"/>
    <w:rsid w:val="00243E4C"/>
    <w:rsid w:val="00245D09"/>
    <w:rsid w:val="00247529"/>
    <w:rsid w:val="00247BBC"/>
    <w:rsid w:val="002507A0"/>
    <w:rsid w:val="002543B5"/>
    <w:rsid w:val="0025484B"/>
    <w:rsid w:val="00255C0A"/>
    <w:rsid w:val="00257056"/>
    <w:rsid w:val="00257EAE"/>
    <w:rsid w:val="002600E1"/>
    <w:rsid w:val="002610D7"/>
    <w:rsid w:val="00261B9F"/>
    <w:rsid w:val="00262D47"/>
    <w:rsid w:val="0026446F"/>
    <w:rsid w:val="00265168"/>
    <w:rsid w:val="00265C1B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90331"/>
    <w:rsid w:val="0029297C"/>
    <w:rsid w:val="0029306A"/>
    <w:rsid w:val="002954D4"/>
    <w:rsid w:val="00295C0F"/>
    <w:rsid w:val="00297E4A"/>
    <w:rsid w:val="002A0052"/>
    <w:rsid w:val="002A0CEE"/>
    <w:rsid w:val="002A10F7"/>
    <w:rsid w:val="002B30A6"/>
    <w:rsid w:val="002B34B0"/>
    <w:rsid w:val="002B4D01"/>
    <w:rsid w:val="002B5151"/>
    <w:rsid w:val="002B667D"/>
    <w:rsid w:val="002B768A"/>
    <w:rsid w:val="002C0E0E"/>
    <w:rsid w:val="002C20C8"/>
    <w:rsid w:val="002C28F0"/>
    <w:rsid w:val="002C4039"/>
    <w:rsid w:val="002C4BB9"/>
    <w:rsid w:val="002C586C"/>
    <w:rsid w:val="002D259E"/>
    <w:rsid w:val="002D2623"/>
    <w:rsid w:val="002D3E95"/>
    <w:rsid w:val="002D43D4"/>
    <w:rsid w:val="002D5DAC"/>
    <w:rsid w:val="002D60EB"/>
    <w:rsid w:val="002D69AE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02447"/>
    <w:rsid w:val="003124BE"/>
    <w:rsid w:val="00314594"/>
    <w:rsid w:val="00315A1C"/>
    <w:rsid w:val="00317EE5"/>
    <w:rsid w:val="00320EB0"/>
    <w:rsid w:val="00321E80"/>
    <w:rsid w:val="003221A6"/>
    <w:rsid w:val="00322A15"/>
    <w:rsid w:val="00324F11"/>
    <w:rsid w:val="00330AF0"/>
    <w:rsid w:val="00335837"/>
    <w:rsid w:val="003365BB"/>
    <w:rsid w:val="003372CD"/>
    <w:rsid w:val="00341D01"/>
    <w:rsid w:val="0034284E"/>
    <w:rsid w:val="00344B27"/>
    <w:rsid w:val="0034724B"/>
    <w:rsid w:val="00347252"/>
    <w:rsid w:val="0034794E"/>
    <w:rsid w:val="003479DF"/>
    <w:rsid w:val="0035647E"/>
    <w:rsid w:val="00356CDF"/>
    <w:rsid w:val="00357B86"/>
    <w:rsid w:val="00360437"/>
    <w:rsid w:val="00360962"/>
    <w:rsid w:val="003611ED"/>
    <w:rsid w:val="00361DA6"/>
    <w:rsid w:val="00362D30"/>
    <w:rsid w:val="0037018D"/>
    <w:rsid w:val="003707C8"/>
    <w:rsid w:val="0037466C"/>
    <w:rsid w:val="00375943"/>
    <w:rsid w:val="00383500"/>
    <w:rsid w:val="00384799"/>
    <w:rsid w:val="00385DB0"/>
    <w:rsid w:val="00386053"/>
    <w:rsid w:val="00391942"/>
    <w:rsid w:val="00396D2E"/>
    <w:rsid w:val="003A4F1F"/>
    <w:rsid w:val="003A5545"/>
    <w:rsid w:val="003A56E6"/>
    <w:rsid w:val="003A5F98"/>
    <w:rsid w:val="003A6FA0"/>
    <w:rsid w:val="003A7D40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C6688"/>
    <w:rsid w:val="003C6BB0"/>
    <w:rsid w:val="003C77AE"/>
    <w:rsid w:val="003D342E"/>
    <w:rsid w:val="003D3608"/>
    <w:rsid w:val="003D3A14"/>
    <w:rsid w:val="003D4A34"/>
    <w:rsid w:val="003D5516"/>
    <w:rsid w:val="003E0167"/>
    <w:rsid w:val="003E0BD3"/>
    <w:rsid w:val="003E284A"/>
    <w:rsid w:val="003E2968"/>
    <w:rsid w:val="003E2DC8"/>
    <w:rsid w:val="003E3604"/>
    <w:rsid w:val="003E6CB3"/>
    <w:rsid w:val="003F0C4F"/>
    <w:rsid w:val="003F17ED"/>
    <w:rsid w:val="003F3349"/>
    <w:rsid w:val="003F432A"/>
    <w:rsid w:val="003F4E09"/>
    <w:rsid w:val="00401C5F"/>
    <w:rsid w:val="00402B2B"/>
    <w:rsid w:val="00404C10"/>
    <w:rsid w:val="00404D4B"/>
    <w:rsid w:val="0040578F"/>
    <w:rsid w:val="00406C83"/>
    <w:rsid w:val="004074FD"/>
    <w:rsid w:val="00407E6B"/>
    <w:rsid w:val="00410FEE"/>
    <w:rsid w:val="00414CC7"/>
    <w:rsid w:val="00415C03"/>
    <w:rsid w:val="00415D84"/>
    <w:rsid w:val="00416C3A"/>
    <w:rsid w:val="00416C50"/>
    <w:rsid w:val="00416EAC"/>
    <w:rsid w:val="00420FC8"/>
    <w:rsid w:val="0042129F"/>
    <w:rsid w:val="004232D7"/>
    <w:rsid w:val="0042395B"/>
    <w:rsid w:val="0042472B"/>
    <w:rsid w:val="00424D8F"/>
    <w:rsid w:val="004300B0"/>
    <w:rsid w:val="00431CB5"/>
    <w:rsid w:val="00434ACC"/>
    <w:rsid w:val="00435CDA"/>
    <w:rsid w:val="00436E46"/>
    <w:rsid w:val="00436E6A"/>
    <w:rsid w:val="00436F9E"/>
    <w:rsid w:val="00440115"/>
    <w:rsid w:val="004413C4"/>
    <w:rsid w:val="004426FC"/>
    <w:rsid w:val="00442884"/>
    <w:rsid w:val="00443B04"/>
    <w:rsid w:val="00444A49"/>
    <w:rsid w:val="0044567A"/>
    <w:rsid w:val="004465FC"/>
    <w:rsid w:val="004522D7"/>
    <w:rsid w:val="004527EA"/>
    <w:rsid w:val="0045318E"/>
    <w:rsid w:val="0045349B"/>
    <w:rsid w:val="00457B62"/>
    <w:rsid w:val="00460A29"/>
    <w:rsid w:val="004671D7"/>
    <w:rsid w:val="00472EF3"/>
    <w:rsid w:val="00474493"/>
    <w:rsid w:val="00475A76"/>
    <w:rsid w:val="004775F4"/>
    <w:rsid w:val="0048088B"/>
    <w:rsid w:val="00484C10"/>
    <w:rsid w:val="00485E0B"/>
    <w:rsid w:val="00486BD6"/>
    <w:rsid w:val="00487753"/>
    <w:rsid w:val="0049013B"/>
    <w:rsid w:val="004916DD"/>
    <w:rsid w:val="00491F0A"/>
    <w:rsid w:val="004960FB"/>
    <w:rsid w:val="00497086"/>
    <w:rsid w:val="004A20DB"/>
    <w:rsid w:val="004A22E5"/>
    <w:rsid w:val="004A554F"/>
    <w:rsid w:val="004B18A4"/>
    <w:rsid w:val="004B1FE7"/>
    <w:rsid w:val="004B77C0"/>
    <w:rsid w:val="004C1463"/>
    <w:rsid w:val="004C5FE2"/>
    <w:rsid w:val="004C7834"/>
    <w:rsid w:val="004D3E72"/>
    <w:rsid w:val="004D45ED"/>
    <w:rsid w:val="004D4997"/>
    <w:rsid w:val="004D54CD"/>
    <w:rsid w:val="004D6EF0"/>
    <w:rsid w:val="004D790D"/>
    <w:rsid w:val="004E01F5"/>
    <w:rsid w:val="004E1757"/>
    <w:rsid w:val="004E3075"/>
    <w:rsid w:val="004E7B96"/>
    <w:rsid w:val="004F0E94"/>
    <w:rsid w:val="004F178A"/>
    <w:rsid w:val="004F2331"/>
    <w:rsid w:val="004F2B79"/>
    <w:rsid w:val="0050058D"/>
    <w:rsid w:val="00501F08"/>
    <w:rsid w:val="00502247"/>
    <w:rsid w:val="00503D5C"/>
    <w:rsid w:val="0050440A"/>
    <w:rsid w:val="00505A0D"/>
    <w:rsid w:val="00505B7D"/>
    <w:rsid w:val="00506DDA"/>
    <w:rsid w:val="00510235"/>
    <w:rsid w:val="00511ADB"/>
    <w:rsid w:val="0051346C"/>
    <w:rsid w:val="0051358D"/>
    <w:rsid w:val="00513AF6"/>
    <w:rsid w:val="00517993"/>
    <w:rsid w:val="00517C20"/>
    <w:rsid w:val="0052062B"/>
    <w:rsid w:val="00522270"/>
    <w:rsid w:val="00522B62"/>
    <w:rsid w:val="00524D01"/>
    <w:rsid w:val="005254AB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6599"/>
    <w:rsid w:val="00546E77"/>
    <w:rsid w:val="00554A7A"/>
    <w:rsid w:val="005631C8"/>
    <w:rsid w:val="0056506A"/>
    <w:rsid w:val="005663B6"/>
    <w:rsid w:val="0056795E"/>
    <w:rsid w:val="00570B3E"/>
    <w:rsid w:val="005741F1"/>
    <w:rsid w:val="005747E7"/>
    <w:rsid w:val="0057501D"/>
    <w:rsid w:val="005765EB"/>
    <w:rsid w:val="00576AB8"/>
    <w:rsid w:val="00576AEE"/>
    <w:rsid w:val="00576D8A"/>
    <w:rsid w:val="00580317"/>
    <w:rsid w:val="00580550"/>
    <w:rsid w:val="0058086F"/>
    <w:rsid w:val="0058249F"/>
    <w:rsid w:val="0058679B"/>
    <w:rsid w:val="005877DA"/>
    <w:rsid w:val="00593CA6"/>
    <w:rsid w:val="005956D1"/>
    <w:rsid w:val="0059700D"/>
    <w:rsid w:val="00597137"/>
    <w:rsid w:val="00597231"/>
    <w:rsid w:val="005A1736"/>
    <w:rsid w:val="005A1D6F"/>
    <w:rsid w:val="005A2A2D"/>
    <w:rsid w:val="005A37FF"/>
    <w:rsid w:val="005A6E2E"/>
    <w:rsid w:val="005A7B9C"/>
    <w:rsid w:val="005B115B"/>
    <w:rsid w:val="005B29DE"/>
    <w:rsid w:val="005B2D96"/>
    <w:rsid w:val="005B4307"/>
    <w:rsid w:val="005C251D"/>
    <w:rsid w:val="005C6DDB"/>
    <w:rsid w:val="005C777C"/>
    <w:rsid w:val="005D1220"/>
    <w:rsid w:val="005D3658"/>
    <w:rsid w:val="005D4522"/>
    <w:rsid w:val="005D6171"/>
    <w:rsid w:val="005E4730"/>
    <w:rsid w:val="005E713D"/>
    <w:rsid w:val="005F09EC"/>
    <w:rsid w:val="005F3958"/>
    <w:rsid w:val="00602450"/>
    <w:rsid w:val="006049D1"/>
    <w:rsid w:val="00606880"/>
    <w:rsid w:val="00607722"/>
    <w:rsid w:val="0061044D"/>
    <w:rsid w:val="00610DDF"/>
    <w:rsid w:val="00614602"/>
    <w:rsid w:val="006218A6"/>
    <w:rsid w:val="00624FCB"/>
    <w:rsid w:val="00625D54"/>
    <w:rsid w:val="00626F78"/>
    <w:rsid w:val="006273FD"/>
    <w:rsid w:val="00630367"/>
    <w:rsid w:val="006309F5"/>
    <w:rsid w:val="00630BAA"/>
    <w:rsid w:val="00631039"/>
    <w:rsid w:val="00634095"/>
    <w:rsid w:val="00634F75"/>
    <w:rsid w:val="00635D2B"/>
    <w:rsid w:val="00636440"/>
    <w:rsid w:val="00641379"/>
    <w:rsid w:val="00643B54"/>
    <w:rsid w:val="00644112"/>
    <w:rsid w:val="006456BB"/>
    <w:rsid w:val="00647402"/>
    <w:rsid w:val="00650716"/>
    <w:rsid w:val="006512F4"/>
    <w:rsid w:val="00651669"/>
    <w:rsid w:val="006543B3"/>
    <w:rsid w:val="00654C63"/>
    <w:rsid w:val="00663763"/>
    <w:rsid w:val="00664A60"/>
    <w:rsid w:val="00664C33"/>
    <w:rsid w:val="00665020"/>
    <w:rsid w:val="00667BAB"/>
    <w:rsid w:val="006711E1"/>
    <w:rsid w:val="006722B5"/>
    <w:rsid w:val="00672A2F"/>
    <w:rsid w:val="00673175"/>
    <w:rsid w:val="00674BA7"/>
    <w:rsid w:val="00676770"/>
    <w:rsid w:val="0068051B"/>
    <w:rsid w:val="00681496"/>
    <w:rsid w:val="00682B64"/>
    <w:rsid w:val="0068409B"/>
    <w:rsid w:val="00684EA2"/>
    <w:rsid w:val="006910BE"/>
    <w:rsid w:val="0069218E"/>
    <w:rsid w:val="006A3A28"/>
    <w:rsid w:val="006A3A2B"/>
    <w:rsid w:val="006A668E"/>
    <w:rsid w:val="006A6AD4"/>
    <w:rsid w:val="006A7488"/>
    <w:rsid w:val="006A7638"/>
    <w:rsid w:val="006B0E03"/>
    <w:rsid w:val="006B7B22"/>
    <w:rsid w:val="006C114F"/>
    <w:rsid w:val="006C15FA"/>
    <w:rsid w:val="006C3168"/>
    <w:rsid w:val="006C7215"/>
    <w:rsid w:val="006D004E"/>
    <w:rsid w:val="006D0B9B"/>
    <w:rsid w:val="006D1E45"/>
    <w:rsid w:val="006D1F62"/>
    <w:rsid w:val="006D273B"/>
    <w:rsid w:val="006D2FD8"/>
    <w:rsid w:val="006D30BF"/>
    <w:rsid w:val="006D5EFB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133A"/>
    <w:rsid w:val="006F24A8"/>
    <w:rsid w:val="006F56C1"/>
    <w:rsid w:val="006F58E5"/>
    <w:rsid w:val="0070010E"/>
    <w:rsid w:val="007058E9"/>
    <w:rsid w:val="0070678E"/>
    <w:rsid w:val="00706EC2"/>
    <w:rsid w:val="00707470"/>
    <w:rsid w:val="007074EF"/>
    <w:rsid w:val="00710120"/>
    <w:rsid w:val="00713EEF"/>
    <w:rsid w:val="00720EE5"/>
    <w:rsid w:val="007217E4"/>
    <w:rsid w:val="00721D6C"/>
    <w:rsid w:val="00721E50"/>
    <w:rsid w:val="00725107"/>
    <w:rsid w:val="00725B16"/>
    <w:rsid w:val="00726A2A"/>
    <w:rsid w:val="007278CF"/>
    <w:rsid w:val="00732F77"/>
    <w:rsid w:val="007363F2"/>
    <w:rsid w:val="00737AB8"/>
    <w:rsid w:val="00743E33"/>
    <w:rsid w:val="00744513"/>
    <w:rsid w:val="00745E0F"/>
    <w:rsid w:val="0074734C"/>
    <w:rsid w:val="00747779"/>
    <w:rsid w:val="00754F4B"/>
    <w:rsid w:val="0075600E"/>
    <w:rsid w:val="0075648C"/>
    <w:rsid w:val="00765A89"/>
    <w:rsid w:val="0076705D"/>
    <w:rsid w:val="00767185"/>
    <w:rsid w:val="00767E0F"/>
    <w:rsid w:val="007715A2"/>
    <w:rsid w:val="00771E40"/>
    <w:rsid w:val="0077435A"/>
    <w:rsid w:val="00776F83"/>
    <w:rsid w:val="00781C31"/>
    <w:rsid w:val="00785154"/>
    <w:rsid w:val="007861AD"/>
    <w:rsid w:val="007869EF"/>
    <w:rsid w:val="007878ED"/>
    <w:rsid w:val="00790E90"/>
    <w:rsid w:val="00791433"/>
    <w:rsid w:val="00793496"/>
    <w:rsid w:val="00793A6B"/>
    <w:rsid w:val="00794B98"/>
    <w:rsid w:val="007968F8"/>
    <w:rsid w:val="00797D6F"/>
    <w:rsid w:val="007A0D95"/>
    <w:rsid w:val="007A14D0"/>
    <w:rsid w:val="007A2498"/>
    <w:rsid w:val="007B0767"/>
    <w:rsid w:val="007B11DF"/>
    <w:rsid w:val="007B21D1"/>
    <w:rsid w:val="007B461A"/>
    <w:rsid w:val="007B47A1"/>
    <w:rsid w:val="007C1582"/>
    <w:rsid w:val="007C2960"/>
    <w:rsid w:val="007C2992"/>
    <w:rsid w:val="007C62F5"/>
    <w:rsid w:val="007C7357"/>
    <w:rsid w:val="007C7B92"/>
    <w:rsid w:val="007D054D"/>
    <w:rsid w:val="007D1488"/>
    <w:rsid w:val="007D14B7"/>
    <w:rsid w:val="007D45FD"/>
    <w:rsid w:val="007D6721"/>
    <w:rsid w:val="007D6900"/>
    <w:rsid w:val="007D7A8A"/>
    <w:rsid w:val="007E0403"/>
    <w:rsid w:val="007E0A01"/>
    <w:rsid w:val="007E0C74"/>
    <w:rsid w:val="007E1DC0"/>
    <w:rsid w:val="007E63F8"/>
    <w:rsid w:val="007E7623"/>
    <w:rsid w:val="007F0242"/>
    <w:rsid w:val="007F0C15"/>
    <w:rsid w:val="0080150E"/>
    <w:rsid w:val="00804CD9"/>
    <w:rsid w:val="00810BB4"/>
    <w:rsid w:val="00812294"/>
    <w:rsid w:val="008123BA"/>
    <w:rsid w:val="00812990"/>
    <w:rsid w:val="008148B2"/>
    <w:rsid w:val="00814B24"/>
    <w:rsid w:val="00815CC0"/>
    <w:rsid w:val="008173C3"/>
    <w:rsid w:val="00817839"/>
    <w:rsid w:val="00823419"/>
    <w:rsid w:val="00823C4F"/>
    <w:rsid w:val="0082492B"/>
    <w:rsid w:val="008253A7"/>
    <w:rsid w:val="008265EF"/>
    <w:rsid w:val="00827407"/>
    <w:rsid w:val="00830297"/>
    <w:rsid w:val="00836318"/>
    <w:rsid w:val="00837E38"/>
    <w:rsid w:val="00840961"/>
    <w:rsid w:val="00840BE1"/>
    <w:rsid w:val="00841F5A"/>
    <w:rsid w:val="00842EE7"/>
    <w:rsid w:val="008444BD"/>
    <w:rsid w:val="00844DC6"/>
    <w:rsid w:val="00845083"/>
    <w:rsid w:val="00846804"/>
    <w:rsid w:val="00851D2A"/>
    <w:rsid w:val="008535B7"/>
    <w:rsid w:val="00855B83"/>
    <w:rsid w:val="00860387"/>
    <w:rsid w:val="00861930"/>
    <w:rsid w:val="00861F33"/>
    <w:rsid w:val="008620C5"/>
    <w:rsid w:val="008641F7"/>
    <w:rsid w:val="00864EFE"/>
    <w:rsid w:val="008657D2"/>
    <w:rsid w:val="00866076"/>
    <w:rsid w:val="00873F9B"/>
    <w:rsid w:val="00874C25"/>
    <w:rsid w:val="00876177"/>
    <w:rsid w:val="0087682B"/>
    <w:rsid w:val="00877FED"/>
    <w:rsid w:val="00880F80"/>
    <w:rsid w:val="008822A5"/>
    <w:rsid w:val="008833AC"/>
    <w:rsid w:val="0088512F"/>
    <w:rsid w:val="00885C85"/>
    <w:rsid w:val="00890CFA"/>
    <w:rsid w:val="00891DAA"/>
    <w:rsid w:val="00891EFC"/>
    <w:rsid w:val="0089429A"/>
    <w:rsid w:val="008960BB"/>
    <w:rsid w:val="0089622A"/>
    <w:rsid w:val="00897C16"/>
    <w:rsid w:val="008A1348"/>
    <w:rsid w:val="008A4831"/>
    <w:rsid w:val="008A492C"/>
    <w:rsid w:val="008A4C41"/>
    <w:rsid w:val="008A515D"/>
    <w:rsid w:val="008A615D"/>
    <w:rsid w:val="008A6659"/>
    <w:rsid w:val="008A6918"/>
    <w:rsid w:val="008A69DC"/>
    <w:rsid w:val="008A6F61"/>
    <w:rsid w:val="008B4856"/>
    <w:rsid w:val="008B7C3D"/>
    <w:rsid w:val="008C24D3"/>
    <w:rsid w:val="008C2886"/>
    <w:rsid w:val="008D1537"/>
    <w:rsid w:val="008D17E5"/>
    <w:rsid w:val="008D6725"/>
    <w:rsid w:val="008D78FF"/>
    <w:rsid w:val="008E2F81"/>
    <w:rsid w:val="008E476F"/>
    <w:rsid w:val="008E5F7D"/>
    <w:rsid w:val="008E6217"/>
    <w:rsid w:val="008E7722"/>
    <w:rsid w:val="008F230C"/>
    <w:rsid w:val="008F48C1"/>
    <w:rsid w:val="008F4C9D"/>
    <w:rsid w:val="008F538E"/>
    <w:rsid w:val="008F5394"/>
    <w:rsid w:val="008F5EEF"/>
    <w:rsid w:val="008F636C"/>
    <w:rsid w:val="008F6397"/>
    <w:rsid w:val="0090048A"/>
    <w:rsid w:val="009026A1"/>
    <w:rsid w:val="00903566"/>
    <w:rsid w:val="009041C1"/>
    <w:rsid w:val="0090449A"/>
    <w:rsid w:val="00904A06"/>
    <w:rsid w:val="00904E04"/>
    <w:rsid w:val="0090536A"/>
    <w:rsid w:val="00911D0C"/>
    <w:rsid w:val="00914CB3"/>
    <w:rsid w:val="00916328"/>
    <w:rsid w:val="00917324"/>
    <w:rsid w:val="00920CC5"/>
    <w:rsid w:val="00921FB1"/>
    <w:rsid w:val="009223CF"/>
    <w:rsid w:val="009223E3"/>
    <w:rsid w:val="00922926"/>
    <w:rsid w:val="00922939"/>
    <w:rsid w:val="0092468A"/>
    <w:rsid w:val="0092510E"/>
    <w:rsid w:val="009260C5"/>
    <w:rsid w:val="00930CFF"/>
    <w:rsid w:val="00932B78"/>
    <w:rsid w:val="00933744"/>
    <w:rsid w:val="00935185"/>
    <w:rsid w:val="0094012A"/>
    <w:rsid w:val="00940388"/>
    <w:rsid w:val="009429B7"/>
    <w:rsid w:val="00944903"/>
    <w:rsid w:val="00944C30"/>
    <w:rsid w:val="009450CF"/>
    <w:rsid w:val="0094550C"/>
    <w:rsid w:val="00945AEE"/>
    <w:rsid w:val="0094732D"/>
    <w:rsid w:val="00947CF8"/>
    <w:rsid w:val="009519D4"/>
    <w:rsid w:val="009520C3"/>
    <w:rsid w:val="0095680E"/>
    <w:rsid w:val="0095696B"/>
    <w:rsid w:val="00962693"/>
    <w:rsid w:val="00962CEA"/>
    <w:rsid w:val="00966EDD"/>
    <w:rsid w:val="00970EF3"/>
    <w:rsid w:val="00971B45"/>
    <w:rsid w:val="00972275"/>
    <w:rsid w:val="00976028"/>
    <w:rsid w:val="00977A1D"/>
    <w:rsid w:val="0098472B"/>
    <w:rsid w:val="009871A8"/>
    <w:rsid w:val="00990476"/>
    <w:rsid w:val="009913D0"/>
    <w:rsid w:val="009921E9"/>
    <w:rsid w:val="009929A0"/>
    <w:rsid w:val="00993442"/>
    <w:rsid w:val="0099344A"/>
    <w:rsid w:val="00994A10"/>
    <w:rsid w:val="00995388"/>
    <w:rsid w:val="00996D7F"/>
    <w:rsid w:val="009A164D"/>
    <w:rsid w:val="009A19C7"/>
    <w:rsid w:val="009A1BFD"/>
    <w:rsid w:val="009A38AD"/>
    <w:rsid w:val="009A3939"/>
    <w:rsid w:val="009A4558"/>
    <w:rsid w:val="009A6C4D"/>
    <w:rsid w:val="009A712C"/>
    <w:rsid w:val="009A7A14"/>
    <w:rsid w:val="009B0DB2"/>
    <w:rsid w:val="009B2F66"/>
    <w:rsid w:val="009B70EC"/>
    <w:rsid w:val="009C1ADF"/>
    <w:rsid w:val="009C2CF9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4DF3"/>
    <w:rsid w:val="009E532D"/>
    <w:rsid w:val="009E5351"/>
    <w:rsid w:val="009E604D"/>
    <w:rsid w:val="009F1B35"/>
    <w:rsid w:val="009F37B4"/>
    <w:rsid w:val="009F3B93"/>
    <w:rsid w:val="009F4D79"/>
    <w:rsid w:val="00A00AB4"/>
    <w:rsid w:val="00A01864"/>
    <w:rsid w:val="00A045ED"/>
    <w:rsid w:val="00A14437"/>
    <w:rsid w:val="00A14502"/>
    <w:rsid w:val="00A15971"/>
    <w:rsid w:val="00A246DC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5E40"/>
    <w:rsid w:val="00A37DC3"/>
    <w:rsid w:val="00A40A34"/>
    <w:rsid w:val="00A425FC"/>
    <w:rsid w:val="00A42E43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57193"/>
    <w:rsid w:val="00A6113D"/>
    <w:rsid w:val="00A6164F"/>
    <w:rsid w:val="00A6235A"/>
    <w:rsid w:val="00A62805"/>
    <w:rsid w:val="00A6716E"/>
    <w:rsid w:val="00A700D6"/>
    <w:rsid w:val="00A76001"/>
    <w:rsid w:val="00A76CCC"/>
    <w:rsid w:val="00A805C2"/>
    <w:rsid w:val="00A806F1"/>
    <w:rsid w:val="00A87BE9"/>
    <w:rsid w:val="00A9241A"/>
    <w:rsid w:val="00A95893"/>
    <w:rsid w:val="00A963C3"/>
    <w:rsid w:val="00A96F94"/>
    <w:rsid w:val="00AA127F"/>
    <w:rsid w:val="00AA230A"/>
    <w:rsid w:val="00AA5C4F"/>
    <w:rsid w:val="00AA712A"/>
    <w:rsid w:val="00AA78CB"/>
    <w:rsid w:val="00AA7E8A"/>
    <w:rsid w:val="00AB1A94"/>
    <w:rsid w:val="00AB248D"/>
    <w:rsid w:val="00AB2915"/>
    <w:rsid w:val="00AB2B24"/>
    <w:rsid w:val="00AB488D"/>
    <w:rsid w:val="00AB4C36"/>
    <w:rsid w:val="00AB4F39"/>
    <w:rsid w:val="00AB51E0"/>
    <w:rsid w:val="00AB5B30"/>
    <w:rsid w:val="00AB5FC3"/>
    <w:rsid w:val="00AB6101"/>
    <w:rsid w:val="00AB7A8F"/>
    <w:rsid w:val="00AC0231"/>
    <w:rsid w:val="00AC07D2"/>
    <w:rsid w:val="00AC6009"/>
    <w:rsid w:val="00AD0DF6"/>
    <w:rsid w:val="00AD2826"/>
    <w:rsid w:val="00AD2957"/>
    <w:rsid w:val="00AD4944"/>
    <w:rsid w:val="00AD5849"/>
    <w:rsid w:val="00AD7B0F"/>
    <w:rsid w:val="00AD7CF0"/>
    <w:rsid w:val="00AE05F1"/>
    <w:rsid w:val="00AE1659"/>
    <w:rsid w:val="00AE43E5"/>
    <w:rsid w:val="00AE4EB6"/>
    <w:rsid w:val="00AE51EC"/>
    <w:rsid w:val="00AE6E0C"/>
    <w:rsid w:val="00AF1E99"/>
    <w:rsid w:val="00AF78EE"/>
    <w:rsid w:val="00B014C2"/>
    <w:rsid w:val="00B033B8"/>
    <w:rsid w:val="00B0347F"/>
    <w:rsid w:val="00B04FAA"/>
    <w:rsid w:val="00B119E0"/>
    <w:rsid w:val="00B11F68"/>
    <w:rsid w:val="00B121E8"/>
    <w:rsid w:val="00B12DEF"/>
    <w:rsid w:val="00B13499"/>
    <w:rsid w:val="00B1662F"/>
    <w:rsid w:val="00B20342"/>
    <w:rsid w:val="00B20D39"/>
    <w:rsid w:val="00B221CA"/>
    <w:rsid w:val="00B274BB"/>
    <w:rsid w:val="00B30133"/>
    <w:rsid w:val="00B37577"/>
    <w:rsid w:val="00B419B7"/>
    <w:rsid w:val="00B45711"/>
    <w:rsid w:val="00B46B34"/>
    <w:rsid w:val="00B5655C"/>
    <w:rsid w:val="00B56EB8"/>
    <w:rsid w:val="00B57637"/>
    <w:rsid w:val="00B60083"/>
    <w:rsid w:val="00B60EEC"/>
    <w:rsid w:val="00B6151B"/>
    <w:rsid w:val="00B6163A"/>
    <w:rsid w:val="00B62197"/>
    <w:rsid w:val="00B63BE0"/>
    <w:rsid w:val="00B63BEB"/>
    <w:rsid w:val="00B6474E"/>
    <w:rsid w:val="00B65CFA"/>
    <w:rsid w:val="00B66159"/>
    <w:rsid w:val="00B70F42"/>
    <w:rsid w:val="00B74BCA"/>
    <w:rsid w:val="00B756EA"/>
    <w:rsid w:val="00B75B65"/>
    <w:rsid w:val="00B7774A"/>
    <w:rsid w:val="00B77D78"/>
    <w:rsid w:val="00B81B37"/>
    <w:rsid w:val="00B81E82"/>
    <w:rsid w:val="00B82499"/>
    <w:rsid w:val="00B85C22"/>
    <w:rsid w:val="00B866E5"/>
    <w:rsid w:val="00B91EA5"/>
    <w:rsid w:val="00B929B4"/>
    <w:rsid w:val="00B931D1"/>
    <w:rsid w:val="00B938B2"/>
    <w:rsid w:val="00B943B1"/>
    <w:rsid w:val="00BA0556"/>
    <w:rsid w:val="00BA0A22"/>
    <w:rsid w:val="00BA14F4"/>
    <w:rsid w:val="00BA2E9B"/>
    <w:rsid w:val="00BA7189"/>
    <w:rsid w:val="00BB09C5"/>
    <w:rsid w:val="00BB13F4"/>
    <w:rsid w:val="00BB1C9B"/>
    <w:rsid w:val="00BB2189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4752"/>
    <w:rsid w:val="00BD63E9"/>
    <w:rsid w:val="00BE0EC8"/>
    <w:rsid w:val="00BE1062"/>
    <w:rsid w:val="00BE1FBF"/>
    <w:rsid w:val="00BE4892"/>
    <w:rsid w:val="00BE649D"/>
    <w:rsid w:val="00BE6E9C"/>
    <w:rsid w:val="00BF13E2"/>
    <w:rsid w:val="00BF249C"/>
    <w:rsid w:val="00BF2F17"/>
    <w:rsid w:val="00BF4361"/>
    <w:rsid w:val="00BF6568"/>
    <w:rsid w:val="00C02217"/>
    <w:rsid w:val="00C044F2"/>
    <w:rsid w:val="00C04559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7D2"/>
    <w:rsid w:val="00C31A26"/>
    <w:rsid w:val="00C327A5"/>
    <w:rsid w:val="00C3286F"/>
    <w:rsid w:val="00C32F05"/>
    <w:rsid w:val="00C33121"/>
    <w:rsid w:val="00C33F2C"/>
    <w:rsid w:val="00C34377"/>
    <w:rsid w:val="00C34941"/>
    <w:rsid w:val="00C35A92"/>
    <w:rsid w:val="00C378B5"/>
    <w:rsid w:val="00C37B14"/>
    <w:rsid w:val="00C40FDA"/>
    <w:rsid w:val="00C44943"/>
    <w:rsid w:val="00C44C95"/>
    <w:rsid w:val="00C4549D"/>
    <w:rsid w:val="00C45AB4"/>
    <w:rsid w:val="00C47097"/>
    <w:rsid w:val="00C5082A"/>
    <w:rsid w:val="00C52C5E"/>
    <w:rsid w:val="00C5549D"/>
    <w:rsid w:val="00C61BDC"/>
    <w:rsid w:val="00C61FF9"/>
    <w:rsid w:val="00C627A2"/>
    <w:rsid w:val="00C64C83"/>
    <w:rsid w:val="00C65525"/>
    <w:rsid w:val="00C6637E"/>
    <w:rsid w:val="00C7152A"/>
    <w:rsid w:val="00C728A7"/>
    <w:rsid w:val="00C7500F"/>
    <w:rsid w:val="00C751EA"/>
    <w:rsid w:val="00C75A4F"/>
    <w:rsid w:val="00C772EA"/>
    <w:rsid w:val="00C77663"/>
    <w:rsid w:val="00C80BDA"/>
    <w:rsid w:val="00C8212B"/>
    <w:rsid w:val="00C83591"/>
    <w:rsid w:val="00C83878"/>
    <w:rsid w:val="00C84027"/>
    <w:rsid w:val="00C85068"/>
    <w:rsid w:val="00C86127"/>
    <w:rsid w:val="00C87B1B"/>
    <w:rsid w:val="00C87BA7"/>
    <w:rsid w:val="00C901A4"/>
    <w:rsid w:val="00C92F44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25AB"/>
    <w:rsid w:val="00CA34C6"/>
    <w:rsid w:val="00CA4ADF"/>
    <w:rsid w:val="00CA6526"/>
    <w:rsid w:val="00CA7E59"/>
    <w:rsid w:val="00CB1829"/>
    <w:rsid w:val="00CB189E"/>
    <w:rsid w:val="00CB19CB"/>
    <w:rsid w:val="00CB204F"/>
    <w:rsid w:val="00CB2B16"/>
    <w:rsid w:val="00CB45B6"/>
    <w:rsid w:val="00CB5D7B"/>
    <w:rsid w:val="00CB6882"/>
    <w:rsid w:val="00CB7A76"/>
    <w:rsid w:val="00CC04C6"/>
    <w:rsid w:val="00CC2408"/>
    <w:rsid w:val="00CC39E5"/>
    <w:rsid w:val="00CC76C2"/>
    <w:rsid w:val="00CD0346"/>
    <w:rsid w:val="00CD291B"/>
    <w:rsid w:val="00CD40FD"/>
    <w:rsid w:val="00CD4E1C"/>
    <w:rsid w:val="00CE09F6"/>
    <w:rsid w:val="00CE128B"/>
    <w:rsid w:val="00CE46A5"/>
    <w:rsid w:val="00CE5A83"/>
    <w:rsid w:val="00CF0131"/>
    <w:rsid w:val="00CF05DA"/>
    <w:rsid w:val="00CF0A25"/>
    <w:rsid w:val="00CF370C"/>
    <w:rsid w:val="00CF4D9E"/>
    <w:rsid w:val="00CF50F6"/>
    <w:rsid w:val="00CF5C7C"/>
    <w:rsid w:val="00D0079F"/>
    <w:rsid w:val="00D03BE9"/>
    <w:rsid w:val="00D0470C"/>
    <w:rsid w:val="00D06428"/>
    <w:rsid w:val="00D06854"/>
    <w:rsid w:val="00D11E93"/>
    <w:rsid w:val="00D12D69"/>
    <w:rsid w:val="00D12F6E"/>
    <w:rsid w:val="00D215C9"/>
    <w:rsid w:val="00D23D51"/>
    <w:rsid w:val="00D23E53"/>
    <w:rsid w:val="00D246F5"/>
    <w:rsid w:val="00D24EDC"/>
    <w:rsid w:val="00D27671"/>
    <w:rsid w:val="00D277E5"/>
    <w:rsid w:val="00D315BC"/>
    <w:rsid w:val="00D31657"/>
    <w:rsid w:val="00D31FAE"/>
    <w:rsid w:val="00D359D7"/>
    <w:rsid w:val="00D419F1"/>
    <w:rsid w:val="00D4717B"/>
    <w:rsid w:val="00D478F2"/>
    <w:rsid w:val="00D50452"/>
    <w:rsid w:val="00D521BD"/>
    <w:rsid w:val="00D56DA8"/>
    <w:rsid w:val="00D6027A"/>
    <w:rsid w:val="00D62CCB"/>
    <w:rsid w:val="00D71175"/>
    <w:rsid w:val="00D7155A"/>
    <w:rsid w:val="00D71706"/>
    <w:rsid w:val="00D7256E"/>
    <w:rsid w:val="00D72F3D"/>
    <w:rsid w:val="00D74282"/>
    <w:rsid w:val="00D8286C"/>
    <w:rsid w:val="00D83021"/>
    <w:rsid w:val="00D9046D"/>
    <w:rsid w:val="00D9203E"/>
    <w:rsid w:val="00D9405A"/>
    <w:rsid w:val="00D94F4A"/>
    <w:rsid w:val="00DA0A55"/>
    <w:rsid w:val="00DA2CED"/>
    <w:rsid w:val="00DA33A5"/>
    <w:rsid w:val="00DA3D82"/>
    <w:rsid w:val="00DA4F89"/>
    <w:rsid w:val="00DA61A3"/>
    <w:rsid w:val="00DA6973"/>
    <w:rsid w:val="00DA775F"/>
    <w:rsid w:val="00DA7FAD"/>
    <w:rsid w:val="00DB0477"/>
    <w:rsid w:val="00DB1642"/>
    <w:rsid w:val="00DB28DC"/>
    <w:rsid w:val="00DB2ACC"/>
    <w:rsid w:val="00DB35ED"/>
    <w:rsid w:val="00DB7168"/>
    <w:rsid w:val="00DC00DC"/>
    <w:rsid w:val="00DC0A98"/>
    <w:rsid w:val="00DC1068"/>
    <w:rsid w:val="00DC1FD6"/>
    <w:rsid w:val="00DC2009"/>
    <w:rsid w:val="00DC27BB"/>
    <w:rsid w:val="00DC2AFF"/>
    <w:rsid w:val="00DC30F7"/>
    <w:rsid w:val="00DC614F"/>
    <w:rsid w:val="00DC7ACA"/>
    <w:rsid w:val="00DD0266"/>
    <w:rsid w:val="00DD0FE9"/>
    <w:rsid w:val="00DD21C0"/>
    <w:rsid w:val="00DD42C2"/>
    <w:rsid w:val="00DD5665"/>
    <w:rsid w:val="00DE01CE"/>
    <w:rsid w:val="00DE0762"/>
    <w:rsid w:val="00DE67FC"/>
    <w:rsid w:val="00DF00C1"/>
    <w:rsid w:val="00DF0637"/>
    <w:rsid w:val="00DF0A7E"/>
    <w:rsid w:val="00DF2F96"/>
    <w:rsid w:val="00DF4BCE"/>
    <w:rsid w:val="00E03A78"/>
    <w:rsid w:val="00E042D4"/>
    <w:rsid w:val="00E05D8F"/>
    <w:rsid w:val="00E07DF2"/>
    <w:rsid w:val="00E147E0"/>
    <w:rsid w:val="00E20B5B"/>
    <w:rsid w:val="00E22252"/>
    <w:rsid w:val="00E22906"/>
    <w:rsid w:val="00E22D5A"/>
    <w:rsid w:val="00E22EBE"/>
    <w:rsid w:val="00E25884"/>
    <w:rsid w:val="00E26AAA"/>
    <w:rsid w:val="00E3282D"/>
    <w:rsid w:val="00E3385D"/>
    <w:rsid w:val="00E3486C"/>
    <w:rsid w:val="00E360B7"/>
    <w:rsid w:val="00E43842"/>
    <w:rsid w:val="00E44062"/>
    <w:rsid w:val="00E4416C"/>
    <w:rsid w:val="00E47CB5"/>
    <w:rsid w:val="00E51BA8"/>
    <w:rsid w:val="00E51BE9"/>
    <w:rsid w:val="00E52FCD"/>
    <w:rsid w:val="00E54741"/>
    <w:rsid w:val="00E553C0"/>
    <w:rsid w:val="00E56A1F"/>
    <w:rsid w:val="00E5743D"/>
    <w:rsid w:val="00E61D5C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8125D"/>
    <w:rsid w:val="00E862B4"/>
    <w:rsid w:val="00E86AEA"/>
    <w:rsid w:val="00E90C7E"/>
    <w:rsid w:val="00E921F7"/>
    <w:rsid w:val="00E9274F"/>
    <w:rsid w:val="00EA1872"/>
    <w:rsid w:val="00EA2572"/>
    <w:rsid w:val="00EA2820"/>
    <w:rsid w:val="00EA3D35"/>
    <w:rsid w:val="00EA6137"/>
    <w:rsid w:val="00EB03F5"/>
    <w:rsid w:val="00EB0E1B"/>
    <w:rsid w:val="00EB263C"/>
    <w:rsid w:val="00EB4862"/>
    <w:rsid w:val="00EC09FD"/>
    <w:rsid w:val="00EC1C10"/>
    <w:rsid w:val="00EC1CD1"/>
    <w:rsid w:val="00EC2922"/>
    <w:rsid w:val="00EC4103"/>
    <w:rsid w:val="00ED175B"/>
    <w:rsid w:val="00ED22CA"/>
    <w:rsid w:val="00ED29AD"/>
    <w:rsid w:val="00ED377B"/>
    <w:rsid w:val="00ED49F3"/>
    <w:rsid w:val="00ED7A03"/>
    <w:rsid w:val="00EE35DE"/>
    <w:rsid w:val="00EE4E64"/>
    <w:rsid w:val="00EE4FC3"/>
    <w:rsid w:val="00EE50D2"/>
    <w:rsid w:val="00EF26A5"/>
    <w:rsid w:val="00EF335B"/>
    <w:rsid w:val="00EF4B50"/>
    <w:rsid w:val="00EF5FA2"/>
    <w:rsid w:val="00EF662A"/>
    <w:rsid w:val="00EF6CB9"/>
    <w:rsid w:val="00EF6E5B"/>
    <w:rsid w:val="00EF7435"/>
    <w:rsid w:val="00EF7544"/>
    <w:rsid w:val="00EF7A99"/>
    <w:rsid w:val="00F017F1"/>
    <w:rsid w:val="00F01C25"/>
    <w:rsid w:val="00F02F53"/>
    <w:rsid w:val="00F10EB1"/>
    <w:rsid w:val="00F12786"/>
    <w:rsid w:val="00F14553"/>
    <w:rsid w:val="00F154DF"/>
    <w:rsid w:val="00F15932"/>
    <w:rsid w:val="00F17FB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3776D"/>
    <w:rsid w:val="00F4308E"/>
    <w:rsid w:val="00F45FC6"/>
    <w:rsid w:val="00F465FD"/>
    <w:rsid w:val="00F520CA"/>
    <w:rsid w:val="00F543D6"/>
    <w:rsid w:val="00F56864"/>
    <w:rsid w:val="00F573E5"/>
    <w:rsid w:val="00F6109C"/>
    <w:rsid w:val="00F61450"/>
    <w:rsid w:val="00F64547"/>
    <w:rsid w:val="00F65DC0"/>
    <w:rsid w:val="00F65EC5"/>
    <w:rsid w:val="00F67545"/>
    <w:rsid w:val="00F73E4D"/>
    <w:rsid w:val="00F73FBF"/>
    <w:rsid w:val="00F768B2"/>
    <w:rsid w:val="00F80221"/>
    <w:rsid w:val="00F81BA5"/>
    <w:rsid w:val="00F82D25"/>
    <w:rsid w:val="00F8562F"/>
    <w:rsid w:val="00F86F4B"/>
    <w:rsid w:val="00F90216"/>
    <w:rsid w:val="00F90307"/>
    <w:rsid w:val="00F9294A"/>
    <w:rsid w:val="00F92A3D"/>
    <w:rsid w:val="00F967F9"/>
    <w:rsid w:val="00F97A74"/>
    <w:rsid w:val="00FA2DB4"/>
    <w:rsid w:val="00FA371D"/>
    <w:rsid w:val="00FA6053"/>
    <w:rsid w:val="00FA6507"/>
    <w:rsid w:val="00FA6DB0"/>
    <w:rsid w:val="00FB0E25"/>
    <w:rsid w:val="00FB2FE8"/>
    <w:rsid w:val="00FB4555"/>
    <w:rsid w:val="00FB4F40"/>
    <w:rsid w:val="00FC02DA"/>
    <w:rsid w:val="00FC054C"/>
    <w:rsid w:val="00FC4CC7"/>
    <w:rsid w:val="00FD2CCC"/>
    <w:rsid w:val="00FD3BBA"/>
    <w:rsid w:val="00FD4326"/>
    <w:rsid w:val="00FD7D7A"/>
    <w:rsid w:val="00FE2734"/>
    <w:rsid w:val="00FE4A0B"/>
    <w:rsid w:val="00FF1D9A"/>
    <w:rsid w:val="00FF39F2"/>
    <w:rsid w:val="00FF3E15"/>
    <w:rsid w:val="00FF4A85"/>
    <w:rsid w:val="00FF5C79"/>
    <w:rsid w:val="00FF6971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49D1"/>
    <w:rPr>
      <w:color w:val="800080" w:themeColor="followedHyperlink"/>
      <w:u w:val="single"/>
    </w:rPr>
  </w:style>
  <w:style w:type="paragraph" w:customStyle="1" w:styleId="tv2131">
    <w:name w:val="tv2131"/>
    <w:basedOn w:val="Normal"/>
    <w:rsid w:val="00436F9E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49D1"/>
    <w:rPr>
      <w:color w:val="800080" w:themeColor="followedHyperlink"/>
      <w:u w:val="single"/>
    </w:rPr>
  </w:style>
  <w:style w:type="paragraph" w:customStyle="1" w:styleId="tv2131">
    <w:name w:val="tv2131"/>
    <w:basedOn w:val="Normal"/>
    <w:rsid w:val="00436F9E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450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2722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55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6CE1-2CF1-4A2D-9FC4-5385CAC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1144</Words>
  <Characters>8244</Characters>
  <Application>Microsoft Office Word</Application>
  <DocSecurity>0</DocSecurity>
  <Lines>358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„„Noteikumi par atbalstu iesācējuzņēmumu apmācību un semināru organizēšanai”</vt:lpstr>
    </vt:vector>
  </TitlesOfParts>
  <Company>LR Ekonomikas ministrija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„„Noteikumi par atbalstu iesācējuzņēmumu apmācību un semināru organizēšanai”</dc:title>
  <dc:subject>Ministru kabineta noteikumu projekta „Noteikumi par atbalstu iesācējuzņēmumu apmācību un semināru organizēšanai” sākotnējās ietekmes novērtējuma ziņojums sākotnējās ietekmes novērtējuma ziņojums (anotācija)</dc:subject>
  <dc:creator>Baiba Strode</dc:creator>
  <dc:description>67013270, Baiba.Strode@em.gov.lv</dc:description>
  <cp:lastModifiedBy>Baiba Strode</cp:lastModifiedBy>
  <cp:revision>16</cp:revision>
  <cp:lastPrinted>2014-08-26T15:02:00Z</cp:lastPrinted>
  <dcterms:created xsi:type="dcterms:W3CDTF">2014-08-18T07:44:00Z</dcterms:created>
  <dcterms:modified xsi:type="dcterms:W3CDTF">2014-08-26T15:02:00Z</dcterms:modified>
</cp:coreProperties>
</file>