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FB" w:rsidRPr="00045B81" w:rsidRDefault="00D6125F" w:rsidP="00F031FB">
      <w:pPr>
        <w:jc w:val="center"/>
        <w:rPr>
          <w:bCs/>
          <w:sz w:val="26"/>
          <w:szCs w:val="26"/>
          <w14:shadow w14:blurRad="50800" w14:dist="38100" w14:dir="2700000" w14:sx="100000" w14:sy="100000" w14:kx="0" w14:ky="0" w14:algn="tl">
            <w14:srgbClr w14:val="000000">
              <w14:alpha w14:val="60000"/>
            </w14:srgbClr>
          </w14:shadow>
        </w:rPr>
      </w:pPr>
      <w:r>
        <w:rPr>
          <w:b/>
          <w:sz w:val="26"/>
          <w:szCs w:val="26"/>
        </w:rPr>
        <w:t xml:space="preserve">Ministru kabineta rīkojuma projekta „Par valsts īpašuma objekta Valdgales pagastā, Talsu novadā, nodošanu privatizācijai” </w:t>
      </w:r>
      <w:r w:rsidR="00F031FB" w:rsidRPr="00045B81">
        <w:rPr>
          <w:b/>
          <w:bCs/>
          <w:sz w:val="26"/>
          <w:szCs w:val="26"/>
        </w:rPr>
        <w:t>sākotnējās ietekmes novērtējuma ziņojums (anotācija)</w:t>
      </w:r>
    </w:p>
    <w:p w:rsidR="001B71CD" w:rsidRPr="00045B81" w:rsidRDefault="001B71CD" w:rsidP="001B71CD">
      <w:pPr>
        <w:jc w:val="center"/>
        <w:rPr>
          <w:b/>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045B81">
        <w:tc>
          <w:tcPr>
            <w:tcW w:w="9725" w:type="dxa"/>
            <w:gridSpan w:val="3"/>
            <w:vAlign w:val="center"/>
          </w:tcPr>
          <w:p w:rsidR="00852042" w:rsidRPr="00045B81" w:rsidRDefault="00852042" w:rsidP="006C4607">
            <w:pPr>
              <w:pStyle w:val="naisnod"/>
              <w:spacing w:before="0" w:after="0"/>
              <w:rPr>
                <w:sz w:val="26"/>
                <w:szCs w:val="26"/>
              </w:rPr>
            </w:pPr>
            <w:r w:rsidRPr="00045B81">
              <w:rPr>
                <w:sz w:val="26"/>
                <w:szCs w:val="26"/>
              </w:rPr>
              <w:t>I</w:t>
            </w:r>
            <w:r w:rsidR="000941C5" w:rsidRPr="00045B81">
              <w:rPr>
                <w:sz w:val="26"/>
                <w:szCs w:val="26"/>
              </w:rPr>
              <w:t>.</w:t>
            </w:r>
            <w:r w:rsidRPr="00045B81">
              <w:rPr>
                <w:sz w:val="26"/>
                <w:szCs w:val="26"/>
              </w:rPr>
              <w:t xml:space="preserve"> Tiesību akta </w:t>
            </w:r>
            <w:r w:rsidR="002E3FF4" w:rsidRPr="00045B81">
              <w:rPr>
                <w:sz w:val="26"/>
                <w:szCs w:val="26"/>
              </w:rPr>
              <w:t xml:space="preserve">projekta </w:t>
            </w:r>
            <w:r w:rsidRPr="00045B81">
              <w:rPr>
                <w:sz w:val="26"/>
                <w:szCs w:val="26"/>
              </w:rPr>
              <w:t>izstrādes nepieciešamība</w:t>
            </w:r>
          </w:p>
        </w:tc>
      </w:tr>
      <w:tr w:rsidR="00262E2B" w:rsidRPr="00045B81">
        <w:trPr>
          <w:trHeight w:val="630"/>
        </w:trPr>
        <w:tc>
          <w:tcPr>
            <w:tcW w:w="550" w:type="dxa"/>
          </w:tcPr>
          <w:p w:rsidR="00262E2B" w:rsidRPr="00045B81" w:rsidRDefault="00262E2B" w:rsidP="006C4607">
            <w:pPr>
              <w:pStyle w:val="naiskr"/>
              <w:spacing w:before="0" w:after="0"/>
              <w:rPr>
                <w:sz w:val="26"/>
                <w:szCs w:val="26"/>
              </w:rPr>
            </w:pPr>
            <w:r w:rsidRPr="00045B81">
              <w:rPr>
                <w:sz w:val="26"/>
                <w:szCs w:val="26"/>
              </w:rPr>
              <w:t>1.</w:t>
            </w:r>
          </w:p>
        </w:tc>
        <w:tc>
          <w:tcPr>
            <w:tcW w:w="4315" w:type="dxa"/>
          </w:tcPr>
          <w:p w:rsidR="00262E2B" w:rsidRPr="00045B81" w:rsidRDefault="002D7F54" w:rsidP="006C4607">
            <w:pPr>
              <w:pStyle w:val="naiskr"/>
              <w:spacing w:before="0" w:after="0"/>
              <w:ind w:hanging="10"/>
              <w:rPr>
                <w:sz w:val="26"/>
                <w:szCs w:val="26"/>
              </w:rPr>
            </w:pPr>
            <w:r w:rsidRPr="00045B81">
              <w:rPr>
                <w:sz w:val="26"/>
                <w:szCs w:val="26"/>
              </w:rPr>
              <w:t>Pamatojums</w:t>
            </w:r>
          </w:p>
        </w:tc>
        <w:tc>
          <w:tcPr>
            <w:tcW w:w="4860" w:type="dxa"/>
          </w:tcPr>
          <w:p w:rsidR="00D6125F" w:rsidRPr="00D6125F" w:rsidRDefault="00D6125F" w:rsidP="008A654D">
            <w:pPr>
              <w:spacing w:after="120"/>
              <w:ind w:firstLine="527"/>
              <w:jc w:val="both"/>
              <w:rPr>
                <w:sz w:val="26"/>
                <w:szCs w:val="26"/>
              </w:rPr>
            </w:pPr>
            <w:r w:rsidRPr="00D6125F">
              <w:rPr>
                <w:sz w:val="26"/>
                <w:szCs w:val="26"/>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D6125F" w:rsidRPr="00D6125F" w:rsidRDefault="00D6125F" w:rsidP="008A654D">
            <w:pPr>
              <w:spacing w:after="120"/>
              <w:ind w:firstLine="527"/>
              <w:jc w:val="both"/>
              <w:rPr>
                <w:sz w:val="26"/>
                <w:szCs w:val="26"/>
              </w:rPr>
            </w:pPr>
            <w:r w:rsidRPr="00D6125F">
              <w:rPr>
                <w:sz w:val="26"/>
                <w:szCs w:val="26"/>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D6125F" w:rsidRPr="00D6125F" w:rsidRDefault="00D6125F" w:rsidP="008A654D">
            <w:pPr>
              <w:spacing w:after="120"/>
              <w:ind w:firstLine="527"/>
              <w:jc w:val="both"/>
              <w:rPr>
                <w:sz w:val="26"/>
                <w:szCs w:val="26"/>
              </w:rPr>
            </w:pPr>
            <w:r w:rsidRPr="00D6125F">
              <w:rPr>
                <w:sz w:val="26"/>
                <w:szCs w:val="26"/>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D6125F" w:rsidRPr="00D6125F" w:rsidRDefault="00D6125F" w:rsidP="008A654D">
            <w:pPr>
              <w:spacing w:after="120"/>
              <w:ind w:firstLine="527"/>
              <w:jc w:val="both"/>
              <w:rPr>
                <w:sz w:val="26"/>
                <w:szCs w:val="26"/>
              </w:rPr>
            </w:pPr>
            <w:r w:rsidRPr="00D6125F">
              <w:rPr>
                <w:sz w:val="26"/>
                <w:szCs w:val="26"/>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D6125F" w:rsidRPr="00D6125F" w:rsidRDefault="00D6125F" w:rsidP="008A654D">
            <w:pPr>
              <w:spacing w:after="120"/>
              <w:ind w:firstLine="527"/>
              <w:jc w:val="both"/>
              <w:rPr>
                <w:sz w:val="26"/>
                <w:szCs w:val="26"/>
              </w:rPr>
            </w:pPr>
            <w:r w:rsidRPr="00D6125F">
              <w:rPr>
                <w:sz w:val="26"/>
                <w:szCs w:val="26"/>
              </w:rPr>
              <w:t xml:space="preserve">Pamatojoties uz Administratīvā procesa likuma 51.pantu un 56.panta pirmo daļu, ar </w:t>
            </w:r>
            <w:r w:rsidRPr="00D6125F">
              <w:rPr>
                <w:sz w:val="26"/>
                <w:szCs w:val="26"/>
              </w:rPr>
              <w:lastRenderedPageBreak/>
              <w:t>saņemtā privatizācijas ierosinājuma reģistrācijas brīdi ir ierosināta administratīvā lieta un to izskata iestāde atbilstoši savai kompetencei.</w:t>
            </w:r>
          </w:p>
          <w:p w:rsidR="00D6125F" w:rsidRPr="00D6125F" w:rsidRDefault="00D6125F" w:rsidP="008A654D">
            <w:pPr>
              <w:spacing w:after="120"/>
              <w:ind w:firstLine="527"/>
              <w:jc w:val="both"/>
              <w:rPr>
                <w:sz w:val="26"/>
                <w:szCs w:val="26"/>
              </w:rPr>
            </w:pPr>
            <w:r w:rsidRPr="00D6125F">
              <w:rPr>
                <w:sz w:val="26"/>
                <w:szCs w:val="26"/>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D6125F" w:rsidRPr="00D6125F" w:rsidRDefault="00D6125F" w:rsidP="008A654D">
            <w:pPr>
              <w:spacing w:after="120"/>
              <w:ind w:firstLine="527"/>
              <w:jc w:val="both"/>
              <w:rPr>
                <w:sz w:val="26"/>
                <w:szCs w:val="26"/>
              </w:rPr>
            </w:pPr>
            <w:r w:rsidRPr="00D6125F">
              <w:rPr>
                <w:sz w:val="26"/>
                <w:szCs w:val="26"/>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DD4EA0" w:rsidRPr="00045B81" w:rsidRDefault="00D6125F" w:rsidP="008A654D">
            <w:pPr>
              <w:spacing w:after="120"/>
              <w:ind w:firstLine="527"/>
              <w:jc w:val="both"/>
              <w:rPr>
                <w:sz w:val="26"/>
                <w:szCs w:val="26"/>
              </w:rPr>
            </w:pPr>
            <w:r w:rsidRPr="00D6125F">
              <w:rPr>
                <w:sz w:val="26"/>
                <w:szCs w:val="26"/>
              </w:rPr>
              <w:t>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p>
        </w:tc>
      </w:tr>
      <w:tr w:rsidR="00262E2B" w:rsidRPr="00045B81">
        <w:trPr>
          <w:trHeight w:val="472"/>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2.</w:t>
            </w:r>
          </w:p>
        </w:tc>
        <w:tc>
          <w:tcPr>
            <w:tcW w:w="4315" w:type="dxa"/>
          </w:tcPr>
          <w:p w:rsidR="00D543DB" w:rsidRPr="00045B81" w:rsidRDefault="00262E2B" w:rsidP="006C4607">
            <w:pPr>
              <w:pStyle w:val="naiskr"/>
              <w:tabs>
                <w:tab w:val="left" w:pos="170"/>
              </w:tabs>
              <w:spacing w:before="0" w:after="0"/>
              <w:rPr>
                <w:sz w:val="26"/>
                <w:szCs w:val="26"/>
              </w:rPr>
            </w:pPr>
            <w:r w:rsidRPr="00045B81">
              <w:rPr>
                <w:sz w:val="26"/>
                <w:szCs w:val="26"/>
              </w:rPr>
              <w:t>Pašreizējā situācija</w:t>
            </w:r>
            <w:r w:rsidR="001F5CD6" w:rsidRPr="00045B81">
              <w:rPr>
                <w:sz w:val="26"/>
                <w:szCs w:val="26"/>
              </w:rPr>
              <w:t xml:space="preserve"> un problēmas</w:t>
            </w:r>
            <w:r w:rsidR="00DC7EC8">
              <w:rPr>
                <w:sz w:val="26"/>
                <w:szCs w:val="26"/>
              </w:rPr>
              <w:t>, kuru risināšanai tiesību akta projekts izstrādāts, tiesiskā regulējuma mērķis un būtība</w:t>
            </w:r>
            <w:r w:rsidR="001B71CD" w:rsidRPr="00045B81">
              <w:rPr>
                <w:sz w:val="26"/>
                <w:szCs w:val="26"/>
              </w:rPr>
              <w:t xml:space="preserve"> </w:t>
            </w:r>
          </w:p>
          <w:p w:rsidR="00D543DB" w:rsidRPr="00045B81" w:rsidRDefault="00D543DB" w:rsidP="00D543DB">
            <w:pPr>
              <w:rPr>
                <w:sz w:val="26"/>
                <w:szCs w:val="26"/>
              </w:rPr>
            </w:pPr>
          </w:p>
          <w:p w:rsidR="00D543DB" w:rsidRPr="00045B81" w:rsidRDefault="00D543DB" w:rsidP="00D543DB">
            <w:pPr>
              <w:rPr>
                <w:sz w:val="26"/>
                <w:szCs w:val="26"/>
              </w:rPr>
            </w:pPr>
          </w:p>
          <w:p w:rsidR="00262E2B" w:rsidRPr="00045B81" w:rsidRDefault="00262E2B" w:rsidP="00D543DB">
            <w:pPr>
              <w:ind w:firstLine="720"/>
              <w:rPr>
                <w:sz w:val="26"/>
                <w:szCs w:val="26"/>
              </w:rPr>
            </w:pPr>
          </w:p>
        </w:tc>
        <w:tc>
          <w:tcPr>
            <w:tcW w:w="4860" w:type="dxa"/>
          </w:tcPr>
          <w:p w:rsidR="00D6125F" w:rsidRDefault="00D6125F" w:rsidP="00003448">
            <w:pPr>
              <w:spacing w:before="120" w:after="120"/>
              <w:jc w:val="both"/>
              <w:rPr>
                <w:sz w:val="26"/>
                <w:szCs w:val="26"/>
              </w:rPr>
            </w:pPr>
            <w:r>
              <w:rPr>
                <w:sz w:val="26"/>
                <w:szCs w:val="26"/>
              </w:rPr>
              <w:t>Ministru kabineta rīkojuma projekts paredz nodot privatizācijai un ierakstīt zemesgrāmatā uz valsts vārda Privatizācijas aģentūras personā divus valsts īpašuma objektus:</w:t>
            </w:r>
          </w:p>
          <w:p w:rsidR="00D6125F" w:rsidRPr="00D6125F" w:rsidRDefault="00D6125F" w:rsidP="00094207">
            <w:pPr>
              <w:pStyle w:val="ListParagraph"/>
              <w:numPr>
                <w:ilvl w:val="0"/>
                <w:numId w:val="23"/>
              </w:numPr>
              <w:spacing w:before="120" w:after="120" w:line="240" w:lineRule="auto"/>
              <w:ind w:left="0" w:firstLine="243"/>
              <w:jc w:val="both"/>
              <w:rPr>
                <w:rFonts w:ascii="Times New Roman" w:hAnsi="Times New Roman" w:cstheme="majorBidi"/>
                <w:b/>
                <w:bCs/>
                <w:color w:val="365F91" w:themeColor="accent1" w:themeShade="BF"/>
                <w:sz w:val="28"/>
                <w:szCs w:val="28"/>
              </w:rPr>
            </w:pPr>
            <w:r w:rsidRPr="00D6125F">
              <w:rPr>
                <w:rFonts w:ascii="Times New Roman" w:hAnsi="Times New Roman"/>
                <w:sz w:val="28"/>
                <w:szCs w:val="28"/>
              </w:rPr>
              <w:t>Nekustamo īpašumu „Spēkstacija”, kas sastāv no ēkas (bez kadastra a</w:t>
            </w:r>
            <w:r w:rsidR="00884CA2">
              <w:rPr>
                <w:rFonts w:ascii="Times New Roman" w:hAnsi="Times New Roman"/>
                <w:sz w:val="28"/>
                <w:szCs w:val="28"/>
              </w:rPr>
              <w:t>pzīmējuma), Valdgales pagastā, T</w:t>
            </w:r>
            <w:r w:rsidRPr="00D6125F">
              <w:rPr>
                <w:rFonts w:ascii="Times New Roman" w:hAnsi="Times New Roman"/>
                <w:sz w:val="28"/>
                <w:szCs w:val="28"/>
              </w:rPr>
              <w:t xml:space="preserve">alsu </w:t>
            </w:r>
            <w:r w:rsidRPr="00D6125F">
              <w:rPr>
                <w:rFonts w:ascii="Times New Roman" w:hAnsi="Times New Roman"/>
                <w:sz w:val="28"/>
                <w:szCs w:val="28"/>
              </w:rPr>
              <w:lastRenderedPageBreak/>
              <w:t>novadā;</w:t>
            </w:r>
          </w:p>
          <w:p w:rsidR="00D6125F" w:rsidRPr="00D6125F" w:rsidRDefault="007C0890" w:rsidP="00094207">
            <w:pPr>
              <w:pStyle w:val="ListParagraph"/>
              <w:numPr>
                <w:ilvl w:val="0"/>
                <w:numId w:val="23"/>
              </w:numPr>
              <w:spacing w:before="120" w:after="120" w:line="240" w:lineRule="auto"/>
              <w:ind w:left="0" w:firstLine="243"/>
              <w:jc w:val="both"/>
              <w:rPr>
                <w:rFonts w:ascii="Times New Roman" w:hAnsi="Times New Roman" w:cstheme="majorBidi"/>
                <w:b/>
                <w:bCs/>
                <w:color w:val="365F91" w:themeColor="accent1" w:themeShade="BF"/>
                <w:sz w:val="28"/>
                <w:szCs w:val="28"/>
              </w:rPr>
            </w:pPr>
            <w:r>
              <w:rPr>
                <w:rFonts w:ascii="Times New Roman" w:hAnsi="Times New Roman"/>
                <w:sz w:val="28"/>
                <w:szCs w:val="28"/>
              </w:rPr>
              <w:t>N</w:t>
            </w:r>
            <w:r w:rsidR="00884CA2">
              <w:rPr>
                <w:rFonts w:ascii="Times New Roman" w:hAnsi="Times New Roman"/>
                <w:sz w:val="28"/>
                <w:szCs w:val="28"/>
              </w:rPr>
              <w:t>ekustamo īpašumu „</w:t>
            </w:r>
            <w:proofErr w:type="spellStart"/>
            <w:r w:rsidR="00884CA2">
              <w:rPr>
                <w:rFonts w:ascii="Times New Roman" w:hAnsi="Times New Roman"/>
                <w:sz w:val="28"/>
                <w:szCs w:val="28"/>
              </w:rPr>
              <w:t>P</w:t>
            </w:r>
            <w:r w:rsidR="00D6125F" w:rsidRPr="00D6125F">
              <w:rPr>
                <w:rFonts w:ascii="Times New Roman" w:hAnsi="Times New Roman"/>
                <w:sz w:val="28"/>
                <w:szCs w:val="28"/>
              </w:rPr>
              <w:t>obužu</w:t>
            </w:r>
            <w:proofErr w:type="spellEnd"/>
            <w:r w:rsidR="00D6125F" w:rsidRPr="00D6125F">
              <w:rPr>
                <w:rFonts w:ascii="Times New Roman" w:hAnsi="Times New Roman"/>
                <w:sz w:val="28"/>
                <w:szCs w:val="28"/>
              </w:rPr>
              <w:t xml:space="preserve"> klēts”, kas sastāv no zemes vienības (zemes vienības kadastra apzīmējums 8892 005 0105) un ēkas (bez kadastra apzīmējuma) uz tā, Valdgales pagastā, Talsu novadā.</w:t>
            </w:r>
          </w:p>
          <w:p w:rsidR="00D6125F" w:rsidRPr="00F8207B" w:rsidRDefault="00D6125F" w:rsidP="00003448">
            <w:pPr>
              <w:pStyle w:val="naiskr"/>
              <w:spacing w:after="120"/>
              <w:ind w:firstLine="644"/>
              <w:jc w:val="both"/>
              <w:rPr>
                <w:sz w:val="28"/>
                <w:szCs w:val="28"/>
              </w:rPr>
            </w:pPr>
            <w:r>
              <w:rPr>
                <w:sz w:val="28"/>
                <w:szCs w:val="28"/>
              </w:rPr>
              <w:t>Saskaņā a</w:t>
            </w:r>
            <w:r w:rsidRPr="00F8207B">
              <w:rPr>
                <w:sz w:val="28"/>
                <w:szCs w:val="28"/>
              </w:rPr>
              <w:t>r Ministru kabineta 2008.gada 13.novembra rīkojumu Nr.714 „Par valsts akciju sabiedrības „Privatizācijas aģentūra” pilnvarošanu apzināt īpašuma objektus, par kuriem ir saņemti privatizācijas ierosinājumi”</w:t>
            </w:r>
            <w:r>
              <w:rPr>
                <w:sz w:val="28"/>
                <w:szCs w:val="28"/>
              </w:rPr>
              <w:t xml:space="preserve"> pielikuma 55. un 56.punktu</w:t>
            </w:r>
            <w:r w:rsidRPr="00F8207B">
              <w:rPr>
                <w:sz w:val="28"/>
                <w:szCs w:val="28"/>
              </w:rPr>
              <w:t xml:space="preserve"> Privatizācijas aģentūra ir pilnvarota valsts vārdā vērsties tiesā vai pie notāra, lai veiktu darbības, kas nepieciešamas minēto objektu atzīšanai par bezīpašnieka vai bezmantinieka mantu. </w:t>
            </w:r>
          </w:p>
          <w:p w:rsidR="00D6125F" w:rsidRPr="00F8207B" w:rsidRDefault="00D6125F" w:rsidP="00516421">
            <w:pPr>
              <w:pStyle w:val="naiskr"/>
              <w:spacing w:before="0" w:after="120"/>
              <w:ind w:firstLine="644"/>
              <w:jc w:val="both"/>
              <w:rPr>
                <w:rFonts w:asciiTheme="majorHAnsi" w:eastAsiaTheme="majorEastAsia" w:hAnsiTheme="majorHAnsi" w:cstheme="majorBidi"/>
                <w:b/>
                <w:bCs/>
                <w:color w:val="365F91" w:themeColor="accent1" w:themeShade="BF"/>
                <w:sz w:val="28"/>
                <w:szCs w:val="28"/>
              </w:rPr>
            </w:pPr>
            <w:r w:rsidRPr="00F8207B">
              <w:rPr>
                <w:sz w:val="28"/>
                <w:szCs w:val="28"/>
              </w:rPr>
              <w:t xml:space="preserve">Ar Rīgas pilsētas Vidzemes priekšpilsētas tiesas 2012.gada 23.janvāra spriedumu (spriedums stājies likumīgā spēkā 2012.gada 14.februārī) lietā Nr.C30729810 nolemts apmierināt Privatizācijas aģentūras pieteikumu un konstatēt juridisko faktu, ka nekustamais īpašums – ēka (būve) </w:t>
            </w:r>
            <w:r w:rsidRPr="00F8207B">
              <w:rPr>
                <w:b/>
                <w:sz w:val="28"/>
                <w:szCs w:val="28"/>
              </w:rPr>
              <w:t>„Spēkstacija”, Valdgales pagastā, Talsu novadā</w:t>
            </w:r>
            <w:r w:rsidRPr="00F8207B">
              <w:rPr>
                <w:sz w:val="28"/>
                <w:szCs w:val="28"/>
              </w:rPr>
              <w:t>, kas atrodas uz zemesgabala ar kadastra apzīmējumu 8892 008 0077, ir bezīpašnieka lieta,</w:t>
            </w:r>
            <w:r w:rsidRPr="00F8207B">
              <w:rPr>
                <w:color w:val="FF0000"/>
                <w:sz w:val="28"/>
                <w:szCs w:val="28"/>
              </w:rPr>
              <w:t xml:space="preserve"> </w:t>
            </w:r>
            <w:r w:rsidRPr="00F8207B">
              <w:rPr>
                <w:sz w:val="28"/>
                <w:szCs w:val="28"/>
              </w:rPr>
              <w:t>kas piekritīga valstij.</w:t>
            </w:r>
          </w:p>
          <w:p w:rsidR="00D6125F" w:rsidRDefault="00D6125F" w:rsidP="00516421">
            <w:pPr>
              <w:pStyle w:val="naiskr"/>
              <w:spacing w:before="0" w:after="120"/>
              <w:ind w:firstLine="644"/>
              <w:jc w:val="both"/>
              <w:rPr>
                <w:rFonts w:asciiTheme="majorHAnsi" w:eastAsiaTheme="majorEastAsia" w:hAnsiTheme="majorHAnsi" w:cstheme="majorBidi"/>
                <w:b/>
                <w:bCs/>
                <w:color w:val="365F91" w:themeColor="accent1" w:themeShade="BF"/>
                <w:sz w:val="28"/>
                <w:szCs w:val="28"/>
              </w:rPr>
            </w:pPr>
            <w:r w:rsidRPr="00F8207B">
              <w:rPr>
                <w:sz w:val="28"/>
                <w:szCs w:val="28"/>
              </w:rPr>
              <w:t xml:space="preserve">Ar Rīgas pilsētas Vidzemes priekšpilsētas tiesas 2012.gada 26.janvāra spriedumu (spriedums stājies likumīgā spēkā 2012.gada 16.februārī) lietā Nr.C30719910 nolemts apmierināt Privatizācijas aģentūras pieteikumu un konstatēt juridisko faktu, ka nekustamais īpašums – ēka (būve) </w:t>
            </w:r>
            <w:r w:rsidRPr="00F8207B">
              <w:rPr>
                <w:b/>
                <w:sz w:val="28"/>
                <w:szCs w:val="28"/>
              </w:rPr>
              <w:t>„</w:t>
            </w:r>
            <w:proofErr w:type="spellStart"/>
            <w:r w:rsidRPr="00F8207B">
              <w:rPr>
                <w:b/>
                <w:sz w:val="28"/>
                <w:szCs w:val="28"/>
              </w:rPr>
              <w:t>Pobužu</w:t>
            </w:r>
            <w:proofErr w:type="spellEnd"/>
            <w:r w:rsidRPr="00F8207B">
              <w:rPr>
                <w:b/>
                <w:sz w:val="28"/>
                <w:szCs w:val="28"/>
              </w:rPr>
              <w:t xml:space="preserve"> klēts”, Valdgales pagastā, Talsu novadā</w:t>
            </w:r>
            <w:r w:rsidRPr="00F8207B">
              <w:rPr>
                <w:sz w:val="28"/>
                <w:szCs w:val="28"/>
              </w:rPr>
              <w:t>, kas atrodas uz zemesgabala ar kadastra apzīmējumu 8892 005 0105, ir bezīpašnieka lieta,</w:t>
            </w:r>
            <w:r w:rsidRPr="00F8207B">
              <w:rPr>
                <w:color w:val="FF0000"/>
                <w:sz w:val="28"/>
                <w:szCs w:val="28"/>
              </w:rPr>
              <w:t xml:space="preserve"> </w:t>
            </w:r>
            <w:r w:rsidRPr="00F8207B">
              <w:rPr>
                <w:sz w:val="28"/>
                <w:szCs w:val="28"/>
              </w:rPr>
              <w:t>kas piekritīga valstij.</w:t>
            </w:r>
          </w:p>
          <w:p w:rsidR="00D6125F" w:rsidRDefault="00D6125F" w:rsidP="00516421">
            <w:pPr>
              <w:pStyle w:val="naiskr"/>
              <w:spacing w:before="0" w:after="120"/>
              <w:ind w:firstLine="644"/>
              <w:jc w:val="both"/>
              <w:rPr>
                <w:rFonts w:asciiTheme="majorHAnsi" w:eastAsiaTheme="majorEastAsia" w:hAnsiTheme="majorHAnsi" w:cstheme="majorBidi"/>
                <w:b/>
                <w:bCs/>
                <w:color w:val="365F91" w:themeColor="accent1" w:themeShade="BF"/>
                <w:sz w:val="28"/>
                <w:szCs w:val="28"/>
              </w:rPr>
            </w:pPr>
            <w:r>
              <w:rPr>
                <w:sz w:val="28"/>
                <w:szCs w:val="28"/>
              </w:rPr>
              <w:t xml:space="preserve">Saskaņā ar Ministru kabineta </w:t>
            </w:r>
            <w:r>
              <w:rPr>
                <w:sz w:val="28"/>
                <w:szCs w:val="28"/>
              </w:rPr>
              <w:lastRenderedPageBreak/>
              <w:t>2006.gada 25.aprīļa noteikumu Nr</w:t>
            </w:r>
            <w:r w:rsidR="007C0890">
              <w:rPr>
                <w:sz w:val="28"/>
                <w:szCs w:val="28"/>
              </w:rPr>
              <w:t>.</w:t>
            </w:r>
            <w:r>
              <w:rPr>
                <w:sz w:val="28"/>
                <w:szCs w:val="28"/>
              </w:rPr>
              <w:t xml:space="preserve">315 „Kārtība, kādā veicama valstij piekritīgās mantas uzskaite, novērtēšana, realizācija, nodošana bez maksas, iznīcināšana, un realizācijas ieņēmumu ieskaitīšana valsts budžetā” (Noteikumi bija spēkā līdz 2014.gada 1.janvārim) (turpmāk – Noteikumi Nr.315) 12.punktu Valsts ieņēmumu dienests pēc šo noteikumu 4.un 5. </w:t>
            </w:r>
            <w:r w:rsidR="00094207">
              <w:rPr>
                <w:sz w:val="28"/>
                <w:szCs w:val="28"/>
              </w:rPr>
              <w:t>p</w:t>
            </w:r>
            <w:r>
              <w:rPr>
                <w:sz w:val="28"/>
                <w:szCs w:val="28"/>
              </w:rPr>
              <w:t>unktā noteikto dokumentu saņemšanas piecu darba dienu laikā pieņem un uzskaita valstij piekritīgo mantu, sastādot valstij piekritīgās mantas pieņemšanas un nodošanas aktu divos eksemplāros. Vienu eksemplāru glabā Valsts ieņēmumu dienestā, otru</w:t>
            </w:r>
            <w:r w:rsidR="00094207">
              <w:rPr>
                <w:sz w:val="28"/>
                <w:szCs w:val="28"/>
              </w:rPr>
              <w:t xml:space="preserve"> </w:t>
            </w:r>
            <w:r>
              <w:rPr>
                <w:sz w:val="28"/>
                <w:szCs w:val="28"/>
              </w:rPr>
              <w:t xml:space="preserve">- iestādē vai </w:t>
            </w:r>
            <w:r w:rsidR="00094207">
              <w:rPr>
                <w:sz w:val="28"/>
                <w:szCs w:val="28"/>
              </w:rPr>
              <w:t xml:space="preserve">Privatizācijas </w:t>
            </w:r>
            <w:r>
              <w:rPr>
                <w:sz w:val="28"/>
                <w:szCs w:val="28"/>
              </w:rPr>
              <w:t>aģentūrā, kas nodevusi valstij piekritīgo mantu.</w:t>
            </w:r>
          </w:p>
          <w:p w:rsidR="00D6125F" w:rsidRDefault="00D6125F" w:rsidP="00516421">
            <w:pPr>
              <w:pStyle w:val="naiskr"/>
              <w:spacing w:before="0" w:after="120"/>
              <w:ind w:firstLine="644"/>
              <w:jc w:val="both"/>
              <w:rPr>
                <w:rFonts w:asciiTheme="majorHAnsi" w:eastAsiaTheme="majorEastAsia" w:hAnsiTheme="majorHAnsi" w:cstheme="majorBidi"/>
                <w:b/>
                <w:bCs/>
                <w:color w:val="365F91" w:themeColor="accent1" w:themeShade="BF"/>
                <w:szCs w:val="28"/>
              </w:rPr>
            </w:pPr>
            <w:r>
              <w:rPr>
                <w:sz w:val="28"/>
                <w:szCs w:val="28"/>
              </w:rPr>
              <w:t>Atbilstoši Noteikumu Nr.315 22.punktam valstij piekritīgās mantas novērtēšanas komisijas novērtējumu ieraksta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r w:rsidRPr="00F8207B">
              <w:rPr>
                <w:szCs w:val="28"/>
              </w:rPr>
              <w:t xml:space="preserve"> </w:t>
            </w:r>
          </w:p>
          <w:p w:rsidR="00D6125F" w:rsidRPr="00C30F95" w:rsidRDefault="00D6125F" w:rsidP="00516421">
            <w:pPr>
              <w:pStyle w:val="naiskr"/>
              <w:spacing w:before="0" w:after="120"/>
              <w:ind w:firstLine="644"/>
              <w:jc w:val="both"/>
              <w:rPr>
                <w:rFonts w:asciiTheme="majorHAnsi" w:eastAsiaTheme="majorEastAsia" w:hAnsiTheme="majorHAnsi" w:cstheme="majorBidi"/>
                <w:b/>
                <w:bCs/>
                <w:color w:val="365F91" w:themeColor="accent1" w:themeShade="BF"/>
                <w:sz w:val="28"/>
                <w:szCs w:val="28"/>
              </w:rPr>
            </w:pPr>
            <w:r w:rsidRPr="00C30F95">
              <w:rPr>
                <w:sz w:val="28"/>
                <w:szCs w:val="28"/>
              </w:rPr>
              <w:t>Valsts ieņēmumu dienesta Nodokļu parādu piedziņas pārvalde ar 2012.gada 22.novembra vēstuli Nr.4.2.3/97325 ir informējusi, ka par bezīpašnieka mantu, kas piekritīga valstij, atzītie nekustamie īpašumi „Spēkstacija”, un „</w:t>
            </w:r>
            <w:proofErr w:type="spellStart"/>
            <w:r w:rsidRPr="00C30F95">
              <w:rPr>
                <w:sz w:val="28"/>
                <w:szCs w:val="28"/>
              </w:rPr>
              <w:t>Pobužu</w:t>
            </w:r>
            <w:proofErr w:type="spellEnd"/>
            <w:r w:rsidRPr="00C30F95">
              <w:rPr>
                <w:sz w:val="28"/>
                <w:szCs w:val="28"/>
              </w:rPr>
              <w:t xml:space="preserve"> klēts” Valdgales pagastā, Talsu novadā, un ir ņemti valsts uzskaitē 2012.gada 11.jūlijā ar aktu attiecīgi Nr.007850 un Nr.007848. </w:t>
            </w:r>
          </w:p>
          <w:p w:rsidR="00D6125F" w:rsidRPr="00FA7290" w:rsidRDefault="00D6125F" w:rsidP="00516421">
            <w:pPr>
              <w:tabs>
                <w:tab w:val="left" w:pos="850"/>
              </w:tabs>
              <w:spacing w:before="120"/>
              <w:ind w:firstLine="644"/>
              <w:jc w:val="both"/>
              <w:rPr>
                <w:rFonts w:asciiTheme="majorHAnsi" w:eastAsiaTheme="majorEastAsia" w:hAnsiTheme="majorHAnsi" w:cstheme="majorBidi"/>
                <w:b/>
                <w:bCs/>
                <w:color w:val="365F91" w:themeColor="accent1" w:themeShade="BF"/>
                <w:sz w:val="28"/>
                <w:szCs w:val="28"/>
              </w:rPr>
            </w:pPr>
            <w:r>
              <w:rPr>
                <w:sz w:val="28"/>
                <w:szCs w:val="28"/>
              </w:rPr>
              <w:t>Šī gada 1.janvārī stājās spēkā Ministru kabineta 2013</w:t>
            </w:r>
            <w:r w:rsidR="007C0890">
              <w:rPr>
                <w:sz w:val="28"/>
                <w:szCs w:val="28"/>
              </w:rPr>
              <w:t>.gada 26.novembra noteikumi Nr.</w:t>
            </w:r>
            <w:r>
              <w:rPr>
                <w:sz w:val="28"/>
                <w:szCs w:val="28"/>
              </w:rPr>
              <w:t xml:space="preserve">1354 „Kārtība, kādā veicama valstij piekritīgās mantas uzskaite, novērtēšana, realizācija, nodošana bez </w:t>
            </w:r>
            <w:r>
              <w:rPr>
                <w:sz w:val="28"/>
                <w:szCs w:val="28"/>
              </w:rPr>
              <w:lastRenderedPageBreak/>
              <w:t xml:space="preserve">maksas, iznīcināšana un realizācijas ieņēmumu ieskaitīšana valsts budžetā” </w:t>
            </w:r>
            <w:r w:rsidRPr="00F8207B">
              <w:rPr>
                <w:sz w:val="28"/>
                <w:szCs w:val="28"/>
              </w:rPr>
              <w:t>(turpmāk – Noteikumi Nr.</w:t>
            </w:r>
            <w:r>
              <w:rPr>
                <w:sz w:val="28"/>
                <w:szCs w:val="28"/>
              </w:rPr>
              <w:t>1354</w:t>
            </w:r>
            <w:r w:rsidRPr="00F8207B">
              <w:rPr>
                <w:sz w:val="28"/>
                <w:szCs w:val="28"/>
              </w:rPr>
              <w:t>)</w:t>
            </w:r>
            <w:r>
              <w:rPr>
                <w:sz w:val="28"/>
                <w:szCs w:val="28"/>
              </w:rPr>
              <w:t>.</w:t>
            </w:r>
            <w:r w:rsidRPr="00FA7290">
              <w:rPr>
                <w:sz w:val="28"/>
                <w:szCs w:val="28"/>
              </w:rPr>
              <w:t>Saskaņā ar Ministru kabineta noteikumu Nr.1354 32.9.apakšpunktu Valsts ieņēmumu dienests ar mantas novērtējuma aktu bez maksas nodod valstij piekritīgo nekustamo īpašumu, par kuru Valsts un pašvaldību īpašuma privatizācijas un privatizācijas sertifikātu izmantošanas pabeigšanas likuma 5.pantā noteiktajā kārtībā ir iesniegts šā nekustamā īpašuma privatizācijas ierosinājums un Ministru kabinets nav pieņēmis lēmumu par nekustamā īpašuma nodošanu privatizācijai vai atteikumu nodot to privatizācijai, –</w:t>
            </w:r>
            <w:r w:rsidR="007C0890">
              <w:rPr>
                <w:sz w:val="28"/>
                <w:szCs w:val="28"/>
              </w:rPr>
              <w:t xml:space="preserve"> </w:t>
            </w:r>
            <w:r w:rsidRPr="00FA7290">
              <w:rPr>
                <w:sz w:val="28"/>
                <w:szCs w:val="28"/>
              </w:rPr>
              <w:t xml:space="preserve">Privatizācijas aģentūra valdījumā. </w:t>
            </w:r>
          </w:p>
          <w:p w:rsidR="00D6125F" w:rsidRDefault="00D6125F" w:rsidP="00516421">
            <w:pPr>
              <w:tabs>
                <w:tab w:val="left" w:pos="850"/>
              </w:tabs>
              <w:spacing w:before="120"/>
              <w:ind w:firstLine="644"/>
              <w:jc w:val="both"/>
              <w:rPr>
                <w:rFonts w:asciiTheme="majorHAnsi" w:eastAsiaTheme="majorEastAsia" w:hAnsiTheme="majorHAnsi" w:cstheme="majorBidi"/>
                <w:b/>
                <w:bCs/>
                <w:color w:val="365F91" w:themeColor="accent1" w:themeShade="BF"/>
                <w:sz w:val="28"/>
                <w:szCs w:val="28"/>
              </w:rPr>
            </w:pPr>
            <w:r w:rsidRPr="00FA7290">
              <w:rPr>
                <w:sz w:val="28"/>
                <w:szCs w:val="28"/>
              </w:rPr>
              <w:t>Ņemot vērā Noteikumos Nr.1354 32.9.apakšpunktā noteikto Privatizācijas aģentūra ir uzsākusi Ministru kabineta rīkojuma projektā norādīto īpašuma objektu pārņemšanu savā valdījumā. Vienlaicīgi ir jānorāda, ka gadījumā, ja Privatizācijas aģentūra atbilstoši Noteikumos Nr.1354 noteiktajai kārtībai, nepārņem valdījumā Ministru kabineta rīkojuma projektā norādītos valsts īpašuma objektus līdz lēmuma pieņemšanai par to nodošanu privatizācijai, tad Privatizācijas aģentūrai tie būs jāpārņem saskaņā ar Privatizācijas likuma 13.panta pirmajā daļā noteikto kārtību.</w:t>
            </w:r>
          </w:p>
          <w:p w:rsidR="00516421" w:rsidRPr="00516421" w:rsidRDefault="00516421" w:rsidP="00516421">
            <w:pPr>
              <w:pStyle w:val="BodyText"/>
              <w:numPr>
                <w:ilvl w:val="0"/>
                <w:numId w:val="21"/>
              </w:numPr>
              <w:tabs>
                <w:tab w:val="left" w:pos="77"/>
              </w:tabs>
              <w:ind w:left="102" w:hanging="102"/>
              <w:jc w:val="center"/>
              <w:rPr>
                <w:rFonts w:asciiTheme="majorHAnsi" w:eastAsiaTheme="majorEastAsia" w:hAnsiTheme="majorHAnsi" w:cstheme="majorBidi"/>
                <w:b/>
                <w:bCs/>
                <w:color w:val="365F91" w:themeColor="accent1" w:themeShade="BF"/>
                <w:szCs w:val="28"/>
              </w:rPr>
            </w:pPr>
            <w:r w:rsidRPr="00516421">
              <w:rPr>
                <w:b/>
                <w:szCs w:val="28"/>
              </w:rPr>
              <w:t>Valsts īpašuma objekts - „Spēkstacija” Valdgales pagastā, Talsu novadā.</w:t>
            </w:r>
          </w:p>
          <w:p w:rsidR="00D6125F" w:rsidRPr="000B4076" w:rsidRDefault="00516421" w:rsidP="005C5D75">
            <w:pPr>
              <w:pStyle w:val="BodyText"/>
              <w:tabs>
                <w:tab w:val="left" w:pos="77"/>
              </w:tabs>
              <w:ind w:left="102"/>
              <w:jc w:val="left"/>
              <w:rPr>
                <w:rFonts w:asciiTheme="majorHAnsi" w:eastAsiaTheme="majorEastAsia" w:hAnsiTheme="majorHAnsi" w:cstheme="majorBidi"/>
                <w:b/>
                <w:bCs/>
                <w:i/>
                <w:color w:val="365F91" w:themeColor="accent1" w:themeShade="BF"/>
                <w:szCs w:val="28"/>
              </w:rPr>
            </w:pPr>
            <w:r>
              <w:rPr>
                <w:b/>
                <w:i/>
                <w:szCs w:val="28"/>
              </w:rPr>
              <w:t>1.1.</w:t>
            </w:r>
            <w:r w:rsidR="00D6125F" w:rsidRPr="000B4076">
              <w:rPr>
                <w:b/>
                <w:i/>
                <w:szCs w:val="28"/>
              </w:rPr>
              <w:t>Valsts īpašuma objekta sastāvs;</w:t>
            </w:r>
          </w:p>
          <w:p w:rsidR="00D6125F" w:rsidRDefault="00D6125F" w:rsidP="00516421">
            <w:pPr>
              <w:pStyle w:val="BodyText"/>
              <w:tabs>
                <w:tab w:val="left" w:pos="77"/>
              </w:tabs>
              <w:ind w:left="102" w:hanging="102"/>
              <w:rPr>
                <w:rFonts w:asciiTheme="majorHAnsi" w:eastAsiaTheme="majorEastAsia" w:hAnsiTheme="majorHAnsi" w:cstheme="majorBidi"/>
                <w:b/>
                <w:bCs/>
                <w:color w:val="365F91" w:themeColor="accent1" w:themeShade="BF"/>
                <w:szCs w:val="28"/>
              </w:rPr>
            </w:pPr>
            <w:r>
              <w:rPr>
                <w:szCs w:val="28"/>
              </w:rPr>
              <w:t xml:space="preserve">Nekustamais īpašums </w:t>
            </w:r>
            <w:r w:rsidRPr="00FA7290">
              <w:rPr>
                <w:szCs w:val="28"/>
              </w:rPr>
              <w:t>„Spēkstacija</w:t>
            </w:r>
            <w:r>
              <w:rPr>
                <w:szCs w:val="28"/>
              </w:rPr>
              <w:t>”</w:t>
            </w:r>
            <w:r w:rsidRPr="00FA7290">
              <w:rPr>
                <w:szCs w:val="28"/>
              </w:rPr>
              <w:t xml:space="preserve"> sastāv no ēkas</w:t>
            </w:r>
            <w:r>
              <w:rPr>
                <w:szCs w:val="28"/>
              </w:rPr>
              <w:t xml:space="preserve"> (bez kadastra apzīmējuma)</w:t>
            </w:r>
            <w:r w:rsidRPr="00FA7290">
              <w:rPr>
                <w:szCs w:val="28"/>
              </w:rPr>
              <w:t xml:space="preserve"> Valdgales pagastā, Talsu novadā</w:t>
            </w:r>
            <w:r>
              <w:rPr>
                <w:szCs w:val="28"/>
              </w:rPr>
              <w:t xml:space="preserve"> </w:t>
            </w:r>
            <w:r w:rsidRPr="00FA7290">
              <w:rPr>
                <w:szCs w:val="28"/>
              </w:rPr>
              <w:t>(turpmāk –</w:t>
            </w:r>
            <w:r>
              <w:rPr>
                <w:szCs w:val="28"/>
              </w:rPr>
              <w:t xml:space="preserve"> Valsts īpašuma o</w:t>
            </w:r>
            <w:r w:rsidRPr="00FA7290">
              <w:rPr>
                <w:szCs w:val="28"/>
              </w:rPr>
              <w:t>bjekts Nr.1);</w:t>
            </w:r>
            <w:r>
              <w:rPr>
                <w:szCs w:val="28"/>
              </w:rPr>
              <w:t xml:space="preserve"> </w:t>
            </w:r>
          </w:p>
          <w:p w:rsidR="00D6125F" w:rsidRPr="000B4076" w:rsidRDefault="00884CA2" w:rsidP="00094207">
            <w:pPr>
              <w:pStyle w:val="BodyText"/>
              <w:tabs>
                <w:tab w:val="left" w:pos="-40"/>
                <w:tab w:val="left" w:pos="77"/>
              </w:tabs>
              <w:jc w:val="left"/>
              <w:rPr>
                <w:rFonts w:asciiTheme="majorHAnsi" w:eastAsiaTheme="majorEastAsia" w:hAnsiTheme="majorHAnsi" w:cstheme="majorBidi"/>
                <w:b/>
                <w:bCs/>
                <w:i/>
                <w:color w:val="365F91" w:themeColor="accent1" w:themeShade="BF"/>
                <w:szCs w:val="28"/>
              </w:rPr>
            </w:pPr>
            <w:r>
              <w:rPr>
                <w:b/>
                <w:i/>
                <w:szCs w:val="28"/>
              </w:rPr>
              <w:t>1.</w:t>
            </w:r>
            <w:r w:rsidR="00516421">
              <w:rPr>
                <w:b/>
                <w:i/>
                <w:szCs w:val="28"/>
              </w:rPr>
              <w:t>2</w:t>
            </w:r>
            <w:r w:rsidR="00F64302">
              <w:rPr>
                <w:b/>
                <w:i/>
                <w:szCs w:val="28"/>
              </w:rPr>
              <w:t>.</w:t>
            </w:r>
            <w:r w:rsidR="00D6125F" w:rsidRPr="000B4076">
              <w:rPr>
                <w:b/>
                <w:i/>
                <w:szCs w:val="28"/>
              </w:rPr>
              <w:t>Valsts īpašuma objekta</w:t>
            </w:r>
            <w:r w:rsidR="002E6BBB">
              <w:rPr>
                <w:b/>
                <w:i/>
                <w:szCs w:val="28"/>
              </w:rPr>
              <w:t xml:space="preserve"> Nr.1</w:t>
            </w:r>
            <w:r w:rsidR="00D6125F" w:rsidRPr="000B4076">
              <w:rPr>
                <w:b/>
                <w:i/>
                <w:szCs w:val="28"/>
              </w:rPr>
              <w:t xml:space="preserve"> adrese </w:t>
            </w:r>
            <w:r w:rsidR="002E6BBB">
              <w:rPr>
                <w:b/>
                <w:i/>
                <w:szCs w:val="28"/>
              </w:rPr>
              <w:t xml:space="preserve">un </w:t>
            </w:r>
            <w:r w:rsidR="00D6125F" w:rsidRPr="000B4076">
              <w:rPr>
                <w:b/>
                <w:i/>
                <w:szCs w:val="28"/>
              </w:rPr>
              <w:t>kadastra numurs;</w:t>
            </w:r>
          </w:p>
          <w:p w:rsidR="00D6125F" w:rsidRDefault="00D6125F" w:rsidP="00516421">
            <w:pPr>
              <w:pStyle w:val="BodyText"/>
              <w:tabs>
                <w:tab w:val="left" w:pos="77"/>
                <w:tab w:val="left" w:pos="1129"/>
              </w:tabs>
              <w:ind w:firstLine="644"/>
              <w:rPr>
                <w:rFonts w:asciiTheme="majorHAnsi" w:eastAsiaTheme="majorEastAsia" w:hAnsiTheme="majorHAnsi" w:cstheme="majorBidi"/>
                <w:b/>
                <w:bCs/>
                <w:color w:val="365F91" w:themeColor="accent1" w:themeShade="BF"/>
                <w:szCs w:val="28"/>
              </w:rPr>
            </w:pPr>
            <w:r>
              <w:rPr>
                <w:szCs w:val="28"/>
              </w:rPr>
              <w:lastRenderedPageBreak/>
              <w:t>Valsts īpašuma objektā Nr.1 ietilpstošā ēka (bez kadastra apzīmējuma) atbilstoši Nekustamā īpašuma valsts kadastra informācijas sistēmas datiem</w:t>
            </w:r>
            <w:r w:rsidRPr="00F8207B">
              <w:rPr>
                <w:szCs w:val="28"/>
              </w:rPr>
              <w:t xml:space="preserve"> atrodas uz zemes vienības ar kadastra apzīmējumu 8892 008 0077, kas ietilpst nekustamā īpašuma „</w:t>
            </w:r>
            <w:proofErr w:type="spellStart"/>
            <w:r w:rsidRPr="00F8207B">
              <w:rPr>
                <w:szCs w:val="28"/>
              </w:rPr>
              <w:t>Ziedlejas</w:t>
            </w:r>
            <w:proofErr w:type="spellEnd"/>
            <w:r w:rsidRPr="00F8207B">
              <w:rPr>
                <w:szCs w:val="28"/>
              </w:rPr>
              <w:t>”, Valdgales pagastā, Talsu novadā, kadastra Nr.8892 008 0022, sastāvā.</w:t>
            </w:r>
            <w:r>
              <w:rPr>
                <w:szCs w:val="28"/>
              </w:rPr>
              <w:t xml:space="preserve"> </w:t>
            </w:r>
          </w:p>
          <w:p w:rsidR="00D6125F" w:rsidRPr="000B4076" w:rsidRDefault="00884CA2" w:rsidP="00094207">
            <w:pPr>
              <w:pStyle w:val="BodyText"/>
              <w:tabs>
                <w:tab w:val="left" w:pos="77"/>
              </w:tabs>
              <w:rPr>
                <w:b/>
                <w:i/>
                <w:szCs w:val="28"/>
              </w:rPr>
            </w:pPr>
            <w:r>
              <w:rPr>
                <w:b/>
                <w:i/>
                <w:szCs w:val="28"/>
              </w:rPr>
              <w:t>1.</w:t>
            </w:r>
            <w:r w:rsidR="00516421">
              <w:rPr>
                <w:b/>
                <w:i/>
                <w:szCs w:val="28"/>
              </w:rPr>
              <w:t>3</w:t>
            </w:r>
            <w:r>
              <w:rPr>
                <w:b/>
                <w:i/>
                <w:szCs w:val="28"/>
              </w:rPr>
              <w:t>.</w:t>
            </w:r>
            <w:r w:rsidR="00D6125F" w:rsidRPr="000B4076">
              <w:rPr>
                <w:b/>
                <w:i/>
                <w:szCs w:val="28"/>
              </w:rPr>
              <w:t>Īpašuma tiesības;</w:t>
            </w:r>
          </w:p>
          <w:p w:rsidR="00D6125F" w:rsidRDefault="00D6125F" w:rsidP="00D6125F">
            <w:pPr>
              <w:pStyle w:val="BodyText"/>
              <w:tabs>
                <w:tab w:val="left" w:pos="814"/>
                <w:tab w:val="left" w:pos="1129"/>
              </w:tabs>
              <w:ind w:firstLine="644"/>
              <w:rPr>
                <w:szCs w:val="28"/>
              </w:rPr>
            </w:pPr>
            <w:r w:rsidRPr="00F8207B">
              <w:rPr>
                <w:szCs w:val="28"/>
              </w:rPr>
              <w:t xml:space="preserve">Īpašuma tiesības uz </w:t>
            </w:r>
            <w:r>
              <w:rPr>
                <w:szCs w:val="28"/>
              </w:rPr>
              <w:t>Valsts īpašuma objektu</w:t>
            </w:r>
            <w:r w:rsidRPr="00F8207B">
              <w:rPr>
                <w:szCs w:val="28"/>
              </w:rPr>
              <w:t xml:space="preserve"> Nr.1 nav nostiprinātas zemesgrāmatā</w:t>
            </w:r>
            <w:r>
              <w:rPr>
                <w:szCs w:val="28"/>
              </w:rPr>
              <w:t>.</w:t>
            </w:r>
          </w:p>
          <w:p w:rsidR="00D6125F" w:rsidRDefault="00D6125F" w:rsidP="00D6125F">
            <w:pPr>
              <w:pStyle w:val="naiskr"/>
              <w:spacing w:before="120" w:after="0"/>
              <w:ind w:firstLine="644"/>
              <w:jc w:val="both"/>
              <w:rPr>
                <w:sz w:val="28"/>
                <w:szCs w:val="28"/>
              </w:rPr>
            </w:pPr>
            <w:r>
              <w:rPr>
                <w:sz w:val="28"/>
                <w:szCs w:val="28"/>
              </w:rPr>
              <w:t>Saskaņā ar Rīgas pilsētas Vidzemes priekšpilsētas tiesas 2012.gada 23.janvāra spriedumu lietā Nr.C30729810 konstatēts, ka valsts īpašuma objektā Nr.1 ietilpstošā ēka, kas atrodas uz zemes vienības (zemes vienības kadastra apzīmējums 8892 008 0077), Valdgales pagastā, Talsu novadā, ir bezīpašnieka lieta, kas piekritīga valstij.</w:t>
            </w:r>
          </w:p>
          <w:p w:rsidR="00D6125F" w:rsidRPr="00F8207B" w:rsidRDefault="00D6125F" w:rsidP="00D6125F">
            <w:pPr>
              <w:pStyle w:val="naiskr"/>
              <w:spacing w:before="0" w:after="0"/>
              <w:ind w:firstLine="644"/>
              <w:jc w:val="both"/>
              <w:rPr>
                <w:sz w:val="28"/>
                <w:szCs w:val="28"/>
              </w:rPr>
            </w:pPr>
            <w:r w:rsidRPr="00C30F95">
              <w:rPr>
                <w:sz w:val="28"/>
                <w:szCs w:val="28"/>
              </w:rPr>
              <w:t>Ministru ka</w:t>
            </w:r>
            <w:r w:rsidR="00F64302">
              <w:rPr>
                <w:sz w:val="28"/>
                <w:szCs w:val="28"/>
              </w:rPr>
              <w:t>bineta Rīkojuma projektā minētā - privatizācijai nododamā</w:t>
            </w:r>
            <w:r w:rsidRPr="00C30F95">
              <w:rPr>
                <w:sz w:val="28"/>
                <w:szCs w:val="28"/>
              </w:rPr>
              <w:t xml:space="preserve"> būve</w:t>
            </w:r>
            <w:r>
              <w:rPr>
                <w:sz w:val="28"/>
                <w:szCs w:val="28"/>
              </w:rPr>
              <w:t>, kas ietilpst valsts īpašuma o</w:t>
            </w:r>
            <w:r w:rsidR="007C0890">
              <w:rPr>
                <w:sz w:val="28"/>
                <w:szCs w:val="28"/>
              </w:rPr>
              <w:t>bjekta</w:t>
            </w:r>
            <w:r w:rsidRPr="00C30F95">
              <w:rPr>
                <w:sz w:val="28"/>
                <w:szCs w:val="28"/>
              </w:rPr>
              <w:t xml:space="preserve"> Nr.1 sastāvā nav reģistrēta Nekustamā īpašuma valsts kadastra informācijas sistēmā. Ievērojot mi</w:t>
            </w:r>
            <w:r w:rsidR="007C0890">
              <w:rPr>
                <w:sz w:val="28"/>
                <w:szCs w:val="28"/>
              </w:rPr>
              <w:t>nēto, attiecīgās</w:t>
            </w:r>
            <w:r w:rsidRPr="00C30F95">
              <w:rPr>
                <w:sz w:val="28"/>
                <w:szCs w:val="28"/>
              </w:rPr>
              <w:t xml:space="preserve"> būv</w:t>
            </w:r>
            <w:r w:rsidR="007C0890">
              <w:rPr>
                <w:sz w:val="28"/>
                <w:szCs w:val="28"/>
              </w:rPr>
              <w:t>es</w:t>
            </w:r>
            <w:r w:rsidRPr="00C30F95">
              <w:rPr>
                <w:sz w:val="28"/>
                <w:szCs w:val="28"/>
              </w:rPr>
              <w:t xml:space="preserve"> reģistrēšana Nekustamā īpašuma valsts kadastra informācijas sistēmā tiks veikta pēc to pārņemšanas Privatizācijas aģentūras valdījumā.</w:t>
            </w:r>
          </w:p>
          <w:p w:rsidR="00D6125F" w:rsidRPr="007D232E" w:rsidRDefault="00F64302" w:rsidP="00094207">
            <w:pPr>
              <w:pStyle w:val="BodyText"/>
              <w:tabs>
                <w:tab w:val="left" w:pos="0"/>
                <w:tab w:val="left" w:pos="814"/>
              </w:tabs>
              <w:rPr>
                <w:b/>
                <w:i/>
                <w:szCs w:val="28"/>
              </w:rPr>
            </w:pPr>
            <w:r>
              <w:rPr>
                <w:b/>
                <w:i/>
                <w:szCs w:val="28"/>
              </w:rPr>
              <w:t>1.</w:t>
            </w:r>
            <w:r w:rsidR="00516421">
              <w:rPr>
                <w:b/>
                <w:i/>
                <w:szCs w:val="28"/>
              </w:rPr>
              <w:t>4</w:t>
            </w:r>
            <w:r w:rsidR="00D6125F">
              <w:rPr>
                <w:b/>
                <w:i/>
                <w:szCs w:val="28"/>
              </w:rPr>
              <w:t>.</w:t>
            </w:r>
            <w:r w:rsidR="00D6125F" w:rsidRPr="007D232E">
              <w:rPr>
                <w:b/>
                <w:i/>
                <w:szCs w:val="28"/>
              </w:rPr>
              <w:t>Privatizācijas ierosinājumi;</w:t>
            </w:r>
          </w:p>
          <w:p w:rsidR="00D6125F" w:rsidRPr="00EA5ADA" w:rsidRDefault="00D6125F" w:rsidP="00D6125F">
            <w:pPr>
              <w:pStyle w:val="BodyText"/>
              <w:tabs>
                <w:tab w:val="left" w:pos="814"/>
                <w:tab w:val="left" w:pos="1129"/>
              </w:tabs>
              <w:ind w:firstLine="644"/>
              <w:rPr>
                <w:szCs w:val="28"/>
              </w:rPr>
            </w:pPr>
            <w:r w:rsidRPr="00EA5ADA">
              <w:rPr>
                <w:szCs w:val="28"/>
              </w:rPr>
              <w:t>Privatizācijas aģentūras Privatizācijas ierosinājumu reģistrā 2006.gada 31.augustā reģistrēts</w:t>
            </w:r>
            <w:r w:rsidR="007C0890">
              <w:rPr>
                <w:szCs w:val="28"/>
              </w:rPr>
              <w:t xml:space="preserve"> </w:t>
            </w:r>
            <w:r w:rsidRPr="00EA5ADA">
              <w:rPr>
                <w:szCs w:val="28"/>
              </w:rPr>
              <w:t xml:space="preserve">Ausmas </w:t>
            </w:r>
            <w:proofErr w:type="spellStart"/>
            <w:r w:rsidRPr="00EA5ADA">
              <w:rPr>
                <w:szCs w:val="28"/>
              </w:rPr>
              <w:t>Valces</w:t>
            </w:r>
            <w:proofErr w:type="spellEnd"/>
            <w:r w:rsidRPr="00EA5ADA">
              <w:rPr>
                <w:szCs w:val="28"/>
              </w:rPr>
              <w:t xml:space="preserve"> privatizācijas ierosinājums (reģistrēts ar Nr.1.616) par ēkas „Spēkstacija”, Valdgales pagastā, Talsu novadā, privatizāciju. </w:t>
            </w:r>
          </w:p>
          <w:p w:rsidR="00D6125F" w:rsidRPr="000B4076" w:rsidRDefault="00F64302" w:rsidP="00094207">
            <w:pPr>
              <w:pStyle w:val="BodyText"/>
              <w:tabs>
                <w:tab w:val="left" w:pos="0"/>
              </w:tabs>
              <w:jc w:val="left"/>
              <w:rPr>
                <w:szCs w:val="28"/>
              </w:rPr>
            </w:pPr>
            <w:r>
              <w:rPr>
                <w:szCs w:val="28"/>
              </w:rPr>
              <w:t>1.</w:t>
            </w:r>
            <w:r w:rsidR="00516421">
              <w:rPr>
                <w:szCs w:val="28"/>
              </w:rPr>
              <w:t>5</w:t>
            </w:r>
            <w:r w:rsidR="00884CA2">
              <w:rPr>
                <w:szCs w:val="28"/>
              </w:rPr>
              <w:t>.</w:t>
            </w:r>
            <w:r w:rsidR="002E6BBB">
              <w:rPr>
                <w:b/>
                <w:i/>
                <w:szCs w:val="28"/>
              </w:rPr>
              <w:t>V</w:t>
            </w:r>
            <w:r w:rsidR="00D6125F" w:rsidRPr="007D232E">
              <w:rPr>
                <w:b/>
                <w:i/>
                <w:szCs w:val="28"/>
              </w:rPr>
              <w:t>aldītājs;</w:t>
            </w:r>
          </w:p>
          <w:p w:rsidR="00D6125F" w:rsidRPr="000B4076" w:rsidRDefault="00D6125F" w:rsidP="00D6125F">
            <w:pPr>
              <w:pStyle w:val="BodyText"/>
              <w:tabs>
                <w:tab w:val="left" w:pos="814"/>
                <w:tab w:val="left" w:pos="1129"/>
              </w:tabs>
              <w:ind w:firstLine="644"/>
              <w:rPr>
                <w:szCs w:val="28"/>
              </w:rPr>
            </w:pPr>
            <w:r w:rsidRPr="000B4076">
              <w:rPr>
                <w:szCs w:val="28"/>
              </w:rPr>
              <w:t xml:space="preserve">Valsts ieņēmumu dienests ir ņēmis valsts īpašuma objektu Nr.1 valsts uzskaitē 2012.gada11.jūlijā ar valstij piekritīgās </w:t>
            </w:r>
            <w:r w:rsidRPr="000B4076">
              <w:rPr>
                <w:szCs w:val="28"/>
              </w:rPr>
              <w:lastRenderedPageBreak/>
              <w:t>mantas pieņemšanas un nodošanas aktu Nr.007850.</w:t>
            </w:r>
          </w:p>
          <w:p w:rsidR="00D6125F" w:rsidRDefault="00F64302" w:rsidP="00094207">
            <w:pPr>
              <w:pStyle w:val="BodyText"/>
              <w:tabs>
                <w:tab w:val="left" w:pos="814"/>
                <w:tab w:val="left" w:pos="1129"/>
              </w:tabs>
              <w:ind w:hanging="40"/>
              <w:jc w:val="left"/>
              <w:rPr>
                <w:b/>
                <w:i/>
                <w:szCs w:val="28"/>
              </w:rPr>
            </w:pPr>
            <w:r>
              <w:rPr>
                <w:b/>
                <w:i/>
                <w:szCs w:val="28"/>
              </w:rPr>
              <w:t>1.</w:t>
            </w:r>
            <w:r w:rsidR="00516421">
              <w:rPr>
                <w:b/>
                <w:i/>
                <w:szCs w:val="28"/>
              </w:rPr>
              <w:t>6</w:t>
            </w:r>
            <w:r w:rsidR="00D6125F" w:rsidRPr="000B4076">
              <w:rPr>
                <w:b/>
                <w:i/>
                <w:szCs w:val="28"/>
              </w:rPr>
              <w:t>. Noma;</w:t>
            </w:r>
          </w:p>
          <w:p w:rsidR="00D6125F" w:rsidRDefault="007C0890" w:rsidP="00D6125F">
            <w:pPr>
              <w:pStyle w:val="BodyText"/>
              <w:tabs>
                <w:tab w:val="left" w:pos="814"/>
                <w:tab w:val="left" w:pos="1129"/>
              </w:tabs>
              <w:ind w:firstLine="644"/>
              <w:rPr>
                <w:szCs w:val="28"/>
              </w:rPr>
            </w:pPr>
            <w:r>
              <w:rPr>
                <w:szCs w:val="28"/>
              </w:rPr>
              <w:t>Valsts īpašuma objekts Nr.</w:t>
            </w:r>
            <w:r w:rsidR="00F64302">
              <w:rPr>
                <w:szCs w:val="28"/>
              </w:rPr>
              <w:t>1 nav iznomāts</w:t>
            </w:r>
            <w:r w:rsidR="00D6125F">
              <w:rPr>
                <w:szCs w:val="28"/>
              </w:rPr>
              <w:t>.</w:t>
            </w:r>
          </w:p>
          <w:p w:rsidR="00D6125F" w:rsidRDefault="00F64302" w:rsidP="00094207">
            <w:pPr>
              <w:pStyle w:val="BodyText"/>
              <w:tabs>
                <w:tab w:val="left" w:pos="814"/>
                <w:tab w:val="left" w:pos="1129"/>
              </w:tabs>
              <w:ind w:hanging="40"/>
              <w:jc w:val="left"/>
              <w:rPr>
                <w:b/>
                <w:i/>
                <w:szCs w:val="28"/>
              </w:rPr>
            </w:pPr>
            <w:r>
              <w:rPr>
                <w:b/>
                <w:i/>
                <w:szCs w:val="28"/>
              </w:rPr>
              <w:t>1.</w:t>
            </w:r>
            <w:r w:rsidR="00D6125F" w:rsidRPr="000B4076">
              <w:rPr>
                <w:b/>
                <w:i/>
                <w:szCs w:val="28"/>
              </w:rPr>
              <w:t>7. Pirmpirkuma tiesības;</w:t>
            </w:r>
          </w:p>
          <w:p w:rsidR="00D6125F" w:rsidRDefault="00D6125F" w:rsidP="00516421">
            <w:pPr>
              <w:pStyle w:val="BodyText"/>
              <w:tabs>
                <w:tab w:val="left" w:pos="814"/>
                <w:tab w:val="left" w:pos="1129"/>
              </w:tabs>
              <w:rPr>
                <w:szCs w:val="28"/>
              </w:rPr>
            </w:pPr>
            <w:r>
              <w:rPr>
                <w:szCs w:val="28"/>
              </w:rPr>
              <w:t>N</w:t>
            </w:r>
            <w:r w:rsidRPr="00C30F95">
              <w:rPr>
                <w:szCs w:val="28"/>
              </w:rPr>
              <w:t>ekustamā īpašuma „</w:t>
            </w:r>
            <w:proofErr w:type="spellStart"/>
            <w:r w:rsidRPr="00C30F95">
              <w:rPr>
                <w:szCs w:val="28"/>
              </w:rPr>
              <w:t>Ziedlejas</w:t>
            </w:r>
            <w:proofErr w:type="spellEnd"/>
            <w:r w:rsidRPr="00C30F95">
              <w:rPr>
                <w:szCs w:val="28"/>
              </w:rPr>
              <w:t>” (nekustamā īpašuma kadastra Nr.8892 008 0022) sastāvā ietilpstošās zemes vienības (zemes vienības kadastra apzīmējums 8892 008 0077), Valdgales pagastā, Talsu novadā</w:t>
            </w:r>
            <w:r>
              <w:rPr>
                <w:szCs w:val="28"/>
              </w:rPr>
              <w:t xml:space="preserve">, uz kuras atrodas </w:t>
            </w:r>
            <w:r w:rsidR="00884CA2">
              <w:rPr>
                <w:szCs w:val="28"/>
              </w:rPr>
              <w:t>valsts īpašuma objekts Nr.1, īpaš</w:t>
            </w:r>
            <w:r>
              <w:rPr>
                <w:szCs w:val="28"/>
              </w:rPr>
              <w:t>niekam var tikt atdzītas pirmpirkuma tiesības uz valsts īpašuma objektu Nr.1 saskaņā ar Privatizācijas likuma 17.panta pirmās daļas 1.punktā noteikto.</w:t>
            </w:r>
          </w:p>
          <w:p w:rsidR="00516421" w:rsidRPr="00516421" w:rsidRDefault="00516421" w:rsidP="00516421">
            <w:pPr>
              <w:pStyle w:val="BodyText"/>
              <w:tabs>
                <w:tab w:val="left" w:pos="77"/>
              </w:tabs>
              <w:jc w:val="center"/>
              <w:rPr>
                <w:b/>
                <w:szCs w:val="28"/>
              </w:rPr>
            </w:pPr>
            <w:r w:rsidRPr="00516421">
              <w:rPr>
                <w:b/>
                <w:szCs w:val="28"/>
              </w:rPr>
              <w:t>2.Valsts īpašuma objekts- nekustamais īpašums „</w:t>
            </w:r>
            <w:proofErr w:type="spellStart"/>
            <w:r w:rsidRPr="00516421">
              <w:rPr>
                <w:b/>
                <w:szCs w:val="28"/>
              </w:rPr>
              <w:t>Pobužu</w:t>
            </w:r>
            <w:proofErr w:type="spellEnd"/>
            <w:r w:rsidRPr="00516421">
              <w:rPr>
                <w:b/>
                <w:szCs w:val="28"/>
              </w:rPr>
              <w:t xml:space="preserve"> klēts” Valdgales pagastā, Talsu novadā.</w:t>
            </w:r>
          </w:p>
          <w:p w:rsidR="00F64302" w:rsidRPr="00F64302" w:rsidRDefault="00516421" w:rsidP="00094207">
            <w:pPr>
              <w:pStyle w:val="BodyText"/>
              <w:tabs>
                <w:tab w:val="left" w:pos="77"/>
              </w:tabs>
              <w:jc w:val="left"/>
              <w:rPr>
                <w:b/>
                <w:i/>
                <w:szCs w:val="28"/>
              </w:rPr>
            </w:pPr>
            <w:r>
              <w:rPr>
                <w:b/>
                <w:i/>
                <w:szCs w:val="28"/>
              </w:rPr>
              <w:t>2.1.</w:t>
            </w:r>
            <w:r w:rsidR="00F64302" w:rsidRPr="00F64302">
              <w:rPr>
                <w:b/>
                <w:i/>
                <w:szCs w:val="28"/>
              </w:rPr>
              <w:t>Valsts nekustamā īpašuma sastāvs;</w:t>
            </w:r>
          </w:p>
          <w:p w:rsidR="00F64302" w:rsidRDefault="00F64302" w:rsidP="00884CA2">
            <w:pPr>
              <w:pStyle w:val="BodyText"/>
              <w:tabs>
                <w:tab w:val="left" w:pos="77"/>
              </w:tabs>
              <w:ind w:firstLine="527"/>
              <w:rPr>
                <w:szCs w:val="28"/>
              </w:rPr>
            </w:pPr>
            <w:r>
              <w:rPr>
                <w:szCs w:val="28"/>
              </w:rPr>
              <w:t>Nekustamais īpašums</w:t>
            </w:r>
            <w:r>
              <w:t xml:space="preserve"> </w:t>
            </w:r>
            <w:r w:rsidRPr="00FA7290">
              <w:rPr>
                <w:szCs w:val="28"/>
              </w:rPr>
              <w:t>„</w:t>
            </w:r>
            <w:proofErr w:type="spellStart"/>
            <w:r w:rsidRPr="00FA7290">
              <w:rPr>
                <w:szCs w:val="28"/>
              </w:rPr>
              <w:t>Pobužu</w:t>
            </w:r>
            <w:proofErr w:type="spellEnd"/>
            <w:r w:rsidRPr="00FA7290">
              <w:rPr>
                <w:szCs w:val="28"/>
              </w:rPr>
              <w:t xml:space="preserve"> klēts”, Valdgales pagastā, Talsu novadā, sastāv no zemes</w:t>
            </w:r>
            <w:r w:rsidR="007C0890">
              <w:rPr>
                <w:szCs w:val="28"/>
              </w:rPr>
              <w:t xml:space="preserve"> vienības</w:t>
            </w:r>
            <w:r w:rsidRPr="00FA7290">
              <w:rPr>
                <w:szCs w:val="28"/>
              </w:rPr>
              <w:t xml:space="preserve"> (zemes vienības kadastra apzīmējums 8892 005 0105) un ēkas (bez kadastra apzīmējuma) uz tā (turpmāk – </w:t>
            </w:r>
            <w:r>
              <w:rPr>
                <w:szCs w:val="28"/>
              </w:rPr>
              <w:t>Valsts īpašuma o</w:t>
            </w:r>
            <w:r w:rsidRPr="00FA7290">
              <w:rPr>
                <w:szCs w:val="28"/>
              </w:rPr>
              <w:t>bjekts Nr.2).</w:t>
            </w:r>
          </w:p>
          <w:p w:rsidR="00D6125F" w:rsidRDefault="00F64302" w:rsidP="00094207">
            <w:pPr>
              <w:spacing w:before="120" w:after="120"/>
              <w:rPr>
                <w:b/>
                <w:i/>
                <w:sz w:val="26"/>
                <w:szCs w:val="26"/>
              </w:rPr>
            </w:pPr>
            <w:r>
              <w:rPr>
                <w:sz w:val="26"/>
                <w:szCs w:val="26"/>
              </w:rPr>
              <w:t>2</w:t>
            </w:r>
            <w:r w:rsidR="00884CA2">
              <w:rPr>
                <w:b/>
                <w:i/>
                <w:sz w:val="26"/>
                <w:szCs w:val="26"/>
              </w:rPr>
              <w:t>.</w:t>
            </w:r>
            <w:r w:rsidR="00516421">
              <w:rPr>
                <w:b/>
                <w:i/>
                <w:sz w:val="26"/>
                <w:szCs w:val="26"/>
              </w:rPr>
              <w:t>2</w:t>
            </w:r>
            <w:r w:rsidRPr="00F64302">
              <w:rPr>
                <w:b/>
                <w:i/>
                <w:sz w:val="26"/>
                <w:szCs w:val="26"/>
              </w:rPr>
              <w:t>.</w:t>
            </w:r>
            <w:r w:rsidR="002E6BBB">
              <w:rPr>
                <w:b/>
                <w:i/>
                <w:sz w:val="26"/>
                <w:szCs w:val="26"/>
              </w:rPr>
              <w:t xml:space="preserve"> </w:t>
            </w:r>
            <w:r w:rsidRPr="00F64302">
              <w:rPr>
                <w:b/>
                <w:i/>
                <w:sz w:val="26"/>
                <w:szCs w:val="26"/>
              </w:rPr>
              <w:t>Valsts īpašuma objekta</w:t>
            </w:r>
            <w:r w:rsidR="002E6BBB">
              <w:rPr>
                <w:b/>
                <w:i/>
                <w:sz w:val="26"/>
                <w:szCs w:val="26"/>
              </w:rPr>
              <w:t xml:space="preserve"> Nr.2</w:t>
            </w:r>
            <w:r w:rsidRPr="00F64302">
              <w:rPr>
                <w:b/>
                <w:i/>
                <w:sz w:val="26"/>
                <w:szCs w:val="26"/>
              </w:rPr>
              <w:t xml:space="preserve"> adrese</w:t>
            </w:r>
            <w:r w:rsidR="00094207">
              <w:rPr>
                <w:b/>
                <w:i/>
                <w:sz w:val="26"/>
                <w:szCs w:val="26"/>
              </w:rPr>
              <w:t xml:space="preserve"> un</w:t>
            </w:r>
            <w:r w:rsidRPr="00F64302">
              <w:rPr>
                <w:b/>
                <w:i/>
                <w:sz w:val="26"/>
                <w:szCs w:val="26"/>
              </w:rPr>
              <w:t xml:space="preserve"> kadastra numurs;</w:t>
            </w:r>
          </w:p>
          <w:p w:rsidR="00F64302" w:rsidRDefault="00F64302" w:rsidP="00003448">
            <w:pPr>
              <w:spacing w:before="120" w:after="120"/>
              <w:ind w:firstLine="527"/>
              <w:jc w:val="both"/>
              <w:rPr>
                <w:sz w:val="26"/>
                <w:szCs w:val="26"/>
              </w:rPr>
            </w:pPr>
            <w:r w:rsidRPr="00F64302">
              <w:rPr>
                <w:sz w:val="26"/>
                <w:szCs w:val="26"/>
              </w:rPr>
              <w:t>Valsts īpašuma objektā Nr.2 sastāvā ietilpstošā zemes vienība (zemes vienības kadastra apzīmējums 8892 005 0105) 0,7 ha platībā un ēka (bez kadastra apzīmējuma) uz tās atbilstoši Nekustamā īpašuma kadastra informācijas sistēmas datiem atrodas Valdgales pagastā, Talsu novadā.</w:t>
            </w:r>
          </w:p>
          <w:p w:rsidR="00094207" w:rsidRDefault="00003448" w:rsidP="00094207">
            <w:pPr>
              <w:spacing w:before="120" w:after="120"/>
              <w:ind w:left="102"/>
              <w:rPr>
                <w:rFonts w:eastAsia="Calibri"/>
                <w:sz w:val="28"/>
                <w:szCs w:val="28"/>
                <w:lang w:eastAsia="en-US"/>
              </w:rPr>
            </w:pPr>
            <w:r>
              <w:rPr>
                <w:sz w:val="28"/>
                <w:szCs w:val="28"/>
              </w:rPr>
              <w:t>B</w:t>
            </w:r>
            <w:r w:rsidRPr="00884CA2">
              <w:rPr>
                <w:sz w:val="28"/>
                <w:szCs w:val="28"/>
              </w:rPr>
              <w:t>ūve, kas ietilpst valsts īpašuma objekt</w:t>
            </w:r>
            <w:r w:rsidR="00094207">
              <w:rPr>
                <w:sz w:val="28"/>
                <w:szCs w:val="28"/>
              </w:rPr>
              <w:t>a</w:t>
            </w:r>
            <w:r w:rsidRPr="00884CA2">
              <w:rPr>
                <w:sz w:val="28"/>
                <w:szCs w:val="28"/>
              </w:rPr>
              <w:t xml:space="preserve"> Nr.2 sastāvā nav reģistrēta Nekustamā īpašuma valsts kadastra informācijas sistēmā. Ievērojot minēto, attiecīgo būvju reģistrēšana Nekustamā īpašuma valsts kadastra informācijas sistēmā tiks veikta pēc to pārņemšanas Privatizācijas </w:t>
            </w:r>
            <w:r w:rsidRPr="00884CA2">
              <w:rPr>
                <w:sz w:val="28"/>
                <w:szCs w:val="28"/>
              </w:rPr>
              <w:lastRenderedPageBreak/>
              <w:t>aģentūras valdījumā.</w:t>
            </w:r>
          </w:p>
          <w:p w:rsidR="00F64302" w:rsidRPr="00884CA2" w:rsidRDefault="00884CA2" w:rsidP="00094207">
            <w:pPr>
              <w:spacing w:before="120" w:after="120"/>
              <w:ind w:left="102"/>
              <w:rPr>
                <w:b/>
                <w:i/>
                <w:sz w:val="28"/>
                <w:szCs w:val="28"/>
              </w:rPr>
            </w:pPr>
            <w:r>
              <w:rPr>
                <w:b/>
                <w:i/>
                <w:sz w:val="28"/>
                <w:szCs w:val="28"/>
              </w:rPr>
              <w:t>2.</w:t>
            </w:r>
            <w:r w:rsidR="00516421">
              <w:rPr>
                <w:b/>
                <w:i/>
                <w:sz w:val="28"/>
                <w:szCs w:val="28"/>
              </w:rPr>
              <w:t>3</w:t>
            </w:r>
            <w:r>
              <w:rPr>
                <w:b/>
                <w:i/>
                <w:sz w:val="28"/>
                <w:szCs w:val="28"/>
              </w:rPr>
              <w:t>.</w:t>
            </w:r>
            <w:r w:rsidR="00F64302" w:rsidRPr="00884CA2">
              <w:rPr>
                <w:b/>
                <w:i/>
                <w:sz w:val="28"/>
                <w:szCs w:val="28"/>
              </w:rPr>
              <w:t>Īpašuma tiesības.</w:t>
            </w:r>
          </w:p>
          <w:p w:rsidR="00F64302" w:rsidRPr="00884CA2" w:rsidRDefault="007C0890" w:rsidP="00516421">
            <w:pPr>
              <w:pStyle w:val="ListParagraph"/>
              <w:spacing w:before="120" w:after="120" w:line="240" w:lineRule="auto"/>
              <w:ind w:left="102" w:firstLine="567"/>
              <w:jc w:val="both"/>
              <w:rPr>
                <w:rFonts w:ascii="Times New Roman" w:hAnsi="Times New Roman" w:cstheme="majorBidi"/>
                <w:b/>
                <w:bCs/>
                <w:color w:val="365F91" w:themeColor="accent1" w:themeShade="BF"/>
                <w:sz w:val="28"/>
                <w:szCs w:val="28"/>
              </w:rPr>
            </w:pPr>
            <w:r>
              <w:rPr>
                <w:rFonts w:ascii="Times New Roman" w:hAnsi="Times New Roman"/>
                <w:sz w:val="28"/>
                <w:szCs w:val="28"/>
              </w:rPr>
              <w:t>Īpašuma tiesības uz valsts īpašuma o</w:t>
            </w:r>
            <w:r w:rsidR="00F64302" w:rsidRPr="00884CA2">
              <w:rPr>
                <w:rFonts w:ascii="Times New Roman" w:hAnsi="Times New Roman"/>
                <w:sz w:val="28"/>
                <w:szCs w:val="28"/>
              </w:rPr>
              <w:t>bjektu Nr.2 nav nostiprinātas zemesgrāmatā</w:t>
            </w:r>
            <w:r>
              <w:rPr>
                <w:rFonts w:ascii="Times New Roman" w:hAnsi="Times New Roman"/>
                <w:sz w:val="28"/>
                <w:szCs w:val="28"/>
              </w:rPr>
              <w:t xml:space="preserve">. </w:t>
            </w:r>
          </w:p>
          <w:p w:rsidR="00F64302" w:rsidRPr="00884CA2" w:rsidRDefault="00F64302" w:rsidP="00516421">
            <w:pPr>
              <w:pStyle w:val="ListParagraph"/>
              <w:spacing w:before="120" w:after="120" w:line="240" w:lineRule="auto"/>
              <w:ind w:left="102" w:firstLine="567"/>
              <w:jc w:val="both"/>
              <w:rPr>
                <w:rFonts w:ascii="Times New Roman" w:hAnsi="Times New Roman" w:cstheme="majorBidi"/>
                <w:b/>
                <w:bCs/>
                <w:color w:val="365F91" w:themeColor="accent1" w:themeShade="BF"/>
                <w:sz w:val="28"/>
                <w:szCs w:val="28"/>
              </w:rPr>
            </w:pPr>
            <w:r w:rsidRPr="00884CA2">
              <w:rPr>
                <w:rFonts w:ascii="Times New Roman" w:hAnsi="Times New Roman"/>
                <w:sz w:val="28"/>
                <w:szCs w:val="28"/>
              </w:rPr>
              <w:t>Saskaņā ar Rīgas pilsētas Vidzemes priekšpilsētas tiesas 2012.gada 26.janvāra spriedumu lietā Nr.C30719910 konstatēts, ka valsts īpašuma objektā Nr.2 ietilpstošā ēka (būve) (bez kadastra apzīmējuma) „</w:t>
            </w:r>
            <w:proofErr w:type="spellStart"/>
            <w:r w:rsidRPr="00884CA2">
              <w:rPr>
                <w:rFonts w:ascii="Times New Roman" w:hAnsi="Times New Roman"/>
                <w:sz w:val="28"/>
                <w:szCs w:val="28"/>
              </w:rPr>
              <w:t>Pobužu</w:t>
            </w:r>
            <w:proofErr w:type="spellEnd"/>
            <w:r w:rsidRPr="00884CA2">
              <w:rPr>
                <w:rFonts w:ascii="Times New Roman" w:hAnsi="Times New Roman"/>
                <w:sz w:val="28"/>
                <w:szCs w:val="28"/>
              </w:rPr>
              <w:t xml:space="preserve"> klēts”, Valdgales pagastā, Talsu novadā, ir bezīpašnieka lieta, kas piekritīga valstij.</w:t>
            </w:r>
          </w:p>
          <w:p w:rsidR="00F64302" w:rsidRPr="00884CA2" w:rsidRDefault="00F64302" w:rsidP="00516421">
            <w:pPr>
              <w:pStyle w:val="ListParagraph"/>
              <w:spacing w:before="120" w:after="120" w:line="240" w:lineRule="auto"/>
              <w:ind w:left="102" w:firstLine="567"/>
              <w:jc w:val="both"/>
              <w:rPr>
                <w:rFonts w:ascii="Times New Roman" w:hAnsi="Times New Roman" w:cstheme="majorBidi"/>
                <w:b/>
                <w:bCs/>
                <w:color w:val="365F91" w:themeColor="accent1" w:themeShade="BF"/>
                <w:sz w:val="28"/>
                <w:szCs w:val="28"/>
              </w:rPr>
            </w:pPr>
            <w:r w:rsidRPr="00884CA2">
              <w:rPr>
                <w:rFonts w:ascii="Times New Roman" w:hAnsi="Times New Roman"/>
                <w:sz w:val="28"/>
                <w:szCs w:val="28"/>
              </w:rPr>
              <w:t>Zemes vienības (zemes vienības kadastra apzīmējums 8892 005 0105) 0,7 ha platībā piederība 1940.gada 21.jūlijā nav noskaidrota. Valdgales pagasta pārvalde 2010.gada 15.novembra vēstulē Nr.1-8/197 norāda, ka ēka atrodas uz valstij piekritīgās zemes 0,7 ha platībā. Saskaņā ar Valsts zemes dienest</w:t>
            </w:r>
            <w:r w:rsidR="007C0890">
              <w:rPr>
                <w:rFonts w:ascii="Times New Roman" w:hAnsi="Times New Roman"/>
                <w:sz w:val="28"/>
                <w:szCs w:val="28"/>
              </w:rPr>
              <w:t>a Kadastra informācijas datiem z</w:t>
            </w:r>
            <w:r w:rsidRPr="00884CA2">
              <w:rPr>
                <w:rFonts w:ascii="Times New Roman" w:hAnsi="Times New Roman"/>
                <w:sz w:val="28"/>
                <w:szCs w:val="28"/>
              </w:rPr>
              <w:t>emes</w:t>
            </w:r>
            <w:r w:rsidR="007C0890">
              <w:rPr>
                <w:rFonts w:ascii="Times New Roman" w:hAnsi="Times New Roman"/>
                <w:sz w:val="28"/>
                <w:szCs w:val="28"/>
              </w:rPr>
              <w:t xml:space="preserve"> vienības</w:t>
            </w:r>
            <w:r w:rsidRPr="00884CA2">
              <w:rPr>
                <w:rFonts w:ascii="Times New Roman" w:hAnsi="Times New Roman"/>
                <w:sz w:val="28"/>
                <w:szCs w:val="28"/>
              </w:rPr>
              <w:t xml:space="preserve"> (zemes vienības kadastra apzīmējums 8892 005 0105) statuss ir </w:t>
            </w:r>
            <w:r w:rsidR="00516421">
              <w:rPr>
                <w:rFonts w:ascii="Times New Roman" w:hAnsi="Times New Roman"/>
                <w:sz w:val="28"/>
                <w:szCs w:val="28"/>
              </w:rPr>
              <w:t>rezerves fonda zeme</w:t>
            </w:r>
            <w:r w:rsidRPr="00884CA2">
              <w:rPr>
                <w:rFonts w:ascii="Times New Roman" w:hAnsi="Times New Roman"/>
                <w:sz w:val="28"/>
                <w:szCs w:val="28"/>
              </w:rPr>
              <w:t xml:space="preserve">. </w:t>
            </w:r>
          </w:p>
          <w:p w:rsidR="00F64302" w:rsidRPr="00884CA2" w:rsidRDefault="00F64302" w:rsidP="00516421">
            <w:pPr>
              <w:pStyle w:val="ListParagraph"/>
              <w:spacing w:before="120" w:after="120" w:line="240" w:lineRule="auto"/>
              <w:ind w:left="102" w:firstLine="567"/>
              <w:jc w:val="both"/>
              <w:rPr>
                <w:rFonts w:ascii="Times New Roman" w:hAnsi="Times New Roman" w:cstheme="majorBidi"/>
                <w:b/>
                <w:bCs/>
                <w:color w:val="365F91" w:themeColor="accent1" w:themeShade="BF"/>
                <w:sz w:val="28"/>
                <w:szCs w:val="28"/>
              </w:rPr>
            </w:pPr>
            <w:r w:rsidRPr="00884CA2">
              <w:rPr>
                <w:rFonts w:ascii="Times New Roman" w:hAnsi="Times New Roman"/>
                <w:sz w:val="28"/>
                <w:szCs w:val="28"/>
              </w:rPr>
              <w:t>Saskaņā ar likuma „Par valsts un pašvaldību zemes īpašuma tiesībām un to nostiprināšanu zemesgrāmatās” 4.</w:t>
            </w:r>
            <w:r w:rsidRPr="00516421">
              <w:rPr>
                <w:rFonts w:ascii="Times New Roman" w:hAnsi="Times New Roman"/>
                <w:sz w:val="28"/>
                <w:szCs w:val="28"/>
                <w:vertAlign w:val="superscript"/>
              </w:rPr>
              <w:t>1</w:t>
            </w:r>
            <w:r w:rsidRPr="00884CA2">
              <w:rPr>
                <w:rFonts w:ascii="Times New Roman" w:hAnsi="Times New Roman"/>
                <w:sz w:val="28"/>
                <w:szCs w:val="28"/>
              </w:rPr>
              <w:t>panta pirmās daļas 1.punktu zeme, kuras piederība 1940.gada 21.jūlijā nav konstatēta, zemes reformas laikā piekrīt valstij un ierakstāma zemesgrāmatā uz valsts vārda, ja uz šīs zemes ir valstij piederošas ēkas (būves).</w:t>
            </w:r>
          </w:p>
          <w:p w:rsidR="00F64302" w:rsidRPr="00884CA2" w:rsidRDefault="00F64302" w:rsidP="00516421">
            <w:pPr>
              <w:pStyle w:val="ListParagraph"/>
              <w:spacing w:before="120" w:after="120" w:line="240" w:lineRule="auto"/>
              <w:ind w:left="102" w:firstLine="567"/>
              <w:jc w:val="both"/>
              <w:rPr>
                <w:rFonts w:ascii="Times New Roman" w:hAnsi="Times New Roman" w:cstheme="majorBidi"/>
                <w:b/>
                <w:bCs/>
                <w:color w:val="365F91" w:themeColor="accent1" w:themeShade="BF"/>
                <w:sz w:val="28"/>
                <w:szCs w:val="28"/>
              </w:rPr>
            </w:pPr>
            <w:r w:rsidRPr="00884CA2">
              <w:rPr>
                <w:rFonts w:ascii="Times New Roman" w:hAnsi="Times New Roman"/>
                <w:sz w:val="28"/>
                <w:szCs w:val="28"/>
              </w:rPr>
              <w:t xml:space="preserve">Līdz ar to, pamatojoties uz likuma „Par valsts un pašvaldību zemes īpašuma tiesībām un to nostiprināšanu zemesgrāmatās” </w:t>
            </w:r>
            <w:r w:rsidR="00094207">
              <w:rPr>
                <w:rFonts w:ascii="Times New Roman" w:hAnsi="Times New Roman"/>
                <w:sz w:val="28"/>
                <w:szCs w:val="28"/>
              </w:rPr>
              <w:t>4.</w:t>
            </w:r>
            <w:r w:rsidR="00094207">
              <w:rPr>
                <w:rFonts w:ascii="Times New Roman" w:hAnsi="Times New Roman"/>
                <w:sz w:val="28"/>
                <w:szCs w:val="28"/>
                <w:vertAlign w:val="superscript"/>
              </w:rPr>
              <w:t>1</w:t>
            </w:r>
            <w:r w:rsidRPr="00884CA2">
              <w:rPr>
                <w:rFonts w:ascii="Times New Roman" w:hAnsi="Times New Roman"/>
                <w:sz w:val="28"/>
                <w:szCs w:val="28"/>
              </w:rPr>
              <w:t xml:space="preserve">panta </w:t>
            </w:r>
            <w:r w:rsidR="00094207">
              <w:rPr>
                <w:rFonts w:ascii="Times New Roman" w:hAnsi="Times New Roman"/>
                <w:sz w:val="28"/>
                <w:szCs w:val="28"/>
              </w:rPr>
              <w:t>pirmās</w:t>
            </w:r>
            <w:r w:rsidR="00094207" w:rsidRPr="00884CA2">
              <w:rPr>
                <w:rFonts w:ascii="Times New Roman" w:hAnsi="Times New Roman"/>
                <w:sz w:val="28"/>
                <w:szCs w:val="28"/>
              </w:rPr>
              <w:t xml:space="preserve"> </w:t>
            </w:r>
            <w:r w:rsidRPr="00884CA2">
              <w:rPr>
                <w:rFonts w:ascii="Times New Roman" w:hAnsi="Times New Roman"/>
                <w:sz w:val="28"/>
                <w:szCs w:val="28"/>
              </w:rPr>
              <w:t>daļas 1.punktu zemes vienība (zemes vienības kadastra apzīmējums 8892 005 0105) 0,7 ha platībā piekrīt valstij un ierakstāma zemesgrāmatā uz valsts vārda, jo uz šīs zemes atrodas valstij piederoša</w:t>
            </w:r>
            <w:r w:rsidR="002E6BBB">
              <w:rPr>
                <w:rFonts w:ascii="Times New Roman" w:hAnsi="Times New Roman"/>
                <w:sz w:val="28"/>
                <w:szCs w:val="28"/>
              </w:rPr>
              <w:t xml:space="preserve"> </w:t>
            </w:r>
            <w:r w:rsidR="002E6BBB">
              <w:rPr>
                <w:rFonts w:ascii="Times New Roman" w:hAnsi="Times New Roman"/>
                <w:sz w:val="28"/>
                <w:szCs w:val="28"/>
              </w:rPr>
              <w:lastRenderedPageBreak/>
              <w:t>(piekrītoša)</w:t>
            </w:r>
            <w:r w:rsidRPr="00884CA2">
              <w:rPr>
                <w:rFonts w:ascii="Times New Roman" w:hAnsi="Times New Roman"/>
                <w:sz w:val="28"/>
                <w:szCs w:val="28"/>
              </w:rPr>
              <w:t xml:space="preserve"> ēka (būve) (bez kadastra apzīmējuma).</w:t>
            </w:r>
          </w:p>
          <w:p w:rsidR="00F64302" w:rsidRPr="00884CA2" w:rsidRDefault="00F64302" w:rsidP="00516421">
            <w:pPr>
              <w:pStyle w:val="ListParagraph"/>
              <w:spacing w:before="120" w:after="120" w:line="240" w:lineRule="auto"/>
              <w:ind w:left="102" w:firstLine="567"/>
              <w:jc w:val="both"/>
              <w:rPr>
                <w:rFonts w:ascii="Times New Roman" w:hAnsi="Times New Roman" w:cstheme="majorBidi"/>
                <w:b/>
                <w:bCs/>
                <w:color w:val="365F91" w:themeColor="accent1" w:themeShade="BF"/>
                <w:sz w:val="28"/>
                <w:szCs w:val="28"/>
              </w:rPr>
            </w:pPr>
            <w:r w:rsidRPr="00884CA2">
              <w:rPr>
                <w:rFonts w:ascii="Times New Roman" w:hAnsi="Times New Roman"/>
                <w:sz w:val="28"/>
                <w:szCs w:val="28"/>
              </w:rPr>
              <w:t>Ministru kabineta Rīkojuma projektā minētā - privatizācijai nododamā būve, kas ietilpst valsts īpašuma objektu Nr.2 sastāvā nav reģistrētas Nekustamā īpašuma valsts kadastra informācijas sistēmā. Ievērojot minēto, attiecīgo būvju reģistrēšana Nekustamā īpašuma valsts kadastra informācijas sistēmā tiks veikta pēc to pārņemšanas Privatizācijas aģentūras valdījumā.</w:t>
            </w:r>
          </w:p>
          <w:p w:rsidR="00F64302" w:rsidRPr="00884CA2" w:rsidRDefault="00884CA2" w:rsidP="00094207">
            <w:pPr>
              <w:pStyle w:val="ListParagraph"/>
              <w:spacing w:before="120" w:after="120" w:line="240" w:lineRule="auto"/>
              <w:ind w:left="102"/>
              <w:rPr>
                <w:rFonts w:ascii="Times New Roman" w:hAnsi="Times New Roman" w:cstheme="majorBidi"/>
                <w:b/>
                <w:bCs/>
                <w:i/>
                <w:color w:val="365F91" w:themeColor="accent1" w:themeShade="BF"/>
                <w:sz w:val="28"/>
                <w:szCs w:val="28"/>
              </w:rPr>
            </w:pPr>
            <w:r>
              <w:rPr>
                <w:rFonts w:ascii="Times New Roman" w:hAnsi="Times New Roman"/>
                <w:b/>
                <w:i/>
                <w:sz w:val="28"/>
                <w:szCs w:val="28"/>
              </w:rPr>
              <w:t>2.3</w:t>
            </w:r>
            <w:r w:rsidR="00F64302" w:rsidRPr="00884CA2">
              <w:rPr>
                <w:rFonts w:ascii="Times New Roman" w:hAnsi="Times New Roman"/>
                <w:b/>
                <w:i/>
                <w:sz w:val="28"/>
                <w:szCs w:val="28"/>
              </w:rPr>
              <w:t>.Privatizācijas ierosinājumi.</w:t>
            </w:r>
          </w:p>
          <w:p w:rsidR="00F64302" w:rsidRPr="00884CA2" w:rsidRDefault="007C0890" w:rsidP="00094207">
            <w:pPr>
              <w:pStyle w:val="ListParagraph"/>
              <w:spacing w:before="120" w:after="120" w:line="240" w:lineRule="auto"/>
              <w:ind w:left="102" w:firstLine="567"/>
              <w:jc w:val="both"/>
              <w:rPr>
                <w:rFonts w:ascii="Times New Roman" w:hAnsi="Times New Roman" w:cstheme="majorBidi"/>
                <w:b/>
                <w:bCs/>
                <w:color w:val="365F91" w:themeColor="accent1" w:themeShade="BF"/>
                <w:sz w:val="28"/>
                <w:szCs w:val="28"/>
              </w:rPr>
            </w:pPr>
            <w:r w:rsidRPr="007C0890">
              <w:rPr>
                <w:rFonts w:ascii="Times New Roman" w:hAnsi="Times New Roman"/>
                <w:sz w:val="28"/>
                <w:szCs w:val="28"/>
              </w:rPr>
              <w:t xml:space="preserve">Privatizācijas aģentūras Privatizācijas ierosinājumu reģistrā 2006.gada 31.augustā reģistrēts </w:t>
            </w:r>
            <w:r w:rsidR="00F64302" w:rsidRPr="00884CA2">
              <w:rPr>
                <w:rFonts w:ascii="Times New Roman" w:hAnsi="Times New Roman"/>
                <w:sz w:val="28"/>
                <w:szCs w:val="28"/>
              </w:rPr>
              <w:t xml:space="preserve">Hildas </w:t>
            </w:r>
            <w:proofErr w:type="spellStart"/>
            <w:r w:rsidR="00F64302" w:rsidRPr="00884CA2">
              <w:rPr>
                <w:rFonts w:ascii="Times New Roman" w:hAnsi="Times New Roman"/>
                <w:sz w:val="28"/>
                <w:szCs w:val="28"/>
              </w:rPr>
              <w:t>Ķīseles</w:t>
            </w:r>
            <w:proofErr w:type="spellEnd"/>
            <w:r w:rsidR="00F64302" w:rsidRPr="00884CA2">
              <w:rPr>
                <w:rFonts w:ascii="Times New Roman" w:hAnsi="Times New Roman"/>
                <w:sz w:val="28"/>
                <w:szCs w:val="28"/>
              </w:rPr>
              <w:t xml:space="preserve"> privatizācijas ierosinājums (reģistrēts ar Nr.1.626) par ēkas „</w:t>
            </w:r>
            <w:proofErr w:type="spellStart"/>
            <w:r w:rsidR="00F64302" w:rsidRPr="00884CA2">
              <w:rPr>
                <w:rFonts w:ascii="Times New Roman" w:hAnsi="Times New Roman"/>
                <w:sz w:val="28"/>
                <w:szCs w:val="28"/>
              </w:rPr>
              <w:t>Pobužu</w:t>
            </w:r>
            <w:proofErr w:type="spellEnd"/>
            <w:r w:rsidR="00F64302" w:rsidRPr="00884CA2">
              <w:rPr>
                <w:rFonts w:ascii="Times New Roman" w:hAnsi="Times New Roman"/>
                <w:sz w:val="28"/>
                <w:szCs w:val="28"/>
              </w:rPr>
              <w:t xml:space="preserve"> klēts”, Valdgales pagastā, Talsu novadā, un tai piekrītošās zemes, privatizāciju </w:t>
            </w:r>
            <w:r>
              <w:rPr>
                <w:rFonts w:ascii="Times New Roman" w:hAnsi="Times New Roman"/>
                <w:sz w:val="28"/>
                <w:szCs w:val="28"/>
              </w:rPr>
              <w:t>(nekustamā īpašuma kadastra Nr.</w:t>
            </w:r>
            <w:r w:rsidR="00F64302" w:rsidRPr="00884CA2">
              <w:rPr>
                <w:rFonts w:ascii="Times New Roman" w:hAnsi="Times New Roman"/>
                <w:sz w:val="28"/>
                <w:szCs w:val="28"/>
              </w:rPr>
              <w:t>8892 005 0011).</w:t>
            </w:r>
          </w:p>
          <w:p w:rsidR="00F64302" w:rsidRPr="00884CA2" w:rsidRDefault="00884CA2" w:rsidP="00094207">
            <w:pPr>
              <w:pStyle w:val="ListParagraph"/>
              <w:spacing w:before="120" w:after="120" w:line="240" w:lineRule="auto"/>
              <w:ind w:left="102"/>
              <w:rPr>
                <w:rFonts w:ascii="Times New Roman" w:hAnsi="Times New Roman" w:cstheme="majorBidi"/>
                <w:b/>
                <w:bCs/>
                <w:i/>
                <w:color w:val="365F91" w:themeColor="accent1" w:themeShade="BF"/>
                <w:sz w:val="28"/>
                <w:szCs w:val="28"/>
              </w:rPr>
            </w:pPr>
            <w:r>
              <w:rPr>
                <w:rFonts w:ascii="Times New Roman" w:hAnsi="Times New Roman"/>
                <w:b/>
                <w:i/>
                <w:sz w:val="28"/>
                <w:szCs w:val="28"/>
              </w:rPr>
              <w:t>2.4</w:t>
            </w:r>
            <w:r w:rsidR="00F64302" w:rsidRPr="00884CA2">
              <w:rPr>
                <w:rFonts w:ascii="Times New Roman" w:hAnsi="Times New Roman"/>
                <w:b/>
                <w:i/>
                <w:sz w:val="28"/>
                <w:szCs w:val="28"/>
              </w:rPr>
              <w:t>.</w:t>
            </w:r>
            <w:r w:rsidR="00003448">
              <w:rPr>
                <w:rFonts w:ascii="Times New Roman" w:hAnsi="Times New Roman"/>
                <w:b/>
                <w:i/>
                <w:sz w:val="28"/>
                <w:szCs w:val="28"/>
              </w:rPr>
              <w:t xml:space="preserve"> V</w:t>
            </w:r>
            <w:r w:rsidR="00F64302" w:rsidRPr="00884CA2">
              <w:rPr>
                <w:rFonts w:ascii="Times New Roman" w:hAnsi="Times New Roman"/>
                <w:b/>
                <w:i/>
                <w:sz w:val="28"/>
                <w:szCs w:val="28"/>
              </w:rPr>
              <w:t>aldītājs.</w:t>
            </w:r>
          </w:p>
          <w:p w:rsidR="00F64302" w:rsidRPr="00884CA2" w:rsidRDefault="00003448" w:rsidP="00094207">
            <w:pPr>
              <w:pStyle w:val="ListParagraph"/>
              <w:spacing w:before="120" w:after="120" w:line="240" w:lineRule="auto"/>
              <w:ind w:left="102" w:firstLine="567"/>
              <w:jc w:val="both"/>
              <w:rPr>
                <w:rFonts w:ascii="Times New Roman" w:hAnsi="Times New Roman"/>
                <w:sz w:val="28"/>
                <w:szCs w:val="28"/>
              </w:rPr>
            </w:pPr>
            <w:r>
              <w:rPr>
                <w:rFonts w:ascii="Times New Roman" w:hAnsi="Times New Roman"/>
                <w:sz w:val="28"/>
                <w:szCs w:val="28"/>
              </w:rPr>
              <w:t>V</w:t>
            </w:r>
            <w:r w:rsidR="00F64302" w:rsidRPr="00884CA2">
              <w:rPr>
                <w:rFonts w:ascii="Times New Roman" w:hAnsi="Times New Roman"/>
                <w:sz w:val="28"/>
                <w:szCs w:val="28"/>
              </w:rPr>
              <w:t xml:space="preserve">alsts īpašuma objektu Nr.2 </w:t>
            </w:r>
            <w:r>
              <w:rPr>
                <w:rFonts w:ascii="Times New Roman" w:hAnsi="Times New Roman"/>
                <w:sz w:val="28"/>
                <w:szCs w:val="28"/>
              </w:rPr>
              <w:t xml:space="preserve">sastāvā esošo ēku (būvi) </w:t>
            </w:r>
            <w:r w:rsidR="00F64302" w:rsidRPr="00884CA2">
              <w:rPr>
                <w:rFonts w:ascii="Times New Roman" w:hAnsi="Times New Roman"/>
                <w:sz w:val="28"/>
                <w:szCs w:val="28"/>
              </w:rPr>
              <w:t>Valsts ieņēmumu dienests ir ņēmis valsts uzskaitē 2012.gada 11.jūlijā ar valstij piekritīgās mantas pi</w:t>
            </w:r>
            <w:r w:rsidR="007C0890">
              <w:rPr>
                <w:rFonts w:ascii="Times New Roman" w:hAnsi="Times New Roman"/>
                <w:sz w:val="28"/>
                <w:szCs w:val="28"/>
              </w:rPr>
              <w:t>eņemšanas un nodošanas aktu Nr.</w:t>
            </w:r>
            <w:r w:rsidR="00F64302" w:rsidRPr="00884CA2">
              <w:rPr>
                <w:rFonts w:ascii="Times New Roman" w:hAnsi="Times New Roman"/>
                <w:sz w:val="28"/>
                <w:szCs w:val="28"/>
              </w:rPr>
              <w:t>007848.</w:t>
            </w:r>
          </w:p>
          <w:p w:rsidR="00F64302" w:rsidRPr="00884CA2" w:rsidRDefault="00884CA2" w:rsidP="00094207">
            <w:pPr>
              <w:pStyle w:val="ListParagraph"/>
              <w:spacing w:before="120" w:after="120" w:line="240" w:lineRule="auto"/>
              <w:ind w:left="102"/>
              <w:rPr>
                <w:rFonts w:ascii="Times New Roman" w:hAnsi="Times New Roman" w:cstheme="majorBidi"/>
                <w:b/>
                <w:bCs/>
                <w:i/>
                <w:color w:val="365F91" w:themeColor="accent1" w:themeShade="BF"/>
                <w:sz w:val="28"/>
                <w:szCs w:val="28"/>
              </w:rPr>
            </w:pPr>
            <w:r>
              <w:rPr>
                <w:rFonts w:ascii="Times New Roman" w:hAnsi="Times New Roman"/>
                <w:b/>
                <w:i/>
                <w:sz w:val="28"/>
                <w:szCs w:val="28"/>
              </w:rPr>
              <w:t>2.5</w:t>
            </w:r>
            <w:r w:rsidR="00F64302" w:rsidRPr="00884CA2">
              <w:rPr>
                <w:rFonts w:ascii="Times New Roman" w:hAnsi="Times New Roman"/>
                <w:b/>
                <w:i/>
                <w:sz w:val="28"/>
                <w:szCs w:val="28"/>
              </w:rPr>
              <w:t>.Noma.</w:t>
            </w:r>
          </w:p>
          <w:p w:rsidR="00F64302" w:rsidRPr="00884CA2" w:rsidRDefault="00F64302" w:rsidP="00094207">
            <w:pPr>
              <w:pStyle w:val="ListParagraph"/>
              <w:spacing w:before="120" w:after="120" w:line="240" w:lineRule="auto"/>
              <w:ind w:left="102"/>
              <w:jc w:val="both"/>
              <w:rPr>
                <w:rFonts w:ascii="Times New Roman" w:hAnsi="Times New Roman" w:cstheme="majorBidi"/>
                <w:b/>
                <w:bCs/>
                <w:color w:val="365F91" w:themeColor="accent1" w:themeShade="BF"/>
                <w:sz w:val="28"/>
                <w:szCs w:val="28"/>
              </w:rPr>
            </w:pPr>
            <w:r w:rsidRPr="00884CA2">
              <w:rPr>
                <w:rFonts w:ascii="Times New Roman" w:hAnsi="Times New Roman"/>
                <w:sz w:val="28"/>
                <w:szCs w:val="28"/>
              </w:rPr>
              <w:t>Valsts īpašuma objekts nav iznomāts.</w:t>
            </w:r>
          </w:p>
          <w:p w:rsidR="00F64302" w:rsidRPr="00884CA2" w:rsidRDefault="00884CA2" w:rsidP="00094207">
            <w:pPr>
              <w:pStyle w:val="ListParagraph"/>
              <w:spacing w:before="120" w:after="120" w:line="240" w:lineRule="auto"/>
              <w:ind w:left="102"/>
              <w:rPr>
                <w:rFonts w:ascii="Times New Roman" w:hAnsi="Times New Roman" w:cstheme="majorBidi"/>
                <w:b/>
                <w:bCs/>
                <w:i/>
                <w:color w:val="365F91" w:themeColor="accent1" w:themeShade="BF"/>
                <w:sz w:val="28"/>
                <w:szCs w:val="28"/>
              </w:rPr>
            </w:pPr>
            <w:r>
              <w:rPr>
                <w:rFonts w:ascii="Times New Roman" w:hAnsi="Times New Roman"/>
                <w:b/>
                <w:i/>
                <w:sz w:val="28"/>
                <w:szCs w:val="28"/>
              </w:rPr>
              <w:t>2.6</w:t>
            </w:r>
            <w:r w:rsidR="00F64302" w:rsidRPr="00884CA2">
              <w:rPr>
                <w:rFonts w:ascii="Times New Roman" w:hAnsi="Times New Roman"/>
                <w:b/>
                <w:i/>
                <w:sz w:val="28"/>
                <w:szCs w:val="28"/>
              </w:rPr>
              <w:t>. Pirmpirkuma tiesības.</w:t>
            </w:r>
          </w:p>
          <w:p w:rsidR="00F64302" w:rsidRPr="00F64302" w:rsidRDefault="00884CA2" w:rsidP="00094207">
            <w:pPr>
              <w:pStyle w:val="ListParagraph"/>
              <w:spacing w:before="120" w:after="120" w:line="240" w:lineRule="auto"/>
              <w:ind w:left="102"/>
              <w:jc w:val="both"/>
              <w:rPr>
                <w:rFonts w:cstheme="majorBidi"/>
                <w:b/>
                <w:bCs/>
                <w:color w:val="365F91" w:themeColor="accent1" w:themeShade="BF"/>
                <w:sz w:val="26"/>
                <w:szCs w:val="26"/>
              </w:rPr>
            </w:pPr>
            <w:r w:rsidRPr="00884CA2">
              <w:rPr>
                <w:rFonts w:ascii="Times New Roman" w:hAnsi="Times New Roman"/>
                <w:sz w:val="28"/>
                <w:szCs w:val="28"/>
              </w:rPr>
              <w:t>Nav.</w:t>
            </w:r>
          </w:p>
        </w:tc>
      </w:tr>
      <w:tr w:rsidR="00262E2B" w:rsidRPr="00045B81">
        <w:trPr>
          <w:trHeight w:val="1071"/>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3.</w:t>
            </w:r>
          </w:p>
        </w:tc>
        <w:tc>
          <w:tcPr>
            <w:tcW w:w="4315" w:type="dxa"/>
          </w:tcPr>
          <w:p w:rsidR="00262E2B" w:rsidRPr="00045B81" w:rsidRDefault="00DC7EC8" w:rsidP="006C4607">
            <w:pPr>
              <w:pStyle w:val="naiskr"/>
              <w:spacing w:before="0" w:after="0"/>
              <w:rPr>
                <w:sz w:val="26"/>
                <w:szCs w:val="26"/>
              </w:rPr>
            </w:pPr>
            <w:r>
              <w:rPr>
                <w:sz w:val="26"/>
                <w:szCs w:val="26"/>
              </w:rPr>
              <w:t>Projekta izstrādē iesaistītās institūcijas</w:t>
            </w:r>
          </w:p>
        </w:tc>
        <w:tc>
          <w:tcPr>
            <w:tcW w:w="4860" w:type="dxa"/>
          </w:tcPr>
          <w:p w:rsidR="00D20FF4" w:rsidRPr="00045B81" w:rsidRDefault="00997609" w:rsidP="006C4607">
            <w:pPr>
              <w:pStyle w:val="FootnoteText"/>
              <w:rPr>
                <w:sz w:val="26"/>
                <w:szCs w:val="26"/>
              </w:rPr>
            </w:pPr>
            <w:r>
              <w:rPr>
                <w:sz w:val="26"/>
                <w:szCs w:val="26"/>
              </w:rPr>
              <w:t xml:space="preserve">Nav. </w:t>
            </w:r>
          </w:p>
        </w:tc>
      </w:tr>
      <w:tr w:rsidR="00262E2B" w:rsidRPr="00045B81">
        <w:tc>
          <w:tcPr>
            <w:tcW w:w="550" w:type="dxa"/>
          </w:tcPr>
          <w:p w:rsidR="00262E2B" w:rsidRPr="00045B81" w:rsidRDefault="00997609" w:rsidP="006C4607">
            <w:pPr>
              <w:pStyle w:val="naiskr"/>
              <w:spacing w:before="0" w:after="0"/>
              <w:rPr>
                <w:sz w:val="26"/>
                <w:szCs w:val="26"/>
              </w:rPr>
            </w:pPr>
            <w:r>
              <w:rPr>
                <w:sz w:val="26"/>
                <w:szCs w:val="26"/>
              </w:rPr>
              <w:t>4</w:t>
            </w:r>
            <w:r w:rsidR="00262E2B" w:rsidRPr="00045B81">
              <w:rPr>
                <w:sz w:val="26"/>
                <w:szCs w:val="26"/>
              </w:rPr>
              <w:t>.</w:t>
            </w:r>
          </w:p>
        </w:tc>
        <w:tc>
          <w:tcPr>
            <w:tcW w:w="4315" w:type="dxa"/>
          </w:tcPr>
          <w:p w:rsidR="00262E2B" w:rsidRPr="00045B81" w:rsidRDefault="00262E2B" w:rsidP="006C4607">
            <w:pPr>
              <w:pStyle w:val="naiskr"/>
              <w:spacing w:before="0" w:after="0"/>
              <w:rPr>
                <w:sz w:val="26"/>
                <w:szCs w:val="26"/>
              </w:rPr>
            </w:pPr>
            <w:r w:rsidRPr="00045B81">
              <w:rPr>
                <w:sz w:val="26"/>
                <w:szCs w:val="26"/>
              </w:rPr>
              <w:t>Cita informācija</w:t>
            </w:r>
          </w:p>
        </w:tc>
        <w:tc>
          <w:tcPr>
            <w:tcW w:w="4860" w:type="dxa"/>
          </w:tcPr>
          <w:p w:rsidR="00262E2B" w:rsidRPr="00045B81" w:rsidRDefault="001B71CD" w:rsidP="006C4607">
            <w:pPr>
              <w:pStyle w:val="naiskr"/>
              <w:spacing w:before="0" w:after="0"/>
              <w:rPr>
                <w:sz w:val="26"/>
                <w:szCs w:val="26"/>
              </w:rPr>
            </w:pPr>
            <w:r w:rsidRPr="00045B81">
              <w:rPr>
                <w:sz w:val="26"/>
                <w:szCs w:val="26"/>
              </w:rPr>
              <w:t>Nav.</w:t>
            </w:r>
          </w:p>
        </w:tc>
      </w:tr>
    </w:tbl>
    <w:p w:rsidR="00045B81" w:rsidRPr="00045B81" w:rsidRDefault="00045B81" w:rsidP="00A27EDB">
      <w:pPr>
        <w:pStyle w:val="naisf"/>
        <w:spacing w:before="0" w:after="0"/>
        <w:ind w:firstLine="0"/>
        <w:rPr>
          <w:sz w:val="26"/>
          <w:szCs w:val="26"/>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62298A" w:rsidRPr="00045B81">
        <w:tc>
          <w:tcPr>
            <w:tcW w:w="9905" w:type="dxa"/>
            <w:gridSpan w:val="3"/>
            <w:vAlign w:val="center"/>
          </w:tcPr>
          <w:p w:rsidR="0062298A" w:rsidRPr="00045B81" w:rsidRDefault="0062298A" w:rsidP="006C4607">
            <w:pPr>
              <w:pStyle w:val="naisnod"/>
              <w:spacing w:before="0" w:after="0"/>
              <w:rPr>
                <w:sz w:val="26"/>
                <w:szCs w:val="26"/>
              </w:rPr>
            </w:pPr>
            <w:r w:rsidRPr="00045B81">
              <w:rPr>
                <w:sz w:val="26"/>
                <w:szCs w:val="26"/>
              </w:rPr>
              <w:t>II</w:t>
            </w:r>
            <w:r w:rsidR="000941C5" w:rsidRPr="00045B81">
              <w:rPr>
                <w:sz w:val="26"/>
                <w:szCs w:val="26"/>
              </w:rPr>
              <w:t>.</w:t>
            </w:r>
            <w:r w:rsidRPr="00045B81">
              <w:rPr>
                <w:sz w:val="26"/>
                <w:szCs w:val="26"/>
              </w:rPr>
              <w:t xml:space="preserve"> Tiesību akta projekta ietekme uz sabiedrību</w:t>
            </w:r>
            <w:r w:rsidR="00610833">
              <w:rPr>
                <w:sz w:val="26"/>
                <w:szCs w:val="26"/>
              </w:rPr>
              <w:t>, tautsaimniecības attīstību un administratīvo slogu</w:t>
            </w:r>
          </w:p>
        </w:tc>
      </w:tr>
      <w:tr w:rsidR="0062298A" w:rsidRPr="00045B81">
        <w:trPr>
          <w:trHeight w:val="467"/>
        </w:trPr>
        <w:tc>
          <w:tcPr>
            <w:tcW w:w="550" w:type="dxa"/>
          </w:tcPr>
          <w:p w:rsidR="0062298A" w:rsidRPr="00045B81" w:rsidRDefault="0062298A" w:rsidP="006C4607">
            <w:pPr>
              <w:pStyle w:val="naiskr"/>
              <w:spacing w:before="0" w:after="0"/>
              <w:rPr>
                <w:sz w:val="26"/>
                <w:szCs w:val="26"/>
              </w:rPr>
            </w:pPr>
            <w:r w:rsidRPr="00045B81">
              <w:rPr>
                <w:sz w:val="26"/>
                <w:szCs w:val="26"/>
              </w:rPr>
              <w:t>1.</w:t>
            </w:r>
          </w:p>
        </w:tc>
        <w:tc>
          <w:tcPr>
            <w:tcW w:w="4855" w:type="dxa"/>
          </w:tcPr>
          <w:p w:rsidR="0062298A" w:rsidRPr="00045B81" w:rsidRDefault="00C27A08" w:rsidP="006C4607">
            <w:pPr>
              <w:pStyle w:val="naiskr"/>
              <w:spacing w:before="0" w:after="0"/>
              <w:rPr>
                <w:sz w:val="26"/>
                <w:szCs w:val="26"/>
              </w:rPr>
            </w:pPr>
            <w:r w:rsidRPr="00045B81">
              <w:rPr>
                <w:sz w:val="26"/>
                <w:szCs w:val="26"/>
              </w:rPr>
              <w:t xml:space="preserve">Sabiedrības </w:t>
            </w:r>
            <w:proofErr w:type="spellStart"/>
            <w:r w:rsidRPr="00045B81">
              <w:rPr>
                <w:sz w:val="26"/>
                <w:szCs w:val="26"/>
              </w:rPr>
              <w:t>mērķgrupa</w:t>
            </w:r>
            <w:r w:rsidR="00610833">
              <w:rPr>
                <w:sz w:val="26"/>
                <w:szCs w:val="26"/>
              </w:rPr>
              <w:t>s</w:t>
            </w:r>
            <w:proofErr w:type="spellEnd"/>
            <w:r w:rsidR="00610833">
              <w:rPr>
                <w:sz w:val="26"/>
                <w:szCs w:val="26"/>
              </w:rPr>
              <w:t>, kuras tiesiskais regulējums ietekmē vai varētu ietekmēt</w:t>
            </w:r>
          </w:p>
        </w:tc>
        <w:tc>
          <w:tcPr>
            <w:tcW w:w="4500" w:type="dxa"/>
          </w:tcPr>
          <w:p w:rsidR="00A75E7F" w:rsidRPr="00045B81" w:rsidRDefault="00D6125F" w:rsidP="00884CA2">
            <w:pPr>
              <w:pStyle w:val="naiskr"/>
              <w:spacing w:before="120" w:after="120"/>
              <w:ind w:firstLine="554"/>
              <w:jc w:val="both"/>
              <w:rPr>
                <w:iCs/>
                <w:sz w:val="26"/>
                <w:szCs w:val="26"/>
              </w:rPr>
            </w:pPr>
            <w:r w:rsidRPr="00D6125F">
              <w:rPr>
                <w:iCs/>
                <w:sz w:val="26"/>
                <w:szCs w:val="26"/>
              </w:rPr>
              <w:t xml:space="preserve">Jautājuma būtība skar Ministru kabineta tiesības pieņemt lēmumu nodot privatizācijai vai atteikt nodot </w:t>
            </w:r>
            <w:r w:rsidRPr="00D6125F">
              <w:rPr>
                <w:iCs/>
                <w:sz w:val="26"/>
                <w:szCs w:val="26"/>
              </w:rPr>
              <w:lastRenderedPageBreak/>
              <w:t>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62298A" w:rsidRPr="00045B81">
        <w:trPr>
          <w:trHeight w:val="523"/>
        </w:trPr>
        <w:tc>
          <w:tcPr>
            <w:tcW w:w="550" w:type="dxa"/>
          </w:tcPr>
          <w:p w:rsidR="0062298A" w:rsidRPr="00045B81" w:rsidRDefault="0062298A" w:rsidP="006C4607">
            <w:pPr>
              <w:pStyle w:val="naiskr"/>
              <w:spacing w:before="0" w:after="0"/>
              <w:rPr>
                <w:sz w:val="26"/>
                <w:szCs w:val="26"/>
              </w:rPr>
            </w:pPr>
            <w:r w:rsidRPr="00045B81">
              <w:rPr>
                <w:sz w:val="26"/>
                <w:szCs w:val="26"/>
              </w:rPr>
              <w:lastRenderedPageBreak/>
              <w:t>2.</w:t>
            </w:r>
          </w:p>
        </w:tc>
        <w:tc>
          <w:tcPr>
            <w:tcW w:w="4855" w:type="dxa"/>
          </w:tcPr>
          <w:p w:rsidR="00C1133D" w:rsidRPr="00045B81" w:rsidRDefault="007C414F" w:rsidP="006C4607">
            <w:pPr>
              <w:pStyle w:val="naiskr"/>
              <w:spacing w:before="0" w:after="0"/>
              <w:rPr>
                <w:sz w:val="26"/>
                <w:szCs w:val="26"/>
              </w:rPr>
            </w:pPr>
            <w:r>
              <w:rPr>
                <w:sz w:val="26"/>
                <w:szCs w:val="26"/>
              </w:rPr>
              <w:t>Tiesiskā regulējuma ietekme uz tautsaimniecību un administratīvo slogu</w:t>
            </w:r>
          </w:p>
        </w:tc>
        <w:tc>
          <w:tcPr>
            <w:tcW w:w="4500" w:type="dxa"/>
          </w:tcPr>
          <w:p w:rsidR="00102DD8" w:rsidRPr="00045B81" w:rsidRDefault="00D6125F" w:rsidP="00102DD8">
            <w:pPr>
              <w:pStyle w:val="naiskr"/>
              <w:spacing w:before="0" w:after="0"/>
              <w:jc w:val="both"/>
              <w:rPr>
                <w:sz w:val="26"/>
                <w:szCs w:val="26"/>
              </w:rPr>
            </w:pPr>
            <w:r>
              <w:rPr>
                <w:sz w:val="26"/>
                <w:szCs w:val="26"/>
              </w:rPr>
              <w:t>Nav.</w:t>
            </w:r>
          </w:p>
        </w:tc>
      </w:tr>
      <w:tr w:rsidR="0062298A" w:rsidRPr="00045B81">
        <w:trPr>
          <w:trHeight w:val="517"/>
        </w:trPr>
        <w:tc>
          <w:tcPr>
            <w:tcW w:w="550" w:type="dxa"/>
          </w:tcPr>
          <w:p w:rsidR="0062298A" w:rsidRPr="00045B81" w:rsidRDefault="0062298A" w:rsidP="006C4607">
            <w:pPr>
              <w:pStyle w:val="naiskr"/>
              <w:spacing w:before="0" w:after="0"/>
              <w:rPr>
                <w:sz w:val="26"/>
                <w:szCs w:val="26"/>
              </w:rPr>
            </w:pPr>
            <w:r w:rsidRPr="00045B81">
              <w:rPr>
                <w:sz w:val="26"/>
                <w:szCs w:val="26"/>
              </w:rPr>
              <w:t>3.</w:t>
            </w:r>
          </w:p>
        </w:tc>
        <w:tc>
          <w:tcPr>
            <w:tcW w:w="4855" w:type="dxa"/>
          </w:tcPr>
          <w:p w:rsidR="00C1133D" w:rsidRPr="00045B81" w:rsidRDefault="00102DD8" w:rsidP="006C4607">
            <w:pPr>
              <w:pStyle w:val="naiskr"/>
              <w:spacing w:before="0" w:after="0"/>
              <w:rPr>
                <w:sz w:val="26"/>
                <w:szCs w:val="26"/>
              </w:rPr>
            </w:pPr>
            <w:r>
              <w:rPr>
                <w:sz w:val="26"/>
                <w:szCs w:val="26"/>
              </w:rPr>
              <w:t>Administratīvo izmaksu monetārs novērtējums</w:t>
            </w:r>
          </w:p>
        </w:tc>
        <w:tc>
          <w:tcPr>
            <w:tcW w:w="4500" w:type="dxa"/>
          </w:tcPr>
          <w:p w:rsidR="0062298A" w:rsidRPr="00045B81" w:rsidRDefault="00D6125F" w:rsidP="00102DD8">
            <w:pPr>
              <w:pStyle w:val="naiskr"/>
              <w:spacing w:before="120" w:after="120"/>
              <w:rPr>
                <w:sz w:val="26"/>
                <w:szCs w:val="26"/>
              </w:rPr>
            </w:pPr>
            <w:r>
              <w:rPr>
                <w:sz w:val="26"/>
                <w:szCs w:val="26"/>
              </w:rPr>
              <w:t>Nav.</w:t>
            </w:r>
          </w:p>
        </w:tc>
      </w:tr>
      <w:tr w:rsidR="0062298A" w:rsidRPr="00045B81">
        <w:tc>
          <w:tcPr>
            <w:tcW w:w="550" w:type="dxa"/>
          </w:tcPr>
          <w:p w:rsidR="0062298A" w:rsidRPr="00045B81" w:rsidRDefault="00102DD8" w:rsidP="006C4607">
            <w:pPr>
              <w:pStyle w:val="naiskr"/>
              <w:spacing w:before="0" w:after="0"/>
              <w:rPr>
                <w:sz w:val="26"/>
                <w:szCs w:val="26"/>
              </w:rPr>
            </w:pPr>
            <w:r>
              <w:rPr>
                <w:sz w:val="26"/>
                <w:szCs w:val="26"/>
              </w:rPr>
              <w:t>4</w:t>
            </w:r>
            <w:r w:rsidR="0062298A" w:rsidRPr="00045B81">
              <w:rPr>
                <w:sz w:val="26"/>
                <w:szCs w:val="26"/>
              </w:rPr>
              <w:t>.</w:t>
            </w:r>
          </w:p>
        </w:tc>
        <w:tc>
          <w:tcPr>
            <w:tcW w:w="4855" w:type="dxa"/>
          </w:tcPr>
          <w:p w:rsidR="0062298A" w:rsidRPr="00045B81" w:rsidRDefault="009E12D7" w:rsidP="006C4607">
            <w:pPr>
              <w:pStyle w:val="naiskr"/>
              <w:spacing w:before="0" w:after="0"/>
              <w:rPr>
                <w:sz w:val="26"/>
                <w:szCs w:val="26"/>
              </w:rPr>
            </w:pPr>
            <w:r w:rsidRPr="00045B81">
              <w:rPr>
                <w:sz w:val="26"/>
                <w:szCs w:val="26"/>
              </w:rPr>
              <w:t>Cita informācija</w:t>
            </w:r>
          </w:p>
        </w:tc>
        <w:tc>
          <w:tcPr>
            <w:tcW w:w="4500" w:type="dxa"/>
          </w:tcPr>
          <w:p w:rsidR="0062298A" w:rsidRPr="00045B81" w:rsidRDefault="001B71CD" w:rsidP="006C4607">
            <w:pPr>
              <w:pStyle w:val="naiskr"/>
              <w:spacing w:before="0" w:after="0"/>
              <w:rPr>
                <w:sz w:val="26"/>
                <w:szCs w:val="26"/>
              </w:rPr>
            </w:pPr>
            <w:r w:rsidRPr="00045B81">
              <w:rPr>
                <w:sz w:val="26"/>
                <w:szCs w:val="26"/>
              </w:rPr>
              <w:t>Nav</w:t>
            </w:r>
            <w:r w:rsidR="00102DD8">
              <w:rPr>
                <w:sz w:val="26"/>
                <w:szCs w:val="26"/>
              </w:rPr>
              <w:t>.</w:t>
            </w:r>
          </w:p>
        </w:tc>
      </w:tr>
    </w:tbl>
    <w:p w:rsidR="00F52382" w:rsidRPr="00045B81" w:rsidRDefault="00F52382" w:rsidP="005C5EDC">
      <w:pPr>
        <w:pStyle w:val="naisf"/>
        <w:spacing w:before="0" w:after="0"/>
        <w:ind w:firstLine="0"/>
        <w:rPr>
          <w:sz w:val="26"/>
          <w:szCs w:val="26"/>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124F12" w:rsidRPr="00045B81" w:rsidTr="00A27EDB">
        <w:trPr>
          <w:trHeight w:val="410"/>
          <w:jc w:val="center"/>
        </w:trPr>
        <w:tc>
          <w:tcPr>
            <w:tcW w:w="10124" w:type="dxa"/>
          </w:tcPr>
          <w:p w:rsidR="00124F12" w:rsidRPr="00045B81" w:rsidRDefault="00124F12" w:rsidP="006C4607">
            <w:pPr>
              <w:pStyle w:val="naisnod"/>
              <w:spacing w:before="0" w:after="0"/>
              <w:rPr>
                <w:i/>
                <w:sz w:val="26"/>
                <w:szCs w:val="26"/>
              </w:rPr>
            </w:pPr>
            <w:r w:rsidRPr="00045B81">
              <w:rPr>
                <w:sz w:val="26"/>
                <w:szCs w:val="26"/>
              </w:rPr>
              <w:br w:type="page"/>
              <w:t>III</w:t>
            </w:r>
            <w:r w:rsidR="000941C5" w:rsidRPr="00045B81">
              <w:rPr>
                <w:sz w:val="26"/>
                <w:szCs w:val="26"/>
              </w:rPr>
              <w:t>.</w:t>
            </w:r>
            <w:r w:rsidRPr="00045B81">
              <w:rPr>
                <w:sz w:val="26"/>
                <w:szCs w:val="26"/>
              </w:rPr>
              <w:t xml:space="preserve"> Tiesību akta projekta ietekme uz valsts budžetu un pašvaldību budžetiem</w:t>
            </w:r>
          </w:p>
        </w:tc>
      </w:tr>
      <w:tr w:rsidR="00E66595" w:rsidRPr="00045B81" w:rsidTr="00045B81">
        <w:trPr>
          <w:trHeight w:val="462"/>
          <w:jc w:val="center"/>
        </w:trPr>
        <w:tc>
          <w:tcPr>
            <w:tcW w:w="10124" w:type="dxa"/>
          </w:tcPr>
          <w:p w:rsidR="00E66595" w:rsidRPr="00045B81" w:rsidRDefault="00E66595" w:rsidP="00191865">
            <w:pPr>
              <w:pStyle w:val="naisnod"/>
              <w:spacing w:before="0" w:after="0"/>
              <w:rPr>
                <w:b w:val="0"/>
                <w:sz w:val="26"/>
                <w:szCs w:val="26"/>
              </w:rPr>
            </w:pPr>
            <w:r w:rsidRPr="00045B81">
              <w:rPr>
                <w:b w:val="0"/>
                <w:sz w:val="26"/>
                <w:szCs w:val="26"/>
              </w:rPr>
              <w:t>Projekts šo jomu neskar.</w:t>
            </w:r>
          </w:p>
        </w:tc>
      </w:tr>
    </w:tbl>
    <w:p w:rsidR="00A718FC" w:rsidRPr="00045B81" w:rsidRDefault="00A718FC" w:rsidP="006C4607">
      <w:pPr>
        <w:pStyle w:val="naiskr"/>
        <w:tabs>
          <w:tab w:val="left" w:pos="2628"/>
        </w:tabs>
        <w:spacing w:before="0" w:after="0"/>
        <w:rPr>
          <w:i/>
          <w:sz w:val="26"/>
          <w:szCs w:val="26"/>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62"/>
        <w:gridCol w:w="5048"/>
      </w:tblGrid>
      <w:tr w:rsidR="00924023" w:rsidRPr="00045B81" w:rsidTr="000A325D">
        <w:trPr>
          <w:jc w:val="center"/>
        </w:trPr>
        <w:tc>
          <w:tcPr>
            <w:tcW w:w="10098" w:type="dxa"/>
            <w:gridSpan w:val="3"/>
          </w:tcPr>
          <w:p w:rsidR="00924023" w:rsidRPr="00045B81" w:rsidRDefault="00924023" w:rsidP="000A325D">
            <w:pPr>
              <w:pStyle w:val="naisnod"/>
              <w:spacing w:before="0" w:after="0"/>
              <w:rPr>
                <w:sz w:val="26"/>
                <w:szCs w:val="26"/>
              </w:rPr>
            </w:pPr>
            <w:r w:rsidRPr="00045B81">
              <w:rPr>
                <w:sz w:val="26"/>
                <w:szCs w:val="26"/>
              </w:rPr>
              <w:t>IV</w:t>
            </w:r>
            <w:r w:rsidR="000941C5" w:rsidRPr="00045B81">
              <w:rPr>
                <w:sz w:val="26"/>
                <w:szCs w:val="26"/>
              </w:rPr>
              <w:t>.</w:t>
            </w:r>
            <w:r w:rsidRPr="00045B81">
              <w:rPr>
                <w:sz w:val="26"/>
                <w:szCs w:val="26"/>
              </w:rPr>
              <w:t xml:space="preserve"> Tiesību akta projekta ietekme uz</w:t>
            </w:r>
            <w:r w:rsidR="005060A1" w:rsidRPr="00045B81">
              <w:rPr>
                <w:sz w:val="26"/>
                <w:szCs w:val="26"/>
              </w:rPr>
              <w:t xml:space="preserve"> </w:t>
            </w:r>
            <w:r w:rsidRPr="00045B81">
              <w:rPr>
                <w:sz w:val="26"/>
                <w:szCs w:val="26"/>
              </w:rPr>
              <w:t>spēkā esošo tiesību normu sistēmu</w:t>
            </w:r>
          </w:p>
        </w:tc>
      </w:tr>
      <w:tr w:rsidR="00924023" w:rsidRPr="00045B81" w:rsidTr="005C5EDC">
        <w:trPr>
          <w:jc w:val="center"/>
        </w:trPr>
        <w:tc>
          <w:tcPr>
            <w:tcW w:w="1188" w:type="dxa"/>
          </w:tcPr>
          <w:p w:rsidR="00924023" w:rsidRPr="00045B81" w:rsidRDefault="00924023" w:rsidP="000A325D">
            <w:pPr>
              <w:pStyle w:val="naiskr"/>
              <w:tabs>
                <w:tab w:val="left" w:pos="2628"/>
              </w:tabs>
              <w:spacing w:before="0" w:after="0"/>
              <w:jc w:val="both"/>
              <w:rPr>
                <w:iCs/>
                <w:sz w:val="26"/>
                <w:szCs w:val="26"/>
              </w:rPr>
            </w:pPr>
            <w:r w:rsidRPr="00045B81">
              <w:rPr>
                <w:iCs/>
                <w:sz w:val="26"/>
                <w:szCs w:val="26"/>
              </w:rPr>
              <w:t>1.</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Nepieciešamie saistītie tiesību akt</w:t>
            </w:r>
            <w:r w:rsidR="00DD1020" w:rsidRPr="00045B81">
              <w:rPr>
                <w:sz w:val="26"/>
                <w:szCs w:val="26"/>
              </w:rPr>
              <w:t>u</w:t>
            </w:r>
            <w:r w:rsidRPr="00045B81">
              <w:rPr>
                <w:sz w:val="26"/>
                <w:szCs w:val="26"/>
              </w:rPr>
              <w:t xml:space="preserve"> projekti</w:t>
            </w:r>
          </w:p>
        </w:tc>
        <w:tc>
          <w:tcPr>
            <w:tcW w:w="5048" w:type="dxa"/>
          </w:tcPr>
          <w:p w:rsidR="00102DD8" w:rsidRPr="00D15C07" w:rsidRDefault="00D6125F" w:rsidP="00C832A6">
            <w:pPr>
              <w:pStyle w:val="naiskr"/>
              <w:tabs>
                <w:tab w:val="left" w:pos="427"/>
                <w:tab w:val="left" w:pos="2628"/>
              </w:tabs>
              <w:spacing w:before="0" w:after="0"/>
              <w:ind w:left="1"/>
              <w:jc w:val="both"/>
              <w:rPr>
                <w:sz w:val="26"/>
                <w:szCs w:val="26"/>
              </w:rPr>
            </w:pPr>
            <w:r>
              <w:rPr>
                <w:sz w:val="26"/>
                <w:szCs w:val="26"/>
              </w:rPr>
              <w:t>Nav.</w:t>
            </w:r>
          </w:p>
        </w:tc>
      </w:tr>
      <w:tr w:rsidR="00C832A6" w:rsidRPr="00045B81" w:rsidTr="005C5EDC">
        <w:trPr>
          <w:jc w:val="center"/>
        </w:trPr>
        <w:tc>
          <w:tcPr>
            <w:tcW w:w="1188" w:type="dxa"/>
          </w:tcPr>
          <w:p w:rsidR="00C832A6" w:rsidRPr="00045B81" w:rsidRDefault="00C832A6" w:rsidP="000A325D">
            <w:pPr>
              <w:pStyle w:val="naiskr"/>
              <w:tabs>
                <w:tab w:val="left" w:pos="2628"/>
              </w:tabs>
              <w:spacing w:before="0" w:after="0"/>
              <w:jc w:val="both"/>
              <w:rPr>
                <w:iCs/>
                <w:sz w:val="26"/>
                <w:szCs w:val="26"/>
              </w:rPr>
            </w:pPr>
            <w:r>
              <w:rPr>
                <w:iCs/>
                <w:sz w:val="26"/>
                <w:szCs w:val="26"/>
              </w:rPr>
              <w:t>2.</w:t>
            </w:r>
          </w:p>
        </w:tc>
        <w:tc>
          <w:tcPr>
            <w:tcW w:w="3862" w:type="dxa"/>
          </w:tcPr>
          <w:p w:rsidR="00C832A6" w:rsidRPr="00045B81" w:rsidRDefault="00C832A6" w:rsidP="000A325D">
            <w:pPr>
              <w:pStyle w:val="naiskr"/>
              <w:tabs>
                <w:tab w:val="left" w:pos="2628"/>
              </w:tabs>
              <w:spacing w:before="0" w:after="0"/>
              <w:jc w:val="both"/>
              <w:rPr>
                <w:sz w:val="26"/>
                <w:szCs w:val="26"/>
              </w:rPr>
            </w:pPr>
            <w:r>
              <w:rPr>
                <w:sz w:val="26"/>
                <w:szCs w:val="26"/>
              </w:rPr>
              <w:t>Atbildīgā institūcija</w:t>
            </w:r>
          </w:p>
        </w:tc>
        <w:tc>
          <w:tcPr>
            <w:tcW w:w="5048" w:type="dxa"/>
          </w:tcPr>
          <w:p w:rsidR="00C832A6" w:rsidRPr="00D15C07" w:rsidRDefault="00D6125F" w:rsidP="005C5EDC">
            <w:pPr>
              <w:pStyle w:val="naiskr"/>
              <w:tabs>
                <w:tab w:val="left" w:pos="427"/>
                <w:tab w:val="left" w:pos="2628"/>
              </w:tabs>
              <w:spacing w:before="0" w:after="0"/>
              <w:ind w:left="1"/>
              <w:jc w:val="both"/>
              <w:rPr>
                <w:sz w:val="26"/>
                <w:szCs w:val="26"/>
              </w:rPr>
            </w:pPr>
            <w:r>
              <w:rPr>
                <w:sz w:val="26"/>
                <w:szCs w:val="26"/>
              </w:rPr>
              <w:t>Nav.</w:t>
            </w:r>
          </w:p>
        </w:tc>
      </w:tr>
      <w:tr w:rsidR="00924023" w:rsidRPr="00045B81" w:rsidTr="005C5EDC">
        <w:trPr>
          <w:jc w:val="center"/>
        </w:trPr>
        <w:tc>
          <w:tcPr>
            <w:tcW w:w="1188" w:type="dxa"/>
          </w:tcPr>
          <w:p w:rsidR="00924023" w:rsidRPr="00045B81" w:rsidRDefault="00C832A6" w:rsidP="000A325D">
            <w:pPr>
              <w:pStyle w:val="naiskr"/>
              <w:tabs>
                <w:tab w:val="left" w:pos="2628"/>
              </w:tabs>
              <w:spacing w:before="0" w:after="0"/>
              <w:jc w:val="both"/>
              <w:rPr>
                <w:iCs/>
                <w:sz w:val="26"/>
                <w:szCs w:val="26"/>
              </w:rPr>
            </w:pPr>
            <w:r>
              <w:rPr>
                <w:iCs/>
                <w:sz w:val="26"/>
                <w:szCs w:val="26"/>
              </w:rPr>
              <w:t>3</w:t>
            </w:r>
            <w:r w:rsidR="00924023" w:rsidRPr="00045B81">
              <w:rPr>
                <w:iCs/>
                <w:sz w:val="26"/>
                <w:szCs w:val="26"/>
              </w:rPr>
              <w:t>.</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Cita informācija</w:t>
            </w:r>
          </w:p>
        </w:tc>
        <w:tc>
          <w:tcPr>
            <w:tcW w:w="5048" w:type="dxa"/>
          </w:tcPr>
          <w:p w:rsidR="00D15C07" w:rsidRPr="00D15C07" w:rsidRDefault="00C832A6" w:rsidP="005C5EDC">
            <w:pPr>
              <w:pStyle w:val="naiskr"/>
              <w:tabs>
                <w:tab w:val="left" w:pos="427"/>
                <w:tab w:val="left" w:pos="2628"/>
              </w:tabs>
              <w:spacing w:before="0" w:after="0"/>
              <w:ind w:left="1"/>
              <w:jc w:val="both"/>
              <w:rPr>
                <w:sz w:val="26"/>
                <w:szCs w:val="26"/>
              </w:rPr>
            </w:pPr>
            <w:r>
              <w:rPr>
                <w:sz w:val="26"/>
                <w:szCs w:val="26"/>
              </w:rPr>
              <w:t>Nav.</w:t>
            </w:r>
          </w:p>
        </w:tc>
      </w:tr>
    </w:tbl>
    <w:p w:rsidR="00045B81" w:rsidRDefault="00045B81">
      <w:pPr>
        <w:rPr>
          <w:sz w:val="26"/>
          <w:szCs w:val="26"/>
        </w:rPr>
      </w:pPr>
    </w:p>
    <w:p w:rsidR="00917342" w:rsidRDefault="00917342">
      <w:pPr>
        <w:rPr>
          <w:sz w:val="26"/>
          <w:szCs w:val="26"/>
        </w:rPr>
      </w:pPr>
    </w:p>
    <w:p w:rsidR="00917342" w:rsidRDefault="00917342">
      <w:pPr>
        <w:rPr>
          <w:sz w:val="26"/>
          <w:szCs w:val="26"/>
        </w:rPr>
      </w:pPr>
    </w:p>
    <w:p w:rsidR="00917342" w:rsidRPr="00045B81" w:rsidRDefault="00917342">
      <w:pPr>
        <w:rPr>
          <w:sz w:val="26"/>
          <w:szCs w:val="26"/>
        </w:rPr>
      </w:pPr>
    </w:p>
    <w:tbl>
      <w:tblPr>
        <w:tblW w:w="5468" w:type="pct"/>
        <w:jc w:val="center"/>
        <w:tblInd w:w="-369"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135"/>
        <w:gridCol w:w="2017"/>
        <w:gridCol w:w="6893"/>
      </w:tblGrid>
      <w:tr w:rsidR="00FE72CA" w:rsidRPr="00045B81" w:rsidTr="00FE72CA">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jc w:val="center"/>
              <w:rPr>
                <w:b/>
                <w:sz w:val="26"/>
                <w:szCs w:val="26"/>
              </w:rPr>
            </w:pPr>
            <w:r w:rsidRPr="00045B81">
              <w:rPr>
                <w:b/>
                <w:sz w:val="26"/>
                <w:szCs w:val="26"/>
              </w:rPr>
              <w:t>V. Tiesību akta projekta atbilstība Latvijas Republikas starptautiskajām saistībām</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1.</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Saistības pret Eiropas Savienību</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jc w:val="both"/>
              <w:rPr>
                <w:sz w:val="26"/>
                <w:szCs w:val="26"/>
              </w:rPr>
            </w:pPr>
            <w:r w:rsidRPr="00045B81">
              <w:rPr>
                <w:sz w:val="26"/>
                <w:szCs w:val="26"/>
              </w:rPr>
              <w:t>Nav.</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2.</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Citas starptautiskās saistības</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917342" w:rsidP="00173681">
            <w:pPr>
              <w:ind w:left="57"/>
              <w:jc w:val="both"/>
              <w:rPr>
                <w:sz w:val="26"/>
                <w:szCs w:val="26"/>
              </w:rPr>
            </w:pPr>
            <w:r>
              <w:rPr>
                <w:sz w:val="26"/>
                <w:szCs w:val="26"/>
              </w:rPr>
              <w:t>Nav.</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3.</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Cita informācija</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917342" w:rsidP="00FE72CA">
            <w:pPr>
              <w:ind w:left="57"/>
              <w:jc w:val="both"/>
              <w:rPr>
                <w:sz w:val="26"/>
                <w:szCs w:val="26"/>
              </w:rPr>
            </w:pPr>
            <w:r>
              <w:rPr>
                <w:sz w:val="26"/>
                <w:szCs w:val="26"/>
              </w:rPr>
              <w:t>Nav.</w:t>
            </w:r>
          </w:p>
        </w:tc>
      </w:tr>
    </w:tbl>
    <w:p w:rsidR="00F52382" w:rsidRPr="00045B81" w:rsidRDefault="00F52382"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ind w:left="57"/>
              <w:jc w:val="center"/>
              <w:rPr>
                <w:b/>
                <w:sz w:val="26"/>
                <w:szCs w:val="26"/>
              </w:rPr>
            </w:pPr>
            <w:r w:rsidRPr="00045B81">
              <w:rPr>
                <w:b/>
                <w:sz w:val="26"/>
                <w:szCs w:val="26"/>
              </w:rPr>
              <w:t>1.tabula</w:t>
            </w:r>
          </w:p>
          <w:p w:rsidR="00FE72CA" w:rsidRPr="00045B81" w:rsidRDefault="00FE72CA" w:rsidP="00173681">
            <w:pPr>
              <w:ind w:left="57"/>
              <w:jc w:val="center"/>
              <w:rPr>
                <w:sz w:val="26"/>
                <w:szCs w:val="26"/>
              </w:rPr>
            </w:pPr>
            <w:r w:rsidRPr="00045B81">
              <w:rPr>
                <w:b/>
                <w:sz w:val="26"/>
                <w:szCs w:val="26"/>
              </w:rPr>
              <w:t>Tiesību akta projekta atbilstība ES tiesību aktiem</w:t>
            </w:r>
          </w:p>
        </w:tc>
      </w:tr>
      <w:tr w:rsidR="00FE72CA" w:rsidRPr="00045B81" w:rsidTr="00A7270B">
        <w:trPr>
          <w:trHeight w:val="408"/>
        </w:trPr>
        <w:tc>
          <w:tcPr>
            <w:tcW w:w="10206" w:type="dxa"/>
            <w:tcBorders>
              <w:top w:val="outset" w:sz="6" w:space="0" w:color="auto"/>
              <w:left w:val="outset" w:sz="6" w:space="0" w:color="auto"/>
              <w:bottom w:val="outset" w:sz="6" w:space="0" w:color="auto"/>
              <w:right w:val="outset" w:sz="6" w:space="0" w:color="auto"/>
            </w:tcBorders>
          </w:tcPr>
          <w:p w:rsidR="00FE72CA" w:rsidRPr="00045B81" w:rsidRDefault="00FE72CA" w:rsidP="00FE72CA">
            <w:pPr>
              <w:ind w:left="57"/>
              <w:jc w:val="center"/>
              <w:rPr>
                <w:sz w:val="26"/>
                <w:szCs w:val="26"/>
              </w:rPr>
            </w:pPr>
            <w:r w:rsidRPr="00045B81">
              <w:rPr>
                <w:sz w:val="26"/>
                <w:szCs w:val="26"/>
              </w:rPr>
              <w:t>Projekts šo jomu neskar.</w:t>
            </w:r>
          </w:p>
        </w:tc>
      </w:tr>
    </w:tbl>
    <w:p w:rsidR="00FE72CA" w:rsidRPr="00045B81" w:rsidRDefault="00FE72CA"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ind w:left="57"/>
              <w:jc w:val="center"/>
              <w:rPr>
                <w:b/>
                <w:sz w:val="26"/>
                <w:szCs w:val="26"/>
              </w:rPr>
            </w:pPr>
            <w:r w:rsidRPr="00045B81">
              <w:rPr>
                <w:b/>
                <w:sz w:val="26"/>
                <w:szCs w:val="26"/>
              </w:rPr>
              <w:t>2.tabula</w:t>
            </w:r>
          </w:p>
          <w:p w:rsidR="00FE72CA" w:rsidRPr="00045B81" w:rsidRDefault="00FE72CA" w:rsidP="00173681">
            <w:pPr>
              <w:ind w:left="57"/>
              <w:jc w:val="center"/>
              <w:rPr>
                <w:b/>
                <w:sz w:val="26"/>
                <w:szCs w:val="26"/>
              </w:rPr>
            </w:pPr>
            <w:r w:rsidRPr="00045B81">
              <w:rPr>
                <w:b/>
                <w:sz w:val="26"/>
                <w:szCs w:val="26"/>
              </w:rPr>
              <w:t>Ar tiesību akta projektu izpildītās vai uzņemtās saistības, kas izriet no starptautiskajiem tiesību aktiem vai starptautiskas institūcijas vai organizācijas dokumentiem.</w:t>
            </w:r>
          </w:p>
          <w:p w:rsidR="00FE72CA" w:rsidRPr="00045B81" w:rsidRDefault="00FE72CA" w:rsidP="00173681">
            <w:pPr>
              <w:ind w:left="57"/>
              <w:jc w:val="center"/>
              <w:rPr>
                <w:b/>
                <w:sz w:val="26"/>
                <w:szCs w:val="26"/>
              </w:rPr>
            </w:pPr>
            <w:r w:rsidRPr="00045B81">
              <w:rPr>
                <w:b/>
                <w:sz w:val="26"/>
                <w:szCs w:val="26"/>
              </w:rPr>
              <w:t>Pasākumi šo saistību izpildei</w:t>
            </w:r>
          </w:p>
        </w:tc>
      </w:tr>
      <w:tr w:rsidR="00FE72CA" w:rsidRPr="00045B81" w:rsidTr="00A7270B">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FE72CA">
            <w:pPr>
              <w:ind w:left="57"/>
              <w:jc w:val="center"/>
              <w:rPr>
                <w:sz w:val="26"/>
                <w:szCs w:val="26"/>
              </w:rPr>
            </w:pPr>
            <w:r w:rsidRPr="00045B81">
              <w:rPr>
                <w:sz w:val="26"/>
                <w:szCs w:val="26"/>
              </w:rPr>
              <w:t>Projekts šo jomu neskar.</w:t>
            </w:r>
          </w:p>
        </w:tc>
      </w:tr>
    </w:tbl>
    <w:p w:rsidR="00F52382" w:rsidRPr="00045B81" w:rsidRDefault="00F52382">
      <w:pPr>
        <w:rPr>
          <w:sz w:val="26"/>
          <w:szCs w:val="26"/>
        </w:rPr>
      </w:pPr>
    </w:p>
    <w:tbl>
      <w:tblPr>
        <w:tblW w:w="10148"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48"/>
      </w:tblGrid>
      <w:tr w:rsidR="00277929" w:rsidRPr="00045B81" w:rsidTr="00FE72CA">
        <w:trPr>
          <w:jc w:val="center"/>
        </w:trPr>
        <w:tc>
          <w:tcPr>
            <w:tcW w:w="10148" w:type="dxa"/>
          </w:tcPr>
          <w:p w:rsidR="00277929" w:rsidRPr="00045B81" w:rsidRDefault="00277929" w:rsidP="00917342">
            <w:pPr>
              <w:pStyle w:val="naisnod"/>
              <w:spacing w:before="0" w:after="0"/>
              <w:ind w:left="57" w:right="57"/>
              <w:rPr>
                <w:sz w:val="26"/>
                <w:szCs w:val="26"/>
              </w:rPr>
            </w:pPr>
            <w:r w:rsidRPr="00045B81">
              <w:rPr>
                <w:sz w:val="26"/>
                <w:szCs w:val="26"/>
              </w:rPr>
              <w:lastRenderedPageBreak/>
              <w:t>VI</w:t>
            </w:r>
            <w:r w:rsidR="000941C5" w:rsidRPr="00045B81">
              <w:rPr>
                <w:sz w:val="26"/>
                <w:szCs w:val="26"/>
              </w:rPr>
              <w:t>.</w:t>
            </w:r>
            <w:r w:rsidRPr="00045B81">
              <w:rPr>
                <w:sz w:val="26"/>
                <w:szCs w:val="26"/>
              </w:rPr>
              <w:t xml:space="preserve"> Sabiedrības līdzdalība un </w:t>
            </w:r>
            <w:r w:rsidR="00917342">
              <w:rPr>
                <w:sz w:val="26"/>
                <w:szCs w:val="26"/>
              </w:rPr>
              <w:t>komunikācijas aktivitātes</w:t>
            </w:r>
          </w:p>
        </w:tc>
      </w:tr>
      <w:tr w:rsidR="00E66595" w:rsidRPr="00045B81" w:rsidTr="00A7270B">
        <w:trPr>
          <w:trHeight w:val="481"/>
          <w:jc w:val="center"/>
        </w:trPr>
        <w:tc>
          <w:tcPr>
            <w:tcW w:w="10148" w:type="dxa"/>
          </w:tcPr>
          <w:p w:rsidR="00E66595" w:rsidRPr="00045B81" w:rsidRDefault="00E66595" w:rsidP="008E5A64">
            <w:pPr>
              <w:pStyle w:val="naisnod"/>
              <w:spacing w:before="0" w:after="0"/>
              <w:ind w:left="57" w:right="57"/>
              <w:rPr>
                <w:b w:val="0"/>
                <w:sz w:val="26"/>
                <w:szCs w:val="26"/>
              </w:rPr>
            </w:pPr>
            <w:r w:rsidRPr="00045B81">
              <w:rPr>
                <w:b w:val="0"/>
                <w:sz w:val="26"/>
                <w:szCs w:val="26"/>
              </w:rPr>
              <w:t>Projekts šo jomu neskar.</w:t>
            </w:r>
          </w:p>
        </w:tc>
      </w:tr>
    </w:tbl>
    <w:p w:rsidR="00A7270B" w:rsidRPr="00045B81" w:rsidRDefault="00A7270B" w:rsidP="00A7270B">
      <w:pPr>
        <w:pStyle w:val="naisf"/>
        <w:spacing w:before="0" w:after="0"/>
        <w:ind w:firstLine="0"/>
        <w:rPr>
          <w:sz w:val="26"/>
          <w:szCs w:val="26"/>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490"/>
        <w:gridCol w:w="5342"/>
      </w:tblGrid>
      <w:tr w:rsidR="0023436E" w:rsidRPr="00045B81" w:rsidTr="00191865">
        <w:tc>
          <w:tcPr>
            <w:tcW w:w="10206" w:type="dxa"/>
            <w:gridSpan w:val="3"/>
            <w:tcBorders>
              <w:top w:val="single" w:sz="4" w:space="0" w:color="auto"/>
            </w:tcBorders>
          </w:tcPr>
          <w:p w:rsidR="0023436E" w:rsidRPr="00045B81" w:rsidRDefault="0023436E" w:rsidP="007D099D">
            <w:pPr>
              <w:pStyle w:val="naisnod"/>
              <w:spacing w:before="0" w:after="0"/>
              <w:ind w:left="57" w:right="57"/>
              <w:rPr>
                <w:sz w:val="26"/>
                <w:szCs w:val="26"/>
              </w:rPr>
            </w:pPr>
            <w:r w:rsidRPr="00045B81">
              <w:rPr>
                <w:sz w:val="26"/>
                <w:szCs w:val="26"/>
              </w:rPr>
              <w:t>VII</w:t>
            </w:r>
            <w:r w:rsidR="000941C5" w:rsidRPr="00045B81">
              <w:rPr>
                <w:sz w:val="26"/>
                <w:szCs w:val="26"/>
              </w:rPr>
              <w:t>.</w:t>
            </w:r>
            <w:r w:rsidRPr="00045B81">
              <w:rPr>
                <w:sz w:val="26"/>
                <w:szCs w:val="26"/>
              </w:rPr>
              <w:t xml:space="preserve"> Tiesību akta projekta izpildes nodrošināšana un tās ietekme uz institūcijām</w:t>
            </w:r>
          </w:p>
        </w:tc>
      </w:tr>
      <w:tr w:rsidR="0023436E" w:rsidRPr="00045B81" w:rsidTr="00191865">
        <w:trPr>
          <w:trHeight w:val="427"/>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1.</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w:t>
            </w:r>
            <w:r w:rsidR="0023436E" w:rsidRPr="00045B81">
              <w:rPr>
                <w:sz w:val="26"/>
                <w:szCs w:val="26"/>
              </w:rPr>
              <w:t xml:space="preserve">rojekta izpildē iesaistītās institūcijas </w:t>
            </w:r>
          </w:p>
        </w:tc>
        <w:tc>
          <w:tcPr>
            <w:tcW w:w="5342" w:type="dxa"/>
          </w:tcPr>
          <w:p w:rsidR="00917342" w:rsidRPr="00045B81" w:rsidRDefault="00D6125F" w:rsidP="00917342">
            <w:pPr>
              <w:pStyle w:val="naiskr"/>
              <w:tabs>
                <w:tab w:val="left" w:pos="427"/>
                <w:tab w:val="left" w:pos="2628"/>
              </w:tabs>
              <w:spacing w:before="0" w:after="0"/>
              <w:ind w:left="70"/>
              <w:jc w:val="both"/>
              <w:rPr>
                <w:iCs/>
                <w:sz w:val="26"/>
                <w:szCs w:val="26"/>
              </w:rPr>
            </w:pPr>
            <w:r w:rsidRPr="00D6125F">
              <w:rPr>
                <w:iCs/>
                <w:sz w:val="26"/>
                <w:szCs w:val="26"/>
              </w:rPr>
              <w:t>Privatizācijas aģentūra un Valsts ieņēmumu dienests.</w:t>
            </w:r>
          </w:p>
        </w:tc>
      </w:tr>
      <w:tr w:rsidR="0023436E" w:rsidRPr="00045B81" w:rsidTr="00191865">
        <w:trPr>
          <w:trHeight w:val="463"/>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2.</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w:t>
            </w:r>
            <w:r w:rsidR="0023436E" w:rsidRPr="00045B81">
              <w:rPr>
                <w:sz w:val="26"/>
                <w:szCs w:val="26"/>
              </w:rPr>
              <w:t xml:space="preserve">zpildes ietekme uz pārvaldes funkcijām </w:t>
            </w:r>
          </w:p>
        </w:tc>
        <w:tc>
          <w:tcPr>
            <w:tcW w:w="5342" w:type="dxa"/>
          </w:tcPr>
          <w:p w:rsidR="0023436E" w:rsidRPr="00045B81" w:rsidRDefault="00054D69" w:rsidP="005C5EDC">
            <w:pPr>
              <w:pStyle w:val="naisnod"/>
              <w:spacing w:before="0" w:after="0"/>
              <w:ind w:left="57" w:right="57"/>
              <w:jc w:val="both"/>
              <w:rPr>
                <w:b w:val="0"/>
                <w:iCs/>
                <w:sz w:val="26"/>
                <w:szCs w:val="26"/>
              </w:rPr>
            </w:pPr>
            <w:r w:rsidRPr="00045B81">
              <w:rPr>
                <w:b w:val="0"/>
                <w:sz w:val="26"/>
                <w:szCs w:val="26"/>
              </w:rPr>
              <w:t>Projekts šo jomu neskar.</w:t>
            </w:r>
          </w:p>
        </w:tc>
      </w:tr>
      <w:tr w:rsidR="0023436E" w:rsidRPr="00045B81" w:rsidTr="00191865">
        <w:trPr>
          <w:trHeight w:val="725"/>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3.</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iz</w:t>
            </w:r>
            <w:r w:rsidR="0023436E" w:rsidRPr="00045B81">
              <w:rPr>
                <w:sz w:val="26"/>
                <w:szCs w:val="26"/>
              </w:rPr>
              <w:t>pildes ietekme uz pārvaldes institucionālo struktūru.</w:t>
            </w:r>
          </w:p>
          <w:p w:rsidR="0023436E" w:rsidRPr="00045B81" w:rsidRDefault="006C4607" w:rsidP="00DB39FC">
            <w:pPr>
              <w:pStyle w:val="naisf"/>
              <w:spacing w:before="0" w:after="0"/>
              <w:ind w:left="57" w:right="57" w:firstLine="0"/>
              <w:jc w:val="left"/>
              <w:rPr>
                <w:sz w:val="26"/>
                <w:szCs w:val="26"/>
              </w:rPr>
            </w:pPr>
            <w:r w:rsidRPr="00045B81">
              <w:rPr>
                <w:sz w:val="26"/>
                <w:szCs w:val="26"/>
              </w:rPr>
              <w:t>Jaunu institūciju izveide</w:t>
            </w:r>
            <w:r w:rsidR="00DB39FC">
              <w:rPr>
                <w:sz w:val="26"/>
                <w:szCs w:val="26"/>
              </w:rPr>
              <w:t>, esošu institūciju likvidācija vai reorganizācija, to ietekme uz institūcijas cilvēkresursiem</w:t>
            </w:r>
          </w:p>
        </w:tc>
        <w:tc>
          <w:tcPr>
            <w:tcW w:w="5342" w:type="dxa"/>
          </w:tcPr>
          <w:p w:rsidR="00DB39FC" w:rsidRPr="00DB39FC" w:rsidRDefault="00D6125F" w:rsidP="00DB39FC">
            <w:pPr>
              <w:pStyle w:val="naisnod"/>
              <w:spacing w:before="0" w:after="0"/>
              <w:ind w:left="57" w:right="57"/>
              <w:jc w:val="both"/>
              <w:rPr>
                <w:b w:val="0"/>
                <w:sz w:val="26"/>
                <w:szCs w:val="26"/>
              </w:rPr>
            </w:pPr>
            <w:r>
              <w:rPr>
                <w:b w:val="0"/>
                <w:sz w:val="26"/>
                <w:szCs w:val="26"/>
              </w:rPr>
              <w:t>Projekts šo jomu neskar.</w:t>
            </w:r>
          </w:p>
        </w:tc>
      </w:tr>
      <w:tr w:rsidR="0023436E" w:rsidRPr="00045B81" w:rsidTr="00DB39FC">
        <w:trPr>
          <w:trHeight w:val="591"/>
        </w:trPr>
        <w:tc>
          <w:tcPr>
            <w:tcW w:w="374" w:type="dxa"/>
          </w:tcPr>
          <w:p w:rsidR="0023436E" w:rsidRPr="00045B81" w:rsidRDefault="00DB39FC" w:rsidP="007D099D">
            <w:pPr>
              <w:pStyle w:val="naisnod"/>
              <w:spacing w:before="0" w:after="0"/>
              <w:ind w:left="57" w:right="57"/>
              <w:jc w:val="left"/>
              <w:rPr>
                <w:b w:val="0"/>
                <w:sz w:val="26"/>
                <w:szCs w:val="26"/>
              </w:rPr>
            </w:pPr>
            <w:r>
              <w:rPr>
                <w:b w:val="0"/>
                <w:sz w:val="26"/>
                <w:szCs w:val="26"/>
              </w:rPr>
              <w:t>3</w:t>
            </w:r>
            <w:r w:rsidR="0023436E" w:rsidRPr="00045B81">
              <w:rPr>
                <w:b w:val="0"/>
                <w:sz w:val="26"/>
                <w:szCs w:val="26"/>
              </w:rPr>
              <w:t>.</w:t>
            </w:r>
          </w:p>
        </w:tc>
        <w:tc>
          <w:tcPr>
            <w:tcW w:w="4490" w:type="dxa"/>
          </w:tcPr>
          <w:p w:rsidR="0023436E" w:rsidRPr="00045B81" w:rsidRDefault="00DB39FC" w:rsidP="00104E29">
            <w:pPr>
              <w:pStyle w:val="naisf"/>
              <w:spacing w:before="0" w:after="0"/>
              <w:ind w:left="57" w:right="57" w:firstLine="0"/>
              <w:jc w:val="left"/>
              <w:rPr>
                <w:sz w:val="26"/>
                <w:szCs w:val="26"/>
              </w:rPr>
            </w:pPr>
            <w:r>
              <w:rPr>
                <w:sz w:val="26"/>
                <w:szCs w:val="26"/>
              </w:rPr>
              <w:t>Cita info</w:t>
            </w:r>
            <w:r w:rsidR="00104E29">
              <w:rPr>
                <w:sz w:val="26"/>
                <w:szCs w:val="26"/>
              </w:rPr>
              <w:t>r</w:t>
            </w:r>
            <w:r>
              <w:rPr>
                <w:sz w:val="26"/>
                <w:szCs w:val="26"/>
              </w:rPr>
              <w:t>mācija</w:t>
            </w:r>
          </w:p>
        </w:tc>
        <w:tc>
          <w:tcPr>
            <w:tcW w:w="5342" w:type="dxa"/>
          </w:tcPr>
          <w:p w:rsidR="0023436E" w:rsidRPr="00045B81" w:rsidRDefault="00DB39FC" w:rsidP="005C5EDC">
            <w:pPr>
              <w:pStyle w:val="naisnod"/>
              <w:spacing w:before="0" w:after="0"/>
              <w:ind w:left="57" w:right="57"/>
              <w:jc w:val="left"/>
              <w:rPr>
                <w:b w:val="0"/>
                <w:sz w:val="26"/>
                <w:szCs w:val="26"/>
                <w:highlight w:val="yellow"/>
              </w:rPr>
            </w:pPr>
            <w:r w:rsidRPr="00DB39FC">
              <w:rPr>
                <w:b w:val="0"/>
                <w:sz w:val="26"/>
                <w:szCs w:val="26"/>
              </w:rPr>
              <w:t>Nav.</w:t>
            </w:r>
          </w:p>
        </w:tc>
      </w:tr>
    </w:tbl>
    <w:p w:rsidR="00BF40ED" w:rsidRPr="00045B81" w:rsidRDefault="00BF40ED" w:rsidP="00DB383F">
      <w:pPr>
        <w:pStyle w:val="naisf"/>
        <w:tabs>
          <w:tab w:val="left" w:pos="6804"/>
        </w:tabs>
        <w:spacing w:before="0" w:after="0"/>
        <w:ind w:firstLine="0"/>
        <w:rPr>
          <w:sz w:val="26"/>
          <w:szCs w:val="26"/>
        </w:rPr>
      </w:pPr>
    </w:p>
    <w:p w:rsidR="00DB39FC" w:rsidRDefault="00DB39FC" w:rsidP="00845811">
      <w:pPr>
        <w:pStyle w:val="naisf"/>
        <w:tabs>
          <w:tab w:val="left" w:pos="6804"/>
        </w:tabs>
        <w:spacing w:before="0" w:after="0"/>
        <w:ind w:firstLine="720"/>
        <w:rPr>
          <w:sz w:val="26"/>
          <w:szCs w:val="26"/>
        </w:rPr>
      </w:pPr>
    </w:p>
    <w:p w:rsidR="00DB39FC" w:rsidRDefault="00DB39FC" w:rsidP="00845811">
      <w:pPr>
        <w:pStyle w:val="naisf"/>
        <w:tabs>
          <w:tab w:val="left" w:pos="6804"/>
        </w:tabs>
        <w:spacing w:before="0" w:after="0"/>
        <w:ind w:firstLine="720"/>
        <w:rPr>
          <w:sz w:val="26"/>
          <w:szCs w:val="26"/>
        </w:rPr>
      </w:pPr>
    </w:p>
    <w:p w:rsidR="0015060C" w:rsidRPr="00045B81" w:rsidRDefault="00D6125F" w:rsidP="00845811">
      <w:pPr>
        <w:pStyle w:val="naisf"/>
        <w:tabs>
          <w:tab w:val="left" w:pos="6804"/>
        </w:tabs>
        <w:spacing w:before="0" w:after="0"/>
        <w:ind w:firstLine="720"/>
        <w:rPr>
          <w:sz w:val="26"/>
          <w:szCs w:val="26"/>
        </w:rPr>
      </w:pPr>
      <w:r>
        <w:rPr>
          <w:sz w:val="26"/>
          <w:szCs w:val="26"/>
        </w:rPr>
        <w:t>Ekonomikas</w:t>
      </w:r>
      <w:r w:rsidR="0015060C" w:rsidRPr="00045B81">
        <w:rPr>
          <w:sz w:val="26"/>
          <w:szCs w:val="26"/>
        </w:rPr>
        <w:t xml:space="preserve"> ministrs</w:t>
      </w:r>
      <w:r w:rsidR="00214094" w:rsidRPr="00045B81">
        <w:rPr>
          <w:sz w:val="26"/>
          <w:szCs w:val="26"/>
        </w:rPr>
        <w:tab/>
      </w:r>
      <w:r w:rsidR="00FF56C8">
        <w:rPr>
          <w:sz w:val="26"/>
          <w:szCs w:val="26"/>
        </w:rPr>
        <w:t>V.Dombrovskis</w:t>
      </w:r>
      <w:bookmarkStart w:id="0" w:name="_GoBack"/>
      <w:bookmarkEnd w:id="0"/>
      <w:r w:rsidR="00D543DB" w:rsidRPr="00045B81">
        <w:rPr>
          <w:sz w:val="26"/>
          <w:szCs w:val="26"/>
        </w:rPr>
        <w:t xml:space="preserve"> </w:t>
      </w:r>
    </w:p>
    <w:p w:rsidR="00D543DB" w:rsidRPr="00045B81" w:rsidRDefault="00D543DB" w:rsidP="00845811">
      <w:pPr>
        <w:pStyle w:val="naisf"/>
        <w:tabs>
          <w:tab w:val="left" w:pos="6804"/>
        </w:tabs>
        <w:spacing w:before="0" w:after="0"/>
        <w:ind w:firstLine="720"/>
        <w:rPr>
          <w:sz w:val="26"/>
          <w:szCs w:val="26"/>
        </w:rPr>
      </w:pPr>
    </w:p>
    <w:p w:rsidR="00DB39FC" w:rsidRDefault="00DB39FC" w:rsidP="00874FD4">
      <w:pPr>
        <w:pStyle w:val="BlockText"/>
        <w:spacing w:before="0" w:beforeAutospacing="0" w:after="0" w:afterAutospacing="0"/>
        <w:jc w:val="both"/>
        <w:rPr>
          <w:color w:val="auto"/>
          <w:sz w:val="20"/>
          <w:szCs w:val="20"/>
        </w:rPr>
      </w:pPr>
    </w:p>
    <w:p w:rsidR="00DB39FC" w:rsidRDefault="00DB39FC" w:rsidP="00874FD4">
      <w:pPr>
        <w:pStyle w:val="BlockText"/>
        <w:spacing w:before="0" w:beforeAutospacing="0" w:after="0" w:afterAutospacing="0"/>
        <w:jc w:val="both"/>
        <w:rPr>
          <w:color w:val="auto"/>
          <w:sz w:val="20"/>
          <w:szCs w:val="20"/>
        </w:rPr>
      </w:pPr>
    </w:p>
    <w:p w:rsidR="00874FD4" w:rsidRPr="00917342" w:rsidRDefault="003C68F5" w:rsidP="00874FD4">
      <w:pPr>
        <w:pStyle w:val="BlockText"/>
        <w:spacing w:before="0" w:beforeAutospacing="0" w:after="0" w:afterAutospacing="0"/>
        <w:jc w:val="both"/>
        <w:rPr>
          <w:color w:val="auto"/>
          <w:sz w:val="20"/>
          <w:szCs w:val="20"/>
        </w:rPr>
      </w:pPr>
      <w:r>
        <w:rPr>
          <w:color w:val="auto"/>
          <w:sz w:val="20"/>
          <w:szCs w:val="20"/>
        </w:rPr>
        <w:t>28</w:t>
      </w:r>
      <w:r w:rsidR="0030011F" w:rsidRPr="00917342">
        <w:rPr>
          <w:color w:val="auto"/>
          <w:sz w:val="20"/>
          <w:szCs w:val="20"/>
        </w:rPr>
        <w:t>.</w:t>
      </w:r>
      <w:r w:rsidR="00917342" w:rsidRPr="00917342">
        <w:rPr>
          <w:color w:val="auto"/>
          <w:sz w:val="20"/>
          <w:szCs w:val="20"/>
        </w:rPr>
        <w:t>01</w:t>
      </w:r>
      <w:r w:rsidR="00045B81" w:rsidRPr="00917342">
        <w:rPr>
          <w:color w:val="auto"/>
          <w:sz w:val="20"/>
          <w:szCs w:val="20"/>
        </w:rPr>
        <w:t>.201</w:t>
      </w:r>
      <w:r w:rsidR="00917342" w:rsidRPr="00917342">
        <w:rPr>
          <w:color w:val="auto"/>
          <w:sz w:val="20"/>
          <w:szCs w:val="20"/>
        </w:rPr>
        <w:t>4</w:t>
      </w:r>
      <w:r w:rsidR="00045B81" w:rsidRPr="00917342">
        <w:rPr>
          <w:color w:val="auto"/>
          <w:sz w:val="20"/>
          <w:szCs w:val="20"/>
        </w:rPr>
        <w:t xml:space="preserve">. </w:t>
      </w:r>
      <w:r>
        <w:rPr>
          <w:color w:val="auto"/>
          <w:sz w:val="20"/>
          <w:szCs w:val="20"/>
        </w:rPr>
        <w:t>1</w:t>
      </w:r>
      <w:r>
        <w:rPr>
          <w:color w:val="auto"/>
          <w:sz w:val="20"/>
          <w:szCs w:val="20"/>
        </w:rPr>
        <w:t>5</w:t>
      </w:r>
      <w:r w:rsidR="005C5D75">
        <w:rPr>
          <w:color w:val="auto"/>
          <w:sz w:val="20"/>
          <w:szCs w:val="20"/>
        </w:rPr>
        <w:t>:25</w:t>
      </w:r>
    </w:p>
    <w:p w:rsidR="00874FD4" w:rsidRPr="00917342" w:rsidRDefault="005C5D75" w:rsidP="00874FD4">
      <w:pPr>
        <w:pStyle w:val="BlockText"/>
        <w:spacing w:before="0" w:beforeAutospacing="0" w:after="0" w:afterAutospacing="0"/>
        <w:jc w:val="both"/>
        <w:rPr>
          <w:color w:val="auto"/>
          <w:sz w:val="20"/>
          <w:szCs w:val="20"/>
        </w:rPr>
      </w:pPr>
      <w:r>
        <w:rPr>
          <w:color w:val="auto"/>
          <w:sz w:val="20"/>
          <w:szCs w:val="20"/>
        </w:rPr>
        <w:t>1976</w:t>
      </w:r>
    </w:p>
    <w:p w:rsidR="00874FD4" w:rsidRPr="00917342" w:rsidRDefault="00D6125F" w:rsidP="00874FD4">
      <w:pPr>
        <w:rPr>
          <w:sz w:val="20"/>
          <w:szCs w:val="20"/>
        </w:rPr>
      </w:pPr>
      <w:r>
        <w:rPr>
          <w:sz w:val="20"/>
          <w:szCs w:val="20"/>
        </w:rPr>
        <w:t>Dreija</w:t>
      </w:r>
    </w:p>
    <w:p w:rsidR="00045B81" w:rsidRPr="00917342" w:rsidRDefault="00874FD4" w:rsidP="00054D69">
      <w:pPr>
        <w:rPr>
          <w:rStyle w:val="Hyperlink"/>
          <w:color w:val="auto"/>
          <w:sz w:val="20"/>
          <w:szCs w:val="20"/>
        </w:rPr>
      </w:pPr>
      <w:r w:rsidRPr="00917342">
        <w:rPr>
          <w:sz w:val="20"/>
          <w:szCs w:val="20"/>
        </w:rPr>
        <w:t>670</w:t>
      </w:r>
      <w:r w:rsidR="00D6125F">
        <w:rPr>
          <w:sz w:val="20"/>
          <w:szCs w:val="20"/>
        </w:rPr>
        <w:t>13163</w:t>
      </w:r>
      <w:r w:rsidRPr="00917342">
        <w:rPr>
          <w:sz w:val="20"/>
          <w:szCs w:val="20"/>
        </w:rPr>
        <w:t xml:space="preserve">, </w:t>
      </w:r>
      <w:r w:rsidR="00D6125F">
        <w:rPr>
          <w:sz w:val="20"/>
          <w:szCs w:val="20"/>
        </w:rPr>
        <w:t>Linda.Dreija</w:t>
      </w:r>
      <w:r w:rsidR="00917342" w:rsidRPr="00917342">
        <w:rPr>
          <w:sz w:val="20"/>
          <w:szCs w:val="20"/>
        </w:rPr>
        <w:t>@</w:t>
      </w:r>
      <w:r w:rsidR="00D6125F">
        <w:rPr>
          <w:sz w:val="20"/>
          <w:szCs w:val="20"/>
        </w:rPr>
        <w:t>em</w:t>
      </w:r>
      <w:r w:rsidR="00917342" w:rsidRPr="00917342">
        <w:rPr>
          <w:sz w:val="20"/>
          <w:szCs w:val="20"/>
        </w:rPr>
        <w:t>.gov.lv</w:t>
      </w:r>
    </w:p>
    <w:p w:rsidR="003F40CC" w:rsidRPr="00045B81" w:rsidRDefault="003F40CC" w:rsidP="00054D69">
      <w:pPr>
        <w:rPr>
          <w:rStyle w:val="Hyperlink"/>
          <w:color w:val="auto"/>
          <w:sz w:val="20"/>
          <w:szCs w:val="20"/>
        </w:rPr>
      </w:pPr>
    </w:p>
    <w:sectPr w:rsidR="003F40CC" w:rsidRPr="00045B81" w:rsidSect="00845811">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7E" w:rsidRDefault="0020577E">
      <w:r>
        <w:separator/>
      </w:r>
    </w:p>
  </w:endnote>
  <w:endnote w:type="continuationSeparator" w:id="0">
    <w:p w:rsidR="0020577E" w:rsidRDefault="0020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D6125F" w:rsidRDefault="00D6125F" w:rsidP="00D6125F">
    <w:pPr>
      <w:pStyle w:val="Footer"/>
      <w:rPr>
        <w:sz w:val="20"/>
        <w:szCs w:val="20"/>
      </w:rPr>
    </w:pPr>
    <w:r w:rsidRPr="00D6125F">
      <w:rPr>
        <w:sz w:val="20"/>
        <w:szCs w:val="20"/>
      </w:rPr>
      <w:t>EMAnot_</w:t>
    </w:r>
    <w:r w:rsidR="003C68F5">
      <w:rPr>
        <w:sz w:val="20"/>
        <w:szCs w:val="20"/>
      </w:rPr>
      <w:t>28</w:t>
    </w:r>
    <w:r w:rsidR="003C68F5" w:rsidRPr="00D6125F">
      <w:rPr>
        <w:sz w:val="20"/>
        <w:szCs w:val="20"/>
      </w:rPr>
      <w:t>0114</w:t>
    </w:r>
    <w:r w:rsidRPr="00D6125F">
      <w:rPr>
        <w:sz w:val="20"/>
        <w:szCs w:val="20"/>
      </w:rPr>
      <w:t>_VSS-1683; Ministru kabineta rīkojuma projekta “Par valsts īpašuma objektu Valdgales pagastā, Talsu novadā,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D6125F" w:rsidRDefault="00D6125F" w:rsidP="00D6125F">
    <w:pPr>
      <w:pStyle w:val="Footer"/>
      <w:rPr>
        <w:sz w:val="20"/>
        <w:szCs w:val="20"/>
      </w:rPr>
    </w:pPr>
    <w:r w:rsidRPr="00D6125F">
      <w:rPr>
        <w:sz w:val="20"/>
        <w:szCs w:val="20"/>
      </w:rPr>
      <w:t>EMAnot_</w:t>
    </w:r>
    <w:r w:rsidR="003C68F5">
      <w:rPr>
        <w:sz w:val="20"/>
        <w:szCs w:val="20"/>
      </w:rPr>
      <w:t>28</w:t>
    </w:r>
    <w:r w:rsidR="003C68F5" w:rsidRPr="00D6125F">
      <w:rPr>
        <w:sz w:val="20"/>
        <w:szCs w:val="20"/>
      </w:rPr>
      <w:t>0114</w:t>
    </w:r>
    <w:r w:rsidRPr="00D6125F">
      <w:rPr>
        <w:sz w:val="20"/>
        <w:szCs w:val="20"/>
      </w:rPr>
      <w:t>_VSS-1683; Ministru kabineta rīkojuma projekta “Par valsts īpašuma objektu Valdgales pagastā, Talsu novadā, 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7E" w:rsidRDefault="0020577E">
      <w:r>
        <w:separator/>
      </w:r>
    </w:p>
  </w:footnote>
  <w:footnote w:type="continuationSeparator" w:id="0">
    <w:p w:rsidR="0020577E" w:rsidRDefault="00205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6C8">
      <w:rPr>
        <w:rStyle w:val="PageNumber"/>
        <w:noProof/>
      </w:rPr>
      <w:t>11</w:t>
    </w:r>
    <w:r>
      <w:rPr>
        <w:rStyle w:val="PageNumber"/>
      </w:rPr>
      <w:fldChar w:fldCharType="end"/>
    </w:r>
  </w:p>
  <w:p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786EF0"/>
    <w:multiLevelType w:val="multilevel"/>
    <w:tmpl w:val="513248B4"/>
    <w:lvl w:ilvl="0">
      <w:start w:val="1"/>
      <w:numFmt w:val="decimal"/>
      <w:lvlText w:val="%1."/>
      <w:lvlJc w:val="left"/>
      <w:pPr>
        <w:ind w:left="1146" w:hanging="360"/>
      </w:pPr>
      <w:rPr>
        <w:rFonts w:hint="default"/>
      </w:rPr>
    </w:lvl>
    <w:lvl w:ilvl="1">
      <w:start w:val="3"/>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Zero"/>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7">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45D84464"/>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0662228"/>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F42949"/>
    <w:multiLevelType w:val="hybridMultilevel"/>
    <w:tmpl w:val="2F12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C0D12"/>
    <w:multiLevelType w:val="hybridMultilevel"/>
    <w:tmpl w:val="6CB61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9"/>
  </w:num>
  <w:num w:numId="3">
    <w:abstractNumId w:val="5"/>
  </w:num>
  <w:num w:numId="4">
    <w:abstractNumId w:val="2"/>
  </w:num>
  <w:num w:numId="5">
    <w:abstractNumId w:val="1"/>
  </w:num>
  <w:num w:numId="6">
    <w:abstractNumId w:val="14"/>
  </w:num>
  <w:num w:numId="7">
    <w:abstractNumId w:val="20"/>
  </w:num>
  <w:num w:numId="8">
    <w:abstractNumId w:val="10"/>
  </w:num>
  <w:num w:numId="9">
    <w:abstractNumId w:val="3"/>
  </w:num>
  <w:num w:numId="10">
    <w:abstractNumId w:val="11"/>
  </w:num>
  <w:num w:numId="11">
    <w:abstractNumId w:val="12"/>
  </w:num>
  <w:num w:numId="12">
    <w:abstractNumId w:val="17"/>
  </w:num>
  <w:num w:numId="13">
    <w:abstractNumId w:val="18"/>
  </w:num>
  <w:num w:numId="14">
    <w:abstractNumId w:val="21"/>
  </w:num>
  <w:num w:numId="15">
    <w:abstractNumId w:val="4"/>
  </w:num>
  <w:num w:numId="16">
    <w:abstractNumId w:val="22"/>
  </w:num>
  <w:num w:numId="17">
    <w:abstractNumId w:val="0"/>
  </w:num>
  <w:num w:numId="18">
    <w:abstractNumId w:val="7"/>
  </w:num>
  <w:num w:numId="19">
    <w:abstractNumId w:val="9"/>
  </w:num>
  <w:num w:numId="20">
    <w:abstractNumId w:val="13"/>
  </w:num>
  <w:num w:numId="21">
    <w:abstractNumId w:val="6"/>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3448"/>
    <w:rsid w:val="00011D24"/>
    <w:rsid w:val="00013FF4"/>
    <w:rsid w:val="00020FE1"/>
    <w:rsid w:val="00022E13"/>
    <w:rsid w:val="0002322C"/>
    <w:rsid w:val="00032388"/>
    <w:rsid w:val="00035CE2"/>
    <w:rsid w:val="00045B81"/>
    <w:rsid w:val="00054D69"/>
    <w:rsid w:val="0005553B"/>
    <w:rsid w:val="000558B4"/>
    <w:rsid w:val="00056D81"/>
    <w:rsid w:val="000604D2"/>
    <w:rsid w:val="000824C6"/>
    <w:rsid w:val="00084751"/>
    <w:rsid w:val="0009005E"/>
    <w:rsid w:val="000941C5"/>
    <w:rsid w:val="00094207"/>
    <w:rsid w:val="000A325D"/>
    <w:rsid w:val="000A6451"/>
    <w:rsid w:val="000B064E"/>
    <w:rsid w:val="000B69CF"/>
    <w:rsid w:val="000C790C"/>
    <w:rsid w:val="000F061D"/>
    <w:rsid w:val="000F4794"/>
    <w:rsid w:val="00102DD8"/>
    <w:rsid w:val="00104E29"/>
    <w:rsid w:val="00114C92"/>
    <w:rsid w:val="00124F12"/>
    <w:rsid w:val="00133905"/>
    <w:rsid w:val="00144E3A"/>
    <w:rsid w:val="0015060C"/>
    <w:rsid w:val="00157F32"/>
    <w:rsid w:val="0016018A"/>
    <w:rsid w:val="00161814"/>
    <w:rsid w:val="00161F0E"/>
    <w:rsid w:val="00170E2A"/>
    <w:rsid w:val="00171C9E"/>
    <w:rsid w:val="00175482"/>
    <w:rsid w:val="00177394"/>
    <w:rsid w:val="001825CC"/>
    <w:rsid w:val="00182C18"/>
    <w:rsid w:val="00183CC2"/>
    <w:rsid w:val="00183E35"/>
    <w:rsid w:val="001875B5"/>
    <w:rsid w:val="001900E4"/>
    <w:rsid w:val="00190F88"/>
    <w:rsid w:val="00191363"/>
    <w:rsid w:val="00191865"/>
    <w:rsid w:val="001A4066"/>
    <w:rsid w:val="001A6AE4"/>
    <w:rsid w:val="001B01FD"/>
    <w:rsid w:val="001B4A71"/>
    <w:rsid w:val="001B71AB"/>
    <w:rsid w:val="001B71CD"/>
    <w:rsid w:val="001C6135"/>
    <w:rsid w:val="001D5B54"/>
    <w:rsid w:val="001D711B"/>
    <w:rsid w:val="001E06FA"/>
    <w:rsid w:val="001E0C57"/>
    <w:rsid w:val="001E1DBF"/>
    <w:rsid w:val="001E3A84"/>
    <w:rsid w:val="001E4639"/>
    <w:rsid w:val="001E4A7D"/>
    <w:rsid w:val="001F43A8"/>
    <w:rsid w:val="001F5CD6"/>
    <w:rsid w:val="0020577E"/>
    <w:rsid w:val="00210BD8"/>
    <w:rsid w:val="0021263D"/>
    <w:rsid w:val="00213F0C"/>
    <w:rsid w:val="00214094"/>
    <w:rsid w:val="0021592D"/>
    <w:rsid w:val="00221999"/>
    <w:rsid w:val="00222660"/>
    <w:rsid w:val="00222D76"/>
    <w:rsid w:val="00223EB1"/>
    <w:rsid w:val="00231344"/>
    <w:rsid w:val="0023436E"/>
    <w:rsid w:val="002347C0"/>
    <w:rsid w:val="002362E4"/>
    <w:rsid w:val="00241A6C"/>
    <w:rsid w:val="00242D2B"/>
    <w:rsid w:val="002537CF"/>
    <w:rsid w:val="00262E2B"/>
    <w:rsid w:val="00270429"/>
    <w:rsid w:val="0027054C"/>
    <w:rsid w:val="002720EB"/>
    <w:rsid w:val="002723E9"/>
    <w:rsid w:val="00277929"/>
    <w:rsid w:val="00277AB3"/>
    <w:rsid w:val="00282E88"/>
    <w:rsid w:val="00283B82"/>
    <w:rsid w:val="002846E9"/>
    <w:rsid w:val="00284C34"/>
    <w:rsid w:val="0029066C"/>
    <w:rsid w:val="002A6E62"/>
    <w:rsid w:val="002B03E7"/>
    <w:rsid w:val="002B200B"/>
    <w:rsid w:val="002B50DB"/>
    <w:rsid w:val="002C12AB"/>
    <w:rsid w:val="002C7CAC"/>
    <w:rsid w:val="002D3306"/>
    <w:rsid w:val="002D48AA"/>
    <w:rsid w:val="002D7BAA"/>
    <w:rsid w:val="002D7F54"/>
    <w:rsid w:val="002E3FF4"/>
    <w:rsid w:val="002E6BBB"/>
    <w:rsid w:val="002F5A79"/>
    <w:rsid w:val="002F6B22"/>
    <w:rsid w:val="002F78C8"/>
    <w:rsid w:val="0030011F"/>
    <w:rsid w:val="00301CF3"/>
    <w:rsid w:val="003032CE"/>
    <w:rsid w:val="00305BBD"/>
    <w:rsid w:val="00305F65"/>
    <w:rsid w:val="0030705C"/>
    <w:rsid w:val="0032715C"/>
    <w:rsid w:val="00335F37"/>
    <w:rsid w:val="00337CA5"/>
    <w:rsid w:val="0034622F"/>
    <w:rsid w:val="00351F03"/>
    <w:rsid w:val="0035410B"/>
    <w:rsid w:val="00360CCC"/>
    <w:rsid w:val="00362478"/>
    <w:rsid w:val="003652D0"/>
    <w:rsid w:val="00370649"/>
    <w:rsid w:val="00375B25"/>
    <w:rsid w:val="00385B77"/>
    <w:rsid w:val="00385D1E"/>
    <w:rsid w:val="00396542"/>
    <w:rsid w:val="0039685B"/>
    <w:rsid w:val="003A31A6"/>
    <w:rsid w:val="003A7F0C"/>
    <w:rsid w:val="003A7F79"/>
    <w:rsid w:val="003B0BA1"/>
    <w:rsid w:val="003B33FD"/>
    <w:rsid w:val="003B6404"/>
    <w:rsid w:val="003C098F"/>
    <w:rsid w:val="003C2392"/>
    <w:rsid w:val="003C449B"/>
    <w:rsid w:val="003C4862"/>
    <w:rsid w:val="003C68F5"/>
    <w:rsid w:val="003C7B68"/>
    <w:rsid w:val="003D21FF"/>
    <w:rsid w:val="003F0112"/>
    <w:rsid w:val="003F071A"/>
    <w:rsid w:val="003F127A"/>
    <w:rsid w:val="003F160B"/>
    <w:rsid w:val="003F40CC"/>
    <w:rsid w:val="00400032"/>
    <w:rsid w:val="00400B5B"/>
    <w:rsid w:val="00405A00"/>
    <w:rsid w:val="00406E17"/>
    <w:rsid w:val="00420870"/>
    <w:rsid w:val="0043791B"/>
    <w:rsid w:val="00441483"/>
    <w:rsid w:val="00441BCB"/>
    <w:rsid w:val="0045176A"/>
    <w:rsid w:val="00456332"/>
    <w:rsid w:val="00461826"/>
    <w:rsid w:val="004800F9"/>
    <w:rsid w:val="0049134A"/>
    <w:rsid w:val="00491985"/>
    <w:rsid w:val="004933F1"/>
    <w:rsid w:val="004A58CB"/>
    <w:rsid w:val="004B1795"/>
    <w:rsid w:val="004B1F53"/>
    <w:rsid w:val="004B56DD"/>
    <w:rsid w:val="004C020F"/>
    <w:rsid w:val="004C1AFD"/>
    <w:rsid w:val="004C558B"/>
    <w:rsid w:val="004D5832"/>
    <w:rsid w:val="004E371E"/>
    <w:rsid w:val="004F1331"/>
    <w:rsid w:val="004F1F88"/>
    <w:rsid w:val="004F5F1B"/>
    <w:rsid w:val="004F6EEC"/>
    <w:rsid w:val="00502374"/>
    <w:rsid w:val="005060A1"/>
    <w:rsid w:val="00507312"/>
    <w:rsid w:val="00510A66"/>
    <w:rsid w:val="00516072"/>
    <w:rsid w:val="00516421"/>
    <w:rsid w:val="00526FE9"/>
    <w:rsid w:val="005311E7"/>
    <w:rsid w:val="005332EC"/>
    <w:rsid w:val="00534418"/>
    <w:rsid w:val="005353AB"/>
    <w:rsid w:val="00541FEA"/>
    <w:rsid w:val="00544417"/>
    <w:rsid w:val="005560BC"/>
    <w:rsid w:val="005573BE"/>
    <w:rsid w:val="00561069"/>
    <w:rsid w:val="0056766B"/>
    <w:rsid w:val="00572700"/>
    <w:rsid w:val="00580468"/>
    <w:rsid w:val="005848E0"/>
    <w:rsid w:val="0058603B"/>
    <w:rsid w:val="005860A1"/>
    <w:rsid w:val="0059232A"/>
    <w:rsid w:val="0059431B"/>
    <w:rsid w:val="005A39CC"/>
    <w:rsid w:val="005B401B"/>
    <w:rsid w:val="005B4730"/>
    <w:rsid w:val="005C3924"/>
    <w:rsid w:val="005C5D75"/>
    <w:rsid w:val="005C5EDC"/>
    <w:rsid w:val="005D624F"/>
    <w:rsid w:val="005E05D7"/>
    <w:rsid w:val="005E41E7"/>
    <w:rsid w:val="005E450F"/>
    <w:rsid w:val="005E596F"/>
    <w:rsid w:val="006077F5"/>
    <w:rsid w:val="00610833"/>
    <w:rsid w:val="00617BC7"/>
    <w:rsid w:val="0062298A"/>
    <w:rsid w:val="00626514"/>
    <w:rsid w:val="00626589"/>
    <w:rsid w:val="006334AB"/>
    <w:rsid w:val="006339A0"/>
    <w:rsid w:val="006413A8"/>
    <w:rsid w:val="00642E56"/>
    <w:rsid w:val="00644813"/>
    <w:rsid w:val="006448B5"/>
    <w:rsid w:val="00651E00"/>
    <w:rsid w:val="00674572"/>
    <w:rsid w:val="00687763"/>
    <w:rsid w:val="00692B0D"/>
    <w:rsid w:val="00693E0E"/>
    <w:rsid w:val="00696A69"/>
    <w:rsid w:val="006A1AE3"/>
    <w:rsid w:val="006B20CC"/>
    <w:rsid w:val="006C0427"/>
    <w:rsid w:val="006C30E1"/>
    <w:rsid w:val="006C4607"/>
    <w:rsid w:val="006D48F1"/>
    <w:rsid w:val="006E08F9"/>
    <w:rsid w:val="006E1407"/>
    <w:rsid w:val="006F0091"/>
    <w:rsid w:val="006F45BE"/>
    <w:rsid w:val="006F520D"/>
    <w:rsid w:val="006F601C"/>
    <w:rsid w:val="006F6551"/>
    <w:rsid w:val="006F6579"/>
    <w:rsid w:val="007004FC"/>
    <w:rsid w:val="00706670"/>
    <w:rsid w:val="00715CFA"/>
    <w:rsid w:val="0072417C"/>
    <w:rsid w:val="00726DE2"/>
    <w:rsid w:val="007278AC"/>
    <w:rsid w:val="00734211"/>
    <w:rsid w:val="00734450"/>
    <w:rsid w:val="00737664"/>
    <w:rsid w:val="00745F67"/>
    <w:rsid w:val="0075039E"/>
    <w:rsid w:val="00752D9D"/>
    <w:rsid w:val="00752DDD"/>
    <w:rsid w:val="00754784"/>
    <w:rsid w:val="00757C6E"/>
    <w:rsid w:val="00762BDA"/>
    <w:rsid w:val="00763484"/>
    <w:rsid w:val="007805FD"/>
    <w:rsid w:val="00784422"/>
    <w:rsid w:val="00792C50"/>
    <w:rsid w:val="007A530E"/>
    <w:rsid w:val="007A6D22"/>
    <w:rsid w:val="007B3B54"/>
    <w:rsid w:val="007B3FA0"/>
    <w:rsid w:val="007C0890"/>
    <w:rsid w:val="007C0F2C"/>
    <w:rsid w:val="007C2BCC"/>
    <w:rsid w:val="007C414F"/>
    <w:rsid w:val="007C4EF0"/>
    <w:rsid w:val="007C6FD0"/>
    <w:rsid w:val="007D099D"/>
    <w:rsid w:val="007D426A"/>
    <w:rsid w:val="007E2664"/>
    <w:rsid w:val="007E3ABF"/>
    <w:rsid w:val="007E5BFA"/>
    <w:rsid w:val="007E6689"/>
    <w:rsid w:val="007E731C"/>
    <w:rsid w:val="007F0A03"/>
    <w:rsid w:val="00803939"/>
    <w:rsid w:val="00810040"/>
    <w:rsid w:val="0082023A"/>
    <w:rsid w:val="00821A7A"/>
    <w:rsid w:val="008253F8"/>
    <w:rsid w:val="008325E4"/>
    <w:rsid w:val="00832762"/>
    <w:rsid w:val="00832A2B"/>
    <w:rsid w:val="00843CA4"/>
    <w:rsid w:val="00845811"/>
    <w:rsid w:val="00846994"/>
    <w:rsid w:val="00850451"/>
    <w:rsid w:val="00852042"/>
    <w:rsid w:val="008534C9"/>
    <w:rsid w:val="00853A64"/>
    <w:rsid w:val="00853D47"/>
    <w:rsid w:val="0085599D"/>
    <w:rsid w:val="0086381B"/>
    <w:rsid w:val="00874741"/>
    <w:rsid w:val="00874FD4"/>
    <w:rsid w:val="0087510C"/>
    <w:rsid w:val="00884CA2"/>
    <w:rsid w:val="00887A61"/>
    <w:rsid w:val="0089738E"/>
    <w:rsid w:val="008A41DF"/>
    <w:rsid w:val="008A654D"/>
    <w:rsid w:val="008B5FDB"/>
    <w:rsid w:val="008C4FF4"/>
    <w:rsid w:val="008C50F4"/>
    <w:rsid w:val="008C5649"/>
    <w:rsid w:val="008D25B0"/>
    <w:rsid w:val="008E44A2"/>
    <w:rsid w:val="008E5A64"/>
    <w:rsid w:val="008E697D"/>
    <w:rsid w:val="00903263"/>
    <w:rsid w:val="009036E5"/>
    <w:rsid w:val="00906A21"/>
    <w:rsid w:val="009079C3"/>
    <w:rsid w:val="00910462"/>
    <w:rsid w:val="00915AB1"/>
    <w:rsid w:val="00917342"/>
    <w:rsid w:val="00917532"/>
    <w:rsid w:val="009235BA"/>
    <w:rsid w:val="00924023"/>
    <w:rsid w:val="00924CE2"/>
    <w:rsid w:val="00924F17"/>
    <w:rsid w:val="00925B9F"/>
    <w:rsid w:val="00931AED"/>
    <w:rsid w:val="00932D95"/>
    <w:rsid w:val="009476A3"/>
    <w:rsid w:val="0095334F"/>
    <w:rsid w:val="00965897"/>
    <w:rsid w:val="0096765C"/>
    <w:rsid w:val="009727E4"/>
    <w:rsid w:val="00981C38"/>
    <w:rsid w:val="009934C5"/>
    <w:rsid w:val="00994C0F"/>
    <w:rsid w:val="00997609"/>
    <w:rsid w:val="009A647A"/>
    <w:rsid w:val="009B22D7"/>
    <w:rsid w:val="009B2AA7"/>
    <w:rsid w:val="009B4171"/>
    <w:rsid w:val="009B42E5"/>
    <w:rsid w:val="009B72ED"/>
    <w:rsid w:val="009C6DEB"/>
    <w:rsid w:val="009D1944"/>
    <w:rsid w:val="009D6504"/>
    <w:rsid w:val="009E12D7"/>
    <w:rsid w:val="009E661A"/>
    <w:rsid w:val="009E775E"/>
    <w:rsid w:val="009F5C8A"/>
    <w:rsid w:val="00A02E68"/>
    <w:rsid w:val="00A05A7A"/>
    <w:rsid w:val="00A06781"/>
    <w:rsid w:val="00A074C3"/>
    <w:rsid w:val="00A100D9"/>
    <w:rsid w:val="00A1509C"/>
    <w:rsid w:val="00A27EDB"/>
    <w:rsid w:val="00A34260"/>
    <w:rsid w:val="00A42E83"/>
    <w:rsid w:val="00A50CE2"/>
    <w:rsid w:val="00A70CFD"/>
    <w:rsid w:val="00A718FC"/>
    <w:rsid w:val="00A7270B"/>
    <w:rsid w:val="00A72A0B"/>
    <w:rsid w:val="00A737A1"/>
    <w:rsid w:val="00A750B2"/>
    <w:rsid w:val="00A75E7F"/>
    <w:rsid w:val="00A762F8"/>
    <w:rsid w:val="00A81E42"/>
    <w:rsid w:val="00A864FE"/>
    <w:rsid w:val="00A86F41"/>
    <w:rsid w:val="00A87D04"/>
    <w:rsid w:val="00A90665"/>
    <w:rsid w:val="00A950C5"/>
    <w:rsid w:val="00AA1D25"/>
    <w:rsid w:val="00AA2856"/>
    <w:rsid w:val="00AA38A8"/>
    <w:rsid w:val="00AA6DCD"/>
    <w:rsid w:val="00AB2B1A"/>
    <w:rsid w:val="00AB397F"/>
    <w:rsid w:val="00AB5705"/>
    <w:rsid w:val="00AB5832"/>
    <w:rsid w:val="00AC4FDE"/>
    <w:rsid w:val="00AC51F2"/>
    <w:rsid w:val="00AE5066"/>
    <w:rsid w:val="00AE5E24"/>
    <w:rsid w:val="00AE61B7"/>
    <w:rsid w:val="00AE6CBA"/>
    <w:rsid w:val="00AE79AD"/>
    <w:rsid w:val="00AF35E4"/>
    <w:rsid w:val="00AF5CDE"/>
    <w:rsid w:val="00B10A34"/>
    <w:rsid w:val="00B11A57"/>
    <w:rsid w:val="00B20FD0"/>
    <w:rsid w:val="00B211C3"/>
    <w:rsid w:val="00B23B35"/>
    <w:rsid w:val="00B25597"/>
    <w:rsid w:val="00B267B9"/>
    <w:rsid w:val="00B33E09"/>
    <w:rsid w:val="00B36380"/>
    <w:rsid w:val="00B4661D"/>
    <w:rsid w:val="00B47BCA"/>
    <w:rsid w:val="00B50708"/>
    <w:rsid w:val="00B50C68"/>
    <w:rsid w:val="00B51293"/>
    <w:rsid w:val="00B52B1E"/>
    <w:rsid w:val="00B55481"/>
    <w:rsid w:val="00B56C32"/>
    <w:rsid w:val="00B57ACF"/>
    <w:rsid w:val="00B62436"/>
    <w:rsid w:val="00B64BB1"/>
    <w:rsid w:val="00B73166"/>
    <w:rsid w:val="00B73BE1"/>
    <w:rsid w:val="00B8426C"/>
    <w:rsid w:val="00B87CC7"/>
    <w:rsid w:val="00B91B8D"/>
    <w:rsid w:val="00B937FC"/>
    <w:rsid w:val="00B94E90"/>
    <w:rsid w:val="00B95C35"/>
    <w:rsid w:val="00BB0A82"/>
    <w:rsid w:val="00BB7C94"/>
    <w:rsid w:val="00BC0A9D"/>
    <w:rsid w:val="00BD1D2B"/>
    <w:rsid w:val="00BD4D10"/>
    <w:rsid w:val="00BE32D0"/>
    <w:rsid w:val="00BE4981"/>
    <w:rsid w:val="00BF40ED"/>
    <w:rsid w:val="00BF5BC2"/>
    <w:rsid w:val="00C1133D"/>
    <w:rsid w:val="00C20646"/>
    <w:rsid w:val="00C27A08"/>
    <w:rsid w:val="00C31312"/>
    <w:rsid w:val="00C326C6"/>
    <w:rsid w:val="00C35295"/>
    <w:rsid w:val="00C3653D"/>
    <w:rsid w:val="00C36ADD"/>
    <w:rsid w:val="00C36E74"/>
    <w:rsid w:val="00C40595"/>
    <w:rsid w:val="00C409A4"/>
    <w:rsid w:val="00C41621"/>
    <w:rsid w:val="00C449FA"/>
    <w:rsid w:val="00C457A3"/>
    <w:rsid w:val="00C51482"/>
    <w:rsid w:val="00C5384F"/>
    <w:rsid w:val="00C54C12"/>
    <w:rsid w:val="00C56964"/>
    <w:rsid w:val="00C5783C"/>
    <w:rsid w:val="00C656D5"/>
    <w:rsid w:val="00C67103"/>
    <w:rsid w:val="00C71170"/>
    <w:rsid w:val="00C71BB9"/>
    <w:rsid w:val="00C8321F"/>
    <w:rsid w:val="00C832A6"/>
    <w:rsid w:val="00C83765"/>
    <w:rsid w:val="00C848C9"/>
    <w:rsid w:val="00C92462"/>
    <w:rsid w:val="00C94C28"/>
    <w:rsid w:val="00CA05C8"/>
    <w:rsid w:val="00CB0247"/>
    <w:rsid w:val="00CB3440"/>
    <w:rsid w:val="00CC0350"/>
    <w:rsid w:val="00CC1692"/>
    <w:rsid w:val="00CC6449"/>
    <w:rsid w:val="00CD138B"/>
    <w:rsid w:val="00CD3E31"/>
    <w:rsid w:val="00CD74A3"/>
    <w:rsid w:val="00CE0527"/>
    <w:rsid w:val="00CE5772"/>
    <w:rsid w:val="00CE5B23"/>
    <w:rsid w:val="00CF70AD"/>
    <w:rsid w:val="00CF7729"/>
    <w:rsid w:val="00D00059"/>
    <w:rsid w:val="00D107FA"/>
    <w:rsid w:val="00D113EA"/>
    <w:rsid w:val="00D12275"/>
    <w:rsid w:val="00D12766"/>
    <w:rsid w:val="00D15C07"/>
    <w:rsid w:val="00D20FF4"/>
    <w:rsid w:val="00D24D2C"/>
    <w:rsid w:val="00D35881"/>
    <w:rsid w:val="00D430D5"/>
    <w:rsid w:val="00D543DB"/>
    <w:rsid w:val="00D55560"/>
    <w:rsid w:val="00D56B8D"/>
    <w:rsid w:val="00D6125F"/>
    <w:rsid w:val="00D73EB0"/>
    <w:rsid w:val="00D76EF3"/>
    <w:rsid w:val="00D80273"/>
    <w:rsid w:val="00D8574C"/>
    <w:rsid w:val="00DA013A"/>
    <w:rsid w:val="00DA1722"/>
    <w:rsid w:val="00DA7DA5"/>
    <w:rsid w:val="00DB073B"/>
    <w:rsid w:val="00DB0D45"/>
    <w:rsid w:val="00DB383F"/>
    <w:rsid w:val="00DB39FC"/>
    <w:rsid w:val="00DB78F0"/>
    <w:rsid w:val="00DC2E43"/>
    <w:rsid w:val="00DC39C0"/>
    <w:rsid w:val="00DC7EC8"/>
    <w:rsid w:val="00DD095C"/>
    <w:rsid w:val="00DD1020"/>
    <w:rsid w:val="00DD1330"/>
    <w:rsid w:val="00DD4EA0"/>
    <w:rsid w:val="00DE0B83"/>
    <w:rsid w:val="00DE1A81"/>
    <w:rsid w:val="00DE1C13"/>
    <w:rsid w:val="00DE4E10"/>
    <w:rsid w:val="00E02ABF"/>
    <w:rsid w:val="00E14995"/>
    <w:rsid w:val="00E14C58"/>
    <w:rsid w:val="00E179CD"/>
    <w:rsid w:val="00E17EC7"/>
    <w:rsid w:val="00E23E8D"/>
    <w:rsid w:val="00E37F98"/>
    <w:rsid w:val="00E46559"/>
    <w:rsid w:val="00E57827"/>
    <w:rsid w:val="00E60222"/>
    <w:rsid w:val="00E66595"/>
    <w:rsid w:val="00E6670C"/>
    <w:rsid w:val="00E776E8"/>
    <w:rsid w:val="00E866EA"/>
    <w:rsid w:val="00E92C1F"/>
    <w:rsid w:val="00E95D4B"/>
    <w:rsid w:val="00E97009"/>
    <w:rsid w:val="00E97472"/>
    <w:rsid w:val="00EB199F"/>
    <w:rsid w:val="00EC23F7"/>
    <w:rsid w:val="00EC4A0E"/>
    <w:rsid w:val="00EC4BD8"/>
    <w:rsid w:val="00EC63EB"/>
    <w:rsid w:val="00ED03E5"/>
    <w:rsid w:val="00ED412F"/>
    <w:rsid w:val="00EE78A6"/>
    <w:rsid w:val="00EF36B2"/>
    <w:rsid w:val="00F031FB"/>
    <w:rsid w:val="00F201EC"/>
    <w:rsid w:val="00F208A9"/>
    <w:rsid w:val="00F37013"/>
    <w:rsid w:val="00F41D75"/>
    <w:rsid w:val="00F5139D"/>
    <w:rsid w:val="00F52382"/>
    <w:rsid w:val="00F63DAC"/>
    <w:rsid w:val="00F641D8"/>
    <w:rsid w:val="00F64302"/>
    <w:rsid w:val="00F710DD"/>
    <w:rsid w:val="00F7454F"/>
    <w:rsid w:val="00F7539E"/>
    <w:rsid w:val="00F77988"/>
    <w:rsid w:val="00F77F48"/>
    <w:rsid w:val="00F83B4D"/>
    <w:rsid w:val="00F921F8"/>
    <w:rsid w:val="00F92ADF"/>
    <w:rsid w:val="00FA4FD9"/>
    <w:rsid w:val="00FB30F1"/>
    <w:rsid w:val="00FB53E7"/>
    <w:rsid w:val="00FC0F2D"/>
    <w:rsid w:val="00FE0862"/>
    <w:rsid w:val="00FE30E3"/>
    <w:rsid w:val="00FE6828"/>
    <w:rsid w:val="00FE72CA"/>
    <w:rsid w:val="00FF0331"/>
    <w:rsid w:val="00FF56C8"/>
    <w:rsid w:val="00FF56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styleId="BodyText">
    <w:name w:val="Body Text"/>
    <w:basedOn w:val="Normal"/>
    <w:link w:val="BodyTextChar"/>
    <w:rsid w:val="00D6125F"/>
    <w:pPr>
      <w:jc w:val="both"/>
    </w:pPr>
    <w:rPr>
      <w:sz w:val="28"/>
      <w:szCs w:val="20"/>
    </w:rPr>
  </w:style>
  <w:style w:type="character" w:customStyle="1" w:styleId="BodyTextChar">
    <w:name w:val="Body Text Char"/>
    <w:basedOn w:val="DefaultParagraphFont"/>
    <w:link w:val="BodyText"/>
    <w:rsid w:val="00D6125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styleId="BodyText">
    <w:name w:val="Body Text"/>
    <w:basedOn w:val="Normal"/>
    <w:link w:val="BodyTextChar"/>
    <w:rsid w:val="00D6125F"/>
    <w:pPr>
      <w:jc w:val="both"/>
    </w:pPr>
    <w:rPr>
      <w:sz w:val="28"/>
      <w:szCs w:val="20"/>
    </w:rPr>
  </w:style>
  <w:style w:type="character" w:customStyle="1" w:styleId="BodyTextChar">
    <w:name w:val="Body Text Char"/>
    <w:basedOn w:val="DefaultParagraphFont"/>
    <w:link w:val="BodyText"/>
    <w:rsid w:val="00D612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58596">
      <w:bodyDiv w:val="1"/>
      <w:marLeft w:val="0"/>
      <w:marRight w:val="0"/>
      <w:marTop w:val="0"/>
      <w:marBottom w:val="0"/>
      <w:divBdr>
        <w:top w:val="none" w:sz="0" w:space="0" w:color="auto"/>
        <w:left w:val="none" w:sz="0" w:space="0" w:color="auto"/>
        <w:bottom w:val="none" w:sz="0" w:space="0" w:color="auto"/>
        <w:right w:val="none" w:sz="0" w:space="0" w:color="auto"/>
      </w:divBdr>
      <w:divsChild>
        <w:div w:id="1786580987">
          <w:marLeft w:val="0"/>
          <w:marRight w:val="0"/>
          <w:marTop w:val="0"/>
          <w:marBottom w:val="0"/>
          <w:divBdr>
            <w:top w:val="none" w:sz="0" w:space="0" w:color="auto"/>
            <w:left w:val="none" w:sz="0" w:space="0" w:color="auto"/>
            <w:bottom w:val="none" w:sz="0" w:space="0" w:color="auto"/>
            <w:right w:val="none" w:sz="0" w:space="0" w:color="auto"/>
          </w:divBdr>
          <w:divsChild>
            <w:div w:id="538277125">
              <w:marLeft w:val="0"/>
              <w:marRight w:val="0"/>
              <w:marTop w:val="0"/>
              <w:marBottom w:val="0"/>
              <w:divBdr>
                <w:top w:val="none" w:sz="0" w:space="0" w:color="auto"/>
                <w:left w:val="none" w:sz="0" w:space="0" w:color="auto"/>
                <w:bottom w:val="none" w:sz="0" w:space="0" w:color="auto"/>
                <w:right w:val="none" w:sz="0" w:space="0" w:color="auto"/>
              </w:divBdr>
              <w:divsChild>
                <w:div w:id="339698562">
                  <w:marLeft w:val="0"/>
                  <w:marRight w:val="0"/>
                  <w:marTop w:val="0"/>
                  <w:marBottom w:val="0"/>
                  <w:divBdr>
                    <w:top w:val="none" w:sz="0" w:space="0" w:color="auto"/>
                    <w:left w:val="none" w:sz="0" w:space="0" w:color="auto"/>
                    <w:bottom w:val="none" w:sz="0" w:space="0" w:color="auto"/>
                    <w:right w:val="none" w:sz="0" w:space="0" w:color="auto"/>
                  </w:divBdr>
                  <w:divsChild>
                    <w:div w:id="1730109911">
                      <w:marLeft w:val="0"/>
                      <w:marRight w:val="0"/>
                      <w:marTop w:val="0"/>
                      <w:marBottom w:val="0"/>
                      <w:divBdr>
                        <w:top w:val="none" w:sz="0" w:space="0" w:color="auto"/>
                        <w:left w:val="none" w:sz="0" w:space="0" w:color="auto"/>
                        <w:bottom w:val="none" w:sz="0" w:space="0" w:color="auto"/>
                        <w:right w:val="none" w:sz="0" w:space="0" w:color="auto"/>
                      </w:divBdr>
                      <w:divsChild>
                        <w:div w:id="940336455">
                          <w:marLeft w:val="0"/>
                          <w:marRight w:val="0"/>
                          <w:marTop w:val="0"/>
                          <w:marBottom w:val="0"/>
                          <w:divBdr>
                            <w:top w:val="none" w:sz="0" w:space="0" w:color="auto"/>
                            <w:left w:val="none" w:sz="0" w:space="0" w:color="auto"/>
                            <w:bottom w:val="none" w:sz="0" w:space="0" w:color="auto"/>
                            <w:right w:val="none" w:sz="0" w:space="0" w:color="auto"/>
                          </w:divBdr>
                          <w:divsChild>
                            <w:div w:id="841816350">
                              <w:marLeft w:val="0"/>
                              <w:marRight w:val="0"/>
                              <w:marTop w:val="480"/>
                              <w:marBottom w:val="240"/>
                              <w:divBdr>
                                <w:top w:val="none" w:sz="0" w:space="0" w:color="auto"/>
                                <w:left w:val="none" w:sz="0" w:space="0" w:color="auto"/>
                                <w:bottom w:val="none" w:sz="0" w:space="0" w:color="auto"/>
                                <w:right w:val="none" w:sz="0" w:space="0" w:color="auto"/>
                              </w:divBdr>
                            </w:div>
                            <w:div w:id="4729890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2.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DAEEDB-20D9-4166-AEE2-BBA7D8164E97}">
  <ds:schemaRefs>
    <ds:schemaRef ds:uri="http://schemas.microsoft.com/office/2006/metadata/properties"/>
  </ds:schemaRefs>
</ds:datastoreItem>
</file>

<file path=customXml/itemProps4.xml><?xml version="1.0" encoding="utf-8"?>
<ds:datastoreItem xmlns:ds="http://schemas.openxmlformats.org/officeDocument/2006/customXml" ds:itemID="{58C387F8-F6D5-47B6-BC5F-09BE3A67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2419</Words>
  <Characters>13793</Characters>
  <Application>Microsoft Office Word</Application>
  <DocSecurity>0</DocSecurity>
  <Lines>114</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FMAnot_100114_AFI; Likumprojekta "Grozījums likumā par valsts un pašvaldību kapitālsabiedrībām” sākotnējās ietekmes novērtējuma ziņojums (anotācija)</vt:lpstr>
      <vt:lpstr>Likumprojekta "Grozījums Kredītu reģistra likumā" sākotnējās ietekmes novērtējuma ziņojums (anotācija)</vt:lpstr>
    </vt:vector>
  </TitlesOfParts>
  <Company>Valsts kanceleja, Politikas koordinācijas departaments</Company>
  <LinksUpToDate>false</LinksUpToDate>
  <CharactersWithSpaces>16180</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FMAnot_100114_AFI; Likumprojekta "Grozījums likumā par valsts un pašvaldību kapitālsabiedrībām” sākotnējās ietekmes novērtējuma ziņojums (anotācija)</dc:title>
  <dc:subject>Instrukcijas pielikums</dc:subject>
  <dc:creator>dina.buse@fm.gov.lv</dc:creator>
  <cp:lastModifiedBy>Linda Dreija</cp:lastModifiedBy>
  <cp:revision>3</cp:revision>
  <cp:lastPrinted>2013-12-05T09:12:00Z</cp:lastPrinted>
  <dcterms:created xsi:type="dcterms:W3CDTF">2014-01-28T13:31:00Z</dcterms:created>
  <dcterms:modified xsi:type="dcterms:W3CDTF">2014-01-28T13:31:00Z</dcterms:modified>
</cp:coreProperties>
</file>