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06" w:rsidRPr="005E3892" w:rsidRDefault="00506106" w:rsidP="00506106">
      <w:pPr>
        <w:pStyle w:val="BodyText"/>
        <w:tabs>
          <w:tab w:val="left" w:pos="6480"/>
        </w:tabs>
        <w:jc w:val="both"/>
        <w:rPr>
          <w:b w:val="0"/>
          <w:bCs/>
          <w:sz w:val="28"/>
          <w:szCs w:val="28"/>
          <w:lang w:val="lv-LV"/>
        </w:rPr>
      </w:pPr>
    </w:p>
    <w:p w:rsidR="00506106" w:rsidRPr="005D69D0" w:rsidRDefault="00506106" w:rsidP="00506106">
      <w:pPr>
        <w:pStyle w:val="BodyText"/>
        <w:tabs>
          <w:tab w:val="left" w:pos="6480"/>
        </w:tabs>
        <w:jc w:val="both"/>
        <w:rPr>
          <w:b w:val="0"/>
          <w:bCs/>
          <w:sz w:val="28"/>
          <w:szCs w:val="28"/>
          <w:lang w:val="lv-LV"/>
        </w:rPr>
      </w:pPr>
      <w:r w:rsidRPr="005D69D0">
        <w:rPr>
          <w:b w:val="0"/>
          <w:bCs/>
          <w:sz w:val="28"/>
          <w:szCs w:val="28"/>
          <w:lang w:val="lv-LV"/>
        </w:rPr>
        <w:t>201</w:t>
      </w:r>
      <w:r w:rsidR="00741458" w:rsidRPr="005D69D0">
        <w:rPr>
          <w:b w:val="0"/>
          <w:bCs/>
          <w:sz w:val="28"/>
          <w:szCs w:val="28"/>
          <w:lang w:val="lv-LV"/>
        </w:rPr>
        <w:t>4</w:t>
      </w:r>
      <w:r w:rsidRPr="005D69D0">
        <w:rPr>
          <w:b w:val="0"/>
          <w:bCs/>
          <w:sz w:val="28"/>
          <w:szCs w:val="28"/>
          <w:lang w:val="lv-LV"/>
        </w:rPr>
        <w:t>.gada ___.________</w:t>
      </w:r>
      <w:r w:rsidRPr="005D69D0">
        <w:rPr>
          <w:b w:val="0"/>
          <w:bCs/>
          <w:sz w:val="28"/>
          <w:szCs w:val="28"/>
          <w:lang w:val="lv-LV"/>
        </w:rPr>
        <w:tab/>
      </w:r>
      <w:r w:rsidR="00255BA1" w:rsidRPr="005D69D0">
        <w:rPr>
          <w:b w:val="0"/>
          <w:bCs/>
          <w:sz w:val="28"/>
          <w:szCs w:val="28"/>
          <w:lang w:val="lv-LV"/>
        </w:rPr>
        <w:t>Noteikumi</w:t>
      </w:r>
      <w:r w:rsidRPr="005D69D0">
        <w:rPr>
          <w:b w:val="0"/>
          <w:bCs/>
          <w:sz w:val="28"/>
          <w:szCs w:val="28"/>
          <w:lang w:val="lv-LV"/>
        </w:rPr>
        <w:t xml:space="preserve"> </w:t>
      </w:r>
      <w:proofErr w:type="spellStart"/>
      <w:r w:rsidRPr="005D69D0">
        <w:rPr>
          <w:b w:val="0"/>
          <w:bCs/>
          <w:sz w:val="28"/>
          <w:szCs w:val="28"/>
          <w:lang w:val="lv-LV"/>
        </w:rPr>
        <w:t>Nr</w:t>
      </w:r>
      <w:proofErr w:type="spellEnd"/>
      <w:r w:rsidRPr="005D69D0">
        <w:rPr>
          <w:b w:val="0"/>
          <w:bCs/>
          <w:sz w:val="28"/>
          <w:szCs w:val="28"/>
          <w:lang w:val="lv-LV"/>
        </w:rPr>
        <w:t>. ___</w:t>
      </w:r>
    </w:p>
    <w:p w:rsidR="00506106" w:rsidRPr="005D69D0" w:rsidRDefault="0042336F" w:rsidP="00506106">
      <w:pPr>
        <w:tabs>
          <w:tab w:val="left" w:pos="6480"/>
        </w:tabs>
        <w:rPr>
          <w:rFonts w:ascii="Times New Roman" w:hAnsi="Times New Roman"/>
          <w:sz w:val="28"/>
          <w:szCs w:val="28"/>
        </w:rPr>
      </w:pPr>
      <w:r w:rsidRPr="005D69D0">
        <w:rPr>
          <w:rFonts w:ascii="Times New Roman" w:hAnsi="Times New Roman"/>
          <w:sz w:val="28"/>
          <w:szCs w:val="28"/>
        </w:rPr>
        <w:t>Rīgā</w:t>
      </w:r>
      <w:r w:rsidRPr="005D69D0">
        <w:rPr>
          <w:rFonts w:ascii="Times New Roman" w:hAnsi="Times New Roman"/>
          <w:sz w:val="28"/>
          <w:szCs w:val="28"/>
        </w:rPr>
        <w:tab/>
        <w:t>(</w:t>
      </w:r>
      <w:proofErr w:type="spellStart"/>
      <w:r w:rsidRPr="005D69D0">
        <w:rPr>
          <w:rFonts w:ascii="Times New Roman" w:hAnsi="Times New Roman"/>
          <w:sz w:val="28"/>
          <w:szCs w:val="28"/>
        </w:rPr>
        <w:t>prot</w:t>
      </w:r>
      <w:proofErr w:type="spellEnd"/>
      <w:r w:rsidRPr="005D69D0">
        <w:rPr>
          <w:rFonts w:ascii="Times New Roman" w:hAnsi="Times New Roman"/>
          <w:sz w:val="28"/>
          <w:szCs w:val="28"/>
        </w:rPr>
        <w:t xml:space="preserve">. </w:t>
      </w:r>
      <w:proofErr w:type="spellStart"/>
      <w:r w:rsidRPr="005D69D0">
        <w:rPr>
          <w:rFonts w:ascii="Times New Roman" w:hAnsi="Times New Roman"/>
          <w:sz w:val="28"/>
          <w:szCs w:val="28"/>
        </w:rPr>
        <w:t>Nr</w:t>
      </w:r>
      <w:proofErr w:type="spellEnd"/>
      <w:r w:rsidRPr="005D69D0">
        <w:rPr>
          <w:rFonts w:ascii="Times New Roman" w:hAnsi="Times New Roman"/>
          <w:sz w:val="28"/>
          <w:szCs w:val="28"/>
        </w:rPr>
        <w:t>. _______</w:t>
      </w:r>
      <w:r w:rsidR="00506106" w:rsidRPr="005D69D0">
        <w:rPr>
          <w:rFonts w:ascii="Times New Roman" w:hAnsi="Times New Roman"/>
          <w:sz w:val="28"/>
          <w:szCs w:val="28"/>
        </w:rPr>
        <w:t>)</w:t>
      </w:r>
    </w:p>
    <w:p w:rsidR="001E3619" w:rsidRPr="005D69D0" w:rsidRDefault="001E3619" w:rsidP="00FA0113">
      <w:pPr>
        <w:spacing w:after="0" w:line="240" w:lineRule="auto"/>
        <w:rPr>
          <w:rFonts w:ascii="Times New Roman" w:hAnsi="Times New Roman"/>
          <w:sz w:val="28"/>
          <w:szCs w:val="28"/>
        </w:rPr>
      </w:pPr>
    </w:p>
    <w:p w:rsidR="001E3619" w:rsidRPr="005D69D0" w:rsidRDefault="00506106" w:rsidP="00255BA1">
      <w:pPr>
        <w:spacing w:after="0" w:line="240" w:lineRule="auto"/>
        <w:jc w:val="center"/>
        <w:rPr>
          <w:rFonts w:ascii="Times New Roman" w:hAnsi="Times New Roman"/>
          <w:b/>
          <w:sz w:val="26"/>
          <w:szCs w:val="26"/>
        </w:rPr>
      </w:pPr>
      <w:bookmarkStart w:id="0" w:name="OLE_LINK1"/>
      <w:bookmarkStart w:id="1" w:name="OLE_LINK2"/>
      <w:bookmarkStart w:id="2" w:name="OLE_LINK3"/>
      <w:bookmarkStart w:id="3" w:name="OLE_LINK8"/>
      <w:bookmarkStart w:id="4" w:name="OLE_LINK4"/>
      <w:bookmarkStart w:id="5" w:name="OLE_LINK15"/>
      <w:r w:rsidRPr="005D69D0">
        <w:rPr>
          <w:rFonts w:ascii="Times New Roman" w:hAnsi="Times New Roman"/>
          <w:b/>
          <w:sz w:val="26"/>
          <w:szCs w:val="26"/>
        </w:rPr>
        <w:t>Grozījum</w:t>
      </w:r>
      <w:r w:rsidR="00675E4E" w:rsidRPr="005D69D0">
        <w:rPr>
          <w:rFonts w:ascii="Times New Roman" w:hAnsi="Times New Roman"/>
          <w:b/>
          <w:sz w:val="26"/>
          <w:szCs w:val="26"/>
        </w:rPr>
        <w:t>i</w:t>
      </w:r>
      <w:r w:rsidRPr="005D69D0">
        <w:rPr>
          <w:rFonts w:ascii="Times New Roman" w:hAnsi="Times New Roman"/>
          <w:b/>
          <w:sz w:val="26"/>
          <w:szCs w:val="26"/>
        </w:rPr>
        <w:t xml:space="preserve"> </w:t>
      </w:r>
      <w:r w:rsidR="00255BA1" w:rsidRPr="005D69D0">
        <w:rPr>
          <w:rFonts w:ascii="Times New Roman" w:hAnsi="Times New Roman"/>
          <w:b/>
          <w:sz w:val="26"/>
          <w:szCs w:val="26"/>
        </w:rPr>
        <w:t>Ministru kabineta 20</w:t>
      </w:r>
      <w:r w:rsidR="00FE3B0E" w:rsidRPr="005D69D0">
        <w:rPr>
          <w:rFonts w:ascii="Times New Roman" w:hAnsi="Times New Roman"/>
          <w:b/>
          <w:sz w:val="26"/>
          <w:szCs w:val="26"/>
        </w:rPr>
        <w:t>10</w:t>
      </w:r>
      <w:r w:rsidR="00255BA1" w:rsidRPr="005D69D0">
        <w:rPr>
          <w:rFonts w:ascii="Times New Roman" w:hAnsi="Times New Roman"/>
          <w:b/>
          <w:sz w:val="26"/>
          <w:szCs w:val="26"/>
        </w:rPr>
        <w:t xml:space="preserve">.gada </w:t>
      </w:r>
      <w:r w:rsidR="00FE3B0E" w:rsidRPr="005D69D0">
        <w:rPr>
          <w:rFonts w:ascii="Times New Roman" w:hAnsi="Times New Roman"/>
          <w:b/>
          <w:sz w:val="26"/>
          <w:szCs w:val="26"/>
        </w:rPr>
        <w:t>13.aprīļa</w:t>
      </w:r>
      <w:r w:rsidR="00255BA1" w:rsidRPr="005D69D0">
        <w:rPr>
          <w:rFonts w:ascii="Times New Roman" w:hAnsi="Times New Roman"/>
          <w:b/>
          <w:sz w:val="26"/>
          <w:szCs w:val="26"/>
        </w:rPr>
        <w:t xml:space="preserve"> noteikumos Nr.</w:t>
      </w:r>
      <w:r w:rsidR="00FE3B0E" w:rsidRPr="005D69D0">
        <w:rPr>
          <w:rFonts w:ascii="Times New Roman" w:hAnsi="Times New Roman"/>
          <w:b/>
          <w:sz w:val="26"/>
          <w:szCs w:val="26"/>
        </w:rPr>
        <w:t>361</w:t>
      </w:r>
      <w:r w:rsidR="00255BA1" w:rsidRPr="005D69D0">
        <w:rPr>
          <w:rFonts w:ascii="Times New Roman" w:hAnsi="Times New Roman"/>
          <w:b/>
          <w:sz w:val="26"/>
          <w:szCs w:val="26"/>
        </w:rPr>
        <w:t xml:space="preserve"> „Noteikumi par darbības programmas </w:t>
      </w:r>
      <w:r w:rsidR="000E1D89" w:rsidRPr="005D69D0">
        <w:rPr>
          <w:rFonts w:ascii="Times New Roman" w:hAnsi="Times New Roman"/>
          <w:b/>
          <w:sz w:val="26"/>
          <w:szCs w:val="26"/>
          <w:lang w:bidi="he-IL"/>
        </w:rPr>
        <w:t>„</w:t>
      </w:r>
      <w:r w:rsidR="000E1D89" w:rsidRPr="005D69D0">
        <w:rPr>
          <w:rFonts w:ascii="Times New Roman" w:hAnsi="Times New Roman"/>
          <w:b/>
          <w:sz w:val="26"/>
          <w:szCs w:val="26"/>
        </w:rPr>
        <w:t>Uzņēmējdarbība un inovācijas</w:t>
      </w:r>
      <w:r w:rsidR="000E1D89" w:rsidRPr="005D69D0">
        <w:rPr>
          <w:rFonts w:ascii="Times New Roman" w:hAnsi="Times New Roman"/>
          <w:b/>
          <w:sz w:val="26"/>
          <w:szCs w:val="26"/>
          <w:lang w:bidi="he-IL"/>
        </w:rPr>
        <w:t>”</w:t>
      </w:r>
      <w:r w:rsidRPr="005D69D0">
        <w:rPr>
          <w:rFonts w:ascii="Times New Roman" w:hAnsi="Times New Roman"/>
          <w:b/>
          <w:sz w:val="26"/>
          <w:szCs w:val="26"/>
          <w:rtl/>
          <w:lang w:bidi="he-IL"/>
        </w:rPr>
        <w:t xml:space="preserve"> </w:t>
      </w:r>
      <w:r w:rsidR="00255BA1" w:rsidRPr="005D69D0">
        <w:rPr>
          <w:rFonts w:ascii="Times New Roman" w:hAnsi="Times New Roman"/>
          <w:b/>
          <w:sz w:val="26"/>
          <w:szCs w:val="26"/>
        </w:rPr>
        <w:t>papildinājuma 2.1.2.</w:t>
      </w:r>
      <w:r w:rsidR="00FE3B0E" w:rsidRPr="005D69D0">
        <w:rPr>
          <w:rFonts w:ascii="Times New Roman" w:hAnsi="Times New Roman"/>
          <w:b/>
          <w:sz w:val="26"/>
          <w:szCs w:val="26"/>
        </w:rPr>
        <w:t>1</w:t>
      </w:r>
      <w:r w:rsidR="00255BA1" w:rsidRPr="005D69D0">
        <w:rPr>
          <w:rFonts w:ascii="Times New Roman" w:hAnsi="Times New Roman"/>
          <w:b/>
          <w:sz w:val="26"/>
          <w:szCs w:val="26"/>
        </w:rPr>
        <w:t>.</w:t>
      </w:r>
      <w:r w:rsidR="00FE3B0E" w:rsidRPr="005D69D0">
        <w:rPr>
          <w:rFonts w:ascii="Times New Roman" w:hAnsi="Times New Roman"/>
          <w:b/>
          <w:sz w:val="26"/>
          <w:szCs w:val="26"/>
        </w:rPr>
        <w:t>1</w:t>
      </w:r>
      <w:r w:rsidR="00255BA1" w:rsidRPr="005D69D0">
        <w:rPr>
          <w:rFonts w:ascii="Times New Roman" w:hAnsi="Times New Roman"/>
          <w:b/>
          <w:sz w:val="26"/>
          <w:szCs w:val="26"/>
        </w:rPr>
        <w:t>.apakšaktivitāti „</w:t>
      </w:r>
      <w:r w:rsidR="00FE3B0E" w:rsidRPr="005D69D0">
        <w:rPr>
          <w:rFonts w:ascii="Times New Roman" w:hAnsi="Times New Roman"/>
          <w:b/>
          <w:sz w:val="26"/>
          <w:szCs w:val="26"/>
        </w:rPr>
        <w:t>Kompetences centri</w:t>
      </w:r>
      <w:r w:rsidR="00255BA1" w:rsidRPr="005D69D0">
        <w:rPr>
          <w:rFonts w:ascii="Times New Roman" w:hAnsi="Times New Roman"/>
          <w:b/>
          <w:sz w:val="26"/>
          <w:szCs w:val="26"/>
        </w:rPr>
        <w:t>”</w:t>
      </w:r>
      <w:r w:rsidR="003C4083" w:rsidRPr="005D69D0">
        <w:rPr>
          <w:rFonts w:ascii="Times New Roman" w:hAnsi="Times New Roman"/>
          <w:b/>
          <w:sz w:val="26"/>
          <w:szCs w:val="26"/>
        </w:rPr>
        <w:t>”</w:t>
      </w:r>
    </w:p>
    <w:bookmarkEnd w:id="0"/>
    <w:bookmarkEnd w:id="1"/>
    <w:bookmarkEnd w:id="2"/>
    <w:bookmarkEnd w:id="3"/>
    <w:bookmarkEnd w:id="4"/>
    <w:bookmarkEnd w:id="5"/>
    <w:p w:rsidR="00255BA1" w:rsidRPr="005D69D0" w:rsidRDefault="00255BA1" w:rsidP="00255BA1">
      <w:pPr>
        <w:pStyle w:val="naislab"/>
        <w:spacing w:before="0" w:after="0"/>
      </w:pPr>
    </w:p>
    <w:p w:rsidR="00255BA1" w:rsidRPr="005D69D0" w:rsidRDefault="00255BA1" w:rsidP="00255BA1">
      <w:pPr>
        <w:pStyle w:val="naislab"/>
        <w:spacing w:before="0" w:after="0"/>
      </w:pPr>
      <w:r w:rsidRPr="005D69D0">
        <w:t>Izdoti saskaņā ar</w:t>
      </w:r>
    </w:p>
    <w:p w:rsidR="00255BA1" w:rsidRPr="005D69D0" w:rsidRDefault="00255BA1" w:rsidP="00255BA1">
      <w:pPr>
        <w:pStyle w:val="naislab"/>
        <w:spacing w:before="0" w:after="0"/>
      </w:pPr>
      <w:r w:rsidRPr="005D69D0">
        <w:t>Eiropas Savienības struktūrfondu un</w:t>
      </w:r>
    </w:p>
    <w:p w:rsidR="00255BA1" w:rsidRPr="005D69D0" w:rsidRDefault="00255BA1" w:rsidP="00255BA1">
      <w:pPr>
        <w:pStyle w:val="naislab"/>
        <w:spacing w:before="0" w:after="0"/>
      </w:pPr>
      <w:r w:rsidRPr="005D69D0">
        <w:t>Kohēzijas fonda vadības likuma</w:t>
      </w:r>
    </w:p>
    <w:p w:rsidR="00255BA1" w:rsidRPr="005D69D0" w:rsidRDefault="00255BA1" w:rsidP="00255BA1">
      <w:pPr>
        <w:pStyle w:val="naislab"/>
        <w:spacing w:before="0" w:after="0"/>
      </w:pPr>
      <w:r w:rsidRPr="005D69D0">
        <w:t>18.panta 10.punktu</w:t>
      </w:r>
    </w:p>
    <w:p w:rsidR="00255BA1" w:rsidRPr="005D69D0" w:rsidRDefault="00255BA1" w:rsidP="00255BA1">
      <w:pPr>
        <w:spacing w:before="120" w:after="120" w:line="240" w:lineRule="auto"/>
        <w:jc w:val="both"/>
        <w:rPr>
          <w:rFonts w:ascii="Times New Roman" w:hAnsi="Times New Roman"/>
          <w:color w:val="000000"/>
          <w:sz w:val="26"/>
          <w:szCs w:val="26"/>
        </w:rPr>
      </w:pPr>
    </w:p>
    <w:p w:rsidR="00741458" w:rsidRPr="005D69D0" w:rsidRDefault="00401E78" w:rsidP="00255BA1">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Izdarīt </w:t>
      </w:r>
      <w:r w:rsidR="00255BA1" w:rsidRPr="005D69D0">
        <w:rPr>
          <w:rFonts w:ascii="Times New Roman" w:hAnsi="Times New Roman"/>
          <w:color w:val="000000"/>
          <w:sz w:val="26"/>
          <w:szCs w:val="26"/>
        </w:rPr>
        <w:t xml:space="preserve">Ministru kabineta </w:t>
      </w:r>
      <w:r w:rsidR="00FE3B0E" w:rsidRPr="005D69D0">
        <w:rPr>
          <w:rFonts w:ascii="Times New Roman" w:hAnsi="Times New Roman"/>
          <w:color w:val="000000"/>
          <w:sz w:val="26"/>
          <w:szCs w:val="26"/>
        </w:rPr>
        <w:t>2010.gada 13.aprīļa noteikumos Nr.361 „Noteikumi par darbības programmas „Uzņēmējdarbība un inovācijas” papildinājuma 2.1.2.1.1.apakšaktivitāti „Kompetences centri”</w:t>
      </w:r>
      <w:r w:rsidR="003C4083" w:rsidRPr="005D69D0">
        <w:rPr>
          <w:rFonts w:ascii="Times New Roman" w:hAnsi="Times New Roman"/>
          <w:color w:val="000000"/>
          <w:sz w:val="26"/>
          <w:szCs w:val="26"/>
        </w:rPr>
        <w:t xml:space="preserve"> ” </w:t>
      </w:r>
      <w:r w:rsidR="00255BA1" w:rsidRPr="005D69D0">
        <w:rPr>
          <w:rFonts w:ascii="Times New Roman" w:hAnsi="Times New Roman"/>
          <w:color w:val="000000"/>
          <w:sz w:val="26"/>
          <w:szCs w:val="26"/>
        </w:rPr>
        <w:t>(Latvijas Vēstnesis</w:t>
      </w:r>
      <w:r w:rsidR="00234A18" w:rsidRPr="005D69D0">
        <w:rPr>
          <w:rFonts w:ascii="Times New Roman" w:hAnsi="Times New Roman"/>
          <w:color w:val="000000"/>
          <w:sz w:val="26"/>
          <w:szCs w:val="26"/>
        </w:rPr>
        <w:t xml:space="preserve"> 20</w:t>
      </w:r>
      <w:r w:rsidR="00255BA1" w:rsidRPr="005D69D0">
        <w:rPr>
          <w:rFonts w:ascii="Times New Roman" w:hAnsi="Times New Roman"/>
          <w:color w:val="000000"/>
          <w:sz w:val="26"/>
          <w:szCs w:val="26"/>
        </w:rPr>
        <w:t>1</w:t>
      </w:r>
      <w:r w:rsidR="00FE3B0E" w:rsidRPr="005D69D0">
        <w:rPr>
          <w:rFonts w:ascii="Times New Roman" w:hAnsi="Times New Roman"/>
          <w:color w:val="000000"/>
          <w:sz w:val="26"/>
          <w:szCs w:val="26"/>
        </w:rPr>
        <w:t>0</w:t>
      </w:r>
      <w:r w:rsidR="00234A18" w:rsidRPr="005D69D0">
        <w:rPr>
          <w:rFonts w:ascii="Times New Roman" w:hAnsi="Times New Roman"/>
          <w:color w:val="000000"/>
          <w:sz w:val="26"/>
          <w:szCs w:val="26"/>
        </w:rPr>
        <w:t>,</w:t>
      </w:r>
      <w:r w:rsidR="00255BA1" w:rsidRPr="005D69D0">
        <w:rPr>
          <w:rFonts w:ascii="Times New Roman" w:hAnsi="Times New Roman"/>
          <w:color w:val="000000"/>
          <w:sz w:val="26"/>
          <w:szCs w:val="26"/>
        </w:rPr>
        <w:t xml:space="preserve"> 6</w:t>
      </w:r>
      <w:r w:rsidR="00FE3B0E" w:rsidRPr="005D69D0">
        <w:rPr>
          <w:rFonts w:ascii="Times New Roman" w:hAnsi="Times New Roman"/>
          <w:color w:val="000000"/>
          <w:sz w:val="26"/>
          <w:szCs w:val="26"/>
        </w:rPr>
        <w:t>9</w:t>
      </w:r>
      <w:r w:rsidRPr="005D69D0">
        <w:rPr>
          <w:rFonts w:ascii="Times New Roman" w:hAnsi="Times New Roman"/>
          <w:color w:val="000000"/>
          <w:sz w:val="26"/>
          <w:szCs w:val="26"/>
        </w:rPr>
        <w:t>.nr</w:t>
      </w:r>
      <w:r w:rsidR="003C4083" w:rsidRPr="005D69D0">
        <w:rPr>
          <w:rFonts w:ascii="Times New Roman" w:hAnsi="Times New Roman"/>
          <w:color w:val="000000"/>
          <w:sz w:val="26"/>
          <w:szCs w:val="26"/>
        </w:rPr>
        <w:t>; 2011, 22.nr.; 2012, 83., 168.nr.; 2013, 223.nr.</w:t>
      </w:r>
      <w:r w:rsidR="00255BA1" w:rsidRPr="005D69D0">
        <w:rPr>
          <w:rFonts w:ascii="Times New Roman" w:hAnsi="Times New Roman"/>
          <w:color w:val="000000"/>
          <w:sz w:val="26"/>
          <w:szCs w:val="26"/>
        </w:rPr>
        <w:t>)</w:t>
      </w:r>
      <w:r w:rsidRPr="005D69D0">
        <w:rPr>
          <w:rFonts w:ascii="Times New Roman" w:hAnsi="Times New Roman"/>
          <w:color w:val="000000"/>
          <w:sz w:val="26"/>
          <w:szCs w:val="26"/>
        </w:rPr>
        <w:t xml:space="preserve"> </w:t>
      </w:r>
      <w:r w:rsidR="005662FA" w:rsidRPr="005D69D0">
        <w:rPr>
          <w:rFonts w:ascii="Times New Roman" w:hAnsi="Times New Roman"/>
          <w:color w:val="000000"/>
          <w:sz w:val="26"/>
          <w:szCs w:val="26"/>
        </w:rPr>
        <w:t xml:space="preserve">šādus </w:t>
      </w:r>
      <w:r w:rsidRPr="005D69D0">
        <w:rPr>
          <w:rFonts w:ascii="Times New Roman" w:hAnsi="Times New Roman"/>
          <w:color w:val="000000"/>
          <w:sz w:val="26"/>
          <w:szCs w:val="26"/>
        </w:rPr>
        <w:t>grozījumu</w:t>
      </w:r>
      <w:r w:rsidR="00741458" w:rsidRPr="005D69D0">
        <w:rPr>
          <w:rFonts w:ascii="Times New Roman" w:hAnsi="Times New Roman"/>
          <w:color w:val="000000"/>
          <w:sz w:val="26"/>
          <w:szCs w:val="26"/>
        </w:rPr>
        <w:t>s:</w:t>
      </w:r>
    </w:p>
    <w:p w:rsidR="00950B1B" w:rsidRPr="005D69D0" w:rsidRDefault="008F1196"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950B1B" w:rsidRPr="005D69D0">
        <w:rPr>
          <w:rFonts w:ascii="Times New Roman" w:hAnsi="Times New Roman"/>
          <w:color w:val="000000"/>
          <w:sz w:val="26"/>
          <w:szCs w:val="26"/>
        </w:rPr>
        <w:t>zteikt 2.</w:t>
      </w:r>
      <w:r w:rsidR="00F60BAD" w:rsidRPr="005D69D0">
        <w:rPr>
          <w:rFonts w:ascii="Times New Roman" w:hAnsi="Times New Roman"/>
          <w:color w:val="000000"/>
          <w:sz w:val="26"/>
          <w:szCs w:val="26"/>
        </w:rPr>
        <w:t xml:space="preserve"> un</w:t>
      </w:r>
      <w:r w:rsidR="007123B8" w:rsidRPr="005D69D0">
        <w:rPr>
          <w:rFonts w:ascii="Times New Roman" w:hAnsi="Times New Roman"/>
          <w:color w:val="000000"/>
          <w:sz w:val="26"/>
          <w:szCs w:val="26"/>
        </w:rPr>
        <w:t xml:space="preserve"> 3.</w:t>
      </w:r>
      <w:r w:rsidR="00950B1B" w:rsidRPr="005D69D0">
        <w:rPr>
          <w:rFonts w:ascii="Times New Roman" w:hAnsi="Times New Roman"/>
          <w:color w:val="000000"/>
          <w:sz w:val="26"/>
          <w:szCs w:val="26"/>
        </w:rPr>
        <w:t>punktu šādā redakcijā:</w:t>
      </w:r>
    </w:p>
    <w:p w:rsidR="00950B1B" w:rsidRPr="005D69D0" w:rsidRDefault="00950B1B" w:rsidP="00950B1B">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w:t>
      </w:r>
      <w:r w:rsidR="001F3262" w:rsidRPr="005D69D0">
        <w:rPr>
          <w:rFonts w:ascii="Times New Roman" w:hAnsi="Times New Roman"/>
          <w:color w:val="000000"/>
          <w:sz w:val="26"/>
          <w:szCs w:val="26"/>
        </w:rPr>
        <w:t xml:space="preserve">2. </w:t>
      </w:r>
      <w:r w:rsidRPr="005D69D0">
        <w:rPr>
          <w:rFonts w:ascii="Times New Roman" w:hAnsi="Times New Roman"/>
          <w:color w:val="000000"/>
          <w:sz w:val="26"/>
          <w:szCs w:val="26"/>
        </w:rPr>
        <w:t>Šo noteikumu 19.1. un 19.2.apakšpunktā minētajām darbībām Eiropas Reģionālās attīstības fonda finansējumu (turpmāk – finansējums) aktivitātes ietvaros sniedz saskaņā ar Komisijas 2014.gada 17.jūnija Regulu (E</w:t>
      </w:r>
      <w:r w:rsidR="003C4083" w:rsidRPr="005D69D0">
        <w:rPr>
          <w:rFonts w:ascii="Times New Roman" w:hAnsi="Times New Roman"/>
          <w:color w:val="000000"/>
          <w:sz w:val="26"/>
          <w:szCs w:val="26"/>
        </w:rPr>
        <w:t>S</w:t>
      </w:r>
      <w:r w:rsidRPr="005D69D0">
        <w:rPr>
          <w:rFonts w:ascii="Times New Roman" w:hAnsi="Times New Roman"/>
          <w:color w:val="000000"/>
          <w:sz w:val="26"/>
          <w:szCs w:val="26"/>
        </w:rPr>
        <w:t xml:space="preserve">)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651/2014, </w:t>
      </w:r>
      <w:r w:rsidR="003C4083" w:rsidRPr="005D69D0">
        <w:rPr>
          <w:rFonts w:ascii="Times New Roman" w:hAnsi="Times New Roman"/>
          <w:color w:val="000000"/>
          <w:sz w:val="26"/>
          <w:szCs w:val="26"/>
        </w:rPr>
        <w:t>ar ko</w:t>
      </w:r>
      <w:r w:rsidRPr="005D69D0">
        <w:rPr>
          <w:rFonts w:ascii="Times New Roman" w:hAnsi="Times New Roman"/>
          <w:color w:val="000000"/>
          <w:sz w:val="26"/>
          <w:szCs w:val="26"/>
        </w:rPr>
        <w:t xml:space="preserve"> noteiktas atbalsta kategorijas </w:t>
      </w:r>
      <w:r w:rsidR="003C4083" w:rsidRPr="005D69D0">
        <w:rPr>
          <w:rFonts w:ascii="Times New Roman" w:hAnsi="Times New Roman"/>
          <w:color w:val="000000"/>
          <w:sz w:val="26"/>
          <w:szCs w:val="26"/>
        </w:rPr>
        <w:t xml:space="preserve">atzīst </w:t>
      </w:r>
      <w:r w:rsidRPr="005D69D0">
        <w:rPr>
          <w:rFonts w:ascii="Times New Roman" w:hAnsi="Times New Roman"/>
          <w:color w:val="000000"/>
          <w:sz w:val="26"/>
          <w:szCs w:val="26"/>
        </w:rPr>
        <w:t xml:space="preserve">par saderīgām ar iekšējo tirgu, piemērojot Līguma 107. un 108.pantu (Eiropas Savienības Oficiālais Vēstnesis, 2014.gada 26.jūnijs, </w:t>
      </w:r>
      <w:proofErr w:type="spellStart"/>
      <w:r w:rsidR="003C4083" w:rsidRPr="005D69D0">
        <w:rPr>
          <w:rFonts w:ascii="Times New Roman" w:hAnsi="Times New Roman"/>
          <w:color w:val="000000"/>
          <w:sz w:val="26"/>
          <w:szCs w:val="26"/>
        </w:rPr>
        <w:t>Nr</w:t>
      </w:r>
      <w:proofErr w:type="spellEnd"/>
      <w:r w:rsidR="003C4083" w:rsidRPr="005D69D0">
        <w:rPr>
          <w:rFonts w:ascii="Times New Roman" w:hAnsi="Times New Roman"/>
          <w:color w:val="000000"/>
          <w:sz w:val="26"/>
          <w:szCs w:val="26"/>
        </w:rPr>
        <w:t xml:space="preserve">. </w:t>
      </w:r>
      <w:r w:rsidRPr="005D69D0">
        <w:rPr>
          <w:rFonts w:ascii="Times New Roman" w:hAnsi="Times New Roman"/>
          <w:color w:val="000000"/>
          <w:sz w:val="26"/>
          <w:szCs w:val="26"/>
        </w:rPr>
        <w:t xml:space="preserve">L 187) (turpmāk – Komisijas regula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w:t>
      </w:r>
      <w:r w:rsidR="00F60BAD" w:rsidRPr="005D69D0">
        <w:rPr>
          <w:rFonts w:ascii="Times New Roman" w:hAnsi="Times New Roman"/>
          <w:color w:val="000000"/>
          <w:sz w:val="26"/>
          <w:szCs w:val="26"/>
        </w:rPr>
        <w:t xml:space="preserve"> </w:t>
      </w:r>
    </w:p>
    <w:p w:rsidR="00912A1B" w:rsidRPr="005D69D0" w:rsidRDefault="001F3262" w:rsidP="006E5436">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3. </w:t>
      </w:r>
      <w:r w:rsidR="006E5436" w:rsidRPr="005D69D0">
        <w:rPr>
          <w:rFonts w:ascii="Times New Roman" w:hAnsi="Times New Roman"/>
          <w:color w:val="000000"/>
          <w:sz w:val="26"/>
          <w:szCs w:val="26"/>
        </w:rPr>
        <w:t>Šo noteikumu 19.3.apakšpunktā minētajām darbībām finansējumu aktivitātes ietvaros sniedz saskaņā ar Komisijas 2013.gada 18.decembra Regulu (E</w:t>
      </w:r>
      <w:r w:rsidR="008F1196" w:rsidRPr="005D69D0">
        <w:rPr>
          <w:rFonts w:ascii="Times New Roman" w:hAnsi="Times New Roman"/>
          <w:color w:val="000000"/>
          <w:sz w:val="26"/>
          <w:szCs w:val="26"/>
        </w:rPr>
        <w:t>S</w:t>
      </w:r>
      <w:r w:rsidR="006E5436" w:rsidRPr="005D69D0">
        <w:rPr>
          <w:rFonts w:ascii="Times New Roman" w:hAnsi="Times New Roman"/>
          <w:color w:val="000000"/>
          <w:sz w:val="26"/>
          <w:szCs w:val="26"/>
        </w:rPr>
        <w:t xml:space="preserve">) </w:t>
      </w:r>
      <w:proofErr w:type="spellStart"/>
      <w:r w:rsidR="006E5436" w:rsidRPr="005D69D0">
        <w:rPr>
          <w:rFonts w:ascii="Times New Roman" w:hAnsi="Times New Roman"/>
          <w:color w:val="000000"/>
          <w:sz w:val="26"/>
          <w:szCs w:val="26"/>
        </w:rPr>
        <w:t>Nr</w:t>
      </w:r>
      <w:proofErr w:type="spellEnd"/>
      <w:r w:rsidR="006E5436" w:rsidRPr="005D69D0">
        <w:rPr>
          <w:rFonts w:ascii="Times New Roman" w:hAnsi="Times New Roman"/>
          <w:color w:val="000000"/>
          <w:sz w:val="26"/>
          <w:szCs w:val="26"/>
        </w:rPr>
        <w:t xml:space="preserve">. 1407/2013 par Līguma par Eiropas Savienības darbību 107. un 108.panta piemērošanu </w:t>
      </w:r>
      <w:proofErr w:type="spellStart"/>
      <w:r w:rsidR="006E5436" w:rsidRPr="005D69D0">
        <w:rPr>
          <w:rFonts w:ascii="Times New Roman" w:hAnsi="Times New Roman"/>
          <w:i/>
          <w:color w:val="000000"/>
          <w:sz w:val="26"/>
          <w:szCs w:val="26"/>
        </w:rPr>
        <w:t>de</w:t>
      </w:r>
      <w:proofErr w:type="spellEnd"/>
      <w:r w:rsidR="006E5436" w:rsidRPr="005D69D0">
        <w:rPr>
          <w:rFonts w:ascii="Times New Roman" w:hAnsi="Times New Roman"/>
          <w:i/>
          <w:color w:val="000000"/>
          <w:sz w:val="26"/>
          <w:szCs w:val="26"/>
        </w:rPr>
        <w:t xml:space="preserve"> </w:t>
      </w:r>
      <w:proofErr w:type="spellStart"/>
      <w:r w:rsidR="006E5436" w:rsidRPr="005D69D0">
        <w:rPr>
          <w:rFonts w:ascii="Times New Roman" w:hAnsi="Times New Roman"/>
          <w:i/>
          <w:color w:val="000000"/>
          <w:sz w:val="26"/>
          <w:szCs w:val="26"/>
        </w:rPr>
        <w:t>minimis</w:t>
      </w:r>
      <w:proofErr w:type="spellEnd"/>
      <w:r w:rsidR="006E5436" w:rsidRPr="005D69D0">
        <w:rPr>
          <w:rFonts w:ascii="Times New Roman" w:hAnsi="Times New Roman"/>
          <w:color w:val="000000"/>
          <w:sz w:val="26"/>
          <w:szCs w:val="26"/>
        </w:rPr>
        <w:t xml:space="preserve"> atbalstam (Eiropas Savienības Oficiālais Vēstnesis, 2013.gada 24.decembris, </w:t>
      </w:r>
      <w:proofErr w:type="spellStart"/>
      <w:r w:rsidR="006E5436" w:rsidRPr="005D69D0">
        <w:rPr>
          <w:rFonts w:ascii="Times New Roman" w:hAnsi="Times New Roman"/>
          <w:color w:val="000000"/>
          <w:sz w:val="26"/>
          <w:szCs w:val="26"/>
        </w:rPr>
        <w:t>Nr</w:t>
      </w:r>
      <w:proofErr w:type="spellEnd"/>
      <w:r w:rsidR="006E5436" w:rsidRPr="005D69D0">
        <w:rPr>
          <w:rFonts w:ascii="Times New Roman" w:hAnsi="Times New Roman"/>
          <w:color w:val="000000"/>
          <w:sz w:val="26"/>
          <w:szCs w:val="26"/>
        </w:rPr>
        <w:t>. L 352</w:t>
      </w:r>
      <w:r w:rsidR="007F3798" w:rsidRPr="005D69D0">
        <w:rPr>
          <w:rFonts w:ascii="Times New Roman" w:hAnsi="Times New Roman"/>
          <w:color w:val="000000"/>
          <w:sz w:val="26"/>
          <w:szCs w:val="26"/>
        </w:rPr>
        <w:t>) (turpmāk – Komisijas</w:t>
      </w:r>
      <w:r w:rsidR="006E5436" w:rsidRPr="005D69D0">
        <w:rPr>
          <w:rFonts w:ascii="Times New Roman" w:hAnsi="Times New Roman"/>
          <w:color w:val="000000"/>
          <w:sz w:val="26"/>
          <w:szCs w:val="26"/>
        </w:rPr>
        <w:t xml:space="preserve"> regula </w:t>
      </w:r>
      <w:proofErr w:type="spellStart"/>
      <w:r w:rsidR="006E5436" w:rsidRPr="005D69D0">
        <w:rPr>
          <w:rFonts w:ascii="Times New Roman" w:hAnsi="Times New Roman"/>
          <w:color w:val="000000"/>
          <w:sz w:val="26"/>
          <w:szCs w:val="26"/>
        </w:rPr>
        <w:t>Nr</w:t>
      </w:r>
      <w:proofErr w:type="spellEnd"/>
      <w:r w:rsidR="006E5436" w:rsidRPr="005D69D0">
        <w:rPr>
          <w:rFonts w:ascii="Times New Roman" w:hAnsi="Times New Roman"/>
          <w:color w:val="000000"/>
          <w:sz w:val="26"/>
          <w:szCs w:val="26"/>
        </w:rPr>
        <w:t>.</w:t>
      </w:r>
      <w:r w:rsidR="007F3798" w:rsidRPr="005D69D0">
        <w:rPr>
          <w:rFonts w:ascii="Times New Roman" w:hAnsi="Times New Roman"/>
          <w:color w:val="000000"/>
          <w:sz w:val="26"/>
          <w:szCs w:val="26"/>
        </w:rPr>
        <w:t xml:space="preserve"> 1407/2013</w:t>
      </w:r>
      <w:r w:rsidR="006E5436" w:rsidRPr="005D69D0">
        <w:rPr>
          <w:rFonts w:ascii="Times New Roman" w:hAnsi="Times New Roman"/>
          <w:color w:val="000000"/>
          <w:sz w:val="26"/>
          <w:szCs w:val="26"/>
        </w:rPr>
        <w:t>).</w:t>
      </w:r>
      <w:r w:rsidR="00912A1B" w:rsidRPr="005D69D0">
        <w:rPr>
          <w:rFonts w:ascii="Times New Roman" w:hAnsi="Times New Roman"/>
          <w:color w:val="000000"/>
          <w:sz w:val="26"/>
          <w:szCs w:val="26"/>
        </w:rPr>
        <w:t>”</w:t>
      </w:r>
    </w:p>
    <w:p w:rsidR="00730C37" w:rsidRPr="005D69D0" w:rsidRDefault="00A412E6"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Aizstāt </w:t>
      </w:r>
      <w:r w:rsidR="00B523D8" w:rsidRPr="005D69D0">
        <w:rPr>
          <w:rFonts w:ascii="Times New Roman" w:hAnsi="Times New Roman"/>
          <w:color w:val="000000"/>
          <w:sz w:val="26"/>
          <w:szCs w:val="26"/>
        </w:rPr>
        <w:t>5.1</w:t>
      </w:r>
      <w:r w:rsidR="00125799" w:rsidRPr="005D69D0">
        <w:rPr>
          <w:rFonts w:ascii="Times New Roman" w:hAnsi="Times New Roman"/>
          <w:color w:val="000000"/>
          <w:sz w:val="26"/>
          <w:szCs w:val="26"/>
        </w:rPr>
        <w:t>.</w:t>
      </w:r>
      <w:r w:rsidR="00B523D8" w:rsidRPr="005D69D0">
        <w:rPr>
          <w:rFonts w:ascii="Times New Roman" w:hAnsi="Times New Roman"/>
          <w:color w:val="000000"/>
          <w:sz w:val="26"/>
          <w:szCs w:val="26"/>
        </w:rPr>
        <w:t>apakšpunkt</w:t>
      </w:r>
      <w:r w:rsidRPr="005D69D0">
        <w:rPr>
          <w:rFonts w:ascii="Times New Roman" w:hAnsi="Times New Roman"/>
          <w:color w:val="000000"/>
          <w:sz w:val="26"/>
          <w:szCs w:val="26"/>
        </w:rPr>
        <w:t>ā vārdu „septiņi” ar vārdu „seši”.</w:t>
      </w:r>
    </w:p>
    <w:p w:rsidR="00086A27" w:rsidRPr="005D69D0" w:rsidRDefault="00086A27"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Papildināt 8.punktu ar 8.1.3.apakšpunktu šādā redakcijā:</w:t>
      </w:r>
    </w:p>
    <w:p w:rsidR="00086A27" w:rsidRPr="005D69D0" w:rsidRDefault="00086A27" w:rsidP="00A95B05">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„8.1.3. publicē valsts atbalsta tīmekļa vietnē informāciju atbilstoši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 9. panta 1. un 4. punktam, kā arī nodrošina šīs informācijas pieejamību 10 gadus, skaitot no atbalsta piešķiršanas dienas;”;</w:t>
      </w:r>
    </w:p>
    <w:p w:rsidR="006B5696" w:rsidRPr="005D69D0" w:rsidRDefault="00125799"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6B5696" w:rsidRPr="005D69D0">
        <w:rPr>
          <w:rFonts w:ascii="Times New Roman" w:hAnsi="Times New Roman"/>
          <w:color w:val="000000"/>
          <w:sz w:val="26"/>
          <w:szCs w:val="26"/>
        </w:rPr>
        <w:t>zteikt 8.2.13.apakšpunktu šādā redakcijā:</w:t>
      </w:r>
    </w:p>
    <w:p w:rsidR="006B5696" w:rsidRPr="005D69D0" w:rsidRDefault="006B5696" w:rsidP="006B5696">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w:t>
      </w:r>
      <w:r w:rsidR="001F3262" w:rsidRPr="005D69D0">
        <w:rPr>
          <w:rFonts w:ascii="Times New Roman" w:hAnsi="Times New Roman"/>
          <w:color w:val="000000"/>
          <w:sz w:val="26"/>
          <w:szCs w:val="26"/>
        </w:rPr>
        <w:t xml:space="preserve">8.2.13. </w:t>
      </w:r>
      <w:r w:rsidRPr="005D69D0">
        <w:rPr>
          <w:rFonts w:ascii="Times New Roman" w:hAnsi="Times New Roman"/>
          <w:color w:val="000000"/>
          <w:sz w:val="26"/>
          <w:szCs w:val="26"/>
        </w:rPr>
        <w:t xml:space="preserve">pirms šo noteikumu 19.3.apakšpunktā minētā finansējuma piešķiršanas pārbauda, vai tas nepalielinās kopējo </w:t>
      </w:r>
      <w:proofErr w:type="spellStart"/>
      <w:r w:rsidRPr="005D69D0">
        <w:rPr>
          <w:rFonts w:ascii="Times New Roman" w:hAnsi="Times New Roman"/>
          <w:i/>
          <w:color w:val="000000"/>
          <w:sz w:val="26"/>
          <w:szCs w:val="26"/>
        </w:rPr>
        <w:t>de</w:t>
      </w:r>
      <w:proofErr w:type="spellEnd"/>
      <w:r w:rsidRPr="005D69D0">
        <w:rPr>
          <w:rFonts w:ascii="Times New Roman" w:hAnsi="Times New Roman"/>
          <w:i/>
          <w:color w:val="000000"/>
          <w:sz w:val="26"/>
          <w:szCs w:val="26"/>
        </w:rPr>
        <w:t xml:space="preserve"> </w:t>
      </w:r>
      <w:proofErr w:type="spellStart"/>
      <w:r w:rsidRPr="005D69D0">
        <w:rPr>
          <w:rFonts w:ascii="Times New Roman" w:hAnsi="Times New Roman"/>
          <w:i/>
          <w:color w:val="000000"/>
          <w:sz w:val="26"/>
          <w:szCs w:val="26"/>
        </w:rPr>
        <w:t>minimis</w:t>
      </w:r>
      <w:proofErr w:type="spellEnd"/>
      <w:r w:rsidRPr="005D69D0">
        <w:rPr>
          <w:rFonts w:ascii="Times New Roman" w:hAnsi="Times New Roman"/>
          <w:color w:val="000000"/>
          <w:sz w:val="26"/>
          <w:szCs w:val="26"/>
        </w:rPr>
        <w:t xml:space="preserve"> atbalsta apjomu, ko kompetences centrs saņēmis attiecīgajā fiskālajā gadā, kā arī iepriekšējos divos fiskālajos gados, līdz līmenim, kas pārsniedz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1407/2013 3.panta 2.punktā noteikto maksimālo apmēru;”</w:t>
      </w:r>
    </w:p>
    <w:p w:rsidR="002F7D00" w:rsidRPr="005D69D0" w:rsidRDefault="00B33BAF"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lastRenderedPageBreak/>
        <w:t xml:space="preserve">Aizstāt </w:t>
      </w:r>
      <w:r w:rsidR="002F7D00" w:rsidRPr="005D69D0">
        <w:rPr>
          <w:rFonts w:ascii="Times New Roman" w:hAnsi="Times New Roman"/>
          <w:color w:val="000000"/>
          <w:sz w:val="26"/>
          <w:szCs w:val="26"/>
        </w:rPr>
        <w:t>8.2.14.apakšpunkt</w:t>
      </w:r>
      <w:r w:rsidRPr="005D69D0">
        <w:rPr>
          <w:rFonts w:ascii="Times New Roman" w:hAnsi="Times New Roman"/>
          <w:color w:val="000000"/>
          <w:sz w:val="26"/>
          <w:szCs w:val="26"/>
        </w:rPr>
        <w:t>ā skaitli un vārdu „1.jūlija” ar skaitli un vārdu „31.decembra”.</w:t>
      </w:r>
    </w:p>
    <w:p w:rsidR="006B5696" w:rsidRPr="005D69D0" w:rsidRDefault="00640EE9" w:rsidP="00D75842">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Aizstāt 9.punktā skaitli un vārdu „</w:t>
      </w:r>
      <w:r w:rsidR="00D75842" w:rsidRPr="005D69D0">
        <w:rPr>
          <w:rFonts w:ascii="Times New Roman" w:hAnsi="Times New Roman"/>
          <w:color w:val="000000"/>
          <w:sz w:val="26"/>
          <w:szCs w:val="26"/>
        </w:rPr>
        <w:t>37 373 845 lati</w:t>
      </w:r>
      <w:r w:rsidRPr="005D69D0">
        <w:rPr>
          <w:rFonts w:ascii="Times New Roman" w:hAnsi="Times New Roman"/>
          <w:color w:val="000000"/>
          <w:sz w:val="26"/>
          <w:szCs w:val="26"/>
        </w:rPr>
        <w:t xml:space="preserve">” ar skaitli un vārdu „53 178 020 </w:t>
      </w:r>
      <w:proofErr w:type="spellStart"/>
      <w:r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r w:rsidR="00D75842" w:rsidRPr="005D69D0">
        <w:rPr>
          <w:rFonts w:ascii="Times New Roman" w:hAnsi="Times New Roman"/>
          <w:color w:val="000000"/>
          <w:sz w:val="26"/>
          <w:szCs w:val="26"/>
        </w:rPr>
        <w:t>.</w:t>
      </w:r>
    </w:p>
    <w:p w:rsidR="00950B1B" w:rsidRPr="005D69D0" w:rsidRDefault="00A66060"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950B1B" w:rsidRPr="005D69D0">
        <w:rPr>
          <w:rFonts w:ascii="Times New Roman" w:hAnsi="Times New Roman"/>
          <w:color w:val="000000"/>
          <w:sz w:val="26"/>
          <w:szCs w:val="26"/>
        </w:rPr>
        <w:t>zteikt 10.</w:t>
      </w:r>
      <w:r w:rsidR="00687810" w:rsidRPr="005D69D0">
        <w:rPr>
          <w:rFonts w:ascii="Times New Roman" w:hAnsi="Times New Roman"/>
          <w:color w:val="000000"/>
          <w:sz w:val="26"/>
          <w:szCs w:val="26"/>
        </w:rPr>
        <w:t>,</w:t>
      </w:r>
      <w:r w:rsidR="00670B6E" w:rsidRPr="005D69D0">
        <w:rPr>
          <w:rFonts w:ascii="Times New Roman" w:hAnsi="Times New Roman"/>
          <w:color w:val="000000"/>
          <w:sz w:val="26"/>
          <w:szCs w:val="26"/>
        </w:rPr>
        <w:t xml:space="preserve"> 11.</w:t>
      </w:r>
      <w:r w:rsidR="00687810" w:rsidRPr="005D69D0">
        <w:rPr>
          <w:rFonts w:ascii="Times New Roman" w:hAnsi="Times New Roman"/>
          <w:color w:val="000000"/>
          <w:sz w:val="26"/>
          <w:szCs w:val="26"/>
        </w:rPr>
        <w:t xml:space="preserve"> un 12.</w:t>
      </w:r>
      <w:r w:rsidR="00950B1B" w:rsidRPr="005D69D0">
        <w:rPr>
          <w:rFonts w:ascii="Times New Roman" w:hAnsi="Times New Roman"/>
          <w:color w:val="000000"/>
          <w:sz w:val="26"/>
          <w:szCs w:val="26"/>
        </w:rPr>
        <w:t>punktu šādā redakcijā:</w:t>
      </w:r>
    </w:p>
    <w:p w:rsidR="00950B1B" w:rsidRPr="005D69D0" w:rsidRDefault="00950B1B" w:rsidP="00950B1B">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w:t>
      </w:r>
      <w:r w:rsidR="001F3262" w:rsidRPr="005D69D0">
        <w:rPr>
          <w:rFonts w:ascii="Times New Roman" w:hAnsi="Times New Roman"/>
          <w:color w:val="000000"/>
          <w:sz w:val="26"/>
          <w:szCs w:val="26"/>
        </w:rPr>
        <w:t xml:space="preserve">10. </w:t>
      </w:r>
      <w:r w:rsidR="007F69F5" w:rsidRPr="005D69D0">
        <w:rPr>
          <w:rFonts w:ascii="Times New Roman" w:hAnsi="Times New Roman"/>
          <w:color w:val="000000"/>
          <w:sz w:val="26"/>
          <w:szCs w:val="26"/>
        </w:rPr>
        <w:t>Sīkie (</w:t>
      </w:r>
      <w:proofErr w:type="spellStart"/>
      <w:r w:rsidR="007F69F5" w:rsidRPr="005D69D0">
        <w:rPr>
          <w:rFonts w:ascii="Times New Roman" w:hAnsi="Times New Roman"/>
          <w:color w:val="000000"/>
          <w:sz w:val="26"/>
          <w:szCs w:val="26"/>
        </w:rPr>
        <w:t>m</w:t>
      </w:r>
      <w:r w:rsidRPr="005D69D0">
        <w:rPr>
          <w:rFonts w:ascii="Times New Roman" w:hAnsi="Times New Roman"/>
          <w:color w:val="000000"/>
          <w:sz w:val="26"/>
          <w:szCs w:val="26"/>
        </w:rPr>
        <w:t>ikro</w:t>
      </w:r>
      <w:proofErr w:type="spellEnd"/>
      <w:r w:rsidR="007F69F5" w:rsidRPr="005D69D0">
        <w:rPr>
          <w:rFonts w:ascii="Times New Roman" w:hAnsi="Times New Roman"/>
          <w:color w:val="000000"/>
          <w:sz w:val="26"/>
          <w:szCs w:val="26"/>
        </w:rPr>
        <w:t>)</w:t>
      </w:r>
      <w:r w:rsidRPr="005D69D0">
        <w:rPr>
          <w:rFonts w:ascii="Times New Roman" w:hAnsi="Times New Roman"/>
          <w:color w:val="000000"/>
          <w:sz w:val="26"/>
          <w:szCs w:val="26"/>
        </w:rPr>
        <w:t xml:space="preserve">, mazie un vidējie komersanti ir komersanti, kas atbilst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 1.pielikumā noteiktajai definīcijai.</w:t>
      </w:r>
      <w:r w:rsidR="00310D6E" w:rsidRPr="005D69D0">
        <w:rPr>
          <w:rFonts w:ascii="Times New Roman" w:hAnsi="Times New Roman"/>
          <w:color w:val="000000"/>
          <w:sz w:val="26"/>
          <w:szCs w:val="26"/>
        </w:rPr>
        <w:t xml:space="preserve"> </w:t>
      </w:r>
    </w:p>
    <w:p w:rsidR="007F69F5" w:rsidRPr="005D69D0" w:rsidRDefault="001F3262" w:rsidP="00BA3641">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11. </w:t>
      </w:r>
      <w:r w:rsidR="00BA3641" w:rsidRPr="005D69D0">
        <w:rPr>
          <w:rFonts w:ascii="Times New Roman" w:hAnsi="Times New Roman"/>
          <w:color w:val="000000"/>
          <w:sz w:val="26"/>
          <w:szCs w:val="26"/>
        </w:rPr>
        <w:t xml:space="preserve">Lielie komersanti ir komersanti, kas atbilst Komisijas regulas </w:t>
      </w:r>
      <w:proofErr w:type="spellStart"/>
      <w:r w:rsidR="00BA3641" w:rsidRPr="005D69D0">
        <w:rPr>
          <w:rFonts w:ascii="Times New Roman" w:hAnsi="Times New Roman"/>
          <w:color w:val="000000"/>
          <w:sz w:val="26"/>
          <w:szCs w:val="26"/>
        </w:rPr>
        <w:t>Nr</w:t>
      </w:r>
      <w:proofErr w:type="spellEnd"/>
      <w:r w:rsidR="00BA3641" w:rsidRPr="005D69D0">
        <w:rPr>
          <w:rFonts w:ascii="Times New Roman" w:hAnsi="Times New Roman"/>
          <w:color w:val="000000"/>
          <w:sz w:val="26"/>
          <w:szCs w:val="26"/>
        </w:rPr>
        <w:t>. 651/2014 2.panta 24.punktā noteiktajai definīcijai.</w:t>
      </w:r>
    </w:p>
    <w:p w:rsidR="00687810" w:rsidRPr="005D69D0" w:rsidRDefault="00687810" w:rsidP="005D69D0">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12. Saistītās personas šo noteikumu izpratnē atbilst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 1. pielikumā noteiktajai saistīto komersantu definīcijai.”</w:t>
      </w:r>
    </w:p>
    <w:p w:rsidR="004B7470" w:rsidRPr="005D69D0" w:rsidRDefault="004B7470" w:rsidP="004B747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Papildināt ar 12.</w:t>
      </w:r>
      <w:r w:rsidRPr="005D69D0">
        <w:rPr>
          <w:rFonts w:ascii="Times New Roman" w:hAnsi="Times New Roman"/>
          <w:color w:val="000000"/>
          <w:sz w:val="26"/>
          <w:szCs w:val="26"/>
          <w:vertAlign w:val="superscript"/>
        </w:rPr>
        <w:t>1</w:t>
      </w:r>
      <w:r w:rsidRPr="005D69D0">
        <w:rPr>
          <w:rFonts w:ascii="Times New Roman" w:hAnsi="Times New Roman"/>
          <w:color w:val="000000"/>
          <w:sz w:val="26"/>
          <w:szCs w:val="26"/>
        </w:rPr>
        <w:t xml:space="preserve"> un 12.</w:t>
      </w:r>
      <w:r w:rsidRPr="005D69D0">
        <w:rPr>
          <w:rFonts w:ascii="Times New Roman" w:hAnsi="Times New Roman"/>
          <w:color w:val="000000"/>
          <w:sz w:val="26"/>
          <w:szCs w:val="26"/>
          <w:vertAlign w:val="superscript"/>
        </w:rPr>
        <w:t>2</w:t>
      </w:r>
      <w:r w:rsidRPr="005D69D0">
        <w:rPr>
          <w:rFonts w:ascii="Times New Roman" w:hAnsi="Times New Roman"/>
          <w:color w:val="000000"/>
          <w:sz w:val="26"/>
          <w:szCs w:val="26"/>
        </w:rPr>
        <w:t xml:space="preserve"> punktu šādā redakcijā:</w:t>
      </w:r>
    </w:p>
    <w:p w:rsidR="004B7470" w:rsidRPr="005D69D0" w:rsidRDefault="004B7470" w:rsidP="005D69D0">
      <w:pPr>
        <w:spacing w:before="120" w:after="120" w:line="240" w:lineRule="auto"/>
        <w:ind w:left="360"/>
        <w:jc w:val="both"/>
        <w:rPr>
          <w:rFonts w:ascii="Times New Roman" w:hAnsi="Times New Roman"/>
          <w:color w:val="000000"/>
          <w:sz w:val="26"/>
          <w:szCs w:val="26"/>
        </w:rPr>
      </w:pPr>
      <w:r w:rsidRPr="005D69D0">
        <w:rPr>
          <w:rFonts w:ascii="Times New Roman" w:hAnsi="Times New Roman"/>
          <w:color w:val="000000"/>
          <w:sz w:val="26"/>
          <w:szCs w:val="26"/>
        </w:rPr>
        <w:t>„12.</w:t>
      </w:r>
      <w:r w:rsidRPr="005D69D0">
        <w:rPr>
          <w:rFonts w:ascii="Times New Roman" w:hAnsi="Times New Roman"/>
          <w:color w:val="000000"/>
          <w:sz w:val="26"/>
          <w:szCs w:val="26"/>
          <w:vertAlign w:val="superscript"/>
        </w:rPr>
        <w:t>1</w:t>
      </w:r>
      <w:r w:rsidRPr="005D69D0">
        <w:rPr>
          <w:rFonts w:ascii="Times New Roman" w:hAnsi="Times New Roman"/>
          <w:color w:val="000000"/>
          <w:sz w:val="26"/>
          <w:szCs w:val="26"/>
        </w:rPr>
        <w:t xml:space="preserve"> Viens vienots uzņēmums ir tāds uzņēmums, kas atbilst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1407/2013 2. panta 2. punktā minētajiem kritērijiem.</w:t>
      </w:r>
    </w:p>
    <w:p w:rsidR="004B7470" w:rsidRPr="005D69D0" w:rsidRDefault="004B7470" w:rsidP="005D69D0">
      <w:pPr>
        <w:spacing w:before="120" w:after="120" w:line="240" w:lineRule="auto"/>
        <w:ind w:left="360"/>
        <w:jc w:val="both"/>
        <w:rPr>
          <w:rFonts w:ascii="Times New Roman" w:hAnsi="Times New Roman"/>
          <w:color w:val="000000"/>
          <w:sz w:val="26"/>
          <w:szCs w:val="26"/>
        </w:rPr>
      </w:pPr>
      <w:r w:rsidRPr="005D69D0">
        <w:rPr>
          <w:rFonts w:ascii="Times New Roman" w:hAnsi="Times New Roman"/>
          <w:color w:val="000000"/>
          <w:sz w:val="26"/>
          <w:szCs w:val="26"/>
        </w:rPr>
        <w:t>12.</w:t>
      </w:r>
      <w:r w:rsidRPr="005D69D0">
        <w:rPr>
          <w:rFonts w:ascii="Times New Roman" w:hAnsi="Times New Roman"/>
          <w:color w:val="000000"/>
          <w:sz w:val="26"/>
          <w:szCs w:val="26"/>
          <w:vertAlign w:val="superscript"/>
        </w:rPr>
        <w:t>2</w:t>
      </w:r>
      <w:r w:rsidRPr="005D69D0">
        <w:rPr>
          <w:rFonts w:ascii="Times New Roman" w:hAnsi="Times New Roman"/>
          <w:color w:val="000000"/>
          <w:sz w:val="26"/>
          <w:szCs w:val="26"/>
        </w:rPr>
        <w:t xml:space="preserve"> Piešķirot atbalstu, jāvērtē, vai atbalsta projekts nav kvalificējams kā vienots investīciju projekts atbilstoši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651/2014 14. panta 13. punktam. Ja tas ir vienots investīciju projekts, piemēro nosacījumus atbilstoši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 14. panta 13. punktam.”</w:t>
      </w:r>
    </w:p>
    <w:p w:rsidR="00C42A6A" w:rsidRPr="005D69D0" w:rsidRDefault="00EE0A83"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4F4C99" w:rsidRPr="005D69D0">
        <w:rPr>
          <w:rFonts w:ascii="Times New Roman" w:hAnsi="Times New Roman"/>
          <w:color w:val="000000"/>
          <w:sz w:val="26"/>
          <w:szCs w:val="26"/>
        </w:rPr>
        <w:t>zteikt 15.4.</w:t>
      </w:r>
      <w:r w:rsidR="00C42A6A" w:rsidRPr="005D69D0">
        <w:rPr>
          <w:rFonts w:ascii="Times New Roman" w:hAnsi="Times New Roman"/>
          <w:color w:val="000000"/>
          <w:sz w:val="26"/>
          <w:szCs w:val="26"/>
        </w:rPr>
        <w:t>apakšpunktu šādā redakcijā:</w:t>
      </w:r>
    </w:p>
    <w:p w:rsidR="00C42A6A" w:rsidRPr="005D69D0" w:rsidRDefault="00C42A6A" w:rsidP="00C42A6A">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w:t>
      </w:r>
      <w:r w:rsidR="001F3262" w:rsidRPr="005D69D0">
        <w:rPr>
          <w:rFonts w:ascii="Times New Roman" w:hAnsi="Times New Roman"/>
          <w:color w:val="000000"/>
          <w:sz w:val="26"/>
          <w:szCs w:val="26"/>
        </w:rPr>
        <w:t xml:space="preserve">15.4. </w:t>
      </w:r>
      <w:r w:rsidR="004F4C99" w:rsidRPr="005D69D0">
        <w:rPr>
          <w:rFonts w:ascii="Times New Roman" w:hAnsi="Times New Roman"/>
          <w:color w:val="000000"/>
          <w:sz w:val="26"/>
          <w:szCs w:val="26"/>
        </w:rPr>
        <w:t xml:space="preserve">individuālo pētījumu īstenotāji un kompetences centri, kas veic šo noteikumu </w:t>
      </w:r>
      <w:r w:rsidR="006E73F7" w:rsidRPr="005D69D0">
        <w:rPr>
          <w:rFonts w:ascii="Times New Roman" w:hAnsi="Times New Roman"/>
          <w:color w:val="000000"/>
          <w:sz w:val="26"/>
          <w:szCs w:val="26"/>
        </w:rPr>
        <w:t xml:space="preserve">19. </w:t>
      </w:r>
      <w:r w:rsidR="004F4C99" w:rsidRPr="005D69D0">
        <w:rPr>
          <w:rFonts w:ascii="Times New Roman" w:hAnsi="Times New Roman"/>
          <w:color w:val="000000"/>
          <w:sz w:val="26"/>
          <w:szCs w:val="26"/>
        </w:rPr>
        <w:t xml:space="preserve">punktā minētās darbības vai to sadarbības partneri atbilst grūtībās nonākuša komersanta statusam saskaņā ar Komisijas regulas </w:t>
      </w:r>
      <w:proofErr w:type="spellStart"/>
      <w:r w:rsidR="004F4C99" w:rsidRPr="005D69D0">
        <w:rPr>
          <w:rFonts w:ascii="Times New Roman" w:hAnsi="Times New Roman"/>
          <w:color w:val="000000"/>
          <w:sz w:val="26"/>
          <w:szCs w:val="26"/>
        </w:rPr>
        <w:t>Nr</w:t>
      </w:r>
      <w:proofErr w:type="spellEnd"/>
      <w:r w:rsidR="004F4C99" w:rsidRPr="005D69D0">
        <w:rPr>
          <w:rFonts w:ascii="Times New Roman" w:hAnsi="Times New Roman"/>
          <w:color w:val="000000"/>
          <w:sz w:val="26"/>
          <w:szCs w:val="26"/>
        </w:rPr>
        <w:t>. 651/2014 2.</w:t>
      </w:r>
      <w:r w:rsidR="006E73F7" w:rsidRPr="005D69D0">
        <w:rPr>
          <w:rFonts w:ascii="Times New Roman" w:hAnsi="Times New Roman"/>
          <w:color w:val="000000"/>
          <w:sz w:val="26"/>
          <w:szCs w:val="26"/>
        </w:rPr>
        <w:t xml:space="preserve"> </w:t>
      </w:r>
      <w:r w:rsidR="004F4C99" w:rsidRPr="005D69D0">
        <w:rPr>
          <w:rFonts w:ascii="Times New Roman" w:hAnsi="Times New Roman"/>
          <w:color w:val="000000"/>
          <w:sz w:val="26"/>
          <w:szCs w:val="26"/>
        </w:rPr>
        <w:t>panta 18.</w:t>
      </w:r>
      <w:r w:rsidR="006E73F7" w:rsidRPr="005D69D0">
        <w:rPr>
          <w:rFonts w:ascii="Times New Roman" w:hAnsi="Times New Roman"/>
          <w:color w:val="000000"/>
          <w:sz w:val="26"/>
          <w:szCs w:val="26"/>
        </w:rPr>
        <w:t xml:space="preserve"> </w:t>
      </w:r>
      <w:r w:rsidR="004F4C99" w:rsidRPr="005D69D0">
        <w:rPr>
          <w:rFonts w:ascii="Times New Roman" w:hAnsi="Times New Roman"/>
          <w:color w:val="000000"/>
          <w:sz w:val="26"/>
          <w:szCs w:val="26"/>
        </w:rPr>
        <w:t>punkta definīciju;</w:t>
      </w:r>
      <w:r w:rsidRPr="005D69D0">
        <w:rPr>
          <w:rFonts w:ascii="Times New Roman" w:hAnsi="Times New Roman"/>
          <w:color w:val="000000"/>
          <w:sz w:val="26"/>
          <w:szCs w:val="26"/>
        </w:rPr>
        <w:t>”</w:t>
      </w:r>
    </w:p>
    <w:p w:rsidR="006A3767" w:rsidRPr="005D69D0" w:rsidRDefault="006A3767"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 </w:t>
      </w:r>
      <w:r w:rsidR="00EE0A83" w:rsidRPr="005D69D0">
        <w:rPr>
          <w:rFonts w:ascii="Times New Roman" w:hAnsi="Times New Roman"/>
          <w:color w:val="000000"/>
          <w:sz w:val="26"/>
          <w:szCs w:val="26"/>
        </w:rPr>
        <w:t>I</w:t>
      </w:r>
      <w:r w:rsidRPr="005D69D0">
        <w:rPr>
          <w:rFonts w:ascii="Times New Roman" w:hAnsi="Times New Roman"/>
          <w:color w:val="000000"/>
          <w:sz w:val="26"/>
          <w:szCs w:val="26"/>
        </w:rPr>
        <w:t>zteikt 15.6.apakšpunktu šādā redakcijā:</w:t>
      </w:r>
    </w:p>
    <w:p w:rsidR="006A3767" w:rsidRPr="005D69D0" w:rsidRDefault="006A3767" w:rsidP="006A3767">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„15.6. uz to vai tā sadarbības partneriem attiecas līdzekļu atgūšanas rīkojums, kas minēts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651/2014 1.panta 4.punkta ''a'' apakšpunktā;”</w:t>
      </w:r>
    </w:p>
    <w:p w:rsidR="006A3767" w:rsidRPr="005D69D0" w:rsidRDefault="00EE0A83"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S</w:t>
      </w:r>
      <w:r w:rsidR="006A3767" w:rsidRPr="005D69D0">
        <w:rPr>
          <w:rFonts w:ascii="Times New Roman" w:hAnsi="Times New Roman"/>
          <w:color w:val="000000"/>
          <w:sz w:val="26"/>
          <w:szCs w:val="26"/>
        </w:rPr>
        <w:t>vītrot 15.7.apakšpunktu</w:t>
      </w:r>
      <w:r w:rsidRPr="005D69D0">
        <w:rPr>
          <w:rFonts w:ascii="Times New Roman" w:hAnsi="Times New Roman"/>
          <w:color w:val="000000"/>
          <w:sz w:val="26"/>
          <w:szCs w:val="26"/>
        </w:rPr>
        <w:t>.</w:t>
      </w:r>
    </w:p>
    <w:p w:rsidR="00DB06BE" w:rsidRPr="005D69D0" w:rsidRDefault="00DB06BE"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izteikt 19.punktu šādā redakcijā:</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„19. Finansējumu piešķir:</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19.1. individuālo pētījumu īstenotājam:</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19.1.1. individuāliem rūpnieciskiem pētījumiem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651</w:t>
      </w:r>
      <w:r w:rsidRPr="005D69D0">
        <w:rPr>
          <w:rFonts w:ascii="Times New Roman" w:hAnsi="Times New Roman"/>
          <w:color w:val="000000"/>
          <w:sz w:val="26"/>
          <w:szCs w:val="26"/>
        </w:rPr>
        <w:t>/20</w:t>
      </w:r>
      <w:r w:rsidR="00B72B9C" w:rsidRPr="005D69D0">
        <w:rPr>
          <w:rFonts w:ascii="Times New Roman" w:hAnsi="Times New Roman"/>
          <w:color w:val="000000"/>
          <w:sz w:val="26"/>
          <w:szCs w:val="26"/>
        </w:rPr>
        <w:t>14</w:t>
      </w:r>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2</w:t>
      </w:r>
      <w:r w:rsidRPr="005D69D0">
        <w:rPr>
          <w:rFonts w:ascii="Times New Roman" w:hAnsi="Times New Roman"/>
          <w:color w:val="000000"/>
          <w:sz w:val="26"/>
          <w:szCs w:val="26"/>
        </w:rPr>
        <w:t xml:space="preserve">.panta </w:t>
      </w:r>
      <w:r w:rsidR="00B72B9C" w:rsidRPr="005D69D0">
        <w:rPr>
          <w:rFonts w:ascii="Times New Roman" w:hAnsi="Times New Roman"/>
          <w:color w:val="000000"/>
          <w:sz w:val="26"/>
          <w:szCs w:val="26"/>
        </w:rPr>
        <w:t>85</w:t>
      </w:r>
      <w:r w:rsidRPr="005D69D0">
        <w:rPr>
          <w:rFonts w:ascii="Times New Roman" w:hAnsi="Times New Roman"/>
          <w:color w:val="000000"/>
          <w:sz w:val="26"/>
          <w:szCs w:val="26"/>
        </w:rPr>
        <w:t>.punkta izpratnē;</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19.1.2. individuālai eksperimentālai izstrādnei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651</w:t>
      </w:r>
      <w:r w:rsidRPr="005D69D0">
        <w:rPr>
          <w:rFonts w:ascii="Times New Roman" w:hAnsi="Times New Roman"/>
          <w:color w:val="000000"/>
          <w:sz w:val="26"/>
          <w:szCs w:val="26"/>
        </w:rPr>
        <w:t>/20</w:t>
      </w:r>
      <w:r w:rsidR="00B72B9C" w:rsidRPr="005D69D0">
        <w:rPr>
          <w:rFonts w:ascii="Times New Roman" w:hAnsi="Times New Roman"/>
          <w:color w:val="000000"/>
          <w:sz w:val="26"/>
          <w:szCs w:val="26"/>
        </w:rPr>
        <w:t>14</w:t>
      </w:r>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2.panta 86</w:t>
      </w:r>
      <w:r w:rsidRPr="005D69D0">
        <w:rPr>
          <w:rFonts w:ascii="Times New Roman" w:hAnsi="Times New Roman"/>
          <w:color w:val="000000"/>
          <w:sz w:val="26"/>
          <w:szCs w:val="26"/>
        </w:rPr>
        <w:t>.punkta izpratnē;</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19.2. kompetences centram:</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19.2.1. nozares rūpnieciskiem pētījumiem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651</w:t>
      </w:r>
      <w:r w:rsidRPr="005D69D0">
        <w:rPr>
          <w:rFonts w:ascii="Times New Roman" w:hAnsi="Times New Roman"/>
          <w:color w:val="000000"/>
          <w:sz w:val="26"/>
          <w:szCs w:val="26"/>
        </w:rPr>
        <w:t>/20</w:t>
      </w:r>
      <w:r w:rsidR="00B72B9C" w:rsidRPr="005D69D0">
        <w:rPr>
          <w:rFonts w:ascii="Times New Roman" w:hAnsi="Times New Roman"/>
          <w:color w:val="000000"/>
          <w:sz w:val="26"/>
          <w:szCs w:val="26"/>
        </w:rPr>
        <w:t>14</w:t>
      </w:r>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2.panta 85</w:t>
      </w:r>
      <w:r w:rsidRPr="005D69D0">
        <w:rPr>
          <w:rFonts w:ascii="Times New Roman" w:hAnsi="Times New Roman"/>
          <w:color w:val="000000"/>
          <w:sz w:val="26"/>
          <w:szCs w:val="26"/>
        </w:rPr>
        <w:t>.punkta izpratnē;</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lastRenderedPageBreak/>
        <w:t xml:space="preserve">19.2.2. nozares eksperimentālai izstrādnei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651</w:t>
      </w:r>
      <w:r w:rsidRPr="005D69D0">
        <w:rPr>
          <w:rFonts w:ascii="Times New Roman" w:hAnsi="Times New Roman"/>
          <w:color w:val="000000"/>
          <w:sz w:val="26"/>
          <w:szCs w:val="26"/>
        </w:rPr>
        <w:t>/20</w:t>
      </w:r>
      <w:r w:rsidR="00B72B9C" w:rsidRPr="005D69D0">
        <w:rPr>
          <w:rFonts w:ascii="Times New Roman" w:hAnsi="Times New Roman"/>
          <w:color w:val="000000"/>
          <w:sz w:val="26"/>
          <w:szCs w:val="26"/>
        </w:rPr>
        <w:t>14</w:t>
      </w:r>
      <w:r w:rsidRPr="005D69D0">
        <w:rPr>
          <w:rFonts w:ascii="Times New Roman" w:hAnsi="Times New Roman"/>
          <w:color w:val="000000"/>
          <w:sz w:val="26"/>
          <w:szCs w:val="26"/>
        </w:rPr>
        <w:t xml:space="preserve"> </w:t>
      </w:r>
      <w:r w:rsidR="00B72B9C" w:rsidRPr="005D69D0">
        <w:rPr>
          <w:rFonts w:ascii="Times New Roman" w:hAnsi="Times New Roman"/>
          <w:color w:val="000000"/>
          <w:sz w:val="26"/>
          <w:szCs w:val="26"/>
        </w:rPr>
        <w:t>2</w:t>
      </w:r>
      <w:r w:rsidRPr="005D69D0">
        <w:rPr>
          <w:rFonts w:ascii="Times New Roman" w:hAnsi="Times New Roman"/>
          <w:color w:val="000000"/>
          <w:sz w:val="26"/>
          <w:szCs w:val="26"/>
        </w:rPr>
        <w:t xml:space="preserve">.panta </w:t>
      </w:r>
      <w:r w:rsidR="00B72B9C" w:rsidRPr="005D69D0">
        <w:rPr>
          <w:rFonts w:ascii="Times New Roman" w:hAnsi="Times New Roman"/>
          <w:color w:val="000000"/>
          <w:sz w:val="26"/>
          <w:szCs w:val="26"/>
        </w:rPr>
        <w:t>86</w:t>
      </w:r>
      <w:r w:rsidRPr="005D69D0">
        <w:rPr>
          <w:rFonts w:ascii="Times New Roman" w:hAnsi="Times New Roman"/>
          <w:color w:val="000000"/>
          <w:sz w:val="26"/>
          <w:szCs w:val="26"/>
        </w:rPr>
        <w:t>.punkta izpratnē;</w:t>
      </w:r>
    </w:p>
    <w:p w:rsidR="00DB06BE" w:rsidRPr="005D69D0" w:rsidRDefault="00DB06BE" w:rsidP="00DB06BE">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19.3. kompetences centra projekta vadības izmaksu segšanai.”</w:t>
      </w:r>
    </w:p>
    <w:p w:rsidR="00D60592" w:rsidRPr="005D69D0" w:rsidRDefault="00D60592"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Papildināt III sadaļu ar 23.</w:t>
      </w:r>
      <w:r w:rsidRPr="005D69D0">
        <w:rPr>
          <w:rFonts w:ascii="Times New Roman" w:hAnsi="Times New Roman"/>
          <w:color w:val="000000"/>
          <w:sz w:val="26"/>
          <w:szCs w:val="26"/>
          <w:vertAlign w:val="superscript"/>
        </w:rPr>
        <w:t>1</w:t>
      </w:r>
      <w:r w:rsidRPr="005D69D0">
        <w:rPr>
          <w:rFonts w:ascii="Times New Roman" w:hAnsi="Times New Roman"/>
          <w:color w:val="000000"/>
          <w:sz w:val="26"/>
          <w:szCs w:val="26"/>
        </w:rPr>
        <w:t xml:space="preserve"> punktu šādā redakcijā:</w:t>
      </w:r>
    </w:p>
    <w:p w:rsidR="00D60592" w:rsidRPr="005D69D0" w:rsidRDefault="00D60592" w:rsidP="00537457">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„23.</w:t>
      </w:r>
      <w:r w:rsidRPr="005D69D0">
        <w:rPr>
          <w:rFonts w:ascii="Times New Roman" w:hAnsi="Times New Roman"/>
          <w:color w:val="000000"/>
          <w:sz w:val="26"/>
          <w:szCs w:val="26"/>
          <w:vertAlign w:val="superscript"/>
        </w:rPr>
        <w:t xml:space="preserve">1 </w:t>
      </w:r>
      <w:r w:rsidRPr="005D69D0">
        <w:rPr>
          <w:rFonts w:ascii="Times New Roman" w:hAnsi="Times New Roman"/>
          <w:color w:val="000000"/>
          <w:sz w:val="26"/>
          <w:szCs w:val="26"/>
        </w:rPr>
        <w:t xml:space="preserve">Par neatbalstāmām darbībām šo noteikumu ietvaros tiek uzskatītas darbības, kas atbilst Komisijas regulas </w:t>
      </w:r>
      <w:proofErr w:type="spellStart"/>
      <w:r w:rsidRPr="005D69D0">
        <w:rPr>
          <w:rFonts w:ascii="Times New Roman" w:hAnsi="Times New Roman"/>
          <w:color w:val="000000"/>
          <w:sz w:val="26"/>
          <w:szCs w:val="26"/>
        </w:rPr>
        <w:t>Nr</w:t>
      </w:r>
      <w:proofErr w:type="spellEnd"/>
      <w:r w:rsidRPr="005D69D0">
        <w:rPr>
          <w:rFonts w:ascii="Times New Roman" w:hAnsi="Times New Roman"/>
          <w:color w:val="000000"/>
          <w:sz w:val="26"/>
          <w:szCs w:val="26"/>
        </w:rPr>
        <w:t xml:space="preserve">. 651/2014 1. panta 2. </w:t>
      </w:r>
      <w:r w:rsidR="00537457" w:rsidRPr="005D69D0">
        <w:rPr>
          <w:rFonts w:ascii="Times New Roman" w:hAnsi="Times New Roman"/>
          <w:color w:val="000000"/>
          <w:sz w:val="26"/>
          <w:szCs w:val="26"/>
        </w:rPr>
        <w:t>p</w:t>
      </w:r>
      <w:r w:rsidRPr="005D69D0">
        <w:rPr>
          <w:rFonts w:ascii="Times New Roman" w:hAnsi="Times New Roman"/>
          <w:color w:val="000000"/>
          <w:sz w:val="26"/>
          <w:szCs w:val="26"/>
        </w:rPr>
        <w:t>unktā</w:t>
      </w:r>
      <w:r w:rsidR="00537457" w:rsidRPr="005D69D0">
        <w:rPr>
          <w:rFonts w:ascii="Times New Roman" w:hAnsi="Times New Roman"/>
          <w:color w:val="000000"/>
          <w:sz w:val="26"/>
          <w:szCs w:val="26"/>
        </w:rPr>
        <w:t xml:space="preserve"> </w:t>
      </w:r>
      <w:r w:rsidRPr="005D69D0">
        <w:rPr>
          <w:rFonts w:ascii="Times New Roman" w:hAnsi="Times New Roman"/>
          <w:color w:val="000000"/>
          <w:sz w:val="26"/>
          <w:szCs w:val="26"/>
        </w:rPr>
        <w:t>noteiktajam.”</w:t>
      </w:r>
    </w:p>
    <w:p w:rsidR="00A244E5" w:rsidRPr="005D69D0" w:rsidRDefault="00932ECA" w:rsidP="00932ECA">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Aizstāt </w:t>
      </w:r>
      <w:r w:rsidR="00A244E5" w:rsidRPr="005D69D0">
        <w:rPr>
          <w:rFonts w:ascii="Times New Roman" w:hAnsi="Times New Roman"/>
          <w:color w:val="000000"/>
          <w:sz w:val="26"/>
          <w:szCs w:val="26"/>
        </w:rPr>
        <w:t>25.2.1.1.apakšpunkt</w:t>
      </w:r>
      <w:r w:rsidRPr="005D69D0">
        <w:rPr>
          <w:rFonts w:ascii="Times New Roman" w:hAnsi="Times New Roman"/>
          <w:color w:val="000000"/>
          <w:sz w:val="26"/>
          <w:szCs w:val="26"/>
        </w:rPr>
        <w:t xml:space="preserve">ā skaiti un vārdu „13 latiem” ar skaitli un vārdu „18,50 </w:t>
      </w:r>
      <w:proofErr w:type="spellStart"/>
      <w:r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p>
    <w:p w:rsidR="00A244E5" w:rsidRPr="005D69D0" w:rsidRDefault="00FB0BA0"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Aizstāt </w:t>
      </w:r>
      <w:r w:rsidR="00A244E5" w:rsidRPr="005D69D0">
        <w:rPr>
          <w:rFonts w:ascii="Times New Roman" w:hAnsi="Times New Roman"/>
          <w:color w:val="000000"/>
          <w:sz w:val="26"/>
          <w:szCs w:val="26"/>
        </w:rPr>
        <w:t>25.2.1.2.apakšpunkt</w:t>
      </w:r>
      <w:r w:rsidRPr="005D69D0">
        <w:rPr>
          <w:rFonts w:ascii="Times New Roman" w:hAnsi="Times New Roman"/>
          <w:color w:val="000000"/>
          <w:sz w:val="26"/>
          <w:szCs w:val="26"/>
        </w:rPr>
        <w:t xml:space="preserve">ā skaitli un vārdu „10 latiem” ar skaitli un vārdu „14,23 </w:t>
      </w:r>
      <w:proofErr w:type="spellStart"/>
      <w:r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p>
    <w:p w:rsidR="00A244E5" w:rsidRPr="005D69D0" w:rsidRDefault="008A7DEE"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Aizstāt</w:t>
      </w:r>
      <w:r w:rsidR="00A244E5" w:rsidRPr="005D69D0">
        <w:rPr>
          <w:rFonts w:ascii="Times New Roman" w:hAnsi="Times New Roman"/>
          <w:color w:val="000000"/>
          <w:sz w:val="26"/>
          <w:szCs w:val="26"/>
        </w:rPr>
        <w:t xml:space="preserve"> 25.2.1.3.apakšpunkt</w:t>
      </w:r>
      <w:r w:rsidRPr="005D69D0">
        <w:rPr>
          <w:rFonts w:ascii="Times New Roman" w:hAnsi="Times New Roman"/>
          <w:color w:val="000000"/>
          <w:sz w:val="26"/>
          <w:szCs w:val="26"/>
        </w:rPr>
        <w:t xml:space="preserve">ā vārdus „astoņiem latiem” ar skaitli un vārdu „11,38 </w:t>
      </w:r>
      <w:proofErr w:type="spellStart"/>
      <w:r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r w:rsidR="00804A0F" w:rsidRPr="005D69D0">
        <w:rPr>
          <w:rFonts w:ascii="Times New Roman" w:hAnsi="Times New Roman"/>
          <w:color w:val="000000"/>
          <w:sz w:val="26"/>
          <w:szCs w:val="26"/>
        </w:rPr>
        <w:t>.</w:t>
      </w:r>
    </w:p>
    <w:p w:rsidR="007A52AA" w:rsidRPr="005D69D0" w:rsidRDefault="00085AE7"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7A52AA" w:rsidRPr="005D69D0">
        <w:rPr>
          <w:rFonts w:ascii="Times New Roman" w:hAnsi="Times New Roman"/>
          <w:color w:val="000000"/>
          <w:sz w:val="26"/>
          <w:szCs w:val="26"/>
        </w:rPr>
        <w:t>zteikt 25.4</w:t>
      </w:r>
      <w:r w:rsidR="004A0D02" w:rsidRPr="005D69D0">
        <w:rPr>
          <w:rFonts w:ascii="Times New Roman" w:hAnsi="Times New Roman"/>
          <w:color w:val="000000"/>
          <w:sz w:val="26"/>
          <w:szCs w:val="26"/>
        </w:rPr>
        <w:t>.</w:t>
      </w:r>
      <w:r w:rsidR="007A52AA" w:rsidRPr="005D69D0">
        <w:rPr>
          <w:rFonts w:ascii="Times New Roman" w:hAnsi="Times New Roman"/>
          <w:color w:val="000000"/>
          <w:sz w:val="26"/>
          <w:szCs w:val="26"/>
        </w:rPr>
        <w:t>apakšpunktu šādā redakcijā:</w:t>
      </w:r>
    </w:p>
    <w:p w:rsidR="007A52AA" w:rsidRPr="005D69D0" w:rsidRDefault="007A52AA" w:rsidP="007A52AA">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„25.4. kompetences centra netiešās projekta īstenošanas izmaksas, nepārsniedzot 5 % no projekta tiešajām attiecināmajām izmaksām, kuras ir minētas šo noteikumu 25.2.apakšpunktā, – projekta vadības izmaksas (ārpakalpojumu iegāde – juridiskie, grāmatvedības, lietvedības un tulkošanas pakalpojumi) un izmaksas, kas saistītas ar šo noteikumu 76.punktā minēto </w:t>
      </w:r>
      <w:r w:rsidR="00985436" w:rsidRPr="005D69D0">
        <w:rPr>
          <w:rFonts w:ascii="Times New Roman" w:hAnsi="Times New Roman"/>
          <w:color w:val="000000"/>
          <w:sz w:val="26"/>
          <w:szCs w:val="26"/>
        </w:rPr>
        <w:t>bankas garantiju</w:t>
      </w:r>
      <w:r w:rsidR="002A03E0" w:rsidRPr="005D69D0">
        <w:rPr>
          <w:rFonts w:ascii="Times New Roman" w:hAnsi="Times New Roman"/>
          <w:color w:val="000000"/>
          <w:sz w:val="26"/>
          <w:szCs w:val="26"/>
        </w:rPr>
        <w:t xml:space="preserve"> un</w:t>
      </w:r>
      <w:r w:rsidR="00C908F1" w:rsidRPr="005D69D0">
        <w:rPr>
          <w:rFonts w:ascii="Times New Roman" w:hAnsi="Times New Roman"/>
          <w:color w:val="000000"/>
          <w:sz w:val="26"/>
          <w:szCs w:val="26"/>
        </w:rPr>
        <w:t xml:space="preserve"> darījumu kontu</w:t>
      </w:r>
      <w:r w:rsidRPr="005D69D0">
        <w:rPr>
          <w:rFonts w:ascii="Times New Roman" w:hAnsi="Times New Roman"/>
          <w:color w:val="000000"/>
          <w:sz w:val="26"/>
          <w:szCs w:val="26"/>
        </w:rPr>
        <w:t>.”</w:t>
      </w:r>
    </w:p>
    <w:p w:rsidR="00E80647" w:rsidRPr="005D69D0" w:rsidRDefault="004A0D02"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Izteikt 33.3.apakšpunktu šādā redakcijā:</w:t>
      </w:r>
    </w:p>
    <w:p w:rsidR="004A0D02" w:rsidRPr="005D69D0" w:rsidRDefault="004A0D02" w:rsidP="004A0D02">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„33.3. projekta vadības izmaksām:</w:t>
      </w:r>
    </w:p>
    <w:p w:rsidR="004A0D02" w:rsidRPr="005D69D0" w:rsidRDefault="004A0D02" w:rsidP="004A0D02">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33.3.1. 50 % – projekta vadības izmaksām, kas nav minētas šo noteikumu 33.3.2.apakšpuktā;</w:t>
      </w:r>
    </w:p>
    <w:p w:rsidR="004A0D02" w:rsidRPr="005D69D0" w:rsidRDefault="004A0D02" w:rsidP="004A0D02">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33.3.2. 100% - bankas garantijas izmaksām.”</w:t>
      </w:r>
    </w:p>
    <w:p w:rsidR="00B54BD8" w:rsidRPr="005D69D0" w:rsidRDefault="0015673C"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B54BD8" w:rsidRPr="005D69D0">
        <w:rPr>
          <w:rFonts w:ascii="Times New Roman" w:hAnsi="Times New Roman"/>
          <w:color w:val="000000"/>
          <w:sz w:val="26"/>
          <w:szCs w:val="26"/>
        </w:rPr>
        <w:t>zteikt 34.3.apakšpunktu šādā redakcijā:</w:t>
      </w:r>
    </w:p>
    <w:p w:rsidR="00B54BD8" w:rsidRPr="005D69D0" w:rsidRDefault="00B54BD8" w:rsidP="00B54BD8">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„34.3. pētījuma rezultāti publicēti vismaz divos zinātniskos rakstos, kas indeksēti </w:t>
      </w:r>
      <w:r w:rsidRPr="005D69D0">
        <w:rPr>
          <w:rFonts w:ascii="Times New Roman" w:hAnsi="Times New Roman"/>
          <w:i/>
          <w:color w:val="000000"/>
          <w:sz w:val="26"/>
          <w:szCs w:val="26"/>
        </w:rPr>
        <w:t xml:space="preserve">Web </w:t>
      </w:r>
      <w:proofErr w:type="spellStart"/>
      <w:r w:rsidRPr="005D69D0">
        <w:rPr>
          <w:rFonts w:ascii="Times New Roman" w:hAnsi="Times New Roman"/>
          <w:i/>
          <w:color w:val="000000"/>
          <w:sz w:val="26"/>
          <w:szCs w:val="26"/>
        </w:rPr>
        <w:t>of</w:t>
      </w:r>
      <w:proofErr w:type="spellEnd"/>
      <w:r w:rsidRPr="005D69D0">
        <w:rPr>
          <w:rFonts w:ascii="Times New Roman" w:hAnsi="Times New Roman"/>
          <w:i/>
          <w:color w:val="000000"/>
          <w:sz w:val="26"/>
          <w:szCs w:val="26"/>
        </w:rPr>
        <w:t xml:space="preserve"> </w:t>
      </w:r>
      <w:proofErr w:type="spellStart"/>
      <w:r w:rsidRPr="005D69D0">
        <w:rPr>
          <w:rFonts w:ascii="Times New Roman" w:hAnsi="Times New Roman"/>
          <w:i/>
          <w:color w:val="000000"/>
          <w:sz w:val="26"/>
          <w:szCs w:val="26"/>
        </w:rPr>
        <w:t>Science</w:t>
      </w:r>
      <w:proofErr w:type="spellEnd"/>
      <w:r w:rsidRPr="005D69D0">
        <w:rPr>
          <w:rFonts w:ascii="Times New Roman" w:hAnsi="Times New Roman"/>
          <w:color w:val="000000"/>
          <w:sz w:val="26"/>
          <w:szCs w:val="26"/>
        </w:rPr>
        <w:t xml:space="preserve">, </w:t>
      </w:r>
      <w:r w:rsidRPr="005D69D0">
        <w:rPr>
          <w:rFonts w:ascii="Times New Roman" w:hAnsi="Times New Roman"/>
          <w:i/>
          <w:color w:val="000000"/>
          <w:sz w:val="26"/>
          <w:szCs w:val="26"/>
        </w:rPr>
        <w:t>SCOPUS</w:t>
      </w:r>
      <w:r w:rsidRPr="005D69D0">
        <w:rPr>
          <w:rFonts w:ascii="Times New Roman" w:hAnsi="Times New Roman"/>
          <w:color w:val="000000"/>
          <w:sz w:val="26"/>
          <w:szCs w:val="26"/>
        </w:rPr>
        <w:t xml:space="preserve"> vai </w:t>
      </w:r>
      <w:r w:rsidRPr="005D69D0">
        <w:rPr>
          <w:rFonts w:ascii="Times New Roman" w:hAnsi="Times New Roman"/>
          <w:i/>
          <w:color w:val="000000"/>
          <w:sz w:val="26"/>
          <w:szCs w:val="26"/>
        </w:rPr>
        <w:t>ERIH</w:t>
      </w:r>
      <w:r w:rsidRPr="005D69D0">
        <w:rPr>
          <w:rFonts w:ascii="Times New Roman" w:hAnsi="Times New Roman"/>
          <w:color w:val="000000"/>
          <w:sz w:val="26"/>
          <w:szCs w:val="26"/>
        </w:rPr>
        <w:t xml:space="preserve"> (A vai B) datubāzēs vai plaši izplatīti tādā tehniskā vai zinātniskā konferencē, kuras konferenču rakstu krājums indeksēts </w:t>
      </w:r>
      <w:r w:rsidRPr="005D69D0">
        <w:rPr>
          <w:rFonts w:ascii="Times New Roman" w:hAnsi="Times New Roman"/>
          <w:i/>
          <w:color w:val="000000"/>
          <w:sz w:val="26"/>
          <w:szCs w:val="26"/>
        </w:rPr>
        <w:t xml:space="preserve">Web </w:t>
      </w:r>
      <w:proofErr w:type="spellStart"/>
      <w:r w:rsidRPr="005D69D0">
        <w:rPr>
          <w:rFonts w:ascii="Times New Roman" w:hAnsi="Times New Roman"/>
          <w:i/>
          <w:color w:val="000000"/>
          <w:sz w:val="26"/>
          <w:szCs w:val="26"/>
        </w:rPr>
        <w:t>of</w:t>
      </w:r>
      <w:proofErr w:type="spellEnd"/>
      <w:r w:rsidRPr="005D69D0">
        <w:rPr>
          <w:rFonts w:ascii="Times New Roman" w:hAnsi="Times New Roman"/>
          <w:i/>
          <w:color w:val="000000"/>
          <w:sz w:val="26"/>
          <w:szCs w:val="26"/>
        </w:rPr>
        <w:t xml:space="preserve"> </w:t>
      </w:r>
      <w:proofErr w:type="spellStart"/>
      <w:r w:rsidRPr="005D69D0">
        <w:rPr>
          <w:rFonts w:ascii="Times New Roman" w:hAnsi="Times New Roman"/>
          <w:i/>
          <w:color w:val="000000"/>
          <w:sz w:val="26"/>
          <w:szCs w:val="26"/>
        </w:rPr>
        <w:t>Science</w:t>
      </w:r>
      <w:proofErr w:type="spellEnd"/>
      <w:r w:rsidRPr="005D69D0">
        <w:rPr>
          <w:rFonts w:ascii="Times New Roman" w:hAnsi="Times New Roman"/>
          <w:color w:val="000000"/>
          <w:sz w:val="26"/>
          <w:szCs w:val="26"/>
        </w:rPr>
        <w:t xml:space="preserve">, </w:t>
      </w:r>
      <w:r w:rsidRPr="005D69D0">
        <w:rPr>
          <w:rFonts w:ascii="Times New Roman" w:hAnsi="Times New Roman"/>
          <w:i/>
          <w:color w:val="000000"/>
          <w:sz w:val="26"/>
          <w:szCs w:val="26"/>
        </w:rPr>
        <w:t>SCOPUS</w:t>
      </w:r>
      <w:r w:rsidRPr="005D69D0">
        <w:rPr>
          <w:rFonts w:ascii="Times New Roman" w:hAnsi="Times New Roman"/>
          <w:color w:val="000000"/>
          <w:sz w:val="26"/>
          <w:szCs w:val="26"/>
        </w:rPr>
        <w:t xml:space="preserve"> vai </w:t>
      </w:r>
      <w:r w:rsidRPr="005D69D0">
        <w:rPr>
          <w:rFonts w:ascii="Times New Roman" w:hAnsi="Times New Roman"/>
          <w:i/>
          <w:color w:val="000000"/>
          <w:sz w:val="26"/>
          <w:szCs w:val="26"/>
        </w:rPr>
        <w:t>ERIH</w:t>
      </w:r>
      <w:r w:rsidRPr="005D69D0">
        <w:rPr>
          <w:rFonts w:ascii="Times New Roman" w:hAnsi="Times New Roman"/>
          <w:color w:val="000000"/>
          <w:sz w:val="26"/>
          <w:szCs w:val="26"/>
        </w:rPr>
        <w:t xml:space="preserve"> (A vai B) datubāzēs.”</w:t>
      </w:r>
    </w:p>
    <w:p w:rsidR="00A244E5" w:rsidRPr="005D69D0" w:rsidRDefault="000322EF"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A244E5" w:rsidRPr="005D69D0">
        <w:rPr>
          <w:rFonts w:ascii="Times New Roman" w:hAnsi="Times New Roman"/>
          <w:color w:val="000000"/>
          <w:sz w:val="26"/>
          <w:szCs w:val="26"/>
        </w:rPr>
        <w:t>zteikt 36.punktu šādā redakcijā:</w:t>
      </w:r>
    </w:p>
    <w:p w:rsidR="00A244E5" w:rsidRPr="005D69D0" w:rsidRDefault="00A244E5" w:rsidP="00E037E9">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w:t>
      </w:r>
      <w:r w:rsidR="001F3262" w:rsidRPr="005D69D0">
        <w:rPr>
          <w:rFonts w:ascii="Times New Roman" w:hAnsi="Times New Roman"/>
          <w:color w:val="000000"/>
          <w:sz w:val="26"/>
          <w:szCs w:val="26"/>
        </w:rPr>
        <w:t xml:space="preserve">36. </w:t>
      </w:r>
      <w:r w:rsidR="00E037E9" w:rsidRPr="005D69D0">
        <w:rPr>
          <w:rFonts w:ascii="Times New Roman" w:hAnsi="Times New Roman"/>
          <w:color w:val="000000"/>
          <w:sz w:val="26"/>
          <w:szCs w:val="26"/>
        </w:rPr>
        <w:t xml:space="preserve">Maksimāli pieļaujamais publiskā finansējuma apmērs vienam projekta iesniegumam ir </w:t>
      </w:r>
      <w:r w:rsidR="008B2F21" w:rsidRPr="005D69D0">
        <w:rPr>
          <w:rFonts w:ascii="Times New Roman" w:hAnsi="Times New Roman"/>
          <w:color w:val="000000"/>
          <w:sz w:val="26"/>
          <w:szCs w:val="26"/>
        </w:rPr>
        <w:t>11 738</w:t>
      </w:r>
      <w:r w:rsidR="000322EF" w:rsidRPr="005D69D0">
        <w:rPr>
          <w:rFonts w:ascii="Times New Roman" w:hAnsi="Times New Roman"/>
          <w:color w:val="000000"/>
          <w:sz w:val="26"/>
          <w:szCs w:val="26"/>
        </w:rPr>
        <w:t> </w:t>
      </w:r>
      <w:r w:rsidR="008B2F21" w:rsidRPr="005D69D0">
        <w:rPr>
          <w:rFonts w:ascii="Times New Roman" w:hAnsi="Times New Roman"/>
          <w:color w:val="000000"/>
          <w:sz w:val="26"/>
          <w:szCs w:val="26"/>
        </w:rPr>
        <w:t>69</w:t>
      </w:r>
      <w:r w:rsidR="000301BB" w:rsidRPr="005D69D0">
        <w:rPr>
          <w:rFonts w:ascii="Times New Roman" w:hAnsi="Times New Roman"/>
          <w:color w:val="000000"/>
          <w:sz w:val="26"/>
          <w:szCs w:val="26"/>
        </w:rPr>
        <w:t>3</w:t>
      </w:r>
      <w:r w:rsidR="000322EF" w:rsidRPr="005D69D0">
        <w:rPr>
          <w:rFonts w:ascii="Times New Roman" w:hAnsi="Times New Roman"/>
          <w:color w:val="000000"/>
          <w:sz w:val="26"/>
          <w:szCs w:val="26"/>
        </w:rPr>
        <w:t xml:space="preserve"> </w:t>
      </w:r>
      <w:proofErr w:type="spellStart"/>
      <w:r w:rsidR="000322EF" w:rsidRPr="005D69D0">
        <w:rPr>
          <w:rFonts w:ascii="Times New Roman" w:hAnsi="Times New Roman"/>
          <w:i/>
          <w:color w:val="000000"/>
          <w:sz w:val="26"/>
          <w:szCs w:val="26"/>
        </w:rPr>
        <w:t>euro</w:t>
      </w:r>
      <w:proofErr w:type="spellEnd"/>
      <w:r w:rsidR="00E037E9" w:rsidRPr="005D69D0">
        <w:rPr>
          <w:rFonts w:ascii="Times New Roman" w:hAnsi="Times New Roman"/>
          <w:color w:val="000000"/>
          <w:sz w:val="26"/>
          <w:szCs w:val="26"/>
        </w:rPr>
        <w:t xml:space="preserve">, no tā maksimāli pieļaujamais publiskā finansējuma apmērs projekta vadības izmaksu segšanai ir </w:t>
      </w:r>
      <w:r w:rsidR="00874610" w:rsidRPr="005D69D0">
        <w:rPr>
          <w:rFonts w:ascii="Times New Roman" w:hAnsi="Times New Roman"/>
          <w:color w:val="000000"/>
          <w:sz w:val="26"/>
          <w:szCs w:val="26"/>
        </w:rPr>
        <w:t xml:space="preserve">66 667 </w:t>
      </w:r>
      <w:proofErr w:type="spellStart"/>
      <w:r w:rsidR="000322EF" w:rsidRPr="005D69D0">
        <w:rPr>
          <w:rFonts w:ascii="Times New Roman" w:hAnsi="Times New Roman"/>
          <w:i/>
          <w:color w:val="000000"/>
          <w:sz w:val="26"/>
          <w:szCs w:val="26"/>
        </w:rPr>
        <w:t>euro</w:t>
      </w:r>
      <w:proofErr w:type="spellEnd"/>
      <w:r w:rsidR="000322EF" w:rsidRPr="005D69D0">
        <w:rPr>
          <w:rFonts w:ascii="Times New Roman" w:hAnsi="Times New Roman"/>
          <w:i/>
          <w:color w:val="000000"/>
          <w:sz w:val="26"/>
          <w:szCs w:val="26"/>
        </w:rPr>
        <w:t xml:space="preserve"> </w:t>
      </w:r>
      <w:r w:rsidR="00E037E9" w:rsidRPr="005D69D0">
        <w:rPr>
          <w:rFonts w:ascii="Times New Roman" w:hAnsi="Times New Roman"/>
          <w:color w:val="000000"/>
          <w:sz w:val="26"/>
          <w:szCs w:val="26"/>
        </w:rPr>
        <w:t xml:space="preserve">gadā. Maksimāli pieļaujamais publiskā finansējuma apmērs vienam pētījumam nav noteikts. Maksimāli pieļaujamais publiskā finansējuma apmērs visiem individuālajiem pētījumiem, kurus īsteno sadarbības partnera saistīto personu grupa, ir </w:t>
      </w:r>
      <w:r w:rsidR="00874610" w:rsidRPr="005D69D0">
        <w:rPr>
          <w:rFonts w:ascii="Times New Roman" w:hAnsi="Times New Roman"/>
          <w:color w:val="000000"/>
          <w:sz w:val="26"/>
          <w:szCs w:val="26"/>
        </w:rPr>
        <w:t>2 223 23</w:t>
      </w:r>
      <w:r w:rsidR="000301BB" w:rsidRPr="005D69D0">
        <w:rPr>
          <w:rFonts w:ascii="Times New Roman" w:hAnsi="Times New Roman"/>
          <w:color w:val="000000"/>
          <w:sz w:val="26"/>
          <w:szCs w:val="26"/>
        </w:rPr>
        <w:t>8</w:t>
      </w:r>
      <w:r w:rsidR="00557CCA" w:rsidRPr="005D69D0">
        <w:rPr>
          <w:rFonts w:ascii="Times New Roman" w:hAnsi="Times New Roman"/>
          <w:color w:val="000000"/>
          <w:sz w:val="26"/>
          <w:szCs w:val="26"/>
        </w:rPr>
        <w:t xml:space="preserve"> </w:t>
      </w:r>
      <w:proofErr w:type="spellStart"/>
      <w:r w:rsidR="00557CCA" w:rsidRPr="005D69D0">
        <w:rPr>
          <w:rFonts w:ascii="Times New Roman" w:hAnsi="Times New Roman"/>
          <w:i/>
          <w:color w:val="000000"/>
          <w:sz w:val="26"/>
          <w:szCs w:val="26"/>
        </w:rPr>
        <w:t>euro</w:t>
      </w:r>
      <w:proofErr w:type="spellEnd"/>
      <w:r w:rsidR="00E037E9" w:rsidRPr="005D69D0">
        <w:rPr>
          <w:rFonts w:ascii="Times New Roman" w:hAnsi="Times New Roman"/>
          <w:color w:val="000000"/>
          <w:sz w:val="26"/>
          <w:szCs w:val="26"/>
        </w:rPr>
        <w:t>, bet ne vairāk kā 25 % no projektam apstiprinātā publiskā finansējuma apmēra.</w:t>
      </w:r>
      <w:r w:rsidRPr="005D69D0">
        <w:rPr>
          <w:rFonts w:ascii="Times New Roman" w:hAnsi="Times New Roman"/>
          <w:color w:val="000000"/>
          <w:sz w:val="26"/>
          <w:szCs w:val="26"/>
        </w:rPr>
        <w:t>”</w:t>
      </w:r>
    </w:p>
    <w:p w:rsidR="007B486B" w:rsidRPr="005D69D0" w:rsidRDefault="00804A0F" w:rsidP="00E87519">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Aizstāt</w:t>
      </w:r>
      <w:r w:rsidR="007B486B" w:rsidRPr="005D69D0">
        <w:rPr>
          <w:rFonts w:ascii="Times New Roman" w:hAnsi="Times New Roman"/>
          <w:color w:val="000000"/>
          <w:sz w:val="26"/>
          <w:szCs w:val="26"/>
        </w:rPr>
        <w:t xml:space="preserve"> 37.punkt</w:t>
      </w:r>
      <w:r w:rsidR="00E87519" w:rsidRPr="005D69D0">
        <w:rPr>
          <w:rFonts w:ascii="Times New Roman" w:hAnsi="Times New Roman"/>
          <w:color w:val="000000"/>
          <w:sz w:val="26"/>
          <w:szCs w:val="26"/>
        </w:rPr>
        <w:t xml:space="preserve">ā vārdus un skaitļus „Komisijas regulas </w:t>
      </w:r>
      <w:proofErr w:type="spellStart"/>
      <w:r w:rsidR="00E87519" w:rsidRPr="005D69D0">
        <w:rPr>
          <w:rFonts w:ascii="Times New Roman" w:hAnsi="Times New Roman"/>
          <w:color w:val="000000"/>
          <w:sz w:val="26"/>
          <w:szCs w:val="26"/>
        </w:rPr>
        <w:t>Nr</w:t>
      </w:r>
      <w:proofErr w:type="spellEnd"/>
      <w:r w:rsidR="00E87519" w:rsidRPr="005D69D0">
        <w:rPr>
          <w:rFonts w:ascii="Times New Roman" w:hAnsi="Times New Roman"/>
          <w:color w:val="000000"/>
          <w:sz w:val="26"/>
          <w:szCs w:val="26"/>
        </w:rPr>
        <w:t xml:space="preserve">. 800/2008 2.panta 8.punktā” ar vārdiem un skaitļiem „Komisijas regulas </w:t>
      </w:r>
      <w:proofErr w:type="spellStart"/>
      <w:r w:rsidR="00E87519" w:rsidRPr="005D69D0">
        <w:rPr>
          <w:rFonts w:ascii="Times New Roman" w:hAnsi="Times New Roman"/>
          <w:color w:val="000000"/>
          <w:sz w:val="26"/>
          <w:szCs w:val="26"/>
        </w:rPr>
        <w:t>Nr</w:t>
      </w:r>
      <w:proofErr w:type="spellEnd"/>
      <w:r w:rsidR="00E87519" w:rsidRPr="005D69D0">
        <w:rPr>
          <w:rFonts w:ascii="Times New Roman" w:hAnsi="Times New Roman"/>
          <w:color w:val="000000"/>
          <w:sz w:val="26"/>
          <w:szCs w:val="26"/>
        </w:rPr>
        <w:t>. 651/2014 2.panta 24.punktā”.</w:t>
      </w:r>
    </w:p>
    <w:p w:rsidR="006E4653" w:rsidRPr="005D69D0" w:rsidRDefault="00AB6ECF"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lastRenderedPageBreak/>
        <w:t>Svītrot 38.</w:t>
      </w:r>
      <w:r w:rsidRPr="005D69D0">
        <w:rPr>
          <w:rFonts w:ascii="Times New Roman" w:hAnsi="Times New Roman"/>
          <w:color w:val="000000"/>
          <w:sz w:val="26"/>
          <w:szCs w:val="26"/>
          <w:vertAlign w:val="superscript"/>
        </w:rPr>
        <w:t>1</w:t>
      </w:r>
      <w:r w:rsidR="00756D88" w:rsidRPr="005D69D0">
        <w:rPr>
          <w:rFonts w:ascii="Times New Roman" w:hAnsi="Times New Roman"/>
          <w:color w:val="000000"/>
          <w:sz w:val="26"/>
          <w:szCs w:val="26"/>
        </w:rPr>
        <w:t xml:space="preserve"> </w:t>
      </w:r>
      <w:r w:rsidRPr="005D69D0">
        <w:rPr>
          <w:rFonts w:ascii="Times New Roman" w:hAnsi="Times New Roman"/>
          <w:color w:val="000000"/>
          <w:sz w:val="26"/>
          <w:szCs w:val="26"/>
        </w:rPr>
        <w:t>punktu.</w:t>
      </w:r>
    </w:p>
    <w:p w:rsidR="007112BA" w:rsidRPr="005D69D0" w:rsidRDefault="007112BA" w:rsidP="004F7210">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Papildināt ar 38.</w:t>
      </w:r>
      <w:r w:rsidRPr="005D69D0">
        <w:rPr>
          <w:rFonts w:ascii="Times New Roman" w:hAnsi="Times New Roman"/>
          <w:color w:val="000000"/>
          <w:sz w:val="26"/>
          <w:szCs w:val="26"/>
          <w:vertAlign w:val="superscript"/>
        </w:rPr>
        <w:t>2</w:t>
      </w:r>
      <w:r w:rsidRPr="005D69D0">
        <w:rPr>
          <w:rFonts w:ascii="Times New Roman" w:hAnsi="Times New Roman"/>
          <w:color w:val="000000"/>
          <w:sz w:val="26"/>
          <w:szCs w:val="26"/>
        </w:rPr>
        <w:t xml:space="preserve"> punktu šādā redakcijā:</w:t>
      </w:r>
    </w:p>
    <w:p w:rsidR="007112BA" w:rsidRPr="005D69D0" w:rsidRDefault="007112BA" w:rsidP="005D69D0">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„38.</w:t>
      </w:r>
      <w:r w:rsidRPr="005D69D0">
        <w:rPr>
          <w:rFonts w:ascii="Times New Roman" w:hAnsi="Times New Roman"/>
          <w:color w:val="000000"/>
          <w:sz w:val="26"/>
          <w:szCs w:val="26"/>
          <w:vertAlign w:val="superscript"/>
        </w:rPr>
        <w:t>2</w:t>
      </w:r>
      <w:r w:rsidRPr="005D69D0">
        <w:rPr>
          <w:rFonts w:ascii="Times New Roman" w:hAnsi="Times New Roman"/>
          <w:color w:val="000000"/>
          <w:sz w:val="26"/>
          <w:szCs w:val="26"/>
        </w:rPr>
        <w:t xml:space="preserve"> </w:t>
      </w:r>
      <w:r w:rsidR="00263134" w:rsidRPr="005D69D0">
        <w:rPr>
          <w:rFonts w:ascii="Times New Roman" w:hAnsi="Times New Roman"/>
          <w:color w:val="000000"/>
          <w:sz w:val="26"/>
          <w:szCs w:val="26"/>
        </w:rPr>
        <w:t>Atbalstu, kas tiek sniegts šo noteikumu ietvaros var apvienot ar atbalstu, kas tiek sniegts saskaņā ar Komisijas regulas Nr.651/2014 21., 22. un 23.pantu un kura izmaksas nav nosakāmas, pie nosacījuma, ka netiek pārsniegta pieļaujamā kopējā finansējuma summa vai intensitāte, kas noteikta šajos noteikumos.</w:t>
      </w:r>
      <w:r w:rsidRPr="005D69D0">
        <w:rPr>
          <w:rFonts w:ascii="Times New Roman" w:hAnsi="Times New Roman"/>
          <w:color w:val="000000"/>
          <w:sz w:val="26"/>
          <w:szCs w:val="26"/>
        </w:rPr>
        <w:t>”</w:t>
      </w:r>
    </w:p>
    <w:p w:rsidR="00E037E9" w:rsidRPr="005D69D0" w:rsidRDefault="00944574" w:rsidP="00226079">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Aizstāt</w:t>
      </w:r>
      <w:r w:rsidR="00E037E9" w:rsidRPr="005D69D0">
        <w:rPr>
          <w:rFonts w:ascii="Times New Roman" w:hAnsi="Times New Roman"/>
          <w:color w:val="000000"/>
          <w:sz w:val="26"/>
          <w:szCs w:val="26"/>
        </w:rPr>
        <w:t xml:space="preserve"> 69.</w:t>
      </w:r>
      <w:r w:rsidR="00E037E9" w:rsidRPr="005D69D0">
        <w:rPr>
          <w:rFonts w:ascii="Times New Roman" w:hAnsi="Times New Roman"/>
          <w:color w:val="000000"/>
          <w:sz w:val="26"/>
          <w:szCs w:val="26"/>
          <w:vertAlign w:val="superscript"/>
        </w:rPr>
        <w:t>3</w:t>
      </w:r>
      <w:r w:rsidR="00E037E9" w:rsidRPr="005D69D0">
        <w:rPr>
          <w:rFonts w:ascii="Times New Roman" w:hAnsi="Times New Roman"/>
          <w:color w:val="000000"/>
          <w:sz w:val="26"/>
          <w:szCs w:val="26"/>
        </w:rPr>
        <w:t xml:space="preserve"> punkt</w:t>
      </w:r>
      <w:r w:rsidRPr="005D69D0">
        <w:rPr>
          <w:rFonts w:ascii="Times New Roman" w:hAnsi="Times New Roman"/>
          <w:color w:val="000000"/>
          <w:sz w:val="26"/>
          <w:szCs w:val="26"/>
        </w:rPr>
        <w:t>ā skaitli un vārdu „</w:t>
      </w:r>
      <w:r w:rsidR="00226079" w:rsidRPr="005D69D0">
        <w:rPr>
          <w:rFonts w:ascii="Times New Roman" w:hAnsi="Times New Roman"/>
          <w:color w:val="000000"/>
          <w:sz w:val="26"/>
          <w:szCs w:val="26"/>
        </w:rPr>
        <w:t>2 000 000 latu</w:t>
      </w:r>
      <w:r w:rsidRPr="005D69D0">
        <w:rPr>
          <w:rFonts w:ascii="Times New Roman" w:hAnsi="Times New Roman"/>
          <w:color w:val="000000"/>
          <w:sz w:val="26"/>
          <w:szCs w:val="26"/>
        </w:rPr>
        <w:t>” ar skaitli un vārdu „</w:t>
      </w:r>
      <w:r w:rsidR="002D1A27" w:rsidRPr="005D69D0">
        <w:rPr>
          <w:rFonts w:ascii="Times New Roman" w:hAnsi="Times New Roman"/>
          <w:color w:val="000000"/>
          <w:sz w:val="26"/>
          <w:szCs w:val="26"/>
        </w:rPr>
        <w:t>2 845 744</w:t>
      </w:r>
      <w:r w:rsidR="002D1A27" w:rsidRPr="005D69D0">
        <w:rPr>
          <w:rFonts w:ascii="Times New Roman" w:hAnsi="Times New Roman"/>
          <w:b/>
          <w:color w:val="000000"/>
          <w:sz w:val="26"/>
          <w:szCs w:val="26"/>
        </w:rPr>
        <w:t xml:space="preserve"> </w:t>
      </w:r>
      <w:proofErr w:type="spellStart"/>
      <w:r w:rsidR="002D1A27"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 kā arī skaitli un vārdu „</w:t>
      </w:r>
      <w:r w:rsidR="00226079" w:rsidRPr="005D69D0">
        <w:rPr>
          <w:rFonts w:ascii="Times New Roman" w:hAnsi="Times New Roman"/>
          <w:color w:val="000000"/>
          <w:sz w:val="26"/>
          <w:szCs w:val="26"/>
        </w:rPr>
        <w:t>8 250 000 latu</w:t>
      </w:r>
      <w:r w:rsidRPr="005D69D0">
        <w:rPr>
          <w:rFonts w:ascii="Times New Roman" w:hAnsi="Times New Roman"/>
          <w:color w:val="000000"/>
          <w:sz w:val="26"/>
          <w:szCs w:val="26"/>
        </w:rPr>
        <w:t>” ar skaitli un vārdu „</w:t>
      </w:r>
      <w:r w:rsidR="002D1A27" w:rsidRPr="005D69D0">
        <w:rPr>
          <w:rFonts w:ascii="Times New Roman" w:hAnsi="Times New Roman"/>
          <w:color w:val="000000"/>
          <w:sz w:val="26"/>
          <w:szCs w:val="26"/>
        </w:rPr>
        <w:t>11 738 69</w:t>
      </w:r>
      <w:r w:rsidR="000301BB" w:rsidRPr="005D69D0">
        <w:rPr>
          <w:rFonts w:ascii="Times New Roman" w:hAnsi="Times New Roman"/>
          <w:color w:val="000000"/>
          <w:sz w:val="26"/>
          <w:szCs w:val="26"/>
        </w:rPr>
        <w:t>3</w:t>
      </w:r>
      <w:r w:rsidR="002D1A27" w:rsidRPr="005D69D0">
        <w:rPr>
          <w:rFonts w:ascii="Times New Roman" w:hAnsi="Times New Roman"/>
          <w:color w:val="000000"/>
          <w:sz w:val="26"/>
          <w:szCs w:val="26"/>
        </w:rPr>
        <w:t xml:space="preserve"> </w:t>
      </w:r>
      <w:proofErr w:type="spellStart"/>
      <w:r w:rsidR="002D1A27"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p>
    <w:p w:rsidR="00B523D8" w:rsidRPr="005D69D0" w:rsidRDefault="00DE50F2" w:rsidP="00BD5597">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w:t>
      </w:r>
      <w:r w:rsidR="00B523D8" w:rsidRPr="005D69D0">
        <w:rPr>
          <w:rFonts w:ascii="Times New Roman" w:hAnsi="Times New Roman"/>
          <w:color w:val="000000"/>
          <w:sz w:val="26"/>
          <w:szCs w:val="26"/>
        </w:rPr>
        <w:t>zteikt 76.punktu šādā redakcijā:</w:t>
      </w:r>
    </w:p>
    <w:p w:rsidR="00063FD3" w:rsidRPr="005D69D0" w:rsidRDefault="00B523D8" w:rsidP="00B523D8">
      <w:p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„76. </w:t>
      </w:r>
      <w:r w:rsidR="003B0AAB" w:rsidRPr="005D69D0">
        <w:rPr>
          <w:rFonts w:ascii="Times New Roman" w:hAnsi="Times New Roman"/>
          <w:color w:val="000000"/>
          <w:sz w:val="26"/>
          <w:szCs w:val="26"/>
        </w:rPr>
        <w:t xml:space="preserve">Projekta īstenošanas laikā kompetences centrs var saņemt vairākus avansa maksājumus. </w:t>
      </w:r>
      <w:r w:rsidR="007A0A30" w:rsidRPr="005D69D0">
        <w:rPr>
          <w:rFonts w:ascii="Times New Roman" w:hAnsi="Times New Roman"/>
          <w:color w:val="000000"/>
          <w:sz w:val="26"/>
          <w:szCs w:val="26"/>
        </w:rPr>
        <w:t>Jauns a</w:t>
      </w:r>
      <w:r w:rsidR="00C14010" w:rsidRPr="005D69D0">
        <w:rPr>
          <w:rFonts w:ascii="Times New Roman" w:hAnsi="Times New Roman"/>
          <w:color w:val="000000"/>
          <w:sz w:val="26"/>
          <w:szCs w:val="26"/>
        </w:rPr>
        <w:t xml:space="preserve">vanss tiek izsniegts, </w:t>
      </w:r>
      <w:r w:rsidR="007C4BA8" w:rsidRPr="005D69D0">
        <w:rPr>
          <w:rFonts w:ascii="Times New Roman" w:hAnsi="Times New Roman"/>
          <w:color w:val="000000"/>
          <w:sz w:val="26"/>
          <w:szCs w:val="26"/>
        </w:rPr>
        <w:t xml:space="preserve">ja kompetences centrs ir iesniedzis sadarbības iestādē maksājuma pieprasījumus vismaz 95% apmērā no izsniegtā avansa apjoma un, </w:t>
      </w:r>
      <w:r w:rsidR="00C14010" w:rsidRPr="005D69D0">
        <w:rPr>
          <w:rFonts w:ascii="Times New Roman" w:hAnsi="Times New Roman"/>
          <w:color w:val="000000"/>
          <w:sz w:val="26"/>
          <w:szCs w:val="26"/>
        </w:rPr>
        <w:t xml:space="preserve">ja sadarbības iestāde gūst pārliecību par avansa pilnīgas un efektīvas izmantošanas iespējām izdevumu </w:t>
      </w:r>
      <w:proofErr w:type="spellStart"/>
      <w:r w:rsidR="00C14010" w:rsidRPr="005D69D0">
        <w:rPr>
          <w:rFonts w:ascii="Times New Roman" w:hAnsi="Times New Roman"/>
          <w:color w:val="000000"/>
          <w:sz w:val="26"/>
          <w:szCs w:val="26"/>
        </w:rPr>
        <w:t>attiecināmības</w:t>
      </w:r>
      <w:proofErr w:type="spellEnd"/>
      <w:r w:rsidR="00C14010" w:rsidRPr="005D69D0">
        <w:rPr>
          <w:rFonts w:ascii="Times New Roman" w:hAnsi="Times New Roman"/>
          <w:color w:val="000000"/>
          <w:sz w:val="26"/>
          <w:szCs w:val="26"/>
        </w:rPr>
        <w:t xml:space="preserve"> periodā.</w:t>
      </w:r>
      <w:r w:rsidR="00783711" w:rsidRPr="005D69D0">
        <w:rPr>
          <w:rFonts w:ascii="Times New Roman" w:hAnsi="Times New Roman"/>
          <w:color w:val="000000"/>
          <w:sz w:val="26"/>
          <w:szCs w:val="26"/>
        </w:rPr>
        <w:t xml:space="preserve"> </w:t>
      </w:r>
      <w:r w:rsidR="003B0AAB" w:rsidRPr="005D69D0">
        <w:rPr>
          <w:rFonts w:ascii="Times New Roman" w:hAnsi="Times New Roman"/>
          <w:color w:val="000000"/>
          <w:sz w:val="26"/>
          <w:szCs w:val="26"/>
        </w:rPr>
        <w:t>Lai saņemtu avansa maksājumu, kompetences centr</w:t>
      </w:r>
      <w:r w:rsidR="00FA2290" w:rsidRPr="005D69D0">
        <w:rPr>
          <w:rFonts w:ascii="Times New Roman" w:hAnsi="Times New Roman"/>
          <w:color w:val="000000"/>
          <w:sz w:val="26"/>
          <w:szCs w:val="26"/>
        </w:rPr>
        <w:t>am ir šādas iespējas</w:t>
      </w:r>
      <w:r w:rsidR="003F6172" w:rsidRPr="005D69D0">
        <w:rPr>
          <w:rFonts w:ascii="Times New Roman" w:hAnsi="Times New Roman"/>
          <w:color w:val="000000"/>
          <w:sz w:val="26"/>
          <w:szCs w:val="26"/>
        </w:rPr>
        <w:t>:</w:t>
      </w:r>
    </w:p>
    <w:p w:rsidR="00B523D8" w:rsidRPr="005D69D0" w:rsidRDefault="003B0AAB" w:rsidP="005D69D0">
      <w:pPr>
        <w:pStyle w:val="ListParagraph"/>
        <w:numPr>
          <w:ilvl w:val="1"/>
          <w:numId w:val="12"/>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iesnie</w:t>
      </w:r>
      <w:r w:rsidR="00FA2290" w:rsidRPr="005D69D0">
        <w:rPr>
          <w:rFonts w:ascii="Times New Roman" w:hAnsi="Times New Roman"/>
          <w:color w:val="000000"/>
          <w:sz w:val="26"/>
          <w:szCs w:val="26"/>
        </w:rPr>
        <w:t>gt</w:t>
      </w:r>
      <w:r w:rsidRPr="005D69D0">
        <w:rPr>
          <w:rFonts w:ascii="Times New Roman" w:hAnsi="Times New Roman"/>
          <w:color w:val="000000"/>
          <w:sz w:val="26"/>
          <w:szCs w:val="26"/>
        </w:rPr>
        <w:t xml:space="preserve"> sadarbības iestādē bankas garantiju par avansa summu. Bankas garantijas termiņš </w:t>
      </w:r>
      <w:r w:rsidR="00C724FB" w:rsidRPr="005D69D0">
        <w:rPr>
          <w:rFonts w:ascii="Times New Roman" w:hAnsi="Times New Roman"/>
          <w:color w:val="000000"/>
          <w:sz w:val="26"/>
          <w:szCs w:val="26"/>
        </w:rPr>
        <w:t xml:space="preserve">ir līdz 2016.gada </w:t>
      </w:r>
      <w:r w:rsidR="000D7029" w:rsidRPr="005D69D0">
        <w:rPr>
          <w:rFonts w:ascii="Times New Roman" w:hAnsi="Times New Roman"/>
          <w:color w:val="000000"/>
          <w:sz w:val="26"/>
          <w:szCs w:val="26"/>
        </w:rPr>
        <w:t>15.martam</w:t>
      </w:r>
      <w:r w:rsidR="00B523D8" w:rsidRPr="005D69D0">
        <w:rPr>
          <w:rFonts w:ascii="Times New Roman" w:hAnsi="Times New Roman"/>
          <w:color w:val="000000"/>
          <w:sz w:val="26"/>
          <w:szCs w:val="26"/>
        </w:rPr>
        <w:t>.”;</w:t>
      </w:r>
    </w:p>
    <w:p w:rsidR="00063FD3" w:rsidRPr="005D69D0" w:rsidRDefault="00063FD3" w:rsidP="005D69D0">
      <w:pPr>
        <w:pStyle w:val="ListParagraph"/>
        <w:numPr>
          <w:ilvl w:val="1"/>
          <w:numId w:val="12"/>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 xml:space="preserve"> </w:t>
      </w:r>
      <w:r w:rsidR="00FA2290" w:rsidRPr="005D69D0">
        <w:rPr>
          <w:rFonts w:ascii="Times New Roman" w:hAnsi="Times New Roman"/>
          <w:color w:val="000000"/>
          <w:sz w:val="26"/>
          <w:szCs w:val="26"/>
        </w:rPr>
        <w:t>atvē</w:t>
      </w:r>
      <w:r w:rsidRPr="005D69D0">
        <w:rPr>
          <w:rFonts w:ascii="Times New Roman" w:hAnsi="Times New Roman"/>
          <w:color w:val="000000"/>
          <w:sz w:val="26"/>
          <w:szCs w:val="26"/>
        </w:rPr>
        <w:t>r</w:t>
      </w:r>
      <w:r w:rsidR="00FA2290" w:rsidRPr="005D69D0">
        <w:rPr>
          <w:rFonts w:ascii="Times New Roman" w:hAnsi="Times New Roman"/>
          <w:color w:val="000000"/>
          <w:sz w:val="26"/>
          <w:szCs w:val="26"/>
        </w:rPr>
        <w:t>t</w:t>
      </w:r>
      <w:r w:rsidRPr="005D69D0">
        <w:rPr>
          <w:rFonts w:ascii="Times New Roman" w:hAnsi="Times New Roman"/>
          <w:color w:val="000000"/>
          <w:sz w:val="26"/>
          <w:szCs w:val="26"/>
        </w:rPr>
        <w:t xml:space="preserve"> kredītiestādē, kas reģistrējusies kredītiestādes darbības veikšanai Latvijas Republikā, darījumu kontu, uz kuru sadarbības iestāde pārskaita avansu. Sadarbības iestāde, kompetences centrs un kredītiestāde noslēdz trīspusēju līgumu, kurā savstarpēji vienojas par nosacījumiem, lai kompetences centram būtu iespējams saņemt avansa maksājumu. Darījumu kontā iemaksāto summu visu vai pa daļām pārskaita kompetences centram pēc tam, kad sadarbības iestāde ir iesniegusi bankā atbilstošu rīkojumu.</w:t>
      </w:r>
    </w:p>
    <w:p w:rsidR="00E869D6" w:rsidRPr="005D69D0" w:rsidRDefault="00E869D6" w:rsidP="00BD5597">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svītrot 76.</w:t>
      </w:r>
      <w:r w:rsidRPr="005D69D0">
        <w:rPr>
          <w:rFonts w:ascii="Times New Roman" w:hAnsi="Times New Roman"/>
          <w:color w:val="000000"/>
          <w:sz w:val="26"/>
          <w:szCs w:val="26"/>
          <w:vertAlign w:val="superscript"/>
        </w:rPr>
        <w:t>1</w:t>
      </w:r>
      <w:r w:rsidRPr="005D69D0">
        <w:rPr>
          <w:rFonts w:ascii="Times New Roman" w:hAnsi="Times New Roman"/>
          <w:color w:val="000000"/>
          <w:sz w:val="26"/>
          <w:szCs w:val="26"/>
        </w:rPr>
        <w:t xml:space="preserve"> punktu</w:t>
      </w:r>
      <w:r w:rsidR="00DE50F2" w:rsidRPr="005D69D0">
        <w:rPr>
          <w:rFonts w:ascii="Times New Roman" w:hAnsi="Times New Roman"/>
          <w:color w:val="000000"/>
          <w:sz w:val="26"/>
          <w:szCs w:val="26"/>
        </w:rPr>
        <w:t>.</w:t>
      </w:r>
    </w:p>
    <w:p w:rsidR="00BD5597" w:rsidRPr="005D69D0" w:rsidRDefault="0088569C" w:rsidP="00BC1BB3">
      <w:pPr>
        <w:numPr>
          <w:ilvl w:val="0"/>
          <w:numId w:val="6"/>
        </w:numPr>
        <w:spacing w:before="120" w:after="120" w:line="240" w:lineRule="auto"/>
        <w:jc w:val="both"/>
        <w:rPr>
          <w:rFonts w:ascii="Times New Roman" w:hAnsi="Times New Roman"/>
          <w:color w:val="000000"/>
          <w:sz w:val="26"/>
          <w:szCs w:val="26"/>
        </w:rPr>
      </w:pPr>
      <w:r w:rsidRPr="005D69D0">
        <w:rPr>
          <w:rFonts w:ascii="Times New Roman" w:hAnsi="Times New Roman"/>
          <w:color w:val="000000"/>
          <w:sz w:val="26"/>
          <w:szCs w:val="26"/>
        </w:rPr>
        <w:t>Aizstāt 77.punktā skaitli un vārdu „</w:t>
      </w:r>
      <w:r w:rsidR="00BC1BB3" w:rsidRPr="005D69D0">
        <w:rPr>
          <w:rFonts w:ascii="Times New Roman" w:hAnsi="Times New Roman"/>
          <w:color w:val="000000"/>
          <w:sz w:val="26"/>
          <w:szCs w:val="26"/>
        </w:rPr>
        <w:t>200 000 latu</w:t>
      </w:r>
      <w:r w:rsidRPr="005D69D0">
        <w:rPr>
          <w:rFonts w:ascii="Times New Roman" w:hAnsi="Times New Roman"/>
          <w:color w:val="000000"/>
          <w:sz w:val="26"/>
          <w:szCs w:val="26"/>
        </w:rPr>
        <w:t>” ar skaitli un vārdu „</w:t>
      </w:r>
      <w:r w:rsidR="007921F0" w:rsidRPr="005D69D0">
        <w:rPr>
          <w:rFonts w:ascii="Times New Roman" w:hAnsi="Times New Roman"/>
          <w:color w:val="000000"/>
          <w:sz w:val="26"/>
          <w:szCs w:val="26"/>
        </w:rPr>
        <w:t>284 57</w:t>
      </w:r>
      <w:r w:rsidR="003435C0" w:rsidRPr="005D69D0">
        <w:rPr>
          <w:rFonts w:ascii="Times New Roman" w:hAnsi="Times New Roman"/>
          <w:color w:val="000000"/>
          <w:sz w:val="26"/>
          <w:szCs w:val="26"/>
        </w:rPr>
        <w:t>5</w:t>
      </w:r>
      <w:r w:rsidR="007921F0" w:rsidRPr="005D69D0">
        <w:rPr>
          <w:rFonts w:ascii="Times New Roman" w:hAnsi="Times New Roman"/>
          <w:color w:val="000000"/>
          <w:sz w:val="26"/>
          <w:szCs w:val="26"/>
        </w:rPr>
        <w:t xml:space="preserve"> </w:t>
      </w:r>
      <w:proofErr w:type="spellStart"/>
      <w:r w:rsidR="007921F0" w:rsidRPr="005D69D0">
        <w:rPr>
          <w:rFonts w:ascii="Times New Roman" w:hAnsi="Times New Roman"/>
          <w:i/>
          <w:color w:val="000000"/>
          <w:sz w:val="26"/>
          <w:szCs w:val="26"/>
        </w:rPr>
        <w:t>euro</w:t>
      </w:r>
      <w:proofErr w:type="spellEnd"/>
      <w:r w:rsidRPr="005D69D0">
        <w:rPr>
          <w:rFonts w:ascii="Times New Roman" w:hAnsi="Times New Roman"/>
          <w:color w:val="000000"/>
          <w:sz w:val="26"/>
          <w:szCs w:val="26"/>
        </w:rPr>
        <w:t>”.</w:t>
      </w:r>
    </w:p>
    <w:p w:rsidR="00C03C9D" w:rsidRPr="005D69D0" w:rsidRDefault="00C03C9D" w:rsidP="00D8729E">
      <w:pPr>
        <w:numPr>
          <w:ilvl w:val="0"/>
          <w:numId w:val="6"/>
        </w:numPr>
        <w:spacing w:before="120" w:after="120" w:line="240" w:lineRule="auto"/>
        <w:jc w:val="both"/>
        <w:rPr>
          <w:rFonts w:ascii="Times New Roman" w:hAnsi="Times New Roman"/>
          <w:sz w:val="26"/>
          <w:szCs w:val="26"/>
        </w:rPr>
      </w:pPr>
      <w:r w:rsidRPr="005D69D0">
        <w:rPr>
          <w:rFonts w:ascii="Times New Roman" w:hAnsi="Times New Roman"/>
          <w:sz w:val="26"/>
          <w:szCs w:val="26"/>
        </w:rPr>
        <w:t>izteikt 79.punktu šādā redakcijā:</w:t>
      </w:r>
    </w:p>
    <w:p w:rsidR="00C03C9D" w:rsidRPr="005D69D0" w:rsidRDefault="00C03C9D" w:rsidP="00C03C9D">
      <w:pPr>
        <w:spacing w:before="120" w:after="120" w:line="240" w:lineRule="auto"/>
        <w:jc w:val="both"/>
        <w:rPr>
          <w:rFonts w:ascii="Times New Roman" w:hAnsi="Times New Roman"/>
          <w:sz w:val="26"/>
          <w:szCs w:val="26"/>
        </w:rPr>
      </w:pPr>
      <w:r w:rsidRPr="005D69D0">
        <w:rPr>
          <w:rFonts w:ascii="Times New Roman" w:hAnsi="Times New Roman"/>
          <w:sz w:val="26"/>
          <w:szCs w:val="26"/>
        </w:rPr>
        <w:t>„</w:t>
      </w:r>
      <w:r w:rsidR="006A3767" w:rsidRPr="005D69D0">
        <w:rPr>
          <w:rFonts w:ascii="Times New Roman" w:hAnsi="Times New Roman"/>
          <w:sz w:val="26"/>
          <w:szCs w:val="26"/>
        </w:rPr>
        <w:t xml:space="preserve">79. </w:t>
      </w:r>
      <w:r w:rsidRPr="005D69D0">
        <w:rPr>
          <w:rFonts w:ascii="Times New Roman" w:hAnsi="Times New Roman"/>
          <w:sz w:val="26"/>
          <w:szCs w:val="26"/>
        </w:rPr>
        <w:t xml:space="preserve">Kompetences centrs </w:t>
      </w:r>
      <w:r w:rsidR="00FC6864" w:rsidRPr="005D69D0">
        <w:rPr>
          <w:rFonts w:ascii="Times New Roman" w:hAnsi="Times New Roman"/>
          <w:sz w:val="26"/>
          <w:szCs w:val="26"/>
        </w:rPr>
        <w:t xml:space="preserve">projekta īstenošanu pabeidz ne vēlāk kā līdz 2015.gada 31.decembrim un </w:t>
      </w:r>
      <w:r w:rsidRPr="005D69D0">
        <w:rPr>
          <w:rFonts w:ascii="Times New Roman" w:hAnsi="Times New Roman"/>
          <w:sz w:val="26"/>
          <w:szCs w:val="26"/>
        </w:rPr>
        <w:t>15 darbdienu laikā pēc projekta īstenošanas pabeigšanas</w:t>
      </w:r>
      <w:r w:rsidR="00FC6864" w:rsidRPr="005D69D0">
        <w:rPr>
          <w:rFonts w:ascii="Times New Roman" w:hAnsi="Times New Roman"/>
          <w:sz w:val="26"/>
          <w:szCs w:val="26"/>
        </w:rPr>
        <w:t xml:space="preserve"> iesniedz sadarbības iestādē projekta noslēguma pārskatu. </w:t>
      </w:r>
      <w:r w:rsidRPr="005D69D0">
        <w:rPr>
          <w:rFonts w:ascii="Times New Roman" w:hAnsi="Times New Roman"/>
          <w:sz w:val="26"/>
          <w:szCs w:val="26"/>
        </w:rPr>
        <w:t xml:space="preserve">Sadarbības iestāde var pagarināt minēto 15 darbdienu termiņu, bet ne ilgāk kā līdz </w:t>
      </w:r>
      <w:r w:rsidR="00A04D52" w:rsidRPr="005D69D0">
        <w:rPr>
          <w:rFonts w:ascii="Times New Roman" w:hAnsi="Times New Roman"/>
          <w:sz w:val="26"/>
          <w:szCs w:val="26"/>
        </w:rPr>
        <w:t>2016</w:t>
      </w:r>
      <w:r w:rsidRPr="005D69D0">
        <w:rPr>
          <w:rFonts w:ascii="Times New Roman" w:hAnsi="Times New Roman"/>
          <w:sz w:val="26"/>
          <w:szCs w:val="26"/>
        </w:rPr>
        <w:t xml:space="preserve">.gada </w:t>
      </w:r>
      <w:r w:rsidR="00A04D52" w:rsidRPr="005D69D0">
        <w:rPr>
          <w:rFonts w:ascii="Times New Roman" w:hAnsi="Times New Roman"/>
          <w:sz w:val="26"/>
          <w:szCs w:val="26"/>
        </w:rPr>
        <w:t>3</w:t>
      </w:r>
      <w:r w:rsidRPr="005D69D0">
        <w:rPr>
          <w:rFonts w:ascii="Times New Roman" w:hAnsi="Times New Roman"/>
          <w:sz w:val="26"/>
          <w:szCs w:val="26"/>
        </w:rPr>
        <w:t>1.j</w:t>
      </w:r>
      <w:r w:rsidR="00A04D52" w:rsidRPr="005D69D0">
        <w:rPr>
          <w:rFonts w:ascii="Times New Roman" w:hAnsi="Times New Roman"/>
          <w:sz w:val="26"/>
          <w:szCs w:val="26"/>
        </w:rPr>
        <w:t>anvārim</w:t>
      </w:r>
      <w:r w:rsidRPr="005D69D0">
        <w:rPr>
          <w:rFonts w:ascii="Times New Roman" w:hAnsi="Times New Roman"/>
          <w:sz w:val="26"/>
          <w:szCs w:val="26"/>
        </w:rPr>
        <w:t>, ja kompetences centrs iesniedz sadarbības iestādē pamatotu iesniegumu ar lūgumu pagarināt projekta noslēguma pārskata iesniegšanas termiņu.”</w:t>
      </w:r>
    </w:p>
    <w:p w:rsidR="0085648C" w:rsidRPr="005D69D0" w:rsidRDefault="0080153E" w:rsidP="00D8729E">
      <w:pPr>
        <w:numPr>
          <w:ilvl w:val="0"/>
          <w:numId w:val="6"/>
        </w:numPr>
        <w:spacing w:before="120" w:after="120" w:line="240" w:lineRule="auto"/>
        <w:jc w:val="both"/>
        <w:rPr>
          <w:rFonts w:ascii="Times New Roman" w:hAnsi="Times New Roman"/>
          <w:sz w:val="26"/>
          <w:szCs w:val="26"/>
        </w:rPr>
      </w:pPr>
      <w:r w:rsidRPr="005D69D0">
        <w:rPr>
          <w:rFonts w:ascii="Times New Roman" w:hAnsi="Times New Roman"/>
          <w:sz w:val="26"/>
          <w:szCs w:val="26"/>
        </w:rPr>
        <w:t>Svītrot 2.pielikuma 2.punktu un tā apakšpunktus.</w:t>
      </w:r>
    </w:p>
    <w:p w:rsidR="0045366E" w:rsidRPr="005D69D0" w:rsidRDefault="0045366E" w:rsidP="00C03C9D">
      <w:pPr>
        <w:spacing w:before="120" w:after="120" w:line="240" w:lineRule="auto"/>
        <w:jc w:val="both"/>
        <w:rPr>
          <w:rFonts w:ascii="Times New Roman" w:hAnsi="Times New Roman"/>
          <w:sz w:val="26"/>
          <w:szCs w:val="26"/>
        </w:rPr>
      </w:pPr>
    </w:p>
    <w:p w:rsidR="004E5724" w:rsidRPr="005D69D0" w:rsidRDefault="00596D1A" w:rsidP="005D69D0">
      <w:pPr>
        <w:numPr>
          <w:ilvl w:val="0"/>
          <w:numId w:val="6"/>
        </w:numPr>
        <w:spacing w:before="120" w:after="120" w:line="240" w:lineRule="auto"/>
        <w:jc w:val="both"/>
        <w:rPr>
          <w:rFonts w:ascii="Times New Roman" w:hAnsi="Times New Roman"/>
          <w:sz w:val="26"/>
          <w:szCs w:val="26"/>
        </w:rPr>
      </w:pPr>
      <w:r w:rsidRPr="005D69D0">
        <w:rPr>
          <w:rFonts w:ascii="Times New Roman" w:hAnsi="Times New Roman"/>
          <w:sz w:val="26"/>
          <w:szCs w:val="26"/>
        </w:rPr>
        <w:t>Papildināt 2.pielikumu ar</w:t>
      </w:r>
      <w:r w:rsidR="004E5724" w:rsidRPr="005D69D0">
        <w:rPr>
          <w:rFonts w:ascii="Times New Roman" w:hAnsi="Times New Roman"/>
          <w:sz w:val="26"/>
          <w:szCs w:val="26"/>
        </w:rPr>
        <w:t xml:space="preserve"> </w:t>
      </w:r>
      <w:r w:rsidR="0080153E" w:rsidRPr="005D69D0">
        <w:rPr>
          <w:rFonts w:ascii="Times New Roman" w:hAnsi="Times New Roman"/>
          <w:sz w:val="26"/>
          <w:szCs w:val="26"/>
        </w:rPr>
        <w:t>3</w:t>
      </w:r>
      <w:r w:rsidR="004E5724" w:rsidRPr="005D69D0">
        <w:rPr>
          <w:rFonts w:ascii="Times New Roman" w:hAnsi="Times New Roman"/>
          <w:sz w:val="26"/>
          <w:szCs w:val="26"/>
        </w:rPr>
        <w:t>.punktu šādā redakcijā:</w:t>
      </w:r>
    </w:p>
    <w:p w:rsidR="004E5724" w:rsidRPr="005D69D0" w:rsidRDefault="004E5724" w:rsidP="005D69D0">
      <w:pPr>
        <w:spacing w:before="120" w:after="120" w:line="240" w:lineRule="auto"/>
        <w:ind w:left="360"/>
        <w:jc w:val="both"/>
        <w:rPr>
          <w:rFonts w:ascii="Times New Roman" w:hAnsi="Times New Roman"/>
          <w:sz w:val="26"/>
          <w:szCs w:val="26"/>
        </w:rPr>
      </w:pPr>
      <w:r w:rsidRPr="005D69D0">
        <w:rPr>
          <w:rFonts w:ascii="Times New Roman" w:hAnsi="Times New Roman"/>
          <w:sz w:val="26"/>
          <w:szCs w:val="26"/>
        </w:rPr>
        <w:t>„</w:t>
      </w:r>
      <w:r w:rsidR="0080153E" w:rsidRPr="005D69D0">
        <w:rPr>
          <w:rFonts w:ascii="Times New Roman" w:hAnsi="Times New Roman"/>
          <w:sz w:val="26"/>
          <w:szCs w:val="26"/>
        </w:rPr>
        <w:t xml:space="preserve">Vadības izmaksām </w:t>
      </w:r>
      <w:r w:rsidR="005871CE" w:rsidRPr="005D69D0">
        <w:rPr>
          <w:rFonts w:ascii="Times New Roman" w:hAnsi="Times New Roman"/>
          <w:sz w:val="26"/>
          <w:szCs w:val="26"/>
        </w:rPr>
        <w:t xml:space="preserve">Komisijas 2013. gada 18. decembra Regulas (ES) </w:t>
      </w:r>
      <w:proofErr w:type="spellStart"/>
      <w:r w:rsidR="005871CE" w:rsidRPr="005D69D0">
        <w:rPr>
          <w:rFonts w:ascii="Times New Roman" w:hAnsi="Times New Roman"/>
          <w:sz w:val="26"/>
          <w:szCs w:val="26"/>
        </w:rPr>
        <w:t>Nr</w:t>
      </w:r>
      <w:proofErr w:type="spellEnd"/>
      <w:r w:rsidR="005871CE" w:rsidRPr="005D69D0">
        <w:rPr>
          <w:rFonts w:ascii="Times New Roman" w:hAnsi="Times New Roman"/>
          <w:sz w:val="26"/>
          <w:szCs w:val="26"/>
        </w:rPr>
        <w:t xml:space="preserve">. 1407/2013 par Līguma par Eiropas Savienības darbību 107. un 108. panta </w:t>
      </w:r>
      <w:r w:rsidR="005871CE" w:rsidRPr="005D69D0">
        <w:rPr>
          <w:rFonts w:ascii="Times New Roman" w:hAnsi="Times New Roman"/>
          <w:sz w:val="26"/>
          <w:szCs w:val="26"/>
        </w:rPr>
        <w:lastRenderedPageBreak/>
        <w:t xml:space="preserve">piemērošanu </w:t>
      </w:r>
      <w:proofErr w:type="spellStart"/>
      <w:r w:rsidR="005871CE" w:rsidRPr="005D69D0">
        <w:rPr>
          <w:rFonts w:ascii="Times New Roman" w:hAnsi="Times New Roman"/>
          <w:i/>
          <w:sz w:val="26"/>
          <w:szCs w:val="26"/>
        </w:rPr>
        <w:t>de</w:t>
      </w:r>
      <w:proofErr w:type="spellEnd"/>
      <w:r w:rsidR="005871CE" w:rsidRPr="005D69D0">
        <w:rPr>
          <w:rFonts w:ascii="Times New Roman" w:hAnsi="Times New Roman"/>
          <w:i/>
          <w:sz w:val="26"/>
          <w:szCs w:val="26"/>
        </w:rPr>
        <w:t xml:space="preserve"> </w:t>
      </w:r>
      <w:proofErr w:type="spellStart"/>
      <w:r w:rsidR="005871CE" w:rsidRPr="005D69D0">
        <w:rPr>
          <w:rFonts w:ascii="Times New Roman" w:hAnsi="Times New Roman"/>
          <w:i/>
          <w:sz w:val="26"/>
          <w:szCs w:val="26"/>
        </w:rPr>
        <w:t>minimis</w:t>
      </w:r>
      <w:proofErr w:type="spellEnd"/>
      <w:r w:rsidR="005871CE" w:rsidRPr="005D69D0">
        <w:rPr>
          <w:rFonts w:ascii="Times New Roman" w:hAnsi="Times New Roman"/>
          <w:sz w:val="26"/>
          <w:szCs w:val="26"/>
        </w:rPr>
        <w:t xml:space="preserve"> atbalstam (Eiropas Savienības Oficiālais Vēstnesis, 2013. gada 24. decembris, L 352) 1. panta 1. punktā minētajām nozarēm.</w:t>
      </w:r>
      <w:r w:rsidRPr="005D69D0">
        <w:rPr>
          <w:rFonts w:ascii="Times New Roman" w:hAnsi="Times New Roman"/>
          <w:sz w:val="26"/>
          <w:szCs w:val="26"/>
        </w:rPr>
        <w:t>”</w:t>
      </w:r>
    </w:p>
    <w:p w:rsidR="004E5724" w:rsidRPr="005D69D0" w:rsidRDefault="004E5724" w:rsidP="00C03C9D">
      <w:pPr>
        <w:spacing w:before="120" w:after="120" w:line="240" w:lineRule="auto"/>
        <w:jc w:val="both"/>
        <w:rPr>
          <w:rFonts w:ascii="Times New Roman" w:hAnsi="Times New Roman"/>
          <w:sz w:val="26"/>
          <w:szCs w:val="26"/>
        </w:rPr>
      </w:pPr>
    </w:p>
    <w:p w:rsidR="00C30645" w:rsidRPr="005D69D0" w:rsidRDefault="00C30645" w:rsidP="00B623C7">
      <w:pPr>
        <w:tabs>
          <w:tab w:val="left" w:pos="7371"/>
          <w:tab w:val="left" w:pos="7797"/>
        </w:tabs>
        <w:spacing w:after="0" w:line="240" w:lineRule="auto"/>
        <w:jc w:val="both"/>
        <w:rPr>
          <w:rFonts w:ascii="Times New Roman" w:hAnsi="Times New Roman"/>
          <w:sz w:val="26"/>
          <w:szCs w:val="26"/>
        </w:rPr>
      </w:pPr>
    </w:p>
    <w:p w:rsidR="00435CFF" w:rsidRPr="005D69D0" w:rsidRDefault="00435CFF" w:rsidP="00B623C7">
      <w:pPr>
        <w:tabs>
          <w:tab w:val="left" w:pos="7230"/>
        </w:tabs>
        <w:spacing w:after="0" w:line="240" w:lineRule="auto"/>
        <w:jc w:val="both"/>
        <w:rPr>
          <w:rFonts w:ascii="Times New Roman" w:hAnsi="Times New Roman"/>
          <w:sz w:val="26"/>
          <w:szCs w:val="26"/>
        </w:rPr>
      </w:pPr>
      <w:r w:rsidRPr="005D69D0">
        <w:rPr>
          <w:rFonts w:ascii="Times New Roman" w:hAnsi="Times New Roman"/>
          <w:sz w:val="26"/>
          <w:szCs w:val="26"/>
        </w:rPr>
        <w:t>Ministru pre</w:t>
      </w:r>
      <w:r w:rsidR="003C1798" w:rsidRPr="005D69D0">
        <w:rPr>
          <w:rFonts w:ascii="Times New Roman" w:hAnsi="Times New Roman"/>
          <w:sz w:val="26"/>
          <w:szCs w:val="26"/>
        </w:rPr>
        <w:t>zidente</w:t>
      </w:r>
      <w:r w:rsidR="00B623C7" w:rsidRPr="005D69D0">
        <w:rPr>
          <w:rFonts w:ascii="Times New Roman" w:hAnsi="Times New Roman"/>
          <w:sz w:val="26"/>
          <w:szCs w:val="26"/>
        </w:rPr>
        <w:tab/>
      </w:r>
      <w:r w:rsidR="003C1798" w:rsidRPr="005D69D0">
        <w:rPr>
          <w:rFonts w:ascii="Times New Roman" w:hAnsi="Times New Roman"/>
          <w:sz w:val="26"/>
          <w:szCs w:val="26"/>
        </w:rPr>
        <w:t>L.Straujuma</w:t>
      </w:r>
    </w:p>
    <w:p w:rsidR="005B4CAA" w:rsidRDefault="005B4CAA" w:rsidP="00B623C7">
      <w:pPr>
        <w:tabs>
          <w:tab w:val="left" w:pos="7371"/>
          <w:tab w:val="left" w:pos="7797"/>
          <w:tab w:val="left" w:pos="8647"/>
        </w:tabs>
        <w:spacing w:after="0" w:line="240" w:lineRule="auto"/>
        <w:jc w:val="both"/>
        <w:rPr>
          <w:rFonts w:ascii="Times New Roman" w:hAnsi="Times New Roman"/>
          <w:sz w:val="26"/>
          <w:szCs w:val="26"/>
        </w:rPr>
      </w:pPr>
    </w:p>
    <w:p w:rsidR="00FA614C" w:rsidRDefault="00FA614C" w:rsidP="00B623C7">
      <w:pPr>
        <w:tabs>
          <w:tab w:val="left" w:pos="7371"/>
          <w:tab w:val="left" w:pos="7797"/>
          <w:tab w:val="left" w:pos="8647"/>
        </w:tabs>
        <w:spacing w:after="0" w:line="240" w:lineRule="auto"/>
        <w:jc w:val="both"/>
        <w:rPr>
          <w:rFonts w:ascii="Times New Roman" w:hAnsi="Times New Roman"/>
          <w:sz w:val="26"/>
          <w:szCs w:val="26"/>
        </w:rPr>
      </w:pPr>
    </w:p>
    <w:p w:rsidR="00FA614C" w:rsidRPr="005D69D0" w:rsidRDefault="00FA614C" w:rsidP="00B623C7">
      <w:pPr>
        <w:tabs>
          <w:tab w:val="left" w:pos="7371"/>
          <w:tab w:val="left" w:pos="7797"/>
          <w:tab w:val="left" w:pos="8647"/>
        </w:tabs>
        <w:spacing w:after="0" w:line="240" w:lineRule="auto"/>
        <w:jc w:val="both"/>
        <w:rPr>
          <w:rFonts w:ascii="Times New Roman" w:hAnsi="Times New Roman"/>
          <w:sz w:val="26"/>
          <w:szCs w:val="26"/>
        </w:rPr>
      </w:pPr>
    </w:p>
    <w:p w:rsidR="00435CFF" w:rsidRPr="005D69D0" w:rsidRDefault="00435CFF" w:rsidP="00B623C7">
      <w:pPr>
        <w:tabs>
          <w:tab w:val="left" w:pos="7371"/>
          <w:tab w:val="left" w:pos="7797"/>
          <w:tab w:val="left" w:pos="8647"/>
        </w:tabs>
        <w:spacing w:after="0" w:line="240" w:lineRule="auto"/>
        <w:jc w:val="both"/>
        <w:rPr>
          <w:rFonts w:ascii="Times New Roman" w:hAnsi="Times New Roman"/>
          <w:sz w:val="26"/>
          <w:szCs w:val="26"/>
        </w:rPr>
      </w:pPr>
      <w:r w:rsidRPr="005D69D0">
        <w:rPr>
          <w:rFonts w:ascii="Times New Roman" w:hAnsi="Times New Roman"/>
          <w:sz w:val="26"/>
          <w:szCs w:val="26"/>
        </w:rPr>
        <w:t>Iesniedzējs:</w:t>
      </w:r>
    </w:p>
    <w:p w:rsidR="00B623C7" w:rsidRPr="005D69D0" w:rsidRDefault="00B623C7" w:rsidP="00675E4E">
      <w:pPr>
        <w:tabs>
          <w:tab w:val="left" w:pos="7230"/>
        </w:tabs>
        <w:spacing w:after="0" w:line="240" w:lineRule="auto"/>
        <w:jc w:val="both"/>
        <w:rPr>
          <w:rFonts w:ascii="Times New Roman" w:hAnsi="Times New Roman"/>
          <w:sz w:val="26"/>
          <w:szCs w:val="26"/>
        </w:rPr>
      </w:pPr>
      <w:r w:rsidRPr="005D69D0">
        <w:rPr>
          <w:rFonts w:ascii="Times New Roman" w:hAnsi="Times New Roman"/>
          <w:sz w:val="26"/>
          <w:szCs w:val="26"/>
        </w:rPr>
        <w:t>Ekonomikas ministr</w:t>
      </w:r>
      <w:r w:rsidR="00675E4E" w:rsidRPr="005D69D0">
        <w:rPr>
          <w:rFonts w:ascii="Times New Roman" w:hAnsi="Times New Roman"/>
          <w:sz w:val="26"/>
          <w:szCs w:val="26"/>
        </w:rPr>
        <w:t xml:space="preserve">s </w:t>
      </w:r>
      <w:r w:rsidR="00675E4E" w:rsidRPr="005D69D0">
        <w:rPr>
          <w:rFonts w:ascii="Times New Roman" w:hAnsi="Times New Roman"/>
          <w:sz w:val="26"/>
          <w:szCs w:val="26"/>
        </w:rPr>
        <w:tab/>
      </w:r>
      <w:proofErr w:type="spellStart"/>
      <w:r w:rsidR="00741458" w:rsidRPr="005D69D0">
        <w:rPr>
          <w:rFonts w:ascii="Times New Roman" w:hAnsi="Times New Roman"/>
          <w:sz w:val="26"/>
          <w:szCs w:val="26"/>
        </w:rPr>
        <w:t>V.Dombrovskis</w:t>
      </w:r>
      <w:proofErr w:type="spellEnd"/>
    </w:p>
    <w:p w:rsidR="00BE27D8" w:rsidRPr="005D69D0" w:rsidRDefault="00BE27D8" w:rsidP="00B623C7">
      <w:pPr>
        <w:tabs>
          <w:tab w:val="left" w:pos="7371"/>
          <w:tab w:val="left" w:pos="7797"/>
          <w:tab w:val="left" w:pos="8647"/>
        </w:tabs>
        <w:spacing w:after="0" w:line="240" w:lineRule="auto"/>
        <w:jc w:val="both"/>
        <w:rPr>
          <w:rFonts w:ascii="Times New Roman" w:hAnsi="Times New Roman"/>
          <w:sz w:val="26"/>
          <w:szCs w:val="26"/>
        </w:rPr>
      </w:pPr>
    </w:p>
    <w:p w:rsidR="00BE27D8" w:rsidRDefault="00BE27D8" w:rsidP="00B623C7">
      <w:pPr>
        <w:tabs>
          <w:tab w:val="left" w:pos="7371"/>
          <w:tab w:val="left" w:pos="7797"/>
          <w:tab w:val="left" w:pos="8647"/>
        </w:tabs>
        <w:spacing w:after="0" w:line="240" w:lineRule="auto"/>
        <w:jc w:val="both"/>
        <w:rPr>
          <w:rFonts w:ascii="Times New Roman" w:hAnsi="Times New Roman"/>
          <w:sz w:val="26"/>
          <w:szCs w:val="26"/>
        </w:rPr>
      </w:pPr>
    </w:p>
    <w:p w:rsidR="00FA614C" w:rsidRDefault="00FA614C" w:rsidP="00B623C7">
      <w:pPr>
        <w:tabs>
          <w:tab w:val="left" w:pos="7371"/>
          <w:tab w:val="left" w:pos="7797"/>
          <w:tab w:val="left" w:pos="8647"/>
        </w:tabs>
        <w:spacing w:after="0" w:line="240" w:lineRule="auto"/>
        <w:jc w:val="both"/>
        <w:rPr>
          <w:rFonts w:ascii="Times New Roman" w:hAnsi="Times New Roman"/>
          <w:sz w:val="26"/>
          <w:szCs w:val="26"/>
        </w:rPr>
      </w:pPr>
    </w:p>
    <w:p w:rsidR="00FA614C" w:rsidRPr="005D69D0" w:rsidRDefault="00FA614C" w:rsidP="00B623C7">
      <w:pPr>
        <w:tabs>
          <w:tab w:val="left" w:pos="7371"/>
          <w:tab w:val="left" w:pos="7797"/>
          <w:tab w:val="left" w:pos="8647"/>
        </w:tabs>
        <w:spacing w:after="0" w:line="240" w:lineRule="auto"/>
        <w:jc w:val="both"/>
        <w:rPr>
          <w:rFonts w:ascii="Times New Roman" w:hAnsi="Times New Roman"/>
          <w:sz w:val="26"/>
          <w:szCs w:val="26"/>
        </w:rPr>
      </w:pPr>
    </w:p>
    <w:p w:rsidR="00B623C7" w:rsidRPr="005D69D0" w:rsidRDefault="006E5498" w:rsidP="00675E4E">
      <w:pPr>
        <w:tabs>
          <w:tab w:val="left" w:pos="7230"/>
        </w:tabs>
        <w:spacing w:after="0" w:line="240" w:lineRule="auto"/>
        <w:rPr>
          <w:rFonts w:ascii="Times New Roman" w:hAnsi="Times New Roman"/>
          <w:sz w:val="26"/>
          <w:szCs w:val="26"/>
        </w:rPr>
      </w:pPr>
      <w:r w:rsidRPr="005D69D0">
        <w:rPr>
          <w:rFonts w:ascii="Times New Roman" w:hAnsi="Times New Roman"/>
          <w:sz w:val="26"/>
          <w:szCs w:val="26"/>
        </w:rPr>
        <w:t xml:space="preserve">Vīza: </w:t>
      </w:r>
      <w:r w:rsidR="00741458" w:rsidRPr="005D69D0">
        <w:rPr>
          <w:rFonts w:ascii="Times New Roman" w:hAnsi="Times New Roman"/>
          <w:sz w:val="26"/>
          <w:szCs w:val="26"/>
        </w:rPr>
        <w:t>Valsts s</w:t>
      </w:r>
      <w:r w:rsidR="00DB7868" w:rsidRPr="005D69D0">
        <w:rPr>
          <w:rFonts w:ascii="Times New Roman" w:hAnsi="Times New Roman"/>
          <w:sz w:val="26"/>
          <w:szCs w:val="26"/>
        </w:rPr>
        <w:t>ekretārs</w:t>
      </w:r>
      <w:r w:rsidR="00675E4E" w:rsidRPr="005D69D0">
        <w:rPr>
          <w:rFonts w:ascii="Times New Roman" w:hAnsi="Times New Roman"/>
          <w:sz w:val="26"/>
          <w:szCs w:val="26"/>
        </w:rPr>
        <w:tab/>
      </w:r>
      <w:r w:rsidR="00DB7868" w:rsidRPr="005D69D0">
        <w:rPr>
          <w:rFonts w:ascii="Times New Roman" w:hAnsi="Times New Roman"/>
          <w:sz w:val="26"/>
          <w:szCs w:val="26"/>
        </w:rPr>
        <w:t>M.Lazdovskis</w:t>
      </w:r>
    </w:p>
    <w:p w:rsidR="00F27A2F" w:rsidRPr="005D69D0" w:rsidRDefault="00F27A2F" w:rsidP="00B623C7">
      <w:pPr>
        <w:tabs>
          <w:tab w:val="left" w:pos="7230"/>
          <w:tab w:val="left" w:pos="7371"/>
          <w:tab w:val="left" w:pos="8647"/>
        </w:tabs>
        <w:spacing w:after="0" w:line="240" w:lineRule="auto"/>
        <w:jc w:val="both"/>
        <w:rPr>
          <w:rFonts w:ascii="Times New Roman" w:hAnsi="Times New Roman"/>
          <w:sz w:val="26"/>
          <w:szCs w:val="26"/>
        </w:rPr>
      </w:pPr>
    </w:p>
    <w:p w:rsidR="00BE27D8" w:rsidRPr="005D69D0" w:rsidRDefault="00BE27D8" w:rsidP="000F623C">
      <w:pPr>
        <w:spacing w:after="0" w:line="240" w:lineRule="auto"/>
        <w:jc w:val="both"/>
        <w:rPr>
          <w:rFonts w:ascii="Times New Roman" w:eastAsia="Times New Roman" w:hAnsi="Times New Roman"/>
        </w:rPr>
      </w:pPr>
    </w:p>
    <w:p w:rsidR="00FC166A" w:rsidRPr="005D69D0" w:rsidRDefault="00FC166A" w:rsidP="000F623C">
      <w:pPr>
        <w:spacing w:after="0" w:line="240" w:lineRule="auto"/>
        <w:jc w:val="both"/>
        <w:rPr>
          <w:rFonts w:ascii="Times New Roman" w:eastAsia="Times New Roman" w:hAnsi="Times New Roman"/>
        </w:rPr>
      </w:pPr>
    </w:p>
    <w:p w:rsidR="00BD3D27" w:rsidRDefault="00BD3D27"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Default="00FA614C" w:rsidP="000F623C">
      <w:pPr>
        <w:spacing w:after="0" w:line="240" w:lineRule="auto"/>
        <w:jc w:val="both"/>
        <w:rPr>
          <w:rFonts w:ascii="Times New Roman" w:eastAsia="Times New Roman" w:hAnsi="Times New Roman"/>
        </w:rPr>
      </w:pPr>
    </w:p>
    <w:p w:rsidR="00FA614C" w:rsidRPr="005D69D0" w:rsidRDefault="00FA614C" w:rsidP="000F623C">
      <w:pPr>
        <w:spacing w:after="0" w:line="240" w:lineRule="auto"/>
        <w:jc w:val="both"/>
        <w:rPr>
          <w:rFonts w:ascii="Times New Roman" w:eastAsia="Times New Roman" w:hAnsi="Times New Roman"/>
        </w:rPr>
      </w:pPr>
    </w:p>
    <w:p w:rsidR="00BD3D27" w:rsidRPr="005D69D0" w:rsidRDefault="00BD3D27" w:rsidP="000F623C">
      <w:pPr>
        <w:spacing w:after="0" w:line="240" w:lineRule="auto"/>
        <w:jc w:val="both"/>
        <w:rPr>
          <w:rFonts w:ascii="Times New Roman" w:eastAsia="Times New Roman" w:hAnsi="Times New Roman"/>
        </w:rPr>
      </w:pPr>
    </w:p>
    <w:p w:rsidR="00BD3D27" w:rsidRPr="005D69D0" w:rsidRDefault="00BD3D27" w:rsidP="000F623C">
      <w:pPr>
        <w:spacing w:after="0" w:line="240" w:lineRule="auto"/>
        <w:jc w:val="both"/>
        <w:rPr>
          <w:rFonts w:ascii="Times New Roman" w:eastAsia="Times New Roman" w:hAnsi="Times New Roman"/>
        </w:rPr>
      </w:pPr>
    </w:p>
    <w:p w:rsidR="00B623C7" w:rsidRPr="005D69D0" w:rsidRDefault="008C0130" w:rsidP="00F029DB">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09.10.2014 15:08</w:t>
      </w:r>
      <w:bookmarkStart w:id="6" w:name="_GoBack"/>
      <w:bookmarkEnd w:id="6"/>
    </w:p>
    <w:p w:rsidR="00F029DB" w:rsidRPr="005D69D0" w:rsidRDefault="00F029DB" w:rsidP="00F029DB">
      <w:pPr>
        <w:widowControl w:val="0"/>
        <w:spacing w:after="0" w:line="240" w:lineRule="auto"/>
        <w:jc w:val="both"/>
        <w:rPr>
          <w:rFonts w:ascii="Times New Roman" w:eastAsia="Times New Roman" w:hAnsi="Times New Roman"/>
          <w:sz w:val="20"/>
          <w:szCs w:val="20"/>
        </w:rPr>
      </w:pPr>
      <w:r w:rsidRPr="005D69D0">
        <w:rPr>
          <w:rFonts w:ascii="Times New Roman" w:eastAsia="Times New Roman" w:hAnsi="Times New Roman"/>
          <w:sz w:val="20"/>
          <w:szCs w:val="20"/>
          <w:lang w:val="en-AU"/>
        </w:rPr>
        <w:fldChar w:fldCharType="begin"/>
      </w:r>
      <w:r w:rsidRPr="005D69D0">
        <w:rPr>
          <w:rFonts w:ascii="Times New Roman" w:eastAsia="Times New Roman" w:hAnsi="Times New Roman"/>
          <w:sz w:val="20"/>
          <w:szCs w:val="20"/>
          <w:lang w:val="en-AU"/>
        </w:rPr>
        <w:instrText xml:space="preserve"> NUMWORDS   \* MERGEFORMAT </w:instrText>
      </w:r>
      <w:r w:rsidRPr="005D69D0">
        <w:rPr>
          <w:rFonts w:ascii="Times New Roman" w:eastAsia="Times New Roman" w:hAnsi="Times New Roman"/>
          <w:sz w:val="20"/>
          <w:szCs w:val="20"/>
          <w:lang w:val="en-AU"/>
        </w:rPr>
        <w:fldChar w:fldCharType="separate"/>
      </w:r>
      <w:r w:rsidR="008C0130" w:rsidRPr="008C0130">
        <w:rPr>
          <w:rFonts w:ascii="Times New Roman" w:eastAsia="Times New Roman" w:hAnsi="Times New Roman"/>
          <w:noProof/>
          <w:sz w:val="20"/>
          <w:szCs w:val="20"/>
        </w:rPr>
        <w:t>1243</w:t>
      </w:r>
      <w:r w:rsidRPr="005D69D0">
        <w:rPr>
          <w:rFonts w:ascii="Times New Roman" w:eastAsia="Times New Roman" w:hAnsi="Times New Roman"/>
          <w:noProof/>
          <w:sz w:val="20"/>
          <w:szCs w:val="20"/>
        </w:rPr>
        <w:fldChar w:fldCharType="end"/>
      </w:r>
    </w:p>
    <w:p w:rsidR="00A970CF" w:rsidRPr="005D69D0" w:rsidRDefault="00497292" w:rsidP="00194799">
      <w:pPr>
        <w:widowControl w:val="0"/>
        <w:spacing w:after="0" w:line="240" w:lineRule="auto"/>
        <w:jc w:val="both"/>
        <w:rPr>
          <w:rFonts w:ascii="Times New Roman" w:eastAsia="Times New Roman" w:hAnsi="Times New Roman"/>
          <w:sz w:val="20"/>
          <w:szCs w:val="20"/>
        </w:rPr>
      </w:pPr>
      <w:r w:rsidRPr="005D69D0">
        <w:rPr>
          <w:rFonts w:ascii="Times New Roman" w:eastAsia="Times New Roman" w:hAnsi="Times New Roman"/>
          <w:sz w:val="20"/>
          <w:szCs w:val="20"/>
        </w:rPr>
        <w:t>Purmalietis</w:t>
      </w:r>
      <w:r w:rsidR="00C53126" w:rsidRPr="005D69D0">
        <w:rPr>
          <w:rFonts w:ascii="Times New Roman" w:eastAsia="Times New Roman" w:hAnsi="Times New Roman"/>
          <w:sz w:val="20"/>
          <w:szCs w:val="20"/>
        </w:rPr>
        <w:t>, 67013</w:t>
      </w:r>
      <w:r w:rsidRPr="005D69D0">
        <w:rPr>
          <w:rFonts w:ascii="Times New Roman" w:eastAsia="Times New Roman" w:hAnsi="Times New Roman"/>
          <w:sz w:val="20"/>
          <w:szCs w:val="20"/>
        </w:rPr>
        <w:t>108</w:t>
      </w:r>
    </w:p>
    <w:p w:rsidR="001873BF" w:rsidRPr="00FC166A" w:rsidRDefault="00497292" w:rsidP="00FC166A">
      <w:pPr>
        <w:widowControl w:val="0"/>
        <w:spacing w:after="0" w:line="240" w:lineRule="auto"/>
        <w:jc w:val="both"/>
        <w:rPr>
          <w:rFonts w:ascii="Times New Roman" w:eastAsia="Times New Roman" w:hAnsi="Times New Roman"/>
          <w:sz w:val="20"/>
          <w:szCs w:val="20"/>
        </w:rPr>
      </w:pPr>
      <w:r w:rsidRPr="005D69D0">
        <w:rPr>
          <w:rFonts w:ascii="Times New Roman" w:eastAsia="Times New Roman" w:hAnsi="Times New Roman"/>
          <w:sz w:val="20"/>
          <w:szCs w:val="20"/>
        </w:rPr>
        <w:t>Kaspars.Purmalietis</w:t>
      </w:r>
      <w:r w:rsidR="00194799" w:rsidRPr="005D69D0">
        <w:rPr>
          <w:rFonts w:ascii="Times New Roman" w:eastAsia="Times New Roman" w:hAnsi="Times New Roman"/>
          <w:sz w:val="20"/>
          <w:szCs w:val="20"/>
        </w:rPr>
        <w:t>@em.gov.lv</w:t>
      </w:r>
    </w:p>
    <w:sectPr w:rsidR="001873BF" w:rsidRPr="00FC166A" w:rsidSect="0078381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C8" w:rsidRDefault="00225EC8" w:rsidP="00173166">
      <w:pPr>
        <w:spacing w:after="0" w:line="240" w:lineRule="auto"/>
      </w:pPr>
      <w:r>
        <w:separator/>
      </w:r>
    </w:p>
  </w:endnote>
  <w:endnote w:type="continuationSeparator" w:id="0">
    <w:p w:rsidR="00225EC8" w:rsidRDefault="00225EC8"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30" w:rsidRPr="008B4D0D" w:rsidRDefault="008C0130" w:rsidP="008D73A9">
    <w:pPr>
      <w:tabs>
        <w:tab w:val="left" w:pos="6237"/>
      </w:tabs>
      <w:spacing w:after="0" w:line="240" w:lineRule="auto"/>
      <w:jc w:val="both"/>
      <w:rPr>
        <w:rFonts w:ascii="Times New Roman" w:hAnsi="Times New Roman"/>
        <w:sz w:val="20"/>
        <w:szCs w:val="20"/>
      </w:rPr>
    </w:pPr>
    <w:r>
      <w:fldChar w:fldCharType="begin"/>
    </w:r>
    <w:r>
      <w:instrText xml:space="preserve"> FILENAME   \* MERGEFORMAT </w:instrText>
    </w:r>
    <w:r>
      <w:fldChar w:fldCharType="separate"/>
    </w:r>
    <w:r w:rsidRPr="008C0130">
      <w:rPr>
        <w:rFonts w:ascii="Times New Roman" w:hAnsi="Times New Roman"/>
        <w:noProof/>
        <w:sz w:val="20"/>
        <w:szCs w:val="20"/>
      </w:rPr>
      <w:t>EMNOT_091014_GROZ361</w:t>
    </w:r>
    <w:r>
      <w:rPr>
        <w:rFonts w:ascii="Times New Roman" w:hAnsi="Times New Roman"/>
        <w:noProof/>
        <w:sz w:val="20"/>
        <w:szCs w:val="20"/>
      </w:rPr>
      <w:fldChar w:fldCharType="end"/>
    </w:r>
    <w:r w:rsidR="008B4D0D" w:rsidRPr="008B4D0D">
      <w:rPr>
        <w:rFonts w:ascii="Times New Roman" w:hAnsi="Times New Roman"/>
        <w:sz w:val="20"/>
        <w:szCs w:val="20"/>
      </w:rPr>
      <w:t>;</w:t>
    </w:r>
    <w:r w:rsidR="00863330" w:rsidRPr="008B4D0D">
      <w:rPr>
        <w:rFonts w:ascii="Times New Roman" w:hAnsi="Times New Roman"/>
        <w:sz w:val="20"/>
        <w:szCs w:val="20"/>
      </w:rPr>
      <w:t xml:space="preserve"> Ministru kabin</w:t>
    </w:r>
    <w:r w:rsidR="00F73FDB" w:rsidRPr="008B4D0D">
      <w:rPr>
        <w:rFonts w:ascii="Times New Roman" w:hAnsi="Times New Roman"/>
        <w:sz w:val="20"/>
        <w:szCs w:val="20"/>
      </w:rPr>
      <w:t xml:space="preserve">eta </w:t>
    </w:r>
    <w:r w:rsidR="00A10763">
      <w:rPr>
        <w:rFonts w:ascii="Times New Roman" w:hAnsi="Times New Roman"/>
        <w:sz w:val="20"/>
        <w:szCs w:val="20"/>
      </w:rPr>
      <w:t>noteikumu</w:t>
    </w:r>
    <w:r w:rsidR="00F73FDB" w:rsidRPr="008B4D0D">
      <w:rPr>
        <w:rFonts w:ascii="Times New Roman" w:hAnsi="Times New Roman"/>
        <w:sz w:val="20"/>
        <w:szCs w:val="20"/>
      </w:rPr>
      <w:t xml:space="preserve"> projekts „</w:t>
    </w:r>
    <w:r w:rsidR="001C7B87" w:rsidRPr="001C7B87">
      <w:rPr>
        <w:rFonts w:ascii="Times New Roman" w:hAnsi="Times New Roman"/>
        <w:sz w:val="20"/>
        <w:szCs w:val="20"/>
      </w:rPr>
      <w:t>Grozījumi Ministru kabineta 2010.gada 13.aprīļa noteikumos Nr.361 „Noteikumi par darbības programmas „Uzņēmējdarbība un inovācijas” papildinājuma 2.1.2.1.1.apakšaktivitāti „Kompetences centri””</w:t>
    </w:r>
    <w:r w:rsidR="00863330" w:rsidRPr="008B4D0D">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30" w:rsidRPr="00922206" w:rsidRDefault="008C0130" w:rsidP="00922206">
    <w:pPr>
      <w:tabs>
        <w:tab w:val="left" w:pos="6237"/>
      </w:tabs>
      <w:spacing w:after="0" w:line="240" w:lineRule="auto"/>
      <w:jc w:val="both"/>
      <w:rPr>
        <w:rFonts w:ascii="Times New Roman" w:hAnsi="Times New Roman"/>
        <w:sz w:val="20"/>
        <w:szCs w:val="20"/>
      </w:rPr>
    </w:pPr>
    <w:r>
      <w:fldChar w:fldCharType="begin"/>
    </w:r>
    <w:r>
      <w:instrText xml:space="preserve"> FILENAME   \* MERGEFORMAT </w:instrText>
    </w:r>
    <w:r>
      <w:fldChar w:fldCharType="separate"/>
    </w:r>
    <w:r w:rsidRPr="008C0130">
      <w:rPr>
        <w:rFonts w:ascii="Times New Roman" w:hAnsi="Times New Roman"/>
        <w:noProof/>
        <w:sz w:val="20"/>
        <w:szCs w:val="20"/>
      </w:rPr>
      <w:t>EMNOT_091014_GROZ361</w:t>
    </w:r>
    <w:r>
      <w:rPr>
        <w:rFonts w:ascii="Times New Roman" w:hAnsi="Times New Roman"/>
        <w:noProof/>
        <w:sz w:val="20"/>
        <w:szCs w:val="20"/>
      </w:rPr>
      <w:fldChar w:fldCharType="end"/>
    </w:r>
    <w:r w:rsidR="00EA06B9" w:rsidRPr="009716B3">
      <w:rPr>
        <w:rFonts w:ascii="Times New Roman" w:hAnsi="Times New Roman"/>
        <w:sz w:val="20"/>
        <w:szCs w:val="20"/>
      </w:rPr>
      <w:t>;</w:t>
    </w:r>
    <w:r w:rsidR="00EA06B9">
      <w:rPr>
        <w:rFonts w:ascii="Times New Roman" w:hAnsi="Times New Roman"/>
        <w:sz w:val="20"/>
        <w:szCs w:val="20"/>
      </w:rPr>
      <w:t xml:space="preserve"> </w:t>
    </w:r>
    <w:r w:rsidR="00863330" w:rsidRPr="00922206">
      <w:rPr>
        <w:rFonts w:ascii="Times New Roman" w:hAnsi="Times New Roman"/>
        <w:sz w:val="20"/>
        <w:szCs w:val="20"/>
      </w:rPr>
      <w:t xml:space="preserve">Ministru kabineta </w:t>
    </w:r>
    <w:r w:rsidR="00A10763">
      <w:rPr>
        <w:rFonts w:ascii="Times New Roman" w:hAnsi="Times New Roman"/>
        <w:sz w:val="20"/>
        <w:szCs w:val="20"/>
      </w:rPr>
      <w:t>noteikumu</w:t>
    </w:r>
    <w:r w:rsidR="00863330" w:rsidRPr="00922206">
      <w:rPr>
        <w:rFonts w:ascii="Times New Roman" w:hAnsi="Times New Roman"/>
        <w:sz w:val="20"/>
        <w:szCs w:val="20"/>
      </w:rPr>
      <w:t xml:space="preserve"> projekts „</w:t>
    </w:r>
    <w:r w:rsidR="00A10763" w:rsidRPr="00A10763">
      <w:rPr>
        <w:rFonts w:ascii="Times New Roman" w:hAnsi="Times New Roman"/>
        <w:sz w:val="20"/>
        <w:szCs w:val="20"/>
      </w:rPr>
      <w:t xml:space="preserve">Grozījumi Ministru kabineta </w:t>
    </w:r>
    <w:r w:rsidR="00FE3B0E" w:rsidRPr="00FE3B0E">
      <w:rPr>
        <w:rFonts w:ascii="Times New Roman" w:hAnsi="Times New Roman"/>
        <w:sz w:val="20"/>
        <w:szCs w:val="20"/>
      </w:rPr>
      <w:t>2010.gada 13.aprīļa noteikumos Nr.361 „Noteikumi par darbības programmas „Uzņēmējdarbība un inovācijas” papildinājuma 2.1.2.1.1.apakšaktivitāti „Kompetences centri”</w:t>
    </w:r>
    <w:r w:rsidR="00FE3B0E">
      <w:rPr>
        <w:rFonts w:ascii="Times New Roman" w:hAnsi="Times New Roman"/>
        <w:sz w:val="20"/>
        <w:szCs w:val="20"/>
      </w:rPr>
      <w:t>”</w:t>
    </w:r>
    <w:r w:rsidR="00922206" w:rsidRPr="00922206">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C8" w:rsidRDefault="00225EC8" w:rsidP="00173166">
      <w:pPr>
        <w:spacing w:after="0" w:line="240" w:lineRule="auto"/>
      </w:pPr>
      <w:r>
        <w:separator/>
      </w:r>
    </w:p>
  </w:footnote>
  <w:footnote w:type="continuationSeparator" w:id="0">
    <w:p w:rsidR="00225EC8" w:rsidRDefault="00225EC8"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30" w:rsidRPr="00783810" w:rsidRDefault="00863330">
    <w:pPr>
      <w:pStyle w:val="Header"/>
      <w:jc w:val="center"/>
      <w:rPr>
        <w:rFonts w:ascii="Times New Roman" w:hAnsi="Times New Roman"/>
        <w:sz w:val="24"/>
        <w:szCs w:val="24"/>
      </w:rPr>
    </w:pPr>
    <w:r w:rsidRPr="00783810">
      <w:rPr>
        <w:rFonts w:ascii="Times New Roman" w:hAnsi="Times New Roman"/>
        <w:sz w:val="24"/>
        <w:szCs w:val="24"/>
      </w:rPr>
      <w:fldChar w:fldCharType="begin"/>
    </w:r>
    <w:r w:rsidRPr="00783810">
      <w:rPr>
        <w:rFonts w:ascii="Times New Roman" w:hAnsi="Times New Roman"/>
        <w:sz w:val="24"/>
        <w:szCs w:val="24"/>
      </w:rPr>
      <w:instrText xml:space="preserve"> PAGE   \* MERGEFORMAT </w:instrText>
    </w:r>
    <w:r w:rsidRPr="00783810">
      <w:rPr>
        <w:rFonts w:ascii="Times New Roman" w:hAnsi="Times New Roman"/>
        <w:sz w:val="24"/>
        <w:szCs w:val="24"/>
      </w:rPr>
      <w:fldChar w:fldCharType="separate"/>
    </w:r>
    <w:r w:rsidR="008C0130">
      <w:rPr>
        <w:rFonts w:ascii="Times New Roman" w:hAnsi="Times New Roman"/>
        <w:noProof/>
        <w:sz w:val="24"/>
        <w:szCs w:val="24"/>
      </w:rPr>
      <w:t>5</w:t>
    </w:r>
    <w:r w:rsidRPr="00783810">
      <w:rPr>
        <w:rFonts w:ascii="Times New Roman" w:hAnsi="Times New Roman"/>
        <w:noProof/>
        <w:sz w:val="24"/>
        <w:szCs w:val="24"/>
      </w:rPr>
      <w:fldChar w:fldCharType="end"/>
    </w:r>
  </w:p>
  <w:p w:rsidR="00863330" w:rsidRPr="00173166" w:rsidRDefault="00863330"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C74"/>
    <w:multiLevelType w:val="hybridMultilevel"/>
    <w:tmpl w:val="D496FA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1816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FD5AA0"/>
    <w:multiLevelType w:val="hybridMultilevel"/>
    <w:tmpl w:val="43DE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E0C4741"/>
    <w:multiLevelType w:val="hybridMultilevel"/>
    <w:tmpl w:val="0A245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980634"/>
    <w:multiLevelType w:val="multilevel"/>
    <w:tmpl w:val="33CC6388"/>
    <w:lvl w:ilvl="0">
      <w:start w:val="7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B44E60"/>
    <w:multiLevelType w:val="hybridMultilevel"/>
    <w:tmpl w:val="225C6D3A"/>
    <w:lvl w:ilvl="0" w:tplc="B8F2BA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0B8130F"/>
    <w:multiLevelType w:val="hybridMultilevel"/>
    <w:tmpl w:val="B9A43F1E"/>
    <w:lvl w:ilvl="0" w:tplc="03E49C02">
      <w:start w:val="1"/>
      <w:numFmt w:val="decimal"/>
      <w:pStyle w:val="EE-parag-num-12"/>
      <w:lvlText w:val="%1."/>
      <w:lvlJc w:val="left"/>
      <w:pPr>
        <w:tabs>
          <w:tab w:val="num" w:pos="502"/>
        </w:tabs>
        <w:ind w:left="502" w:hanging="360"/>
      </w:pPr>
      <w:rPr>
        <w:rFonts w:hint="default"/>
        <w:b w:val="0"/>
        <w:color w:val="auto"/>
      </w:rPr>
    </w:lvl>
    <w:lvl w:ilvl="1" w:tplc="9364DB0A">
      <w:start w:val="1"/>
      <w:numFmt w:val="decimal"/>
      <w:lvlText w:val="%2)"/>
      <w:lvlJc w:val="left"/>
      <w:pPr>
        <w:ind w:left="1582" w:hanging="360"/>
      </w:pPr>
      <w:rPr>
        <w:rFonts w:hint="default"/>
      </w:r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7">
    <w:nsid w:val="49562D5D"/>
    <w:multiLevelType w:val="hybridMultilevel"/>
    <w:tmpl w:val="A9C8C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BD1449"/>
    <w:multiLevelType w:val="hybridMultilevel"/>
    <w:tmpl w:val="B2F2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4B4BD2"/>
    <w:multiLevelType w:val="multilevel"/>
    <w:tmpl w:val="0B26234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23147F"/>
    <w:multiLevelType w:val="hybridMultilevel"/>
    <w:tmpl w:val="24288936"/>
    <w:lvl w:ilvl="0" w:tplc="59CA351E">
      <w:start w:val="1"/>
      <w:numFmt w:val="decimal"/>
      <w:lvlText w:val="%1."/>
      <w:lvlJc w:val="left"/>
      <w:pPr>
        <w:tabs>
          <w:tab w:val="num" w:pos="0"/>
        </w:tabs>
        <w:ind w:left="567" w:hanging="567"/>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8BD40E4"/>
    <w:multiLevelType w:val="hybridMultilevel"/>
    <w:tmpl w:val="6B54F9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5"/>
  </w:num>
  <w:num w:numId="6">
    <w:abstractNumId w:val="7"/>
  </w:num>
  <w:num w:numId="7">
    <w:abstractNumId w:val="3"/>
  </w:num>
  <w:num w:numId="8">
    <w:abstractNumId w:val="11"/>
  </w:num>
  <w:num w:numId="9">
    <w:abstractNumId w:val="2"/>
  </w:num>
  <w:num w:numId="10">
    <w:abstractNumId w:val="0"/>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6B0"/>
    <w:rsid w:val="00012916"/>
    <w:rsid w:val="00014FE3"/>
    <w:rsid w:val="000172AE"/>
    <w:rsid w:val="000179B0"/>
    <w:rsid w:val="00021231"/>
    <w:rsid w:val="000270E6"/>
    <w:rsid w:val="000301BB"/>
    <w:rsid w:val="0003037B"/>
    <w:rsid w:val="000314FC"/>
    <w:rsid w:val="000322EF"/>
    <w:rsid w:val="0003495B"/>
    <w:rsid w:val="00034CDB"/>
    <w:rsid w:val="000367CF"/>
    <w:rsid w:val="000428C5"/>
    <w:rsid w:val="0004387F"/>
    <w:rsid w:val="00043D07"/>
    <w:rsid w:val="0004708E"/>
    <w:rsid w:val="000470F5"/>
    <w:rsid w:val="00053CF6"/>
    <w:rsid w:val="00061B9F"/>
    <w:rsid w:val="00063B55"/>
    <w:rsid w:val="00063FD3"/>
    <w:rsid w:val="00071484"/>
    <w:rsid w:val="00071D99"/>
    <w:rsid w:val="00072CDB"/>
    <w:rsid w:val="00077F83"/>
    <w:rsid w:val="000809C1"/>
    <w:rsid w:val="00081960"/>
    <w:rsid w:val="00081CF3"/>
    <w:rsid w:val="00082C0C"/>
    <w:rsid w:val="00082E9D"/>
    <w:rsid w:val="00085AE7"/>
    <w:rsid w:val="00086A27"/>
    <w:rsid w:val="00086C2F"/>
    <w:rsid w:val="00087847"/>
    <w:rsid w:val="00092397"/>
    <w:rsid w:val="000966AA"/>
    <w:rsid w:val="00096B4D"/>
    <w:rsid w:val="000979B3"/>
    <w:rsid w:val="000A147F"/>
    <w:rsid w:val="000A3B98"/>
    <w:rsid w:val="000A4B90"/>
    <w:rsid w:val="000A51C3"/>
    <w:rsid w:val="000A6584"/>
    <w:rsid w:val="000B0FDA"/>
    <w:rsid w:val="000B39FD"/>
    <w:rsid w:val="000B3E33"/>
    <w:rsid w:val="000B3E60"/>
    <w:rsid w:val="000C159C"/>
    <w:rsid w:val="000C4A43"/>
    <w:rsid w:val="000D1DE8"/>
    <w:rsid w:val="000D68E1"/>
    <w:rsid w:val="000D7029"/>
    <w:rsid w:val="000D76DB"/>
    <w:rsid w:val="000D7EDD"/>
    <w:rsid w:val="000E1D89"/>
    <w:rsid w:val="000E2E09"/>
    <w:rsid w:val="000E306E"/>
    <w:rsid w:val="000F0590"/>
    <w:rsid w:val="000F0810"/>
    <w:rsid w:val="000F3B35"/>
    <w:rsid w:val="000F414E"/>
    <w:rsid w:val="000F623C"/>
    <w:rsid w:val="000F64BD"/>
    <w:rsid w:val="000F7419"/>
    <w:rsid w:val="00103B0E"/>
    <w:rsid w:val="001067AE"/>
    <w:rsid w:val="00106C2D"/>
    <w:rsid w:val="0010730E"/>
    <w:rsid w:val="00113321"/>
    <w:rsid w:val="001157CE"/>
    <w:rsid w:val="00117CA5"/>
    <w:rsid w:val="00121160"/>
    <w:rsid w:val="00125799"/>
    <w:rsid w:val="00125F67"/>
    <w:rsid w:val="00130358"/>
    <w:rsid w:val="00130F80"/>
    <w:rsid w:val="00131656"/>
    <w:rsid w:val="00133AA1"/>
    <w:rsid w:val="00135230"/>
    <w:rsid w:val="001376AE"/>
    <w:rsid w:val="001453F5"/>
    <w:rsid w:val="0014627D"/>
    <w:rsid w:val="0014718D"/>
    <w:rsid w:val="00152C0C"/>
    <w:rsid w:val="00154DBB"/>
    <w:rsid w:val="0015528B"/>
    <w:rsid w:val="0015673C"/>
    <w:rsid w:val="00157505"/>
    <w:rsid w:val="001602F5"/>
    <w:rsid w:val="00160B48"/>
    <w:rsid w:val="001616EA"/>
    <w:rsid w:val="00162BD4"/>
    <w:rsid w:val="0016339C"/>
    <w:rsid w:val="00164962"/>
    <w:rsid w:val="00171C0F"/>
    <w:rsid w:val="00173145"/>
    <w:rsid w:val="00173166"/>
    <w:rsid w:val="001738C0"/>
    <w:rsid w:val="00176DE4"/>
    <w:rsid w:val="00176F23"/>
    <w:rsid w:val="00180FA4"/>
    <w:rsid w:val="001811B1"/>
    <w:rsid w:val="00181F91"/>
    <w:rsid w:val="00184BCC"/>
    <w:rsid w:val="00184E9E"/>
    <w:rsid w:val="0018538B"/>
    <w:rsid w:val="00185801"/>
    <w:rsid w:val="00186F16"/>
    <w:rsid w:val="001873BF"/>
    <w:rsid w:val="00194799"/>
    <w:rsid w:val="00194C0D"/>
    <w:rsid w:val="00194FF8"/>
    <w:rsid w:val="00196BCE"/>
    <w:rsid w:val="001A2C2F"/>
    <w:rsid w:val="001A2F24"/>
    <w:rsid w:val="001A3008"/>
    <w:rsid w:val="001A3BE5"/>
    <w:rsid w:val="001B053E"/>
    <w:rsid w:val="001B2DAD"/>
    <w:rsid w:val="001B2F96"/>
    <w:rsid w:val="001B73B3"/>
    <w:rsid w:val="001B7CBC"/>
    <w:rsid w:val="001C12F3"/>
    <w:rsid w:val="001C15D4"/>
    <w:rsid w:val="001C212D"/>
    <w:rsid w:val="001C3D46"/>
    <w:rsid w:val="001C4B72"/>
    <w:rsid w:val="001C7B87"/>
    <w:rsid w:val="001D03C9"/>
    <w:rsid w:val="001D3650"/>
    <w:rsid w:val="001D46A0"/>
    <w:rsid w:val="001D7660"/>
    <w:rsid w:val="001E0FE1"/>
    <w:rsid w:val="001E1303"/>
    <w:rsid w:val="001E345B"/>
    <w:rsid w:val="001E3619"/>
    <w:rsid w:val="001F3262"/>
    <w:rsid w:val="001F44BF"/>
    <w:rsid w:val="001F7B4A"/>
    <w:rsid w:val="00200A41"/>
    <w:rsid w:val="0020111C"/>
    <w:rsid w:val="0020345A"/>
    <w:rsid w:val="00205953"/>
    <w:rsid w:val="002108E2"/>
    <w:rsid w:val="00214FBC"/>
    <w:rsid w:val="002178A6"/>
    <w:rsid w:val="00217B6C"/>
    <w:rsid w:val="0022172F"/>
    <w:rsid w:val="00224086"/>
    <w:rsid w:val="002241F4"/>
    <w:rsid w:val="00224820"/>
    <w:rsid w:val="00224C07"/>
    <w:rsid w:val="002255AF"/>
    <w:rsid w:val="00225C51"/>
    <w:rsid w:val="00225EC8"/>
    <w:rsid w:val="00226079"/>
    <w:rsid w:val="0022611B"/>
    <w:rsid w:val="00226B5C"/>
    <w:rsid w:val="00227149"/>
    <w:rsid w:val="002327B1"/>
    <w:rsid w:val="00234A18"/>
    <w:rsid w:val="00237B62"/>
    <w:rsid w:val="00240E7B"/>
    <w:rsid w:val="002411EF"/>
    <w:rsid w:val="002413DB"/>
    <w:rsid w:val="0024152B"/>
    <w:rsid w:val="0024187E"/>
    <w:rsid w:val="00244484"/>
    <w:rsid w:val="002451E3"/>
    <w:rsid w:val="00246511"/>
    <w:rsid w:val="00250442"/>
    <w:rsid w:val="002525C0"/>
    <w:rsid w:val="00253AD0"/>
    <w:rsid w:val="00255BA1"/>
    <w:rsid w:val="00261095"/>
    <w:rsid w:val="00263134"/>
    <w:rsid w:val="00266297"/>
    <w:rsid w:val="00267C0B"/>
    <w:rsid w:val="00270647"/>
    <w:rsid w:val="002710AB"/>
    <w:rsid w:val="00271D50"/>
    <w:rsid w:val="002740E6"/>
    <w:rsid w:val="00276C2F"/>
    <w:rsid w:val="002778DE"/>
    <w:rsid w:val="002814BD"/>
    <w:rsid w:val="00281A86"/>
    <w:rsid w:val="00282334"/>
    <w:rsid w:val="0028394A"/>
    <w:rsid w:val="00284B22"/>
    <w:rsid w:val="002858FB"/>
    <w:rsid w:val="00286DE4"/>
    <w:rsid w:val="00287BC2"/>
    <w:rsid w:val="00292CF7"/>
    <w:rsid w:val="002933AA"/>
    <w:rsid w:val="00293672"/>
    <w:rsid w:val="00293C87"/>
    <w:rsid w:val="002959FD"/>
    <w:rsid w:val="002A03E0"/>
    <w:rsid w:val="002A2B43"/>
    <w:rsid w:val="002A3F22"/>
    <w:rsid w:val="002A68DC"/>
    <w:rsid w:val="002B2E07"/>
    <w:rsid w:val="002B47A7"/>
    <w:rsid w:val="002C08AF"/>
    <w:rsid w:val="002C31DB"/>
    <w:rsid w:val="002C4EE1"/>
    <w:rsid w:val="002C5874"/>
    <w:rsid w:val="002C7074"/>
    <w:rsid w:val="002C7235"/>
    <w:rsid w:val="002C7B58"/>
    <w:rsid w:val="002D0EB2"/>
    <w:rsid w:val="002D1024"/>
    <w:rsid w:val="002D1A27"/>
    <w:rsid w:val="002D2B8E"/>
    <w:rsid w:val="002D6FA2"/>
    <w:rsid w:val="002D7351"/>
    <w:rsid w:val="002D7AF4"/>
    <w:rsid w:val="002E2643"/>
    <w:rsid w:val="002F032C"/>
    <w:rsid w:val="002F0F3E"/>
    <w:rsid w:val="002F1F7A"/>
    <w:rsid w:val="002F6302"/>
    <w:rsid w:val="002F6731"/>
    <w:rsid w:val="002F6942"/>
    <w:rsid w:val="002F7D00"/>
    <w:rsid w:val="0030028F"/>
    <w:rsid w:val="00301907"/>
    <w:rsid w:val="003048D8"/>
    <w:rsid w:val="00306571"/>
    <w:rsid w:val="00306EF4"/>
    <w:rsid w:val="00310D6E"/>
    <w:rsid w:val="0031251C"/>
    <w:rsid w:val="00313563"/>
    <w:rsid w:val="00313637"/>
    <w:rsid w:val="00313B88"/>
    <w:rsid w:val="00315A52"/>
    <w:rsid w:val="00323D9E"/>
    <w:rsid w:val="00324609"/>
    <w:rsid w:val="00331B18"/>
    <w:rsid w:val="003320A3"/>
    <w:rsid w:val="003330D9"/>
    <w:rsid w:val="00333F70"/>
    <w:rsid w:val="00335DE2"/>
    <w:rsid w:val="00341C44"/>
    <w:rsid w:val="0034244B"/>
    <w:rsid w:val="003424F6"/>
    <w:rsid w:val="003431D5"/>
    <w:rsid w:val="003435C0"/>
    <w:rsid w:val="00343CD1"/>
    <w:rsid w:val="00345433"/>
    <w:rsid w:val="003455B3"/>
    <w:rsid w:val="003468EA"/>
    <w:rsid w:val="003503C7"/>
    <w:rsid w:val="00350A4D"/>
    <w:rsid w:val="00354B33"/>
    <w:rsid w:val="003552DD"/>
    <w:rsid w:val="00355343"/>
    <w:rsid w:val="00357D32"/>
    <w:rsid w:val="00357FBD"/>
    <w:rsid w:val="0036138B"/>
    <w:rsid w:val="00362EDE"/>
    <w:rsid w:val="00363AB0"/>
    <w:rsid w:val="0036414B"/>
    <w:rsid w:val="00364C1F"/>
    <w:rsid w:val="003664F2"/>
    <w:rsid w:val="00370E39"/>
    <w:rsid w:val="0037109E"/>
    <w:rsid w:val="0037777A"/>
    <w:rsid w:val="003777F9"/>
    <w:rsid w:val="00377E1B"/>
    <w:rsid w:val="00381452"/>
    <w:rsid w:val="003822D5"/>
    <w:rsid w:val="0038267B"/>
    <w:rsid w:val="00382744"/>
    <w:rsid w:val="00385B21"/>
    <w:rsid w:val="00386D92"/>
    <w:rsid w:val="00392048"/>
    <w:rsid w:val="0039240B"/>
    <w:rsid w:val="0039392D"/>
    <w:rsid w:val="003940E3"/>
    <w:rsid w:val="003967A6"/>
    <w:rsid w:val="003A051B"/>
    <w:rsid w:val="003A0D29"/>
    <w:rsid w:val="003A4DDC"/>
    <w:rsid w:val="003A5B84"/>
    <w:rsid w:val="003A7108"/>
    <w:rsid w:val="003A72AA"/>
    <w:rsid w:val="003B0AAB"/>
    <w:rsid w:val="003B2894"/>
    <w:rsid w:val="003B2C7B"/>
    <w:rsid w:val="003B3921"/>
    <w:rsid w:val="003C0760"/>
    <w:rsid w:val="003C1798"/>
    <w:rsid w:val="003C4083"/>
    <w:rsid w:val="003D11E1"/>
    <w:rsid w:val="003D278B"/>
    <w:rsid w:val="003D3386"/>
    <w:rsid w:val="003D726F"/>
    <w:rsid w:val="003E0669"/>
    <w:rsid w:val="003E2B89"/>
    <w:rsid w:val="003E36A3"/>
    <w:rsid w:val="003F26DB"/>
    <w:rsid w:val="003F55DC"/>
    <w:rsid w:val="003F6172"/>
    <w:rsid w:val="003F7701"/>
    <w:rsid w:val="003F79F9"/>
    <w:rsid w:val="004001E6"/>
    <w:rsid w:val="00401E78"/>
    <w:rsid w:val="00407563"/>
    <w:rsid w:val="00413543"/>
    <w:rsid w:val="00416020"/>
    <w:rsid w:val="00416717"/>
    <w:rsid w:val="0042336F"/>
    <w:rsid w:val="00434BF7"/>
    <w:rsid w:val="00435CFF"/>
    <w:rsid w:val="004375A5"/>
    <w:rsid w:val="00440F23"/>
    <w:rsid w:val="00441A43"/>
    <w:rsid w:val="00442B84"/>
    <w:rsid w:val="0044645A"/>
    <w:rsid w:val="00450CE6"/>
    <w:rsid w:val="00450EF2"/>
    <w:rsid w:val="00453011"/>
    <w:rsid w:val="0045366E"/>
    <w:rsid w:val="00455CCA"/>
    <w:rsid w:val="0045666B"/>
    <w:rsid w:val="00456BBA"/>
    <w:rsid w:val="00460F13"/>
    <w:rsid w:val="004620A9"/>
    <w:rsid w:val="0046235B"/>
    <w:rsid w:val="00462531"/>
    <w:rsid w:val="00462F9D"/>
    <w:rsid w:val="00464C87"/>
    <w:rsid w:val="00464DFC"/>
    <w:rsid w:val="00466F08"/>
    <w:rsid w:val="00467E79"/>
    <w:rsid w:val="00471BEF"/>
    <w:rsid w:val="00473134"/>
    <w:rsid w:val="004757ED"/>
    <w:rsid w:val="00481143"/>
    <w:rsid w:val="004814AC"/>
    <w:rsid w:val="00486CF0"/>
    <w:rsid w:val="00497292"/>
    <w:rsid w:val="00497350"/>
    <w:rsid w:val="00497A54"/>
    <w:rsid w:val="004A0D02"/>
    <w:rsid w:val="004A1AE6"/>
    <w:rsid w:val="004A51A2"/>
    <w:rsid w:val="004A6924"/>
    <w:rsid w:val="004B2990"/>
    <w:rsid w:val="004B2D15"/>
    <w:rsid w:val="004B38FB"/>
    <w:rsid w:val="004B3F9B"/>
    <w:rsid w:val="004B4678"/>
    <w:rsid w:val="004B7470"/>
    <w:rsid w:val="004C07D4"/>
    <w:rsid w:val="004C2D6F"/>
    <w:rsid w:val="004C4BD0"/>
    <w:rsid w:val="004D0659"/>
    <w:rsid w:val="004D1280"/>
    <w:rsid w:val="004D225A"/>
    <w:rsid w:val="004D2C83"/>
    <w:rsid w:val="004D4876"/>
    <w:rsid w:val="004D562C"/>
    <w:rsid w:val="004D6308"/>
    <w:rsid w:val="004E1885"/>
    <w:rsid w:val="004E2722"/>
    <w:rsid w:val="004E31A1"/>
    <w:rsid w:val="004E5724"/>
    <w:rsid w:val="004F203D"/>
    <w:rsid w:val="004F3BBE"/>
    <w:rsid w:val="004F3FFB"/>
    <w:rsid w:val="004F4C99"/>
    <w:rsid w:val="004F7210"/>
    <w:rsid w:val="004F737F"/>
    <w:rsid w:val="00500C7C"/>
    <w:rsid w:val="005039D3"/>
    <w:rsid w:val="0050482E"/>
    <w:rsid w:val="00506106"/>
    <w:rsid w:val="005116CC"/>
    <w:rsid w:val="00513263"/>
    <w:rsid w:val="00513F7A"/>
    <w:rsid w:val="00514BDF"/>
    <w:rsid w:val="0051545D"/>
    <w:rsid w:val="00516796"/>
    <w:rsid w:val="005238E7"/>
    <w:rsid w:val="00523AF0"/>
    <w:rsid w:val="00532FC8"/>
    <w:rsid w:val="00535645"/>
    <w:rsid w:val="00537457"/>
    <w:rsid w:val="005410AF"/>
    <w:rsid w:val="005426E9"/>
    <w:rsid w:val="00544F00"/>
    <w:rsid w:val="005452F2"/>
    <w:rsid w:val="005454F4"/>
    <w:rsid w:val="00545DF9"/>
    <w:rsid w:val="00551E3F"/>
    <w:rsid w:val="00552D05"/>
    <w:rsid w:val="0055350E"/>
    <w:rsid w:val="00553AFD"/>
    <w:rsid w:val="00555022"/>
    <w:rsid w:val="005569F7"/>
    <w:rsid w:val="00557125"/>
    <w:rsid w:val="00557CCA"/>
    <w:rsid w:val="005628C6"/>
    <w:rsid w:val="00563649"/>
    <w:rsid w:val="00563A98"/>
    <w:rsid w:val="00565F97"/>
    <w:rsid w:val="005662FA"/>
    <w:rsid w:val="00567728"/>
    <w:rsid w:val="005715FF"/>
    <w:rsid w:val="005750D3"/>
    <w:rsid w:val="005839B0"/>
    <w:rsid w:val="005871CE"/>
    <w:rsid w:val="00596D1A"/>
    <w:rsid w:val="005A051E"/>
    <w:rsid w:val="005A30C7"/>
    <w:rsid w:val="005A37B8"/>
    <w:rsid w:val="005A496B"/>
    <w:rsid w:val="005B4CAA"/>
    <w:rsid w:val="005C3A07"/>
    <w:rsid w:val="005C4C9C"/>
    <w:rsid w:val="005C62D0"/>
    <w:rsid w:val="005D1F12"/>
    <w:rsid w:val="005D3E4D"/>
    <w:rsid w:val="005D5403"/>
    <w:rsid w:val="005D69D0"/>
    <w:rsid w:val="005D79A5"/>
    <w:rsid w:val="005E1E3E"/>
    <w:rsid w:val="005E3892"/>
    <w:rsid w:val="005E61F9"/>
    <w:rsid w:val="005F3DDF"/>
    <w:rsid w:val="005F602B"/>
    <w:rsid w:val="005F62EF"/>
    <w:rsid w:val="00600207"/>
    <w:rsid w:val="00600B36"/>
    <w:rsid w:val="00603BE4"/>
    <w:rsid w:val="00604215"/>
    <w:rsid w:val="0060622A"/>
    <w:rsid w:val="006203EF"/>
    <w:rsid w:val="00621E64"/>
    <w:rsid w:val="00622AA6"/>
    <w:rsid w:val="00622EFF"/>
    <w:rsid w:val="0062338F"/>
    <w:rsid w:val="00623400"/>
    <w:rsid w:val="0062352A"/>
    <w:rsid w:val="00627971"/>
    <w:rsid w:val="00632082"/>
    <w:rsid w:val="0063217E"/>
    <w:rsid w:val="00634324"/>
    <w:rsid w:val="006361AE"/>
    <w:rsid w:val="00636459"/>
    <w:rsid w:val="006401C9"/>
    <w:rsid w:val="00640EE9"/>
    <w:rsid w:val="00643105"/>
    <w:rsid w:val="0064520D"/>
    <w:rsid w:val="006455A2"/>
    <w:rsid w:val="00646859"/>
    <w:rsid w:val="006514CC"/>
    <w:rsid w:val="006525DA"/>
    <w:rsid w:val="00652948"/>
    <w:rsid w:val="0065479D"/>
    <w:rsid w:val="006552BE"/>
    <w:rsid w:val="006649D1"/>
    <w:rsid w:val="00670B6E"/>
    <w:rsid w:val="00670FF5"/>
    <w:rsid w:val="006723B8"/>
    <w:rsid w:val="006730DC"/>
    <w:rsid w:val="006735C2"/>
    <w:rsid w:val="00674C65"/>
    <w:rsid w:val="00674F84"/>
    <w:rsid w:val="00675E4E"/>
    <w:rsid w:val="006767E9"/>
    <w:rsid w:val="006777B4"/>
    <w:rsid w:val="00677A07"/>
    <w:rsid w:val="00683BFE"/>
    <w:rsid w:val="006867F8"/>
    <w:rsid w:val="00687810"/>
    <w:rsid w:val="0069053E"/>
    <w:rsid w:val="00693F3F"/>
    <w:rsid w:val="00694531"/>
    <w:rsid w:val="00694673"/>
    <w:rsid w:val="00694FA3"/>
    <w:rsid w:val="0069547B"/>
    <w:rsid w:val="00696A99"/>
    <w:rsid w:val="00696D88"/>
    <w:rsid w:val="00696E9F"/>
    <w:rsid w:val="00697C45"/>
    <w:rsid w:val="006A0395"/>
    <w:rsid w:val="006A1955"/>
    <w:rsid w:val="006A1BE8"/>
    <w:rsid w:val="006A2F61"/>
    <w:rsid w:val="006A3767"/>
    <w:rsid w:val="006A5877"/>
    <w:rsid w:val="006A5AD6"/>
    <w:rsid w:val="006A79E9"/>
    <w:rsid w:val="006B5696"/>
    <w:rsid w:val="006B7B76"/>
    <w:rsid w:val="006C15AA"/>
    <w:rsid w:val="006C1FB2"/>
    <w:rsid w:val="006C2246"/>
    <w:rsid w:val="006C2496"/>
    <w:rsid w:val="006C26E5"/>
    <w:rsid w:val="006C319B"/>
    <w:rsid w:val="006C5F42"/>
    <w:rsid w:val="006C6B2A"/>
    <w:rsid w:val="006C7E4A"/>
    <w:rsid w:val="006D13C2"/>
    <w:rsid w:val="006D1BDB"/>
    <w:rsid w:val="006D3857"/>
    <w:rsid w:val="006D446E"/>
    <w:rsid w:val="006D4BD1"/>
    <w:rsid w:val="006E1245"/>
    <w:rsid w:val="006E4653"/>
    <w:rsid w:val="006E4B20"/>
    <w:rsid w:val="006E4BC5"/>
    <w:rsid w:val="006E5436"/>
    <w:rsid w:val="006E5498"/>
    <w:rsid w:val="006E73F7"/>
    <w:rsid w:val="006F28A2"/>
    <w:rsid w:val="006F3EA2"/>
    <w:rsid w:val="006F4357"/>
    <w:rsid w:val="006F6459"/>
    <w:rsid w:val="006F793C"/>
    <w:rsid w:val="00700C3C"/>
    <w:rsid w:val="007013BE"/>
    <w:rsid w:val="00704986"/>
    <w:rsid w:val="00705011"/>
    <w:rsid w:val="00707730"/>
    <w:rsid w:val="007112BA"/>
    <w:rsid w:val="00712208"/>
    <w:rsid w:val="007123B8"/>
    <w:rsid w:val="00717132"/>
    <w:rsid w:val="00717E85"/>
    <w:rsid w:val="0072083D"/>
    <w:rsid w:val="00721781"/>
    <w:rsid w:val="007218EB"/>
    <w:rsid w:val="0072478C"/>
    <w:rsid w:val="007255DB"/>
    <w:rsid w:val="00730C37"/>
    <w:rsid w:val="00736C5C"/>
    <w:rsid w:val="0073786D"/>
    <w:rsid w:val="00737A9E"/>
    <w:rsid w:val="00741458"/>
    <w:rsid w:val="00752C78"/>
    <w:rsid w:val="00756D88"/>
    <w:rsid w:val="0076297E"/>
    <w:rsid w:val="0076414D"/>
    <w:rsid w:val="0076535D"/>
    <w:rsid w:val="00765394"/>
    <w:rsid w:val="0077222B"/>
    <w:rsid w:val="00775041"/>
    <w:rsid w:val="0077531B"/>
    <w:rsid w:val="00783711"/>
    <w:rsid w:val="00783810"/>
    <w:rsid w:val="00783B1B"/>
    <w:rsid w:val="007921F0"/>
    <w:rsid w:val="00792B1E"/>
    <w:rsid w:val="00792F2F"/>
    <w:rsid w:val="007951D8"/>
    <w:rsid w:val="007971EF"/>
    <w:rsid w:val="007A02CA"/>
    <w:rsid w:val="007A0A30"/>
    <w:rsid w:val="007A1254"/>
    <w:rsid w:val="007A326F"/>
    <w:rsid w:val="007A52AA"/>
    <w:rsid w:val="007A5E6C"/>
    <w:rsid w:val="007A6836"/>
    <w:rsid w:val="007A6B7F"/>
    <w:rsid w:val="007A7C54"/>
    <w:rsid w:val="007A7F0A"/>
    <w:rsid w:val="007B069E"/>
    <w:rsid w:val="007B486B"/>
    <w:rsid w:val="007B5822"/>
    <w:rsid w:val="007B5D7F"/>
    <w:rsid w:val="007B6DD6"/>
    <w:rsid w:val="007B79B8"/>
    <w:rsid w:val="007C05BC"/>
    <w:rsid w:val="007C14CB"/>
    <w:rsid w:val="007C3BE8"/>
    <w:rsid w:val="007C4BA8"/>
    <w:rsid w:val="007C7686"/>
    <w:rsid w:val="007C7C40"/>
    <w:rsid w:val="007C7D6C"/>
    <w:rsid w:val="007E089B"/>
    <w:rsid w:val="007E6B00"/>
    <w:rsid w:val="007F013B"/>
    <w:rsid w:val="007F0295"/>
    <w:rsid w:val="007F1426"/>
    <w:rsid w:val="007F2169"/>
    <w:rsid w:val="007F21A5"/>
    <w:rsid w:val="007F3300"/>
    <w:rsid w:val="007F3798"/>
    <w:rsid w:val="007F5321"/>
    <w:rsid w:val="007F69F5"/>
    <w:rsid w:val="007F6B63"/>
    <w:rsid w:val="008000C1"/>
    <w:rsid w:val="0080153E"/>
    <w:rsid w:val="0080277A"/>
    <w:rsid w:val="00804A0F"/>
    <w:rsid w:val="008052DD"/>
    <w:rsid w:val="008101CA"/>
    <w:rsid w:val="00811CA6"/>
    <w:rsid w:val="00815067"/>
    <w:rsid w:val="008151C3"/>
    <w:rsid w:val="008161FA"/>
    <w:rsid w:val="0082500C"/>
    <w:rsid w:val="00825FB1"/>
    <w:rsid w:val="008320D5"/>
    <w:rsid w:val="00832B2B"/>
    <w:rsid w:val="008332EF"/>
    <w:rsid w:val="00833534"/>
    <w:rsid w:val="0083405D"/>
    <w:rsid w:val="00834FA1"/>
    <w:rsid w:val="00835597"/>
    <w:rsid w:val="008416F3"/>
    <w:rsid w:val="00847DFA"/>
    <w:rsid w:val="00850EA7"/>
    <w:rsid w:val="008521D6"/>
    <w:rsid w:val="00855EE9"/>
    <w:rsid w:val="0085648C"/>
    <w:rsid w:val="00856B11"/>
    <w:rsid w:val="00861867"/>
    <w:rsid w:val="00861C78"/>
    <w:rsid w:val="008624CA"/>
    <w:rsid w:val="00863330"/>
    <w:rsid w:val="0086351C"/>
    <w:rsid w:val="00863A0D"/>
    <w:rsid w:val="00865E5D"/>
    <w:rsid w:val="008674D0"/>
    <w:rsid w:val="008714A1"/>
    <w:rsid w:val="00872B4C"/>
    <w:rsid w:val="00874610"/>
    <w:rsid w:val="00875DBE"/>
    <w:rsid w:val="00882B21"/>
    <w:rsid w:val="0088569C"/>
    <w:rsid w:val="008859E0"/>
    <w:rsid w:val="00892BC0"/>
    <w:rsid w:val="0089428B"/>
    <w:rsid w:val="00895AD4"/>
    <w:rsid w:val="0089604A"/>
    <w:rsid w:val="008A116D"/>
    <w:rsid w:val="008A7256"/>
    <w:rsid w:val="008A7DEE"/>
    <w:rsid w:val="008B00DC"/>
    <w:rsid w:val="008B093C"/>
    <w:rsid w:val="008B18B9"/>
    <w:rsid w:val="008B1CF8"/>
    <w:rsid w:val="008B2D4D"/>
    <w:rsid w:val="008B2F21"/>
    <w:rsid w:val="008B4D0D"/>
    <w:rsid w:val="008B6F23"/>
    <w:rsid w:val="008C0130"/>
    <w:rsid w:val="008C60FF"/>
    <w:rsid w:val="008C752B"/>
    <w:rsid w:val="008D143D"/>
    <w:rsid w:val="008D459C"/>
    <w:rsid w:val="008D4ABE"/>
    <w:rsid w:val="008D6804"/>
    <w:rsid w:val="008D73A9"/>
    <w:rsid w:val="008E5285"/>
    <w:rsid w:val="008F1196"/>
    <w:rsid w:val="008F26D6"/>
    <w:rsid w:val="008F33D1"/>
    <w:rsid w:val="008F559C"/>
    <w:rsid w:val="008F5B9A"/>
    <w:rsid w:val="00900921"/>
    <w:rsid w:val="009009DE"/>
    <w:rsid w:val="009122B4"/>
    <w:rsid w:val="00912A1B"/>
    <w:rsid w:val="00912A1D"/>
    <w:rsid w:val="00917AFD"/>
    <w:rsid w:val="0092158B"/>
    <w:rsid w:val="00922206"/>
    <w:rsid w:val="00922256"/>
    <w:rsid w:val="00923674"/>
    <w:rsid w:val="00926164"/>
    <w:rsid w:val="00932ECA"/>
    <w:rsid w:val="00932F84"/>
    <w:rsid w:val="00936B94"/>
    <w:rsid w:val="00937DEB"/>
    <w:rsid w:val="00942B1C"/>
    <w:rsid w:val="00943503"/>
    <w:rsid w:val="00944574"/>
    <w:rsid w:val="00947892"/>
    <w:rsid w:val="009509CA"/>
    <w:rsid w:val="00950B1B"/>
    <w:rsid w:val="00950C46"/>
    <w:rsid w:val="00951355"/>
    <w:rsid w:val="00951D39"/>
    <w:rsid w:val="00955112"/>
    <w:rsid w:val="00955A84"/>
    <w:rsid w:val="00960F86"/>
    <w:rsid w:val="009653A2"/>
    <w:rsid w:val="00966D78"/>
    <w:rsid w:val="00973738"/>
    <w:rsid w:val="00977FD2"/>
    <w:rsid w:val="00981FD6"/>
    <w:rsid w:val="00985436"/>
    <w:rsid w:val="00985B5B"/>
    <w:rsid w:val="00985BE0"/>
    <w:rsid w:val="00990E26"/>
    <w:rsid w:val="00992DC4"/>
    <w:rsid w:val="009B336B"/>
    <w:rsid w:val="009B365D"/>
    <w:rsid w:val="009B4D1B"/>
    <w:rsid w:val="009B5DAB"/>
    <w:rsid w:val="009B6DF2"/>
    <w:rsid w:val="009C2953"/>
    <w:rsid w:val="009C4FE8"/>
    <w:rsid w:val="009C6257"/>
    <w:rsid w:val="009D6D8E"/>
    <w:rsid w:val="009D6F74"/>
    <w:rsid w:val="009D7D38"/>
    <w:rsid w:val="009D7F93"/>
    <w:rsid w:val="009E6C26"/>
    <w:rsid w:val="009F0A79"/>
    <w:rsid w:val="009F0FA5"/>
    <w:rsid w:val="009F34FA"/>
    <w:rsid w:val="009F3FC6"/>
    <w:rsid w:val="009F6690"/>
    <w:rsid w:val="00A019A1"/>
    <w:rsid w:val="00A04D52"/>
    <w:rsid w:val="00A05DF1"/>
    <w:rsid w:val="00A06466"/>
    <w:rsid w:val="00A06DA4"/>
    <w:rsid w:val="00A10763"/>
    <w:rsid w:val="00A20331"/>
    <w:rsid w:val="00A21258"/>
    <w:rsid w:val="00A244E5"/>
    <w:rsid w:val="00A25227"/>
    <w:rsid w:val="00A25824"/>
    <w:rsid w:val="00A312B3"/>
    <w:rsid w:val="00A31F1E"/>
    <w:rsid w:val="00A32082"/>
    <w:rsid w:val="00A340F5"/>
    <w:rsid w:val="00A3503E"/>
    <w:rsid w:val="00A352FC"/>
    <w:rsid w:val="00A35A6D"/>
    <w:rsid w:val="00A36612"/>
    <w:rsid w:val="00A37F17"/>
    <w:rsid w:val="00A412E6"/>
    <w:rsid w:val="00A420B3"/>
    <w:rsid w:val="00A42AF3"/>
    <w:rsid w:val="00A461CE"/>
    <w:rsid w:val="00A5406C"/>
    <w:rsid w:val="00A55D5E"/>
    <w:rsid w:val="00A57399"/>
    <w:rsid w:val="00A6028A"/>
    <w:rsid w:val="00A60EA6"/>
    <w:rsid w:val="00A64100"/>
    <w:rsid w:val="00A65598"/>
    <w:rsid w:val="00A6605C"/>
    <w:rsid w:val="00A66060"/>
    <w:rsid w:val="00A671C0"/>
    <w:rsid w:val="00A7118C"/>
    <w:rsid w:val="00A74DB0"/>
    <w:rsid w:val="00A75824"/>
    <w:rsid w:val="00A7683B"/>
    <w:rsid w:val="00A86808"/>
    <w:rsid w:val="00A8783E"/>
    <w:rsid w:val="00A921D5"/>
    <w:rsid w:val="00A9361C"/>
    <w:rsid w:val="00A94E52"/>
    <w:rsid w:val="00A95B05"/>
    <w:rsid w:val="00A970CF"/>
    <w:rsid w:val="00AA058D"/>
    <w:rsid w:val="00AA3084"/>
    <w:rsid w:val="00AA3164"/>
    <w:rsid w:val="00AA3959"/>
    <w:rsid w:val="00AA3A7C"/>
    <w:rsid w:val="00AA4153"/>
    <w:rsid w:val="00AA6C6F"/>
    <w:rsid w:val="00AB2A13"/>
    <w:rsid w:val="00AB403F"/>
    <w:rsid w:val="00AB5AFA"/>
    <w:rsid w:val="00AB6150"/>
    <w:rsid w:val="00AB6ECF"/>
    <w:rsid w:val="00AC1108"/>
    <w:rsid w:val="00AC3FFD"/>
    <w:rsid w:val="00AD07CE"/>
    <w:rsid w:val="00AD08F1"/>
    <w:rsid w:val="00AD0DE4"/>
    <w:rsid w:val="00AD3322"/>
    <w:rsid w:val="00AD3625"/>
    <w:rsid w:val="00AE0B49"/>
    <w:rsid w:val="00AE3D23"/>
    <w:rsid w:val="00AE7516"/>
    <w:rsid w:val="00AF2C15"/>
    <w:rsid w:val="00AF3728"/>
    <w:rsid w:val="00AF4FE6"/>
    <w:rsid w:val="00B01116"/>
    <w:rsid w:val="00B0422D"/>
    <w:rsid w:val="00B07450"/>
    <w:rsid w:val="00B0749C"/>
    <w:rsid w:val="00B11119"/>
    <w:rsid w:val="00B115BF"/>
    <w:rsid w:val="00B11E46"/>
    <w:rsid w:val="00B15E06"/>
    <w:rsid w:val="00B205B9"/>
    <w:rsid w:val="00B21B49"/>
    <w:rsid w:val="00B23398"/>
    <w:rsid w:val="00B25748"/>
    <w:rsid w:val="00B2624C"/>
    <w:rsid w:val="00B271EC"/>
    <w:rsid w:val="00B27632"/>
    <w:rsid w:val="00B3085B"/>
    <w:rsid w:val="00B32EFA"/>
    <w:rsid w:val="00B33BAF"/>
    <w:rsid w:val="00B33E5F"/>
    <w:rsid w:val="00B35E5B"/>
    <w:rsid w:val="00B41CB2"/>
    <w:rsid w:val="00B42908"/>
    <w:rsid w:val="00B4346C"/>
    <w:rsid w:val="00B4359F"/>
    <w:rsid w:val="00B523D8"/>
    <w:rsid w:val="00B54BD8"/>
    <w:rsid w:val="00B56142"/>
    <w:rsid w:val="00B56BC3"/>
    <w:rsid w:val="00B57798"/>
    <w:rsid w:val="00B60DA4"/>
    <w:rsid w:val="00B61D14"/>
    <w:rsid w:val="00B623C7"/>
    <w:rsid w:val="00B670C5"/>
    <w:rsid w:val="00B67368"/>
    <w:rsid w:val="00B710D6"/>
    <w:rsid w:val="00B72B9C"/>
    <w:rsid w:val="00B75FBC"/>
    <w:rsid w:val="00B81283"/>
    <w:rsid w:val="00B8130E"/>
    <w:rsid w:val="00B85751"/>
    <w:rsid w:val="00B86AC2"/>
    <w:rsid w:val="00B86ED4"/>
    <w:rsid w:val="00B90B18"/>
    <w:rsid w:val="00B91742"/>
    <w:rsid w:val="00B9465B"/>
    <w:rsid w:val="00B96E9E"/>
    <w:rsid w:val="00BA004B"/>
    <w:rsid w:val="00BA0272"/>
    <w:rsid w:val="00BA326C"/>
    <w:rsid w:val="00BA3641"/>
    <w:rsid w:val="00BA3D68"/>
    <w:rsid w:val="00BA54EE"/>
    <w:rsid w:val="00BA66E3"/>
    <w:rsid w:val="00BA7461"/>
    <w:rsid w:val="00BB1D4B"/>
    <w:rsid w:val="00BB3211"/>
    <w:rsid w:val="00BC0966"/>
    <w:rsid w:val="00BC1BB3"/>
    <w:rsid w:val="00BC2517"/>
    <w:rsid w:val="00BC3274"/>
    <w:rsid w:val="00BD17D3"/>
    <w:rsid w:val="00BD3D27"/>
    <w:rsid w:val="00BD5096"/>
    <w:rsid w:val="00BD5597"/>
    <w:rsid w:val="00BD5BD4"/>
    <w:rsid w:val="00BE2453"/>
    <w:rsid w:val="00BE27D8"/>
    <w:rsid w:val="00BE3656"/>
    <w:rsid w:val="00BE42CB"/>
    <w:rsid w:val="00BE4AEF"/>
    <w:rsid w:val="00BE6829"/>
    <w:rsid w:val="00BE74BE"/>
    <w:rsid w:val="00BF2A65"/>
    <w:rsid w:val="00BF4F79"/>
    <w:rsid w:val="00BF5A59"/>
    <w:rsid w:val="00BF75F2"/>
    <w:rsid w:val="00C0231D"/>
    <w:rsid w:val="00C03C9D"/>
    <w:rsid w:val="00C03E5A"/>
    <w:rsid w:val="00C066C2"/>
    <w:rsid w:val="00C0674A"/>
    <w:rsid w:val="00C071F7"/>
    <w:rsid w:val="00C10BF3"/>
    <w:rsid w:val="00C131DF"/>
    <w:rsid w:val="00C14010"/>
    <w:rsid w:val="00C15EF9"/>
    <w:rsid w:val="00C1762D"/>
    <w:rsid w:val="00C20EFA"/>
    <w:rsid w:val="00C300B7"/>
    <w:rsid w:val="00C30645"/>
    <w:rsid w:val="00C3065B"/>
    <w:rsid w:val="00C31C65"/>
    <w:rsid w:val="00C33285"/>
    <w:rsid w:val="00C3484A"/>
    <w:rsid w:val="00C35289"/>
    <w:rsid w:val="00C36285"/>
    <w:rsid w:val="00C36A2A"/>
    <w:rsid w:val="00C378CC"/>
    <w:rsid w:val="00C402D5"/>
    <w:rsid w:val="00C40BFF"/>
    <w:rsid w:val="00C410A8"/>
    <w:rsid w:val="00C4191A"/>
    <w:rsid w:val="00C424C8"/>
    <w:rsid w:val="00C42A6A"/>
    <w:rsid w:val="00C446E0"/>
    <w:rsid w:val="00C448B3"/>
    <w:rsid w:val="00C500C7"/>
    <w:rsid w:val="00C52133"/>
    <w:rsid w:val="00C52C43"/>
    <w:rsid w:val="00C52CAC"/>
    <w:rsid w:val="00C53126"/>
    <w:rsid w:val="00C531D7"/>
    <w:rsid w:val="00C53D4A"/>
    <w:rsid w:val="00C53E41"/>
    <w:rsid w:val="00C545D7"/>
    <w:rsid w:val="00C54F6C"/>
    <w:rsid w:val="00C56A9E"/>
    <w:rsid w:val="00C60CD4"/>
    <w:rsid w:val="00C6151D"/>
    <w:rsid w:val="00C619EB"/>
    <w:rsid w:val="00C64AC0"/>
    <w:rsid w:val="00C724FB"/>
    <w:rsid w:val="00C74DBD"/>
    <w:rsid w:val="00C75D11"/>
    <w:rsid w:val="00C81090"/>
    <w:rsid w:val="00C817C5"/>
    <w:rsid w:val="00C81B67"/>
    <w:rsid w:val="00C834F8"/>
    <w:rsid w:val="00C84035"/>
    <w:rsid w:val="00C908F1"/>
    <w:rsid w:val="00C90C1A"/>
    <w:rsid w:val="00C9300A"/>
    <w:rsid w:val="00C9491A"/>
    <w:rsid w:val="00C951D8"/>
    <w:rsid w:val="00C9763A"/>
    <w:rsid w:val="00CA087E"/>
    <w:rsid w:val="00CA1AD3"/>
    <w:rsid w:val="00CA3163"/>
    <w:rsid w:val="00CA3E0D"/>
    <w:rsid w:val="00CA4D48"/>
    <w:rsid w:val="00CA59BD"/>
    <w:rsid w:val="00CA7FD6"/>
    <w:rsid w:val="00CB1B99"/>
    <w:rsid w:val="00CB2224"/>
    <w:rsid w:val="00CB4430"/>
    <w:rsid w:val="00CB5ABD"/>
    <w:rsid w:val="00CB6D3C"/>
    <w:rsid w:val="00CC1545"/>
    <w:rsid w:val="00CC5473"/>
    <w:rsid w:val="00CD11DE"/>
    <w:rsid w:val="00CD268B"/>
    <w:rsid w:val="00CD2A27"/>
    <w:rsid w:val="00CD30D1"/>
    <w:rsid w:val="00CD3906"/>
    <w:rsid w:val="00CD520D"/>
    <w:rsid w:val="00CD629A"/>
    <w:rsid w:val="00CE3839"/>
    <w:rsid w:val="00CE4F7E"/>
    <w:rsid w:val="00CE5999"/>
    <w:rsid w:val="00CF153A"/>
    <w:rsid w:val="00CF48C2"/>
    <w:rsid w:val="00CF738C"/>
    <w:rsid w:val="00D03B0E"/>
    <w:rsid w:val="00D14655"/>
    <w:rsid w:val="00D20E6B"/>
    <w:rsid w:val="00D214AD"/>
    <w:rsid w:val="00D21CD0"/>
    <w:rsid w:val="00D24745"/>
    <w:rsid w:val="00D24C64"/>
    <w:rsid w:val="00D262F4"/>
    <w:rsid w:val="00D324FC"/>
    <w:rsid w:val="00D32F60"/>
    <w:rsid w:val="00D33420"/>
    <w:rsid w:val="00D3450D"/>
    <w:rsid w:val="00D345DD"/>
    <w:rsid w:val="00D37239"/>
    <w:rsid w:val="00D3763F"/>
    <w:rsid w:val="00D379EC"/>
    <w:rsid w:val="00D40186"/>
    <w:rsid w:val="00D41E57"/>
    <w:rsid w:val="00D44D01"/>
    <w:rsid w:val="00D45B7B"/>
    <w:rsid w:val="00D46175"/>
    <w:rsid w:val="00D50735"/>
    <w:rsid w:val="00D51E0F"/>
    <w:rsid w:val="00D521E3"/>
    <w:rsid w:val="00D5339C"/>
    <w:rsid w:val="00D60592"/>
    <w:rsid w:val="00D61F1F"/>
    <w:rsid w:val="00D64F57"/>
    <w:rsid w:val="00D671F1"/>
    <w:rsid w:val="00D72F94"/>
    <w:rsid w:val="00D7408E"/>
    <w:rsid w:val="00D742CB"/>
    <w:rsid w:val="00D75842"/>
    <w:rsid w:val="00D77761"/>
    <w:rsid w:val="00D80EDB"/>
    <w:rsid w:val="00D81843"/>
    <w:rsid w:val="00D820BD"/>
    <w:rsid w:val="00D825A8"/>
    <w:rsid w:val="00D82758"/>
    <w:rsid w:val="00D82AEB"/>
    <w:rsid w:val="00D858B9"/>
    <w:rsid w:val="00D86572"/>
    <w:rsid w:val="00D86795"/>
    <w:rsid w:val="00D8729E"/>
    <w:rsid w:val="00D87606"/>
    <w:rsid w:val="00D913B6"/>
    <w:rsid w:val="00D92FE9"/>
    <w:rsid w:val="00D93510"/>
    <w:rsid w:val="00D939D3"/>
    <w:rsid w:val="00D94844"/>
    <w:rsid w:val="00D9537C"/>
    <w:rsid w:val="00D95EBE"/>
    <w:rsid w:val="00DA0E5B"/>
    <w:rsid w:val="00DA5AF7"/>
    <w:rsid w:val="00DA62D6"/>
    <w:rsid w:val="00DA6DBC"/>
    <w:rsid w:val="00DB06BE"/>
    <w:rsid w:val="00DB4CCC"/>
    <w:rsid w:val="00DB5AC0"/>
    <w:rsid w:val="00DB6772"/>
    <w:rsid w:val="00DB7868"/>
    <w:rsid w:val="00DC25EF"/>
    <w:rsid w:val="00DC490C"/>
    <w:rsid w:val="00DC6C8F"/>
    <w:rsid w:val="00DD03A9"/>
    <w:rsid w:val="00DD1B84"/>
    <w:rsid w:val="00DD2A53"/>
    <w:rsid w:val="00DD2F5D"/>
    <w:rsid w:val="00DD467A"/>
    <w:rsid w:val="00DD7FE8"/>
    <w:rsid w:val="00DE1EF5"/>
    <w:rsid w:val="00DE2315"/>
    <w:rsid w:val="00DE27E8"/>
    <w:rsid w:val="00DE35D1"/>
    <w:rsid w:val="00DE50F2"/>
    <w:rsid w:val="00DE6ECC"/>
    <w:rsid w:val="00DE7059"/>
    <w:rsid w:val="00DF3AC3"/>
    <w:rsid w:val="00DF4A97"/>
    <w:rsid w:val="00E0012C"/>
    <w:rsid w:val="00E037E9"/>
    <w:rsid w:val="00E03CF9"/>
    <w:rsid w:val="00E04E26"/>
    <w:rsid w:val="00E05DCC"/>
    <w:rsid w:val="00E07847"/>
    <w:rsid w:val="00E10896"/>
    <w:rsid w:val="00E16850"/>
    <w:rsid w:val="00E2143F"/>
    <w:rsid w:val="00E23D2A"/>
    <w:rsid w:val="00E24681"/>
    <w:rsid w:val="00E24FE4"/>
    <w:rsid w:val="00E26EA2"/>
    <w:rsid w:val="00E27FB4"/>
    <w:rsid w:val="00E32D6E"/>
    <w:rsid w:val="00E34848"/>
    <w:rsid w:val="00E34A84"/>
    <w:rsid w:val="00E445CB"/>
    <w:rsid w:val="00E4616C"/>
    <w:rsid w:val="00E46549"/>
    <w:rsid w:val="00E470FA"/>
    <w:rsid w:val="00E53DFF"/>
    <w:rsid w:val="00E56723"/>
    <w:rsid w:val="00E56C91"/>
    <w:rsid w:val="00E6240F"/>
    <w:rsid w:val="00E63D22"/>
    <w:rsid w:val="00E64A20"/>
    <w:rsid w:val="00E6698B"/>
    <w:rsid w:val="00E66A54"/>
    <w:rsid w:val="00E72B9A"/>
    <w:rsid w:val="00E7410A"/>
    <w:rsid w:val="00E75E03"/>
    <w:rsid w:val="00E76D61"/>
    <w:rsid w:val="00E77265"/>
    <w:rsid w:val="00E80647"/>
    <w:rsid w:val="00E833C6"/>
    <w:rsid w:val="00E85491"/>
    <w:rsid w:val="00E869D6"/>
    <w:rsid w:val="00E87519"/>
    <w:rsid w:val="00E9108D"/>
    <w:rsid w:val="00E919A1"/>
    <w:rsid w:val="00E956E4"/>
    <w:rsid w:val="00E96A56"/>
    <w:rsid w:val="00E9736C"/>
    <w:rsid w:val="00EA024C"/>
    <w:rsid w:val="00EA06B9"/>
    <w:rsid w:val="00EA109C"/>
    <w:rsid w:val="00EA1D08"/>
    <w:rsid w:val="00EA48D0"/>
    <w:rsid w:val="00EA59FF"/>
    <w:rsid w:val="00EB0058"/>
    <w:rsid w:val="00EB0C87"/>
    <w:rsid w:val="00EB1F18"/>
    <w:rsid w:val="00EB2B35"/>
    <w:rsid w:val="00EB363E"/>
    <w:rsid w:val="00EB53F6"/>
    <w:rsid w:val="00EB6AA3"/>
    <w:rsid w:val="00EB6DCE"/>
    <w:rsid w:val="00EB7861"/>
    <w:rsid w:val="00EC08C9"/>
    <w:rsid w:val="00EC1DD4"/>
    <w:rsid w:val="00EC24B2"/>
    <w:rsid w:val="00EC2529"/>
    <w:rsid w:val="00EC46EC"/>
    <w:rsid w:val="00EC4861"/>
    <w:rsid w:val="00ED15AB"/>
    <w:rsid w:val="00ED28C0"/>
    <w:rsid w:val="00ED2A6F"/>
    <w:rsid w:val="00ED2D23"/>
    <w:rsid w:val="00ED4725"/>
    <w:rsid w:val="00ED6700"/>
    <w:rsid w:val="00ED70FD"/>
    <w:rsid w:val="00EE0A83"/>
    <w:rsid w:val="00EE1D17"/>
    <w:rsid w:val="00EE1E8A"/>
    <w:rsid w:val="00EE4251"/>
    <w:rsid w:val="00EE4D54"/>
    <w:rsid w:val="00EF2947"/>
    <w:rsid w:val="00F029DB"/>
    <w:rsid w:val="00F03236"/>
    <w:rsid w:val="00F05427"/>
    <w:rsid w:val="00F07B23"/>
    <w:rsid w:val="00F103F5"/>
    <w:rsid w:val="00F1217B"/>
    <w:rsid w:val="00F128C1"/>
    <w:rsid w:val="00F15ECD"/>
    <w:rsid w:val="00F17B9D"/>
    <w:rsid w:val="00F20256"/>
    <w:rsid w:val="00F211E6"/>
    <w:rsid w:val="00F232AF"/>
    <w:rsid w:val="00F23EFF"/>
    <w:rsid w:val="00F24BFB"/>
    <w:rsid w:val="00F26312"/>
    <w:rsid w:val="00F265B9"/>
    <w:rsid w:val="00F26FAC"/>
    <w:rsid w:val="00F2795D"/>
    <w:rsid w:val="00F27A2F"/>
    <w:rsid w:val="00F32147"/>
    <w:rsid w:val="00F3561C"/>
    <w:rsid w:val="00F404A6"/>
    <w:rsid w:val="00F41D9B"/>
    <w:rsid w:val="00F450B5"/>
    <w:rsid w:val="00F46968"/>
    <w:rsid w:val="00F4710D"/>
    <w:rsid w:val="00F579BF"/>
    <w:rsid w:val="00F57C09"/>
    <w:rsid w:val="00F60002"/>
    <w:rsid w:val="00F60BAD"/>
    <w:rsid w:val="00F60BBF"/>
    <w:rsid w:val="00F60D33"/>
    <w:rsid w:val="00F6275F"/>
    <w:rsid w:val="00F64216"/>
    <w:rsid w:val="00F64254"/>
    <w:rsid w:val="00F64B52"/>
    <w:rsid w:val="00F70770"/>
    <w:rsid w:val="00F73E2E"/>
    <w:rsid w:val="00F73FDB"/>
    <w:rsid w:val="00F77371"/>
    <w:rsid w:val="00F800E2"/>
    <w:rsid w:val="00F85666"/>
    <w:rsid w:val="00F86ACC"/>
    <w:rsid w:val="00F904B1"/>
    <w:rsid w:val="00F91ED8"/>
    <w:rsid w:val="00F93EB9"/>
    <w:rsid w:val="00F94359"/>
    <w:rsid w:val="00F963EE"/>
    <w:rsid w:val="00F970EA"/>
    <w:rsid w:val="00FA00E4"/>
    <w:rsid w:val="00FA0113"/>
    <w:rsid w:val="00FA0A64"/>
    <w:rsid w:val="00FA2290"/>
    <w:rsid w:val="00FA2673"/>
    <w:rsid w:val="00FA3316"/>
    <w:rsid w:val="00FA614C"/>
    <w:rsid w:val="00FA7BFF"/>
    <w:rsid w:val="00FB0391"/>
    <w:rsid w:val="00FB0BA0"/>
    <w:rsid w:val="00FB1901"/>
    <w:rsid w:val="00FB1E63"/>
    <w:rsid w:val="00FB4228"/>
    <w:rsid w:val="00FB6203"/>
    <w:rsid w:val="00FB6D4F"/>
    <w:rsid w:val="00FB74B2"/>
    <w:rsid w:val="00FC107E"/>
    <w:rsid w:val="00FC166A"/>
    <w:rsid w:val="00FC1BEA"/>
    <w:rsid w:val="00FC3E99"/>
    <w:rsid w:val="00FC4C94"/>
    <w:rsid w:val="00FC6864"/>
    <w:rsid w:val="00FD0BF8"/>
    <w:rsid w:val="00FD20AD"/>
    <w:rsid w:val="00FD4B5E"/>
    <w:rsid w:val="00FD5028"/>
    <w:rsid w:val="00FD5E98"/>
    <w:rsid w:val="00FD5EFE"/>
    <w:rsid w:val="00FD67F3"/>
    <w:rsid w:val="00FE07EA"/>
    <w:rsid w:val="00FE3B0E"/>
    <w:rsid w:val="00FE647F"/>
    <w:rsid w:val="00FF192B"/>
    <w:rsid w:val="00FF195E"/>
    <w:rsid w:val="00FF1A03"/>
    <w:rsid w:val="00FF4AC5"/>
    <w:rsid w:val="00FF5024"/>
    <w:rsid w:val="00FF59EF"/>
    <w:rsid w:val="00FF7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rsid w:val="00F24BFB"/>
    <w:rPr>
      <w:rFonts w:cs="Times New Roman"/>
      <w:sz w:val="16"/>
      <w:szCs w:val="16"/>
    </w:rPr>
  </w:style>
  <w:style w:type="paragraph" w:styleId="CommentText">
    <w:name w:val="annotation text"/>
    <w:basedOn w:val="Normal"/>
    <w:link w:val="CommentTextChar"/>
    <w:uiPriority w:val="99"/>
    <w:rsid w:val="00F24BFB"/>
    <w:rPr>
      <w:sz w:val="20"/>
      <w:szCs w:val="20"/>
      <w:lang w:val="x-none"/>
    </w:rPr>
  </w:style>
  <w:style w:type="character" w:customStyle="1" w:styleId="CommentTextChar">
    <w:name w:val="Comment Text Char"/>
    <w:link w:val="CommentText"/>
    <w:uiPriority w:val="99"/>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link w:val="CommentSubject"/>
    <w:uiPriority w:val="99"/>
    <w:semiHidden/>
    <w:locked/>
    <w:rsid w:val="00455CCA"/>
    <w:rPr>
      <w:rFonts w:cs="Times New Roman"/>
      <w:b/>
      <w:bCs/>
      <w:sz w:val="20"/>
      <w:szCs w:val="20"/>
      <w:lang w:eastAsia="en-US"/>
    </w:rPr>
  </w:style>
  <w:style w:type="character" w:styleId="Hyperlink">
    <w:name w:val="Hyperlink"/>
    <w:uiPriority w:val="99"/>
    <w:rsid w:val="00D72F94"/>
    <w:rPr>
      <w:rFonts w:cs="Times New Roman"/>
      <w:color w:val="0000FF"/>
      <w:u w:val="single"/>
    </w:rPr>
  </w:style>
  <w:style w:type="paragraph" w:styleId="BodyText">
    <w:name w:val="Body Text"/>
    <w:basedOn w:val="Normal"/>
    <w:link w:val="BodyTextChar"/>
    <w:unhideWhenUsed/>
    <w:rsid w:val="00506106"/>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link w:val="BodyText"/>
    <w:rsid w:val="00506106"/>
    <w:rPr>
      <w:rFonts w:ascii="Times New Roman" w:eastAsia="Times New Roman" w:hAnsi="Times New Roman"/>
      <w:b/>
      <w:sz w:val="24"/>
      <w:lang w:val="en-US" w:eastAsia="en-US"/>
    </w:rPr>
  </w:style>
  <w:style w:type="paragraph" w:customStyle="1" w:styleId="Default">
    <w:name w:val="Default"/>
    <w:rsid w:val="00C834F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A02CA"/>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E-parag-num-12">
    <w:name w:val="EE-parag-num-12"/>
    <w:basedOn w:val="Normal"/>
    <w:link w:val="EE-parag-num-12Char"/>
    <w:rsid w:val="00B42908"/>
    <w:pPr>
      <w:numPr>
        <w:numId w:val="1"/>
      </w:numPr>
      <w:spacing w:before="120" w:after="120" w:line="240" w:lineRule="auto"/>
      <w:jc w:val="both"/>
    </w:pPr>
    <w:rPr>
      <w:rFonts w:ascii="Times New Roman" w:eastAsia="Times New Roman" w:hAnsi="Times New Roman"/>
      <w:sz w:val="24"/>
      <w:szCs w:val="24"/>
      <w:lang w:val="x-none" w:eastAsia="x-none"/>
    </w:rPr>
  </w:style>
  <w:style w:type="character" w:customStyle="1" w:styleId="EE-parag-num-12Char">
    <w:name w:val="EE-parag-num-12 Char"/>
    <w:link w:val="EE-parag-num-12"/>
    <w:rsid w:val="00D82758"/>
    <w:rPr>
      <w:rFonts w:ascii="Times New Roman" w:eastAsia="Times New Roman" w:hAnsi="Times New Roman"/>
      <w:sz w:val="24"/>
      <w:szCs w:val="24"/>
      <w:lang w:val="x-none" w:eastAsia="x-none"/>
    </w:rPr>
  </w:style>
  <w:style w:type="character" w:customStyle="1" w:styleId="apple-style-span">
    <w:name w:val="apple-style-span"/>
    <w:basedOn w:val="DefaultParagraphFont"/>
    <w:rsid w:val="003967A6"/>
  </w:style>
  <w:style w:type="paragraph" w:customStyle="1" w:styleId="EE-paragr-12">
    <w:name w:val="EE-paragr-12"/>
    <w:basedOn w:val="Normal"/>
    <w:link w:val="EE-paragr-12Char"/>
    <w:uiPriority w:val="99"/>
    <w:rsid w:val="00704986"/>
    <w:pPr>
      <w:spacing w:after="0" w:line="240" w:lineRule="auto"/>
      <w:jc w:val="both"/>
    </w:pPr>
    <w:rPr>
      <w:rFonts w:ascii="Times New Roman" w:eastAsia="Times New Roman" w:hAnsi="Times New Roman"/>
      <w:sz w:val="24"/>
      <w:szCs w:val="24"/>
      <w:lang w:val="x-none" w:eastAsia="x-none"/>
    </w:rPr>
  </w:style>
  <w:style w:type="character" w:customStyle="1" w:styleId="EE-paragr-12Char">
    <w:name w:val="EE-paragr-12 Char"/>
    <w:link w:val="EE-paragr-12"/>
    <w:uiPriority w:val="99"/>
    <w:locked/>
    <w:rsid w:val="00704986"/>
    <w:rPr>
      <w:rFonts w:ascii="Times New Roman" w:eastAsia="Times New Roman" w:hAnsi="Times New Roman"/>
      <w:sz w:val="24"/>
      <w:szCs w:val="24"/>
    </w:rPr>
  </w:style>
  <w:style w:type="paragraph" w:customStyle="1" w:styleId="N">
    <w:name w:val="N"/>
    <w:basedOn w:val="Normal"/>
    <w:rsid w:val="004B3F9B"/>
    <w:pPr>
      <w:numPr>
        <w:ilvl w:val="1"/>
        <w:numId w:val="2"/>
      </w:numPr>
      <w:spacing w:after="0" w:line="240" w:lineRule="auto"/>
      <w:ind w:left="0" w:firstLine="0"/>
      <w:jc w:val="both"/>
    </w:pPr>
    <w:rPr>
      <w:rFonts w:ascii="Times New Roman" w:hAnsi="Times New Roman"/>
      <w:color w:val="000000"/>
      <w:sz w:val="24"/>
      <w:szCs w:val="24"/>
      <w:lang w:eastAsia="lv-LV"/>
    </w:rPr>
  </w:style>
  <w:style w:type="paragraph" w:styleId="EnvelopeReturn">
    <w:name w:val="envelope return"/>
    <w:basedOn w:val="Normal"/>
    <w:rsid w:val="00AB2A13"/>
    <w:pPr>
      <w:keepLines/>
      <w:widowControl w:val="0"/>
      <w:spacing w:before="600" w:after="0" w:line="240" w:lineRule="auto"/>
    </w:pPr>
    <w:rPr>
      <w:rFonts w:ascii="Times New Roman" w:eastAsia="Times New Roman" w:hAnsi="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rsid w:val="00F24BFB"/>
    <w:rPr>
      <w:rFonts w:cs="Times New Roman"/>
      <w:sz w:val="16"/>
      <w:szCs w:val="16"/>
    </w:rPr>
  </w:style>
  <w:style w:type="paragraph" w:styleId="CommentText">
    <w:name w:val="annotation text"/>
    <w:basedOn w:val="Normal"/>
    <w:link w:val="CommentTextChar"/>
    <w:uiPriority w:val="99"/>
    <w:rsid w:val="00F24BFB"/>
    <w:rPr>
      <w:sz w:val="20"/>
      <w:szCs w:val="20"/>
      <w:lang w:val="x-none"/>
    </w:rPr>
  </w:style>
  <w:style w:type="character" w:customStyle="1" w:styleId="CommentTextChar">
    <w:name w:val="Comment Text Char"/>
    <w:link w:val="CommentText"/>
    <w:uiPriority w:val="99"/>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link w:val="CommentSubject"/>
    <w:uiPriority w:val="99"/>
    <w:semiHidden/>
    <w:locked/>
    <w:rsid w:val="00455CCA"/>
    <w:rPr>
      <w:rFonts w:cs="Times New Roman"/>
      <w:b/>
      <w:bCs/>
      <w:sz w:val="20"/>
      <w:szCs w:val="20"/>
      <w:lang w:eastAsia="en-US"/>
    </w:rPr>
  </w:style>
  <w:style w:type="character" w:styleId="Hyperlink">
    <w:name w:val="Hyperlink"/>
    <w:uiPriority w:val="99"/>
    <w:rsid w:val="00D72F94"/>
    <w:rPr>
      <w:rFonts w:cs="Times New Roman"/>
      <w:color w:val="0000FF"/>
      <w:u w:val="single"/>
    </w:rPr>
  </w:style>
  <w:style w:type="paragraph" w:styleId="BodyText">
    <w:name w:val="Body Text"/>
    <w:basedOn w:val="Normal"/>
    <w:link w:val="BodyTextChar"/>
    <w:unhideWhenUsed/>
    <w:rsid w:val="00506106"/>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link w:val="BodyText"/>
    <w:rsid w:val="00506106"/>
    <w:rPr>
      <w:rFonts w:ascii="Times New Roman" w:eastAsia="Times New Roman" w:hAnsi="Times New Roman"/>
      <w:b/>
      <w:sz w:val="24"/>
      <w:lang w:val="en-US" w:eastAsia="en-US"/>
    </w:rPr>
  </w:style>
  <w:style w:type="paragraph" w:customStyle="1" w:styleId="Default">
    <w:name w:val="Default"/>
    <w:rsid w:val="00C834F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A02CA"/>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E-parag-num-12">
    <w:name w:val="EE-parag-num-12"/>
    <w:basedOn w:val="Normal"/>
    <w:link w:val="EE-parag-num-12Char"/>
    <w:rsid w:val="00B42908"/>
    <w:pPr>
      <w:numPr>
        <w:numId w:val="1"/>
      </w:numPr>
      <w:spacing w:before="120" w:after="120" w:line="240" w:lineRule="auto"/>
      <w:jc w:val="both"/>
    </w:pPr>
    <w:rPr>
      <w:rFonts w:ascii="Times New Roman" w:eastAsia="Times New Roman" w:hAnsi="Times New Roman"/>
      <w:sz w:val="24"/>
      <w:szCs w:val="24"/>
      <w:lang w:val="x-none" w:eastAsia="x-none"/>
    </w:rPr>
  </w:style>
  <w:style w:type="character" w:customStyle="1" w:styleId="EE-parag-num-12Char">
    <w:name w:val="EE-parag-num-12 Char"/>
    <w:link w:val="EE-parag-num-12"/>
    <w:rsid w:val="00D82758"/>
    <w:rPr>
      <w:rFonts w:ascii="Times New Roman" w:eastAsia="Times New Roman" w:hAnsi="Times New Roman"/>
      <w:sz w:val="24"/>
      <w:szCs w:val="24"/>
      <w:lang w:val="x-none" w:eastAsia="x-none"/>
    </w:rPr>
  </w:style>
  <w:style w:type="character" w:customStyle="1" w:styleId="apple-style-span">
    <w:name w:val="apple-style-span"/>
    <w:basedOn w:val="DefaultParagraphFont"/>
    <w:rsid w:val="003967A6"/>
  </w:style>
  <w:style w:type="paragraph" w:customStyle="1" w:styleId="EE-paragr-12">
    <w:name w:val="EE-paragr-12"/>
    <w:basedOn w:val="Normal"/>
    <w:link w:val="EE-paragr-12Char"/>
    <w:uiPriority w:val="99"/>
    <w:rsid w:val="00704986"/>
    <w:pPr>
      <w:spacing w:after="0" w:line="240" w:lineRule="auto"/>
      <w:jc w:val="both"/>
    </w:pPr>
    <w:rPr>
      <w:rFonts w:ascii="Times New Roman" w:eastAsia="Times New Roman" w:hAnsi="Times New Roman"/>
      <w:sz w:val="24"/>
      <w:szCs w:val="24"/>
      <w:lang w:val="x-none" w:eastAsia="x-none"/>
    </w:rPr>
  </w:style>
  <w:style w:type="character" w:customStyle="1" w:styleId="EE-paragr-12Char">
    <w:name w:val="EE-paragr-12 Char"/>
    <w:link w:val="EE-paragr-12"/>
    <w:uiPriority w:val="99"/>
    <w:locked/>
    <w:rsid w:val="00704986"/>
    <w:rPr>
      <w:rFonts w:ascii="Times New Roman" w:eastAsia="Times New Roman" w:hAnsi="Times New Roman"/>
      <w:sz w:val="24"/>
      <w:szCs w:val="24"/>
    </w:rPr>
  </w:style>
  <w:style w:type="paragraph" w:customStyle="1" w:styleId="N">
    <w:name w:val="N"/>
    <w:basedOn w:val="Normal"/>
    <w:rsid w:val="004B3F9B"/>
    <w:pPr>
      <w:numPr>
        <w:ilvl w:val="1"/>
        <w:numId w:val="2"/>
      </w:numPr>
      <w:spacing w:after="0" w:line="240" w:lineRule="auto"/>
      <w:ind w:left="0" w:firstLine="0"/>
      <w:jc w:val="both"/>
    </w:pPr>
    <w:rPr>
      <w:rFonts w:ascii="Times New Roman" w:hAnsi="Times New Roman"/>
      <w:color w:val="000000"/>
      <w:sz w:val="24"/>
      <w:szCs w:val="24"/>
      <w:lang w:eastAsia="lv-LV"/>
    </w:rPr>
  </w:style>
  <w:style w:type="paragraph" w:styleId="EnvelopeReturn">
    <w:name w:val="envelope return"/>
    <w:basedOn w:val="Normal"/>
    <w:rsid w:val="00AB2A13"/>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645">
      <w:bodyDiv w:val="1"/>
      <w:marLeft w:val="0"/>
      <w:marRight w:val="0"/>
      <w:marTop w:val="0"/>
      <w:marBottom w:val="0"/>
      <w:divBdr>
        <w:top w:val="none" w:sz="0" w:space="0" w:color="auto"/>
        <w:left w:val="none" w:sz="0" w:space="0" w:color="auto"/>
        <w:bottom w:val="none" w:sz="0" w:space="0" w:color="auto"/>
        <w:right w:val="none" w:sz="0" w:space="0" w:color="auto"/>
      </w:divBdr>
    </w:div>
    <w:div w:id="55787937">
      <w:bodyDiv w:val="1"/>
      <w:marLeft w:val="0"/>
      <w:marRight w:val="0"/>
      <w:marTop w:val="0"/>
      <w:marBottom w:val="0"/>
      <w:divBdr>
        <w:top w:val="none" w:sz="0" w:space="0" w:color="auto"/>
        <w:left w:val="none" w:sz="0" w:space="0" w:color="auto"/>
        <w:bottom w:val="none" w:sz="0" w:space="0" w:color="auto"/>
        <w:right w:val="none" w:sz="0" w:space="0" w:color="auto"/>
      </w:divBdr>
    </w:div>
    <w:div w:id="93861358">
      <w:bodyDiv w:val="1"/>
      <w:marLeft w:val="0"/>
      <w:marRight w:val="0"/>
      <w:marTop w:val="0"/>
      <w:marBottom w:val="0"/>
      <w:divBdr>
        <w:top w:val="none" w:sz="0" w:space="0" w:color="auto"/>
        <w:left w:val="none" w:sz="0" w:space="0" w:color="auto"/>
        <w:bottom w:val="none" w:sz="0" w:space="0" w:color="auto"/>
        <w:right w:val="none" w:sz="0" w:space="0" w:color="auto"/>
      </w:divBdr>
    </w:div>
    <w:div w:id="211576343">
      <w:marLeft w:val="0"/>
      <w:marRight w:val="0"/>
      <w:marTop w:val="0"/>
      <w:marBottom w:val="0"/>
      <w:divBdr>
        <w:top w:val="none" w:sz="0" w:space="0" w:color="auto"/>
        <w:left w:val="none" w:sz="0" w:space="0" w:color="auto"/>
        <w:bottom w:val="none" w:sz="0" w:space="0" w:color="auto"/>
        <w:right w:val="none" w:sz="0" w:space="0" w:color="auto"/>
      </w:divBdr>
    </w:div>
    <w:div w:id="211576344">
      <w:marLeft w:val="0"/>
      <w:marRight w:val="0"/>
      <w:marTop w:val="0"/>
      <w:marBottom w:val="0"/>
      <w:divBdr>
        <w:top w:val="none" w:sz="0" w:space="0" w:color="auto"/>
        <w:left w:val="none" w:sz="0" w:space="0" w:color="auto"/>
        <w:bottom w:val="none" w:sz="0" w:space="0" w:color="auto"/>
        <w:right w:val="none" w:sz="0" w:space="0" w:color="auto"/>
      </w:divBdr>
    </w:div>
    <w:div w:id="211576347">
      <w:marLeft w:val="0"/>
      <w:marRight w:val="0"/>
      <w:marTop w:val="0"/>
      <w:marBottom w:val="0"/>
      <w:divBdr>
        <w:top w:val="none" w:sz="0" w:space="0" w:color="auto"/>
        <w:left w:val="none" w:sz="0" w:space="0" w:color="auto"/>
        <w:bottom w:val="none" w:sz="0" w:space="0" w:color="auto"/>
        <w:right w:val="none" w:sz="0" w:space="0" w:color="auto"/>
      </w:divBdr>
      <w:divsChild>
        <w:div w:id="211576345">
          <w:marLeft w:val="0"/>
          <w:marRight w:val="0"/>
          <w:marTop w:val="0"/>
          <w:marBottom w:val="0"/>
          <w:divBdr>
            <w:top w:val="none" w:sz="0" w:space="0" w:color="auto"/>
            <w:left w:val="none" w:sz="0" w:space="0" w:color="auto"/>
            <w:bottom w:val="none" w:sz="0" w:space="0" w:color="auto"/>
            <w:right w:val="none" w:sz="0" w:space="0" w:color="auto"/>
          </w:divBdr>
        </w:div>
        <w:div w:id="211576346">
          <w:marLeft w:val="0"/>
          <w:marRight w:val="0"/>
          <w:marTop w:val="0"/>
          <w:marBottom w:val="0"/>
          <w:divBdr>
            <w:top w:val="none" w:sz="0" w:space="0" w:color="auto"/>
            <w:left w:val="none" w:sz="0" w:space="0" w:color="auto"/>
            <w:bottom w:val="none" w:sz="0" w:space="0" w:color="auto"/>
            <w:right w:val="none" w:sz="0" w:space="0" w:color="auto"/>
          </w:divBdr>
        </w:div>
      </w:divsChild>
    </w:div>
    <w:div w:id="211576348">
      <w:marLeft w:val="0"/>
      <w:marRight w:val="0"/>
      <w:marTop w:val="0"/>
      <w:marBottom w:val="0"/>
      <w:divBdr>
        <w:top w:val="none" w:sz="0" w:space="0" w:color="auto"/>
        <w:left w:val="none" w:sz="0" w:space="0" w:color="auto"/>
        <w:bottom w:val="none" w:sz="0" w:space="0" w:color="auto"/>
        <w:right w:val="none" w:sz="0" w:space="0" w:color="auto"/>
      </w:divBdr>
      <w:divsChild>
        <w:div w:id="211576349">
          <w:marLeft w:val="0"/>
          <w:marRight w:val="0"/>
          <w:marTop w:val="0"/>
          <w:marBottom w:val="0"/>
          <w:divBdr>
            <w:top w:val="none" w:sz="0" w:space="0" w:color="auto"/>
            <w:left w:val="none" w:sz="0" w:space="0" w:color="auto"/>
            <w:bottom w:val="none" w:sz="0" w:space="0" w:color="auto"/>
            <w:right w:val="none" w:sz="0" w:space="0" w:color="auto"/>
          </w:divBdr>
        </w:div>
      </w:divsChild>
    </w:div>
    <w:div w:id="225803750">
      <w:bodyDiv w:val="1"/>
      <w:marLeft w:val="0"/>
      <w:marRight w:val="0"/>
      <w:marTop w:val="0"/>
      <w:marBottom w:val="0"/>
      <w:divBdr>
        <w:top w:val="none" w:sz="0" w:space="0" w:color="auto"/>
        <w:left w:val="none" w:sz="0" w:space="0" w:color="auto"/>
        <w:bottom w:val="none" w:sz="0" w:space="0" w:color="auto"/>
        <w:right w:val="none" w:sz="0" w:space="0" w:color="auto"/>
      </w:divBdr>
    </w:div>
    <w:div w:id="519247097">
      <w:bodyDiv w:val="1"/>
      <w:marLeft w:val="0"/>
      <w:marRight w:val="0"/>
      <w:marTop w:val="0"/>
      <w:marBottom w:val="0"/>
      <w:divBdr>
        <w:top w:val="none" w:sz="0" w:space="0" w:color="auto"/>
        <w:left w:val="none" w:sz="0" w:space="0" w:color="auto"/>
        <w:bottom w:val="none" w:sz="0" w:space="0" w:color="auto"/>
        <w:right w:val="none" w:sz="0" w:space="0" w:color="auto"/>
      </w:divBdr>
    </w:div>
    <w:div w:id="599484895">
      <w:bodyDiv w:val="1"/>
      <w:marLeft w:val="0"/>
      <w:marRight w:val="0"/>
      <w:marTop w:val="0"/>
      <w:marBottom w:val="0"/>
      <w:divBdr>
        <w:top w:val="none" w:sz="0" w:space="0" w:color="auto"/>
        <w:left w:val="none" w:sz="0" w:space="0" w:color="auto"/>
        <w:bottom w:val="none" w:sz="0" w:space="0" w:color="auto"/>
        <w:right w:val="none" w:sz="0" w:space="0" w:color="auto"/>
      </w:divBdr>
    </w:div>
    <w:div w:id="599921564">
      <w:bodyDiv w:val="1"/>
      <w:marLeft w:val="0"/>
      <w:marRight w:val="0"/>
      <w:marTop w:val="0"/>
      <w:marBottom w:val="0"/>
      <w:divBdr>
        <w:top w:val="none" w:sz="0" w:space="0" w:color="auto"/>
        <w:left w:val="none" w:sz="0" w:space="0" w:color="auto"/>
        <w:bottom w:val="none" w:sz="0" w:space="0" w:color="auto"/>
        <w:right w:val="none" w:sz="0" w:space="0" w:color="auto"/>
      </w:divBdr>
    </w:div>
    <w:div w:id="674528857">
      <w:bodyDiv w:val="1"/>
      <w:marLeft w:val="0"/>
      <w:marRight w:val="0"/>
      <w:marTop w:val="0"/>
      <w:marBottom w:val="0"/>
      <w:divBdr>
        <w:top w:val="none" w:sz="0" w:space="0" w:color="auto"/>
        <w:left w:val="none" w:sz="0" w:space="0" w:color="auto"/>
        <w:bottom w:val="none" w:sz="0" w:space="0" w:color="auto"/>
        <w:right w:val="none" w:sz="0" w:space="0" w:color="auto"/>
      </w:divBdr>
    </w:div>
    <w:div w:id="721517797">
      <w:bodyDiv w:val="1"/>
      <w:marLeft w:val="0"/>
      <w:marRight w:val="0"/>
      <w:marTop w:val="0"/>
      <w:marBottom w:val="0"/>
      <w:divBdr>
        <w:top w:val="none" w:sz="0" w:space="0" w:color="auto"/>
        <w:left w:val="none" w:sz="0" w:space="0" w:color="auto"/>
        <w:bottom w:val="none" w:sz="0" w:space="0" w:color="auto"/>
        <w:right w:val="none" w:sz="0" w:space="0" w:color="auto"/>
      </w:divBdr>
    </w:div>
    <w:div w:id="791703946">
      <w:bodyDiv w:val="1"/>
      <w:marLeft w:val="0"/>
      <w:marRight w:val="0"/>
      <w:marTop w:val="0"/>
      <w:marBottom w:val="0"/>
      <w:divBdr>
        <w:top w:val="none" w:sz="0" w:space="0" w:color="auto"/>
        <w:left w:val="none" w:sz="0" w:space="0" w:color="auto"/>
        <w:bottom w:val="none" w:sz="0" w:space="0" w:color="auto"/>
        <w:right w:val="none" w:sz="0" w:space="0" w:color="auto"/>
      </w:divBdr>
    </w:div>
    <w:div w:id="860431619">
      <w:bodyDiv w:val="1"/>
      <w:marLeft w:val="0"/>
      <w:marRight w:val="0"/>
      <w:marTop w:val="0"/>
      <w:marBottom w:val="0"/>
      <w:divBdr>
        <w:top w:val="none" w:sz="0" w:space="0" w:color="auto"/>
        <w:left w:val="none" w:sz="0" w:space="0" w:color="auto"/>
        <w:bottom w:val="none" w:sz="0" w:space="0" w:color="auto"/>
        <w:right w:val="none" w:sz="0" w:space="0" w:color="auto"/>
      </w:divBdr>
    </w:div>
    <w:div w:id="887573937">
      <w:bodyDiv w:val="1"/>
      <w:marLeft w:val="0"/>
      <w:marRight w:val="0"/>
      <w:marTop w:val="0"/>
      <w:marBottom w:val="0"/>
      <w:divBdr>
        <w:top w:val="none" w:sz="0" w:space="0" w:color="auto"/>
        <w:left w:val="none" w:sz="0" w:space="0" w:color="auto"/>
        <w:bottom w:val="none" w:sz="0" w:space="0" w:color="auto"/>
        <w:right w:val="none" w:sz="0" w:space="0" w:color="auto"/>
      </w:divBdr>
    </w:div>
    <w:div w:id="899366079">
      <w:bodyDiv w:val="1"/>
      <w:marLeft w:val="0"/>
      <w:marRight w:val="0"/>
      <w:marTop w:val="0"/>
      <w:marBottom w:val="0"/>
      <w:divBdr>
        <w:top w:val="none" w:sz="0" w:space="0" w:color="auto"/>
        <w:left w:val="none" w:sz="0" w:space="0" w:color="auto"/>
        <w:bottom w:val="none" w:sz="0" w:space="0" w:color="auto"/>
        <w:right w:val="none" w:sz="0" w:space="0" w:color="auto"/>
      </w:divBdr>
    </w:div>
    <w:div w:id="979921458">
      <w:bodyDiv w:val="1"/>
      <w:marLeft w:val="0"/>
      <w:marRight w:val="0"/>
      <w:marTop w:val="0"/>
      <w:marBottom w:val="0"/>
      <w:divBdr>
        <w:top w:val="none" w:sz="0" w:space="0" w:color="auto"/>
        <w:left w:val="none" w:sz="0" w:space="0" w:color="auto"/>
        <w:bottom w:val="none" w:sz="0" w:space="0" w:color="auto"/>
        <w:right w:val="none" w:sz="0" w:space="0" w:color="auto"/>
      </w:divBdr>
    </w:div>
    <w:div w:id="1026294794">
      <w:bodyDiv w:val="1"/>
      <w:marLeft w:val="0"/>
      <w:marRight w:val="0"/>
      <w:marTop w:val="0"/>
      <w:marBottom w:val="0"/>
      <w:divBdr>
        <w:top w:val="none" w:sz="0" w:space="0" w:color="auto"/>
        <w:left w:val="none" w:sz="0" w:space="0" w:color="auto"/>
        <w:bottom w:val="none" w:sz="0" w:space="0" w:color="auto"/>
        <w:right w:val="none" w:sz="0" w:space="0" w:color="auto"/>
      </w:divBdr>
    </w:div>
    <w:div w:id="1027760267">
      <w:bodyDiv w:val="1"/>
      <w:marLeft w:val="0"/>
      <w:marRight w:val="0"/>
      <w:marTop w:val="0"/>
      <w:marBottom w:val="0"/>
      <w:divBdr>
        <w:top w:val="none" w:sz="0" w:space="0" w:color="auto"/>
        <w:left w:val="none" w:sz="0" w:space="0" w:color="auto"/>
        <w:bottom w:val="none" w:sz="0" w:space="0" w:color="auto"/>
        <w:right w:val="none" w:sz="0" w:space="0" w:color="auto"/>
      </w:divBdr>
    </w:div>
    <w:div w:id="1091849560">
      <w:bodyDiv w:val="1"/>
      <w:marLeft w:val="0"/>
      <w:marRight w:val="0"/>
      <w:marTop w:val="0"/>
      <w:marBottom w:val="0"/>
      <w:divBdr>
        <w:top w:val="none" w:sz="0" w:space="0" w:color="auto"/>
        <w:left w:val="none" w:sz="0" w:space="0" w:color="auto"/>
        <w:bottom w:val="none" w:sz="0" w:space="0" w:color="auto"/>
        <w:right w:val="none" w:sz="0" w:space="0" w:color="auto"/>
      </w:divBdr>
    </w:div>
    <w:div w:id="1145272111">
      <w:bodyDiv w:val="1"/>
      <w:marLeft w:val="0"/>
      <w:marRight w:val="0"/>
      <w:marTop w:val="0"/>
      <w:marBottom w:val="0"/>
      <w:divBdr>
        <w:top w:val="none" w:sz="0" w:space="0" w:color="auto"/>
        <w:left w:val="none" w:sz="0" w:space="0" w:color="auto"/>
        <w:bottom w:val="none" w:sz="0" w:space="0" w:color="auto"/>
        <w:right w:val="none" w:sz="0" w:space="0" w:color="auto"/>
      </w:divBdr>
    </w:div>
    <w:div w:id="1278021889">
      <w:bodyDiv w:val="1"/>
      <w:marLeft w:val="0"/>
      <w:marRight w:val="0"/>
      <w:marTop w:val="0"/>
      <w:marBottom w:val="0"/>
      <w:divBdr>
        <w:top w:val="none" w:sz="0" w:space="0" w:color="auto"/>
        <w:left w:val="none" w:sz="0" w:space="0" w:color="auto"/>
        <w:bottom w:val="none" w:sz="0" w:space="0" w:color="auto"/>
        <w:right w:val="none" w:sz="0" w:space="0" w:color="auto"/>
      </w:divBdr>
    </w:div>
    <w:div w:id="1280918956">
      <w:bodyDiv w:val="1"/>
      <w:marLeft w:val="0"/>
      <w:marRight w:val="0"/>
      <w:marTop w:val="0"/>
      <w:marBottom w:val="0"/>
      <w:divBdr>
        <w:top w:val="none" w:sz="0" w:space="0" w:color="auto"/>
        <w:left w:val="none" w:sz="0" w:space="0" w:color="auto"/>
        <w:bottom w:val="none" w:sz="0" w:space="0" w:color="auto"/>
        <w:right w:val="none" w:sz="0" w:space="0" w:color="auto"/>
      </w:divBdr>
    </w:div>
    <w:div w:id="1306818758">
      <w:bodyDiv w:val="1"/>
      <w:marLeft w:val="0"/>
      <w:marRight w:val="0"/>
      <w:marTop w:val="0"/>
      <w:marBottom w:val="0"/>
      <w:divBdr>
        <w:top w:val="none" w:sz="0" w:space="0" w:color="auto"/>
        <w:left w:val="none" w:sz="0" w:space="0" w:color="auto"/>
        <w:bottom w:val="none" w:sz="0" w:space="0" w:color="auto"/>
        <w:right w:val="none" w:sz="0" w:space="0" w:color="auto"/>
      </w:divBdr>
    </w:div>
    <w:div w:id="1328678128">
      <w:bodyDiv w:val="1"/>
      <w:marLeft w:val="0"/>
      <w:marRight w:val="0"/>
      <w:marTop w:val="0"/>
      <w:marBottom w:val="0"/>
      <w:divBdr>
        <w:top w:val="none" w:sz="0" w:space="0" w:color="auto"/>
        <w:left w:val="none" w:sz="0" w:space="0" w:color="auto"/>
        <w:bottom w:val="none" w:sz="0" w:space="0" w:color="auto"/>
        <w:right w:val="none" w:sz="0" w:space="0" w:color="auto"/>
      </w:divBdr>
    </w:div>
    <w:div w:id="1452551947">
      <w:bodyDiv w:val="1"/>
      <w:marLeft w:val="0"/>
      <w:marRight w:val="0"/>
      <w:marTop w:val="0"/>
      <w:marBottom w:val="0"/>
      <w:divBdr>
        <w:top w:val="none" w:sz="0" w:space="0" w:color="auto"/>
        <w:left w:val="none" w:sz="0" w:space="0" w:color="auto"/>
        <w:bottom w:val="none" w:sz="0" w:space="0" w:color="auto"/>
        <w:right w:val="none" w:sz="0" w:space="0" w:color="auto"/>
      </w:divBdr>
    </w:div>
    <w:div w:id="1467048934">
      <w:bodyDiv w:val="1"/>
      <w:marLeft w:val="0"/>
      <w:marRight w:val="0"/>
      <w:marTop w:val="0"/>
      <w:marBottom w:val="0"/>
      <w:divBdr>
        <w:top w:val="none" w:sz="0" w:space="0" w:color="auto"/>
        <w:left w:val="none" w:sz="0" w:space="0" w:color="auto"/>
        <w:bottom w:val="none" w:sz="0" w:space="0" w:color="auto"/>
        <w:right w:val="none" w:sz="0" w:space="0" w:color="auto"/>
      </w:divBdr>
    </w:div>
    <w:div w:id="1467162866">
      <w:bodyDiv w:val="1"/>
      <w:marLeft w:val="0"/>
      <w:marRight w:val="0"/>
      <w:marTop w:val="0"/>
      <w:marBottom w:val="0"/>
      <w:divBdr>
        <w:top w:val="none" w:sz="0" w:space="0" w:color="auto"/>
        <w:left w:val="none" w:sz="0" w:space="0" w:color="auto"/>
        <w:bottom w:val="none" w:sz="0" w:space="0" w:color="auto"/>
        <w:right w:val="none" w:sz="0" w:space="0" w:color="auto"/>
      </w:divBdr>
    </w:div>
    <w:div w:id="1472748407">
      <w:bodyDiv w:val="1"/>
      <w:marLeft w:val="0"/>
      <w:marRight w:val="0"/>
      <w:marTop w:val="0"/>
      <w:marBottom w:val="0"/>
      <w:divBdr>
        <w:top w:val="none" w:sz="0" w:space="0" w:color="auto"/>
        <w:left w:val="none" w:sz="0" w:space="0" w:color="auto"/>
        <w:bottom w:val="none" w:sz="0" w:space="0" w:color="auto"/>
        <w:right w:val="none" w:sz="0" w:space="0" w:color="auto"/>
      </w:divBdr>
    </w:div>
    <w:div w:id="1501769754">
      <w:bodyDiv w:val="1"/>
      <w:marLeft w:val="0"/>
      <w:marRight w:val="0"/>
      <w:marTop w:val="0"/>
      <w:marBottom w:val="0"/>
      <w:divBdr>
        <w:top w:val="none" w:sz="0" w:space="0" w:color="auto"/>
        <w:left w:val="none" w:sz="0" w:space="0" w:color="auto"/>
        <w:bottom w:val="none" w:sz="0" w:space="0" w:color="auto"/>
        <w:right w:val="none" w:sz="0" w:space="0" w:color="auto"/>
      </w:divBdr>
    </w:div>
    <w:div w:id="1575966305">
      <w:bodyDiv w:val="1"/>
      <w:marLeft w:val="0"/>
      <w:marRight w:val="0"/>
      <w:marTop w:val="0"/>
      <w:marBottom w:val="0"/>
      <w:divBdr>
        <w:top w:val="none" w:sz="0" w:space="0" w:color="auto"/>
        <w:left w:val="none" w:sz="0" w:space="0" w:color="auto"/>
        <w:bottom w:val="none" w:sz="0" w:space="0" w:color="auto"/>
        <w:right w:val="none" w:sz="0" w:space="0" w:color="auto"/>
      </w:divBdr>
    </w:div>
    <w:div w:id="1614090716">
      <w:bodyDiv w:val="1"/>
      <w:marLeft w:val="0"/>
      <w:marRight w:val="0"/>
      <w:marTop w:val="0"/>
      <w:marBottom w:val="0"/>
      <w:divBdr>
        <w:top w:val="none" w:sz="0" w:space="0" w:color="auto"/>
        <w:left w:val="none" w:sz="0" w:space="0" w:color="auto"/>
        <w:bottom w:val="none" w:sz="0" w:space="0" w:color="auto"/>
        <w:right w:val="none" w:sz="0" w:space="0" w:color="auto"/>
      </w:divBdr>
    </w:div>
    <w:div w:id="1725060330">
      <w:bodyDiv w:val="1"/>
      <w:marLeft w:val="0"/>
      <w:marRight w:val="0"/>
      <w:marTop w:val="0"/>
      <w:marBottom w:val="0"/>
      <w:divBdr>
        <w:top w:val="none" w:sz="0" w:space="0" w:color="auto"/>
        <w:left w:val="none" w:sz="0" w:space="0" w:color="auto"/>
        <w:bottom w:val="none" w:sz="0" w:space="0" w:color="auto"/>
        <w:right w:val="none" w:sz="0" w:space="0" w:color="auto"/>
      </w:divBdr>
    </w:div>
    <w:div w:id="1777171653">
      <w:bodyDiv w:val="1"/>
      <w:marLeft w:val="0"/>
      <w:marRight w:val="0"/>
      <w:marTop w:val="0"/>
      <w:marBottom w:val="0"/>
      <w:divBdr>
        <w:top w:val="none" w:sz="0" w:space="0" w:color="auto"/>
        <w:left w:val="none" w:sz="0" w:space="0" w:color="auto"/>
        <w:bottom w:val="none" w:sz="0" w:space="0" w:color="auto"/>
        <w:right w:val="none" w:sz="0" w:space="0" w:color="auto"/>
      </w:divBdr>
    </w:div>
    <w:div w:id="1780174897">
      <w:bodyDiv w:val="1"/>
      <w:marLeft w:val="0"/>
      <w:marRight w:val="0"/>
      <w:marTop w:val="0"/>
      <w:marBottom w:val="0"/>
      <w:divBdr>
        <w:top w:val="none" w:sz="0" w:space="0" w:color="auto"/>
        <w:left w:val="none" w:sz="0" w:space="0" w:color="auto"/>
        <w:bottom w:val="none" w:sz="0" w:space="0" w:color="auto"/>
        <w:right w:val="none" w:sz="0" w:space="0" w:color="auto"/>
      </w:divBdr>
    </w:div>
    <w:div w:id="1797488283">
      <w:bodyDiv w:val="1"/>
      <w:marLeft w:val="0"/>
      <w:marRight w:val="0"/>
      <w:marTop w:val="0"/>
      <w:marBottom w:val="0"/>
      <w:divBdr>
        <w:top w:val="none" w:sz="0" w:space="0" w:color="auto"/>
        <w:left w:val="none" w:sz="0" w:space="0" w:color="auto"/>
        <w:bottom w:val="none" w:sz="0" w:space="0" w:color="auto"/>
        <w:right w:val="none" w:sz="0" w:space="0" w:color="auto"/>
      </w:divBdr>
    </w:div>
    <w:div w:id="1828931617">
      <w:bodyDiv w:val="1"/>
      <w:marLeft w:val="0"/>
      <w:marRight w:val="0"/>
      <w:marTop w:val="0"/>
      <w:marBottom w:val="0"/>
      <w:divBdr>
        <w:top w:val="none" w:sz="0" w:space="0" w:color="auto"/>
        <w:left w:val="none" w:sz="0" w:space="0" w:color="auto"/>
        <w:bottom w:val="none" w:sz="0" w:space="0" w:color="auto"/>
        <w:right w:val="none" w:sz="0" w:space="0" w:color="auto"/>
      </w:divBdr>
    </w:div>
    <w:div w:id="1877497246">
      <w:bodyDiv w:val="1"/>
      <w:marLeft w:val="0"/>
      <w:marRight w:val="0"/>
      <w:marTop w:val="0"/>
      <w:marBottom w:val="0"/>
      <w:divBdr>
        <w:top w:val="none" w:sz="0" w:space="0" w:color="auto"/>
        <w:left w:val="none" w:sz="0" w:space="0" w:color="auto"/>
        <w:bottom w:val="none" w:sz="0" w:space="0" w:color="auto"/>
        <w:right w:val="none" w:sz="0" w:space="0" w:color="auto"/>
      </w:divBdr>
    </w:div>
    <w:div w:id="1931884396">
      <w:bodyDiv w:val="1"/>
      <w:marLeft w:val="0"/>
      <w:marRight w:val="0"/>
      <w:marTop w:val="0"/>
      <w:marBottom w:val="0"/>
      <w:divBdr>
        <w:top w:val="none" w:sz="0" w:space="0" w:color="auto"/>
        <w:left w:val="none" w:sz="0" w:space="0" w:color="auto"/>
        <w:bottom w:val="none" w:sz="0" w:space="0" w:color="auto"/>
        <w:right w:val="none" w:sz="0" w:space="0" w:color="auto"/>
      </w:divBdr>
    </w:div>
    <w:div w:id="2021350795">
      <w:bodyDiv w:val="1"/>
      <w:marLeft w:val="0"/>
      <w:marRight w:val="0"/>
      <w:marTop w:val="0"/>
      <w:marBottom w:val="0"/>
      <w:divBdr>
        <w:top w:val="none" w:sz="0" w:space="0" w:color="auto"/>
        <w:left w:val="none" w:sz="0" w:space="0" w:color="auto"/>
        <w:bottom w:val="none" w:sz="0" w:space="0" w:color="auto"/>
        <w:right w:val="none" w:sz="0" w:space="0" w:color="auto"/>
      </w:divBdr>
    </w:div>
    <w:div w:id="2034500213">
      <w:bodyDiv w:val="1"/>
      <w:marLeft w:val="0"/>
      <w:marRight w:val="0"/>
      <w:marTop w:val="0"/>
      <w:marBottom w:val="0"/>
      <w:divBdr>
        <w:top w:val="none" w:sz="0" w:space="0" w:color="auto"/>
        <w:left w:val="none" w:sz="0" w:space="0" w:color="auto"/>
        <w:bottom w:val="none" w:sz="0" w:space="0" w:color="auto"/>
        <w:right w:val="none" w:sz="0" w:space="0" w:color="auto"/>
      </w:divBdr>
    </w:div>
    <w:div w:id="2044551752">
      <w:bodyDiv w:val="1"/>
      <w:marLeft w:val="0"/>
      <w:marRight w:val="0"/>
      <w:marTop w:val="0"/>
      <w:marBottom w:val="0"/>
      <w:divBdr>
        <w:top w:val="none" w:sz="0" w:space="0" w:color="auto"/>
        <w:left w:val="none" w:sz="0" w:space="0" w:color="auto"/>
        <w:bottom w:val="none" w:sz="0" w:space="0" w:color="auto"/>
        <w:right w:val="none" w:sz="0" w:space="0" w:color="auto"/>
      </w:divBdr>
    </w:div>
    <w:div w:id="2047169953">
      <w:bodyDiv w:val="1"/>
      <w:marLeft w:val="0"/>
      <w:marRight w:val="0"/>
      <w:marTop w:val="0"/>
      <w:marBottom w:val="0"/>
      <w:divBdr>
        <w:top w:val="none" w:sz="0" w:space="0" w:color="auto"/>
        <w:left w:val="none" w:sz="0" w:space="0" w:color="auto"/>
        <w:bottom w:val="none" w:sz="0" w:space="0" w:color="auto"/>
        <w:right w:val="none" w:sz="0" w:space="0" w:color="auto"/>
      </w:divBdr>
    </w:div>
    <w:div w:id="2123455073">
      <w:bodyDiv w:val="1"/>
      <w:marLeft w:val="0"/>
      <w:marRight w:val="0"/>
      <w:marTop w:val="0"/>
      <w:marBottom w:val="0"/>
      <w:divBdr>
        <w:top w:val="none" w:sz="0" w:space="0" w:color="auto"/>
        <w:left w:val="none" w:sz="0" w:space="0" w:color="auto"/>
        <w:bottom w:val="none" w:sz="0" w:space="0" w:color="auto"/>
        <w:right w:val="none" w:sz="0" w:space="0" w:color="auto"/>
      </w:divBdr>
    </w:div>
    <w:div w:id="21352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5917-F7A8-41A6-BCD0-703B41A0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Pages>
  <Words>1243</Words>
  <Characters>8352</Characters>
  <Application>Microsoft Office Word</Application>
  <DocSecurity>0</DocSecurity>
  <Lines>203</Lines>
  <Paragraphs>88</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Nr.361 „Noteikumi par darbības programmas „Uzņēmējdarbība un inovācijas” papildinājuma 2.1.2.1.1.apakšaktivitāti „Kompetences centri”</vt:lpstr>
    </vt:vector>
  </TitlesOfParts>
  <Company>LR Ekonomikas ministrija</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Nr.361 „Noteikumi par darbības programmas „Uzņēmējdarbība un inovācijas” papildinājuma 2.1.2.1.1.apakšaktivitāti „Kompetences centri”</dc:title>
  <dc:subject>Noteikumu projekts</dc:subject>
  <dc:creator>Kaspars Purmalietis</dc:creator>
  <dc:description>67013108, Kaspars.Purmalietis@em.gov.lv</dc:description>
  <cp:lastModifiedBy>Kaspars Purmalietis</cp:lastModifiedBy>
  <cp:revision>38</cp:revision>
  <cp:lastPrinted>2013-05-28T08:23:00Z</cp:lastPrinted>
  <dcterms:created xsi:type="dcterms:W3CDTF">2014-08-04T07:42:00Z</dcterms:created>
  <dcterms:modified xsi:type="dcterms:W3CDTF">2014-10-09T12:08:00Z</dcterms:modified>
</cp:coreProperties>
</file>