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08A6" w14:textId="77777777" w:rsidR="004E6C3F" w:rsidRPr="00267BCC" w:rsidRDefault="004E6C3F" w:rsidP="00267BCC">
      <w:pPr>
        <w:jc w:val="right"/>
        <w:rPr>
          <w:sz w:val="28"/>
          <w:szCs w:val="28"/>
          <w:lang w:val="lv-LV"/>
        </w:rPr>
      </w:pPr>
      <w:r w:rsidRPr="00267BCC">
        <w:rPr>
          <w:sz w:val="28"/>
          <w:szCs w:val="28"/>
          <w:lang w:val="lv-LV"/>
        </w:rPr>
        <w:t>(Ministru kabineta</w:t>
      </w:r>
    </w:p>
    <w:p w14:paraId="496408A7" w14:textId="661F916E" w:rsidR="004E6C3F" w:rsidRPr="00267BCC" w:rsidRDefault="004E6C3F" w:rsidP="00267BCC">
      <w:pPr>
        <w:jc w:val="right"/>
        <w:rPr>
          <w:sz w:val="28"/>
          <w:szCs w:val="28"/>
          <w:lang w:val="lv-LV"/>
        </w:rPr>
      </w:pPr>
      <w:r w:rsidRPr="00267BCC">
        <w:rPr>
          <w:sz w:val="28"/>
          <w:szCs w:val="28"/>
          <w:lang w:val="lv-LV"/>
        </w:rPr>
        <w:t>2014.</w:t>
      </w:r>
      <w:r w:rsidR="00807B28">
        <w:rPr>
          <w:sz w:val="28"/>
          <w:szCs w:val="28"/>
          <w:lang w:val="lv-LV"/>
        </w:rPr>
        <w:t> </w:t>
      </w:r>
      <w:r w:rsidRPr="00267BCC">
        <w:rPr>
          <w:sz w:val="28"/>
          <w:szCs w:val="28"/>
          <w:lang w:val="lv-LV"/>
        </w:rPr>
        <w:t xml:space="preserve">gada </w:t>
      </w:r>
      <w:r w:rsidR="00807B28">
        <w:rPr>
          <w:sz w:val="28"/>
          <w:szCs w:val="28"/>
          <w:lang w:val="lv-LV"/>
        </w:rPr>
        <w:t>                                   </w:t>
      </w:r>
    </w:p>
    <w:p w14:paraId="496408A8" w14:textId="26275F47" w:rsidR="004E6C3F" w:rsidRPr="00267BCC" w:rsidRDefault="004E6C3F" w:rsidP="00267BCC">
      <w:pPr>
        <w:jc w:val="right"/>
        <w:rPr>
          <w:sz w:val="28"/>
          <w:szCs w:val="28"/>
          <w:lang w:val="lv-LV"/>
        </w:rPr>
      </w:pPr>
      <w:r w:rsidRPr="00267BCC">
        <w:rPr>
          <w:sz w:val="28"/>
          <w:szCs w:val="28"/>
          <w:lang w:val="lv-LV"/>
        </w:rPr>
        <w:t>rīkojums Nr.</w:t>
      </w:r>
      <w:r w:rsidR="00807B28">
        <w:rPr>
          <w:sz w:val="28"/>
          <w:szCs w:val="28"/>
          <w:lang w:val="lv-LV"/>
        </w:rPr>
        <w:t>             </w:t>
      </w:r>
      <w:r w:rsidRPr="00267BCC">
        <w:rPr>
          <w:sz w:val="28"/>
          <w:szCs w:val="28"/>
          <w:lang w:val="lv-LV"/>
        </w:rPr>
        <w:t>)</w:t>
      </w:r>
    </w:p>
    <w:p w14:paraId="496408A9" w14:textId="77777777" w:rsidR="00783831" w:rsidRPr="00267BCC" w:rsidRDefault="00783831" w:rsidP="00267BCC">
      <w:pPr>
        <w:ind w:right="-143"/>
        <w:jc w:val="both"/>
        <w:rPr>
          <w:sz w:val="26"/>
          <w:szCs w:val="26"/>
          <w:lang w:val="lv-LV"/>
        </w:rPr>
      </w:pPr>
    </w:p>
    <w:p w14:paraId="496408AA" w14:textId="77777777" w:rsidR="00783831" w:rsidRPr="00267BCC" w:rsidRDefault="00783831" w:rsidP="00267BCC">
      <w:pPr>
        <w:ind w:right="-143"/>
        <w:jc w:val="both"/>
        <w:rPr>
          <w:sz w:val="26"/>
          <w:szCs w:val="26"/>
          <w:lang w:val="lv-LV"/>
        </w:rPr>
      </w:pPr>
    </w:p>
    <w:p w14:paraId="496408AB" w14:textId="77777777" w:rsidR="00783831" w:rsidRPr="00267BCC" w:rsidRDefault="00783831" w:rsidP="00267BCC">
      <w:pPr>
        <w:ind w:right="-143"/>
        <w:jc w:val="both"/>
        <w:rPr>
          <w:sz w:val="26"/>
          <w:szCs w:val="26"/>
          <w:lang w:val="lv-LV"/>
        </w:rPr>
      </w:pPr>
    </w:p>
    <w:p w14:paraId="496408AC" w14:textId="77777777" w:rsidR="00783831" w:rsidRPr="00267BCC" w:rsidRDefault="00783831" w:rsidP="00267BCC">
      <w:pPr>
        <w:ind w:right="-143"/>
        <w:jc w:val="both"/>
        <w:rPr>
          <w:sz w:val="26"/>
          <w:szCs w:val="26"/>
          <w:lang w:val="lv-LV"/>
        </w:rPr>
      </w:pPr>
    </w:p>
    <w:p w14:paraId="496408AD" w14:textId="77777777" w:rsidR="00783831" w:rsidRPr="00267BCC" w:rsidRDefault="00783831" w:rsidP="00267BCC">
      <w:pPr>
        <w:ind w:right="-143"/>
        <w:jc w:val="both"/>
        <w:rPr>
          <w:sz w:val="26"/>
          <w:szCs w:val="26"/>
          <w:lang w:val="lv-LV"/>
        </w:rPr>
      </w:pPr>
    </w:p>
    <w:p w14:paraId="496408AE" w14:textId="77777777" w:rsidR="00783831" w:rsidRPr="00267BCC" w:rsidRDefault="00783831" w:rsidP="00267BCC">
      <w:pPr>
        <w:ind w:right="-143"/>
        <w:jc w:val="both"/>
        <w:rPr>
          <w:sz w:val="26"/>
          <w:szCs w:val="26"/>
          <w:lang w:val="lv-LV"/>
        </w:rPr>
      </w:pPr>
    </w:p>
    <w:p w14:paraId="496408AF" w14:textId="77777777" w:rsidR="00783831" w:rsidRPr="00267BCC" w:rsidRDefault="00783831" w:rsidP="00267BCC">
      <w:pPr>
        <w:pStyle w:val="BodyText"/>
        <w:spacing w:after="0"/>
        <w:ind w:right="-143"/>
        <w:jc w:val="both"/>
        <w:rPr>
          <w:b/>
          <w:sz w:val="28"/>
          <w:szCs w:val="28"/>
          <w:lang w:val="lv-LV"/>
        </w:rPr>
      </w:pPr>
    </w:p>
    <w:p w14:paraId="496408B0" w14:textId="77777777" w:rsidR="00783831" w:rsidRPr="00267BCC" w:rsidRDefault="00783831" w:rsidP="00267BCC">
      <w:pPr>
        <w:pStyle w:val="BodyText"/>
        <w:spacing w:after="0"/>
        <w:ind w:right="-143"/>
        <w:jc w:val="both"/>
        <w:rPr>
          <w:b/>
          <w:sz w:val="28"/>
          <w:szCs w:val="28"/>
          <w:lang w:val="lv-LV"/>
        </w:rPr>
      </w:pPr>
    </w:p>
    <w:p w14:paraId="496408B1" w14:textId="77777777" w:rsidR="00783831" w:rsidRPr="00267BCC" w:rsidRDefault="00783831" w:rsidP="00267BCC">
      <w:pPr>
        <w:pStyle w:val="BodyText"/>
        <w:spacing w:after="0"/>
        <w:ind w:right="-143"/>
        <w:jc w:val="both"/>
        <w:rPr>
          <w:b/>
          <w:sz w:val="28"/>
          <w:szCs w:val="28"/>
          <w:lang w:val="lv-LV"/>
        </w:rPr>
      </w:pPr>
    </w:p>
    <w:p w14:paraId="496408B2" w14:textId="77777777" w:rsidR="00783831" w:rsidRPr="00267BCC" w:rsidRDefault="00783831" w:rsidP="00267BCC">
      <w:pPr>
        <w:pStyle w:val="BodyText"/>
        <w:spacing w:after="0"/>
        <w:ind w:right="-143"/>
        <w:jc w:val="both"/>
        <w:rPr>
          <w:b/>
          <w:sz w:val="28"/>
          <w:szCs w:val="28"/>
          <w:lang w:val="lv-LV"/>
        </w:rPr>
      </w:pPr>
    </w:p>
    <w:p w14:paraId="496408B3" w14:textId="77777777" w:rsidR="00783831" w:rsidRPr="00267BCC" w:rsidRDefault="00783831" w:rsidP="00267BCC">
      <w:pPr>
        <w:pStyle w:val="BodyText"/>
        <w:spacing w:after="0"/>
        <w:ind w:right="-143"/>
        <w:jc w:val="both"/>
        <w:rPr>
          <w:b/>
          <w:sz w:val="28"/>
          <w:szCs w:val="28"/>
          <w:lang w:val="lv-LV"/>
        </w:rPr>
      </w:pPr>
    </w:p>
    <w:p w14:paraId="496408B4" w14:textId="77777777" w:rsidR="00783831" w:rsidRPr="00267BCC" w:rsidRDefault="00783831" w:rsidP="00267BCC">
      <w:pPr>
        <w:pStyle w:val="BodyText"/>
        <w:spacing w:after="0"/>
        <w:ind w:right="-143"/>
        <w:jc w:val="both"/>
        <w:rPr>
          <w:b/>
          <w:sz w:val="28"/>
          <w:szCs w:val="28"/>
          <w:lang w:val="lv-LV"/>
        </w:rPr>
      </w:pPr>
    </w:p>
    <w:p w14:paraId="496408B6" w14:textId="690AF292" w:rsidR="00EE65D3" w:rsidRPr="00807B28" w:rsidRDefault="00EE65D3" w:rsidP="00267BCC">
      <w:pPr>
        <w:pStyle w:val="BodyText"/>
        <w:spacing w:after="0"/>
        <w:jc w:val="center"/>
        <w:rPr>
          <w:b/>
          <w:sz w:val="28"/>
          <w:szCs w:val="28"/>
          <w:lang w:val="lv-LV"/>
        </w:rPr>
      </w:pPr>
      <w:r w:rsidRPr="00807B28">
        <w:rPr>
          <w:b/>
          <w:sz w:val="28"/>
          <w:szCs w:val="28"/>
          <w:lang w:val="lv-LV"/>
        </w:rPr>
        <w:t>Latvijas tūrisma attīstības</w:t>
      </w:r>
      <w:r w:rsidR="00807B28">
        <w:rPr>
          <w:b/>
          <w:sz w:val="28"/>
          <w:szCs w:val="28"/>
          <w:lang w:val="lv-LV"/>
        </w:rPr>
        <w:t xml:space="preserve"> </w:t>
      </w:r>
      <w:r w:rsidRPr="00807B28">
        <w:rPr>
          <w:b/>
          <w:sz w:val="28"/>
          <w:szCs w:val="28"/>
          <w:lang w:val="lv-LV"/>
        </w:rPr>
        <w:t>pamatnostādnes</w:t>
      </w:r>
    </w:p>
    <w:p w14:paraId="496408B7" w14:textId="54BB6A5F" w:rsidR="00783831" w:rsidRPr="00807B28" w:rsidRDefault="00EE65D3" w:rsidP="00267BCC">
      <w:pPr>
        <w:pStyle w:val="BodyText"/>
        <w:spacing w:after="0"/>
        <w:jc w:val="center"/>
        <w:rPr>
          <w:b/>
          <w:sz w:val="28"/>
          <w:szCs w:val="28"/>
          <w:lang w:val="lv-LV"/>
        </w:rPr>
      </w:pPr>
      <w:r w:rsidRPr="00807B28">
        <w:rPr>
          <w:b/>
          <w:sz w:val="28"/>
          <w:szCs w:val="28"/>
          <w:lang w:val="lv-LV"/>
        </w:rPr>
        <w:t>2014.–2020.</w:t>
      </w:r>
      <w:r w:rsidR="000A78B2" w:rsidRPr="00807B28">
        <w:rPr>
          <w:b/>
          <w:sz w:val="28"/>
          <w:szCs w:val="28"/>
          <w:lang w:val="lv-LV"/>
        </w:rPr>
        <w:t>gadam</w:t>
      </w:r>
    </w:p>
    <w:p w14:paraId="496408B8" w14:textId="77777777" w:rsidR="00EE65D3" w:rsidRPr="00807B28" w:rsidRDefault="00EE65D3" w:rsidP="00267BCC">
      <w:pPr>
        <w:pStyle w:val="BodyText"/>
        <w:spacing w:after="0"/>
        <w:jc w:val="center"/>
        <w:rPr>
          <w:b/>
          <w:sz w:val="28"/>
          <w:szCs w:val="28"/>
          <w:lang w:val="lv-LV"/>
        </w:rPr>
      </w:pPr>
    </w:p>
    <w:p w14:paraId="496408B9" w14:textId="77777777" w:rsidR="00783831" w:rsidRPr="00807B28" w:rsidRDefault="00783831" w:rsidP="00267BCC">
      <w:pPr>
        <w:pStyle w:val="BodyText"/>
        <w:spacing w:after="0"/>
        <w:jc w:val="center"/>
        <w:rPr>
          <w:b/>
          <w:sz w:val="28"/>
          <w:szCs w:val="28"/>
          <w:lang w:val="lv-LV"/>
        </w:rPr>
      </w:pPr>
      <w:r w:rsidRPr="00807B28">
        <w:rPr>
          <w:b/>
          <w:sz w:val="28"/>
          <w:szCs w:val="28"/>
          <w:lang w:val="lv-LV"/>
        </w:rPr>
        <w:t>(</w:t>
      </w:r>
      <w:r w:rsidR="000A78B2" w:rsidRPr="00807B28">
        <w:rPr>
          <w:b/>
          <w:sz w:val="28"/>
          <w:szCs w:val="28"/>
          <w:lang w:val="lv-LV"/>
        </w:rPr>
        <w:t>Informatīvā daļa</w:t>
      </w:r>
      <w:r w:rsidRPr="00807B28">
        <w:rPr>
          <w:b/>
          <w:sz w:val="28"/>
          <w:szCs w:val="28"/>
          <w:lang w:val="lv-LV"/>
        </w:rPr>
        <w:t>)</w:t>
      </w:r>
    </w:p>
    <w:p w14:paraId="496408BA" w14:textId="77777777" w:rsidR="00783831" w:rsidRPr="00267BCC" w:rsidRDefault="00783831" w:rsidP="00267BCC">
      <w:pPr>
        <w:ind w:right="-143"/>
        <w:jc w:val="center"/>
        <w:rPr>
          <w:smallCaps/>
          <w:sz w:val="28"/>
          <w:szCs w:val="28"/>
          <w:lang w:val="lv-LV"/>
        </w:rPr>
      </w:pPr>
    </w:p>
    <w:p w14:paraId="496408BB" w14:textId="77777777" w:rsidR="00783831" w:rsidRPr="00267BCC" w:rsidRDefault="00783831" w:rsidP="00267BCC">
      <w:pPr>
        <w:ind w:right="-143"/>
        <w:jc w:val="center"/>
        <w:rPr>
          <w:smallCaps/>
          <w:sz w:val="26"/>
          <w:szCs w:val="26"/>
          <w:lang w:val="lv-LV"/>
        </w:rPr>
      </w:pPr>
    </w:p>
    <w:p w14:paraId="496408BC" w14:textId="77777777" w:rsidR="00783831" w:rsidRPr="00267BCC" w:rsidRDefault="00783831" w:rsidP="00267BCC">
      <w:pPr>
        <w:ind w:right="-143"/>
        <w:jc w:val="both"/>
        <w:rPr>
          <w:smallCaps/>
          <w:sz w:val="26"/>
          <w:szCs w:val="26"/>
          <w:lang w:val="lv-LV"/>
        </w:rPr>
      </w:pPr>
    </w:p>
    <w:p w14:paraId="496408BD" w14:textId="77777777" w:rsidR="00783831" w:rsidRPr="00267BCC" w:rsidRDefault="00783831" w:rsidP="00267BCC">
      <w:pPr>
        <w:ind w:right="-143"/>
        <w:jc w:val="both"/>
        <w:rPr>
          <w:smallCaps/>
          <w:sz w:val="26"/>
          <w:szCs w:val="26"/>
          <w:lang w:val="lv-LV"/>
        </w:rPr>
      </w:pPr>
    </w:p>
    <w:p w14:paraId="496408BE" w14:textId="77777777" w:rsidR="00783831" w:rsidRPr="00267BCC" w:rsidRDefault="00783831" w:rsidP="00267BCC">
      <w:pPr>
        <w:ind w:right="-143"/>
        <w:jc w:val="both"/>
        <w:rPr>
          <w:smallCaps/>
          <w:sz w:val="26"/>
          <w:szCs w:val="26"/>
          <w:lang w:val="lv-LV"/>
        </w:rPr>
      </w:pPr>
    </w:p>
    <w:p w14:paraId="496408BF" w14:textId="77777777" w:rsidR="00783831" w:rsidRPr="00267BCC" w:rsidRDefault="00783831" w:rsidP="00267BCC">
      <w:pPr>
        <w:pStyle w:val="BodyText2"/>
        <w:tabs>
          <w:tab w:val="left" w:pos="3855"/>
        </w:tabs>
        <w:ind w:right="-143"/>
        <w:jc w:val="both"/>
        <w:rPr>
          <w:sz w:val="26"/>
          <w:szCs w:val="26"/>
        </w:rPr>
      </w:pPr>
    </w:p>
    <w:p w14:paraId="496408C0" w14:textId="77777777" w:rsidR="000A78B2" w:rsidRPr="00267BCC" w:rsidRDefault="000A78B2" w:rsidP="00267BCC">
      <w:pPr>
        <w:rPr>
          <w:sz w:val="26"/>
          <w:szCs w:val="26"/>
          <w:lang w:val="lv-LV" w:eastAsia="en-US"/>
        </w:rPr>
      </w:pPr>
      <w:r w:rsidRPr="00267BCC">
        <w:rPr>
          <w:sz w:val="26"/>
          <w:szCs w:val="26"/>
          <w:lang w:val="lv-LV"/>
        </w:rPr>
        <w:br w:type="page"/>
      </w:r>
    </w:p>
    <w:p w14:paraId="496408C1" w14:textId="77777777" w:rsidR="00783831" w:rsidRPr="00267BCC" w:rsidRDefault="00783831" w:rsidP="00267BCC">
      <w:pPr>
        <w:jc w:val="center"/>
        <w:rPr>
          <w:b/>
          <w:sz w:val="32"/>
          <w:szCs w:val="32"/>
          <w:lang w:val="lv-LV"/>
        </w:rPr>
      </w:pPr>
      <w:r w:rsidRPr="00267BCC">
        <w:rPr>
          <w:b/>
          <w:sz w:val="32"/>
          <w:szCs w:val="32"/>
          <w:lang w:val="lv-LV"/>
        </w:rPr>
        <w:lastRenderedPageBreak/>
        <w:t>Saturs</w:t>
      </w:r>
    </w:p>
    <w:sdt>
      <w:sdtPr>
        <w:rPr>
          <w:rFonts w:eastAsia="Times New Roman"/>
          <w:b w:val="0"/>
          <w:bCs w:val="0"/>
          <w:noProof w:val="0"/>
          <w:color w:val="auto"/>
          <w:lang w:val="ru-RU" w:eastAsia="lv-LV"/>
        </w:rPr>
        <w:id w:val="822481257"/>
        <w:docPartObj>
          <w:docPartGallery w:val="Table of Contents"/>
          <w:docPartUnique/>
        </w:docPartObj>
      </w:sdtPr>
      <w:sdtEndPr/>
      <w:sdtContent>
        <w:p w14:paraId="496408C2" w14:textId="77777777" w:rsidR="00B074E1" w:rsidRDefault="00DC0E7E">
          <w:pPr>
            <w:pStyle w:val="TOC1"/>
            <w:rPr>
              <w:rFonts w:asciiTheme="minorHAnsi" w:eastAsiaTheme="minorEastAsia" w:hAnsiTheme="minorHAnsi" w:cstheme="minorBidi"/>
              <w:b w:val="0"/>
              <w:bCs w:val="0"/>
              <w:color w:val="auto"/>
              <w:sz w:val="22"/>
              <w:szCs w:val="22"/>
              <w:lang w:eastAsia="lv-LV"/>
            </w:rPr>
          </w:pPr>
          <w:r w:rsidRPr="00267BCC">
            <w:rPr>
              <w:noProof w:val="0"/>
            </w:rPr>
            <w:fldChar w:fldCharType="begin"/>
          </w:r>
          <w:r w:rsidR="00CD1F89" w:rsidRPr="00267BCC">
            <w:rPr>
              <w:noProof w:val="0"/>
            </w:rPr>
            <w:instrText xml:space="preserve"> TOC \o "1-3" \h \z \u </w:instrText>
          </w:r>
          <w:r w:rsidRPr="00267BCC">
            <w:rPr>
              <w:noProof w:val="0"/>
            </w:rPr>
            <w:fldChar w:fldCharType="separate"/>
          </w:r>
          <w:hyperlink w:anchor="_Toc381256644" w:history="1">
            <w:r w:rsidR="00B074E1" w:rsidRPr="007F3AE8">
              <w:rPr>
                <w:rStyle w:val="Hyperlink"/>
              </w:rPr>
              <w:t>Lietotie saīsinājumi</w:t>
            </w:r>
            <w:r w:rsidR="00B074E1">
              <w:rPr>
                <w:webHidden/>
              </w:rPr>
              <w:tab/>
            </w:r>
            <w:r w:rsidR="00B074E1">
              <w:rPr>
                <w:webHidden/>
              </w:rPr>
              <w:fldChar w:fldCharType="begin"/>
            </w:r>
            <w:r w:rsidR="00B074E1">
              <w:rPr>
                <w:webHidden/>
              </w:rPr>
              <w:instrText xml:space="preserve"> PAGEREF _Toc381256644 \h </w:instrText>
            </w:r>
            <w:r w:rsidR="00B074E1">
              <w:rPr>
                <w:webHidden/>
              </w:rPr>
            </w:r>
            <w:r w:rsidR="00B074E1">
              <w:rPr>
                <w:webHidden/>
              </w:rPr>
              <w:fldChar w:fldCharType="separate"/>
            </w:r>
            <w:r w:rsidR="007F4A48">
              <w:rPr>
                <w:webHidden/>
              </w:rPr>
              <w:t>4</w:t>
            </w:r>
            <w:r w:rsidR="00B074E1">
              <w:rPr>
                <w:webHidden/>
              </w:rPr>
              <w:fldChar w:fldCharType="end"/>
            </w:r>
          </w:hyperlink>
        </w:p>
        <w:p w14:paraId="496408C3" w14:textId="77777777" w:rsidR="00B074E1" w:rsidRDefault="007F4A48">
          <w:pPr>
            <w:pStyle w:val="TOC1"/>
            <w:rPr>
              <w:rFonts w:asciiTheme="minorHAnsi" w:eastAsiaTheme="minorEastAsia" w:hAnsiTheme="minorHAnsi" w:cstheme="minorBidi"/>
              <w:b w:val="0"/>
              <w:bCs w:val="0"/>
              <w:color w:val="auto"/>
              <w:sz w:val="22"/>
              <w:szCs w:val="22"/>
              <w:lang w:eastAsia="lv-LV"/>
            </w:rPr>
          </w:pPr>
          <w:hyperlink w:anchor="_Toc381256645" w:history="1">
            <w:r w:rsidR="00B074E1" w:rsidRPr="007F3AE8">
              <w:rPr>
                <w:rStyle w:val="Hyperlink"/>
              </w:rPr>
              <w:t>Ievads</w:t>
            </w:r>
            <w:r w:rsidR="00B074E1">
              <w:rPr>
                <w:webHidden/>
              </w:rPr>
              <w:tab/>
            </w:r>
            <w:r w:rsidR="00B074E1">
              <w:rPr>
                <w:webHidden/>
              </w:rPr>
              <w:fldChar w:fldCharType="begin"/>
            </w:r>
            <w:r w:rsidR="00B074E1">
              <w:rPr>
                <w:webHidden/>
              </w:rPr>
              <w:instrText xml:space="preserve"> PAGEREF _Toc381256645 \h </w:instrText>
            </w:r>
            <w:r w:rsidR="00B074E1">
              <w:rPr>
                <w:webHidden/>
              </w:rPr>
            </w:r>
            <w:r w:rsidR="00B074E1">
              <w:rPr>
                <w:webHidden/>
              </w:rPr>
              <w:fldChar w:fldCharType="separate"/>
            </w:r>
            <w:r>
              <w:rPr>
                <w:webHidden/>
              </w:rPr>
              <w:t>5</w:t>
            </w:r>
            <w:r w:rsidR="00B074E1">
              <w:rPr>
                <w:webHidden/>
              </w:rPr>
              <w:fldChar w:fldCharType="end"/>
            </w:r>
          </w:hyperlink>
        </w:p>
        <w:p w14:paraId="496408C4"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46" w:history="1">
            <w:r w:rsidR="00B074E1" w:rsidRPr="007F3AE8">
              <w:rPr>
                <w:rStyle w:val="Hyperlink"/>
              </w:rPr>
              <w:t>1.</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Latvijas tūrisma attīstības mērķi, apakšmērķi un rezultāti</w:t>
            </w:r>
            <w:r w:rsidR="00B074E1">
              <w:rPr>
                <w:webHidden/>
              </w:rPr>
              <w:tab/>
            </w:r>
            <w:r w:rsidR="00B074E1">
              <w:rPr>
                <w:webHidden/>
              </w:rPr>
              <w:fldChar w:fldCharType="begin"/>
            </w:r>
            <w:r w:rsidR="00B074E1">
              <w:rPr>
                <w:webHidden/>
              </w:rPr>
              <w:instrText xml:space="preserve"> PAGEREF _Toc381256646 \h </w:instrText>
            </w:r>
            <w:r w:rsidR="00B074E1">
              <w:rPr>
                <w:webHidden/>
              </w:rPr>
            </w:r>
            <w:r w:rsidR="00B074E1">
              <w:rPr>
                <w:webHidden/>
              </w:rPr>
              <w:fldChar w:fldCharType="separate"/>
            </w:r>
            <w:r>
              <w:rPr>
                <w:webHidden/>
              </w:rPr>
              <w:t>6</w:t>
            </w:r>
            <w:r w:rsidR="00B074E1">
              <w:rPr>
                <w:webHidden/>
              </w:rPr>
              <w:fldChar w:fldCharType="end"/>
            </w:r>
          </w:hyperlink>
        </w:p>
        <w:p w14:paraId="496408C5"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47" w:history="1">
            <w:r w:rsidR="00B074E1" w:rsidRPr="007F3AE8">
              <w:rPr>
                <w:rStyle w:val="Hyperlink"/>
              </w:rPr>
              <w:t>2.</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Metodoloģija</w:t>
            </w:r>
            <w:r w:rsidR="00B074E1">
              <w:rPr>
                <w:webHidden/>
              </w:rPr>
              <w:tab/>
            </w:r>
            <w:r w:rsidR="00B074E1">
              <w:rPr>
                <w:webHidden/>
              </w:rPr>
              <w:fldChar w:fldCharType="begin"/>
            </w:r>
            <w:r w:rsidR="00B074E1">
              <w:rPr>
                <w:webHidden/>
              </w:rPr>
              <w:instrText xml:space="preserve"> PAGEREF _Toc381256647 \h </w:instrText>
            </w:r>
            <w:r w:rsidR="00B074E1">
              <w:rPr>
                <w:webHidden/>
              </w:rPr>
            </w:r>
            <w:r w:rsidR="00B074E1">
              <w:rPr>
                <w:webHidden/>
              </w:rPr>
              <w:fldChar w:fldCharType="separate"/>
            </w:r>
            <w:r>
              <w:rPr>
                <w:webHidden/>
              </w:rPr>
              <w:t>8</w:t>
            </w:r>
            <w:r w:rsidR="00B074E1">
              <w:rPr>
                <w:webHidden/>
              </w:rPr>
              <w:fldChar w:fldCharType="end"/>
            </w:r>
          </w:hyperlink>
        </w:p>
        <w:p w14:paraId="496408C6"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48" w:history="1">
            <w:r w:rsidR="00B074E1" w:rsidRPr="007F3AE8">
              <w:rPr>
                <w:rStyle w:val="Hyperlink"/>
              </w:rPr>
              <w:t>3.</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Esošās situācijas raksturojums</w:t>
            </w:r>
            <w:r w:rsidR="00B074E1">
              <w:rPr>
                <w:webHidden/>
              </w:rPr>
              <w:tab/>
            </w:r>
            <w:r w:rsidR="00B074E1">
              <w:rPr>
                <w:webHidden/>
              </w:rPr>
              <w:fldChar w:fldCharType="begin"/>
            </w:r>
            <w:r w:rsidR="00B074E1">
              <w:rPr>
                <w:webHidden/>
              </w:rPr>
              <w:instrText xml:space="preserve"> PAGEREF _Toc381256648 \h </w:instrText>
            </w:r>
            <w:r w:rsidR="00B074E1">
              <w:rPr>
                <w:webHidden/>
              </w:rPr>
            </w:r>
            <w:r w:rsidR="00B074E1">
              <w:rPr>
                <w:webHidden/>
              </w:rPr>
              <w:fldChar w:fldCharType="separate"/>
            </w:r>
            <w:r>
              <w:rPr>
                <w:webHidden/>
              </w:rPr>
              <w:t>9</w:t>
            </w:r>
            <w:r w:rsidR="00B074E1">
              <w:rPr>
                <w:webHidden/>
              </w:rPr>
              <w:fldChar w:fldCharType="end"/>
            </w:r>
          </w:hyperlink>
        </w:p>
        <w:p w14:paraId="496408C7"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49" w:history="1">
            <w:r w:rsidR="00B074E1" w:rsidRPr="007F3AE8">
              <w:rPr>
                <w:rStyle w:val="Hyperlink"/>
              </w:rPr>
              <w:t>3.1.</w:t>
            </w:r>
            <w:r w:rsidR="00B074E1">
              <w:rPr>
                <w:rFonts w:asciiTheme="minorHAnsi" w:eastAsiaTheme="minorEastAsia" w:hAnsiTheme="minorHAnsi" w:cstheme="minorBidi"/>
                <w:sz w:val="22"/>
                <w:szCs w:val="22"/>
                <w:lang w:eastAsia="lv-LV"/>
              </w:rPr>
              <w:tab/>
            </w:r>
            <w:r w:rsidR="00B074E1" w:rsidRPr="007F3AE8">
              <w:rPr>
                <w:rStyle w:val="Hyperlink"/>
              </w:rPr>
              <w:t>Tūrisma attīstības tendences pasaulē</w:t>
            </w:r>
            <w:r w:rsidR="00B074E1">
              <w:rPr>
                <w:webHidden/>
              </w:rPr>
              <w:tab/>
            </w:r>
            <w:r w:rsidR="00B074E1">
              <w:rPr>
                <w:webHidden/>
              </w:rPr>
              <w:fldChar w:fldCharType="begin"/>
            </w:r>
            <w:r w:rsidR="00B074E1">
              <w:rPr>
                <w:webHidden/>
              </w:rPr>
              <w:instrText xml:space="preserve"> PAGEREF _Toc381256649 \h </w:instrText>
            </w:r>
            <w:r w:rsidR="00B074E1">
              <w:rPr>
                <w:webHidden/>
              </w:rPr>
            </w:r>
            <w:r w:rsidR="00B074E1">
              <w:rPr>
                <w:webHidden/>
              </w:rPr>
              <w:fldChar w:fldCharType="separate"/>
            </w:r>
            <w:r>
              <w:rPr>
                <w:webHidden/>
              </w:rPr>
              <w:t>9</w:t>
            </w:r>
            <w:r w:rsidR="00B074E1">
              <w:rPr>
                <w:webHidden/>
              </w:rPr>
              <w:fldChar w:fldCharType="end"/>
            </w:r>
          </w:hyperlink>
        </w:p>
        <w:p w14:paraId="496408C8"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50" w:history="1">
            <w:r w:rsidR="00B074E1" w:rsidRPr="007F3AE8">
              <w:rPr>
                <w:rStyle w:val="Hyperlink"/>
              </w:rPr>
              <w:t>3.2.</w:t>
            </w:r>
            <w:r w:rsidR="00B074E1">
              <w:rPr>
                <w:rFonts w:asciiTheme="minorHAnsi" w:eastAsiaTheme="minorEastAsia" w:hAnsiTheme="minorHAnsi" w:cstheme="minorBidi"/>
                <w:sz w:val="22"/>
                <w:szCs w:val="22"/>
                <w:lang w:eastAsia="lv-LV"/>
              </w:rPr>
              <w:tab/>
            </w:r>
            <w:r w:rsidR="00B074E1" w:rsidRPr="007F3AE8">
              <w:rPr>
                <w:rStyle w:val="Hyperlink"/>
              </w:rPr>
              <w:t>Globālās tendences un izaicinājumi</w:t>
            </w:r>
            <w:r w:rsidR="00B074E1">
              <w:rPr>
                <w:webHidden/>
              </w:rPr>
              <w:tab/>
            </w:r>
            <w:r w:rsidR="00B074E1">
              <w:rPr>
                <w:webHidden/>
              </w:rPr>
              <w:fldChar w:fldCharType="begin"/>
            </w:r>
            <w:r w:rsidR="00B074E1">
              <w:rPr>
                <w:webHidden/>
              </w:rPr>
              <w:instrText xml:space="preserve"> PAGEREF _Toc381256650 \h </w:instrText>
            </w:r>
            <w:r w:rsidR="00B074E1">
              <w:rPr>
                <w:webHidden/>
              </w:rPr>
            </w:r>
            <w:r w:rsidR="00B074E1">
              <w:rPr>
                <w:webHidden/>
              </w:rPr>
              <w:fldChar w:fldCharType="separate"/>
            </w:r>
            <w:r>
              <w:rPr>
                <w:webHidden/>
              </w:rPr>
              <w:t>11</w:t>
            </w:r>
            <w:r w:rsidR="00B074E1">
              <w:rPr>
                <w:webHidden/>
              </w:rPr>
              <w:fldChar w:fldCharType="end"/>
            </w:r>
          </w:hyperlink>
        </w:p>
        <w:p w14:paraId="496408C9"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1" w:history="1">
            <w:r w:rsidR="00B074E1" w:rsidRPr="007F3AE8">
              <w:rPr>
                <w:rStyle w:val="Hyperlink"/>
              </w:rPr>
              <w:t>3.2.1.</w:t>
            </w:r>
            <w:r w:rsidR="00B074E1">
              <w:rPr>
                <w:rFonts w:asciiTheme="minorHAnsi" w:eastAsiaTheme="minorEastAsia" w:hAnsiTheme="minorHAnsi" w:cstheme="minorBidi"/>
                <w:sz w:val="22"/>
                <w:szCs w:val="22"/>
              </w:rPr>
              <w:tab/>
            </w:r>
            <w:r w:rsidR="00B074E1" w:rsidRPr="007F3AE8">
              <w:rPr>
                <w:rStyle w:val="Hyperlink"/>
              </w:rPr>
              <w:t>Sociālie faktori</w:t>
            </w:r>
            <w:r w:rsidR="00B074E1">
              <w:rPr>
                <w:webHidden/>
              </w:rPr>
              <w:tab/>
            </w:r>
            <w:r w:rsidR="00B074E1">
              <w:rPr>
                <w:webHidden/>
              </w:rPr>
              <w:fldChar w:fldCharType="begin"/>
            </w:r>
            <w:r w:rsidR="00B074E1">
              <w:rPr>
                <w:webHidden/>
              </w:rPr>
              <w:instrText xml:space="preserve"> PAGEREF _Toc381256651 \h </w:instrText>
            </w:r>
            <w:r w:rsidR="00B074E1">
              <w:rPr>
                <w:webHidden/>
              </w:rPr>
            </w:r>
            <w:r w:rsidR="00B074E1">
              <w:rPr>
                <w:webHidden/>
              </w:rPr>
              <w:fldChar w:fldCharType="separate"/>
            </w:r>
            <w:r>
              <w:rPr>
                <w:webHidden/>
              </w:rPr>
              <w:t>11</w:t>
            </w:r>
            <w:r w:rsidR="00B074E1">
              <w:rPr>
                <w:webHidden/>
              </w:rPr>
              <w:fldChar w:fldCharType="end"/>
            </w:r>
          </w:hyperlink>
        </w:p>
        <w:p w14:paraId="496408CA"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2" w:history="1">
            <w:r w:rsidR="00B074E1" w:rsidRPr="007F3AE8">
              <w:rPr>
                <w:rStyle w:val="Hyperlink"/>
              </w:rPr>
              <w:t>3.2.2.</w:t>
            </w:r>
            <w:r w:rsidR="00B074E1">
              <w:rPr>
                <w:rFonts w:asciiTheme="minorHAnsi" w:eastAsiaTheme="minorEastAsia" w:hAnsiTheme="minorHAnsi" w:cstheme="minorBidi"/>
                <w:sz w:val="22"/>
                <w:szCs w:val="22"/>
              </w:rPr>
              <w:tab/>
            </w:r>
            <w:r w:rsidR="00B074E1" w:rsidRPr="007F3AE8">
              <w:rPr>
                <w:rStyle w:val="Hyperlink"/>
              </w:rPr>
              <w:t>Demogrāfiskie faktori</w:t>
            </w:r>
            <w:r w:rsidR="00B074E1">
              <w:rPr>
                <w:webHidden/>
              </w:rPr>
              <w:tab/>
            </w:r>
            <w:r w:rsidR="00B074E1">
              <w:rPr>
                <w:webHidden/>
              </w:rPr>
              <w:fldChar w:fldCharType="begin"/>
            </w:r>
            <w:r w:rsidR="00B074E1">
              <w:rPr>
                <w:webHidden/>
              </w:rPr>
              <w:instrText xml:space="preserve"> PAGEREF _Toc381256652 \h </w:instrText>
            </w:r>
            <w:r w:rsidR="00B074E1">
              <w:rPr>
                <w:webHidden/>
              </w:rPr>
            </w:r>
            <w:r w:rsidR="00B074E1">
              <w:rPr>
                <w:webHidden/>
              </w:rPr>
              <w:fldChar w:fldCharType="separate"/>
            </w:r>
            <w:r>
              <w:rPr>
                <w:webHidden/>
              </w:rPr>
              <w:t>12</w:t>
            </w:r>
            <w:r w:rsidR="00B074E1">
              <w:rPr>
                <w:webHidden/>
              </w:rPr>
              <w:fldChar w:fldCharType="end"/>
            </w:r>
          </w:hyperlink>
        </w:p>
        <w:p w14:paraId="496408CB"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3" w:history="1">
            <w:r w:rsidR="00B074E1" w:rsidRPr="007F3AE8">
              <w:rPr>
                <w:rStyle w:val="Hyperlink"/>
              </w:rPr>
              <w:t>3.2.3.</w:t>
            </w:r>
            <w:r w:rsidR="00B074E1">
              <w:rPr>
                <w:rFonts w:asciiTheme="minorHAnsi" w:eastAsiaTheme="minorEastAsia" w:hAnsiTheme="minorHAnsi" w:cstheme="minorBidi"/>
                <w:sz w:val="22"/>
                <w:szCs w:val="22"/>
              </w:rPr>
              <w:tab/>
            </w:r>
            <w:r w:rsidR="00B074E1" w:rsidRPr="007F3AE8">
              <w:rPr>
                <w:rStyle w:val="Hyperlink"/>
              </w:rPr>
              <w:t>Ekonomiskie faktori</w:t>
            </w:r>
            <w:r w:rsidR="00B074E1">
              <w:rPr>
                <w:webHidden/>
              </w:rPr>
              <w:tab/>
            </w:r>
            <w:r w:rsidR="00B074E1">
              <w:rPr>
                <w:webHidden/>
              </w:rPr>
              <w:fldChar w:fldCharType="begin"/>
            </w:r>
            <w:r w:rsidR="00B074E1">
              <w:rPr>
                <w:webHidden/>
              </w:rPr>
              <w:instrText xml:space="preserve"> PAGEREF _Toc381256653 \h </w:instrText>
            </w:r>
            <w:r w:rsidR="00B074E1">
              <w:rPr>
                <w:webHidden/>
              </w:rPr>
            </w:r>
            <w:r w:rsidR="00B074E1">
              <w:rPr>
                <w:webHidden/>
              </w:rPr>
              <w:fldChar w:fldCharType="separate"/>
            </w:r>
            <w:r>
              <w:rPr>
                <w:webHidden/>
              </w:rPr>
              <w:t>12</w:t>
            </w:r>
            <w:r w:rsidR="00B074E1">
              <w:rPr>
                <w:webHidden/>
              </w:rPr>
              <w:fldChar w:fldCharType="end"/>
            </w:r>
          </w:hyperlink>
        </w:p>
        <w:p w14:paraId="496408CC"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4" w:history="1">
            <w:r w:rsidR="00B074E1" w:rsidRPr="007F3AE8">
              <w:rPr>
                <w:rStyle w:val="Hyperlink"/>
              </w:rPr>
              <w:t>3.2.4.</w:t>
            </w:r>
            <w:r w:rsidR="00B074E1">
              <w:rPr>
                <w:rFonts w:asciiTheme="minorHAnsi" w:eastAsiaTheme="minorEastAsia" w:hAnsiTheme="minorHAnsi" w:cstheme="minorBidi"/>
                <w:sz w:val="22"/>
                <w:szCs w:val="22"/>
              </w:rPr>
              <w:tab/>
            </w:r>
            <w:r w:rsidR="00B074E1" w:rsidRPr="007F3AE8">
              <w:rPr>
                <w:rStyle w:val="Hyperlink"/>
              </w:rPr>
              <w:t>Politiskie faktori</w:t>
            </w:r>
            <w:r w:rsidR="00B074E1">
              <w:rPr>
                <w:webHidden/>
              </w:rPr>
              <w:tab/>
            </w:r>
            <w:r w:rsidR="00B074E1">
              <w:rPr>
                <w:webHidden/>
              </w:rPr>
              <w:fldChar w:fldCharType="begin"/>
            </w:r>
            <w:r w:rsidR="00B074E1">
              <w:rPr>
                <w:webHidden/>
              </w:rPr>
              <w:instrText xml:space="preserve"> PAGEREF _Toc381256654 \h </w:instrText>
            </w:r>
            <w:r w:rsidR="00B074E1">
              <w:rPr>
                <w:webHidden/>
              </w:rPr>
            </w:r>
            <w:r w:rsidR="00B074E1">
              <w:rPr>
                <w:webHidden/>
              </w:rPr>
              <w:fldChar w:fldCharType="separate"/>
            </w:r>
            <w:r>
              <w:rPr>
                <w:webHidden/>
              </w:rPr>
              <w:t>13</w:t>
            </w:r>
            <w:r w:rsidR="00B074E1">
              <w:rPr>
                <w:webHidden/>
              </w:rPr>
              <w:fldChar w:fldCharType="end"/>
            </w:r>
          </w:hyperlink>
        </w:p>
        <w:p w14:paraId="496408CD"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5" w:history="1">
            <w:r w:rsidR="00B074E1" w:rsidRPr="007F3AE8">
              <w:rPr>
                <w:rStyle w:val="Hyperlink"/>
              </w:rPr>
              <w:t>3.2.5.</w:t>
            </w:r>
            <w:r w:rsidR="00B074E1">
              <w:rPr>
                <w:rFonts w:asciiTheme="minorHAnsi" w:eastAsiaTheme="minorEastAsia" w:hAnsiTheme="minorHAnsi" w:cstheme="minorBidi"/>
                <w:sz w:val="22"/>
                <w:szCs w:val="22"/>
              </w:rPr>
              <w:tab/>
            </w:r>
            <w:r w:rsidR="00B074E1" w:rsidRPr="007F3AE8">
              <w:rPr>
                <w:rStyle w:val="Hyperlink"/>
              </w:rPr>
              <w:t>Vides faktori</w:t>
            </w:r>
            <w:r w:rsidR="00B074E1">
              <w:rPr>
                <w:webHidden/>
              </w:rPr>
              <w:tab/>
            </w:r>
            <w:r w:rsidR="00B074E1">
              <w:rPr>
                <w:webHidden/>
              </w:rPr>
              <w:fldChar w:fldCharType="begin"/>
            </w:r>
            <w:r w:rsidR="00B074E1">
              <w:rPr>
                <w:webHidden/>
              </w:rPr>
              <w:instrText xml:space="preserve"> PAGEREF _Toc381256655 \h </w:instrText>
            </w:r>
            <w:r w:rsidR="00B074E1">
              <w:rPr>
                <w:webHidden/>
              </w:rPr>
            </w:r>
            <w:r w:rsidR="00B074E1">
              <w:rPr>
                <w:webHidden/>
              </w:rPr>
              <w:fldChar w:fldCharType="separate"/>
            </w:r>
            <w:r>
              <w:rPr>
                <w:webHidden/>
              </w:rPr>
              <w:t>14</w:t>
            </w:r>
            <w:r w:rsidR="00B074E1">
              <w:rPr>
                <w:webHidden/>
              </w:rPr>
              <w:fldChar w:fldCharType="end"/>
            </w:r>
          </w:hyperlink>
        </w:p>
        <w:p w14:paraId="496408CE"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56" w:history="1">
            <w:r w:rsidR="00B074E1" w:rsidRPr="007F3AE8">
              <w:rPr>
                <w:rStyle w:val="Hyperlink"/>
              </w:rPr>
              <w:t>3.3.</w:t>
            </w:r>
            <w:r w:rsidR="00B074E1">
              <w:rPr>
                <w:rFonts w:asciiTheme="minorHAnsi" w:eastAsiaTheme="minorEastAsia" w:hAnsiTheme="minorHAnsi" w:cstheme="minorBidi"/>
                <w:sz w:val="22"/>
                <w:szCs w:val="22"/>
                <w:lang w:eastAsia="lv-LV"/>
              </w:rPr>
              <w:tab/>
            </w:r>
            <w:r w:rsidR="00B074E1" w:rsidRPr="007F3AE8">
              <w:rPr>
                <w:rStyle w:val="Hyperlink"/>
              </w:rPr>
              <w:t>Latvijas tūrisma attīstība 2009.-2012.gadā. Baltijas valstu konteksts.</w:t>
            </w:r>
            <w:r w:rsidR="00B074E1">
              <w:rPr>
                <w:webHidden/>
              </w:rPr>
              <w:tab/>
            </w:r>
            <w:r w:rsidR="00B074E1">
              <w:rPr>
                <w:webHidden/>
              </w:rPr>
              <w:fldChar w:fldCharType="begin"/>
            </w:r>
            <w:r w:rsidR="00B074E1">
              <w:rPr>
                <w:webHidden/>
              </w:rPr>
              <w:instrText xml:space="preserve"> PAGEREF _Toc381256656 \h </w:instrText>
            </w:r>
            <w:r w:rsidR="00B074E1">
              <w:rPr>
                <w:webHidden/>
              </w:rPr>
            </w:r>
            <w:r w:rsidR="00B074E1">
              <w:rPr>
                <w:webHidden/>
              </w:rPr>
              <w:fldChar w:fldCharType="separate"/>
            </w:r>
            <w:r>
              <w:rPr>
                <w:webHidden/>
              </w:rPr>
              <w:t>14</w:t>
            </w:r>
            <w:r w:rsidR="00B074E1">
              <w:rPr>
                <w:webHidden/>
              </w:rPr>
              <w:fldChar w:fldCharType="end"/>
            </w:r>
          </w:hyperlink>
        </w:p>
        <w:p w14:paraId="496408CF"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57" w:history="1">
            <w:r w:rsidR="00B074E1" w:rsidRPr="007F3AE8">
              <w:rPr>
                <w:rStyle w:val="Hyperlink"/>
              </w:rPr>
              <w:t>3.4.</w:t>
            </w:r>
            <w:r w:rsidR="00B074E1">
              <w:rPr>
                <w:rFonts w:asciiTheme="minorHAnsi" w:eastAsiaTheme="minorEastAsia" w:hAnsiTheme="minorHAnsi" w:cstheme="minorBidi"/>
                <w:sz w:val="22"/>
                <w:szCs w:val="22"/>
                <w:lang w:eastAsia="lv-LV"/>
              </w:rPr>
              <w:tab/>
            </w:r>
            <w:r w:rsidR="00B074E1" w:rsidRPr="007F3AE8">
              <w:rPr>
                <w:rStyle w:val="Hyperlink"/>
              </w:rPr>
              <w:t>Veiktie ieguldījumi tūrisma attīstībā</w:t>
            </w:r>
            <w:r w:rsidR="00B074E1">
              <w:rPr>
                <w:webHidden/>
              </w:rPr>
              <w:tab/>
            </w:r>
            <w:r w:rsidR="00B074E1">
              <w:rPr>
                <w:webHidden/>
              </w:rPr>
              <w:fldChar w:fldCharType="begin"/>
            </w:r>
            <w:r w:rsidR="00B074E1">
              <w:rPr>
                <w:webHidden/>
              </w:rPr>
              <w:instrText xml:space="preserve"> PAGEREF _Toc381256657 \h </w:instrText>
            </w:r>
            <w:r w:rsidR="00B074E1">
              <w:rPr>
                <w:webHidden/>
              </w:rPr>
            </w:r>
            <w:r w:rsidR="00B074E1">
              <w:rPr>
                <w:webHidden/>
              </w:rPr>
              <w:fldChar w:fldCharType="separate"/>
            </w:r>
            <w:r>
              <w:rPr>
                <w:webHidden/>
              </w:rPr>
              <w:t>21</w:t>
            </w:r>
            <w:r w:rsidR="00B074E1">
              <w:rPr>
                <w:webHidden/>
              </w:rPr>
              <w:fldChar w:fldCharType="end"/>
            </w:r>
          </w:hyperlink>
        </w:p>
        <w:p w14:paraId="496408D0"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8" w:history="1">
            <w:r w:rsidR="00B074E1" w:rsidRPr="007F3AE8">
              <w:rPr>
                <w:rStyle w:val="Hyperlink"/>
              </w:rPr>
              <w:t>3.4.1.</w:t>
            </w:r>
            <w:r w:rsidR="00B074E1">
              <w:rPr>
                <w:rFonts w:asciiTheme="minorHAnsi" w:eastAsiaTheme="minorEastAsia" w:hAnsiTheme="minorHAnsi" w:cstheme="minorBidi"/>
                <w:sz w:val="22"/>
                <w:szCs w:val="22"/>
              </w:rPr>
              <w:tab/>
            </w:r>
            <w:r w:rsidR="00B074E1" w:rsidRPr="007F3AE8">
              <w:rPr>
                <w:rStyle w:val="Hyperlink"/>
              </w:rPr>
              <w:t>Ieguldījumi infrastruktūrā</w:t>
            </w:r>
            <w:r w:rsidR="00B074E1">
              <w:rPr>
                <w:webHidden/>
              </w:rPr>
              <w:tab/>
            </w:r>
            <w:r w:rsidR="00B074E1">
              <w:rPr>
                <w:webHidden/>
              </w:rPr>
              <w:fldChar w:fldCharType="begin"/>
            </w:r>
            <w:r w:rsidR="00B074E1">
              <w:rPr>
                <w:webHidden/>
              </w:rPr>
              <w:instrText xml:space="preserve"> PAGEREF _Toc381256658 \h </w:instrText>
            </w:r>
            <w:r w:rsidR="00B074E1">
              <w:rPr>
                <w:webHidden/>
              </w:rPr>
            </w:r>
            <w:r w:rsidR="00B074E1">
              <w:rPr>
                <w:webHidden/>
              </w:rPr>
              <w:fldChar w:fldCharType="separate"/>
            </w:r>
            <w:r>
              <w:rPr>
                <w:webHidden/>
              </w:rPr>
              <w:t>21</w:t>
            </w:r>
            <w:r w:rsidR="00B074E1">
              <w:rPr>
                <w:webHidden/>
              </w:rPr>
              <w:fldChar w:fldCharType="end"/>
            </w:r>
          </w:hyperlink>
        </w:p>
        <w:p w14:paraId="496408D1" w14:textId="77777777" w:rsidR="00B074E1" w:rsidRDefault="007F4A48">
          <w:pPr>
            <w:pStyle w:val="TOC3"/>
            <w:tabs>
              <w:tab w:val="left" w:pos="1320"/>
            </w:tabs>
            <w:rPr>
              <w:rFonts w:asciiTheme="minorHAnsi" w:eastAsiaTheme="minorEastAsia" w:hAnsiTheme="minorHAnsi" w:cstheme="minorBidi"/>
              <w:sz w:val="22"/>
              <w:szCs w:val="22"/>
            </w:rPr>
          </w:pPr>
          <w:hyperlink w:anchor="_Toc381256659" w:history="1">
            <w:r w:rsidR="00B074E1" w:rsidRPr="007F3AE8">
              <w:rPr>
                <w:rStyle w:val="Hyperlink"/>
              </w:rPr>
              <w:t>3.4.2.</w:t>
            </w:r>
            <w:r w:rsidR="00B074E1">
              <w:rPr>
                <w:rFonts w:asciiTheme="minorHAnsi" w:eastAsiaTheme="minorEastAsia" w:hAnsiTheme="minorHAnsi" w:cstheme="minorBidi"/>
                <w:sz w:val="22"/>
                <w:szCs w:val="22"/>
              </w:rPr>
              <w:tab/>
            </w:r>
            <w:r w:rsidR="00B074E1" w:rsidRPr="007F3AE8">
              <w:rPr>
                <w:rStyle w:val="Hyperlink"/>
              </w:rPr>
              <w:t>Citi ieguldījumi</w:t>
            </w:r>
            <w:r w:rsidR="00B074E1">
              <w:rPr>
                <w:webHidden/>
              </w:rPr>
              <w:tab/>
            </w:r>
            <w:r w:rsidR="00B074E1">
              <w:rPr>
                <w:webHidden/>
              </w:rPr>
              <w:fldChar w:fldCharType="begin"/>
            </w:r>
            <w:r w:rsidR="00B074E1">
              <w:rPr>
                <w:webHidden/>
              </w:rPr>
              <w:instrText xml:space="preserve"> PAGEREF _Toc381256659 \h </w:instrText>
            </w:r>
            <w:r w:rsidR="00B074E1">
              <w:rPr>
                <w:webHidden/>
              </w:rPr>
            </w:r>
            <w:r w:rsidR="00B074E1">
              <w:rPr>
                <w:webHidden/>
              </w:rPr>
              <w:fldChar w:fldCharType="separate"/>
            </w:r>
            <w:r>
              <w:rPr>
                <w:webHidden/>
              </w:rPr>
              <w:t>22</w:t>
            </w:r>
            <w:r w:rsidR="00B074E1">
              <w:rPr>
                <w:webHidden/>
              </w:rPr>
              <w:fldChar w:fldCharType="end"/>
            </w:r>
          </w:hyperlink>
        </w:p>
        <w:p w14:paraId="496408D2" w14:textId="77777777" w:rsidR="00B074E1" w:rsidRDefault="007F4A48">
          <w:pPr>
            <w:pStyle w:val="TOC3"/>
            <w:tabs>
              <w:tab w:val="left" w:pos="1320"/>
            </w:tabs>
            <w:rPr>
              <w:rFonts w:asciiTheme="minorHAnsi" w:eastAsiaTheme="minorEastAsia" w:hAnsiTheme="minorHAnsi" w:cstheme="minorBidi"/>
              <w:sz w:val="22"/>
              <w:szCs w:val="22"/>
            </w:rPr>
          </w:pPr>
          <w:hyperlink w:anchor="_Toc381256660" w:history="1">
            <w:r w:rsidR="00B074E1" w:rsidRPr="007F3AE8">
              <w:rPr>
                <w:rStyle w:val="Hyperlink"/>
              </w:rPr>
              <w:t>3.4.3.</w:t>
            </w:r>
            <w:r w:rsidR="00B074E1">
              <w:rPr>
                <w:rFonts w:asciiTheme="minorHAnsi" w:eastAsiaTheme="minorEastAsia" w:hAnsiTheme="minorHAnsi" w:cstheme="minorBidi"/>
                <w:sz w:val="22"/>
                <w:szCs w:val="22"/>
              </w:rPr>
              <w:tab/>
            </w:r>
            <w:r w:rsidR="00B074E1" w:rsidRPr="007F3AE8">
              <w:rPr>
                <w:rStyle w:val="Hyperlink"/>
              </w:rPr>
              <w:t>Veikto ieguldījumu atdeves analīze</w:t>
            </w:r>
            <w:r w:rsidR="00B074E1">
              <w:rPr>
                <w:webHidden/>
              </w:rPr>
              <w:tab/>
            </w:r>
            <w:r w:rsidR="00B074E1">
              <w:rPr>
                <w:webHidden/>
              </w:rPr>
              <w:fldChar w:fldCharType="begin"/>
            </w:r>
            <w:r w:rsidR="00B074E1">
              <w:rPr>
                <w:webHidden/>
              </w:rPr>
              <w:instrText xml:space="preserve"> PAGEREF _Toc381256660 \h </w:instrText>
            </w:r>
            <w:r w:rsidR="00B074E1">
              <w:rPr>
                <w:webHidden/>
              </w:rPr>
            </w:r>
            <w:r w:rsidR="00B074E1">
              <w:rPr>
                <w:webHidden/>
              </w:rPr>
              <w:fldChar w:fldCharType="separate"/>
            </w:r>
            <w:r>
              <w:rPr>
                <w:webHidden/>
              </w:rPr>
              <w:t>23</w:t>
            </w:r>
            <w:r w:rsidR="00B074E1">
              <w:rPr>
                <w:webHidden/>
              </w:rPr>
              <w:fldChar w:fldCharType="end"/>
            </w:r>
          </w:hyperlink>
        </w:p>
        <w:p w14:paraId="496408D3"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61" w:history="1">
            <w:r w:rsidR="00B074E1" w:rsidRPr="007F3AE8">
              <w:rPr>
                <w:rStyle w:val="Hyperlink"/>
              </w:rPr>
              <w:t>3.5.</w:t>
            </w:r>
            <w:r w:rsidR="00B074E1">
              <w:rPr>
                <w:rFonts w:asciiTheme="minorHAnsi" w:eastAsiaTheme="minorEastAsia" w:hAnsiTheme="minorHAnsi" w:cstheme="minorBidi"/>
                <w:sz w:val="22"/>
                <w:szCs w:val="22"/>
                <w:lang w:eastAsia="lv-LV"/>
              </w:rPr>
              <w:tab/>
            </w:r>
            <w:r w:rsidR="00B074E1" w:rsidRPr="007F3AE8">
              <w:rPr>
                <w:rStyle w:val="Hyperlink"/>
              </w:rPr>
              <w:t>Konkurētspējīgāko tūrisma veidu raksturojums</w:t>
            </w:r>
            <w:r w:rsidR="00B074E1">
              <w:rPr>
                <w:webHidden/>
              </w:rPr>
              <w:tab/>
            </w:r>
            <w:r w:rsidR="00B074E1">
              <w:rPr>
                <w:webHidden/>
              </w:rPr>
              <w:fldChar w:fldCharType="begin"/>
            </w:r>
            <w:r w:rsidR="00B074E1">
              <w:rPr>
                <w:webHidden/>
              </w:rPr>
              <w:instrText xml:space="preserve"> PAGEREF _Toc381256661 \h </w:instrText>
            </w:r>
            <w:r w:rsidR="00B074E1">
              <w:rPr>
                <w:webHidden/>
              </w:rPr>
            </w:r>
            <w:r w:rsidR="00B074E1">
              <w:rPr>
                <w:webHidden/>
              </w:rPr>
              <w:fldChar w:fldCharType="separate"/>
            </w:r>
            <w:r>
              <w:rPr>
                <w:webHidden/>
              </w:rPr>
              <w:t>25</w:t>
            </w:r>
            <w:r w:rsidR="00B074E1">
              <w:rPr>
                <w:webHidden/>
              </w:rPr>
              <w:fldChar w:fldCharType="end"/>
            </w:r>
          </w:hyperlink>
        </w:p>
        <w:p w14:paraId="496408D4"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62" w:history="1">
            <w:r w:rsidR="00B074E1" w:rsidRPr="007F3AE8">
              <w:rPr>
                <w:rStyle w:val="Hyperlink"/>
              </w:rPr>
              <w:t>3.6.</w:t>
            </w:r>
            <w:r w:rsidR="00B074E1">
              <w:rPr>
                <w:rFonts w:asciiTheme="minorHAnsi" w:eastAsiaTheme="minorEastAsia" w:hAnsiTheme="minorHAnsi" w:cstheme="minorBidi"/>
                <w:sz w:val="22"/>
                <w:szCs w:val="22"/>
                <w:lang w:eastAsia="lv-LV"/>
              </w:rPr>
              <w:tab/>
            </w:r>
            <w:r w:rsidR="00B074E1" w:rsidRPr="007F3AE8">
              <w:rPr>
                <w:rStyle w:val="Hyperlink"/>
              </w:rPr>
              <w:t>Reģionālais novērtējums</w:t>
            </w:r>
            <w:r w:rsidR="00B074E1">
              <w:rPr>
                <w:webHidden/>
              </w:rPr>
              <w:tab/>
            </w:r>
            <w:r w:rsidR="00B074E1">
              <w:rPr>
                <w:webHidden/>
              </w:rPr>
              <w:fldChar w:fldCharType="begin"/>
            </w:r>
            <w:r w:rsidR="00B074E1">
              <w:rPr>
                <w:webHidden/>
              </w:rPr>
              <w:instrText xml:space="preserve"> PAGEREF _Toc381256662 \h </w:instrText>
            </w:r>
            <w:r w:rsidR="00B074E1">
              <w:rPr>
                <w:webHidden/>
              </w:rPr>
            </w:r>
            <w:r w:rsidR="00B074E1">
              <w:rPr>
                <w:webHidden/>
              </w:rPr>
              <w:fldChar w:fldCharType="separate"/>
            </w:r>
            <w:r>
              <w:rPr>
                <w:webHidden/>
              </w:rPr>
              <w:t>32</w:t>
            </w:r>
            <w:r w:rsidR="00B074E1">
              <w:rPr>
                <w:webHidden/>
              </w:rPr>
              <w:fldChar w:fldCharType="end"/>
            </w:r>
          </w:hyperlink>
        </w:p>
        <w:p w14:paraId="496408D5" w14:textId="77777777" w:rsidR="00B074E1" w:rsidRDefault="007F4A48">
          <w:pPr>
            <w:pStyle w:val="TOC3"/>
            <w:tabs>
              <w:tab w:val="left" w:pos="1320"/>
            </w:tabs>
            <w:rPr>
              <w:rFonts w:asciiTheme="minorHAnsi" w:eastAsiaTheme="minorEastAsia" w:hAnsiTheme="minorHAnsi" w:cstheme="minorBidi"/>
              <w:sz w:val="22"/>
              <w:szCs w:val="22"/>
            </w:rPr>
          </w:pPr>
          <w:hyperlink w:anchor="_Toc381256663" w:history="1">
            <w:r w:rsidR="00B074E1" w:rsidRPr="007F3AE8">
              <w:rPr>
                <w:rStyle w:val="Hyperlink"/>
              </w:rPr>
              <w:t>3.6.1.</w:t>
            </w:r>
            <w:r w:rsidR="00B074E1">
              <w:rPr>
                <w:rFonts w:asciiTheme="minorHAnsi" w:eastAsiaTheme="minorEastAsia" w:hAnsiTheme="minorHAnsi" w:cstheme="minorBidi"/>
                <w:sz w:val="22"/>
                <w:szCs w:val="22"/>
              </w:rPr>
              <w:tab/>
            </w:r>
            <w:r w:rsidR="00B074E1" w:rsidRPr="007F3AE8">
              <w:rPr>
                <w:rStyle w:val="Hyperlink"/>
              </w:rPr>
              <w:t>Apmeklējumu skaita un rakstura izvērtējums galvenajās (TOP 50) tūristu piesaistes vietās Latvijā, tūrisma reģioni</w:t>
            </w:r>
            <w:r w:rsidR="00B074E1">
              <w:rPr>
                <w:webHidden/>
              </w:rPr>
              <w:tab/>
            </w:r>
            <w:r w:rsidR="00B074E1">
              <w:rPr>
                <w:webHidden/>
              </w:rPr>
              <w:fldChar w:fldCharType="begin"/>
            </w:r>
            <w:r w:rsidR="00B074E1">
              <w:rPr>
                <w:webHidden/>
              </w:rPr>
              <w:instrText xml:space="preserve"> PAGEREF _Toc381256663 \h </w:instrText>
            </w:r>
            <w:r w:rsidR="00B074E1">
              <w:rPr>
                <w:webHidden/>
              </w:rPr>
            </w:r>
            <w:r w:rsidR="00B074E1">
              <w:rPr>
                <w:webHidden/>
              </w:rPr>
              <w:fldChar w:fldCharType="separate"/>
            </w:r>
            <w:r>
              <w:rPr>
                <w:webHidden/>
              </w:rPr>
              <w:t>33</w:t>
            </w:r>
            <w:r w:rsidR="00B074E1">
              <w:rPr>
                <w:webHidden/>
              </w:rPr>
              <w:fldChar w:fldCharType="end"/>
            </w:r>
          </w:hyperlink>
        </w:p>
        <w:p w14:paraId="496408D6" w14:textId="77777777" w:rsidR="00B074E1" w:rsidRDefault="007F4A48">
          <w:pPr>
            <w:pStyle w:val="TOC3"/>
            <w:tabs>
              <w:tab w:val="left" w:pos="1320"/>
            </w:tabs>
            <w:rPr>
              <w:rFonts w:asciiTheme="minorHAnsi" w:eastAsiaTheme="minorEastAsia" w:hAnsiTheme="minorHAnsi" w:cstheme="minorBidi"/>
              <w:sz w:val="22"/>
              <w:szCs w:val="22"/>
            </w:rPr>
          </w:pPr>
          <w:hyperlink w:anchor="_Toc381256664" w:history="1">
            <w:r w:rsidR="00B074E1" w:rsidRPr="007F3AE8">
              <w:rPr>
                <w:rStyle w:val="Hyperlink"/>
              </w:rPr>
              <w:t>3.6.2.</w:t>
            </w:r>
            <w:r w:rsidR="00B074E1">
              <w:rPr>
                <w:rFonts w:asciiTheme="minorHAnsi" w:eastAsiaTheme="minorEastAsia" w:hAnsiTheme="minorHAnsi" w:cstheme="minorBidi"/>
                <w:sz w:val="22"/>
                <w:szCs w:val="22"/>
              </w:rPr>
              <w:tab/>
            </w:r>
            <w:r w:rsidR="00B074E1" w:rsidRPr="007F3AE8">
              <w:rPr>
                <w:rStyle w:val="Hyperlink"/>
              </w:rPr>
              <w:t>Tūristu mītņu darbības radītāji reģionos</w:t>
            </w:r>
            <w:r w:rsidR="00B074E1">
              <w:rPr>
                <w:webHidden/>
              </w:rPr>
              <w:tab/>
            </w:r>
            <w:r w:rsidR="00B074E1">
              <w:rPr>
                <w:webHidden/>
              </w:rPr>
              <w:fldChar w:fldCharType="begin"/>
            </w:r>
            <w:r w:rsidR="00B074E1">
              <w:rPr>
                <w:webHidden/>
              </w:rPr>
              <w:instrText xml:space="preserve"> PAGEREF _Toc381256664 \h </w:instrText>
            </w:r>
            <w:r w:rsidR="00B074E1">
              <w:rPr>
                <w:webHidden/>
              </w:rPr>
            </w:r>
            <w:r w:rsidR="00B074E1">
              <w:rPr>
                <w:webHidden/>
              </w:rPr>
              <w:fldChar w:fldCharType="separate"/>
            </w:r>
            <w:r>
              <w:rPr>
                <w:webHidden/>
              </w:rPr>
              <w:t>35</w:t>
            </w:r>
            <w:r w:rsidR="00B074E1">
              <w:rPr>
                <w:webHidden/>
              </w:rPr>
              <w:fldChar w:fldCharType="end"/>
            </w:r>
          </w:hyperlink>
        </w:p>
        <w:p w14:paraId="496408D7" w14:textId="77777777" w:rsidR="00B074E1" w:rsidRDefault="007F4A48">
          <w:pPr>
            <w:pStyle w:val="TOC3"/>
            <w:tabs>
              <w:tab w:val="left" w:pos="1320"/>
            </w:tabs>
            <w:rPr>
              <w:rFonts w:asciiTheme="minorHAnsi" w:eastAsiaTheme="minorEastAsia" w:hAnsiTheme="minorHAnsi" w:cstheme="minorBidi"/>
              <w:sz w:val="22"/>
              <w:szCs w:val="22"/>
            </w:rPr>
          </w:pPr>
          <w:hyperlink w:anchor="_Toc381256665" w:history="1">
            <w:r w:rsidR="00B074E1" w:rsidRPr="007F3AE8">
              <w:rPr>
                <w:rStyle w:val="Hyperlink"/>
              </w:rPr>
              <w:t>3.6.3.</w:t>
            </w:r>
            <w:r w:rsidR="00B074E1">
              <w:rPr>
                <w:rFonts w:asciiTheme="minorHAnsi" w:eastAsiaTheme="minorEastAsia" w:hAnsiTheme="minorHAnsi" w:cstheme="minorBidi"/>
                <w:sz w:val="22"/>
                <w:szCs w:val="22"/>
              </w:rPr>
              <w:tab/>
            </w:r>
            <w:r w:rsidR="00B074E1" w:rsidRPr="007F3AE8">
              <w:rPr>
                <w:rStyle w:val="Hyperlink"/>
              </w:rPr>
              <w:t>Tūristu piesaiste reģionos, konkurētspējīgākie objekti un galamērķi</w:t>
            </w:r>
            <w:r w:rsidR="00B074E1">
              <w:rPr>
                <w:webHidden/>
              </w:rPr>
              <w:tab/>
            </w:r>
            <w:r w:rsidR="00B074E1">
              <w:rPr>
                <w:webHidden/>
              </w:rPr>
              <w:fldChar w:fldCharType="begin"/>
            </w:r>
            <w:r w:rsidR="00B074E1">
              <w:rPr>
                <w:webHidden/>
              </w:rPr>
              <w:instrText xml:space="preserve"> PAGEREF _Toc381256665 \h </w:instrText>
            </w:r>
            <w:r w:rsidR="00B074E1">
              <w:rPr>
                <w:webHidden/>
              </w:rPr>
            </w:r>
            <w:r w:rsidR="00B074E1">
              <w:rPr>
                <w:webHidden/>
              </w:rPr>
              <w:fldChar w:fldCharType="separate"/>
            </w:r>
            <w:r>
              <w:rPr>
                <w:webHidden/>
              </w:rPr>
              <w:t>36</w:t>
            </w:r>
            <w:r w:rsidR="00B074E1">
              <w:rPr>
                <w:webHidden/>
              </w:rPr>
              <w:fldChar w:fldCharType="end"/>
            </w:r>
          </w:hyperlink>
        </w:p>
        <w:p w14:paraId="496408D8"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66" w:history="1">
            <w:r w:rsidR="00B074E1" w:rsidRPr="007F3AE8">
              <w:rPr>
                <w:rStyle w:val="Hyperlink"/>
              </w:rPr>
              <w:t>4.</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Stratēģiskie tūrisma veidi un teritorijas</w:t>
            </w:r>
            <w:r w:rsidR="00B074E1">
              <w:rPr>
                <w:webHidden/>
              </w:rPr>
              <w:tab/>
            </w:r>
            <w:r w:rsidR="00B074E1">
              <w:rPr>
                <w:webHidden/>
              </w:rPr>
              <w:fldChar w:fldCharType="begin"/>
            </w:r>
            <w:r w:rsidR="00B074E1">
              <w:rPr>
                <w:webHidden/>
              </w:rPr>
              <w:instrText xml:space="preserve"> PAGEREF _Toc381256666 \h </w:instrText>
            </w:r>
            <w:r w:rsidR="00B074E1">
              <w:rPr>
                <w:webHidden/>
              </w:rPr>
            </w:r>
            <w:r w:rsidR="00B074E1">
              <w:rPr>
                <w:webHidden/>
              </w:rPr>
              <w:fldChar w:fldCharType="separate"/>
            </w:r>
            <w:r>
              <w:rPr>
                <w:webHidden/>
              </w:rPr>
              <w:t>40</w:t>
            </w:r>
            <w:r w:rsidR="00B074E1">
              <w:rPr>
                <w:webHidden/>
              </w:rPr>
              <w:fldChar w:fldCharType="end"/>
            </w:r>
          </w:hyperlink>
        </w:p>
        <w:p w14:paraId="496408D9"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67" w:history="1">
            <w:r w:rsidR="00B074E1" w:rsidRPr="007F3AE8">
              <w:rPr>
                <w:rStyle w:val="Hyperlink"/>
              </w:rPr>
              <w:t>4.1.</w:t>
            </w:r>
            <w:r w:rsidR="00B074E1">
              <w:rPr>
                <w:rFonts w:asciiTheme="minorHAnsi" w:eastAsiaTheme="minorEastAsia" w:hAnsiTheme="minorHAnsi" w:cstheme="minorBidi"/>
                <w:sz w:val="22"/>
                <w:szCs w:val="22"/>
                <w:lang w:eastAsia="lv-LV"/>
              </w:rPr>
              <w:tab/>
            </w:r>
            <w:r w:rsidR="00B074E1" w:rsidRPr="007F3AE8">
              <w:rPr>
                <w:rStyle w:val="Hyperlink"/>
              </w:rPr>
              <w:t>Tūrisma produktu attīstības pamatprincipi</w:t>
            </w:r>
            <w:r w:rsidR="00B074E1">
              <w:rPr>
                <w:webHidden/>
              </w:rPr>
              <w:tab/>
            </w:r>
            <w:r w:rsidR="00B074E1">
              <w:rPr>
                <w:webHidden/>
              </w:rPr>
              <w:fldChar w:fldCharType="begin"/>
            </w:r>
            <w:r w:rsidR="00B074E1">
              <w:rPr>
                <w:webHidden/>
              </w:rPr>
              <w:instrText xml:space="preserve"> PAGEREF _Toc381256667 \h </w:instrText>
            </w:r>
            <w:r w:rsidR="00B074E1">
              <w:rPr>
                <w:webHidden/>
              </w:rPr>
            </w:r>
            <w:r w:rsidR="00B074E1">
              <w:rPr>
                <w:webHidden/>
              </w:rPr>
              <w:fldChar w:fldCharType="separate"/>
            </w:r>
            <w:r>
              <w:rPr>
                <w:webHidden/>
              </w:rPr>
              <w:t>40</w:t>
            </w:r>
            <w:r w:rsidR="00B074E1">
              <w:rPr>
                <w:webHidden/>
              </w:rPr>
              <w:fldChar w:fldCharType="end"/>
            </w:r>
          </w:hyperlink>
        </w:p>
        <w:p w14:paraId="496408DA"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68" w:history="1">
            <w:r w:rsidR="00B074E1" w:rsidRPr="007F3AE8">
              <w:rPr>
                <w:rStyle w:val="Hyperlink"/>
              </w:rPr>
              <w:t>4.2.</w:t>
            </w:r>
            <w:r w:rsidR="00B074E1">
              <w:rPr>
                <w:rFonts w:asciiTheme="minorHAnsi" w:eastAsiaTheme="minorEastAsia" w:hAnsiTheme="minorHAnsi" w:cstheme="minorBidi"/>
                <w:sz w:val="22"/>
                <w:szCs w:val="22"/>
                <w:lang w:eastAsia="lv-LV"/>
              </w:rPr>
              <w:tab/>
            </w:r>
            <w:r w:rsidR="00B074E1" w:rsidRPr="007F3AE8">
              <w:rPr>
                <w:rStyle w:val="Hyperlink"/>
              </w:rPr>
              <w:t>Stratēģiskie tūrisma veidi</w:t>
            </w:r>
            <w:r w:rsidR="00B074E1">
              <w:rPr>
                <w:webHidden/>
              </w:rPr>
              <w:tab/>
            </w:r>
            <w:r w:rsidR="00B074E1">
              <w:rPr>
                <w:webHidden/>
              </w:rPr>
              <w:fldChar w:fldCharType="begin"/>
            </w:r>
            <w:r w:rsidR="00B074E1">
              <w:rPr>
                <w:webHidden/>
              </w:rPr>
              <w:instrText xml:space="preserve"> PAGEREF _Toc381256668 \h </w:instrText>
            </w:r>
            <w:r w:rsidR="00B074E1">
              <w:rPr>
                <w:webHidden/>
              </w:rPr>
            </w:r>
            <w:r w:rsidR="00B074E1">
              <w:rPr>
                <w:webHidden/>
              </w:rPr>
              <w:fldChar w:fldCharType="separate"/>
            </w:r>
            <w:r>
              <w:rPr>
                <w:webHidden/>
              </w:rPr>
              <w:t>42</w:t>
            </w:r>
            <w:r w:rsidR="00B074E1">
              <w:rPr>
                <w:webHidden/>
              </w:rPr>
              <w:fldChar w:fldCharType="end"/>
            </w:r>
          </w:hyperlink>
        </w:p>
        <w:p w14:paraId="496408DB"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69" w:history="1">
            <w:r w:rsidR="00B074E1" w:rsidRPr="007F3AE8">
              <w:rPr>
                <w:rStyle w:val="Hyperlink"/>
              </w:rPr>
              <w:t>4.3.</w:t>
            </w:r>
            <w:r w:rsidR="00B074E1">
              <w:rPr>
                <w:rFonts w:asciiTheme="minorHAnsi" w:eastAsiaTheme="minorEastAsia" w:hAnsiTheme="minorHAnsi" w:cstheme="minorBidi"/>
                <w:sz w:val="22"/>
                <w:szCs w:val="22"/>
                <w:lang w:eastAsia="lv-LV"/>
              </w:rPr>
              <w:tab/>
            </w:r>
            <w:r w:rsidR="00B074E1" w:rsidRPr="007F3AE8">
              <w:rPr>
                <w:rStyle w:val="Hyperlink"/>
              </w:rPr>
              <w:t>Atbalstāmās tūrisma teritorijas</w:t>
            </w:r>
            <w:r w:rsidR="00B074E1">
              <w:rPr>
                <w:webHidden/>
              </w:rPr>
              <w:tab/>
            </w:r>
            <w:r w:rsidR="00B074E1">
              <w:rPr>
                <w:webHidden/>
              </w:rPr>
              <w:fldChar w:fldCharType="begin"/>
            </w:r>
            <w:r w:rsidR="00B074E1">
              <w:rPr>
                <w:webHidden/>
              </w:rPr>
              <w:instrText xml:space="preserve"> PAGEREF _Toc381256669 \h </w:instrText>
            </w:r>
            <w:r w:rsidR="00B074E1">
              <w:rPr>
                <w:webHidden/>
              </w:rPr>
            </w:r>
            <w:r w:rsidR="00B074E1">
              <w:rPr>
                <w:webHidden/>
              </w:rPr>
              <w:fldChar w:fldCharType="separate"/>
            </w:r>
            <w:r>
              <w:rPr>
                <w:webHidden/>
              </w:rPr>
              <w:t>44</w:t>
            </w:r>
            <w:r w:rsidR="00B074E1">
              <w:rPr>
                <w:webHidden/>
              </w:rPr>
              <w:fldChar w:fldCharType="end"/>
            </w:r>
          </w:hyperlink>
        </w:p>
        <w:p w14:paraId="496408DC"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70" w:history="1">
            <w:r w:rsidR="00B074E1" w:rsidRPr="007F3AE8">
              <w:rPr>
                <w:rStyle w:val="Hyperlink"/>
              </w:rPr>
              <w:t>5.</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Rīcības virzieni un uzdevumi politikas mērķu sasniegšanai</w:t>
            </w:r>
            <w:r w:rsidR="00B074E1">
              <w:rPr>
                <w:webHidden/>
              </w:rPr>
              <w:tab/>
            </w:r>
            <w:r w:rsidR="00B074E1">
              <w:rPr>
                <w:webHidden/>
              </w:rPr>
              <w:fldChar w:fldCharType="begin"/>
            </w:r>
            <w:r w:rsidR="00B074E1">
              <w:rPr>
                <w:webHidden/>
              </w:rPr>
              <w:instrText xml:space="preserve"> PAGEREF _Toc381256670 \h </w:instrText>
            </w:r>
            <w:r w:rsidR="00B074E1">
              <w:rPr>
                <w:webHidden/>
              </w:rPr>
            </w:r>
            <w:r w:rsidR="00B074E1">
              <w:rPr>
                <w:webHidden/>
              </w:rPr>
              <w:fldChar w:fldCharType="separate"/>
            </w:r>
            <w:r>
              <w:rPr>
                <w:webHidden/>
              </w:rPr>
              <w:t>46</w:t>
            </w:r>
            <w:r w:rsidR="00B074E1">
              <w:rPr>
                <w:webHidden/>
              </w:rPr>
              <w:fldChar w:fldCharType="end"/>
            </w:r>
          </w:hyperlink>
        </w:p>
        <w:p w14:paraId="496408DD"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71" w:history="1">
            <w:r w:rsidR="00B074E1" w:rsidRPr="007F3AE8">
              <w:rPr>
                <w:rStyle w:val="Hyperlink"/>
              </w:rPr>
              <w:t>5.1.</w:t>
            </w:r>
            <w:r w:rsidR="00B074E1">
              <w:rPr>
                <w:rFonts w:asciiTheme="minorHAnsi" w:eastAsiaTheme="minorEastAsia" w:hAnsiTheme="minorHAnsi" w:cstheme="minorBidi"/>
                <w:sz w:val="22"/>
                <w:szCs w:val="22"/>
                <w:lang w:eastAsia="lv-LV"/>
              </w:rPr>
              <w:tab/>
            </w:r>
            <w:r w:rsidR="00B074E1" w:rsidRPr="007F3AE8">
              <w:rPr>
                <w:rStyle w:val="Hyperlink"/>
              </w:rPr>
              <w:t>Infrastruktūras attīstība tūrisma izaugsmei</w:t>
            </w:r>
            <w:r w:rsidR="00B074E1">
              <w:rPr>
                <w:webHidden/>
              </w:rPr>
              <w:tab/>
            </w:r>
            <w:r w:rsidR="00B074E1">
              <w:rPr>
                <w:webHidden/>
              </w:rPr>
              <w:fldChar w:fldCharType="begin"/>
            </w:r>
            <w:r w:rsidR="00B074E1">
              <w:rPr>
                <w:webHidden/>
              </w:rPr>
              <w:instrText xml:space="preserve"> PAGEREF _Toc381256671 \h </w:instrText>
            </w:r>
            <w:r w:rsidR="00B074E1">
              <w:rPr>
                <w:webHidden/>
              </w:rPr>
            </w:r>
            <w:r w:rsidR="00B074E1">
              <w:rPr>
                <w:webHidden/>
              </w:rPr>
              <w:fldChar w:fldCharType="separate"/>
            </w:r>
            <w:r>
              <w:rPr>
                <w:webHidden/>
              </w:rPr>
              <w:t>46</w:t>
            </w:r>
            <w:r w:rsidR="00B074E1">
              <w:rPr>
                <w:webHidden/>
              </w:rPr>
              <w:fldChar w:fldCharType="end"/>
            </w:r>
          </w:hyperlink>
        </w:p>
        <w:p w14:paraId="496408DE"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72" w:history="1">
            <w:r w:rsidR="00B074E1" w:rsidRPr="007F3AE8">
              <w:rPr>
                <w:rStyle w:val="Hyperlink"/>
              </w:rPr>
              <w:t>5.2.</w:t>
            </w:r>
            <w:r w:rsidR="00B074E1">
              <w:rPr>
                <w:rFonts w:asciiTheme="minorHAnsi" w:eastAsiaTheme="minorEastAsia" w:hAnsiTheme="minorHAnsi" w:cstheme="minorBidi"/>
                <w:sz w:val="22"/>
                <w:szCs w:val="22"/>
                <w:lang w:eastAsia="lv-LV"/>
              </w:rPr>
              <w:tab/>
            </w:r>
            <w:r w:rsidR="00B074E1" w:rsidRPr="007F3AE8">
              <w:rPr>
                <w:rStyle w:val="Hyperlink"/>
              </w:rPr>
              <w:t>Reģionālo tūrisma puduru veidošanas veicināšana</w:t>
            </w:r>
            <w:r w:rsidR="00B074E1">
              <w:rPr>
                <w:webHidden/>
              </w:rPr>
              <w:tab/>
            </w:r>
            <w:r w:rsidR="00B074E1">
              <w:rPr>
                <w:webHidden/>
              </w:rPr>
              <w:fldChar w:fldCharType="begin"/>
            </w:r>
            <w:r w:rsidR="00B074E1">
              <w:rPr>
                <w:webHidden/>
              </w:rPr>
              <w:instrText xml:space="preserve"> PAGEREF _Toc381256672 \h </w:instrText>
            </w:r>
            <w:r w:rsidR="00B074E1">
              <w:rPr>
                <w:webHidden/>
              </w:rPr>
            </w:r>
            <w:r w:rsidR="00B074E1">
              <w:rPr>
                <w:webHidden/>
              </w:rPr>
              <w:fldChar w:fldCharType="separate"/>
            </w:r>
            <w:r>
              <w:rPr>
                <w:webHidden/>
              </w:rPr>
              <w:t>48</w:t>
            </w:r>
            <w:r w:rsidR="00B074E1">
              <w:rPr>
                <w:webHidden/>
              </w:rPr>
              <w:fldChar w:fldCharType="end"/>
            </w:r>
          </w:hyperlink>
        </w:p>
        <w:p w14:paraId="496408DF"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73" w:history="1">
            <w:r w:rsidR="00B074E1" w:rsidRPr="007F3AE8">
              <w:rPr>
                <w:rStyle w:val="Hyperlink"/>
              </w:rPr>
              <w:t>5.3.</w:t>
            </w:r>
            <w:r w:rsidR="00B074E1">
              <w:rPr>
                <w:rFonts w:asciiTheme="minorHAnsi" w:eastAsiaTheme="minorEastAsia" w:hAnsiTheme="minorHAnsi" w:cstheme="minorBidi"/>
                <w:sz w:val="22"/>
                <w:szCs w:val="22"/>
                <w:lang w:eastAsia="lv-LV"/>
              </w:rPr>
              <w:tab/>
            </w:r>
            <w:r w:rsidR="00B074E1" w:rsidRPr="007F3AE8">
              <w:rPr>
                <w:rStyle w:val="Hyperlink"/>
              </w:rPr>
              <w:t>Latvijas tūrisma produkta iekļaušana kopējā Baltijas jūras reģiona valstu tūrisma piedāvājumā</w:t>
            </w:r>
            <w:r w:rsidR="00B074E1">
              <w:rPr>
                <w:webHidden/>
              </w:rPr>
              <w:tab/>
            </w:r>
            <w:r w:rsidR="00B074E1">
              <w:rPr>
                <w:webHidden/>
              </w:rPr>
              <w:fldChar w:fldCharType="begin"/>
            </w:r>
            <w:r w:rsidR="00B074E1">
              <w:rPr>
                <w:webHidden/>
              </w:rPr>
              <w:instrText xml:space="preserve"> PAGEREF _Toc381256673 \h </w:instrText>
            </w:r>
            <w:r w:rsidR="00B074E1">
              <w:rPr>
                <w:webHidden/>
              </w:rPr>
            </w:r>
            <w:r w:rsidR="00B074E1">
              <w:rPr>
                <w:webHidden/>
              </w:rPr>
              <w:fldChar w:fldCharType="separate"/>
            </w:r>
            <w:r>
              <w:rPr>
                <w:webHidden/>
              </w:rPr>
              <w:t>49</w:t>
            </w:r>
            <w:r w:rsidR="00B074E1">
              <w:rPr>
                <w:webHidden/>
              </w:rPr>
              <w:fldChar w:fldCharType="end"/>
            </w:r>
          </w:hyperlink>
        </w:p>
        <w:p w14:paraId="496408E0"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74" w:history="1">
            <w:r w:rsidR="00B074E1" w:rsidRPr="007F3AE8">
              <w:rPr>
                <w:rStyle w:val="Hyperlink"/>
              </w:rPr>
              <w:t>5.4.</w:t>
            </w:r>
            <w:r w:rsidR="00B074E1">
              <w:rPr>
                <w:rFonts w:asciiTheme="minorHAnsi" w:eastAsiaTheme="minorEastAsia" w:hAnsiTheme="minorHAnsi" w:cstheme="minorBidi"/>
                <w:sz w:val="22"/>
                <w:szCs w:val="22"/>
                <w:lang w:eastAsia="lv-LV"/>
              </w:rPr>
              <w:tab/>
            </w:r>
            <w:r w:rsidR="00B074E1" w:rsidRPr="007F3AE8">
              <w:rPr>
                <w:rStyle w:val="Hyperlink"/>
              </w:rPr>
              <w:t>Kvalitātes attīstība</w:t>
            </w:r>
            <w:r w:rsidR="00B074E1">
              <w:rPr>
                <w:webHidden/>
              </w:rPr>
              <w:tab/>
            </w:r>
            <w:r w:rsidR="00B074E1">
              <w:rPr>
                <w:webHidden/>
              </w:rPr>
              <w:fldChar w:fldCharType="begin"/>
            </w:r>
            <w:r w:rsidR="00B074E1">
              <w:rPr>
                <w:webHidden/>
              </w:rPr>
              <w:instrText xml:space="preserve"> PAGEREF _Toc381256674 \h </w:instrText>
            </w:r>
            <w:r w:rsidR="00B074E1">
              <w:rPr>
                <w:webHidden/>
              </w:rPr>
            </w:r>
            <w:r w:rsidR="00B074E1">
              <w:rPr>
                <w:webHidden/>
              </w:rPr>
              <w:fldChar w:fldCharType="separate"/>
            </w:r>
            <w:r>
              <w:rPr>
                <w:webHidden/>
              </w:rPr>
              <w:t>49</w:t>
            </w:r>
            <w:r w:rsidR="00B074E1">
              <w:rPr>
                <w:webHidden/>
              </w:rPr>
              <w:fldChar w:fldCharType="end"/>
            </w:r>
          </w:hyperlink>
        </w:p>
        <w:p w14:paraId="496408E1" w14:textId="77777777" w:rsidR="00B074E1" w:rsidRDefault="007F4A48">
          <w:pPr>
            <w:pStyle w:val="TOC2"/>
            <w:tabs>
              <w:tab w:val="left" w:pos="880"/>
            </w:tabs>
            <w:rPr>
              <w:rFonts w:asciiTheme="minorHAnsi" w:eastAsiaTheme="minorEastAsia" w:hAnsiTheme="minorHAnsi" w:cstheme="minorBidi"/>
              <w:sz w:val="22"/>
              <w:szCs w:val="22"/>
              <w:lang w:eastAsia="lv-LV"/>
            </w:rPr>
          </w:pPr>
          <w:hyperlink w:anchor="_Toc381256675" w:history="1">
            <w:r w:rsidR="00B074E1" w:rsidRPr="007F3AE8">
              <w:rPr>
                <w:rStyle w:val="Hyperlink"/>
              </w:rPr>
              <w:t>5.5.</w:t>
            </w:r>
            <w:r w:rsidR="00B074E1">
              <w:rPr>
                <w:rFonts w:asciiTheme="minorHAnsi" w:eastAsiaTheme="minorEastAsia" w:hAnsiTheme="minorHAnsi" w:cstheme="minorBidi"/>
                <w:sz w:val="22"/>
                <w:szCs w:val="22"/>
                <w:lang w:eastAsia="lv-LV"/>
              </w:rPr>
              <w:tab/>
            </w:r>
            <w:r w:rsidR="00B074E1" w:rsidRPr="007F3AE8">
              <w:rPr>
                <w:rStyle w:val="Hyperlink"/>
              </w:rPr>
              <w:t>Atpazīstamības veicināšana</w:t>
            </w:r>
            <w:r w:rsidR="00B074E1">
              <w:rPr>
                <w:webHidden/>
              </w:rPr>
              <w:tab/>
            </w:r>
            <w:r w:rsidR="00B074E1">
              <w:rPr>
                <w:webHidden/>
              </w:rPr>
              <w:fldChar w:fldCharType="begin"/>
            </w:r>
            <w:r w:rsidR="00B074E1">
              <w:rPr>
                <w:webHidden/>
              </w:rPr>
              <w:instrText xml:space="preserve"> PAGEREF _Toc381256675 \h </w:instrText>
            </w:r>
            <w:r w:rsidR="00B074E1">
              <w:rPr>
                <w:webHidden/>
              </w:rPr>
            </w:r>
            <w:r w:rsidR="00B074E1">
              <w:rPr>
                <w:webHidden/>
              </w:rPr>
              <w:fldChar w:fldCharType="separate"/>
            </w:r>
            <w:r>
              <w:rPr>
                <w:webHidden/>
              </w:rPr>
              <w:t>50</w:t>
            </w:r>
            <w:r w:rsidR="00B074E1">
              <w:rPr>
                <w:webHidden/>
              </w:rPr>
              <w:fldChar w:fldCharType="end"/>
            </w:r>
          </w:hyperlink>
        </w:p>
        <w:p w14:paraId="496408E2" w14:textId="77777777" w:rsidR="00B074E1" w:rsidRDefault="007F4A48">
          <w:pPr>
            <w:pStyle w:val="TOC3"/>
            <w:tabs>
              <w:tab w:val="left" w:pos="1320"/>
            </w:tabs>
            <w:rPr>
              <w:rFonts w:asciiTheme="minorHAnsi" w:eastAsiaTheme="minorEastAsia" w:hAnsiTheme="minorHAnsi" w:cstheme="minorBidi"/>
              <w:sz w:val="22"/>
              <w:szCs w:val="22"/>
            </w:rPr>
          </w:pPr>
          <w:hyperlink w:anchor="_Toc381256676" w:history="1">
            <w:r w:rsidR="00B074E1" w:rsidRPr="007F3AE8">
              <w:rPr>
                <w:rStyle w:val="Hyperlink"/>
              </w:rPr>
              <w:t>5.5.1.</w:t>
            </w:r>
            <w:r w:rsidR="00B074E1">
              <w:rPr>
                <w:rFonts w:asciiTheme="minorHAnsi" w:eastAsiaTheme="minorEastAsia" w:hAnsiTheme="minorHAnsi" w:cstheme="minorBidi"/>
                <w:sz w:val="22"/>
                <w:szCs w:val="22"/>
              </w:rPr>
              <w:tab/>
            </w:r>
            <w:r w:rsidR="00B074E1" w:rsidRPr="007F3AE8">
              <w:rPr>
                <w:rStyle w:val="Hyperlink"/>
              </w:rPr>
              <w:t>Latvijas tūrisma zīmols</w:t>
            </w:r>
            <w:r w:rsidR="00B074E1">
              <w:rPr>
                <w:webHidden/>
              </w:rPr>
              <w:tab/>
            </w:r>
            <w:r w:rsidR="00B074E1">
              <w:rPr>
                <w:webHidden/>
              </w:rPr>
              <w:fldChar w:fldCharType="begin"/>
            </w:r>
            <w:r w:rsidR="00B074E1">
              <w:rPr>
                <w:webHidden/>
              </w:rPr>
              <w:instrText xml:space="preserve"> PAGEREF _Toc381256676 \h </w:instrText>
            </w:r>
            <w:r w:rsidR="00B074E1">
              <w:rPr>
                <w:webHidden/>
              </w:rPr>
            </w:r>
            <w:r w:rsidR="00B074E1">
              <w:rPr>
                <w:webHidden/>
              </w:rPr>
              <w:fldChar w:fldCharType="separate"/>
            </w:r>
            <w:r>
              <w:rPr>
                <w:webHidden/>
              </w:rPr>
              <w:t>51</w:t>
            </w:r>
            <w:r w:rsidR="00B074E1">
              <w:rPr>
                <w:webHidden/>
              </w:rPr>
              <w:fldChar w:fldCharType="end"/>
            </w:r>
          </w:hyperlink>
        </w:p>
        <w:p w14:paraId="496408E3" w14:textId="77777777" w:rsidR="00B074E1" w:rsidRDefault="007F4A48">
          <w:pPr>
            <w:pStyle w:val="TOC3"/>
            <w:tabs>
              <w:tab w:val="left" w:pos="1320"/>
            </w:tabs>
            <w:rPr>
              <w:rFonts w:asciiTheme="minorHAnsi" w:eastAsiaTheme="minorEastAsia" w:hAnsiTheme="minorHAnsi" w:cstheme="minorBidi"/>
              <w:sz w:val="22"/>
              <w:szCs w:val="22"/>
            </w:rPr>
          </w:pPr>
          <w:hyperlink w:anchor="_Toc381256677" w:history="1">
            <w:r w:rsidR="00B074E1" w:rsidRPr="007F3AE8">
              <w:rPr>
                <w:rStyle w:val="Hyperlink"/>
              </w:rPr>
              <w:t>5.5.2.</w:t>
            </w:r>
            <w:r w:rsidR="00B074E1">
              <w:rPr>
                <w:rFonts w:asciiTheme="minorHAnsi" w:eastAsiaTheme="minorEastAsia" w:hAnsiTheme="minorHAnsi" w:cstheme="minorBidi"/>
                <w:sz w:val="22"/>
                <w:szCs w:val="22"/>
              </w:rPr>
              <w:tab/>
            </w:r>
            <w:r w:rsidR="00B074E1" w:rsidRPr="007F3AE8">
              <w:rPr>
                <w:rStyle w:val="Hyperlink"/>
              </w:rPr>
              <w:t>Mārketinga pasākumu īstenošana</w:t>
            </w:r>
            <w:r w:rsidR="00B074E1">
              <w:rPr>
                <w:webHidden/>
              </w:rPr>
              <w:tab/>
            </w:r>
            <w:r w:rsidR="00B074E1">
              <w:rPr>
                <w:webHidden/>
              </w:rPr>
              <w:fldChar w:fldCharType="begin"/>
            </w:r>
            <w:r w:rsidR="00B074E1">
              <w:rPr>
                <w:webHidden/>
              </w:rPr>
              <w:instrText xml:space="preserve"> PAGEREF _Toc381256677 \h </w:instrText>
            </w:r>
            <w:r w:rsidR="00B074E1">
              <w:rPr>
                <w:webHidden/>
              </w:rPr>
            </w:r>
            <w:r w:rsidR="00B074E1">
              <w:rPr>
                <w:webHidden/>
              </w:rPr>
              <w:fldChar w:fldCharType="separate"/>
            </w:r>
            <w:r>
              <w:rPr>
                <w:webHidden/>
              </w:rPr>
              <w:t>52</w:t>
            </w:r>
            <w:r w:rsidR="00B074E1">
              <w:rPr>
                <w:webHidden/>
              </w:rPr>
              <w:fldChar w:fldCharType="end"/>
            </w:r>
          </w:hyperlink>
        </w:p>
        <w:p w14:paraId="496408E4"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78" w:history="1">
            <w:r w:rsidR="00B074E1" w:rsidRPr="007F3AE8">
              <w:rPr>
                <w:rStyle w:val="Hyperlink"/>
              </w:rPr>
              <w:t>6.</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Institucionālais nodrošinājums</w:t>
            </w:r>
            <w:r w:rsidR="00B074E1">
              <w:rPr>
                <w:webHidden/>
              </w:rPr>
              <w:tab/>
            </w:r>
            <w:r w:rsidR="00B074E1">
              <w:rPr>
                <w:webHidden/>
              </w:rPr>
              <w:fldChar w:fldCharType="begin"/>
            </w:r>
            <w:r w:rsidR="00B074E1">
              <w:rPr>
                <w:webHidden/>
              </w:rPr>
              <w:instrText xml:space="preserve"> PAGEREF _Toc381256678 \h </w:instrText>
            </w:r>
            <w:r w:rsidR="00B074E1">
              <w:rPr>
                <w:webHidden/>
              </w:rPr>
            </w:r>
            <w:r w:rsidR="00B074E1">
              <w:rPr>
                <w:webHidden/>
              </w:rPr>
              <w:fldChar w:fldCharType="separate"/>
            </w:r>
            <w:r>
              <w:rPr>
                <w:webHidden/>
              </w:rPr>
              <w:t>55</w:t>
            </w:r>
            <w:r w:rsidR="00B074E1">
              <w:rPr>
                <w:webHidden/>
              </w:rPr>
              <w:fldChar w:fldCharType="end"/>
            </w:r>
          </w:hyperlink>
        </w:p>
        <w:p w14:paraId="496408E5"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79" w:history="1">
            <w:r w:rsidR="00B074E1" w:rsidRPr="007F3AE8">
              <w:rPr>
                <w:rStyle w:val="Hyperlink"/>
              </w:rPr>
              <w:t>7.</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Dokumenta ietekmes uz valsts un pašvaldības budžetiem novērtējums</w:t>
            </w:r>
            <w:r w:rsidR="00B074E1">
              <w:rPr>
                <w:webHidden/>
              </w:rPr>
              <w:tab/>
            </w:r>
            <w:r w:rsidR="00B074E1">
              <w:rPr>
                <w:webHidden/>
              </w:rPr>
              <w:fldChar w:fldCharType="begin"/>
            </w:r>
            <w:r w:rsidR="00B074E1">
              <w:rPr>
                <w:webHidden/>
              </w:rPr>
              <w:instrText xml:space="preserve"> PAGEREF _Toc381256679 \h </w:instrText>
            </w:r>
            <w:r w:rsidR="00B074E1">
              <w:rPr>
                <w:webHidden/>
              </w:rPr>
            </w:r>
            <w:r w:rsidR="00B074E1">
              <w:rPr>
                <w:webHidden/>
              </w:rPr>
              <w:fldChar w:fldCharType="separate"/>
            </w:r>
            <w:r>
              <w:rPr>
                <w:webHidden/>
              </w:rPr>
              <w:t>57</w:t>
            </w:r>
            <w:r w:rsidR="00B074E1">
              <w:rPr>
                <w:webHidden/>
              </w:rPr>
              <w:fldChar w:fldCharType="end"/>
            </w:r>
          </w:hyperlink>
        </w:p>
        <w:p w14:paraId="496408E6"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80" w:history="1">
            <w:r w:rsidR="00B074E1" w:rsidRPr="007F3AE8">
              <w:rPr>
                <w:rStyle w:val="Hyperlink"/>
              </w:rPr>
              <w:t>8.</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Pārskatu sniegšanas un novērtēšanas kārtība</w:t>
            </w:r>
            <w:r w:rsidR="00B074E1">
              <w:rPr>
                <w:webHidden/>
              </w:rPr>
              <w:tab/>
            </w:r>
            <w:r w:rsidR="00B074E1">
              <w:rPr>
                <w:webHidden/>
              </w:rPr>
              <w:fldChar w:fldCharType="begin"/>
            </w:r>
            <w:r w:rsidR="00B074E1">
              <w:rPr>
                <w:webHidden/>
              </w:rPr>
              <w:instrText xml:space="preserve"> PAGEREF _Toc381256680 \h </w:instrText>
            </w:r>
            <w:r w:rsidR="00B074E1">
              <w:rPr>
                <w:webHidden/>
              </w:rPr>
            </w:r>
            <w:r w:rsidR="00B074E1">
              <w:rPr>
                <w:webHidden/>
              </w:rPr>
              <w:fldChar w:fldCharType="separate"/>
            </w:r>
            <w:r>
              <w:rPr>
                <w:webHidden/>
              </w:rPr>
              <w:t>58</w:t>
            </w:r>
            <w:r w:rsidR="00B074E1">
              <w:rPr>
                <w:webHidden/>
              </w:rPr>
              <w:fldChar w:fldCharType="end"/>
            </w:r>
          </w:hyperlink>
        </w:p>
        <w:p w14:paraId="496408E7" w14:textId="77777777" w:rsidR="00B074E1" w:rsidRDefault="007F4A48">
          <w:pPr>
            <w:pStyle w:val="TOC1"/>
            <w:tabs>
              <w:tab w:val="left" w:pos="480"/>
            </w:tabs>
            <w:rPr>
              <w:rFonts w:asciiTheme="minorHAnsi" w:eastAsiaTheme="minorEastAsia" w:hAnsiTheme="minorHAnsi" w:cstheme="minorBidi"/>
              <w:b w:val="0"/>
              <w:bCs w:val="0"/>
              <w:color w:val="auto"/>
              <w:sz w:val="22"/>
              <w:szCs w:val="22"/>
              <w:lang w:eastAsia="lv-LV"/>
            </w:rPr>
          </w:pPr>
          <w:hyperlink w:anchor="_Toc381256681" w:history="1">
            <w:r w:rsidR="00B074E1" w:rsidRPr="007F3AE8">
              <w:rPr>
                <w:rStyle w:val="Hyperlink"/>
              </w:rPr>
              <w:t>9.</w:t>
            </w:r>
            <w:r w:rsidR="00B074E1">
              <w:rPr>
                <w:rFonts w:asciiTheme="minorHAnsi" w:eastAsiaTheme="minorEastAsia" w:hAnsiTheme="minorHAnsi" w:cstheme="minorBidi"/>
                <w:b w:val="0"/>
                <w:bCs w:val="0"/>
                <w:color w:val="auto"/>
                <w:sz w:val="22"/>
                <w:szCs w:val="22"/>
                <w:lang w:eastAsia="lv-LV"/>
              </w:rPr>
              <w:tab/>
            </w:r>
            <w:r w:rsidR="00B074E1" w:rsidRPr="007F3AE8">
              <w:rPr>
                <w:rStyle w:val="Hyperlink"/>
              </w:rPr>
              <w:t>Sasaiste ar citos politikas plānošanas dokumentos noteiktajām prioritātēm</w:t>
            </w:r>
            <w:r w:rsidR="00B074E1">
              <w:rPr>
                <w:webHidden/>
              </w:rPr>
              <w:tab/>
            </w:r>
            <w:r w:rsidR="00B074E1">
              <w:rPr>
                <w:webHidden/>
              </w:rPr>
              <w:fldChar w:fldCharType="begin"/>
            </w:r>
            <w:r w:rsidR="00B074E1">
              <w:rPr>
                <w:webHidden/>
              </w:rPr>
              <w:instrText xml:space="preserve"> PAGEREF _Toc381256681 \h </w:instrText>
            </w:r>
            <w:r w:rsidR="00B074E1">
              <w:rPr>
                <w:webHidden/>
              </w:rPr>
            </w:r>
            <w:r w:rsidR="00B074E1">
              <w:rPr>
                <w:webHidden/>
              </w:rPr>
              <w:fldChar w:fldCharType="separate"/>
            </w:r>
            <w:r>
              <w:rPr>
                <w:webHidden/>
              </w:rPr>
              <w:t>59</w:t>
            </w:r>
            <w:r w:rsidR="00B074E1">
              <w:rPr>
                <w:webHidden/>
              </w:rPr>
              <w:fldChar w:fldCharType="end"/>
            </w:r>
          </w:hyperlink>
        </w:p>
        <w:p w14:paraId="496408E8" w14:textId="77777777" w:rsidR="00CD1F89" w:rsidRPr="00267BCC" w:rsidRDefault="00DC0E7E" w:rsidP="00267BCC">
          <w:pPr>
            <w:rPr>
              <w:lang w:val="lv-LV"/>
            </w:rPr>
          </w:pPr>
          <w:r w:rsidRPr="00267BCC">
            <w:rPr>
              <w:b/>
              <w:bCs/>
              <w:lang w:val="lv-LV"/>
            </w:rPr>
            <w:fldChar w:fldCharType="end"/>
          </w:r>
        </w:p>
      </w:sdtContent>
    </w:sdt>
    <w:p w14:paraId="496408E9" w14:textId="77777777" w:rsidR="00783831" w:rsidRPr="00267BCC" w:rsidRDefault="00783831" w:rsidP="00267BCC">
      <w:pPr>
        <w:pStyle w:val="BodyText2"/>
        <w:ind w:right="-143"/>
        <w:outlineLvl w:val="0"/>
        <w:rPr>
          <w:sz w:val="24"/>
          <w:u w:val="single"/>
        </w:rPr>
      </w:pPr>
    </w:p>
    <w:p w14:paraId="496408EA" w14:textId="77777777" w:rsidR="000A78B2" w:rsidRPr="00267BCC" w:rsidRDefault="000A78B2" w:rsidP="00267BCC">
      <w:pPr>
        <w:rPr>
          <w:b/>
          <w:sz w:val="26"/>
          <w:szCs w:val="26"/>
          <w:u w:val="single"/>
          <w:lang w:val="lv-LV"/>
        </w:rPr>
      </w:pPr>
      <w:r w:rsidRPr="00267BCC">
        <w:rPr>
          <w:b/>
          <w:sz w:val="26"/>
          <w:szCs w:val="26"/>
          <w:u w:val="single"/>
          <w:lang w:val="lv-LV"/>
        </w:rPr>
        <w:br w:type="page"/>
      </w:r>
    </w:p>
    <w:p w14:paraId="496408EB" w14:textId="77777777" w:rsidR="000A78B2" w:rsidRPr="00267BCC" w:rsidRDefault="00CF48D5" w:rsidP="00267BCC">
      <w:pPr>
        <w:pStyle w:val="Heading1"/>
        <w:rPr>
          <w:b w:val="0"/>
        </w:rPr>
      </w:pPr>
      <w:bookmarkStart w:id="0" w:name="_Toc381256644"/>
      <w:r w:rsidRPr="00267BCC">
        <w:lastRenderedPageBreak/>
        <w:t>L</w:t>
      </w:r>
      <w:r w:rsidR="000A78B2" w:rsidRPr="00267BCC">
        <w:t>ietotie saīsinājumi</w:t>
      </w:r>
      <w:bookmarkEnd w:id="0"/>
    </w:p>
    <w:p w14:paraId="496408EC" w14:textId="77777777" w:rsidR="000A78B2" w:rsidRPr="00267BCC" w:rsidRDefault="000A78B2" w:rsidP="00267BCC">
      <w:pPr>
        <w:pStyle w:val="BodyText2"/>
        <w:ind w:right="-142"/>
        <w:jc w:val="both"/>
        <w:rPr>
          <w:sz w:val="26"/>
          <w:szCs w:val="26"/>
        </w:rPr>
      </w:pPr>
    </w:p>
    <w:p w14:paraId="496408ED" w14:textId="77777777" w:rsidR="0082488D" w:rsidRPr="00267BCC" w:rsidRDefault="001F7CED" w:rsidP="00267BCC">
      <w:pPr>
        <w:pStyle w:val="BodyText2"/>
        <w:ind w:right="-142"/>
        <w:rPr>
          <w:sz w:val="24"/>
        </w:rPr>
      </w:pPr>
      <w:r w:rsidRPr="00267BCC">
        <w:rPr>
          <w:sz w:val="24"/>
        </w:rPr>
        <w:t>Ā</w:t>
      </w:r>
      <w:r w:rsidR="0082488D" w:rsidRPr="00267BCC">
        <w:rPr>
          <w:sz w:val="24"/>
        </w:rPr>
        <w:t>M</w:t>
      </w:r>
      <w:r w:rsidR="0082488D" w:rsidRPr="00267BCC">
        <w:rPr>
          <w:sz w:val="24"/>
        </w:rPr>
        <w:tab/>
      </w:r>
      <w:r w:rsidR="0082488D" w:rsidRPr="00267BCC">
        <w:rPr>
          <w:sz w:val="24"/>
        </w:rPr>
        <w:tab/>
      </w:r>
      <w:r w:rsidR="0082488D" w:rsidRPr="00267BCC">
        <w:rPr>
          <w:sz w:val="24"/>
        </w:rPr>
        <w:tab/>
      </w:r>
      <w:r w:rsidR="0082488D" w:rsidRPr="00267BCC">
        <w:rPr>
          <w:sz w:val="24"/>
        </w:rPr>
        <w:tab/>
        <w:t>Ārlietu ministrija</w:t>
      </w:r>
    </w:p>
    <w:p w14:paraId="496408EE" w14:textId="77777777" w:rsidR="0082488D" w:rsidRPr="00267BCC" w:rsidRDefault="0082488D" w:rsidP="00267BCC">
      <w:pPr>
        <w:pStyle w:val="BodyText2"/>
        <w:ind w:left="2880" w:right="-142" w:hanging="2880"/>
        <w:rPr>
          <w:sz w:val="24"/>
        </w:rPr>
      </w:pPr>
      <w:r w:rsidRPr="00267BCC">
        <w:rPr>
          <w:sz w:val="24"/>
        </w:rPr>
        <w:t>ANPTO</w:t>
      </w:r>
      <w:r w:rsidRPr="00267BCC">
        <w:rPr>
          <w:sz w:val="24"/>
        </w:rPr>
        <w:tab/>
        <w:t>Apvienoto Nāciju Organizācijas Pasaules Tūrisma organizācija</w:t>
      </w:r>
    </w:p>
    <w:p w14:paraId="496408EF" w14:textId="77777777" w:rsidR="0082488D" w:rsidRPr="00267BCC" w:rsidRDefault="0082488D" w:rsidP="00267BCC">
      <w:pPr>
        <w:pStyle w:val="BodyText2"/>
        <w:ind w:right="-142"/>
        <w:rPr>
          <w:sz w:val="24"/>
        </w:rPr>
      </w:pPr>
      <w:r w:rsidRPr="00267BCC">
        <w:rPr>
          <w:sz w:val="24"/>
        </w:rPr>
        <w:t>CSP</w:t>
      </w:r>
      <w:r w:rsidRPr="00267BCC">
        <w:rPr>
          <w:sz w:val="24"/>
        </w:rPr>
        <w:tab/>
      </w:r>
      <w:r w:rsidRPr="00267BCC">
        <w:rPr>
          <w:sz w:val="24"/>
        </w:rPr>
        <w:tab/>
      </w:r>
      <w:r w:rsidRPr="00267BCC">
        <w:rPr>
          <w:sz w:val="24"/>
        </w:rPr>
        <w:tab/>
      </w:r>
      <w:r w:rsidRPr="00267BCC">
        <w:rPr>
          <w:sz w:val="24"/>
        </w:rPr>
        <w:tab/>
        <w:t>Centrālā statistikas pārvalde</w:t>
      </w:r>
    </w:p>
    <w:p w14:paraId="496408F0" w14:textId="77777777" w:rsidR="0082488D" w:rsidRPr="00267BCC" w:rsidRDefault="0082488D" w:rsidP="00267BCC">
      <w:pPr>
        <w:pStyle w:val="BodyText2"/>
        <w:ind w:right="-142"/>
        <w:rPr>
          <w:sz w:val="24"/>
        </w:rPr>
      </w:pPr>
      <w:r w:rsidRPr="00267BCC">
        <w:rPr>
          <w:sz w:val="24"/>
        </w:rPr>
        <w:t>EM</w:t>
      </w:r>
      <w:r w:rsidRPr="00267BCC">
        <w:rPr>
          <w:sz w:val="24"/>
        </w:rPr>
        <w:tab/>
      </w:r>
      <w:r w:rsidRPr="00267BCC">
        <w:rPr>
          <w:sz w:val="24"/>
        </w:rPr>
        <w:tab/>
      </w:r>
      <w:r w:rsidRPr="00267BCC">
        <w:rPr>
          <w:sz w:val="24"/>
        </w:rPr>
        <w:tab/>
      </w:r>
      <w:r w:rsidRPr="00267BCC">
        <w:rPr>
          <w:sz w:val="24"/>
        </w:rPr>
        <w:tab/>
        <w:t>Ekonomikas ministrija</w:t>
      </w:r>
    </w:p>
    <w:p w14:paraId="496408F1" w14:textId="77777777" w:rsidR="00B6048F" w:rsidRPr="00263B9F" w:rsidRDefault="00B6048F" w:rsidP="00267BCC">
      <w:pPr>
        <w:pStyle w:val="BodyText2"/>
        <w:ind w:right="-142"/>
        <w:rPr>
          <w:sz w:val="24"/>
        </w:rPr>
      </w:pPr>
      <w:r w:rsidRPr="00263B9F">
        <w:rPr>
          <w:sz w:val="24"/>
        </w:rPr>
        <w:t>ERAF</w:t>
      </w:r>
      <w:r w:rsidRPr="00263B9F">
        <w:rPr>
          <w:sz w:val="24"/>
        </w:rPr>
        <w:tab/>
      </w:r>
      <w:r w:rsidRPr="00263B9F">
        <w:rPr>
          <w:sz w:val="24"/>
        </w:rPr>
        <w:tab/>
      </w:r>
      <w:r w:rsidRPr="00263B9F">
        <w:rPr>
          <w:sz w:val="24"/>
        </w:rPr>
        <w:tab/>
      </w:r>
      <w:r w:rsidRPr="00263B9F">
        <w:rPr>
          <w:sz w:val="24"/>
        </w:rPr>
        <w:tab/>
        <w:t>Eiropas Reģionālās attīstības fonds</w:t>
      </w:r>
    </w:p>
    <w:p w14:paraId="496408F2" w14:textId="77777777" w:rsidR="000A78B2" w:rsidRPr="00263B9F" w:rsidRDefault="000A78B2" w:rsidP="00267BCC">
      <w:pPr>
        <w:pStyle w:val="BodyText2"/>
        <w:ind w:right="-142"/>
        <w:rPr>
          <w:sz w:val="24"/>
        </w:rPr>
      </w:pPr>
      <w:r w:rsidRPr="00263B9F">
        <w:rPr>
          <w:sz w:val="24"/>
        </w:rPr>
        <w:t>ES</w:t>
      </w:r>
      <w:r w:rsidRPr="00263B9F">
        <w:rPr>
          <w:sz w:val="24"/>
        </w:rPr>
        <w:tab/>
      </w:r>
      <w:r w:rsidRPr="00263B9F">
        <w:rPr>
          <w:sz w:val="24"/>
        </w:rPr>
        <w:tab/>
      </w:r>
      <w:r w:rsidRPr="00263B9F">
        <w:rPr>
          <w:sz w:val="24"/>
        </w:rPr>
        <w:tab/>
      </w:r>
      <w:r w:rsidRPr="00263B9F">
        <w:rPr>
          <w:sz w:val="24"/>
        </w:rPr>
        <w:tab/>
        <w:t>Eiropas Savienība</w:t>
      </w:r>
    </w:p>
    <w:p w14:paraId="496408F3" w14:textId="77777777" w:rsidR="0010215C" w:rsidRPr="00263B9F" w:rsidRDefault="0010215C" w:rsidP="00267BCC">
      <w:pPr>
        <w:pStyle w:val="BodyText2"/>
        <w:ind w:right="-142"/>
        <w:rPr>
          <w:sz w:val="24"/>
        </w:rPr>
      </w:pPr>
      <w:r w:rsidRPr="00263B9F">
        <w:rPr>
          <w:sz w:val="24"/>
        </w:rPr>
        <w:t>EUROSTAT</w:t>
      </w:r>
      <w:r w:rsidRPr="00263B9F">
        <w:rPr>
          <w:sz w:val="24"/>
        </w:rPr>
        <w:tab/>
      </w:r>
      <w:r w:rsidRPr="00263B9F">
        <w:rPr>
          <w:sz w:val="24"/>
        </w:rPr>
        <w:tab/>
      </w:r>
      <w:r w:rsidRPr="00263B9F">
        <w:rPr>
          <w:sz w:val="24"/>
        </w:rPr>
        <w:tab/>
      </w:r>
      <w:r w:rsidRPr="00263B9F">
        <w:rPr>
          <w:rStyle w:val="nolink"/>
          <w:sz w:val="24"/>
        </w:rPr>
        <w:t>Eiropas Kopienu Statistikas birojs</w:t>
      </w:r>
    </w:p>
    <w:p w14:paraId="496408F4" w14:textId="77777777" w:rsidR="001F7CED" w:rsidRPr="00267BCC" w:rsidRDefault="001F7CED" w:rsidP="00267BCC">
      <w:pPr>
        <w:pStyle w:val="BodyText2"/>
        <w:ind w:right="-142"/>
        <w:rPr>
          <w:sz w:val="24"/>
        </w:rPr>
      </w:pPr>
      <w:r w:rsidRPr="00267BCC">
        <w:rPr>
          <w:sz w:val="24"/>
        </w:rPr>
        <w:t>FM</w:t>
      </w:r>
      <w:r w:rsidRPr="00267BCC">
        <w:rPr>
          <w:sz w:val="24"/>
        </w:rPr>
        <w:tab/>
      </w:r>
      <w:r w:rsidRPr="00267BCC">
        <w:rPr>
          <w:sz w:val="24"/>
        </w:rPr>
        <w:tab/>
      </w:r>
      <w:r w:rsidRPr="00267BCC">
        <w:rPr>
          <w:sz w:val="24"/>
        </w:rPr>
        <w:tab/>
      </w:r>
      <w:r w:rsidRPr="00267BCC">
        <w:rPr>
          <w:sz w:val="24"/>
        </w:rPr>
        <w:tab/>
        <w:t>Finanšu ministrija</w:t>
      </w:r>
    </w:p>
    <w:p w14:paraId="496408F5" w14:textId="77777777" w:rsidR="0082488D" w:rsidRPr="00267BCC" w:rsidRDefault="0082488D" w:rsidP="00267BCC">
      <w:pPr>
        <w:pStyle w:val="BodyText2"/>
        <w:ind w:right="-142"/>
        <w:rPr>
          <w:sz w:val="24"/>
        </w:rPr>
      </w:pPr>
      <w:r w:rsidRPr="00267BCC">
        <w:rPr>
          <w:sz w:val="24"/>
        </w:rPr>
        <w:t>IEM</w:t>
      </w:r>
      <w:r w:rsidRPr="00267BCC">
        <w:rPr>
          <w:sz w:val="24"/>
        </w:rPr>
        <w:tab/>
      </w:r>
      <w:r w:rsidRPr="00267BCC">
        <w:rPr>
          <w:sz w:val="24"/>
        </w:rPr>
        <w:tab/>
      </w:r>
      <w:r w:rsidRPr="00267BCC">
        <w:rPr>
          <w:sz w:val="24"/>
        </w:rPr>
        <w:tab/>
      </w:r>
      <w:r w:rsidRPr="00267BCC">
        <w:rPr>
          <w:sz w:val="24"/>
        </w:rPr>
        <w:tab/>
        <w:t>Iekšlietu ministrija</w:t>
      </w:r>
    </w:p>
    <w:p w14:paraId="496408F6" w14:textId="77777777" w:rsidR="0082488D" w:rsidRPr="00267BCC" w:rsidRDefault="0082488D" w:rsidP="00267BCC">
      <w:pPr>
        <w:pStyle w:val="BodyText2"/>
        <w:ind w:right="-142"/>
        <w:rPr>
          <w:sz w:val="24"/>
        </w:rPr>
      </w:pPr>
      <w:r w:rsidRPr="00267BCC">
        <w:rPr>
          <w:sz w:val="24"/>
        </w:rPr>
        <w:t>IKP</w:t>
      </w:r>
      <w:r w:rsidRPr="00267BCC">
        <w:rPr>
          <w:sz w:val="24"/>
        </w:rPr>
        <w:tab/>
      </w:r>
      <w:r w:rsidRPr="00267BCC">
        <w:rPr>
          <w:sz w:val="24"/>
        </w:rPr>
        <w:tab/>
      </w:r>
      <w:r w:rsidRPr="00267BCC">
        <w:rPr>
          <w:sz w:val="24"/>
        </w:rPr>
        <w:tab/>
      </w:r>
      <w:r w:rsidRPr="00267BCC">
        <w:rPr>
          <w:sz w:val="24"/>
        </w:rPr>
        <w:tab/>
        <w:t>Iekšzemes kopprodukts</w:t>
      </w:r>
    </w:p>
    <w:p w14:paraId="496408F7" w14:textId="77777777" w:rsidR="0082488D" w:rsidRPr="00267BCC" w:rsidRDefault="0082488D" w:rsidP="00267BCC">
      <w:pPr>
        <w:rPr>
          <w:lang w:val="lv-LV" w:eastAsia="en-US"/>
        </w:rPr>
      </w:pPr>
      <w:r w:rsidRPr="00267BCC">
        <w:rPr>
          <w:lang w:val="lv-LV" w:eastAsia="en-US"/>
        </w:rPr>
        <w:t>IZM</w:t>
      </w:r>
      <w:r w:rsidRPr="00267BCC">
        <w:rPr>
          <w:lang w:val="lv-LV" w:eastAsia="en-US"/>
        </w:rPr>
        <w:tab/>
      </w:r>
      <w:r w:rsidRPr="00267BCC">
        <w:rPr>
          <w:lang w:val="lv-LV" w:eastAsia="en-US"/>
        </w:rPr>
        <w:tab/>
      </w:r>
      <w:r w:rsidRPr="00267BCC">
        <w:rPr>
          <w:lang w:val="lv-LV" w:eastAsia="en-US"/>
        </w:rPr>
        <w:tab/>
      </w:r>
      <w:r w:rsidRPr="00267BCC">
        <w:rPr>
          <w:lang w:val="lv-LV" w:eastAsia="en-US"/>
        </w:rPr>
        <w:tab/>
        <w:t>Izglītības un zinātnes ministrija</w:t>
      </w:r>
    </w:p>
    <w:p w14:paraId="496408F8" w14:textId="77777777" w:rsidR="0082488D" w:rsidRPr="00267BCC" w:rsidRDefault="0082488D" w:rsidP="00267BCC">
      <w:pPr>
        <w:pStyle w:val="BodyText2"/>
        <w:ind w:right="-142"/>
        <w:rPr>
          <w:sz w:val="24"/>
        </w:rPr>
      </w:pPr>
      <w:r w:rsidRPr="00267BCC">
        <w:rPr>
          <w:sz w:val="24"/>
        </w:rPr>
        <w:t>KM</w:t>
      </w:r>
      <w:r w:rsidRPr="00267BCC">
        <w:rPr>
          <w:sz w:val="24"/>
        </w:rPr>
        <w:tab/>
      </w:r>
      <w:r w:rsidRPr="00267BCC">
        <w:rPr>
          <w:sz w:val="24"/>
        </w:rPr>
        <w:tab/>
      </w:r>
      <w:r w:rsidRPr="00267BCC">
        <w:rPr>
          <w:sz w:val="24"/>
        </w:rPr>
        <w:tab/>
      </w:r>
      <w:r w:rsidRPr="00267BCC">
        <w:rPr>
          <w:sz w:val="24"/>
        </w:rPr>
        <w:tab/>
        <w:t>Kultūras ministrija</w:t>
      </w:r>
    </w:p>
    <w:p w14:paraId="496408F9" w14:textId="77777777" w:rsidR="00590EFD" w:rsidRPr="00267BCC" w:rsidRDefault="00590EFD" w:rsidP="00267BCC">
      <w:pPr>
        <w:pStyle w:val="BodyText2"/>
        <w:ind w:right="-142"/>
        <w:rPr>
          <w:sz w:val="24"/>
        </w:rPr>
      </w:pPr>
      <w:r w:rsidRPr="00267BCC">
        <w:rPr>
          <w:sz w:val="24"/>
        </w:rPr>
        <w:t>LIAA</w:t>
      </w:r>
      <w:r w:rsidRPr="00267BCC">
        <w:rPr>
          <w:sz w:val="24"/>
        </w:rPr>
        <w:tab/>
      </w:r>
      <w:r w:rsidRPr="00267BCC">
        <w:rPr>
          <w:sz w:val="24"/>
        </w:rPr>
        <w:tab/>
      </w:r>
      <w:r w:rsidRPr="00267BCC">
        <w:rPr>
          <w:sz w:val="24"/>
        </w:rPr>
        <w:tab/>
      </w:r>
      <w:r w:rsidRPr="00267BCC">
        <w:rPr>
          <w:sz w:val="24"/>
        </w:rPr>
        <w:tab/>
        <w:t>Latvijas investīciju un attīstības aģentūra</w:t>
      </w:r>
    </w:p>
    <w:p w14:paraId="496408FA" w14:textId="77777777" w:rsidR="0082488D" w:rsidRPr="00267BCC" w:rsidRDefault="0082488D" w:rsidP="00267BCC">
      <w:pPr>
        <w:pStyle w:val="BodyText2"/>
        <w:ind w:right="-142"/>
        <w:rPr>
          <w:sz w:val="24"/>
        </w:rPr>
      </w:pPr>
      <w:r w:rsidRPr="00267BCC">
        <w:rPr>
          <w:sz w:val="24"/>
        </w:rPr>
        <w:t>LM</w:t>
      </w:r>
      <w:r w:rsidRPr="00267BCC">
        <w:rPr>
          <w:sz w:val="24"/>
        </w:rPr>
        <w:tab/>
      </w:r>
      <w:r w:rsidRPr="00267BCC">
        <w:rPr>
          <w:sz w:val="24"/>
        </w:rPr>
        <w:tab/>
      </w:r>
      <w:r w:rsidRPr="00267BCC">
        <w:rPr>
          <w:sz w:val="24"/>
        </w:rPr>
        <w:tab/>
      </w:r>
      <w:r w:rsidRPr="00267BCC">
        <w:rPr>
          <w:sz w:val="24"/>
        </w:rPr>
        <w:tab/>
        <w:t>Labklājības ministrija</w:t>
      </w:r>
    </w:p>
    <w:p w14:paraId="496408FB" w14:textId="77777777" w:rsidR="000A78B2" w:rsidRPr="00267BCC" w:rsidRDefault="000A78B2" w:rsidP="00267BCC">
      <w:pPr>
        <w:pStyle w:val="BodyText2"/>
        <w:ind w:right="-142"/>
        <w:rPr>
          <w:sz w:val="24"/>
        </w:rPr>
      </w:pPr>
      <w:r w:rsidRPr="00267BCC">
        <w:rPr>
          <w:sz w:val="24"/>
        </w:rPr>
        <w:t>LR</w:t>
      </w:r>
      <w:r w:rsidRPr="00267BCC">
        <w:rPr>
          <w:sz w:val="24"/>
        </w:rPr>
        <w:tab/>
      </w:r>
      <w:r w:rsidRPr="00267BCC">
        <w:rPr>
          <w:sz w:val="24"/>
        </w:rPr>
        <w:tab/>
      </w:r>
      <w:r w:rsidRPr="00267BCC">
        <w:rPr>
          <w:sz w:val="24"/>
        </w:rPr>
        <w:tab/>
      </w:r>
      <w:r w:rsidRPr="00267BCC">
        <w:rPr>
          <w:sz w:val="24"/>
        </w:rPr>
        <w:tab/>
        <w:t>Latvijas Republika</w:t>
      </w:r>
    </w:p>
    <w:p w14:paraId="496408FC" w14:textId="77777777" w:rsidR="000A78B2" w:rsidRPr="00267BCC" w:rsidRDefault="000A78B2" w:rsidP="00267BCC">
      <w:pPr>
        <w:pStyle w:val="BodyText2"/>
        <w:ind w:right="-142"/>
        <w:rPr>
          <w:sz w:val="24"/>
        </w:rPr>
      </w:pPr>
      <w:r w:rsidRPr="00267BCC">
        <w:rPr>
          <w:sz w:val="24"/>
        </w:rPr>
        <w:t>MK</w:t>
      </w:r>
      <w:r w:rsidRPr="00267BCC">
        <w:rPr>
          <w:sz w:val="24"/>
        </w:rPr>
        <w:tab/>
      </w:r>
      <w:r w:rsidRPr="00267BCC">
        <w:rPr>
          <w:sz w:val="24"/>
        </w:rPr>
        <w:tab/>
      </w:r>
      <w:r w:rsidRPr="00267BCC">
        <w:rPr>
          <w:sz w:val="24"/>
        </w:rPr>
        <w:tab/>
      </w:r>
      <w:r w:rsidRPr="00267BCC">
        <w:rPr>
          <w:sz w:val="24"/>
        </w:rPr>
        <w:tab/>
        <w:t>Ministru kabinets</w:t>
      </w:r>
    </w:p>
    <w:p w14:paraId="496408FD" w14:textId="77777777" w:rsidR="001D38CB" w:rsidRPr="00267BCC" w:rsidRDefault="001D38CB" w:rsidP="00267BCC">
      <w:pPr>
        <w:pStyle w:val="BodyText2"/>
        <w:ind w:right="-142"/>
        <w:rPr>
          <w:sz w:val="24"/>
        </w:rPr>
      </w:pPr>
      <w:r w:rsidRPr="00267BCC">
        <w:rPr>
          <w:sz w:val="24"/>
        </w:rPr>
        <w:t>NAP 2020</w:t>
      </w:r>
      <w:r w:rsidRPr="00267BCC">
        <w:rPr>
          <w:sz w:val="24"/>
        </w:rPr>
        <w:tab/>
      </w:r>
      <w:r w:rsidRPr="00267BCC">
        <w:rPr>
          <w:sz w:val="24"/>
        </w:rPr>
        <w:tab/>
      </w:r>
      <w:r w:rsidRPr="00267BCC">
        <w:rPr>
          <w:sz w:val="24"/>
        </w:rPr>
        <w:tab/>
        <w:t>Latvijas Nacionālais attīstības plāns 2014.–2020.gadam</w:t>
      </w:r>
    </w:p>
    <w:p w14:paraId="496408FE" w14:textId="77777777" w:rsidR="000101CF" w:rsidRPr="00267BCC" w:rsidRDefault="000101CF" w:rsidP="00267BCC">
      <w:pPr>
        <w:pStyle w:val="BodyText2"/>
        <w:ind w:right="-142"/>
        <w:rPr>
          <w:sz w:val="24"/>
        </w:rPr>
      </w:pPr>
      <w:r w:rsidRPr="00267BCC">
        <w:rPr>
          <w:sz w:val="24"/>
        </w:rPr>
        <w:t>NVO</w:t>
      </w:r>
      <w:r w:rsidRPr="00267BCC">
        <w:rPr>
          <w:sz w:val="24"/>
        </w:rPr>
        <w:tab/>
      </w:r>
      <w:r w:rsidRPr="00267BCC">
        <w:rPr>
          <w:sz w:val="24"/>
        </w:rPr>
        <w:tab/>
      </w:r>
      <w:r w:rsidRPr="00267BCC">
        <w:rPr>
          <w:sz w:val="24"/>
        </w:rPr>
        <w:tab/>
      </w:r>
      <w:r w:rsidRPr="00267BCC">
        <w:rPr>
          <w:sz w:val="24"/>
        </w:rPr>
        <w:tab/>
        <w:t>Nevalstiskās organizācijas</w:t>
      </w:r>
    </w:p>
    <w:p w14:paraId="496408FF" w14:textId="77777777" w:rsidR="000A78B2" w:rsidRPr="00267BCC" w:rsidRDefault="000A78B2" w:rsidP="00267BCC">
      <w:pPr>
        <w:pStyle w:val="BodyText2"/>
        <w:ind w:right="-142"/>
        <w:rPr>
          <w:sz w:val="24"/>
        </w:rPr>
      </w:pPr>
      <w:r w:rsidRPr="00267BCC">
        <w:rPr>
          <w:sz w:val="24"/>
        </w:rPr>
        <w:t>PCTP</w:t>
      </w:r>
      <w:r w:rsidRPr="00267BCC">
        <w:rPr>
          <w:sz w:val="24"/>
        </w:rPr>
        <w:tab/>
      </w:r>
      <w:r w:rsidRPr="00267BCC">
        <w:rPr>
          <w:sz w:val="24"/>
        </w:rPr>
        <w:tab/>
      </w:r>
      <w:r w:rsidRPr="00267BCC">
        <w:rPr>
          <w:sz w:val="24"/>
        </w:rPr>
        <w:tab/>
      </w:r>
      <w:r w:rsidRPr="00267BCC">
        <w:rPr>
          <w:sz w:val="24"/>
        </w:rPr>
        <w:tab/>
        <w:t>Pasaules Ceļojumu un tūrisma padome</w:t>
      </w:r>
    </w:p>
    <w:p w14:paraId="49640900" w14:textId="77777777" w:rsidR="0082488D" w:rsidRPr="00267BCC" w:rsidRDefault="0082488D" w:rsidP="00267BCC">
      <w:pPr>
        <w:pStyle w:val="BodyText2"/>
        <w:ind w:right="-142"/>
        <w:rPr>
          <w:sz w:val="24"/>
        </w:rPr>
      </w:pPr>
      <w:r w:rsidRPr="00267BCC">
        <w:rPr>
          <w:sz w:val="24"/>
        </w:rPr>
        <w:t>SM</w:t>
      </w:r>
      <w:r w:rsidRPr="00267BCC">
        <w:rPr>
          <w:sz w:val="24"/>
        </w:rPr>
        <w:tab/>
      </w:r>
      <w:r w:rsidRPr="00267BCC">
        <w:rPr>
          <w:sz w:val="24"/>
        </w:rPr>
        <w:tab/>
      </w:r>
      <w:r w:rsidRPr="00267BCC">
        <w:rPr>
          <w:sz w:val="24"/>
        </w:rPr>
        <w:tab/>
      </w:r>
      <w:r w:rsidRPr="00267BCC">
        <w:rPr>
          <w:sz w:val="24"/>
        </w:rPr>
        <w:tab/>
        <w:t>Satiksmes ministrija</w:t>
      </w:r>
    </w:p>
    <w:p w14:paraId="49640901" w14:textId="77777777" w:rsidR="00590EFD" w:rsidRPr="00267BCC" w:rsidRDefault="00590EFD" w:rsidP="00267BCC">
      <w:pPr>
        <w:pStyle w:val="BodyText2"/>
        <w:ind w:right="-142"/>
        <w:rPr>
          <w:sz w:val="24"/>
        </w:rPr>
      </w:pPr>
      <w:r w:rsidRPr="00267BCC">
        <w:rPr>
          <w:sz w:val="24"/>
        </w:rPr>
        <w:t>TAVA</w:t>
      </w:r>
      <w:r w:rsidRPr="00267BCC">
        <w:rPr>
          <w:sz w:val="24"/>
        </w:rPr>
        <w:tab/>
      </w:r>
      <w:r w:rsidRPr="00267BCC">
        <w:rPr>
          <w:sz w:val="24"/>
        </w:rPr>
        <w:tab/>
      </w:r>
      <w:r w:rsidRPr="00267BCC">
        <w:rPr>
          <w:sz w:val="24"/>
        </w:rPr>
        <w:tab/>
      </w:r>
      <w:r w:rsidR="0039724E" w:rsidRPr="00267BCC">
        <w:rPr>
          <w:sz w:val="24"/>
        </w:rPr>
        <w:tab/>
      </w:r>
      <w:r w:rsidRPr="00267BCC">
        <w:rPr>
          <w:sz w:val="24"/>
        </w:rPr>
        <w:t>Tūrisma attīstības valsts aģentūra</w:t>
      </w:r>
    </w:p>
    <w:p w14:paraId="49640902" w14:textId="77777777" w:rsidR="006B6FD9" w:rsidRPr="00267BCC" w:rsidRDefault="006B6FD9" w:rsidP="00267BCC">
      <w:pPr>
        <w:pStyle w:val="BodyText2"/>
        <w:ind w:right="-142"/>
        <w:rPr>
          <w:sz w:val="24"/>
        </w:rPr>
      </w:pPr>
      <w:r w:rsidRPr="00267BCC">
        <w:rPr>
          <w:sz w:val="24"/>
        </w:rPr>
        <w:t>TIC</w:t>
      </w:r>
      <w:r w:rsidRPr="00267BCC">
        <w:rPr>
          <w:sz w:val="24"/>
        </w:rPr>
        <w:tab/>
      </w:r>
      <w:r w:rsidRPr="00267BCC">
        <w:rPr>
          <w:sz w:val="24"/>
        </w:rPr>
        <w:tab/>
      </w:r>
      <w:r w:rsidRPr="00267BCC">
        <w:rPr>
          <w:sz w:val="24"/>
        </w:rPr>
        <w:tab/>
      </w:r>
      <w:r w:rsidRPr="00267BCC">
        <w:rPr>
          <w:sz w:val="24"/>
        </w:rPr>
        <w:tab/>
        <w:t>Tūrisma informācijas centrs</w:t>
      </w:r>
    </w:p>
    <w:p w14:paraId="49640903" w14:textId="77777777" w:rsidR="000101CF" w:rsidRPr="00267BCC" w:rsidRDefault="000101CF" w:rsidP="00267BCC">
      <w:pPr>
        <w:pStyle w:val="BodyText2"/>
        <w:ind w:right="-142"/>
        <w:rPr>
          <w:sz w:val="24"/>
        </w:rPr>
      </w:pPr>
      <w:r w:rsidRPr="00267BCC">
        <w:rPr>
          <w:sz w:val="24"/>
        </w:rPr>
        <w:t>TSP</w:t>
      </w:r>
      <w:r w:rsidRPr="00267BCC">
        <w:rPr>
          <w:sz w:val="24"/>
        </w:rPr>
        <w:tab/>
      </w:r>
      <w:r w:rsidRPr="00267BCC">
        <w:rPr>
          <w:sz w:val="24"/>
        </w:rPr>
        <w:tab/>
      </w:r>
      <w:r w:rsidRPr="00267BCC">
        <w:rPr>
          <w:sz w:val="24"/>
        </w:rPr>
        <w:tab/>
      </w:r>
      <w:r w:rsidRPr="00267BCC">
        <w:rPr>
          <w:sz w:val="24"/>
        </w:rPr>
        <w:tab/>
        <w:t>Tautsaimniecības padome</w:t>
      </w:r>
    </w:p>
    <w:p w14:paraId="49640904" w14:textId="77777777" w:rsidR="0082488D" w:rsidRPr="00267BCC" w:rsidRDefault="0082488D" w:rsidP="00267BCC">
      <w:pPr>
        <w:pStyle w:val="BodyText2"/>
        <w:ind w:right="-142"/>
        <w:rPr>
          <w:sz w:val="24"/>
        </w:rPr>
      </w:pPr>
      <w:r w:rsidRPr="00267BCC">
        <w:rPr>
          <w:sz w:val="24"/>
        </w:rPr>
        <w:t>VARAM</w:t>
      </w:r>
      <w:r w:rsidRPr="00267BCC">
        <w:rPr>
          <w:sz w:val="24"/>
        </w:rPr>
        <w:tab/>
      </w:r>
      <w:r w:rsidRPr="00267BCC">
        <w:rPr>
          <w:sz w:val="24"/>
        </w:rPr>
        <w:tab/>
      </w:r>
      <w:r w:rsidRPr="00267BCC">
        <w:rPr>
          <w:sz w:val="24"/>
        </w:rPr>
        <w:tab/>
        <w:t>Vides aizsardzības un reģionālās attīstības ministrija</w:t>
      </w:r>
    </w:p>
    <w:p w14:paraId="49640905" w14:textId="77777777" w:rsidR="001F7CED" w:rsidRPr="00267BCC" w:rsidRDefault="001F7CED" w:rsidP="00267BCC">
      <w:pPr>
        <w:pStyle w:val="BodyText2"/>
        <w:ind w:right="-142"/>
        <w:rPr>
          <w:sz w:val="24"/>
        </w:rPr>
      </w:pPr>
      <w:r w:rsidRPr="00267BCC">
        <w:rPr>
          <w:sz w:val="24"/>
        </w:rPr>
        <w:t>VM</w:t>
      </w:r>
      <w:r w:rsidRPr="00267BCC">
        <w:rPr>
          <w:sz w:val="24"/>
        </w:rPr>
        <w:tab/>
      </w:r>
      <w:r w:rsidRPr="00267BCC">
        <w:rPr>
          <w:sz w:val="24"/>
        </w:rPr>
        <w:tab/>
      </w:r>
      <w:r w:rsidRPr="00267BCC">
        <w:rPr>
          <w:sz w:val="24"/>
        </w:rPr>
        <w:tab/>
      </w:r>
      <w:r w:rsidRPr="00267BCC">
        <w:rPr>
          <w:sz w:val="24"/>
        </w:rPr>
        <w:tab/>
        <w:t>Veselības ministrija</w:t>
      </w:r>
    </w:p>
    <w:p w14:paraId="49640906" w14:textId="77777777" w:rsidR="0082488D" w:rsidRPr="00267BCC" w:rsidRDefault="0082488D" w:rsidP="00267BCC">
      <w:pPr>
        <w:pStyle w:val="BodyText2"/>
        <w:ind w:right="-142"/>
        <w:rPr>
          <w:sz w:val="24"/>
        </w:rPr>
      </w:pPr>
      <w:r w:rsidRPr="00267BCC">
        <w:rPr>
          <w:sz w:val="24"/>
        </w:rPr>
        <w:t>ZM</w:t>
      </w:r>
      <w:r w:rsidRPr="00267BCC">
        <w:rPr>
          <w:sz w:val="24"/>
        </w:rPr>
        <w:tab/>
      </w:r>
      <w:r w:rsidRPr="00267BCC">
        <w:rPr>
          <w:sz w:val="24"/>
        </w:rPr>
        <w:tab/>
      </w:r>
      <w:r w:rsidRPr="00267BCC">
        <w:rPr>
          <w:sz w:val="24"/>
        </w:rPr>
        <w:tab/>
      </w:r>
      <w:r w:rsidRPr="00267BCC">
        <w:rPr>
          <w:sz w:val="24"/>
        </w:rPr>
        <w:tab/>
        <w:t>Zemkopības ministrija</w:t>
      </w:r>
    </w:p>
    <w:p w14:paraId="49640907" w14:textId="77777777" w:rsidR="00783831" w:rsidRPr="00267BCC" w:rsidRDefault="00783831" w:rsidP="00267BCC">
      <w:pPr>
        <w:ind w:right="-143"/>
        <w:outlineLvl w:val="0"/>
        <w:rPr>
          <w:sz w:val="26"/>
          <w:szCs w:val="26"/>
          <w:lang w:val="lv-LV"/>
        </w:rPr>
      </w:pPr>
    </w:p>
    <w:p w14:paraId="49640908" w14:textId="77777777" w:rsidR="00783831" w:rsidRPr="00267BCC" w:rsidRDefault="00783831" w:rsidP="00267BCC">
      <w:pPr>
        <w:rPr>
          <w:rFonts w:eastAsia="Calibri"/>
          <w:b/>
          <w:bCs/>
          <w:sz w:val="28"/>
          <w:szCs w:val="28"/>
          <w:lang w:val="lv-LV" w:eastAsia="ja-JP"/>
        </w:rPr>
      </w:pPr>
      <w:r w:rsidRPr="00267BCC">
        <w:rPr>
          <w:rFonts w:eastAsia="Calibri"/>
          <w:b/>
          <w:bCs/>
          <w:szCs w:val="28"/>
          <w:lang w:val="lv-LV" w:eastAsia="ja-JP"/>
        </w:rPr>
        <w:br w:type="page"/>
      </w:r>
    </w:p>
    <w:p w14:paraId="49640909" w14:textId="77777777" w:rsidR="00CF48D5" w:rsidRPr="00267BCC" w:rsidRDefault="00CF48D5" w:rsidP="00267BCC">
      <w:pPr>
        <w:pStyle w:val="Heading1"/>
        <w:rPr>
          <w:rFonts w:eastAsia="Calibri"/>
        </w:rPr>
      </w:pPr>
      <w:bookmarkStart w:id="1" w:name="_Toc381256645"/>
      <w:bookmarkStart w:id="2" w:name="_Toc321225367"/>
      <w:r w:rsidRPr="00267BCC">
        <w:rPr>
          <w:rFonts w:eastAsia="Calibri"/>
        </w:rPr>
        <w:lastRenderedPageBreak/>
        <w:t>Ievads</w:t>
      </w:r>
      <w:bookmarkEnd w:id="1"/>
    </w:p>
    <w:p w14:paraId="4964090A" w14:textId="77777777" w:rsidR="00CF48D5" w:rsidRPr="00267BCC" w:rsidRDefault="00CF48D5" w:rsidP="00267BCC">
      <w:pPr>
        <w:jc w:val="both"/>
        <w:rPr>
          <w:rFonts w:eastAsia="Calibri"/>
          <w:bCs/>
          <w:szCs w:val="28"/>
          <w:lang w:val="lv-LV" w:eastAsia="ja-JP"/>
        </w:rPr>
      </w:pPr>
    </w:p>
    <w:p w14:paraId="4964090B" w14:textId="77777777" w:rsidR="00A42101" w:rsidRPr="00267BCC" w:rsidRDefault="00A42101" w:rsidP="00267BCC">
      <w:pPr>
        <w:ind w:firstLine="720"/>
        <w:jc w:val="both"/>
        <w:rPr>
          <w:rFonts w:eastAsia="Calibri"/>
          <w:bCs/>
          <w:szCs w:val="28"/>
          <w:lang w:val="lv-LV" w:eastAsia="ja-JP"/>
        </w:rPr>
      </w:pPr>
      <w:r w:rsidRPr="00267BCC">
        <w:rPr>
          <w:rFonts w:eastAsia="Calibri"/>
          <w:bCs/>
          <w:szCs w:val="28"/>
          <w:lang w:val="lv-LV" w:eastAsia="ja-JP"/>
        </w:rPr>
        <w:t xml:space="preserve">Pēc iestāšanās </w:t>
      </w:r>
      <w:r w:rsidR="001179BD" w:rsidRPr="00267BCC">
        <w:rPr>
          <w:rFonts w:eastAsia="Calibri"/>
          <w:bCs/>
          <w:szCs w:val="28"/>
          <w:lang w:val="lv-LV" w:eastAsia="ja-JP"/>
        </w:rPr>
        <w:t>ES</w:t>
      </w:r>
      <w:r w:rsidR="00C17F8F" w:rsidRPr="00267BCC">
        <w:rPr>
          <w:rFonts w:eastAsia="Calibri"/>
          <w:bCs/>
          <w:szCs w:val="28"/>
          <w:lang w:val="lv-LV" w:eastAsia="ja-JP"/>
        </w:rPr>
        <w:t xml:space="preserve"> Latvija piedzīvoja</w:t>
      </w:r>
      <w:r w:rsidRPr="00267BCC">
        <w:rPr>
          <w:rFonts w:eastAsia="Calibri"/>
          <w:bCs/>
          <w:szCs w:val="28"/>
          <w:lang w:val="lv-LV" w:eastAsia="ja-JP"/>
        </w:rPr>
        <w:t xml:space="preserve"> straujas tūrisma attīstības periodu, kam sekoja straujas ekonomiskās lejupslīdes posms, kas negatīvi ietekmēja arī tūrisma attīstību. Sākot ar 2011.gadu Latvijas tūrisms atgriezās uz izaugsmes ceļa, taču pirmskrīzes tūrisma apjomi vēl nav sasniegti, un attīstība </w:t>
      </w:r>
      <w:r w:rsidR="00E005F5" w:rsidRPr="00267BCC">
        <w:rPr>
          <w:rFonts w:eastAsia="Calibri"/>
          <w:bCs/>
          <w:szCs w:val="28"/>
          <w:lang w:val="lv-LV" w:eastAsia="ja-JP"/>
        </w:rPr>
        <w:t xml:space="preserve">līdzīgi </w:t>
      </w:r>
      <w:r w:rsidRPr="00267BCC">
        <w:rPr>
          <w:rFonts w:eastAsia="Calibri"/>
          <w:bCs/>
          <w:szCs w:val="28"/>
          <w:lang w:val="lv-LV" w:eastAsia="ja-JP"/>
        </w:rPr>
        <w:t xml:space="preserve">kā visā Eiropā ir daudz mērenāka. Pašlaik pasaulē un Eiropā tūrisma nozare piedzīvo nozīmīgas izmaiņas: mainās tūristu ceļošanas paradumi, arvien pieaug e-komercijas pielietojums, palielinās tūrisma produktu dažādība un skaits, parādās jauni tūrisma galamērķi. Esošajos globalizācijas un saasinātās konkurences apstākļos Latvijai nepieciešams </w:t>
      </w:r>
      <w:r w:rsidR="00E005F5" w:rsidRPr="00267BCC">
        <w:rPr>
          <w:rFonts w:eastAsia="Calibri"/>
          <w:bCs/>
          <w:szCs w:val="28"/>
          <w:lang w:val="lv-LV" w:eastAsia="ja-JP"/>
        </w:rPr>
        <w:t>identificēt savas konkurētspējīgās</w:t>
      </w:r>
      <w:r w:rsidRPr="00267BCC">
        <w:rPr>
          <w:rFonts w:eastAsia="Calibri"/>
          <w:bCs/>
          <w:szCs w:val="28"/>
          <w:lang w:val="lv-LV" w:eastAsia="ja-JP"/>
        </w:rPr>
        <w:t xml:space="preserve"> priekšrocības, lai attīstītu tūrisma produktus un teritorijas ar lielāku ilgtspējīgas attīstīb</w:t>
      </w:r>
      <w:r w:rsidR="00C17F8F" w:rsidRPr="00267BCC">
        <w:rPr>
          <w:rFonts w:eastAsia="Calibri"/>
          <w:bCs/>
          <w:szCs w:val="28"/>
          <w:lang w:val="lv-LV" w:eastAsia="ja-JP"/>
        </w:rPr>
        <w:t>as potenciālu.</w:t>
      </w:r>
    </w:p>
    <w:p w14:paraId="4964090C" w14:textId="77777777" w:rsidR="00A42101" w:rsidRPr="00267BCC" w:rsidRDefault="00A42101" w:rsidP="00267BCC">
      <w:pPr>
        <w:ind w:firstLine="720"/>
        <w:jc w:val="both"/>
        <w:rPr>
          <w:rFonts w:eastAsia="Calibri"/>
          <w:bCs/>
          <w:szCs w:val="28"/>
          <w:lang w:val="lv-LV" w:eastAsia="ja-JP"/>
        </w:rPr>
      </w:pPr>
      <w:r w:rsidRPr="00267BCC">
        <w:rPr>
          <w:rFonts w:eastAsia="Calibri"/>
          <w:bCs/>
          <w:szCs w:val="28"/>
          <w:lang w:val="lv-LV" w:eastAsia="ja-JP"/>
        </w:rPr>
        <w:t>Latvijas tūrisma nozare šobrīd saskaras ar problēmām, kas saistītas ar neatbilstošas kvalitātes tūrisma produktu piedāvājumu, izteikto sezonalitāti un tās radītajā</w:t>
      </w:r>
      <w:r w:rsidR="001179BD" w:rsidRPr="00267BCC">
        <w:rPr>
          <w:rFonts w:eastAsia="Calibri"/>
          <w:bCs/>
          <w:szCs w:val="28"/>
          <w:lang w:val="lv-LV" w:eastAsia="ja-JP"/>
        </w:rPr>
        <w:t>m tūrisma komercdarbības</w:t>
      </w:r>
      <w:r w:rsidRPr="00267BCC">
        <w:rPr>
          <w:rFonts w:eastAsia="Calibri"/>
          <w:bCs/>
          <w:szCs w:val="28"/>
          <w:lang w:val="lv-LV" w:eastAsia="ja-JP"/>
        </w:rPr>
        <w:t xml:space="preserve"> apgrozījuma svārstībām, kā arī vienotas attīstības vīzijas trūkumu. Neskatoties uz to, tūrisms Latvijā ir uzskatāms par vienu no valsts ekonomiskās attīstības iespējām un pakalpojumu </w:t>
      </w:r>
      <w:r w:rsidR="00930195" w:rsidRPr="00267BCC">
        <w:rPr>
          <w:rFonts w:eastAsia="Calibri"/>
          <w:bCs/>
          <w:szCs w:val="28"/>
          <w:lang w:val="lv-LV" w:eastAsia="ja-JP"/>
        </w:rPr>
        <w:t>nozares</w:t>
      </w:r>
      <w:r w:rsidRPr="00267BCC">
        <w:rPr>
          <w:rFonts w:eastAsia="Calibri"/>
          <w:bCs/>
          <w:szCs w:val="28"/>
          <w:lang w:val="lv-LV" w:eastAsia="ja-JP"/>
        </w:rPr>
        <w:t xml:space="preserve"> prioritātēm, jo ir nozīmīgs eksporta ienākumu avots, kas sniedz ievērojamu pienesumu valsts </w:t>
      </w:r>
      <w:r w:rsidR="00E005F5" w:rsidRPr="00267BCC">
        <w:rPr>
          <w:rFonts w:eastAsia="Calibri"/>
          <w:bCs/>
          <w:szCs w:val="28"/>
          <w:lang w:val="lv-LV" w:eastAsia="ja-JP"/>
        </w:rPr>
        <w:t>IKP</w:t>
      </w:r>
      <w:r w:rsidRPr="00267BCC">
        <w:rPr>
          <w:rFonts w:eastAsia="Calibri"/>
          <w:bCs/>
          <w:szCs w:val="28"/>
          <w:lang w:val="lv-LV" w:eastAsia="ja-JP"/>
        </w:rPr>
        <w:t>.</w:t>
      </w:r>
    </w:p>
    <w:p w14:paraId="4964090D" w14:textId="77777777" w:rsidR="00A42101" w:rsidRPr="00267BCC" w:rsidRDefault="00A42101" w:rsidP="00267BCC">
      <w:pPr>
        <w:ind w:firstLine="720"/>
        <w:jc w:val="both"/>
        <w:rPr>
          <w:rFonts w:eastAsia="Calibri"/>
          <w:bCs/>
          <w:szCs w:val="28"/>
          <w:lang w:val="lv-LV" w:eastAsia="ja-JP"/>
        </w:rPr>
      </w:pPr>
      <w:r w:rsidRPr="00267BCC">
        <w:rPr>
          <w:rFonts w:eastAsia="Calibri"/>
          <w:bCs/>
          <w:szCs w:val="28"/>
          <w:lang w:val="lv-LV" w:eastAsia="ja-JP"/>
        </w:rPr>
        <w:t>Ņemot vērā jaunos apstākļus tūrisma nozarē, sadarbībā ar profesionālajām un reģionālajām nozares apvienībām</w:t>
      </w:r>
      <w:r w:rsidR="00C344EB" w:rsidRPr="00267BCC">
        <w:rPr>
          <w:rFonts w:eastAsia="Calibri"/>
          <w:bCs/>
          <w:szCs w:val="28"/>
          <w:lang w:val="lv-LV" w:eastAsia="ja-JP"/>
        </w:rPr>
        <w:t xml:space="preserve">, kā arī </w:t>
      </w:r>
      <w:r w:rsidR="00EF064E" w:rsidRPr="00267BCC">
        <w:rPr>
          <w:rFonts w:eastAsia="Calibri"/>
          <w:bCs/>
          <w:szCs w:val="28"/>
          <w:lang w:val="lv-LV" w:eastAsia="ja-JP"/>
        </w:rPr>
        <w:t>citām iesaistītajām pusēm</w:t>
      </w:r>
      <w:r w:rsidR="00930195" w:rsidRPr="00267BCC">
        <w:rPr>
          <w:rFonts w:eastAsia="Calibri"/>
          <w:bCs/>
          <w:szCs w:val="28"/>
          <w:lang w:val="lv-LV" w:eastAsia="ja-JP"/>
        </w:rPr>
        <w:t xml:space="preserve"> ir</w:t>
      </w:r>
      <w:r w:rsidRPr="00267BCC">
        <w:rPr>
          <w:rFonts w:eastAsia="Calibri"/>
          <w:bCs/>
          <w:szCs w:val="28"/>
          <w:lang w:val="lv-LV" w:eastAsia="ja-JP"/>
        </w:rPr>
        <w:t xml:space="preserve"> izstrādāts Latvijas tūrisma </w:t>
      </w:r>
      <w:r w:rsidR="001179BD" w:rsidRPr="00267BCC">
        <w:rPr>
          <w:rFonts w:eastAsia="Calibri"/>
          <w:bCs/>
          <w:szCs w:val="28"/>
          <w:lang w:val="lv-LV" w:eastAsia="ja-JP"/>
        </w:rPr>
        <w:t>politikas</w:t>
      </w:r>
      <w:r w:rsidRPr="00267BCC">
        <w:rPr>
          <w:rFonts w:eastAsia="Calibri"/>
          <w:bCs/>
          <w:szCs w:val="28"/>
          <w:lang w:val="lv-LV" w:eastAsia="ja-JP"/>
        </w:rPr>
        <w:t xml:space="preserve"> plānošanas dokuments – Latvijas tūrisma attīstības pamatnostādnes 2014.-2020.gadam</w:t>
      </w:r>
      <w:r w:rsidR="00930195" w:rsidRPr="00267BCC">
        <w:rPr>
          <w:rFonts w:eastAsia="Calibri"/>
          <w:bCs/>
          <w:szCs w:val="28"/>
          <w:lang w:val="lv-LV" w:eastAsia="ja-JP"/>
        </w:rPr>
        <w:t xml:space="preserve"> (turpmāk – Pamatnostādnes)</w:t>
      </w:r>
      <w:r w:rsidRPr="00267BCC">
        <w:rPr>
          <w:rFonts w:eastAsia="Calibri"/>
          <w:bCs/>
          <w:szCs w:val="28"/>
          <w:lang w:val="lv-LV" w:eastAsia="ja-JP"/>
        </w:rPr>
        <w:t xml:space="preserve">. Dokumentā sniegts pārskats par tūrisma attīstības tendencēm pasaulē un Eiropā, </w:t>
      </w:r>
      <w:r w:rsidR="002B207D" w:rsidRPr="00267BCC">
        <w:rPr>
          <w:rFonts w:eastAsia="Calibri"/>
          <w:bCs/>
          <w:szCs w:val="28"/>
          <w:lang w:val="lv-LV" w:eastAsia="ja-JP"/>
        </w:rPr>
        <w:t xml:space="preserve">analizēta un </w:t>
      </w:r>
      <w:r w:rsidRPr="00267BCC">
        <w:rPr>
          <w:rFonts w:eastAsia="Calibri"/>
          <w:bCs/>
          <w:szCs w:val="28"/>
          <w:lang w:val="lv-LV" w:eastAsia="ja-JP"/>
        </w:rPr>
        <w:t xml:space="preserve">raksturota Latvijas tūrisma situācija, </w:t>
      </w:r>
      <w:r w:rsidR="00EF064E" w:rsidRPr="00267BCC">
        <w:rPr>
          <w:rFonts w:eastAsia="Calibri"/>
          <w:bCs/>
          <w:szCs w:val="28"/>
          <w:lang w:val="lv-LV" w:eastAsia="ja-JP"/>
        </w:rPr>
        <w:t xml:space="preserve">definēti </w:t>
      </w:r>
      <w:r w:rsidRPr="00267BCC">
        <w:rPr>
          <w:rFonts w:eastAsia="Calibri"/>
          <w:bCs/>
          <w:szCs w:val="28"/>
          <w:lang w:val="lv-LV" w:eastAsia="ja-JP"/>
        </w:rPr>
        <w:t>Latvijas tūrisma attīstības mērķi, kā arī noteikti Latvijas tūrisma produktu attīstības pamatprincipi</w:t>
      </w:r>
      <w:r w:rsidR="000948FD" w:rsidRPr="00267BCC">
        <w:rPr>
          <w:rFonts w:eastAsia="Calibri"/>
          <w:bCs/>
          <w:szCs w:val="28"/>
          <w:lang w:val="lv-LV" w:eastAsia="ja-JP"/>
        </w:rPr>
        <w:t xml:space="preserve"> un</w:t>
      </w:r>
      <w:r w:rsidR="002B207D" w:rsidRPr="00267BCC">
        <w:rPr>
          <w:rFonts w:eastAsia="Calibri"/>
          <w:bCs/>
          <w:szCs w:val="28"/>
          <w:lang w:val="lv-LV" w:eastAsia="ja-JP"/>
        </w:rPr>
        <w:t xml:space="preserve"> būtiskākie u</w:t>
      </w:r>
      <w:r w:rsidR="000948FD" w:rsidRPr="00267BCC">
        <w:rPr>
          <w:rFonts w:eastAsia="Calibri"/>
          <w:bCs/>
          <w:szCs w:val="28"/>
          <w:lang w:val="lv-LV" w:eastAsia="ja-JP"/>
        </w:rPr>
        <w:t>zdevumi tūrisma nozares attīstībai Latvijā</w:t>
      </w:r>
      <w:r w:rsidRPr="00267BCC">
        <w:rPr>
          <w:rFonts w:eastAsia="Calibri"/>
          <w:bCs/>
          <w:szCs w:val="28"/>
          <w:lang w:val="lv-LV" w:eastAsia="ja-JP"/>
        </w:rPr>
        <w:t>.</w:t>
      </w:r>
      <w:r w:rsidR="000948FD" w:rsidRPr="00267BCC">
        <w:rPr>
          <w:rFonts w:eastAsia="Calibri"/>
          <w:bCs/>
          <w:szCs w:val="28"/>
          <w:lang w:val="lv-LV" w:eastAsia="ja-JP"/>
        </w:rPr>
        <w:t xml:space="preserve"> Pamatnostādnes palīdzēs </w:t>
      </w:r>
      <w:r w:rsidR="00930195" w:rsidRPr="00267BCC">
        <w:rPr>
          <w:rFonts w:eastAsia="Calibri"/>
          <w:bCs/>
          <w:szCs w:val="28"/>
          <w:lang w:val="lv-LV" w:eastAsia="ja-JP"/>
        </w:rPr>
        <w:t xml:space="preserve">visām iesaistītajām </w:t>
      </w:r>
      <w:r w:rsidR="000948FD" w:rsidRPr="00267BCC">
        <w:rPr>
          <w:rFonts w:eastAsia="Calibri"/>
          <w:bCs/>
          <w:szCs w:val="28"/>
          <w:lang w:val="lv-LV" w:eastAsia="ja-JP"/>
        </w:rPr>
        <w:t>valsts un pašvaldību institūcijām plānot tūrism</w:t>
      </w:r>
      <w:r w:rsidR="00930195" w:rsidRPr="00267BCC">
        <w:rPr>
          <w:rFonts w:eastAsia="Calibri"/>
          <w:bCs/>
          <w:szCs w:val="28"/>
          <w:lang w:val="lv-LV" w:eastAsia="ja-JP"/>
        </w:rPr>
        <w:t>a aktivitātes un budžetu, kā arī</w:t>
      </w:r>
      <w:r w:rsidR="000948FD" w:rsidRPr="00267BCC">
        <w:rPr>
          <w:rFonts w:eastAsia="Calibri"/>
          <w:bCs/>
          <w:szCs w:val="28"/>
          <w:lang w:val="lv-LV" w:eastAsia="ja-JP"/>
        </w:rPr>
        <w:t xml:space="preserve"> tūrisma nozares pārstāvjiem sniegs vadlīnijas par definētajiem stratēģiskajiem tūrisma produktiem un teritorijām.</w:t>
      </w:r>
    </w:p>
    <w:p w14:paraId="4964090E" w14:textId="77777777" w:rsidR="00A42101" w:rsidRPr="00267BCC" w:rsidRDefault="00A42101" w:rsidP="00267BCC">
      <w:pPr>
        <w:ind w:firstLine="720"/>
        <w:jc w:val="both"/>
        <w:rPr>
          <w:rFonts w:eastAsia="Calibri"/>
          <w:bCs/>
          <w:szCs w:val="28"/>
          <w:lang w:val="lv-LV" w:eastAsia="ja-JP"/>
        </w:rPr>
      </w:pPr>
      <w:r w:rsidRPr="00267BCC">
        <w:rPr>
          <w:rFonts w:eastAsia="Calibri"/>
          <w:bCs/>
          <w:szCs w:val="28"/>
          <w:lang w:val="lv-LV" w:eastAsia="ja-JP"/>
        </w:rPr>
        <w:t xml:space="preserve">Lai nodrošinātu turpmāko tūrisma nozares attīstību, publiskās aktivitātes tūrisma nozarē nepieciešams fokusēt uz tūrisma produktiem un teritorijām, kas </w:t>
      </w:r>
      <w:r w:rsidR="00353099" w:rsidRPr="00267BCC">
        <w:rPr>
          <w:rFonts w:eastAsia="Calibri"/>
          <w:bCs/>
          <w:szCs w:val="28"/>
          <w:lang w:val="lv-LV" w:eastAsia="ja-JP"/>
        </w:rPr>
        <w:t xml:space="preserve">veiksmīgi </w:t>
      </w:r>
      <w:r w:rsidRPr="00267BCC">
        <w:rPr>
          <w:rFonts w:eastAsia="Calibri"/>
          <w:bCs/>
          <w:szCs w:val="28"/>
          <w:lang w:val="lv-LV" w:eastAsia="ja-JP"/>
        </w:rPr>
        <w:t xml:space="preserve">piesaista ceļotājus, mazina sezonalitātes efektu, </w:t>
      </w:r>
      <w:r w:rsidR="005B4D4E" w:rsidRPr="00267BCC">
        <w:rPr>
          <w:rFonts w:eastAsia="Calibri"/>
          <w:bCs/>
          <w:szCs w:val="28"/>
          <w:lang w:val="lv-LV" w:eastAsia="ja-JP"/>
        </w:rPr>
        <w:t xml:space="preserve">kā arī </w:t>
      </w:r>
      <w:r w:rsidRPr="00267BCC">
        <w:rPr>
          <w:rFonts w:eastAsia="Calibri"/>
          <w:bCs/>
          <w:szCs w:val="28"/>
          <w:lang w:val="lv-LV" w:eastAsia="ja-JP"/>
        </w:rPr>
        <w:t>nodrošina tūrisma p</w:t>
      </w:r>
      <w:r w:rsidR="00353099" w:rsidRPr="00267BCC">
        <w:rPr>
          <w:rFonts w:eastAsia="Calibri"/>
          <w:bCs/>
          <w:szCs w:val="28"/>
          <w:lang w:val="lv-LV" w:eastAsia="ja-JP"/>
        </w:rPr>
        <w:t>roduktu</w:t>
      </w:r>
      <w:r w:rsidR="00BE1154">
        <w:rPr>
          <w:rFonts w:eastAsia="Calibri"/>
          <w:bCs/>
          <w:szCs w:val="28"/>
          <w:lang w:val="lv-LV" w:eastAsia="ja-JP"/>
        </w:rPr>
        <w:t xml:space="preserve"> ienesīguma</w:t>
      </w:r>
      <w:r w:rsidRPr="00267BCC">
        <w:rPr>
          <w:rFonts w:eastAsia="Calibri"/>
          <w:bCs/>
          <w:szCs w:val="28"/>
          <w:lang w:val="lv-LV" w:eastAsia="ja-JP"/>
        </w:rPr>
        <w:t xml:space="preserve"> un eksporta pieaugumu.</w:t>
      </w:r>
    </w:p>
    <w:p w14:paraId="4964090F" w14:textId="77777777" w:rsidR="00A42101" w:rsidRPr="00267BCC" w:rsidRDefault="001179BD" w:rsidP="00267BCC">
      <w:pPr>
        <w:ind w:firstLine="720"/>
        <w:jc w:val="both"/>
        <w:rPr>
          <w:rFonts w:eastAsia="Calibri"/>
          <w:bCs/>
          <w:szCs w:val="28"/>
          <w:lang w:val="lv-LV" w:eastAsia="ja-JP"/>
        </w:rPr>
      </w:pPr>
      <w:r w:rsidRPr="00267BCC">
        <w:rPr>
          <w:rFonts w:eastAsia="Calibri"/>
          <w:bCs/>
          <w:szCs w:val="28"/>
          <w:lang w:val="lv-LV" w:eastAsia="ja-JP"/>
        </w:rPr>
        <w:t>Pamatnostādņu fokusa</w:t>
      </w:r>
      <w:r w:rsidR="00A42101" w:rsidRPr="00267BCC">
        <w:rPr>
          <w:rFonts w:eastAsia="Calibri"/>
          <w:bCs/>
          <w:szCs w:val="28"/>
          <w:lang w:val="lv-LV" w:eastAsia="ja-JP"/>
        </w:rPr>
        <w:t xml:space="preserve"> identificēšana, uzdevumu un mērķu formulēšana </w:t>
      </w:r>
      <w:r w:rsidR="005B4D4E" w:rsidRPr="00267BCC">
        <w:rPr>
          <w:rFonts w:eastAsia="Calibri"/>
          <w:bCs/>
          <w:szCs w:val="28"/>
          <w:lang w:val="lv-LV" w:eastAsia="ja-JP"/>
        </w:rPr>
        <w:t>galvenokārt</w:t>
      </w:r>
      <w:r w:rsidR="00A42101" w:rsidRPr="00267BCC">
        <w:rPr>
          <w:rFonts w:eastAsia="Calibri"/>
          <w:bCs/>
          <w:szCs w:val="28"/>
          <w:lang w:val="lv-LV" w:eastAsia="ja-JP"/>
        </w:rPr>
        <w:t xml:space="preserve"> balstās uz konceptuālajiem pamatiem, kas ietverti Latvijas tūrisma mārketinga stratēģijā 2010.-2015.gadam, Latvijas preču un pakalpojumu eksporta veicināšanas un ārvalstu investīciju piesaistes pamatnostādnē</w:t>
      </w:r>
      <w:r w:rsidR="001D38CB" w:rsidRPr="00267BCC">
        <w:rPr>
          <w:rFonts w:eastAsia="Calibri"/>
          <w:bCs/>
          <w:szCs w:val="28"/>
          <w:lang w:val="lv-LV" w:eastAsia="ja-JP"/>
        </w:rPr>
        <w:t>s 2013.-2019.gadam un Nacionālajā</w:t>
      </w:r>
      <w:r w:rsidR="00A42101" w:rsidRPr="00267BCC">
        <w:rPr>
          <w:rFonts w:eastAsia="Calibri"/>
          <w:bCs/>
          <w:szCs w:val="28"/>
          <w:lang w:val="lv-LV" w:eastAsia="ja-JP"/>
        </w:rPr>
        <w:t xml:space="preserve"> attīstības plānā 2014.-2020.gadam. Tiek ievēroti arī principi, kas noteikti Eiropas Komisijas 2013.gada februārī izstrādātājās rekomendācijās par Eiropas tūrisma rādītāju sistēmu ilgtspējīgai attīstībai galamērķu līmenī (</w:t>
      </w:r>
      <w:r w:rsidR="00A42101" w:rsidRPr="00267BCC">
        <w:rPr>
          <w:rFonts w:eastAsia="Calibri"/>
          <w:bCs/>
          <w:i/>
          <w:szCs w:val="28"/>
          <w:lang w:val="lv-LV" w:eastAsia="ja-JP"/>
        </w:rPr>
        <w:t>European Tourism Indicators System (ETIS): for Sustainable Management at Destination Level</w:t>
      </w:r>
      <w:r w:rsidR="00A42101" w:rsidRPr="00267BCC">
        <w:rPr>
          <w:rFonts w:eastAsia="Calibri"/>
          <w:bCs/>
          <w:szCs w:val="28"/>
          <w:lang w:val="lv-LV" w:eastAsia="ja-JP"/>
        </w:rPr>
        <w:t xml:space="preserve">), t.sk. nepieciešamība pēc specializācijas, nostiprinot un uzlabojot ilgtspējīgu tūrisma attīstību. </w:t>
      </w:r>
    </w:p>
    <w:p w14:paraId="49640910" w14:textId="77777777" w:rsidR="00A42101" w:rsidRPr="00267BCC" w:rsidRDefault="00A42101" w:rsidP="00267BCC">
      <w:pPr>
        <w:ind w:firstLine="720"/>
        <w:jc w:val="both"/>
        <w:rPr>
          <w:rFonts w:eastAsia="Calibri"/>
          <w:bCs/>
          <w:szCs w:val="28"/>
          <w:lang w:val="lv-LV" w:eastAsia="ja-JP"/>
        </w:rPr>
      </w:pPr>
      <w:r w:rsidRPr="00267BCC">
        <w:rPr>
          <w:rFonts w:eastAsia="Calibri"/>
          <w:bCs/>
          <w:szCs w:val="28"/>
          <w:lang w:val="lv-LV" w:eastAsia="ja-JP"/>
        </w:rPr>
        <w:t xml:space="preserve">Galvenais uzdevums ilgtspējīgas tūrisma pārvaldības nodrošināšanai ir apzināt pieejamos tūrisma resursus, to izmantošanas robežas un līdzsvarot tūrisma nozares attīstību tādā veidā, lai panāktu ieguvumus ekonomiskajā, sociālajā, kā arī </w:t>
      </w:r>
      <w:r w:rsidR="00EB41CE" w:rsidRPr="00267BCC">
        <w:rPr>
          <w:rFonts w:eastAsia="Calibri"/>
          <w:bCs/>
          <w:szCs w:val="28"/>
          <w:lang w:val="lv-LV" w:eastAsia="ja-JP"/>
        </w:rPr>
        <w:t xml:space="preserve">vides aizsardzības </w:t>
      </w:r>
      <w:r w:rsidRPr="00267BCC">
        <w:rPr>
          <w:rFonts w:eastAsia="Calibri"/>
          <w:bCs/>
          <w:szCs w:val="28"/>
          <w:lang w:val="lv-LV" w:eastAsia="ja-JP"/>
        </w:rPr>
        <w:t xml:space="preserve">sfērā. </w:t>
      </w:r>
    </w:p>
    <w:p w14:paraId="49640911" w14:textId="77777777" w:rsidR="00A42101" w:rsidRPr="00267BCC" w:rsidRDefault="00E90399" w:rsidP="00267BCC">
      <w:pPr>
        <w:ind w:firstLine="720"/>
        <w:jc w:val="both"/>
        <w:rPr>
          <w:rFonts w:eastAsia="Calibri"/>
          <w:bCs/>
          <w:szCs w:val="28"/>
          <w:lang w:val="lv-LV" w:eastAsia="ja-JP"/>
        </w:rPr>
      </w:pPr>
      <w:r w:rsidRPr="00263B9F">
        <w:rPr>
          <w:rFonts w:eastAsia="Calibri"/>
          <w:bCs/>
          <w:szCs w:val="28"/>
          <w:lang w:val="lv-LV" w:eastAsia="ja-JP"/>
        </w:rPr>
        <w:t xml:space="preserve">Kā eksportam, tā arī iekšējam patēriņam </w:t>
      </w:r>
      <w:r w:rsidR="00A42101" w:rsidRPr="00263B9F">
        <w:rPr>
          <w:rFonts w:eastAsia="Calibri"/>
          <w:bCs/>
          <w:szCs w:val="28"/>
          <w:lang w:val="lv-LV" w:eastAsia="ja-JP"/>
        </w:rPr>
        <w:t xml:space="preserve">nepieciešams būtiski uzlabot </w:t>
      </w:r>
      <w:r w:rsidRPr="00263B9F">
        <w:rPr>
          <w:rFonts w:eastAsia="Calibri"/>
          <w:bCs/>
          <w:szCs w:val="28"/>
          <w:lang w:val="lv-LV" w:eastAsia="ja-JP"/>
        </w:rPr>
        <w:t>Latvijas tūrisma nozares</w:t>
      </w:r>
      <w:r w:rsidRPr="00267BCC">
        <w:rPr>
          <w:rFonts w:eastAsia="Calibri"/>
          <w:bCs/>
          <w:szCs w:val="28"/>
          <w:lang w:val="lv-LV" w:eastAsia="ja-JP"/>
        </w:rPr>
        <w:t xml:space="preserve"> </w:t>
      </w:r>
      <w:r w:rsidR="00A42101" w:rsidRPr="00267BCC">
        <w:rPr>
          <w:rFonts w:eastAsia="Calibri"/>
          <w:bCs/>
          <w:szCs w:val="28"/>
          <w:lang w:val="lv-LV" w:eastAsia="ja-JP"/>
        </w:rPr>
        <w:t>konkurētspēju un ilgtspēju, ievērojot kvalitātes un sociālās atbildības pret vidi un kultūru aspektus. Viens no svarīgākajiem Pamatnostādņu mērķiem ir palielināt tūrisma eksporta groza ienesīgumu, ko nosaka produktu un pakalpojumu kompozīcija, tādējādi Pamatnostādnes fokusētas uz ienesīgāku tūrisma produktu un pakalpojumu veidu attīstību.</w:t>
      </w:r>
    </w:p>
    <w:p w14:paraId="49640912" w14:textId="77777777" w:rsidR="00CF48D5" w:rsidRPr="00267BCC" w:rsidRDefault="00CF48D5" w:rsidP="00267BCC">
      <w:pPr>
        <w:rPr>
          <w:rFonts w:eastAsia="Calibri"/>
          <w:b/>
          <w:bCs/>
          <w:sz w:val="28"/>
          <w:szCs w:val="28"/>
          <w:lang w:val="lv-LV" w:eastAsia="ja-JP"/>
        </w:rPr>
      </w:pPr>
      <w:r w:rsidRPr="00267BCC">
        <w:rPr>
          <w:rFonts w:eastAsia="Calibri"/>
          <w:b/>
          <w:bCs/>
          <w:szCs w:val="28"/>
          <w:lang w:val="lv-LV" w:eastAsia="ja-JP"/>
        </w:rPr>
        <w:br w:type="page"/>
      </w:r>
    </w:p>
    <w:p w14:paraId="49640913" w14:textId="77777777" w:rsidR="00783831" w:rsidRPr="00267BCC" w:rsidRDefault="00783831" w:rsidP="00267BCC">
      <w:pPr>
        <w:pStyle w:val="Heading1"/>
        <w:numPr>
          <w:ilvl w:val="0"/>
          <w:numId w:val="24"/>
        </w:numPr>
        <w:rPr>
          <w:rFonts w:eastAsia="Calibri"/>
        </w:rPr>
      </w:pPr>
      <w:bookmarkStart w:id="3" w:name="_Toc381256646"/>
      <w:r w:rsidRPr="00267BCC">
        <w:rPr>
          <w:rFonts w:eastAsia="Calibri"/>
        </w:rPr>
        <w:lastRenderedPageBreak/>
        <w:t>Latvijas tūrisma attīstības mērķi, apakšmērķi</w:t>
      </w:r>
      <w:bookmarkEnd w:id="2"/>
      <w:r w:rsidRPr="00267BCC">
        <w:rPr>
          <w:rFonts w:eastAsia="Calibri"/>
        </w:rPr>
        <w:t xml:space="preserve"> un rezultāti</w:t>
      </w:r>
      <w:bookmarkEnd w:id="3"/>
    </w:p>
    <w:p w14:paraId="49640914" w14:textId="77777777" w:rsidR="00CF48D5" w:rsidRPr="00267BCC" w:rsidRDefault="00CF48D5" w:rsidP="00267BCC">
      <w:pPr>
        <w:ind w:firstLine="567"/>
        <w:jc w:val="both"/>
        <w:rPr>
          <w:lang w:val="lv-LV"/>
        </w:rPr>
      </w:pPr>
    </w:p>
    <w:p w14:paraId="49640915" w14:textId="77777777" w:rsidR="00783831" w:rsidRPr="00267BCC" w:rsidRDefault="00930195" w:rsidP="00267BCC">
      <w:pPr>
        <w:ind w:firstLine="720"/>
        <w:jc w:val="both"/>
        <w:rPr>
          <w:lang w:val="lv-LV"/>
        </w:rPr>
      </w:pPr>
      <w:r w:rsidRPr="00267BCC">
        <w:rPr>
          <w:lang w:val="lv-LV"/>
        </w:rPr>
        <w:t>Pamatnostādnes</w:t>
      </w:r>
      <w:r w:rsidR="00783831" w:rsidRPr="00267BCC">
        <w:rPr>
          <w:lang w:val="lv-LV"/>
        </w:rPr>
        <w:t xml:space="preserve"> ir vidēja termiņa politikas plānošanas dokuments. </w:t>
      </w:r>
    </w:p>
    <w:p w14:paraId="49640916" w14:textId="77777777" w:rsidR="00783831" w:rsidRPr="00267BCC" w:rsidRDefault="00783831" w:rsidP="00267BCC">
      <w:pPr>
        <w:ind w:firstLine="720"/>
        <w:jc w:val="both"/>
        <w:rPr>
          <w:lang w:val="lv-LV"/>
        </w:rPr>
      </w:pPr>
      <w:r w:rsidRPr="00267BCC">
        <w:rPr>
          <w:lang w:val="lv-LV"/>
        </w:rPr>
        <w:t xml:space="preserve">Tūrisma attīstības politikas </w:t>
      </w:r>
      <w:r w:rsidRPr="00267BCC">
        <w:rPr>
          <w:b/>
          <w:u w:val="single"/>
          <w:lang w:val="lv-LV"/>
        </w:rPr>
        <w:t>mērķis</w:t>
      </w:r>
      <w:r w:rsidRPr="00267BCC">
        <w:rPr>
          <w:lang w:val="lv-LV"/>
        </w:rPr>
        <w:t xml:space="preserve"> ir ilgtspējīga Latvijas tūrisma attīs</w:t>
      </w:r>
      <w:r w:rsidR="007D6DA1" w:rsidRPr="00267BCC">
        <w:rPr>
          <w:lang w:val="lv-LV"/>
        </w:rPr>
        <w:t>tība, veicinot tūrisma produktu</w:t>
      </w:r>
      <w:r w:rsidRPr="00267BCC">
        <w:rPr>
          <w:lang w:val="lv-LV"/>
        </w:rPr>
        <w:t xml:space="preserve"> konkurētspējas palielināšanos ārvalstu tirgos.</w:t>
      </w:r>
    </w:p>
    <w:p w14:paraId="4964091B" w14:textId="69BA87F3" w:rsidR="00783831" w:rsidRPr="005965A7" w:rsidRDefault="00783831" w:rsidP="005965A7">
      <w:pPr>
        <w:jc w:val="both"/>
        <w:rPr>
          <w:bCs/>
          <w:lang w:val="lv-LV"/>
        </w:rPr>
      </w:pPr>
    </w:p>
    <w:p w14:paraId="4964091C" w14:textId="77777777" w:rsidR="00783831" w:rsidRPr="00267BCC" w:rsidRDefault="0091617B" w:rsidP="00267BCC">
      <w:pPr>
        <w:ind w:firstLine="567"/>
        <w:jc w:val="both"/>
        <w:rPr>
          <w:b/>
          <w:bCs/>
          <w:u w:val="single"/>
          <w:lang w:val="lv-LV"/>
        </w:rPr>
      </w:pPr>
      <w:r w:rsidRPr="00267BCC">
        <w:rPr>
          <w:b/>
          <w:bCs/>
          <w:u w:val="single"/>
          <w:lang w:val="lv-LV"/>
        </w:rPr>
        <w:t>Galvenie rīcības virzieni</w:t>
      </w:r>
      <w:r w:rsidR="00783831" w:rsidRPr="00267BCC">
        <w:rPr>
          <w:b/>
          <w:bCs/>
          <w:u w:val="single"/>
          <w:lang w:val="lv-LV"/>
        </w:rPr>
        <w:t>:</w:t>
      </w:r>
    </w:p>
    <w:p w14:paraId="4964091D" w14:textId="77777777" w:rsidR="00783831" w:rsidRPr="00263B9F" w:rsidRDefault="00783831" w:rsidP="00267BCC">
      <w:pPr>
        <w:pStyle w:val="ListParagraph"/>
        <w:numPr>
          <w:ilvl w:val="0"/>
          <w:numId w:val="30"/>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Veicināt konkurētspējīgu tūrisma produktu attīstī</w:t>
      </w:r>
      <w:r w:rsidR="00930195" w:rsidRPr="00267BCC">
        <w:rPr>
          <w:rFonts w:ascii="Times New Roman" w:hAnsi="Times New Roman"/>
          <w:sz w:val="24"/>
          <w:szCs w:val="24"/>
          <w:lang w:val="lv-LV"/>
        </w:rPr>
        <w:t xml:space="preserve">bu, atbalstot jaunu, inovatīvu, </w:t>
      </w:r>
      <w:r w:rsidR="00CF48D5" w:rsidRPr="00267BCC">
        <w:rPr>
          <w:rFonts w:ascii="Times New Roman" w:hAnsi="Times New Roman"/>
          <w:sz w:val="24"/>
          <w:szCs w:val="24"/>
          <w:lang w:val="lv-LV"/>
        </w:rPr>
        <w:t>ar augstāku</w:t>
      </w:r>
      <w:r w:rsidRPr="00267BCC">
        <w:rPr>
          <w:rFonts w:ascii="Times New Roman" w:hAnsi="Times New Roman"/>
          <w:sz w:val="24"/>
          <w:szCs w:val="24"/>
          <w:lang w:val="lv-LV"/>
        </w:rPr>
        <w:t xml:space="preserve"> pievienoto vērtību</w:t>
      </w:r>
      <w:r w:rsidR="000948FD" w:rsidRPr="00267BCC">
        <w:rPr>
          <w:rFonts w:ascii="Times New Roman" w:hAnsi="Times New Roman"/>
          <w:sz w:val="24"/>
          <w:szCs w:val="24"/>
          <w:lang w:val="lv-LV"/>
        </w:rPr>
        <w:t xml:space="preserve"> tūrisma produktu</w:t>
      </w:r>
      <w:r w:rsidRPr="00267BCC">
        <w:rPr>
          <w:rFonts w:ascii="Times New Roman" w:hAnsi="Times New Roman"/>
          <w:sz w:val="24"/>
          <w:szCs w:val="24"/>
          <w:lang w:val="lv-LV"/>
        </w:rPr>
        <w:t xml:space="preserve"> izstrādi</w:t>
      </w:r>
      <w:r w:rsidR="0091617B" w:rsidRPr="00263B9F">
        <w:rPr>
          <w:rFonts w:ascii="Times New Roman" w:hAnsi="Times New Roman"/>
          <w:sz w:val="24"/>
          <w:szCs w:val="24"/>
          <w:lang w:val="lv-LV"/>
        </w:rPr>
        <w:t>, t.sk. attīstot infrastruktūru tūrisma izaugsmei, veicinot reģionālo tūrisma puduru veidošanos un Latvijas tūrisma produkta iekļaušanu kopējā Baltijas jūras reģiona valstu tūrisma piedāvājumā</w:t>
      </w:r>
      <w:r w:rsidRPr="00263B9F">
        <w:rPr>
          <w:rFonts w:ascii="Times New Roman" w:hAnsi="Times New Roman"/>
          <w:sz w:val="24"/>
          <w:szCs w:val="24"/>
          <w:lang w:val="lv-LV"/>
        </w:rPr>
        <w:t>;</w:t>
      </w:r>
    </w:p>
    <w:p w14:paraId="4964091E" w14:textId="77777777" w:rsidR="0091617B" w:rsidRPr="00263B9F" w:rsidRDefault="0091617B" w:rsidP="00267BCC">
      <w:pPr>
        <w:pStyle w:val="ListParagraph"/>
        <w:numPr>
          <w:ilvl w:val="0"/>
          <w:numId w:val="30"/>
        </w:numPr>
        <w:spacing w:line="240" w:lineRule="auto"/>
        <w:contextualSpacing w:val="0"/>
        <w:jc w:val="both"/>
        <w:rPr>
          <w:rFonts w:ascii="Times New Roman" w:hAnsi="Times New Roman"/>
          <w:sz w:val="24"/>
          <w:szCs w:val="24"/>
          <w:lang w:val="lv-LV"/>
        </w:rPr>
      </w:pPr>
      <w:r w:rsidRPr="00263B9F">
        <w:rPr>
          <w:rFonts w:ascii="Times New Roman" w:hAnsi="Times New Roman"/>
          <w:sz w:val="24"/>
          <w:szCs w:val="24"/>
          <w:lang w:val="lv-LV"/>
        </w:rPr>
        <w:t>Veicināt tūrisma produktu kvalitātes uzlabošanos, t.sk. nodrošinot labāku nozares tiesisko regulējumu un atbalstu gan tūrisma komersantiem, gan produktu patērētājiem;</w:t>
      </w:r>
    </w:p>
    <w:p w14:paraId="4964091F" w14:textId="77777777" w:rsidR="0091617B" w:rsidRPr="00263B9F" w:rsidRDefault="0091617B" w:rsidP="00267BCC">
      <w:pPr>
        <w:pStyle w:val="ListParagraph"/>
        <w:numPr>
          <w:ilvl w:val="0"/>
          <w:numId w:val="30"/>
        </w:numPr>
        <w:spacing w:line="240" w:lineRule="auto"/>
        <w:contextualSpacing w:val="0"/>
        <w:jc w:val="both"/>
        <w:rPr>
          <w:rFonts w:ascii="Times New Roman" w:hAnsi="Times New Roman"/>
          <w:sz w:val="24"/>
          <w:szCs w:val="24"/>
          <w:lang w:val="lv-LV"/>
        </w:rPr>
      </w:pPr>
      <w:r w:rsidRPr="00263B9F">
        <w:rPr>
          <w:rFonts w:ascii="Times New Roman" w:hAnsi="Times New Roman"/>
          <w:sz w:val="24"/>
          <w:szCs w:val="24"/>
          <w:lang w:val="lv-LV"/>
        </w:rPr>
        <w:t>Nodrošināt Latvijas tūrisma piedāvājuma atpazīstamību mērķa tirgos, īpaši izmantojot mūsdienīgus saziņas līdzekļus.</w:t>
      </w:r>
    </w:p>
    <w:p w14:paraId="49640920" w14:textId="77777777" w:rsidR="001C67CD" w:rsidRPr="00267BCC" w:rsidRDefault="001C67CD" w:rsidP="00267BCC">
      <w:pPr>
        <w:jc w:val="both"/>
        <w:rPr>
          <w:rFonts w:eastAsia="Calibri"/>
          <w:u w:val="single"/>
          <w:lang w:val="lv-LV" w:eastAsia="en-US"/>
        </w:rPr>
      </w:pPr>
    </w:p>
    <w:p w14:paraId="49640921" w14:textId="77777777" w:rsidR="00783831" w:rsidRPr="00267BCC" w:rsidRDefault="009A0D18" w:rsidP="00267BCC">
      <w:pPr>
        <w:ind w:firstLine="720"/>
        <w:jc w:val="both"/>
        <w:rPr>
          <w:b/>
          <w:u w:val="single"/>
          <w:lang w:val="lv-LV"/>
        </w:rPr>
      </w:pPr>
      <w:r w:rsidRPr="00267BCC">
        <w:rPr>
          <w:b/>
          <w:u w:val="single"/>
          <w:lang w:val="lv-LV"/>
        </w:rPr>
        <w:t>Sasniedzamie politikas r</w:t>
      </w:r>
      <w:r w:rsidR="00783831" w:rsidRPr="00267BCC">
        <w:rPr>
          <w:b/>
          <w:u w:val="single"/>
          <w:lang w:val="lv-LV"/>
        </w:rPr>
        <w:t>ezultāti</w:t>
      </w:r>
      <w:r w:rsidRPr="00267BCC">
        <w:rPr>
          <w:b/>
          <w:u w:val="single"/>
          <w:lang w:val="lv-LV"/>
        </w:rPr>
        <w:t xml:space="preserve"> un rezultatīvie rādītāji</w:t>
      </w:r>
      <w:r w:rsidR="00783831" w:rsidRPr="00267BCC">
        <w:rPr>
          <w:b/>
          <w:u w:val="single"/>
          <w:lang w:val="lv-LV"/>
        </w:rPr>
        <w:t>:</w:t>
      </w:r>
    </w:p>
    <w:tbl>
      <w:tblPr>
        <w:tblStyle w:val="TableGrid"/>
        <w:tblW w:w="5000" w:type="pct"/>
        <w:jc w:val="center"/>
        <w:tblLook w:val="04A0" w:firstRow="1" w:lastRow="0" w:firstColumn="1" w:lastColumn="0" w:noHBand="0" w:noVBand="1"/>
      </w:tblPr>
      <w:tblGrid>
        <w:gridCol w:w="2132"/>
        <w:gridCol w:w="2665"/>
        <w:gridCol w:w="1057"/>
        <w:gridCol w:w="1189"/>
        <w:gridCol w:w="1122"/>
        <w:gridCol w:w="1122"/>
      </w:tblGrid>
      <w:tr w:rsidR="00051389" w:rsidRPr="00267BCC" w14:paraId="49640928" w14:textId="77777777" w:rsidTr="00121450">
        <w:trPr>
          <w:jc w:val="center"/>
        </w:trPr>
        <w:tc>
          <w:tcPr>
            <w:tcW w:w="1148" w:type="pct"/>
            <w:vAlign w:val="center"/>
          </w:tcPr>
          <w:p w14:paraId="49640922" w14:textId="77777777" w:rsidR="009A0D18" w:rsidRPr="00267BCC" w:rsidRDefault="009A0D18" w:rsidP="00267BCC">
            <w:pPr>
              <w:jc w:val="center"/>
              <w:rPr>
                <w:b/>
                <w:sz w:val="20"/>
                <w:szCs w:val="20"/>
                <w:lang w:val="lv-LV"/>
              </w:rPr>
            </w:pPr>
          </w:p>
        </w:tc>
        <w:tc>
          <w:tcPr>
            <w:tcW w:w="1435" w:type="pct"/>
            <w:shd w:val="clear" w:color="auto" w:fill="D9D9D9" w:themeFill="background1" w:themeFillShade="D9"/>
            <w:vAlign w:val="center"/>
          </w:tcPr>
          <w:p w14:paraId="49640923" w14:textId="77777777" w:rsidR="009A0D18" w:rsidRPr="00267BCC" w:rsidRDefault="009A0D18" w:rsidP="00267BCC">
            <w:pPr>
              <w:jc w:val="center"/>
              <w:rPr>
                <w:b/>
                <w:sz w:val="20"/>
                <w:szCs w:val="20"/>
                <w:lang w:val="lv-LV"/>
              </w:rPr>
            </w:pPr>
            <w:r w:rsidRPr="00267BCC">
              <w:rPr>
                <w:b/>
                <w:sz w:val="20"/>
                <w:szCs w:val="20"/>
                <w:lang w:val="lv-LV"/>
              </w:rPr>
              <w:t>Rādītājs</w:t>
            </w:r>
          </w:p>
        </w:tc>
        <w:tc>
          <w:tcPr>
            <w:tcW w:w="569" w:type="pct"/>
            <w:shd w:val="clear" w:color="auto" w:fill="D9D9D9" w:themeFill="background1" w:themeFillShade="D9"/>
            <w:vAlign w:val="center"/>
          </w:tcPr>
          <w:p w14:paraId="49640924" w14:textId="77777777" w:rsidR="009A0D18" w:rsidRPr="00267BCC" w:rsidRDefault="009A0D18" w:rsidP="00267BCC">
            <w:pPr>
              <w:jc w:val="center"/>
              <w:rPr>
                <w:b/>
                <w:sz w:val="20"/>
                <w:szCs w:val="20"/>
                <w:lang w:val="lv-LV"/>
              </w:rPr>
            </w:pPr>
            <w:r w:rsidRPr="00267BCC">
              <w:rPr>
                <w:b/>
                <w:sz w:val="20"/>
                <w:szCs w:val="20"/>
                <w:lang w:val="lv-LV"/>
              </w:rPr>
              <w:t>2005.gads</w:t>
            </w:r>
          </w:p>
        </w:tc>
        <w:tc>
          <w:tcPr>
            <w:tcW w:w="640" w:type="pct"/>
            <w:shd w:val="clear" w:color="auto" w:fill="D9D9D9" w:themeFill="background1" w:themeFillShade="D9"/>
            <w:vAlign w:val="center"/>
          </w:tcPr>
          <w:p w14:paraId="49640925" w14:textId="77777777" w:rsidR="009A0D18" w:rsidRPr="00267BCC" w:rsidRDefault="009A0D18" w:rsidP="00267BCC">
            <w:pPr>
              <w:jc w:val="center"/>
              <w:rPr>
                <w:b/>
                <w:sz w:val="20"/>
                <w:szCs w:val="20"/>
                <w:lang w:val="lv-LV"/>
              </w:rPr>
            </w:pPr>
            <w:r w:rsidRPr="00267BCC">
              <w:rPr>
                <w:b/>
                <w:sz w:val="20"/>
                <w:szCs w:val="20"/>
                <w:lang w:val="lv-LV"/>
              </w:rPr>
              <w:t>Bāzes vērtība (2012.gads)</w:t>
            </w:r>
          </w:p>
        </w:tc>
        <w:tc>
          <w:tcPr>
            <w:tcW w:w="604" w:type="pct"/>
            <w:shd w:val="clear" w:color="auto" w:fill="D9D9D9" w:themeFill="background1" w:themeFillShade="D9"/>
            <w:vAlign w:val="center"/>
          </w:tcPr>
          <w:p w14:paraId="49640926" w14:textId="77777777" w:rsidR="009A0D18" w:rsidRPr="00267BCC" w:rsidRDefault="009A0D18" w:rsidP="00267BCC">
            <w:pPr>
              <w:jc w:val="center"/>
              <w:rPr>
                <w:b/>
                <w:sz w:val="20"/>
                <w:szCs w:val="20"/>
                <w:lang w:val="lv-LV"/>
              </w:rPr>
            </w:pPr>
            <w:r w:rsidRPr="00267BCC">
              <w:rPr>
                <w:b/>
                <w:sz w:val="20"/>
                <w:szCs w:val="20"/>
                <w:lang w:val="lv-LV"/>
              </w:rPr>
              <w:t>2017.gads</w:t>
            </w:r>
          </w:p>
        </w:tc>
        <w:tc>
          <w:tcPr>
            <w:tcW w:w="604" w:type="pct"/>
            <w:shd w:val="clear" w:color="auto" w:fill="D9D9D9" w:themeFill="background1" w:themeFillShade="D9"/>
            <w:vAlign w:val="center"/>
          </w:tcPr>
          <w:p w14:paraId="49640927" w14:textId="77777777" w:rsidR="009A0D18" w:rsidRPr="00267BCC" w:rsidRDefault="009A0D18" w:rsidP="00267BCC">
            <w:pPr>
              <w:jc w:val="center"/>
              <w:rPr>
                <w:b/>
                <w:sz w:val="20"/>
                <w:szCs w:val="20"/>
                <w:lang w:val="lv-LV"/>
              </w:rPr>
            </w:pPr>
            <w:r w:rsidRPr="00267BCC">
              <w:rPr>
                <w:b/>
                <w:sz w:val="20"/>
                <w:szCs w:val="20"/>
                <w:lang w:val="lv-LV"/>
              </w:rPr>
              <w:t>2020.gads</w:t>
            </w:r>
          </w:p>
        </w:tc>
      </w:tr>
      <w:tr w:rsidR="00051389" w:rsidRPr="00267BCC" w14:paraId="49640930" w14:textId="77777777" w:rsidTr="00121450">
        <w:trPr>
          <w:trHeight w:val="987"/>
          <w:jc w:val="center"/>
        </w:trPr>
        <w:tc>
          <w:tcPr>
            <w:tcW w:w="1148" w:type="pct"/>
            <w:shd w:val="clear" w:color="auto" w:fill="D9D9D9" w:themeFill="background1" w:themeFillShade="D9"/>
            <w:vAlign w:val="center"/>
          </w:tcPr>
          <w:p w14:paraId="49640929" w14:textId="77777777" w:rsidR="009A0D18" w:rsidRPr="00263B9F" w:rsidRDefault="00C17F8F" w:rsidP="00267BCC">
            <w:pPr>
              <w:pStyle w:val="ListParagraph"/>
              <w:spacing w:line="240" w:lineRule="auto"/>
              <w:ind w:left="0"/>
              <w:contextualSpacing w:val="0"/>
              <w:rPr>
                <w:rFonts w:ascii="Times New Roman" w:hAnsi="Times New Roman"/>
                <w:sz w:val="20"/>
                <w:szCs w:val="20"/>
                <w:lang w:val="lv-LV"/>
              </w:rPr>
            </w:pPr>
            <w:r w:rsidRPr="00263B9F">
              <w:rPr>
                <w:rFonts w:ascii="Times New Roman" w:hAnsi="Times New Roman"/>
                <w:sz w:val="20"/>
                <w:szCs w:val="20"/>
                <w:lang w:val="lv-LV"/>
              </w:rPr>
              <w:t xml:space="preserve">1. </w:t>
            </w:r>
            <w:r w:rsidR="009A0D18" w:rsidRPr="00263B9F">
              <w:rPr>
                <w:rFonts w:ascii="Times New Roman" w:hAnsi="Times New Roman"/>
                <w:sz w:val="20"/>
                <w:szCs w:val="20"/>
                <w:lang w:val="lv-LV"/>
              </w:rPr>
              <w:t>Ārvalstu vairākdienu ceļotāju skaita pieaugums.</w:t>
            </w:r>
          </w:p>
        </w:tc>
        <w:tc>
          <w:tcPr>
            <w:tcW w:w="1435" w:type="pct"/>
            <w:vAlign w:val="center"/>
          </w:tcPr>
          <w:p w14:paraId="4964092A" w14:textId="77777777" w:rsidR="009A0D18" w:rsidRPr="00267BCC" w:rsidRDefault="009A0D18" w:rsidP="00267BCC">
            <w:pPr>
              <w:jc w:val="center"/>
              <w:rPr>
                <w:sz w:val="20"/>
                <w:szCs w:val="20"/>
                <w:lang w:val="lv-LV"/>
              </w:rPr>
            </w:pPr>
            <w:r w:rsidRPr="00267BCC">
              <w:rPr>
                <w:sz w:val="20"/>
                <w:szCs w:val="20"/>
                <w:lang w:val="lv-LV"/>
              </w:rPr>
              <w:t>Ārvalstu vairākdienu ceļotāju skaits, tūkst.</w:t>
            </w:r>
          </w:p>
        </w:tc>
        <w:tc>
          <w:tcPr>
            <w:tcW w:w="569" w:type="pct"/>
            <w:vAlign w:val="center"/>
          </w:tcPr>
          <w:p w14:paraId="4964092B" w14:textId="77777777" w:rsidR="009A0D18" w:rsidRPr="00267BCC" w:rsidRDefault="009A0D18" w:rsidP="00267BCC">
            <w:pPr>
              <w:tabs>
                <w:tab w:val="left" w:pos="1035"/>
              </w:tabs>
              <w:jc w:val="center"/>
              <w:rPr>
                <w:sz w:val="20"/>
                <w:szCs w:val="20"/>
                <w:lang w:val="lv-LV"/>
              </w:rPr>
            </w:pPr>
            <w:r w:rsidRPr="00267BCC">
              <w:rPr>
                <w:sz w:val="20"/>
                <w:szCs w:val="20"/>
                <w:lang w:val="lv-LV"/>
              </w:rPr>
              <w:t>1089</w:t>
            </w:r>
          </w:p>
        </w:tc>
        <w:tc>
          <w:tcPr>
            <w:tcW w:w="640" w:type="pct"/>
            <w:vAlign w:val="center"/>
          </w:tcPr>
          <w:p w14:paraId="4964092C" w14:textId="77777777" w:rsidR="009A0D18" w:rsidRPr="00267BCC" w:rsidRDefault="009A0D18" w:rsidP="00267BCC">
            <w:pPr>
              <w:tabs>
                <w:tab w:val="left" w:pos="1035"/>
              </w:tabs>
              <w:jc w:val="center"/>
              <w:rPr>
                <w:sz w:val="20"/>
                <w:szCs w:val="20"/>
                <w:lang w:val="lv-LV"/>
              </w:rPr>
            </w:pPr>
            <w:r w:rsidRPr="00267BCC">
              <w:rPr>
                <w:sz w:val="20"/>
                <w:szCs w:val="20"/>
                <w:lang w:val="lv-LV"/>
              </w:rPr>
              <w:t>1 435</w:t>
            </w:r>
          </w:p>
        </w:tc>
        <w:tc>
          <w:tcPr>
            <w:tcW w:w="604" w:type="pct"/>
            <w:vAlign w:val="center"/>
          </w:tcPr>
          <w:p w14:paraId="4964092D" w14:textId="77777777" w:rsidR="009A0D18" w:rsidRPr="00267BCC" w:rsidRDefault="009A0D18" w:rsidP="00267BCC">
            <w:pPr>
              <w:jc w:val="center"/>
              <w:rPr>
                <w:sz w:val="20"/>
                <w:szCs w:val="20"/>
                <w:lang w:val="lv-LV"/>
              </w:rPr>
            </w:pPr>
            <w:r w:rsidRPr="00267BCC">
              <w:rPr>
                <w:sz w:val="20"/>
                <w:szCs w:val="20"/>
                <w:lang w:val="lv-LV"/>
              </w:rPr>
              <w:t>1 650 (+15%  pret 2012.gadu)</w:t>
            </w:r>
          </w:p>
        </w:tc>
        <w:tc>
          <w:tcPr>
            <w:tcW w:w="604" w:type="pct"/>
            <w:vAlign w:val="center"/>
          </w:tcPr>
          <w:p w14:paraId="4964092E" w14:textId="77777777" w:rsidR="009A0D18" w:rsidRPr="00267BCC" w:rsidRDefault="009A0D18" w:rsidP="00267BCC">
            <w:pPr>
              <w:jc w:val="center"/>
              <w:rPr>
                <w:sz w:val="20"/>
                <w:szCs w:val="20"/>
                <w:lang w:val="lv-LV"/>
              </w:rPr>
            </w:pPr>
            <w:r w:rsidRPr="00267BCC">
              <w:rPr>
                <w:sz w:val="20"/>
                <w:szCs w:val="20"/>
                <w:lang w:val="lv-LV"/>
              </w:rPr>
              <w:t>1 722</w:t>
            </w:r>
          </w:p>
          <w:p w14:paraId="4964092F" w14:textId="77777777" w:rsidR="009A0D18" w:rsidRPr="00267BCC" w:rsidRDefault="009A0D18" w:rsidP="00267BCC">
            <w:pPr>
              <w:jc w:val="center"/>
              <w:rPr>
                <w:sz w:val="20"/>
                <w:szCs w:val="20"/>
                <w:lang w:val="lv-LV"/>
              </w:rPr>
            </w:pPr>
            <w:r w:rsidRPr="00267BCC">
              <w:rPr>
                <w:sz w:val="20"/>
                <w:szCs w:val="20"/>
                <w:lang w:val="lv-LV"/>
              </w:rPr>
              <w:t>(+20% pret 2012.gadu)</w:t>
            </w:r>
          </w:p>
        </w:tc>
      </w:tr>
      <w:tr w:rsidR="00051389" w:rsidRPr="00267BCC" w14:paraId="49640937" w14:textId="77777777" w:rsidTr="00121450">
        <w:trPr>
          <w:jc w:val="center"/>
        </w:trPr>
        <w:tc>
          <w:tcPr>
            <w:tcW w:w="1148" w:type="pct"/>
            <w:shd w:val="clear" w:color="auto" w:fill="D9D9D9" w:themeFill="background1" w:themeFillShade="D9"/>
            <w:vAlign w:val="center"/>
          </w:tcPr>
          <w:p w14:paraId="49640931" w14:textId="77777777" w:rsidR="009A0D18" w:rsidRPr="00263B9F" w:rsidRDefault="00C17F8F" w:rsidP="00267BCC">
            <w:pPr>
              <w:pStyle w:val="ListParagraph"/>
              <w:spacing w:line="240" w:lineRule="auto"/>
              <w:ind w:left="0"/>
              <w:contextualSpacing w:val="0"/>
              <w:rPr>
                <w:rFonts w:ascii="Times New Roman" w:hAnsi="Times New Roman"/>
                <w:sz w:val="20"/>
                <w:szCs w:val="20"/>
                <w:lang w:val="lv-LV"/>
              </w:rPr>
            </w:pPr>
            <w:r w:rsidRPr="00263B9F">
              <w:rPr>
                <w:rFonts w:ascii="Times New Roman" w:hAnsi="Times New Roman"/>
                <w:sz w:val="20"/>
                <w:szCs w:val="20"/>
                <w:lang w:val="lv-LV"/>
              </w:rPr>
              <w:t xml:space="preserve">2. </w:t>
            </w:r>
            <w:r w:rsidR="009A0D18" w:rsidRPr="00263B9F">
              <w:rPr>
                <w:rFonts w:ascii="Times New Roman" w:hAnsi="Times New Roman"/>
                <w:sz w:val="20"/>
                <w:szCs w:val="20"/>
                <w:lang w:val="lv-LV"/>
              </w:rPr>
              <w:t>Vidējās noslodzes (gultas vietu noslogojums) palielināšanās izmitināšanas mītnēs ārpus noslogotākās vasaras sezonas (izņemot jūn.-aug.).</w:t>
            </w:r>
          </w:p>
        </w:tc>
        <w:tc>
          <w:tcPr>
            <w:tcW w:w="1435" w:type="pct"/>
            <w:vAlign w:val="center"/>
          </w:tcPr>
          <w:p w14:paraId="49640932" w14:textId="77777777" w:rsidR="009A0D18" w:rsidRPr="00267BCC" w:rsidRDefault="009A0D18" w:rsidP="00267BCC">
            <w:pPr>
              <w:jc w:val="center"/>
              <w:rPr>
                <w:sz w:val="20"/>
                <w:szCs w:val="20"/>
                <w:lang w:val="lv-LV"/>
              </w:rPr>
            </w:pPr>
            <w:r w:rsidRPr="00267BCC">
              <w:rPr>
                <w:sz w:val="20"/>
                <w:szCs w:val="20"/>
                <w:lang w:val="lv-LV"/>
              </w:rPr>
              <w:t>Vidējā izmitināšanas mītņu noslodze (gultas vietu noslogojums) ārpus noslogotākās vasaras sezonas (izņemot jūn.-aug.), %</w:t>
            </w:r>
          </w:p>
        </w:tc>
        <w:tc>
          <w:tcPr>
            <w:tcW w:w="569" w:type="pct"/>
            <w:vAlign w:val="center"/>
          </w:tcPr>
          <w:p w14:paraId="49640933" w14:textId="77777777" w:rsidR="009A0D18" w:rsidRPr="00267BCC" w:rsidRDefault="009A0D18" w:rsidP="00267BCC">
            <w:pPr>
              <w:jc w:val="center"/>
              <w:rPr>
                <w:sz w:val="20"/>
                <w:szCs w:val="20"/>
                <w:lang w:val="lv-LV"/>
              </w:rPr>
            </w:pPr>
            <w:r w:rsidRPr="00267BCC">
              <w:rPr>
                <w:sz w:val="20"/>
                <w:szCs w:val="20"/>
                <w:lang w:val="lv-LV"/>
              </w:rPr>
              <w:t>35</w:t>
            </w:r>
          </w:p>
        </w:tc>
        <w:tc>
          <w:tcPr>
            <w:tcW w:w="640" w:type="pct"/>
            <w:vAlign w:val="center"/>
          </w:tcPr>
          <w:p w14:paraId="49640934" w14:textId="77777777" w:rsidR="009A0D18" w:rsidRPr="00267BCC" w:rsidRDefault="009A0D18" w:rsidP="00267BCC">
            <w:pPr>
              <w:jc w:val="center"/>
              <w:rPr>
                <w:sz w:val="20"/>
                <w:szCs w:val="20"/>
                <w:lang w:val="lv-LV"/>
              </w:rPr>
            </w:pPr>
            <w:r w:rsidRPr="00267BCC">
              <w:rPr>
                <w:sz w:val="20"/>
                <w:szCs w:val="20"/>
                <w:lang w:val="lv-LV"/>
              </w:rPr>
              <w:t>30</w:t>
            </w:r>
          </w:p>
        </w:tc>
        <w:tc>
          <w:tcPr>
            <w:tcW w:w="604" w:type="pct"/>
            <w:vAlign w:val="center"/>
          </w:tcPr>
          <w:p w14:paraId="49640935" w14:textId="77777777" w:rsidR="009A0D18" w:rsidRPr="00267BCC" w:rsidRDefault="009A0D18" w:rsidP="00267BCC">
            <w:pPr>
              <w:jc w:val="center"/>
              <w:rPr>
                <w:sz w:val="20"/>
                <w:szCs w:val="20"/>
                <w:lang w:val="lv-LV"/>
              </w:rPr>
            </w:pPr>
            <w:r w:rsidRPr="00267BCC">
              <w:rPr>
                <w:sz w:val="20"/>
                <w:szCs w:val="20"/>
                <w:lang w:val="lv-LV"/>
              </w:rPr>
              <w:t>34</w:t>
            </w:r>
          </w:p>
        </w:tc>
        <w:tc>
          <w:tcPr>
            <w:tcW w:w="604" w:type="pct"/>
            <w:vAlign w:val="center"/>
          </w:tcPr>
          <w:p w14:paraId="49640936" w14:textId="77777777" w:rsidR="009A0D18" w:rsidRPr="00267BCC" w:rsidRDefault="009A0D18" w:rsidP="00267BCC">
            <w:pPr>
              <w:jc w:val="center"/>
              <w:rPr>
                <w:sz w:val="20"/>
                <w:szCs w:val="20"/>
                <w:lang w:val="lv-LV"/>
              </w:rPr>
            </w:pPr>
            <w:r w:rsidRPr="00267BCC">
              <w:rPr>
                <w:sz w:val="20"/>
                <w:szCs w:val="20"/>
                <w:lang w:val="lv-LV"/>
              </w:rPr>
              <w:t>37</w:t>
            </w:r>
          </w:p>
        </w:tc>
      </w:tr>
      <w:tr w:rsidR="00051389" w:rsidRPr="00267BCC" w14:paraId="4964093F" w14:textId="77777777" w:rsidTr="00121450">
        <w:trPr>
          <w:jc w:val="center"/>
        </w:trPr>
        <w:tc>
          <w:tcPr>
            <w:tcW w:w="1148" w:type="pct"/>
            <w:shd w:val="clear" w:color="auto" w:fill="D9D9D9" w:themeFill="background1" w:themeFillShade="D9"/>
            <w:vAlign w:val="center"/>
          </w:tcPr>
          <w:p w14:paraId="49640938" w14:textId="77777777" w:rsidR="009A0D18" w:rsidRPr="00263B9F" w:rsidRDefault="00C17F8F" w:rsidP="00267BCC">
            <w:pPr>
              <w:pStyle w:val="ListParagraph"/>
              <w:spacing w:line="240" w:lineRule="auto"/>
              <w:ind w:left="0"/>
              <w:contextualSpacing w:val="0"/>
              <w:rPr>
                <w:rFonts w:ascii="Times New Roman" w:hAnsi="Times New Roman"/>
                <w:sz w:val="20"/>
                <w:szCs w:val="20"/>
                <w:lang w:val="lv-LV"/>
              </w:rPr>
            </w:pPr>
            <w:r w:rsidRPr="00263B9F">
              <w:rPr>
                <w:rFonts w:ascii="Times New Roman" w:hAnsi="Times New Roman"/>
                <w:sz w:val="20"/>
                <w:szCs w:val="20"/>
                <w:lang w:val="lv-LV"/>
              </w:rPr>
              <w:t xml:space="preserve">3. </w:t>
            </w:r>
            <w:r w:rsidR="009A0D18" w:rsidRPr="00263B9F">
              <w:rPr>
                <w:rFonts w:ascii="Times New Roman" w:hAnsi="Times New Roman"/>
                <w:sz w:val="20"/>
                <w:szCs w:val="20"/>
                <w:lang w:val="lv-LV"/>
              </w:rPr>
              <w:t>Viena ārvalstu vairākdienu ceļotāja vidējo izdevumu diennaktī pieaugums.</w:t>
            </w:r>
          </w:p>
        </w:tc>
        <w:tc>
          <w:tcPr>
            <w:tcW w:w="1435" w:type="pct"/>
            <w:vAlign w:val="center"/>
          </w:tcPr>
          <w:p w14:paraId="49640939" w14:textId="77777777" w:rsidR="009A0D18" w:rsidRPr="00267BCC" w:rsidRDefault="009A0D18" w:rsidP="00267BCC">
            <w:pPr>
              <w:jc w:val="center"/>
              <w:rPr>
                <w:sz w:val="20"/>
                <w:szCs w:val="20"/>
                <w:lang w:val="lv-LV"/>
              </w:rPr>
            </w:pPr>
            <w:r w:rsidRPr="00267BCC">
              <w:rPr>
                <w:sz w:val="20"/>
                <w:szCs w:val="20"/>
                <w:lang w:val="lv-LV"/>
              </w:rPr>
              <w:t xml:space="preserve">Viena ārvalstu vairākdienu ceļotāja vidējie izdevumi diennaktī, </w:t>
            </w:r>
            <w:r w:rsidR="00D31AD3" w:rsidRPr="00267BCC">
              <w:rPr>
                <w:sz w:val="20"/>
                <w:szCs w:val="20"/>
                <w:lang w:val="lv-LV"/>
              </w:rPr>
              <w:t>EUR</w:t>
            </w:r>
          </w:p>
        </w:tc>
        <w:tc>
          <w:tcPr>
            <w:tcW w:w="569" w:type="pct"/>
            <w:vAlign w:val="center"/>
          </w:tcPr>
          <w:p w14:paraId="4964093A" w14:textId="77777777" w:rsidR="009A0D18" w:rsidRPr="00267BCC" w:rsidRDefault="009A0D18" w:rsidP="00267BCC">
            <w:pPr>
              <w:jc w:val="center"/>
              <w:rPr>
                <w:sz w:val="20"/>
                <w:szCs w:val="20"/>
                <w:lang w:val="lv-LV"/>
              </w:rPr>
            </w:pPr>
            <w:r w:rsidRPr="00267BCC">
              <w:rPr>
                <w:sz w:val="20"/>
                <w:szCs w:val="20"/>
                <w:lang w:val="lv-LV"/>
              </w:rPr>
              <w:t>41,3</w:t>
            </w:r>
          </w:p>
        </w:tc>
        <w:tc>
          <w:tcPr>
            <w:tcW w:w="640" w:type="pct"/>
            <w:vAlign w:val="center"/>
          </w:tcPr>
          <w:p w14:paraId="4964093B" w14:textId="77777777" w:rsidR="009A0D18" w:rsidRPr="00267BCC" w:rsidRDefault="009A0D18" w:rsidP="00267BCC">
            <w:pPr>
              <w:jc w:val="center"/>
              <w:rPr>
                <w:sz w:val="20"/>
                <w:szCs w:val="20"/>
                <w:lang w:val="lv-LV"/>
              </w:rPr>
            </w:pPr>
            <w:r w:rsidRPr="00267BCC">
              <w:rPr>
                <w:sz w:val="20"/>
                <w:szCs w:val="20"/>
                <w:lang w:val="lv-LV"/>
              </w:rPr>
              <w:t>75,4</w:t>
            </w:r>
          </w:p>
        </w:tc>
        <w:tc>
          <w:tcPr>
            <w:tcW w:w="604" w:type="pct"/>
            <w:vAlign w:val="center"/>
          </w:tcPr>
          <w:p w14:paraId="4964093C" w14:textId="77777777" w:rsidR="009A0D18" w:rsidRPr="00267BCC" w:rsidRDefault="009A0D18" w:rsidP="00267BCC">
            <w:pPr>
              <w:jc w:val="center"/>
              <w:rPr>
                <w:sz w:val="20"/>
                <w:szCs w:val="20"/>
                <w:lang w:val="lv-LV"/>
              </w:rPr>
            </w:pPr>
            <w:r w:rsidRPr="00267BCC">
              <w:rPr>
                <w:sz w:val="20"/>
                <w:szCs w:val="20"/>
                <w:lang w:val="lv-LV"/>
              </w:rPr>
              <w:t>87,5</w:t>
            </w:r>
          </w:p>
        </w:tc>
        <w:tc>
          <w:tcPr>
            <w:tcW w:w="604" w:type="pct"/>
            <w:vAlign w:val="center"/>
          </w:tcPr>
          <w:p w14:paraId="4964093D" w14:textId="77777777" w:rsidR="009A0D18" w:rsidRPr="00267BCC" w:rsidRDefault="009A0D18" w:rsidP="00267BCC">
            <w:pPr>
              <w:jc w:val="center"/>
              <w:rPr>
                <w:sz w:val="20"/>
                <w:szCs w:val="20"/>
                <w:lang w:val="lv-LV"/>
              </w:rPr>
            </w:pPr>
            <w:r w:rsidRPr="00267BCC">
              <w:rPr>
                <w:sz w:val="20"/>
                <w:szCs w:val="20"/>
                <w:lang w:val="lv-LV"/>
              </w:rPr>
              <w:t>95,5</w:t>
            </w:r>
          </w:p>
          <w:p w14:paraId="4964093E" w14:textId="77777777" w:rsidR="009A0D18" w:rsidRPr="00267BCC" w:rsidRDefault="009A0D18" w:rsidP="00267BCC">
            <w:pPr>
              <w:jc w:val="center"/>
              <w:rPr>
                <w:sz w:val="20"/>
                <w:szCs w:val="20"/>
                <w:lang w:val="lv-LV"/>
              </w:rPr>
            </w:pPr>
            <w:r w:rsidRPr="00267BCC">
              <w:rPr>
                <w:sz w:val="20"/>
                <w:szCs w:val="20"/>
                <w:lang w:val="lv-LV"/>
              </w:rPr>
              <w:t>(ikgadējais pieaugums 3%)</w:t>
            </w:r>
          </w:p>
        </w:tc>
      </w:tr>
      <w:tr w:rsidR="00051389" w:rsidRPr="00267BCC" w14:paraId="49640948" w14:textId="77777777" w:rsidTr="00121450">
        <w:trPr>
          <w:jc w:val="center"/>
        </w:trPr>
        <w:tc>
          <w:tcPr>
            <w:tcW w:w="1148" w:type="pct"/>
            <w:shd w:val="clear" w:color="auto" w:fill="D9D9D9" w:themeFill="background1" w:themeFillShade="D9"/>
            <w:vAlign w:val="center"/>
          </w:tcPr>
          <w:p w14:paraId="49640940" w14:textId="77777777" w:rsidR="009A0D18" w:rsidRPr="00263B9F" w:rsidRDefault="00C17F8F" w:rsidP="00267BCC">
            <w:pPr>
              <w:pStyle w:val="ListParagraph"/>
              <w:spacing w:line="240" w:lineRule="auto"/>
              <w:ind w:left="0"/>
              <w:contextualSpacing w:val="0"/>
              <w:rPr>
                <w:rFonts w:ascii="Times New Roman" w:hAnsi="Times New Roman"/>
                <w:sz w:val="20"/>
                <w:szCs w:val="20"/>
                <w:lang w:val="lv-LV"/>
              </w:rPr>
            </w:pPr>
            <w:r w:rsidRPr="00263B9F">
              <w:rPr>
                <w:rFonts w:ascii="Times New Roman" w:hAnsi="Times New Roman"/>
                <w:sz w:val="20"/>
                <w:szCs w:val="20"/>
                <w:lang w:val="lv-LV"/>
              </w:rPr>
              <w:t xml:space="preserve">4. </w:t>
            </w:r>
            <w:r w:rsidR="009A0D18" w:rsidRPr="00263B9F">
              <w:rPr>
                <w:rFonts w:ascii="Times New Roman" w:hAnsi="Times New Roman"/>
                <w:sz w:val="20"/>
                <w:szCs w:val="20"/>
                <w:lang w:val="lv-LV"/>
              </w:rPr>
              <w:t>Ārvalstu vairākdienu ceļotāju kopējo izdevumu gadā pieaugums.</w:t>
            </w:r>
          </w:p>
        </w:tc>
        <w:tc>
          <w:tcPr>
            <w:tcW w:w="1435" w:type="pct"/>
            <w:vAlign w:val="center"/>
          </w:tcPr>
          <w:p w14:paraId="49640941" w14:textId="77777777" w:rsidR="009A0D18" w:rsidRPr="00267BCC" w:rsidRDefault="009A0D18" w:rsidP="00267BCC">
            <w:pPr>
              <w:jc w:val="center"/>
              <w:rPr>
                <w:sz w:val="20"/>
                <w:szCs w:val="20"/>
                <w:lang w:val="lv-LV"/>
              </w:rPr>
            </w:pPr>
            <w:r w:rsidRPr="00267BCC">
              <w:rPr>
                <w:sz w:val="20"/>
                <w:szCs w:val="20"/>
                <w:lang w:val="lv-LV"/>
              </w:rPr>
              <w:t xml:space="preserve">Ārvalstu vairākdienu ceļotāju kopējie izdevumi gadā, milj. </w:t>
            </w:r>
            <w:r w:rsidR="00D31AD3" w:rsidRPr="00267BCC">
              <w:rPr>
                <w:sz w:val="20"/>
                <w:szCs w:val="20"/>
                <w:lang w:val="lv-LV"/>
              </w:rPr>
              <w:t>EUR</w:t>
            </w:r>
          </w:p>
        </w:tc>
        <w:tc>
          <w:tcPr>
            <w:tcW w:w="569" w:type="pct"/>
            <w:vAlign w:val="center"/>
          </w:tcPr>
          <w:p w14:paraId="49640942" w14:textId="77777777" w:rsidR="009A0D18" w:rsidRPr="00267BCC" w:rsidRDefault="009A0D18" w:rsidP="00267BCC">
            <w:pPr>
              <w:jc w:val="center"/>
              <w:rPr>
                <w:sz w:val="20"/>
                <w:szCs w:val="20"/>
                <w:lang w:val="lv-LV"/>
              </w:rPr>
            </w:pPr>
            <w:r w:rsidRPr="00267BCC">
              <w:rPr>
                <w:sz w:val="20"/>
                <w:szCs w:val="20"/>
                <w:lang w:val="lv-LV"/>
              </w:rPr>
              <w:t>356</w:t>
            </w:r>
          </w:p>
        </w:tc>
        <w:tc>
          <w:tcPr>
            <w:tcW w:w="640" w:type="pct"/>
            <w:vAlign w:val="center"/>
          </w:tcPr>
          <w:p w14:paraId="49640943" w14:textId="77777777" w:rsidR="009A0D18" w:rsidRPr="00267BCC" w:rsidRDefault="009A0D18" w:rsidP="00267BCC">
            <w:pPr>
              <w:jc w:val="center"/>
              <w:rPr>
                <w:sz w:val="20"/>
                <w:szCs w:val="20"/>
                <w:lang w:val="lv-LV"/>
              </w:rPr>
            </w:pPr>
            <w:r w:rsidRPr="00267BCC">
              <w:rPr>
                <w:sz w:val="20"/>
                <w:szCs w:val="20"/>
                <w:lang w:val="lv-LV"/>
              </w:rPr>
              <w:t>438</w:t>
            </w:r>
          </w:p>
          <w:p w14:paraId="49640944" w14:textId="77777777" w:rsidR="009A0D18" w:rsidRPr="00267BCC" w:rsidRDefault="009A0D18" w:rsidP="00267BCC">
            <w:pPr>
              <w:jc w:val="center"/>
              <w:rPr>
                <w:sz w:val="20"/>
                <w:szCs w:val="20"/>
                <w:lang w:val="lv-LV"/>
              </w:rPr>
            </w:pPr>
            <w:r w:rsidRPr="00267BCC">
              <w:rPr>
                <w:sz w:val="20"/>
                <w:szCs w:val="20"/>
                <w:lang w:val="lv-LV"/>
              </w:rPr>
              <w:t>(vidējais ceļojumu ilgums - 4 diennaktis)</w:t>
            </w:r>
          </w:p>
        </w:tc>
        <w:tc>
          <w:tcPr>
            <w:tcW w:w="604" w:type="pct"/>
            <w:vAlign w:val="center"/>
          </w:tcPr>
          <w:p w14:paraId="49640945" w14:textId="77777777" w:rsidR="009A0D18" w:rsidRPr="00267BCC" w:rsidRDefault="009A0D18" w:rsidP="00267BCC">
            <w:pPr>
              <w:jc w:val="center"/>
              <w:rPr>
                <w:sz w:val="20"/>
                <w:szCs w:val="20"/>
                <w:lang w:val="lv-LV"/>
              </w:rPr>
            </w:pPr>
            <w:r w:rsidRPr="00267BCC">
              <w:rPr>
                <w:sz w:val="20"/>
                <w:szCs w:val="20"/>
                <w:lang w:val="lv-LV"/>
              </w:rPr>
              <w:t>577,5</w:t>
            </w:r>
          </w:p>
        </w:tc>
        <w:tc>
          <w:tcPr>
            <w:tcW w:w="604" w:type="pct"/>
            <w:vAlign w:val="center"/>
          </w:tcPr>
          <w:p w14:paraId="49640946" w14:textId="77777777" w:rsidR="009A0D18" w:rsidRPr="00267BCC" w:rsidRDefault="009A0D18" w:rsidP="00267BCC">
            <w:pPr>
              <w:jc w:val="center"/>
              <w:rPr>
                <w:sz w:val="20"/>
                <w:szCs w:val="20"/>
                <w:lang w:val="lv-LV"/>
              </w:rPr>
            </w:pPr>
            <w:r w:rsidRPr="00267BCC">
              <w:rPr>
                <w:sz w:val="20"/>
                <w:szCs w:val="20"/>
                <w:lang w:val="lv-LV"/>
              </w:rPr>
              <w:t>657,8</w:t>
            </w:r>
          </w:p>
          <w:p w14:paraId="49640947" w14:textId="77777777" w:rsidR="009A0D18" w:rsidRPr="00267BCC" w:rsidRDefault="009A0D18" w:rsidP="00267BCC">
            <w:pPr>
              <w:jc w:val="center"/>
              <w:rPr>
                <w:sz w:val="20"/>
                <w:szCs w:val="20"/>
                <w:lang w:val="lv-LV"/>
              </w:rPr>
            </w:pPr>
            <w:r w:rsidRPr="00267BCC">
              <w:rPr>
                <w:sz w:val="20"/>
                <w:szCs w:val="20"/>
                <w:lang w:val="lv-LV"/>
              </w:rPr>
              <w:t>(vidējais ceļojumu ilgums - 4 diennaktis)</w:t>
            </w:r>
          </w:p>
        </w:tc>
      </w:tr>
    </w:tbl>
    <w:p w14:paraId="49640949" w14:textId="77777777" w:rsidR="00783831" w:rsidRPr="00267BCC" w:rsidRDefault="009F4C12" w:rsidP="00267BCC">
      <w:pPr>
        <w:jc w:val="both"/>
        <w:rPr>
          <w:sz w:val="20"/>
          <w:szCs w:val="20"/>
          <w:lang w:val="lv-LV"/>
        </w:rPr>
      </w:pPr>
      <w:r w:rsidRPr="00267BCC">
        <w:rPr>
          <w:sz w:val="20"/>
          <w:szCs w:val="20"/>
          <w:lang w:val="lv-LV"/>
        </w:rPr>
        <w:t xml:space="preserve">Datu avots: CSP, </w:t>
      </w:r>
      <w:r w:rsidR="00783831" w:rsidRPr="00267BCC">
        <w:rPr>
          <w:sz w:val="20"/>
          <w:szCs w:val="20"/>
          <w:lang w:val="lv-LV"/>
        </w:rPr>
        <w:t>Prognoze: EM</w:t>
      </w:r>
    </w:p>
    <w:p w14:paraId="4964094A" w14:textId="77777777" w:rsidR="00783831" w:rsidRPr="00267BCC" w:rsidRDefault="00783831" w:rsidP="00267BCC">
      <w:pPr>
        <w:jc w:val="both"/>
        <w:rPr>
          <w:lang w:val="lv-LV"/>
        </w:rPr>
      </w:pPr>
    </w:p>
    <w:p w14:paraId="4964094B" w14:textId="77777777" w:rsidR="00783831" w:rsidRPr="00267BCC" w:rsidRDefault="009A0D18" w:rsidP="00267BCC">
      <w:pPr>
        <w:ind w:firstLine="720"/>
        <w:jc w:val="both"/>
        <w:rPr>
          <w:lang w:val="lv-LV"/>
        </w:rPr>
      </w:pPr>
      <w:r w:rsidRPr="00263B9F">
        <w:rPr>
          <w:lang w:val="lv-LV"/>
        </w:rPr>
        <w:t xml:space="preserve">Katras </w:t>
      </w:r>
      <w:r w:rsidR="00783831" w:rsidRPr="00263B9F">
        <w:rPr>
          <w:lang w:val="lv-LV"/>
        </w:rPr>
        <w:t>nozares attīstības pamatuzdevum</w:t>
      </w:r>
      <w:r w:rsidRPr="00263B9F">
        <w:rPr>
          <w:lang w:val="lv-LV"/>
        </w:rPr>
        <w:t xml:space="preserve">s ir </w:t>
      </w:r>
      <w:r w:rsidR="00783831" w:rsidRPr="00263B9F">
        <w:rPr>
          <w:lang w:val="lv-LV"/>
        </w:rPr>
        <w:t xml:space="preserve"> produktu attīstība un konkurētspējas nodrošināšana. </w:t>
      </w:r>
      <w:r w:rsidR="00F8413F" w:rsidRPr="00263B9F">
        <w:rPr>
          <w:lang w:val="lv-LV"/>
        </w:rPr>
        <w:t>Turpmāk tūrisma produktu attīstībai ir jābalstās uz šādām pamatvērtībām – kvalitāte, ilgtspēja, videi draudzīgo tehnoloģiju un pieeju ieviešana, individualizācija, augsta pievienotā vērtība, sadarbība, tūristu iesaiste/pieredzes gūšana un sadarbība konkurētspējas nodrošināšanai, produkta starptautiska atpazīšana.</w:t>
      </w:r>
      <w:r w:rsidR="00783831" w:rsidRPr="00267BCC">
        <w:rPr>
          <w:lang w:val="lv-LV"/>
        </w:rPr>
        <w:t xml:space="preserve"> Tūrisma pakalpojumu eksporta pieaugums tiks panākts, </w:t>
      </w:r>
      <w:r w:rsidR="00C94945" w:rsidRPr="00267BCC">
        <w:rPr>
          <w:lang w:val="lv-LV"/>
        </w:rPr>
        <w:t>veicinot</w:t>
      </w:r>
      <w:r w:rsidR="00A775EB" w:rsidRPr="00267BCC">
        <w:rPr>
          <w:lang w:val="lv-LV"/>
        </w:rPr>
        <w:t xml:space="preserve"> </w:t>
      </w:r>
      <w:r w:rsidR="00C94945" w:rsidRPr="00267BCC">
        <w:rPr>
          <w:lang w:val="lv-LV"/>
        </w:rPr>
        <w:t xml:space="preserve">tūrisma </w:t>
      </w:r>
      <w:r w:rsidR="009F4C12" w:rsidRPr="00267BCC">
        <w:rPr>
          <w:lang w:val="lv-LV"/>
        </w:rPr>
        <w:t xml:space="preserve">klasteru </w:t>
      </w:r>
      <w:r w:rsidR="00D31AD3" w:rsidRPr="00267BCC">
        <w:rPr>
          <w:lang w:val="lv-LV"/>
        </w:rPr>
        <w:t>jeb</w:t>
      </w:r>
      <w:r w:rsidR="009F4C12" w:rsidRPr="00267BCC">
        <w:rPr>
          <w:lang w:val="lv-LV"/>
        </w:rPr>
        <w:t xml:space="preserve"> </w:t>
      </w:r>
      <w:r w:rsidR="00C94945" w:rsidRPr="00267BCC">
        <w:rPr>
          <w:lang w:val="lv-LV"/>
        </w:rPr>
        <w:t>puduru veidošanu</w:t>
      </w:r>
      <w:r w:rsidR="009F4C12" w:rsidRPr="00267BCC">
        <w:rPr>
          <w:lang w:val="lv-LV"/>
        </w:rPr>
        <w:t xml:space="preserve"> reģionos</w:t>
      </w:r>
      <w:r w:rsidR="00C94945" w:rsidRPr="00267BCC">
        <w:rPr>
          <w:lang w:val="lv-LV"/>
        </w:rPr>
        <w:t>, elastīgi un operatīvi reaģējot uz izmaiņām tirgus situācijā,</w:t>
      </w:r>
      <w:r w:rsidR="00A775EB" w:rsidRPr="00267BCC">
        <w:rPr>
          <w:lang w:val="lv-LV"/>
        </w:rPr>
        <w:t xml:space="preserve"> īstenojot katram augsti prioritārajam tūrisma tirgum izstrādāto individuālo mārketinga stratēģi</w:t>
      </w:r>
      <w:r w:rsidR="001C67CD" w:rsidRPr="00267BCC">
        <w:rPr>
          <w:lang w:val="lv-LV"/>
        </w:rPr>
        <w:t>ju un komunikācijas plānu, kura</w:t>
      </w:r>
      <w:r w:rsidR="00A775EB" w:rsidRPr="00267BCC">
        <w:rPr>
          <w:lang w:val="lv-LV"/>
        </w:rPr>
        <w:t xml:space="preserve"> pamatā ir precīzi definēt</w:t>
      </w:r>
      <w:r w:rsidR="00405551" w:rsidRPr="00267BCC">
        <w:rPr>
          <w:lang w:val="lv-LV"/>
        </w:rPr>
        <w:t>a</w:t>
      </w:r>
      <w:r w:rsidR="00A775EB" w:rsidRPr="00267BCC">
        <w:rPr>
          <w:lang w:val="lv-LV"/>
        </w:rPr>
        <w:t xml:space="preserve"> </w:t>
      </w:r>
      <w:r w:rsidR="00405551" w:rsidRPr="00267BCC">
        <w:rPr>
          <w:lang w:val="lv-LV"/>
        </w:rPr>
        <w:t xml:space="preserve">teritorija, </w:t>
      </w:r>
      <w:r w:rsidR="00A775EB" w:rsidRPr="00267BCC">
        <w:rPr>
          <w:lang w:val="lv-LV"/>
        </w:rPr>
        <w:t xml:space="preserve">mērķa tirgus segmenti, </w:t>
      </w:r>
      <w:r w:rsidR="00405551" w:rsidRPr="00267BCC">
        <w:rPr>
          <w:lang w:val="lv-LV"/>
        </w:rPr>
        <w:t xml:space="preserve">kā arī </w:t>
      </w:r>
      <w:r w:rsidR="00A775EB" w:rsidRPr="00267BCC">
        <w:rPr>
          <w:lang w:val="lv-LV"/>
        </w:rPr>
        <w:t xml:space="preserve">tūrisma produkti – t.i. </w:t>
      </w:r>
      <w:r w:rsidR="00783831" w:rsidRPr="00267BCC">
        <w:rPr>
          <w:lang w:val="lv-LV"/>
        </w:rPr>
        <w:t xml:space="preserve">balstoties uz </w:t>
      </w:r>
      <w:r w:rsidR="00783831" w:rsidRPr="00267BCC">
        <w:rPr>
          <w:lang w:val="lv-LV"/>
        </w:rPr>
        <w:lastRenderedPageBreak/>
        <w:t xml:space="preserve">fokusēšanās un dziļās iespiešanās </w:t>
      </w:r>
      <w:r w:rsidR="00E8099E" w:rsidRPr="00267BCC">
        <w:rPr>
          <w:lang w:val="lv-LV"/>
        </w:rPr>
        <w:t xml:space="preserve">tirgū </w:t>
      </w:r>
      <w:r w:rsidR="00783831" w:rsidRPr="00267BCC">
        <w:rPr>
          <w:lang w:val="lv-LV"/>
        </w:rPr>
        <w:t>stratēģijām</w:t>
      </w:r>
      <w:r w:rsidR="00E8099E" w:rsidRPr="00267BCC">
        <w:rPr>
          <w:lang w:val="lv-LV"/>
        </w:rPr>
        <w:t xml:space="preserve">, kā arī īstenojot precīzu Latvijas kā tūrisma </w:t>
      </w:r>
      <w:r w:rsidR="00EF064E" w:rsidRPr="00267BCC">
        <w:rPr>
          <w:lang w:val="lv-LV"/>
        </w:rPr>
        <w:t>galamērķa</w:t>
      </w:r>
      <w:r w:rsidR="00E8099E" w:rsidRPr="00267BCC">
        <w:rPr>
          <w:lang w:val="lv-LV"/>
        </w:rPr>
        <w:t xml:space="preserve"> pozicionējumu vienotajā Baltijas </w:t>
      </w:r>
      <w:r w:rsidR="00405551" w:rsidRPr="00267BCC">
        <w:rPr>
          <w:lang w:val="lv-LV"/>
        </w:rPr>
        <w:t>un</w:t>
      </w:r>
      <w:r w:rsidR="00E8099E" w:rsidRPr="00267BCC">
        <w:rPr>
          <w:lang w:val="lv-LV"/>
        </w:rPr>
        <w:t xml:space="preserve"> Baltijas jūras reģiona piedāvājumā.</w:t>
      </w:r>
    </w:p>
    <w:p w14:paraId="4964094C" w14:textId="77777777" w:rsidR="001C67CD" w:rsidRPr="00267BCC" w:rsidRDefault="001C67CD" w:rsidP="00267BCC">
      <w:pPr>
        <w:ind w:firstLine="720"/>
        <w:jc w:val="both"/>
        <w:rPr>
          <w:lang w:val="lv-LV"/>
        </w:rPr>
      </w:pPr>
    </w:p>
    <w:p w14:paraId="4964094D" w14:textId="77777777" w:rsidR="00911E5F" w:rsidRPr="00267BCC" w:rsidRDefault="00911E5F" w:rsidP="00267BCC">
      <w:pPr>
        <w:rPr>
          <w:lang w:val="lv-LV"/>
        </w:rPr>
      </w:pPr>
      <w:r w:rsidRPr="00267BCC">
        <w:rPr>
          <w:lang w:val="lv-LV"/>
        </w:rPr>
        <w:br w:type="page"/>
      </w:r>
    </w:p>
    <w:p w14:paraId="4964094E" w14:textId="77777777" w:rsidR="00783831" w:rsidRPr="00267BCC" w:rsidRDefault="00A247DF" w:rsidP="00267BCC">
      <w:pPr>
        <w:pStyle w:val="Heading1"/>
        <w:numPr>
          <w:ilvl w:val="0"/>
          <w:numId w:val="24"/>
        </w:numPr>
        <w:rPr>
          <w:rFonts w:eastAsia="Calibri"/>
        </w:rPr>
      </w:pPr>
      <w:bookmarkStart w:id="4" w:name="_Toc381256647"/>
      <w:r w:rsidRPr="00267BCC">
        <w:rPr>
          <w:rFonts w:eastAsia="Calibri"/>
        </w:rPr>
        <w:lastRenderedPageBreak/>
        <w:t>Metodoloģija</w:t>
      </w:r>
      <w:bookmarkEnd w:id="4"/>
    </w:p>
    <w:p w14:paraId="4964094F" w14:textId="77777777" w:rsidR="00783831" w:rsidRPr="00267BCC" w:rsidRDefault="00783831" w:rsidP="00267BCC">
      <w:pPr>
        <w:keepNext/>
        <w:autoSpaceDE w:val="0"/>
        <w:autoSpaceDN w:val="0"/>
        <w:adjustRightInd w:val="0"/>
        <w:ind w:firstLine="567"/>
        <w:jc w:val="both"/>
        <w:rPr>
          <w:lang w:val="lv-LV"/>
        </w:rPr>
      </w:pPr>
    </w:p>
    <w:p w14:paraId="49640950" w14:textId="77777777" w:rsidR="00783831" w:rsidRPr="00267BCC" w:rsidRDefault="00783831" w:rsidP="00267BCC">
      <w:pPr>
        <w:pStyle w:val="Default"/>
        <w:ind w:firstLine="720"/>
        <w:jc w:val="both"/>
      </w:pPr>
      <w:r w:rsidRPr="00267BCC">
        <w:t xml:space="preserve">Tūrisma izpētes, </w:t>
      </w:r>
      <w:r w:rsidR="0028705A" w:rsidRPr="00267BCC">
        <w:t xml:space="preserve">attīstības </w:t>
      </w:r>
      <w:r w:rsidRPr="00267BCC">
        <w:t>plānošanas</w:t>
      </w:r>
      <w:r w:rsidR="0028705A" w:rsidRPr="00267BCC">
        <w:t xml:space="preserve"> </w:t>
      </w:r>
      <w:r w:rsidRPr="00267BCC">
        <w:t xml:space="preserve">un monitoringa pamats ir kvalitatīvi un atbilstoši statistikas dati. Izstrādājot Pamatnostādnes, </w:t>
      </w:r>
      <w:r w:rsidR="006B0FCA" w:rsidRPr="00267BCC">
        <w:t xml:space="preserve">vērā </w:t>
      </w:r>
      <w:r w:rsidRPr="00267BCC">
        <w:t>ņemti CSP</w:t>
      </w:r>
      <w:r w:rsidR="0028705A" w:rsidRPr="00267BCC">
        <w:t xml:space="preserve"> dati</w:t>
      </w:r>
      <w:r w:rsidRPr="00267BCC">
        <w:t xml:space="preserve">, kas tiek atjaunoti reizi ceturksnī, </w:t>
      </w:r>
      <w:r w:rsidR="0028705A" w:rsidRPr="00267BCC">
        <w:t xml:space="preserve">kā arī EUROSTAT dati, kas </w:t>
      </w:r>
      <w:r w:rsidRPr="00267BCC">
        <w:t xml:space="preserve">ir lietojami bez maksas. Lai rūpīgāk novērtētu tūrisma nozares ietekmi uz tautsaimniecību un </w:t>
      </w:r>
      <w:r w:rsidR="0028705A" w:rsidRPr="00267BCC">
        <w:t xml:space="preserve">prognozētu </w:t>
      </w:r>
      <w:r w:rsidRPr="00267BCC">
        <w:t xml:space="preserve">nozares attīstības tendences, izmantoti arī Latvijas Bankas, Valsts robežsardzes, ANPTO un PCTP dati, kā arī </w:t>
      </w:r>
      <w:r w:rsidR="0028705A" w:rsidRPr="00267BCC">
        <w:t>citu</w:t>
      </w:r>
      <w:r w:rsidRPr="00267BCC">
        <w:t xml:space="preserve"> tirgus dalībnieku </w:t>
      </w:r>
      <w:r w:rsidR="0028705A" w:rsidRPr="00267BCC">
        <w:t>pētījumi</w:t>
      </w:r>
      <w:r w:rsidRPr="00267BCC">
        <w:t>.</w:t>
      </w:r>
      <w:r w:rsidR="0058656C" w:rsidRPr="00267BCC">
        <w:t xml:space="preserve"> Lai iegūtu pēc iespējas precīzāku</w:t>
      </w:r>
      <w:r w:rsidR="00AF3736" w:rsidRPr="00267BCC">
        <w:t xml:space="preserve"> tūrisma</w:t>
      </w:r>
      <w:r w:rsidR="0058656C" w:rsidRPr="00267BCC">
        <w:t xml:space="preserve"> reģionālās attīstības novērtējumu</w:t>
      </w:r>
      <w:r w:rsidR="00AF3736" w:rsidRPr="00267BCC">
        <w:t xml:space="preserve">, izmantoti specifiski atlasīti CSP dati, aktualizēti tūrisma resursus raksturojoši ĢIS dati no SIA </w:t>
      </w:r>
      <w:r w:rsidR="00CD3D82" w:rsidRPr="00267BCC">
        <w:t>„</w:t>
      </w:r>
      <w:r w:rsidR="006B0FCA" w:rsidRPr="00267BCC">
        <w:t>Karšu izdevniecība Jāņa s</w:t>
      </w:r>
      <w:r w:rsidR="00AF3736" w:rsidRPr="00267BCC">
        <w:t>ēta</w:t>
      </w:r>
      <w:r w:rsidR="00CD3D82" w:rsidRPr="00267BCC">
        <w:t>”</w:t>
      </w:r>
      <w:r w:rsidR="00AF3736" w:rsidRPr="00267BCC">
        <w:t xml:space="preserve"> un citiem avotiem, kā arī </w:t>
      </w:r>
      <w:r w:rsidR="00003C92" w:rsidRPr="00267BCC">
        <w:t xml:space="preserve">izmantoti </w:t>
      </w:r>
      <w:r w:rsidR="00AF3736" w:rsidRPr="00267BCC">
        <w:t>veikti</w:t>
      </w:r>
      <w:r w:rsidR="00003C92" w:rsidRPr="00267BCC">
        <w:t>e</w:t>
      </w:r>
      <w:r w:rsidR="00AF3736" w:rsidRPr="00267BCC">
        <w:t xml:space="preserve"> </w:t>
      </w:r>
      <w:r w:rsidR="00003C92" w:rsidRPr="00267BCC">
        <w:t xml:space="preserve">nozares </w:t>
      </w:r>
      <w:r w:rsidR="00AF3736" w:rsidRPr="00267BCC">
        <w:t>pētījumi</w:t>
      </w:r>
      <w:r w:rsidR="00003C92" w:rsidRPr="00267BCC">
        <w:t xml:space="preserve"> un</w:t>
      </w:r>
      <w:r w:rsidR="0006428F" w:rsidRPr="00267BCC">
        <w:t xml:space="preserve"> integrēti reģionālā līmeņa </w:t>
      </w:r>
      <w:r w:rsidR="00261874" w:rsidRPr="00267BCC">
        <w:t xml:space="preserve">nozīmīgākie nākotnes </w:t>
      </w:r>
      <w:r w:rsidR="0006428F" w:rsidRPr="00267BCC">
        <w:t>attīstības plāni</w:t>
      </w:r>
      <w:r w:rsidR="00261874" w:rsidRPr="00267BCC">
        <w:t>. Attīstības datu precīzākai salīdzināšanai iespējami aptverts nozīmīgāko rādītāju periods par pēdējiem četriem gadiem: 2009.-2012.</w:t>
      </w:r>
    </w:p>
    <w:p w14:paraId="49640951" w14:textId="77777777" w:rsidR="00783831" w:rsidRPr="00267BCC" w:rsidRDefault="0028705A" w:rsidP="00267BCC">
      <w:pPr>
        <w:pStyle w:val="Default"/>
        <w:ind w:firstLine="720"/>
        <w:jc w:val="both"/>
      </w:pPr>
      <w:r w:rsidRPr="00267BCC">
        <w:t>Latvijas tūrisma attīstības rādītāju salīd</w:t>
      </w:r>
      <w:r w:rsidR="004708FC" w:rsidRPr="00267BCC">
        <w:t>zināšanai ar konkurentu valstīm</w:t>
      </w:r>
      <w:r w:rsidRPr="00267BCC">
        <w:t xml:space="preserve"> </w:t>
      </w:r>
      <w:r w:rsidR="00867E38" w:rsidRPr="00267BCC">
        <w:t>tiek izmantoti</w:t>
      </w:r>
      <w:r w:rsidR="00783831" w:rsidRPr="00267BCC">
        <w:t xml:space="preserve"> Pasaules ekonomikas foruma (</w:t>
      </w:r>
      <w:r w:rsidR="00783831" w:rsidRPr="00267BCC">
        <w:rPr>
          <w:i/>
        </w:rPr>
        <w:t>World Economic Forum</w:t>
      </w:r>
      <w:r w:rsidR="00783831" w:rsidRPr="00267BCC">
        <w:t xml:space="preserve">) </w:t>
      </w:r>
      <w:r w:rsidR="003B05F8" w:rsidRPr="00267BCC">
        <w:t>dati</w:t>
      </w:r>
      <w:r w:rsidR="00783831" w:rsidRPr="00267BCC">
        <w:t xml:space="preserve">. Šie dati ļauj secināt par Latvijas priekšrocībām, kā arī par veicamajām aktivitātēm konkurētspējas uzlabošanai. </w:t>
      </w:r>
    </w:p>
    <w:p w14:paraId="49640952" w14:textId="77777777" w:rsidR="00A247DF" w:rsidRPr="00267BCC" w:rsidRDefault="00A247DF" w:rsidP="00267BCC">
      <w:pPr>
        <w:pStyle w:val="Default"/>
        <w:ind w:firstLine="720"/>
        <w:jc w:val="both"/>
      </w:pPr>
      <w:r w:rsidRPr="00267BCC">
        <w:t xml:space="preserve">Pamatnostādnēs netiek definēti rīcības virzieni atpūtas tūrisma veicināšanai Rīgā, jo šajā tūrisma produktu grupā tirgus dalībnieki nodrošina piedāvājumu un pieprasījumu atbilstoši tirgus ekonomikas principiem, un valsts atbalsts nepieciešams tikai atsevišķām aktivitātēm, piemēram, kvalitātes veicināšanai un mārketingam valsts līmenī. Kopējā analīzē Rīgas konteksts, protams, </w:t>
      </w:r>
      <w:r w:rsidR="0031056C" w:rsidRPr="00267BCC">
        <w:t xml:space="preserve">tiek </w:t>
      </w:r>
      <w:r w:rsidRPr="00267BCC">
        <w:t>ņemts vērā.</w:t>
      </w:r>
    </w:p>
    <w:p w14:paraId="49640953" w14:textId="77777777" w:rsidR="003B05F8" w:rsidRPr="00267BCC" w:rsidRDefault="003B05F8" w:rsidP="00267BCC">
      <w:pPr>
        <w:pStyle w:val="Default"/>
        <w:ind w:firstLine="360"/>
        <w:jc w:val="both"/>
        <w:rPr>
          <w:b/>
        </w:rPr>
      </w:pPr>
    </w:p>
    <w:p w14:paraId="49640954" w14:textId="77777777" w:rsidR="00783831" w:rsidRPr="00267BCC" w:rsidRDefault="00033D90" w:rsidP="00267BCC">
      <w:pPr>
        <w:pStyle w:val="Default"/>
        <w:ind w:firstLine="720"/>
        <w:jc w:val="both"/>
        <w:rPr>
          <w:b/>
        </w:rPr>
      </w:pPr>
      <w:r w:rsidRPr="00267BCC">
        <w:rPr>
          <w:b/>
        </w:rPr>
        <w:t>Pamatnostādņu</w:t>
      </w:r>
      <w:r w:rsidR="00BF6162" w:rsidRPr="00267BCC">
        <w:rPr>
          <w:b/>
        </w:rPr>
        <w:t xml:space="preserve"> izstrādes </w:t>
      </w:r>
      <w:r w:rsidR="00783831" w:rsidRPr="00267BCC">
        <w:rPr>
          <w:b/>
        </w:rPr>
        <w:t>soļi</w:t>
      </w:r>
      <w:r w:rsidR="00BF6162" w:rsidRPr="00267BCC">
        <w:rPr>
          <w:b/>
        </w:rPr>
        <w:t>:</w:t>
      </w:r>
      <w:r w:rsidR="00783831" w:rsidRPr="00267BCC">
        <w:rPr>
          <w:b/>
        </w:rPr>
        <w:t xml:space="preserve"> </w:t>
      </w:r>
    </w:p>
    <w:p w14:paraId="49640955" w14:textId="77777777" w:rsidR="006C45EA" w:rsidRPr="00267BCC" w:rsidRDefault="00A247DF" w:rsidP="00267BCC">
      <w:pPr>
        <w:pStyle w:val="Default"/>
        <w:numPr>
          <w:ilvl w:val="0"/>
          <w:numId w:val="7"/>
        </w:numPr>
        <w:jc w:val="both"/>
      </w:pPr>
      <w:r w:rsidRPr="00267BCC">
        <w:rPr>
          <w:i/>
        </w:rPr>
        <w:t>Esošās situ</w:t>
      </w:r>
      <w:r w:rsidR="00BF6162" w:rsidRPr="00267BCC">
        <w:rPr>
          <w:i/>
        </w:rPr>
        <w:t>ācijas tūrisma jomā Latvijā un pasaulē</w:t>
      </w:r>
      <w:r w:rsidR="00FE033A" w:rsidRPr="00267BCC">
        <w:rPr>
          <w:i/>
        </w:rPr>
        <w:t xml:space="preserve"> analīze</w:t>
      </w:r>
      <w:r w:rsidR="006C45EA" w:rsidRPr="00267BCC">
        <w:rPr>
          <w:i/>
        </w:rPr>
        <w:t>.</w:t>
      </w:r>
    </w:p>
    <w:p w14:paraId="49640956" w14:textId="77777777" w:rsidR="00FE033A" w:rsidRPr="00267BCC" w:rsidRDefault="006C45EA" w:rsidP="00267BCC">
      <w:pPr>
        <w:pStyle w:val="Default"/>
        <w:jc w:val="both"/>
      </w:pPr>
      <w:r w:rsidRPr="00267BCC">
        <w:t>I</w:t>
      </w:r>
      <w:r w:rsidR="00FE033A" w:rsidRPr="00267BCC">
        <w:t xml:space="preserve">etekmējošo faktoru un izaicinājumu identificēšana. </w:t>
      </w:r>
    </w:p>
    <w:p w14:paraId="49640957" w14:textId="77777777" w:rsidR="00CA7494" w:rsidRPr="00267BCC" w:rsidRDefault="00BF6162" w:rsidP="00267BCC">
      <w:pPr>
        <w:pStyle w:val="Default"/>
        <w:numPr>
          <w:ilvl w:val="0"/>
          <w:numId w:val="7"/>
        </w:numPr>
        <w:jc w:val="both"/>
      </w:pPr>
      <w:r w:rsidRPr="00267BCC">
        <w:rPr>
          <w:i/>
        </w:rPr>
        <w:t xml:space="preserve">Latvijas tūrismā </w:t>
      </w:r>
      <w:r w:rsidR="00CD3D82" w:rsidRPr="00267BCC">
        <w:rPr>
          <w:i/>
        </w:rPr>
        <w:t xml:space="preserve">iepriekš </w:t>
      </w:r>
      <w:r w:rsidR="00A247DF" w:rsidRPr="00267BCC">
        <w:rPr>
          <w:i/>
        </w:rPr>
        <w:t>veikto ieguldījumu</w:t>
      </w:r>
      <w:r w:rsidR="00CA7494" w:rsidRPr="00267BCC">
        <w:rPr>
          <w:i/>
        </w:rPr>
        <w:t xml:space="preserve"> </w:t>
      </w:r>
      <w:r w:rsidRPr="00267BCC">
        <w:rPr>
          <w:i/>
        </w:rPr>
        <w:t>analīze</w:t>
      </w:r>
      <w:r w:rsidR="007952CF" w:rsidRPr="00267BCC">
        <w:t>.</w:t>
      </w:r>
    </w:p>
    <w:p w14:paraId="49640958" w14:textId="77777777" w:rsidR="00BF6162" w:rsidRPr="00267BCC" w:rsidRDefault="00B67DA6" w:rsidP="00267BCC">
      <w:pPr>
        <w:pStyle w:val="Default"/>
        <w:numPr>
          <w:ilvl w:val="0"/>
          <w:numId w:val="7"/>
        </w:numPr>
        <w:jc w:val="both"/>
      </w:pPr>
      <w:r w:rsidRPr="00267BCC">
        <w:rPr>
          <w:i/>
        </w:rPr>
        <w:t>M</w:t>
      </w:r>
      <w:r w:rsidR="00CA7494" w:rsidRPr="00267BCC">
        <w:rPr>
          <w:i/>
        </w:rPr>
        <w:t>ērķu noteikšana</w:t>
      </w:r>
      <w:r w:rsidR="00CA7494" w:rsidRPr="00267BCC">
        <w:t>.</w:t>
      </w:r>
      <w:r w:rsidR="007952CF" w:rsidRPr="00267BCC">
        <w:t xml:space="preserve"> </w:t>
      </w:r>
    </w:p>
    <w:p w14:paraId="49640959" w14:textId="77777777" w:rsidR="006C45EA" w:rsidRPr="00267BCC" w:rsidRDefault="006C45EA" w:rsidP="00267BCC">
      <w:pPr>
        <w:pStyle w:val="Default"/>
        <w:numPr>
          <w:ilvl w:val="0"/>
          <w:numId w:val="7"/>
        </w:numPr>
        <w:jc w:val="both"/>
        <w:rPr>
          <w:i/>
        </w:rPr>
      </w:pPr>
      <w:r w:rsidRPr="00267BCC">
        <w:rPr>
          <w:i/>
        </w:rPr>
        <w:t>Tūrisma veidu potenciāla noteikšana.</w:t>
      </w:r>
    </w:p>
    <w:p w14:paraId="4964095A" w14:textId="77777777" w:rsidR="006C45EA" w:rsidRPr="00267BCC" w:rsidRDefault="006C45EA" w:rsidP="00267BCC">
      <w:pPr>
        <w:pStyle w:val="Default"/>
        <w:jc w:val="both"/>
      </w:pPr>
      <w:r w:rsidRPr="00267BCC">
        <w:t>Tiek vērtēts, kuri tūrisma veidi spēj sniegt lielāko ieguldījumu Pamatnostādnēs noteikto mērķu sasniegšanai.</w:t>
      </w:r>
    </w:p>
    <w:p w14:paraId="4964095B" w14:textId="77777777" w:rsidR="00FE033A" w:rsidRPr="00267BCC" w:rsidRDefault="00CD3D82" w:rsidP="00267BCC">
      <w:pPr>
        <w:pStyle w:val="Default"/>
        <w:numPr>
          <w:ilvl w:val="0"/>
          <w:numId w:val="7"/>
        </w:numPr>
        <w:jc w:val="both"/>
        <w:rPr>
          <w:i/>
        </w:rPr>
      </w:pPr>
      <w:r w:rsidRPr="00267BCC">
        <w:rPr>
          <w:i/>
        </w:rPr>
        <w:t>Reģionālais tūrisma novērtējums Latvijā</w:t>
      </w:r>
      <w:r w:rsidR="00FE033A" w:rsidRPr="00267BCC">
        <w:rPr>
          <w:i/>
        </w:rPr>
        <w:t>.</w:t>
      </w:r>
    </w:p>
    <w:p w14:paraId="4964095C" w14:textId="77777777" w:rsidR="00FE033A" w:rsidRPr="00263B9F" w:rsidRDefault="00FE033A" w:rsidP="00267BCC">
      <w:pPr>
        <w:pStyle w:val="Default"/>
        <w:jc w:val="both"/>
      </w:pPr>
      <w:r w:rsidRPr="00267BCC">
        <w:t xml:space="preserve">Tiek vērtēts esošais tūrisma piedāvājums un tā attīstības iespējas Latvijas reģionos - vērtēti esošie resursi, pieprasījuma un piedāvājuma attiecības, </w:t>
      </w:r>
      <w:r w:rsidR="00672F60" w:rsidRPr="00267BCC">
        <w:t>izaugsmes potenciāls, kā arī i</w:t>
      </w:r>
      <w:r w:rsidR="00CD3D82" w:rsidRPr="00267BCC">
        <w:t xml:space="preserve">dentificēti </w:t>
      </w:r>
      <w:r w:rsidR="00CA7494" w:rsidRPr="00267BCC">
        <w:t>k</w:t>
      </w:r>
      <w:r w:rsidR="00CD3D82" w:rsidRPr="00267BCC">
        <w:t>onkurētspējīgākie reģioni</w:t>
      </w:r>
      <w:r w:rsidRPr="00263B9F">
        <w:t>.</w:t>
      </w:r>
      <w:r w:rsidR="00A2498C" w:rsidRPr="00263B9F">
        <w:t xml:space="preserve"> Pamatnostādņu kontekstā tiek lietoti atšķirīgi jēdzieni attiecībā uz Latvijas „reģioniem”: „tūrisma”, „plāno</w:t>
      </w:r>
      <w:r w:rsidR="00424551" w:rsidRPr="00263B9F">
        <w:t>šanas” un „statistikas” (skatīt 2.</w:t>
      </w:r>
      <w:r w:rsidR="00A2498C" w:rsidRPr="00263B9F">
        <w:t>karti 3.pielikumā, taču vienmēr savstarpēji salīdzin</w:t>
      </w:r>
      <w:r w:rsidR="00121450" w:rsidRPr="00263B9F">
        <w:t xml:space="preserve">ošā kontekstā, kas </w:t>
      </w:r>
      <w:r w:rsidR="00076F7E" w:rsidRPr="00263B9F">
        <w:t>norādīts atsevišķi).</w:t>
      </w:r>
    </w:p>
    <w:p w14:paraId="4964095D" w14:textId="77777777" w:rsidR="00783831" w:rsidRPr="00267BCC" w:rsidRDefault="00CA7494" w:rsidP="00267BCC">
      <w:pPr>
        <w:pStyle w:val="Default"/>
        <w:numPr>
          <w:ilvl w:val="0"/>
          <w:numId w:val="7"/>
        </w:numPr>
        <w:jc w:val="both"/>
        <w:rPr>
          <w:i/>
        </w:rPr>
      </w:pPr>
      <w:r w:rsidRPr="00263B9F">
        <w:rPr>
          <w:i/>
        </w:rPr>
        <w:t>V</w:t>
      </w:r>
      <w:r w:rsidR="00783831" w:rsidRPr="00263B9F">
        <w:rPr>
          <w:i/>
        </w:rPr>
        <w:t xml:space="preserve">ajadzību noteikšana </w:t>
      </w:r>
      <w:r w:rsidRPr="00263B9F">
        <w:rPr>
          <w:i/>
        </w:rPr>
        <w:t>konkurētspējīgāko t</w:t>
      </w:r>
      <w:r w:rsidR="00783831" w:rsidRPr="00263B9F">
        <w:rPr>
          <w:i/>
        </w:rPr>
        <w:t>ūrisma veid</w:t>
      </w:r>
      <w:r w:rsidR="00DB637C" w:rsidRPr="00263B9F">
        <w:rPr>
          <w:i/>
        </w:rPr>
        <w:t>u attīstībai</w:t>
      </w:r>
      <w:r w:rsidR="00783831" w:rsidRPr="00263B9F">
        <w:rPr>
          <w:i/>
        </w:rPr>
        <w:t xml:space="preserve"> </w:t>
      </w:r>
      <w:r w:rsidRPr="00263B9F">
        <w:rPr>
          <w:i/>
        </w:rPr>
        <w:t>konkurētspējīgākajos</w:t>
      </w:r>
      <w:r w:rsidR="00D95816" w:rsidRPr="00267BCC">
        <w:rPr>
          <w:i/>
        </w:rPr>
        <w:t xml:space="preserve"> </w:t>
      </w:r>
      <w:r w:rsidR="00783831" w:rsidRPr="00267BCC">
        <w:rPr>
          <w:i/>
        </w:rPr>
        <w:t xml:space="preserve">reģionos. </w:t>
      </w:r>
    </w:p>
    <w:p w14:paraId="4964095E" w14:textId="77777777" w:rsidR="00783831" w:rsidRPr="00267BCC" w:rsidRDefault="00D95816" w:rsidP="00267BCC">
      <w:pPr>
        <w:pStyle w:val="Default"/>
        <w:jc w:val="both"/>
      </w:pPr>
      <w:r w:rsidRPr="00267BCC">
        <w:t xml:space="preserve">Izvērtējot </w:t>
      </w:r>
      <w:r w:rsidR="00783831" w:rsidRPr="00267BCC">
        <w:t>perspektīvo tūrisma v</w:t>
      </w:r>
      <w:r w:rsidR="00ED5351" w:rsidRPr="00267BCC">
        <w:t>e</w:t>
      </w:r>
      <w:r w:rsidR="00783831" w:rsidRPr="00267BCC">
        <w:t xml:space="preserve">idu </w:t>
      </w:r>
      <w:r w:rsidRPr="00267BCC">
        <w:t xml:space="preserve">attīstības iespējas </w:t>
      </w:r>
      <w:r w:rsidR="00783831" w:rsidRPr="00267BCC">
        <w:t>perspektīvajos</w:t>
      </w:r>
      <w:r w:rsidR="00A2498C" w:rsidRPr="00267BCC">
        <w:t xml:space="preserve"> </w:t>
      </w:r>
      <w:r w:rsidR="00A2498C" w:rsidRPr="00267BCC">
        <w:rPr>
          <w:u w:val="single"/>
        </w:rPr>
        <w:t>galamērķos</w:t>
      </w:r>
      <w:r w:rsidRPr="00267BCC">
        <w:t>,</w:t>
      </w:r>
      <w:r w:rsidR="00783831" w:rsidRPr="00267BCC">
        <w:t xml:space="preserve"> tiek identificētas vajadzības, kas nepieciešam</w:t>
      </w:r>
      <w:r w:rsidR="006D36CA" w:rsidRPr="00267BCC">
        <w:t>a</w:t>
      </w:r>
      <w:r w:rsidR="00783831" w:rsidRPr="00267BCC">
        <w:t xml:space="preserve">s un kas sekmētu turpmāku </w:t>
      </w:r>
      <w:r w:rsidR="006D36CA" w:rsidRPr="00267BCC">
        <w:t xml:space="preserve">tūrisma piedāvājuma </w:t>
      </w:r>
      <w:r w:rsidR="00783831" w:rsidRPr="00267BCC">
        <w:t xml:space="preserve">attīstību augstākas produktivitātes un ilgtspējas virzienā, kā arī veicinātu </w:t>
      </w:r>
      <w:r w:rsidR="0031056C" w:rsidRPr="00267BCC">
        <w:t>nozares</w:t>
      </w:r>
      <w:r w:rsidR="00783831" w:rsidRPr="00267BCC">
        <w:t xml:space="preserve"> konkurētspēj</w:t>
      </w:r>
      <w:r w:rsidR="006D36CA" w:rsidRPr="00267BCC">
        <w:t>as paaugstināšanos</w:t>
      </w:r>
      <w:r w:rsidR="00783831" w:rsidRPr="00267BCC">
        <w:t xml:space="preserve"> salīdzinājumā ar Igaunij</w:t>
      </w:r>
      <w:r w:rsidRPr="00267BCC">
        <w:t>as</w:t>
      </w:r>
      <w:r w:rsidR="00783831" w:rsidRPr="00267BCC">
        <w:t xml:space="preserve"> un Lietuv</w:t>
      </w:r>
      <w:r w:rsidRPr="00267BCC">
        <w:t>as tūrisma piedāvājumu</w:t>
      </w:r>
      <w:r w:rsidR="00783831" w:rsidRPr="00267BCC">
        <w:t xml:space="preserve">. </w:t>
      </w:r>
      <w:r w:rsidRPr="00267BCC">
        <w:t>T</w:t>
      </w:r>
      <w:r w:rsidR="005371BC" w:rsidRPr="00267BCC">
        <w:t>iek noteikti uzdev</w:t>
      </w:r>
      <w:r w:rsidR="00F76CBA" w:rsidRPr="00267BCC">
        <w:t>u</w:t>
      </w:r>
      <w:r w:rsidR="005371BC" w:rsidRPr="00267BCC">
        <w:t>mi</w:t>
      </w:r>
      <w:r w:rsidR="00783831" w:rsidRPr="00267BCC">
        <w:t xml:space="preserve"> vajadzību apmierināšanai un </w:t>
      </w:r>
      <w:r w:rsidR="00016E39" w:rsidRPr="00267BCC">
        <w:t>noteikto</w:t>
      </w:r>
      <w:r w:rsidRPr="00267BCC">
        <w:t xml:space="preserve"> </w:t>
      </w:r>
      <w:r w:rsidR="00783831" w:rsidRPr="00267BCC">
        <w:t>rezultāt</w:t>
      </w:r>
      <w:r w:rsidRPr="00267BCC">
        <w:t>u sasniegšanai</w:t>
      </w:r>
      <w:bookmarkStart w:id="5" w:name="_Toc321225369"/>
      <w:r w:rsidR="00016E39" w:rsidRPr="00267BCC">
        <w:t>.</w:t>
      </w:r>
    </w:p>
    <w:p w14:paraId="4964095F" w14:textId="77777777" w:rsidR="00CA7494" w:rsidRPr="00267BCC" w:rsidRDefault="00CD3D82" w:rsidP="00267BCC">
      <w:pPr>
        <w:pStyle w:val="ListParagraph"/>
        <w:numPr>
          <w:ilvl w:val="0"/>
          <w:numId w:val="7"/>
        </w:numPr>
        <w:spacing w:line="240" w:lineRule="auto"/>
        <w:contextualSpacing w:val="0"/>
        <w:jc w:val="both"/>
        <w:rPr>
          <w:rFonts w:ascii="Times New Roman" w:hAnsi="Times New Roman"/>
          <w:i/>
          <w:sz w:val="24"/>
          <w:szCs w:val="24"/>
          <w:lang w:val="lv-LV"/>
        </w:rPr>
      </w:pPr>
      <w:r w:rsidRPr="00267BCC">
        <w:rPr>
          <w:rFonts w:ascii="Times New Roman" w:hAnsi="Times New Roman"/>
          <w:i/>
          <w:sz w:val="24"/>
          <w:szCs w:val="24"/>
          <w:lang w:val="lv-LV"/>
        </w:rPr>
        <w:t>Būtiskāko u</w:t>
      </w:r>
      <w:r w:rsidR="00CA7494" w:rsidRPr="00267BCC">
        <w:rPr>
          <w:rFonts w:ascii="Times New Roman" w:hAnsi="Times New Roman"/>
          <w:i/>
          <w:sz w:val="24"/>
          <w:szCs w:val="24"/>
          <w:lang w:val="lv-LV"/>
        </w:rPr>
        <w:t>zdevum</w:t>
      </w:r>
      <w:r w:rsidR="006C45EA" w:rsidRPr="00267BCC">
        <w:rPr>
          <w:rFonts w:ascii="Times New Roman" w:hAnsi="Times New Roman"/>
          <w:i/>
          <w:sz w:val="24"/>
          <w:szCs w:val="24"/>
          <w:lang w:val="lv-LV"/>
        </w:rPr>
        <w:t>u</w:t>
      </w:r>
      <w:r w:rsidR="00CA7494" w:rsidRPr="00267BCC">
        <w:rPr>
          <w:rFonts w:ascii="Times New Roman" w:hAnsi="Times New Roman"/>
          <w:i/>
          <w:sz w:val="24"/>
          <w:szCs w:val="24"/>
          <w:lang w:val="lv-LV"/>
        </w:rPr>
        <w:t xml:space="preserve"> </w:t>
      </w:r>
      <w:r w:rsidR="006C45EA" w:rsidRPr="00267BCC">
        <w:rPr>
          <w:rFonts w:ascii="Times New Roman" w:hAnsi="Times New Roman"/>
          <w:i/>
          <w:sz w:val="24"/>
          <w:szCs w:val="24"/>
          <w:lang w:val="lv-LV"/>
        </w:rPr>
        <w:t xml:space="preserve">izvirzīšana un rīcības virzienu </w:t>
      </w:r>
      <w:r w:rsidR="00CA7494" w:rsidRPr="00267BCC">
        <w:rPr>
          <w:rFonts w:ascii="Times New Roman" w:hAnsi="Times New Roman"/>
          <w:i/>
          <w:sz w:val="24"/>
          <w:szCs w:val="24"/>
          <w:lang w:val="lv-LV"/>
        </w:rPr>
        <w:t>politikas mērķu sasniegšanai</w:t>
      </w:r>
      <w:r w:rsidR="006C45EA" w:rsidRPr="00267BCC">
        <w:rPr>
          <w:rFonts w:ascii="Times New Roman" w:hAnsi="Times New Roman"/>
          <w:i/>
          <w:sz w:val="24"/>
          <w:szCs w:val="24"/>
          <w:lang w:val="lv-LV"/>
        </w:rPr>
        <w:t xml:space="preserve"> noteikšana.</w:t>
      </w:r>
    </w:p>
    <w:p w14:paraId="49640960" w14:textId="77777777" w:rsidR="00911E5F" w:rsidRPr="00267BCC" w:rsidRDefault="00911E5F" w:rsidP="00267BCC">
      <w:pPr>
        <w:rPr>
          <w:rFonts w:eastAsia="Calibri"/>
          <w:lang w:val="lv-LV" w:eastAsia="en-US"/>
        </w:rPr>
      </w:pPr>
      <w:r w:rsidRPr="00267BCC">
        <w:rPr>
          <w:rFonts w:eastAsia="Calibri"/>
          <w:lang w:val="lv-LV" w:eastAsia="en-US"/>
        </w:rPr>
        <w:br w:type="page"/>
      </w:r>
    </w:p>
    <w:p w14:paraId="49640961" w14:textId="77777777" w:rsidR="00783831" w:rsidRPr="00267BCC" w:rsidRDefault="006D36CA" w:rsidP="00267BCC">
      <w:pPr>
        <w:pStyle w:val="Heading1"/>
        <w:numPr>
          <w:ilvl w:val="0"/>
          <w:numId w:val="24"/>
        </w:numPr>
        <w:rPr>
          <w:rFonts w:eastAsia="Calibri"/>
        </w:rPr>
      </w:pPr>
      <w:bookmarkStart w:id="6" w:name="_Toc381256648"/>
      <w:r w:rsidRPr="00267BCC">
        <w:rPr>
          <w:rFonts w:eastAsia="Calibri"/>
        </w:rPr>
        <w:lastRenderedPageBreak/>
        <w:t>Esošās s</w:t>
      </w:r>
      <w:r w:rsidR="00783831" w:rsidRPr="00267BCC">
        <w:rPr>
          <w:rFonts w:eastAsia="Calibri"/>
        </w:rPr>
        <w:t>ituācijas raksturojums</w:t>
      </w:r>
      <w:bookmarkEnd w:id="5"/>
      <w:bookmarkEnd w:id="6"/>
    </w:p>
    <w:p w14:paraId="49640962" w14:textId="77777777" w:rsidR="00783831" w:rsidRPr="00267BCC" w:rsidRDefault="00783831" w:rsidP="00267BCC">
      <w:pPr>
        <w:jc w:val="both"/>
        <w:rPr>
          <w:lang w:val="lv-LV"/>
        </w:rPr>
      </w:pPr>
    </w:p>
    <w:p w14:paraId="49640963" w14:textId="77777777" w:rsidR="00417CF0" w:rsidRPr="00267BCC" w:rsidRDefault="00417CF0" w:rsidP="00267BCC">
      <w:pPr>
        <w:pStyle w:val="Heading2"/>
        <w:numPr>
          <w:ilvl w:val="1"/>
          <w:numId w:val="24"/>
        </w:numPr>
        <w:ind w:left="1077"/>
        <w:rPr>
          <w:lang w:val="lv-LV"/>
        </w:rPr>
      </w:pPr>
      <w:bookmarkStart w:id="7" w:name="_Toc381256649"/>
      <w:r w:rsidRPr="00267BCC">
        <w:rPr>
          <w:lang w:val="lv-LV"/>
        </w:rPr>
        <w:t>Tūrisma attīstības tendences pasaulē</w:t>
      </w:r>
      <w:bookmarkEnd w:id="7"/>
    </w:p>
    <w:p w14:paraId="49640964" w14:textId="77777777" w:rsidR="00417CF0" w:rsidRPr="00267BCC" w:rsidRDefault="00417CF0" w:rsidP="00267BCC">
      <w:pPr>
        <w:jc w:val="both"/>
        <w:rPr>
          <w:lang w:val="lv-LV"/>
        </w:rPr>
      </w:pPr>
    </w:p>
    <w:p w14:paraId="49640965" w14:textId="77777777" w:rsidR="00417CF0" w:rsidRPr="00263B9F" w:rsidRDefault="00417CF0" w:rsidP="00267BCC">
      <w:pPr>
        <w:ind w:firstLine="720"/>
        <w:jc w:val="both"/>
        <w:rPr>
          <w:lang w:val="lv-LV"/>
        </w:rPr>
      </w:pPr>
      <w:r w:rsidRPr="00267BCC">
        <w:rPr>
          <w:lang w:val="lv-LV"/>
        </w:rPr>
        <w:t>Tūrisms ir viena no vadošajām eksporta nozarēm pasaulē, kas, neskatoties uz  daudzajiem izaicinājumiem un satricinājumiem, stabili attīstās. Nozarei īpaši izaicinošs bija 2009.gads, kad</w:t>
      </w:r>
      <w:r w:rsidRPr="00263B9F">
        <w:rPr>
          <w:lang w:val="lv-LV"/>
        </w:rPr>
        <w:t>, starptautiskā tūrisma plūsmai samazinoties par 4%</w:t>
      </w:r>
      <w:r w:rsidRPr="00263B9F">
        <w:rPr>
          <w:rStyle w:val="FootnoteReference"/>
          <w:lang w:val="lv-LV"/>
        </w:rPr>
        <w:footnoteReference w:id="1"/>
      </w:r>
      <w:r w:rsidRPr="00263B9F">
        <w:rPr>
          <w:lang w:val="lv-LV"/>
        </w:rPr>
        <w:t>, likvidēja gandrīz 5 miljonus darba vietu</w:t>
      </w:r>
      <w:r w:rsidRPr="00263B9F">
        <w:rPr>
          <w:rStyle w:val="FootnoteReference"/>
          <w:lang w:val="lv-LV"/>
        </w:rPr>
        <w:footnoteReference w:id="2"/>
      </w:r>
      <w:r w:rsidRPr="00263B9F">
        <w:rPr>
          <w:lang w:val="lv-LV"/>
        </w:rPr>
        <w:t>. Šobrīd tūrisma sektorā ir atgriezusies izaugsme – saskaņā ar PCTP rīcībā esošo informāciju 2012.gadā kopējais tūrisma industrijas īpatsvars pasaules IKP sasniedza 9,3%</w:t>
      </w:r>
      <w:r w:rsidRPr="00263B9F">
        <w:rPr>
          <w:rStyle w:val="FootnoteReference"/>
          <w:lang w:val="lv-LV"/>
        </w:rPr>
        <w:footnoteReference w:id="3"/>
      </w:r>
      <w:r w:rsidRPr="00263B9F">
        <w:rPr>
          <w:lang w:val="lv-LV"/>
        </w:rPr>
        <w:t>, nozarei pieaugot trešo gadu pēc kārtas un radot 4 miljonus jaunu darba vietu</w:t>
      </w:r>
      <w:r w:rsidRPr="00263B9F">
        <w:rPr>
          <w:rStyle w:val="FootnoteReference"/>
          <w:lang w:val="lv-LV"/>
        </w:rPr>
        <w:footnoteReference w:id="4"/>
      </w:r>
      <w:r w:rsidRPr="00263B9F">
        <w:rPr>
          <w:lang w:val="lv-LV"/>
        </w:rPr>
        <w:t>. Kopumā jāatzīmē, ka 2012.gadā tūrisma industrijas tiešā ieguldījuma IKP izaugsmes temps (+3,2%) ne tikai pārsniedza vidējo ekonomikas pieauguma tempu pasaulē (+2,3%), bet arī vairāku citu industriju, piemēram, rūpniecības, finanšu pakalpojumu vai mazumtirdzniecības apjoma pieaugumu.</w:t>
      </w:r>
      <w:r w:rsidRPr="00263B9F">
        <w:rPr>
          <w:rStyle w:val="FootnoteReference"/>
          <w:lang w:val="lv-LV"/>
        </w:rPr>
        <w:footnoteReference w:id="5"/>
      </w:r>
    </w:p>
    <w:p w14:paraId="49640966" w14:textId="77777777" w:rsidR="00417CF0" w:rsidRPr="00263B9F" w:rsidRDefault="00417CF0" w:rsidP="00267BCC">
      <w:pPr>
        <w:ind w:firstLine="720"/>
        <w:jc w:val="both"/>
        <w:rPr>
          <w:lang w:val="lv-LV"/>
        </w:rPr>
      </w:pPr>
      <w:r w:rsidRPr="00263B9F">
        <w:rPr>
          <w:lang w:val="lv-LV"/>
        </w:rPr>
        <w:t>PCTP prognozē, ka 2013.gadā kopējais tūrisma industrijas ieguldījums pasaules IKP pieaugs par 3,2%, savukārt ilgtermiņā (līdz 2023.gadam) varētu būt novērojama vēl straujāka izaugsme – pat vidēji 4,4% gadā.</w:t>
      </w:r>
      <w:r w:rsidRPr="00263B9F">
        <w:rPr>
          <w:rStyle w:val="FootnoteReference"/>
          <w:lang w:val="lv-LV"/>
        </w:rPr>
        <w:footnoteReference w:id="6"/>
      </w:r>
    </w:p>
    <w:p w14:paraId="49640967" w14:textId="77777777" w:rsidR="00417CF0" w:rsidRPr="00267BCC" w:rsidRDefault="00417CF0" w:rsidP="00267BCC">
      <w:pPr>
        <w:ind w:firstLine="720"/>
        <w:jc w:val="both"/>
        <w:rPr>
          <w:lang w:val="lv-LV"/>
        </w:rPr>
      </w:pPr>
      <w:r w:rsidRPr="00267BCC">
        <w:rPr>
          <w:lang w:val="lv-LV"/>
        </w:rPr>
        <w:t>Saskaņā ar ANPTO sniegto informāciju starptautisko tūristu skaits 2012.gadā pieauga par 4%, sasniedzot 1,035 miljardus un ģenerējot 837 miljardus EUR lielus ieņēmumus</w:t>
      </w:r>
      <w:r w:rsidRPr="00267BCC">
        <w:rPr>
          <w:rStyle w:val="FootnoteReference"/>
          <w:rFonts w:eastAsia="PMingLiU"/>
          <w:lang w:val="lv-LV"/>
        </w:rPr>
        <w:footnoteReference w:id="7"/>
      </w:r>
      <w:r w:rsidRPr="00267BCC">
        <w:rPr>
          <w:lang w:val="lv-LV"/>
        </w:rPr>
        <w:t xml:space="preserve">. Dalījumā pa reģioniem straujākais ceļotāju skaita pieaugums bija Āzijā un Okeānijā (+7%), kā arī Āfrikā (+6%), kamēr tūristu skaits, kas apmeklēja Eiropu, aizvadītajā gadā pieauga par </w:t>
      </w:r>
      <w:r w:rsidRPr="00267BCC">
        <w:rPr>
          <w:u w:val="single"/>
          <w:lang w:val="lv-LV"/>
        </w:rPr>
        <w:t>3,4</w:t>
      </w:r>
      <w:r w:rsidRPr="00267BCC">
        <w:rPr>
          <w:lang w:val="lv-LV"/>
        </w:rPr>
        <w:t xml:space="preserve">%, saglabājot tās pozīciju kā pasaulē visvairāk apmeklētajam tūrisma galamērķim. Kopējais ienākošo tūristu skaits Eiropā sasniedza </w:t>
      </w:r>
      <w:r w:rsidRPr="00263B9F">
        <w:rPr>
          <w:lang w:val="lv-LV"/>
        </w:rPr>
        <w:t>534,2 miljonus</w:t>
      </w:r>
      <w:r w:rsidRPr="00267BCC">
        <w:rPr>
          <w:lang w:val="lv-LV"/>
        </w:rPr>
        <w:t xml:space="preserve"> – par aptuveni 17 miljoniem vairāk nekā 2011.gadā.</w:t>
      </w:r>
      <w:r w:rsidRPr="00267BCC">
        <w:rPr>
          <w:rStyle w:val="FootnoteReference"/>
          <w:lang w:val="lv-LV"/>
        </w:rPr>
        <w:footnoteReference w:id="8"/>
      </w:r>
    </w:p>
    <w:p w14:paraId="49640968" w14:textId="77777777" w:rsidR="008A0981" w:rsidRPr="00267BCC" w:rsidRDefault="008A0981" w:rsidP="00267BCC">
      <w:pPr>
        <w:ind w:firstLine="720"/>
        <w:jc w:val="both"/>
        <w:rPr>
          <w:lang w:val="lv-LV"/>
        </w:rPr>
      </w:pPr>
    </w:p>
    <w:p w14:paraId="49640969" w14:textId="77777777" w:rsidR="00417CF0" w:rsidRPr="00267BCC" w:rsidRDefault="00417CF0" w:rsidP="00267BCC">
      <w:pPr>
        <w:jc w:val="right"/>
        <w:rPr>
          <w:lang w:val="lv-LV"/>
        </w:rPr>
      </w:pPr>
      <w:r w:rsidRPr="00267BCC">
        <w:rPr>
          <w:lang w:val="lv-LV"/>
        </w:rPr>
        <w:t>1.attēls</w:t>
      </w:r>
    </w:p>
    <w:p w14:paraId="4964096A" w14:textId="77777777" w:rsidR="00417CF0" w:rsidRPr="00267BCC" w:rsidRDefault="00417CF0" w:rsidP="00267BCC">
      <w:pPr>
        <w:jc w:val="center"/>
        <w:rPr>
          <w:b/>
          <w:lang w:val="lv-LV"/>
        </w:rPr>
      </w:pPr>
      <w:r w:rsidRPr="00267BCC">
        <w:rPr>
          <w:b/>
          <w:lang w:val="lv-LV"/>
        </w:rPr>
        <w:t>Tūristu skaits pasaulē 2012.gadā, miljonos</w:t>
      </w:r>
    </w:p>
    <w:p w14:paraId="4964096B" w14:textId="77777777" w:rsidR="00417CF0" w:rsidRPr="00267BCC" w:rsidRDefault="00417CF0" w:rsidP="00267BCC">
      <w:pPr>
        <w:jc w:val="center"/>
        <w:rPr>
          <w:lang w:val="lv-LV"/>
        </w:rPr>
      </w:pPr>
      <w:r w:rsidRPr="00267BCC">
        <w:rPr>
          <w:noProof/>
          <w:lang w:val="lv-LV"/>
        </w:rPr>
        <w:drawing>
          <wp:inline distT="0" distB="0" distL="0" distR="0" wp14:anchorId="49640EC0" wp14:editId="49640EC1">
            <wp:extent cx="3800475" cy="2143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64096C" w14:textId="77777777" w:rsidR="00417CF0" w:rsidRPr="00267BCC" w:rsidRDefault="00417CF0" w:rsidP="00267BCC">
      <w:pPr>
        <w:rPr>
          <w:sz w:val="20"/>
          <w:szCs w:val="20"/>
          <w:lang w:val="lv-LV"/>
        </w:rPr>
      </w:pPr>
      <w:r w:rsidRPr="00267BCC">
        <w:rPr>
          <w:sz w:val="20"/>
          <w:szCs w:val="20"/>
          <w:lang w:val="lv-LV"/>
        </w:rPr>
        <w:t xml:space="preserve">Datu avots: </w:t>
      </w:r>
      <w:r w:rsidRPr="00263B9F">
        <w:rPr>
          <w:sz w:val="20"/>
          <w:szCs w:val="20"/>
          <w:lang w:val="lv-LV"/>
        </w:rPr>
        <w:t>ANPTO Pasaules Tūrisma barometrs, Jūnijs 2013</w:t>
      </w:r>
    </w:p>
    <w:p w14:paraId="4964096D" w14:textId="77777777" w:rsidR="00417CF0" w:rsidRPr="00267BCC" w:rsidRDefault="00417CF0" w:rsidP="00267BCC">
      <w:pPr>
        <w:ind w:firstLine="720"/>
        <w:jc w:val="both"/>
        <w:rPr>
          <w:lang w:val="lv-LV"/>
        </w:rPr>
      </w:pPr>
    </w:p>
    <w:p w14:paraId="4964096E" w14:textId="77777777" w:rsidR="00417CF0" w:rsidRPr="00267BCC" w:rsidRDefault="00417CF0" w:rsidP="00267BCC">
      <w:pPr>
        <w:ind w:firstLine="720"/>
        <w:jc w:val="both"/>
        <w:rPr>
          <w:lang w:val="lv-LV"/>
        </w:rPr>
      </w:pPr>
      <w:r w:rsidRPr="00267BCC">
        <w:rPr>
          <w:lang w:val="lv-LV"/>
        </w:rPr>
        <w:t xml:space="preserve">ANPTO prognozē, ka nozares izaugsme, lai gan mazliet mērenākā tempā nekā 2012.gadā, turpināsies arī 2013.gadā (+3% līdz +4% robežās). Vislabākās izaugsmes izredzes </w:t>
      </w:r>
      <w:r w:rsidRPr="00267BCC">
        <w:rPr>
          <w:lang w:val="lv-LV"/>
        </w:rPr>
        <w:lastRenderedPageBreak/>
        <w:t>sagaidāmas Āzijā un Okeānijā (+5% un +6%), kam seko Āfrika (+4% līdz +6%), Amerika (+3% līdz +4%), Eiropa (+2% līdz +3%) un Tuvie Austrumi (0% līdz +5%). Līderpozīcijas līdzīgi kā 2012.gadā ieņems attīstības valstu ekonomikas.</w:t>
      </w:r>
      <w:r w:rsidRPr="00267BCC">
        <w:rPr>
          <w:rStyle w:val="FootnoteReference"/>
          <w:u w:val="single"/>
          <w:lang w:val="lv-LV"/>
        </w:rPr>
        <w:footnoteReference w:id="9"/>
      </w:r>
    </w:p>
    <w:p w14:paraId="4964096F" w14:textId="77777777" w:rsidR="00417CF0" w:rsidRPr="00267BCC" w:rsidRDefault="00417CF0" w:rsidP="00267BCC">
      <w:pPr>
        <w:ind w:firstLine="720"/>
        <w:jc w:val="both"/>
        <w:rPr>
          <w:lang w:val="lv-LV"/>
        </w:rPr>
      </w:pPr>
      <w:r w:rsidRPr="00263B9F">
        <w:rPr>
          <w:lang w:val="lv-LV"/>
        </w:rPr>
        <w:t>Saskaņā ar ANPTO sniegto informāciju</w:t>
      </w:r>
      <w:r w:rsidRPr="00267BCC">
        <w:rPr>
          <w:lang w:val="lv-LV"/>
        </w:rPr>
        <w:t xml:space="preserve"> pasaules mērogā arvien lielāku nozīmi ieņem tādi tūrisma tirgi kā Ķīna, Krievija, Brazīlija, Indija. Attīstoties šo valstu ekonomikai, tiek veicināts arī ceļotāju plūsmas pieaugums, kā arī ievērojami pieaug šo valstu tūristu kopējie izdevumi pasaulē. Pēc ANPTO datiem, 2012.gadā visvairāk naudas jeb </w:t>
      </w:r>
      <w:r w:rsidRPr="00263B9F">
        <w:rPr>
          <w:lang w:val="lv-LV"/>
        </w:rPr>
        <w:t>75,6 miljardus EUR</w:t>
      </w:r>
      <w:r w:rsidRPr="00267BCC">
        <w:rPr>
          <w:lang w:val="lv-LV"/>
        </w:rPr>
        <w:t xml:space="preserve"> ārvalstu ceļojumu laikā iztērēja tieši Ķīnas ceļotāji (+40% salīdzinājumā ar 2011.gadu, kad tika iztērēti </w:t>
      </w:r>
      <w:r w:rsidRPr="00263B9F">
        <w:rPr>
          <w:lang w:val="lv-LV"/>
        </w:rPr>
        <w:t>53,8 miljardi EUR),</w:t>
      </w:r>
      <w:r w:rsidRPr="00267BCC">
        <w:rPr>
          <w:lang w:val="lv-LV"/>
        </w:rPr>
        <w:t xml:space="preserve"> kas gan nav pārsteidzoši, ievērojot faktu, ka pēdējās desmitgades laikā Ķīna ir bijusi visstraujāk augošais tūrisma tirgus pasaulē – ārvalstu ceļojumu skaits, kurā devušies šīs valsts iedzīvotāji, pieaudzis no 10 miljoniem 2000.gadā līdz 83 miljoniem 2012.gadā. Arī citi jaunie tūrisma tirgi pēdējo desmit gadu laikā ir būtiski palielinājuši savu daļu pasaules tūrisma struktūrā – 2012.gadā Krievija pakāpās uz piekto vietu ceļotāju izdevumu ziņā (+32%), savukārt Brazīlija ierindojās 12.vietā.</w:t>
      </w:r>
      <w:r w:rsidRPr="00267BCC">
        <w:rPr>
          <w:rStyle w:val="FootnoteReference"/>
          <w:lang w:val="lv-LV"/>
        </w:rPr>
        <w:footnoteReference w:id="10"/>
      </w:r>
    </w:p>
    <w:p w14:paraId="49640970" w14:textId="77777777" w:rsidR="00417CF0" w:rsidRPr="00267BCC" w:rsidRDefault="00417CF0" w:rsidP="00267BCC">
      <w:pPr>
        <w:ind w:firstLine="720"/>
        <w:jc w:val="both"/>
        <w:rPr>
          <w:lang w:val="lv-LV"/>
        </w:rPr>
      </w:pPr>
      <w:r w:rsidRPr="00263B9F">
        <w:rPr>
          <w:lang w:val="lv-LV"/>
        </w:rPr>
        <w:t>ANPTO norāda</w:t>
      </w:r>
      <w:r w:rsidRPr="00267BCC">
        <w:rPr>
          <w:lang w:val="lv-LV"/>
        </w:rPr>
        <w:t>, ka, neraugoties uz straujākiem izaugsmes tempiem citos pasaules reģionos, 2012.gadā Eiropa joprojām bija visvairāk apmeklētais tūrisma galamērķis pasaulē, kurp devās vairāk nekā puse jeb 52% no visiem ārvalstu ceļotājiem pasaulē.</w:t>
      </w:r>
      <w:r w:rsidRPr="00CB19B5">
        <w:rPr>
          <w:rStyle w:val="FootnoteReference"/>
          <w:lang w:val="lv-LV"/>
        </w:rPr>
        <w:footnoteReference w:id="11"/>
      </w:r>
    </w:p>
    <w:p w14:paraId="49640971" w14:textId="77777777" w:rsidR="00417CF0" w:rsidRPr="00267BCC" w:rsidRDefault="00417CF0" w:rsidP="00267BCC">
      <w:pPr>
        <w:ind w:firstLine="720"/>
        <w:jc w:val="both"/>
        <w:rPr>
          <w:lang w:val="lv-LV"/>
        </w:rPr>
      </w:pPr>
    </w:p>
    <w:p w14:paraId="49640972" w14:textId="77777777" w:rsidR="00417CF0" w:rsidRPr="00267BCC" w:rsidRDefault="00417CF0" w:rsidP="00267BCC">
      <w:pPr>
        <w:ind w:firstLine="720"/>
        <w:jc w:val="right"/>
        <w:rPr>
          <w:color w:val="000000" w:themeColor="text1"/>
          <w:lang w:val="lv-LV"/>
        </w:rPr>
      </w:pPr>
      <w:r w:rsidRPr="00267BCC">
        <w:rPr>
          <w:color w:val="000000" w:themeColor="text1"/>
          <w:lang w:val="lv-LV"/>
        </w:rPr>
        <w:t>2.attēls</w:t>
      </w:r>
    </w:p>
    <w:p w14:paraId="49640973" w14:textId="77777777" w:rsidR="00417CF0" w:rsidRPr="00267BCC" w:rsidRDefault="00417CF0" w:rsidP="00267BCC">
      <w:pPr>
        <w:jc w:val="center"/>
        <w:rPr>
          <w:b/>
          <w:lang w:val="lv-LV"/>
        </w:rPr>
      </w:pPr>
      <w:r w:rsidRPr="00267BCC">
        <w:rPr>
          <w:b/>
          <w:lang w:val="lv-LV"/>
        </w:rPr>
        <w:t>Starptautisko tūristu skaita izmaiņas Eiropā, miljonos</w:t>
      </w:r>
    </w:p>
    <w:p w14:paraId="49640974" w14:textId="77777777" w:rsidR="00417CF0" w:rsidRPr="00267BCC" w:rsidRDefault="00417CF0" w:rsidP="00267BCC">
      <w:pPr>
        <w:jc w:val="center"/>
        <w:rPr>
          <w:color w:val="000000" w:themeColor="text1"/>
          <w:lang w:val="lv-LV"/>
        </w:rPr>
      </w:pPr>
      <w:r w:rsidRPr="00267BCC">
        <w:rPr>
          <w:noProof/>
          <w:lang w:val="lv-LV"/>
        </w:rPr>
        <w:drawing>
          <wp:inline distT="0" distB="0" distL="0" distR="0" wp14:anchorId="49640EC2" wp14:editId="49640EC3">
            <wp:extent cx="4810125" cy="2266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640975" w14:textId="77777777" w:rsidR="00417CF0" w:rsidRPr="00263B9F" w:rsidRDefault="00417CF0" w:rsidP="00267BCC">
      <w:pPr>
        <w:rPr>
          <w:sz w:val="20"/>
          <w:szCs w:val="20"/>
          <w:lang w:val="lv-LV"/>
        </w:rPr>
      </w:pPr>
      <w:r w:rsidRPr="00267BCC">
        <w:rPr>
          <w:sz w:val="20"/>
          <w:szCs w:val="20"/>
          <w:lang w:val="lv-LV"/>
        </w:rPr>
        <w:t>Datu avots</w:t>
      </w:r>
      <w:r w:rsidRPr="00263B9F">
        <w:rPr>
          <w:sz w:val="20"/>
          <w:szCs w:val="20"/>
          <w:lang w:val="lv-LV"/>
        </w:rPr>
        <w:t>:</w:t>
      </w:r>
      <w:r w:rsidRPr="00263B9F">
        <w:rPr>
          <w:lang w:val="lv-LV"/>
        </w:rPr>
        <w:t xml:space="preserve"> </w:t>
      </w:r>
      <w:r w:rsidRPr="00263B9F">
        <w:rPr>
          <w:sz w:val="20"/>
          <w:szCs w:val="20"/>
          <w:lang w:val="lv-LV"/>
        </w:rPr>
        <w:t>ANPTO Pasaules Tūrisma barometrs, Jūnijs 2013</w:t>
      </w:r>
    </w:p>
    <w:p w14:paraId="49640976" w14:textId="77777777" w:rsidR="00417CF0" w:rsidRPr="00267BCC" w:rsidRDefault="00417CF0" w:rsidP="00267BCC">
      <w:pPr>
        <w:jc w:val="both"/>
        <w:rPr>
          <w:lang w:val="lv-LV"/>
        </w:rPr>
      </w:pPr>
    </w:p>
    <w:p w14:paraId="49640977" w14:textId="77777777" w:rsidR="00AC555B" w:rsidRPr="00267BCC" w:rsidRDefault="00417CF0" w:rsidP="00267BCC">
      <w:pPr>
        <w:ind w:firstLine="720"/>
        <w:jc w:val="both"/>
        <w:rPr>
          <w:lang w:val="lv-LV"/>
        </w:rPr>
      </w:pPr>
      <w:r w:rsidRPr="00267BCC">
        <w:rPr>
          <w:lang w:val="lv-LV"/>
        </w:rPr>
        <w:t>Kā redzams 2.attēlā, ienākošo tūristu skaita ziņā top reģions Eiropā jau vairākus gadus pēc kārtas ir Dienvideiropa un Vidusjūras reģions</w:t>
      </w:r>
      <w:r w:rsidRPr="00267BCC">
        <w:rPr>
          <w:rStyle w:val="FootnoteReference"/>
          <w:rFonts w:eastAsia="PMingLiU"/>
          <w:lang w:val="lv-LV"/>
        </w:rPr>
        <w:footnoteReference w:id="12"/>
      </w:r>
      <w:r w:rsidRPr="00267BCC">
        <w:rPr>
          <w:lang w:val="lv-LV"/>
        </w:rPr>
        <w:t xml:space="preserve"> – 191,1 miljons apmeklētāju 2012.gadā, kā arī Rietumeiropa</w:t>
      </w:r>
      <w:r w:rsidRPr="00267BCC">
        <w:rPr>
          <w:rStyle w:val="FootnoteReference"/>
          <w:rFonts w:eastAsia="PMingLiU"/>
          <w:lang w:val="lv-LV"/>
        </w:rPr>
        <w:footnoteReference w:id="13"/>
      </w:r>
      <w:r w:rsidRPr="00267BCC">
        <w:rPr>
          <w:lang w:val="lv-LV"/>
        </w:rPr>
        <w:t xml:space="preserve"> – attiecīgi 166,6 miljoni apmeklētāju aizvadītajā gadā, taču visstraujākais tūristu skaita kāpums pēdējo divu gadu laikā vērojams tieši Centrālā un Austrumeiropā</w:t>
      </w:r>
      <w:r w:rsidRPr="00267BCC">
        <w:rPr>
          <w:rStyle w:val="FootnoteReference"/>
          <w:rFonts w:eastAsia="PMingLiU"/>
          <w:lang w:val="lv-LV"/>
        </w:rPr>
        <w:footnoteReference w:id="14"/>
      </w:r>
      <w:r w:rsidRPr="00267BCC">
        <w:rPr>
          <w:lang w:val="lv-LV"/>
        </w:rPr>
        <w:t>, kurā ietilpst arī Latvija, attiecīgi +9% 2011.gadā un +7% 2012.gadā. Ņemot vērā tradicionālo tūrisma galamērķu mērenos izaugsmes tempus aizvadītajā gadā (Ziemeļeiropa</w:t>
      </w:r>
      <w:r w:rsidRPr="00267BCC">
        <w:rPr>
          <w:rStyle w:val="FootnoteReference"/>
          <w:rFonts w:eastAsia="PMingLiU"/>
          <w:lang w:val="lv-LV"/>
        </w:rPr>
        <w:footnoteReference w:id="15"/>
      </w:r>
      <w:r w:rsidRPr="00267BCC">
        <w:rPr>
          <w:lang w:val="lv-LV"/>
        </w:rPr>
        <w:t xml:space="preserve"> - +1%, Rietumeiropa - +3%, Dienvideiropa - +2%), aizvien vairāk iezīmējas </w:t>
      </w:r>
      <w:r w:rsidRPr="00267BCC">
        <w:rPr>
          <w:lang w:val="lv-LV"/>
        </w:rPr>
        <w:lastRenderedPageBreak/>
        <w:t>Centrālās un Austrumeiropas reģiona pieaugošā loma Eiropas un arī visas pasaules tūrisma kartē.</w:t>
      </w:r>
      <w:r w:rsidRPr="00267BCC">
        <w:rPr>
          <w:rStyle w:val="FootnoteReference"/>
          <w:lang w:val="lv-LV"/>
        </w:rPr>
        <w:footnoteReference w:id="16"/>
      </w:r>
    </w:p>
    <w:p w14:paraId="49640978" w14:textId="77777777" w:rsidR="00141B00" w:rsidRPr="00267BCC" w:rsidRDefault="00141B00" w:rsidP="00267BCC">
      <w:pPr>
        <w:jc w:val="both"/>
        <w:rPr>
          <w:lang w:val="lv-LV"/>
        </w:rPr>
      </w:pPr>
    </w:p>
    <w:p w14:paraId="49640979" w14:textId="77777777" w:rsidR="00AC555B" w:rsidRPr="00267BCC" w:rsidRDefault="00AC555B" w:rsidP="00267BCC">
      <w:pPr>
        <w:pStyle w:val="Heading2"/>
        <w:numPr>
          <w:ilvl w:val="1"/>
          <w:numId w:val="24"/>
        </w:numPr>
        <w:rPr>
          <w:lang w:val="lv-LV"/>
        </w:rPr>
      </w:pPr>
      <w:bookmarkStart w:id="8" w:name="_Toc326234110"/>
      <w:bookmarkStart w:id="9" w:name="_Toc381256650"/>
      <w:r w:rsidRPr="00267BCC">
        <w:rPr>
          <w:lang w:val="lv-LV"/>
        </w:rPr>
        <w:t>Globālās tendences un izaicinājumi</w:t>
      </w:r>
      <w:bookmarkEnd w:id="8"/>
      <w:bookmarkEnd w:id="9"/>
    </w:p>
    <w:p w14:paraId="4964097A" w14:textId="77777777" w:rsidR="002C077D" w:rsidRPr="00267BCC" w:rsidRDefault="002C077D" w:rsidP="00267BCC">
      <w:pPr>
        <w:rPr>
          <w:lang w:val="lv-LV" w:eastAsia="en-US"/>
        </w:rPr>
      </w:pPr>
    </w:p>
    <w:p w14:paraId="4964097B" w14:textId="77777777" w:rsidR="00A934DC" w:rsidRPr="00267BCC" w:rsidRDefault="00AC555B" w:rsidP="00267BCC">
      <w:pPr>
        <w:ind w:firstLine="720"/>
        <w:jc w:val="both"/>
        <w:rPr>
          <w:lang w:val="lv-LV"/>
        </w:rPr>
      </w:pPr>
      <w:r w:rsidRPr="00267BCC">
        <w:rPr>
          <w:lang w:val="lv-LV"/>
        </w:rPr>
        <w:t>Ārējās vides raksturojums balstīts uz STEEP metodisko ietvaru, globālās tendences un</w:t>
      </w:r>
      <w:r w:rsidR="00E1630A" w:rsidRPr="00267BCC">
        <w:rPr>
          <w:lang w:val="lv-LV"/>
        </w:rPr>
        <w:t xml:space="preserve"> izaicinājumi raksturoti pēc L.</w:t>
      </w:r>
      <w:r w:rsidRPr="00267BCC">
        <w:rPr>
          <w:lang w:val="lv-LV"/>
        </w:rPr>
        <w:t>Dvaijera u.c.</w:t>
      </w:r>
      <w:r w:rsidRPr="00267BCC">
        <w:rPr>
          <w:rStyle w:val="FootnoteReference"/>
          <w:lang w:val="lv-LV"/>
        </w:rPr>
        <w:footnoteReference w:id="17"/>
      </w:r>
      <w:r w:rsidRPr="00267BCC">
        <w:rPr>
          <w:lang w:val="lv-LV"/>
        </w:rPr>
        <w:t xml:space="preserve">, </w:t>
      </w:r>
      <w:r w:rsidR="0081426F" w:rsidRPr="00267BCC">
        <w:rPr>
          <w:lang w:val="lv-LV"/>
        </w:rPr>
        <w:t>EM</w:t>
      </w:r>
      <w:r w:rsidRPr="00267BCC">
        <w:rPr>
          <w:rStyle w:val="FootnoteReference"/>
          <w:lang w:val="lv-LV"/>
        </w:rPr>
        <w:footnoteReference w:id="18"/>
      </w:r>
      <w:r w:rsidRPr="00267BCC">
        <w:rPr>
          <w:lang w:val="lv-LV"/>
        </w:rPr>
        <w:t xml:space="preserve">, </w:t>
      </w:r>
      <w:r w:rsidR="0081426F" w:rsidRPr="00267BCC">
        <w:rPr>
          <w:lang w:val="lv-LV"/>
        </w:rPr>
        <w:t>ANPTO</w:t>
      </w:r>
      <w:r w:rsidRPr="00267BCC">
        <w:rPr>
          <w:rStyle w:val="FootnoteReference"/>
          <w:lang w:val="lv-LV"/>
        </w:rPr>
        <w:footnoteReference w:id="19"/>
      </w:r>
      <w:r w:rsidR="0081426F" w:rsidRPr="00267BCC">
        <w:rPr>
          <w:lang w:val="lv-LV"/>
        </w:rPr>
        <w:t xml:space="preserve"> un citiem </w:t>
      </w:r>
      <w:r w:rsidRPr="00267BCC">
        <w:rPr>
          <w:lang w:val="lv-LV"/>
        </w:rPr>
        <w:t>atsevišķi minētiem pētījumiem.</w:t>
      </w:r>
      <w:r w:rsidRPr="00267BCC">
        <w:rPr>
          <w:b/>
          <w:lang w:val="lv-LV"/>
        </w:rPr>
        <w:t xml:space="preserve"> </w:t>
      </w:r>
      <w:r w:rsidRPr="00267BCC">
        <w:rPr>
          <w:lang w:val="lv-LV"/>
        </w:rPr>
        <w:t>Ārējie izaicinājumi ietekmēs tūrisma norises galamērķu un komersantu līmenī.</w:t>
      </w:r>
      <w:r w:rsidR="00A934DC" w:rsidRPr="00267BCC">
        <w:rPr>
          <w:lang w:val="lv-LV"/>
        </w:rPr>
        <w:t xml:space="preserve"> </w:t>
      </w:r>
    </w:p>
    <w:p w14:paraId="4964097C" w14:textId="77777777" w:rsidR="002E003D" w:rsidRPr="00267BCC" w:rsidRDefault="002E003D" w:rsidP="00267BCC">
      <w:pPr>
        <w:jc w:val="both"/>
        <w:rPr>
          <w:lang w:val="lv-LV"/>
        </w:rPr>
      </w:pPr>
    </w:p>
    <w:p w14:paraId="4964097D" w14:textId="77777777" w:rsidR="00AC555B" w:rsidRPr="00267BCC" w:rsidRDefault="00A934DC" w:rsidP="00267BCC">
      <w:pPr>
        <w:pStyle w:val="Heading3"/>
        <w:numPr>
          <w:ilvl w:val="2"/>
          <w:numId w:val="24"/>
        </w:numPr>
        <w:rPr>
          <w:lang w:val="lv-LV"/>
        </w:rPr>
      </w:pPr>
      <w:bookmarkStart w:id="10" w:name="_Toc381256651"/>
      <w:r w:rsidRPr="00267BCC">
        <w:rPr>
          <w:lang w:val="lv-LV"/>
        </w:rPr>
        <w:t>Sociālie faktori</w:t>
      </w:r>
      <w:bookmarkEnd w:id="10"/>
    </w:p>
    <w:p w14:paraId="4964097E" w14:textId="77777777" w:rsidR="0081426F" w:rsidRPr="00267BCC" w:rsidRDefault="0081426F" w:rsidP="00267BCC">
      <w:pPr>
        <w:ind w:firstLine="360"/>
        <w:jc w:val="both"/>
        <w:rPr>
          <w:bCs/>
          <w:lang w:val="lv-LV"/>
        </w:rPr>
      </w:pPr>
    </w:p>
    <w:p w14:paraId="4964097F" w14:textId="77777777" w:rsidR="00A934DC" w:rsidRPr="00267BCC" w:rsidRDefault="00A934DC" w:rsidP="00267BCC">
      <w:pPr>
        <w:ind w:firstLine="360"/>
        <w:jc w:val="both"/>
        <w:rPr>
          <w:bCs/>
          <w:lang w:val="lv-LV"/>
        </w:rPr>
      </w:pPr>
      <w:r w:rsidRPr="00267BCC">
        <w:rPr>
          <w:bCs/>
          <w:lang w:val="lv-LV"/>
        </w:rPr>
        <w:t xml:space="preserve">Pārejas posmā no standartizētiem pakalpojumiem uz pieredzes un rekomendāciju ekonomiku, notiek pārmaiņas arī cilvēku vērtībās un vajadzībās. Sociālās tendences ietekmē patērētāju rīcību, kas ir atkarīga arī no valsts attīstības līmeņa un citu nāciju kultūru </w:t>
      </w:r>
      <w:r w:rsidR="002C077D" w:rsidRPr="00267BCC">
        <w:rPr>
          <w:bCs/>
          <w:lang w:val="lv-LV"/>
        </w:rPr>
        <w:t xml:space="preserve">atšķirībām, kas </w:t>
      </w:r>
      <w:r w:rsidRPr="00267BCC">
        <w:rPr>
          <w:bCs/>
          <w:lang w:val="lv-LV"/>
        </w:rPr>
        <w:t xml:space="preserve">atbilstoši </w:t>
      </w:r>
      <w:r w:rsidR="002C077D" w:rsidRPr="00267BCC">
        <w:rPr>
          <w:bCs/>
          <w:lang w:val="lv-LV"/>
        </w:rPr>
        <w:t>jāpielāgo tūrisma piedāvājumam</w:t>
      </w:r>
      <w:r w:rsidRPr="00267BCC">
        <w:rPr>
          <w:bCs/>
          <w:lang w:val="lv-LV"/>
        </w:rPr>
        <w:t>.</w:t>
      </w:r>
    </w:p>
    <w:p w14:paraId="49640980" w14:textId="77777777" w:rsidR="0081426F" w:rsidRPr="00267BCC" w:rsidRDefault="0081426F" w:rsidP="00267BCC">
      <w:pPr>
        <w:ind w:firstLine="360"/>
        <w:jc w:val="both"/>
        <w:rPr>
          <w:bCs/>
          <w:lang w:val="lv-LV"/>
        </w:rPr>
      </w:pPr>
    </w:p>
    <w:p w14:paraId="49640981" w14:textId="77777777" w:rsidR="00A934DC" w:rsidRPr="00267BCC" w:rsidRDefault="00A934DC" w:rsidP="00267BCC">
      <w:pPr>
        <w:ind w:left="357" w:hanging="357"/>
        <w:jc w:val="both"/>
        <w:rPr>
          <w:bCs/>
          <w:i/>
          <w:lang w:val="lv-LV"/>
        </w:rPr>
      </w:pPr>
      <w:r w:rsidRPr="00267BCC">
        <w:rPr>
          <w:bCs/>
          <w:i/>
          <w:lang w:val="lv-LV"/>
        </w:rPr>
        <w:t>Naudas daudz–laika maz.</w:t>
      </w:r>
      <w:r w:rsidRPr="00267BCC">
        <w:rPr>
          <w:b/>
          <w:bCs/>
          <w:lang w:val="lv-LV"/>
        </w:rPr>
        <w:t xml:space="preserve"> </w:t>
      </w:r>
      <w:r w:rsidRPr="00267BCC">
        <w:rPr>
          <w:bCs/>
          <w:lang w:val="lv-LV"/>
        </w:rPr>
        <w:t>Attīstības zemēs palielināsies pieprasījums pēc īsajiem ceļojumiem, ko veicinās cilvēku ar raksturojumu „</w:t>
      </w:r>
      <w:r w:rsidRPr="00267BCC">
        <w:rPr>
          <w:bCs/>
          <w:i/>
          <w:lang w:val="lv-LV"/>
        </w:rPr>
        <w:t>naudas daudz-laika maz</w:t>
      </w:r>
      <w:r w:rsidRPr="00267BCC">
        <w:rPr>
          <w:bCs/>
          <w:lang w:val="lv-LV"/>
        </w:rPr>
        <w:t xml:space="preserve">” skaita pieaugums. Lielāka elastība darba stundu plānojumā var sniegt labumus darbiniekiem, kad doties brīvdienu ceļojumos. </w:t>
      </w:r>
      <w:r w:rsidR="002C077D" w:rsidRPr="00267BCC">
        <w:rPr>
          <w:bCs/>
          <w:lang w:val="lv-LV"/>
        </w:rPr>
        <w:t>Laika trūkumā</w:t>
      </w:r>
      <w:r w:rsidRPr="00267BCC">
        <w:rPr>
          <w:bCs/>
          <w:lang w:val="lv-LV"/>
        </w:rPr>
        <w:t xml:space="preserve"> esoši uzņēmēji pieaugoši palielinās brīvo laiku atpūtai darījuma braucienos.</w:t>
      </w:r>
    </w:p>
    <w:p w14:paraId="49640982" w14:textId="77777777" w:rsidR="00A934DC" w:rsidRPr="00267BCC" w:rsidRDefault="00A934DC" w:rsidP="00267BCC">
      <w:pPr>
        <w:ind w:left="360" w:hanging="360"/>
        <w:jc w:val="both"/>
        <w:rPr>
          <w:bCs/>
          <w:lang w:val="lv-LV"/>
        </w:rPr>
      </w:pPr>
      <w:r w:rsidRPr="00267BCC">
        <w:rPr>
          <w:bCs/>
          <w:i/>
          <w:lang w:val="lv-LV"/>
        </w:rPr>
        <w:t>Pieredzes dažādību meklējumi.</w:t>
      </w:r>
      <w:r w:rsidRPr="00267BCC">
        <w:rPr>
          <w:bCs/>
          <w:lang w:val="lv-LV"/>
        </w:rPr>
        <w:t xml:space="preserve"> Ceļotāji vēlas plašas rīcības iespējas galamērķī; meklē nebijušas sajūtu izpausmes, lielāku iesaisti pieredzes gūšanā, skatuvisku un radošu pakalpojuma pasniegšanu, līdzdarbību pakalpojuma radīšanā</w:t>
      </w:r>
      <w:r w:rsidRPr="00267BCC">
        <w:rPr>
          <w:rStyle w:val="FootnoteReference"/>
          <w:bCs/>
          <w:lang w:val="lv-LV"/>
        </w:rPr>
        <w:footnoteReference w:id="20"/>
      </w:r>
      <w:r w:rsidRPr="00267BCC">
        <w:rPr>
          <w:bCs/>
          <w:lang w:val="lv-LV"/>
        </w:rPr>
        <w:t>.</w:t>
      </w:r>
    </w:p>
    <w:p w14:paraId="49640983" w14:textId="77777777" w:rsidR="00A934DC" w:rsidRPr="00267BCC" w:rsidRDefault="00A934DC" w:rsidP="00267BCC">
      <w:pPr>
        <w:ind w:left="360" w:hanging="360"/>
        <w:jc w:val="both"/>
        <w:rPr>
          <w:bCs/>
          <w:lang w:val="lv-LV"/>
        </w:rPr>
      </w:pPr>
      <w:r w:rsidRPr="00267BCC">
        <w:rPr>
          <w:bCs/>
          <w:i/>
          <w:lang w:val="lv-LV"/>
        </w:rPr>
        <w:t xml:space="preserve">Eksperimentēšana. </w:t>
      </w:r>
      <w:r w:rsidRPr="00267BCC">
        <w:rPr>
          <w:bCs/>
          <w:lang w:val="lv-LV"/>
        </w:rPr>
        <w:t xml:space="preserve">Īpaši attīstības zemēs cilvēki ir tendēti uz lielāku vēlmi eksperimentēt, vēloties izjust jaunas emocijas. Taču viņi ir pārāk nepacietīgi, lai dotu otro iespēju pakalpojumam, kam jau sākotnēji nav izdevies nodrošināt cerēto apmierinājumu. </w:t>
      </w:r>
    </w:p>
    <w:p w14:paraId="49640984" w14:textId="77777777" w:rsidR="004A62A3" w:rsidRPr="00267BCC" w:rsidRDefault="00A934DC" w:rsidP="00267BCC">
      <w:pPr>
        <w:ind w:left="360" w:hanging="360"/>
        <w:jc w:val="both"/>
        <w:rPr>
          <w:bCs/>
          <w:lang w:val="lv-LV"/>
        </w:rPr>
      </w:pPr>
      <w:r w:rsidRPr="00267BCC">
        <w:rPr>
          <w:bCs/>
          <w:i/>
          <w:lang w:val="lv-LV"/>
        </w:rPr>
        <w:t xml:space="preserve">Individuālisms. </w:t>
      </w:r>
      <w:r w:rsidRPr="00267BCC">
        <w:rPr>
          <w:bCs/>
          <w:lang w:val="lv-LV"/>
        </w:rPr>
        <w:t xml:space="preserve">Cilvēki arvien vairāk izvēlas individualizētus ceļojumus, kas atbilst viņu prasībām un interesēm. Pieaugošs ceļotāju skaits meklēs piedzīvojumu iespējas un autentisku pieredzi pretstatā dalītam plaša patēriņa atpūtas piedāvājumam. Pieaug vēlme atklāt un būt ciešāk </w:t>
      </w:r>
      <w:r w:rsidR="00801ED7" w:rsidRPr="00267BCC">
        <w:rPr>
          <w:bCs/>
          <w:lang w:val="lv-LV"/>
        </w:rPr>
        <w:t>ie</w:t>
      </w:r>
      <w:r w:rsidRPr="00267BCC">
        <w:rPr>
          <w:bCs/>
          <w:lang w:val="lv-LV"/>
        </w:rPr>
        <w:t>saistītam apmeklētā galamērķa ikdienas dzīvē. Grupu ceļojumi vairāk specializēsies interešu virzienā</w:t>
      </w:r>
      <w:r w:rsidR="00801ED7" w:rsidRPr="00267BCC">
        <w:rPr>
          <w:bCs/>
          <w:lang w:val="lv-LV"/>
        </w:rPr>
        <w:t>,</w:t>
      </w:r>
      <w:r w:rsidRPr="00267BCC">
        <w:rPr>
          <w:bCs/>
          <w:lang w:val="lv-LV"/>
        </w:rPr>
        <w:t xml:space="preserve"> un būs raksturīgas skaitlisk</w:t>
      </w:r>
      <w:r w:rsidR="004A62A3" w:rsidRPr="00267BCC">
        <w:rPr>
          <w:bCs/>
          <w:lang w:val="lv-LV"/>
        </w:rPr>
        <w:t xml:space="preserve">i mazāka apjoma tūristu grupas. </w:t>
      </w:r>
    </w:p>
    <w:p w14:paraId="49640985" w14:textId="77777777" w:rsidR="00A934DC" w:rsidRPr="00267BCC" w:rsidRDefault="00A934DC" w:rsidP="00267BCC">
      <w:pPr>
        <w:ind w:left="284" w:hanging="284"/>
        <w:jc w:val="both"/>
        <w:rPr>
          <w:bCs/>
          <w:lang w:val="lv-LV"/>
        </w:rPr>
      </w:pPr>
      <w:r w:rsidRPr="00267BCC">
        <w:rPr>
          <w:bCs/>
          <w:i/>
          <w:lang w:val="lv-LV"/>
        </w:rPr>
        <w:t>Pašizaugsme un sevis pilnveide.</w:t>
      </w:r>
      <w:r w:rsidRPr="00267BCC">
        <w:rPr>
          <w:bCs/>
          <w:lang w:val="lv-LV"/>
        </w:rPr>
        <w:t xml:space="preserve"> Indivīdi attīstītās</w:t>
      </w:r>
      <w:r w:rsidR="002C077D" w:rsidRPr="00267BCC">
        <w:rPr>
          <w:bCs/>
          <w:lang w:val="lv-LV"/>
        </w:rPr>
        <w:t>,</w:t>
      </w:r>
      <w:r w:rsidR="00801ED7" w:rsidRPr="00267BCC">
        <w:rPr>
          <w:bCs/>
          <w:lang w:val="lv-LV"/>
        </w:rPr>
        <w:t xml:space="preserve"> sabiedrība</w:t>
      </w:r>
      <w:r w:rsidRPr="00267BCC">
        <w:rPr>
          <w:bCs/>
          <w:lang w:val="lv-LV"/>
        </w:rPr>
        <w:t xml:space="preserve"> vairāk tiecas uz sevis pilnveidi kā daļu no tūrisma pieredzes, aptverot veselību, izglītošanos, prasmju attīstību un kultūras izpratni. </w:t>
      </w:r>
      <w:r w:rsidR="00801ED7" w:rsidRPr="00267BCC">
        <w:rPr>
          <w:bCs/>
          <w:lang w:val="lv-LV"/>
        </w:rPr>
        <w:t>Līdz ar to t</w:t>
      </w:r>
      <w:r w:rsidRPr="00267BCC">
        <w:rPr>
          <w:bCs/>
          <w:lang w:val="lv-LV"/>
        </w:rPr>
        <w:t xml:space="preserve">ūrisma un ceļošanas pieredze </w:t>
      </w:r>
      <w:r w:rsidR="00801ED7" w:rsidRPr="00267BCC">
        <w:rPr>
          <w:bCs/>
          <w:lang w:val="lv-LV"/>
        </w:rPr>
        <w:t xml:space="preserve">aizvien </w:t>
      </w:r>
      <w:r w:rsidR="008537BB" w:rsidRPr="00267BCC">
        <w:rPr>
          <w:bCs/>
          <w:lang w:val="lv-LV"/>
        </w:rPr>
        <w:t>vairāk iekļausies pieaugošā „vidusslāņa” vērtībās un dzīves stilā</w:t>
      </w:r>
      <w:r w:rsidR="00801ED7" w:rsidRPr="00267BCC">
        <w:rPr>
          <w:bCs/>
          <w:lang w:val="lv-LV"/>
        </w:rPr>
        <w:t>. Pieaugo</w:t>
      </w:r>
      <w:r w:rsidRPr="00267BCC">
        <w:rPr>
          <w:bCs/>
          <w:lang w:val="lv-LV"/>
        </w:rPr>
        <w:t>šam cilvēku daudzumam brīvdienas no patēriņa formas kļūst par sava veida investīciju pašiem sevī.</w:t>
      </w:r>
    </w:p>
    <w:p w14:paraId="49640986" w14:textId="77777777" w:rsidR="00A934DC" w:rsidRPr="00267BCC" w:rsidRDefault="00A934DC" w:rsidP="00267BCC">
      <w:pPr>
        <w:ind w:left="360" w:hanging="360"/>
        <w:jc w:val="both"/>
        <w:rPr>
          <w:bCs/>
          <w:lang w:val="lv-LV"/>
        </w:rPr>
      </w:pPr>
      <w:r w:rsidRPr="00267BCC">
        <w:rPr>
          <w:bCs/>
          <w:i/>
          <w:lang w:val="lv-LV"/>
        </w:rPr>
        <w:t xml:space="preserve">Izdevīgu pirkumu meklējumi. </w:t>
      </w:r>
      <w:r w:rsidRPr="00267BCC">
        <w:rPr>
          <w:bCs/>
          <w:lang w:val="lv-LV"/>
        </w:rPr>
        <w:t>Cilvēki kļūst kritiskāki, mazāk lojāli, meklējot i</w:t>
      </w:r>
      <w:r w:rsidR="001362A6" w:rsidRPr="00267BCC">
        <w:rPr>
          <w:bCs/>
          <w:lang w:val="lv-LV"/>
        </w:rPr>
        <w:t xml:space="preserve">zdevīgumu – labāko piedāvājumu – </w:t>
      </w:r>
      <w:r w:rsidRPr="00267BCC">
        <w:rPr>
          <w:bCs/>
          <w:lang w:val="lv-LV"/>
        </w:rPr>
        <w:t>ne vienmēr par zemāko cenu. Pieaugs gatavība m</w:t>
      </w:r>
      <w:r w:rsidR="00381D73" w:rsidRPr="00267BCC">
        <w:rPr>
          <w:bCs/>
          <w:lang w:val="lv-LV"/>
        </w:rPr>
        <w:t>aksāt par kvalitatīvu pieredzi.</w:t>
      </w:r>
    </w:p>
    <w:p w14:paraId="49640987" w14:textId="77777777" w:rsidR="00A934DC" w:rsidRPr="00267BCC" w:rsidRDefault="00A934DC" w:rsidP="00267BCC">
      <w:pPr>
        <w:ind w:left="360" w:hanging="360"/>
        <w:jc w:val="both"/>
        <w:rPr>
          <w:bCs/>
          <w:lang w:val="lv-LV"/>
        </w:rPr>
      </w:pPr>
      <w:r w:rsidRPr="00267BCC">
        <w:rPr>
          <w:bCs/>
          <w:i/>
          <w:lang w:val="lv-LV"/>
        </w:rPr>
        <w:t>Pieaugoša sociālā un vides apziņa.</w:t>
      </w:r>
      <w:r w:rsidRPr="00267BCC">
        <w:rPr>
          <w:bCs/>
          <w:lang w:val="lv-LV"/>
        </w:rPr>
        <w:t xml:space="preserve"> Pieaugošs konflikts starp patēriņa ētisko pusi un </w:t>
      </w:r>
      <w:r w:rsidR="001362A6" w:rsidRPr="00267BCC">
        <w:rPr>
          <w:bCs/>
          <w:lang w:val="lv-LV"/>
        </w:rPr>
        <w:t>iegādāto</w:t>
      </w:r>
      <w:r w:rsidRPr="00267BCC">
        <w:rPr>
          <w:bCs/>
          <w:lang w:val="lv-LV"/>
        </w:rPr>
        <w:t xml:space="preserve"> pakalpojumu sociālo ietekmi uz vietējo sabiedrību. Turīgāki patērētāji arvien vairāk pievēršas ētiskam patēriņam</w:t>
      </w:r>
      <w:r w:rsidRPr="00267BCC">
        <w:rPr>
          <w:rStyle w:val="FootnoteReference"/>
          <w:bCs/>
          <w:lang w:val="lv-LV"/>
        </w:rPr>
        <w:footnoteReference w:id="21"/>
      </w:r>
      <w:r w:rsidR="008537BB" w:rsidRPr="00267BCC">
        <w:rPr>
          <w:bCs/>
          <w:lang w:val="lv-LV"/>
        </w:rPr>
        <w:t xml:space="preserve">, kas </w:t>
      </w:r>
      <w:r w:rsidRPr="00267BCC">
        <w:rPr>
          <w:bCs/>
          <w:lang w:val="lv-LV"/>
        </w:rPr>
        <w:t>saistīts ar vidi un sociālajiem jautājumiem.</w:t>
      </w:r>
    </w:p>
    <w:p w14:paraId="49640988" w14:textId="77777777" w:rsidR="00A934DC" w:rsidRPr="00267BCC" w:rsidRDefault="00A934DC" w:rsidP="00267BCC">
      <w:pPr>
        <w:ind w:left="284" w:hanging="284"/>
        <w:jc w:val="both"/>
        <w:rPr>
          <w:b/>
          <w:lang w:val="lv-LV"/>
        </w:rPr>
      </w:pPr>
      <w:r w:rsidRPr="00267BCC">
        <w:rPr>
          <w:bCs/>
          <w:i/>
          <w:lang w:val="lv-LV"/>
        </w:rPr>
        <w:lastRenderedPageBreak/>
        <w:t>Drošības apziņa.</w:t>
      </w:r>
      <w:r w:rsidRPr="00267BCC">
        <w:rPr>
          <w:bCs/>
          <w:lang w:val="lv-LV"/>
        </w:rPr>
        <w:t xml:space="preserve"> Tūristi arvien vairāk vēlas pārliecību, ka pirms </w:t>
      </w:r>
      <w:r w:rsidR="001362A6" w:rsidRPr="00267BCC">
        <w:rPr>
          <w:bCs/>
          <w:lang w:val="lv-LV"/>
        </w:rPr>
        <w:t>iegādāšanās</w:t>
      </w:r>
      <w:r w:rsidRPr="00267BCC">
        <w:rPr>
          <w:bCs/>
          <w:lang w:val="lv-LV"/>
        </w:rPr>
        <w:t xml:space="preserve"> solītie pakalpojumi būs droši. Tūrisma pakalpojumu sniedzējiem jāmazina iedomātais risks. Pieaugoša klientu rekomendāciju nozīme savstarpējā saziņas procesā.</w:t>
      </w:r>
    </w:p>
    <w:p w14:paraId="49640989" w14:textId="77777777" w:rsidR="004A62A3" w:rsidRPr="00267BCC" w:rsidRDefault="004A62A3" w:rsidP="00267BCC">
      <w:pPr>
        <w:pStyle w:val="Heading2"/>
        <w:rPr>
          <w:b w:val="0"/>
          <w:sz w:val="24"/>
          <w:szCs w:val="24"/>
          <w:lang w:val="lv-LV"/>
        </w:rPr>
      </w:pPr>
      <w:bookmarkStart w:id="11" w:name="_Toc326234112"/>
    </w:p>
    <w:p w14:paraId="4964098A" w14:textId="77777777" w:rsidR="004A62A3" w:rsidRPr="00267BCC" w:rsidRDefault="004A62A3" w:rsidP="00267BCC">
      <w:pPr>
        <w:pStyle w:val="Heading3"/>
        <w:numPr>
          <w:ilvl w:val="2"/>
          <w:numId w:val="24"/>
        </w:numPr>
        <w:rPr>
          <w:lang w:val="lv-LV"/>
        </w:rPr>
      </w:pPr>
      <w:bookmarkStart w:id="12" w:name="_Toc381256652"/>
      <w:r w:rsidRPr="00267BCC">
        <w:rPr>
          <w:lang w:val="lv-LV"/>
        </w:rPr>
        <w:t>Demogrāfiskie faktori</w:t>
      </w:r>
      <w:bookmarkEnd w:id="11"/>
      <w:bookmarkEnd w:id="12"/>
    </w:p>
    <w:p w14:paraId="4964098B" w14:textId="77777777" w:rsidR="00C26B6C" w:rsidRPr="00267BCC" w:rsidRDefault="00C26B6C" w:rsidP="00267BCC">
      <w:pPr>
        <w:ind w:left="357" w:hanging="360"/>
        <w:jc w:val="both"/>
        <w:rPr>
          <w:i/>
          <w:lang w:val="lv-LV"/>
        </w:rPr>
      </w:pPr>
    </w:p>
    <w:p w14:paraId="4964098C" w14:textId="77777777" w:rsidR="004A62A3" w:rsidRPr="00263B9F" w:rsidRDefault="004A62A3" w:rsidP="00267BCC">
      <w:pPr>
        <w:ind w:left="357" w:hanging="360"/>
        <w:jc w:val="both"/>
        <w:rPr>
          <w:lang w:val="lv-LV"/>
        </w:rPr>
      </w:pPr>
      <w:r w:rsidRPr="00267BCC">
        <w:rPr>
          <w:i/>
          <w:lang w:val="lv-LV"/>
        </w:rPr>
        <w:t>Veselība.</w:t>
      </w:r>
      <w:r w:rsidRPr="00267BCC">
        <w:rPr>
          <w:lang w:val="lv-LV"/>
        </w:rPr>
        <w:t xml:space="preserve"> Sabiedrībā pieaug rūpes par vesel</w:t>
      </w:r>
      <w:r w:rsidR="008537BB" w:rsidRPr="00267BCC">
        <w:rPr>
          <w:lang w:val="lv-LV"/>
        </w:rPr>
        <w:t>ību un labsajūtu</w:t>
      </w:r>
      <w:r w:rsidRPr="00267BCC">
        <w:rPr>
          <w:lang w:val="lv-LV"/>
        </w:rPr>
        <w:t>. Liela vērtība tiek piešķirta stresa pārvaldīšanas un novēršanas, kā arī pašdziedēšanās idejām. Augsti medicīnisko pakalpojumu standarti attīstītajās valstīs</w:t>
      </w:r>
      <w:r w:rsidR="00892A8A" w:rsidRPr="00267BCC">
        <w:rPr>
          <w:lang w:val="lv-LV"/>
        </w:rPr>
        <w:t xml:space="preserve"> veicina ilgdzīvotāju sabiedrības attīstību</w:t>
      </w:r>
      <w:r w:rsidRPr="00267BCC">
        <w:rPr>
          <w:lang w:val="lv-LV"/>
        </w:rPr>
        <w:t>. Tas veicinās pieprasījumu pēc dziedniecisko p</w:t>
      </w:r>
      <w:r w:rsidR="0099495B" w:rsidRPr="00267BCC">
        <w:rPr>
          <w:lang w:val="lv-LV"/>
        </w:rPr>
        <w:t>akalpojumu un tūrisma sasaistes</w:t>
      </w:r>
      <w:r w:rsidRPr="00267BCC">
        <w:rPr>
          <w:lang w:val="lv-LV"/>
        </w:rPr>
        <w:t xml:space="preserve">. Tas </w:t>
      </w:r>
      <w:r w:rsidR="00892A8A" w:rsidRPr="00267BCC">
        <w:rPr>
          <w:lang w:val="lv-LV"/>
        </w:rPr>
        <w:t>paver</w:t>
      </w:r>
      <w:r w:rsidRPr="00267BCC">
        <w:rPr>
          <w:lang w:val="lv-LV"/>
        </w:rPr>
        <w:t xml:space="preserve"> iespējas kvalitatīviem SPA vai tra</w:t>
      </w:r>
      <w:r w:rsidR="0099495B" w:rsidRPr="00267BCC">
        <w:rPr>
          <w:lang w:val="lv-LV"/>
        </w:rPr>
        <w:t xml:space="preserve">dicionālās pirts pakalpojumiem. </w:t>
      </w:r>
      <w:r w:rsidRPr="00267BCC">
        <w:rPr>
          <w:lang w:val="lv-LV"/>
        </w:rPr>
        <w:t>Cilvēki arvien vairāk pievērš uzmanību veselības uzlabošanai, diētām, dabīgam un veselīgam ēdienam, veselīgam dzīves stilam, skaistumkopšanai un sportam, tādējādi kompensējot mazkustīgo dzīvesveidu, līdz ar to pieaug pieprasījums pēc tūrisma produktiem šajā sektorā</w:t>
      </w:r>
      <w:r w:rsidRPr="00263B9F">
        <w:rPr>
          <w:lang w:val="lv-LV"/>
        </w:rPr>
        <w:t>.</w:t>
      </w:r>
      <w:r w:rsidR="00BF75F0" w:rsidRPr="00263B9F">
        <w:rPr>
          <w:lang w:val="lv-LV"/>
        </w:rPr>
        <w:t xml:space="preserve"> Īpaši būtiski šis faktors ir personām ar invaliditāti un iespējas izmantot tūrisma pakalpojumus veselības uzlabošanas, rekreācijas un rehabilitācijas kontekstā.</w:t>
      </w:r>
    </w:p>
    <w:p w14:paraId="4964098D" w14:textId="77777777" w:rsidR="004A62A3" w:rsidRPr="00267BCC" w:rsidRDefault="004A62A3" w:rsidP="00267BCC">
      <w:pPr>
        <w:ind w:left="426" w:hanging="426"/>
        <w:jc w:val="both"/>
        <w:rPr>
          <w:lang w:val="lv-LV"/>
        </w:rPr>
      </w:pPr>
      <w:r w:rsidRPr="00267BCC">
        <w:rPr>
          <w:i/>
          <w:lang w:val="lv-LV"/>
        </w:rPr>
        <w:t>Apdzīvotība un novecošanās.</w:t>
      </w:r>
      <w:r w:rsidRPr="00267BCC">
        <w:rPr>
          <w:lang w:val="lv-LV"/>
        </w:rPr>
        <w:t xml:space="preserve"> Pieaug pasaules iedzīvotāju skaits, taču raksturīga arī gados veco cilvēku proporcionāla palielināšanās, īpaši Eiropā. Tā sauktie </w:t>
      </w:r>
      <w:r w:rsidRPr="00267BCC">
        <w:rPr>
          <w:i/>
          <w:lang w:val="lv-LV"/>
        </w:rPr>
        <w:t>baby boomers</w:t>
      </w:r>
      <w:r w:rsidRPr="00267BCC">
        <w:rPr>
          <w:lang w:val="lv-LV"/>
        </w:rPr>
        <w:t xml:space="preserve"> pieprasa pakalpojumus un produktus, kas atbilst viņu vecuma vajadzībām</w:t>
      </w:r>
      <w:r w:rsidRPr="00267BCC">
        <w:rPr>
          <w:rStyle w:val="FootnoteReference"/>
          <w:lang w:val="lv-LV"/>
        </w:rPr>
        <w:footnoteReference w:id="22"/>
      </w:r>
      <w:r w:rsidRPr="00267BCC">
        <w:rPr>
          <w:lang w:val="lv-LV"/>
        </w:rPr>
        <w:t>. Seniori ceļos vairāk, taču vienlaicīgi pieaugs pensionēšanās vecums. Sabiedrības novecošanās rada izmaiņas tūristu struktūrā, veidojot jaunus segmentus.</w:t>
      </w:r>
    </w:p>
    <w:p w14:paraId="4964098E" w14:textId="77777777" w:rsidR="004A62A3" w:rsidRPr="00267BCC" w:rsidRDefault="004A62A3" w:rsidP="00267BCC">
      <w:pPr>
        <w:ind w:left="360" w:hanging="360"/>
        <w:jc w:val="both"/>
        <w:rPr>
          <w:lang w:val="lv-LV"/>
        </w:rPr>
      </w:pPr>
      <w:r w:rsidRPr="00267BCC">
        <w:rPr>
          <w:i/>
          <w:lang w:val="lv-LV"/>
        </w:rPr>
        <w:t>Urbanizācija.</w:t>
      </w:r>
      <w:r w:rsidRPr="00267BCC">
        <w:rPr>
          <w:lang w:val="lv-LV"/>
        </w:rPr>
        <w:t xml:space="preserve"> Globāli pastiprināsies urbanizācijas tendence. Ceļotāji labprāt dos priekšroku brīvdienu pavadīšanai ārpus pūļa, taču ir ļoti plašas globālas izvēles iespējas – vietu konkurence. Pieaugs ceļotāju motivācijas „aizbēgt” vai „ļauties ārpus pilsētu vaļaspriekiem”, akcentējot lauku un savvaļas dabas, piedzīvojumu tūrisma virzienu.</w:t>
      </w:r>
    </w:p>
    <w:p w14:paraId="4964098F" w14:textId="77777777" w:rsidR="004A62A3" w:rsidRPr="00267BCC" w:rsidRDefault="004A62A3" w:rsidP="00267BCC">
      <w:pPr>
        <w:ind w:left="360" w:hanging="360"/>
        <w:jc w:val="both"/>
        <w:rPr>
          <w:lang w:val="lv-LV"/>
        </w:rPr>
      </w:pPr>
      <w:r w:rsidRPr="00267BCC">
        <w:rPr>
          <w:i/>
          <w:lang w:val="lv-LV"/>
        </w:rPr>
        <w:t>Mainīgas sociālās struktūras.</w:t>
      </w:r>
      <w:r w:rsidRPr="00267BCC">
        <w:rPr>
          <w:lang w:val="lv-LV"/>
        </w:rPr>
        <w:t xml:space="preserve"> Mājsaimniecību veidi attīstītajās ekonomikas valstīs dažādojas, attālinoties no tradicionālā ģimenes „kodola”. Izmaiņas turpināsies, saglabājoties tradicionālajām ģimenes brīvdienām. Veiksmīgas tirgvedības stratēģijas nozīmēs pētīt ne tikai šādu segmentu izturēšanos, bet arī viņu domāšanu un motivāciju.</w:t>
      </w:r>
    </w:p>
    <w:p w14:paraId="49640990" w14:textId="77777777" w:rsidR="004A62A3" w:rsidRPr="00267BCC" w:rsidRDefault="004A62A3" w:rsidP="00267BCC">
      <w:pPr>
        <w:ind w:left="360" w:hanging="360"/>
        <w:jc w:val="both"/>
        <w:rPr>
          <w:lang w:val="lv-LV"/>
        </w:rPr>
      </w:pPr>
      <w:r w:rsidRPr="00267BCC">
        <w:rPr>
          <w:i/>
          <w:lang w:val="lv-LV"/>
        </w:rPr>
        <w:t>Dzimums.</w:t>
      </w:r>
      <w:r w:rsidRPr="00267BCC">
        <w:rPr>
          <w:lang w:val="lv-LV"/>
        </w:rPr>
        <w:t xml:space="preserve"> Pieaug dzimumu līdztiesība, sabiedrība </w:t>
      </w:r>
      <w:r w:rsidRPr="00267BCC">
        <w:rPr>
          <w:i/>
          <w:lang w:val="lv-LV"/>
        </w:rPr>
        <w:t>feminizējas</w:t>
      </w:r>
      <w:r w:rsidRPr="00267BCC">
        <w:rPr>
          <w:lang w:val="lv-LV"/>
        </w:rPr>
        <w:t>, arvien vairāk izzūdot tradicionālajai robežai starp pieņemtajām vīriešu un sieviešu lomām. Sievietēm ir pieaugoša loma tūrisma patēriņa lēmumu pieņemšanā</w:t>
      </w:r>
      <w:r w:rsidRPr="00267BCC">
        <w:rPr>
          <w:rStyle w:val="FootnoteReference"/>
          <w:lang w:val="lv-LV"/>
        </w:rPr>
        <w:footnoteReference w:id="23"/>
      </w:r>
      <w:r w:rsidRPr="00267BCC">
        <w:rPr>
          <w:lang w:val="lv-LV"/>
        </w:rPr>
        <w:t>.</w:t>
      </w:r>
    </w:p>
    <w:p w14:paraId="49640991" w14:textId="77777777" w:rsidR="00A934DC" w:rsidRPr="00263B9F" w:rsidRDefault="004A62A3" w:rsidP="00267BCC">
      <w:pPr>
        <w:ind w:left="426" w:hanging="426"/>
        <w:jc w:val="both"/>
        <w:rPr>
          <w:lang w:val="lv-LV"/>
        </w:rPr>
      </w:pPr>
      <w:r w:rsidRPr="00267BCC">
        <w:rPr>
          <w:i/>
          <w:lang w:val="lv-LV"/>
        </w:rPr>
        <w:t>Izglītība.</w:t>
      </w:r>
      <w:r w:rsidRPr="00267BCC">
        <w:rPr>
          <w:lang w:val="lv-LV"/>
        </w:rPr>
        <w:t xml:space="preserve"> Globalizēta ekonomika un tehnoloģiskās pārmaiņas pieprasa augstāk kvalificētu darbaspēku. Pieaugoš</w:t>
      </w:r>
      <w:r w:rsidR="001A143D" w:rsidRPr="00267BCC">
        <w:rPr>
          <w:lang w:val="lv-LV"/>
        </w:rPr>
        <w:t>ai</w:t>
      </w:r>
      <w:r w:rsidRPr="00267BCC">
        <w:rPr>
          <w:lang w:val="lv-LV"/>
        </w:rPr>
        <w:t xml:space="preserve">s izglītības līmenis ir viens no tiešā veidā ietekmējošiem priekšnoteikumiem galamērķa un uzņēmumu veiksmei. </w:t>
      </w:r>
      <w:r w:rsidR="00BF75F0" w:rsidRPr="00263B9F">
        <w:rPr>
          <w:lang w:val="lv-LV"/>
        </w:rPr>
        <w:t>Tajā skaitā tas ir saistīts ar inovatīvo mācību metožu un līdzekļu izmantošanu, kā arī mūžizglītības principa ieviešanu</w:t>
      </w:r>
      <w:r w:rsidRPr="00263B9F">
        <w:rPr>
          <w:lang w:val="lv-LV"/>
        </w:rPr>
        <w:t>. Latvijā pieaugs teorētisko un lietišķo pētījumu rezultātu iesaistes nozīme nozares attīstībai.</w:t>
      </w:r>
      <w:r w:rsidR="00F2117A" w:rsidRPr="00085EAA">
        <w:rPr>
          <w:lang w:val="lv-LV"/>
        </w:rPr>
        <w:t xml:space="preserve"> </w:t>
      </w:r>
      <w:r w:rsidR="00F2117A" w:rsidRPr="00263B9F">
        <w:rPr>
          <w:lang w:val="lv-LV"/>
        </w:rPr>
        <w:t>Būtisks aspekts tūrisma produktu attīstībā ir pētījumi, kas saistīti ar jaunu produktu attīstības iespējām vietējā un valsts, kā arī starptautiskā līmenī, uzsverot universitāšu, augstskolu un koledžu lomu šādu pētījumu veikšanā.</w:t>
      </w:r>
    </w:p>
    <w:p w14:paraId="49640992" w14:textId="77777777" w:rsidR="00805E43" w:rsidRPr="00267BCC" w:rsidRDefault="00805E43" w:rsidP="00267BCC">
      <w:pPr>
        <w:pStyle w:val="Heading2"/>
        <w:rPr>
          <w:b w:val="0"/>
          <w:sz w:val="24"/>
          <w:szCs w:val="24"/>
          <w:lang w:val="lv-LV"/>
        </w:rPr>
      </w:pPr>
      <w:bookmarkStart w:id="13" w:name="_Toc326234113"/>
    </w:p>
    <w:p w14:paraId="49640993" w14:textId="77777777" w:rsidR="00805E43" w:rsidRPr="00267BCC" w:rsidRDefault="00805E43" w:rsidP="00267BCC">
      <w:pPr>
        <w:pStyle w:val="Heading3"/>
        <w:numPr>
          <w:ilvl w:val="2"/>
          <w:numId w:val="24"/>
        </w:numPr>
        <w:rPr>
          <w:lang w:val="lv-LV"/>
        </w:rPr>
      </w:pPr>
      <w:bookmarkStart w:id="14" w:name="_Toc381256653"/>
      <w:r w:rsidRPr="00267BCC">
        <w:rPr>
          <w:lang w:val="lv-LV"/>
        </w:rPr>
        <w:t>Ekonomiskie faktori</w:t>
      </w:r>
      <w:bookmarkEnd w:id="13"/>
      <w:bookmarkEnd w:id="14"/>
    </w:p>
    <w:p w14:paraId="49640994" w14:textId="77777777" w:rsidR="008C313A" w:rsidRPr="00267BCC" w:rsidRDefault="008C313A" w:rsidP="00267BCC">
      <w:pPr>
        <w:ind w:left="360" w:hanging="360"/>
        <w:jc w:val="both"/>
        <w:rPr>
          <w:bCs/>
          <w:lang w:val="lv-LV"/>
        </w:rPr>
      </w:pPr>
    </w:p>
    <w:p w14:paraId="49640995" w14:textId="77777777" w:rsidR="00805E43" w:rsidRPr="00267BCC" w:rsidRDefault="00805E43" w:rsidP="00267BCC">
      <w:pPr>
        <w:ind w:left="360" w:hanging="360"/>
        <w:jc w:val="both"/>
        <w:rPr>
          <w:bCs/>
          <w:lang w:val="lv-LV"/>
        </w:rPr>
      </w:pPr>
      <w:r w:rsidRPr="00267BCC">
        <w:rPr>
          <w:bCs/>
          <w:i/>
          <w:lang w:val="lv-LV"/>
        </w:rPr>
        <w:t>Pieaugoša privātā sektora nozīme</w:t>
      </w:r>
      <w:r w:rsidRPr="00267BCC">
        <w:rPr>
          <w:bCs/>
          <w:lang w:val="lv-LV"/>
        </w:rPr>
        <w:t>.</w:t>
      </w:r>
      <w:r w:rsidRPr="00267BCC">
        <w:rPr>
          <w:b/>
          <w:bCs/>
          <w:lang w:val="lv-LV"/>
        </w:rPr>
        <w:t xml:space="preserve"> </w:t>
      </w:r>
      <w:r w:rsidRPr="00267BCC">
        <w:rPr>
          <w:bCs/>
          <w:lang w:val="lv-LV"/>
        </w:rPr>
        <w:t xml:space="preserve">Straujā privātā uzņēmējdarbības sektora izaugsme daudzās strauji attīstošajās tirgus ekonomikas valstīs veicinās ekonomisko izaugsmi, radot </w:t>
      </w:r>
      <w:r w:rsidRPr="00267BCC">
        <w:rPr>
          <w:bCs/>
          <w:lang w:val="lv-LV"/>
        </w:rPr>
        <w:lastRenderedPageBreak/>
        <w:t>konkurences spiedienu resursu efektīvākai izmantošanai.</w:t>
      </w:r>
      <w:r w:rsidRPr="00267BCC">
        <w:rPr>
          <w:b/>
          <w:bCs/>
          <w:lang w:val="lv-LV"/>
        </w:rPr>
        <w:t xml:space="preserve"> </w:t>
      </w:r>
      <w:r w:rsidRPr="00267BCC">
        <w:rPr>
          <w:bCs/>
          <w:lang w:val="lv-LV"/>
        </w:rPr>
        <w:t>Jāveicina privāto sadarbības iniciatīvu attīstīšana un lielāka iesaiste galamērķu pārvaldībā.</w:t>
      </w:r>
    </w:p>
    <w:p w14:paraId="49640996" w14:textId="77777777" w:rsidR="00805E43" w:rsidRPr="00267BCC" w:rsidRDefault="00805E43" w:rsidP="00267BCC">
      <w:pPr>
        <w:ind w:left="360" w:hanging="360"/>
        <w:jc w:val="both"/>
        <w:rPr>
          <w:bCs/>
          <w:lang w:val="lv-LV"/>
        </w:rPr>
      </w:pPr>
      <w:r w:rsidRPr="00267BCC">
        <w:rPr>
          <w:bCs/>
          <w:i/>
          <w:lang w:val="lv-LV"/>
        </w:rPr>
        <w:t>Pilnveidota makroekonomiskā politika.</w:t>
      </w:r>
      <w:r w:rsidRPr="00267BCC">
        <w:rPr>
          <w:bCs/>
          <w:lang w:val="lv-LV"/>
        </w:rPr>
        <w:t xml:space="preserve"> Plaša ekonomiskās politikas pilnveide un pārorganizēšana veido pamatu tūrisma izaugsmei nākotnē. Finanšu krīze lokāli īstermiņā ierobežojusi pieeju kreditēšanas finanšu resursiem, taču radījusi iespējas jaunu nišu attīstībai. T</w:t>
      </w:r>
      <w:r w:rsidR="00912420" w:rsidRPr="00267BCC">
        <w:rPr>
          <w:bCs/>
          <w:lang w:val="lv-LV"/>
        </w:rPr>
        <w:t>ūrisma plūsmas samazinājums devis</w:t>
      </w:r>
      <w:r w:rsidRPr="00267BCC">
        <w:rPr>
          <w:bCs/>
          <w:lang w:val="lv-LV"/>
        </w:rPr>
        <w:t xml:space="preserve"> ierosmi līdzšinējo tirgvedības stratēģiju pārskatīšanai, resursu konsolidācijai un ciešākas sadarbības meklēšanai.</w:t>
      </w:r>
    </w:p>
    <w:p w14:paraId="49640997" w14:textId="77777777" w:rsidR="00805E43" w:rsidRPr="00267BCC" w:rsidRDefault="00805E43" w:rsidP="00267BCC">
      <w:pPr>
        <w:ind w:left="360" w:hanging="360"/>
        <w:jc w:val="both"/>
        <w:rPr>
          <w:bCs/>
          <w:lang w:val="lv-LV"/>
        </w:rPr>
      </w:pPr>
      <w:r w:rsidRPr="00267BCC">
        <w:rPr>
          <w:bCs/>
          <w:i/>
          <w:lang w:val="lv-LV"/>
        </w:rPr>
        <w:t>Deregulācija un liberizācija.</w:t>
      </w:r>
      <w:r w:rsidRPr="00267BCC">
        <w:rPr>
          <w:b/>
          <w:bCs/>
          <w:lang w:val="lv-LV"/>
        </w:rPr>
        <w:t xml:space="preserve"> </w:t>
      </w:r>
      <w:r w:rsidRPr="00267BCC">
        <w:rPr>
          <w:bCs/>
          <w:lang w:val="lv-LV"/>
        </w:rPr>
        <w:t xml:space="preserve">Turpināsies centieni likvidēt barjeras starptautiskai ceļošanai globāli, lai arī reģionāli joprojām birokrātiski šķēršļi pastāv aktīvai saiknei ar Krieviju un Baltkrieviju (vīzu režīms). Globāli pieaugs arī citu noteikumu un ierobežojumu atcelšana. Latvijā formāla birokrātija mazinājusies mikro uzņēmumu </w:t>
      </w:r>
      <w:r w:rsidR="00912420" w:rsidRPr="00267BCC">
        <w:rPr>
          <w:bCs/>
          <w:lang w:val="lv-LV"/>
        </w:rPr>
        <w:t>darbības līmenī, atvieglotas Pārtikas un veterinārā dienesta</w:t>
      </w:r>
      <w:r w:rsidRPr="00267BCC">
        <w:rPr>
          <w:bCs/>
          <w:lang w:val="lv-LV"/>
        </w:rPr>
        <w:t xml:space="preserve"> prasības ēdināšanas pakalpojumu sniegšanai lauku tūrisma mītnēs un higiēnas prasības lauku tūrisma mītņu pirtīs. Nacionālā līmenī trūkst precīzu prognožu par nodokļu likmēm ilgtermiņā, kas var mazināt starptautisko konkurētspēju.</w:t>
      </w:r>
    </w:p>
    <w:p w14:paraId="49640998" w14:textId="77777777" w:rsidR="00805E43" w:rsidRPr="00267BCC" w:rsidRDefault="00805E43" w:rsidP="00267BCC">
      <w:pPr>
        <w:ind w:left="360" w:hanging="360"/>
        <w:jc w:val="both"/>
        <w:rPr>
          <w:b/>
          <w:bCs/>
          <w:lang w:val="lv-LV"/>
        </w:rPr>
      </w:pPr>
      <w:r w:rsidRPr="00267BCC">
        <w:rPr>
          <w:bCs/>
          <w:i/>
          <w:lang w:val="lv-LV"/>
        </w:rPr>
        <w:t>Pieaugoša tirdzniecība un investīcijas, eiro.</w:t>
      </w:r>
      <w:r w:rsidRPr="00267BCC">
        <w:rPr>
          <w:bCs/>
          <w:lang w:val="lv-LV"/>
        </w:rPr>
        <w:t xml:space="preserve"> Starptautiskā tirdzniecība pēc krituma finanšu recesijas laikā turpina pakāpenisku augšupeju, veicinot kopējā pasaules IKP izaugsmi. Latvijas pievienošanās </w:t>
      </w:r>
      <w:r w:rsidRPr="00267BCC">
        <w:rPr>
          <w:bCs/>
          <w:i/>
          <w:lang w:val="lv-LV"/>
        </w:rPr>
        <w:t>Eirozonai</w:t>
      </w:r>
      <w:r w:rsidRPr="00267BCC">
        <w:rPr>
          <w:bCs/>
          <w:lang w:val="lv-LV"/>
        </w:rPr>
        <w:t>, kas var pozitīvi ietekmēt ienākošo tūrismu – a</w:t>
      </w:r>
      <w:r w:rsidR="008044E6" w:rsidRPr="00267BCC">
        <w:rPr>
          <w:bCs/>
          <w:lang w:val="lv-LV"/>
        </w:rPr>
        <w:t>tvieglot norēķinu sistēmu</w:t>
      </w:r>
      <w:r w:rsidR="00912420" w:rsidRPr="00267BCC">
        <w:rPr>
          <w:bCs/>
          <w:lang w:val="lv-LV"/>
        </w:rPr>
        <w:t>.</w:t>
      </w:r>
    </w:p>
    <w:p w14:paraId="49640999" w14:textId="77777777" w:rsidR="00805E43" w:rsidRPr="00267BCC" w:rsidRDefault="00805E43" w:rsidP="00267BCC">
      <w:pPr>
        <w:ind w:left="360" w:hanging="360"/>
        <w:jc w:val="both"/>
        <w:rPr>
          <w:bCs/>
          <w:lang w:val="lv-LV"/>
        </w:rPr>
      </w:pPr>
      <w:r w:rsidRPr="00267BCC">
        <w:rPr>
          <w:bCs/>
          <w:i/>
          <w:lang w:val="lv-LV"/>
        </w:rPr>
        <w:t>Centieni</w:t>
      </w:r>
      <w:r w:rsidR="002570BC" w:rsidRPr="00267BCC">
        <w:rPr>
          <w:bCs/>
          <w:i/>
          <w:lang w:val="lv-LV"/>
        </w:rPr>
        <w:t xml:space="preserve"> paaugstināt perifērijas </w:t>
      </w:r>
      <w:r w:rsidR="002570BC" w:rsidRPr="00263B9F">
        <w:rPr>
          <w:bCs/>
          <w:i/>
          <w:lang w:val="lv-LV"/>
        </w:rPr>
        <w:t>teritoriju</w:t>
      </w:r>
      <w:r w:rsidRPr="00267BCC">
        <w:rPr>
          <w:bCs/>
          <w:i/>
          <w:lang w:val="lv-LV"/>
        </w:rPr>
        <w:t xml:space="preserve"> konkurētspēju, </w:t>
      </w:r>
      <w:r w:rsidRPr="00267BCC">
        <w:rPr>
          <w:bCs/>
          <w:lang w:val="lv-LV"/>
        </w:rPr>
        <w:t>ko</w:t>
      </w:r>
      <w:r w:rsidRPr="00267BCC">
        <w:rPr>
          <w:bCs/>
          <w:i/>
          <w:lang w:val="lv-LV"/>
        </w:rPr>
        <w:t xml:space="preserve"> </w:t>
      </w:r>
      <w:r w:rsidRPr="00267BCC">
        <w:rPr>
          <w:bCs/>
          <w:lang w:val="lv-LV"/>
        </w:rPr>
        <w:t>ietekmē kopējā ES reģionālās attīstības politika – pārrobežu sadarbības projekti, sadarbības tīklu un klasteru iniciatīvas.</w:t>
      </w:r>
    </w:p>
    <w:p w14:paraId="4964099A" w14:textId="77777777" w:rsidR="00805E43" w:rsidRPr="00267BCC" w:rsidRDefault="00805E43" w:rsidP="00267BCC">
      <w:pPr>
        <w:ind w:left="360" w:hanging="360"/>
        <w:jc w:val="both"/>
        <w:rPr>
          <w:lang w:val="lv-LV"/>
        </w:rPr>
      </w:pPr>
      <w:r w:rsidRPr="00267BCC">
        <w:rPr>
          <w:bCs/>
          <w:i/>
          <w:lang w:val="lv-LV"/>
        </w:rPr>
        <w:t>Tehnoloģisko jaunievedumu</w:t>
      </w:r>
      <w:r w:rsidRPr="00267BCC">
        <w:rPr>
          <w:bCs/>
          <w:lang w:val="lv-LV"/>
        </w:rPr>
        <w:t xml:space="preserve"> </w:t>
      </w:r>
      <w:r w:rsidRPr="00267BCC">
        <w:rPr>
          <w:bCs/>
          <w:i/>
          <w:lang w:val="lv-LV"/>
        </w:rPr>
        <w:t>iesaiste ražošanā</w:t>
      </w:r>
      <w:r w:rsidRPr="00267BCC">
        <w:rPr>
          <w:bCs/>
          <w:lang w:val="lv-LV"/>
        </w:rPr>
        <w:t xml:space="preserve"> turpinās paaugstināt ekonomikas attīstības efektivitāti un dos lielāko labumu no globalizācijas procesiem. Prognozējams </w:t>
      </w:r>
      <w:r w:rsidR="00912420" w:rsidRPr="00267BCC">
        <w:rPr>
          <w:bCs/>
          <w:lang w:val="lv-LV"/>
        </w:rPr>
        <w:t>straujš viedtālruņu</w:t>
      </w:r>
      <w:r w:rsidRPr="00267BCC">
        <w:rPr>
          <w:bCs/>
          <w:lang w:val="lv-LV"/>
        </w:rPr>
        <w:t xml:space="preserve"> un </w:t>
      </w:r>
      <w:r w:rsidR="00EB4F30" w:rsidRPr="00263B9F">
        <w:rPr>
          <w:bCs/>
          <w:lang w:val="lv-LV"/>
        </w:rPr>
        <w:t>g</w:t>
      </w:r>
      <w:r w:rsidR="0010215C" w:rsidRPr="00263B9F">
        <w:rPr>
          <w:bCs/>
          <w:lang w:val="lv-LV"/>
        </w:rPr>
        <w:t>lobālās pozicionēšanas sistēmas</w:t>
      </w:r>
      <w:r w:rsidRPr="00267BCC">
        <w:rPr>
          <w:bCs/>
          <w:lang w:val="lv-LV"/>
        </w:rPr>
        <w:t xml:space="preserve"> tehnoloģiju izmantošanas pieaugums tūrisma informācijas nodošanai un tūrisma plūsmas vadīšanai, kas ilgtermiņā var mazināt vides norāžu aktualitāti. </w:t>
      </w:r>
      <w:r w:rsidRPr="00267BCC">
        <w:rPr>
          <w:lang w:val="lv-LV"/>
        </w:rPr>
        <w:t>Apjomīgu datu bāzu pārvaldes sistēmu integrēšana tūrisma uzņēmējdarbības organizēšanā nodrošina atbilstību tirgus individualizācijas tendencēm. Samazinās organizēšanas izmaksas, radot papildu iespēju piedāvājuma pievienotajai vērtībai. Globālais tīmeklis un sociālie tīkli reizē ar integrētajām komunikācijas metodēm veido galveno veicināšanas instrumentu paleti, ko pakāpeniski un arvien straujāk nomainī</w:t>
      </w:r>
      <w:r w:rsidR="00912420" w:rsidRPr="00267BCC">
        <w:rPr>
          <w:lang w:val="lv-LV"/>
        </w:rPr>
        <w:t>s mobilo tehnoloģiju ienākšana.</w:t>
      </w:r>
    </w:p>
    <w:p w14:paraId="4964099B" w14:textId="77777777" w:rsidR="00805E43" w:rsidRPr="00267BCC" w:rsidRDefault="00805E43" w:rsidP="00267BCC">
      <w:pPr>
        <w:ind w:left="426" w:hanging="426"/>
        <w:jc w:val="both"/>
        <w:rPr>
          <w:lang w:val="lv-LV"/>
        </w:rPr>
      </w:pPr>
      <w:r w:rsidRPr="00267BCC">
        <w:rPr>
          <w:i/>
          <w:lang w:val="lv-LV"/>
        </w:rPr>
        <w:t xml:space="preserve">Informācijas pieejamība: </w:t>
      </w:r>
      <w:r w:rsidRPr="00267BCC">
        <w:rPr>
          <w:lang w:val="lv-LV"/>
        </w:rPr>
        <w:t xml:space="preserve">internets un citi elektroniskie mediji kļūst par svarīgāko tūrisma </w:t>
      </w:r>
      <w:r w:rsidR="008044E6" w:rsidRPr="00267BCC">
        <w:rPr>
          <w:lang w:val="lv-LV"/>
        </w:rPr>
        <w:t xml:space="preserve">  </w:t>
      </w:r>
      <w:r w:rsidRPr="00267BCC">
        <w:rPr>
          <w:lang w:val="lv-LV"/>
        </w:rPr>
        <w:t>nozares informācijas un pārdošanas kanālu, līdz ar informāc</w:t>
      </w:r>
      <w:r w:rsidR="00912420" w:rsidRPr="00267BCC">
        <w:rPr>
          <w:lang w:val="lv-LV"/>
        </w:rPr>
        <w:t>ijas pieejamību</w:t>
      </w:r>
      <w:r w:rsidRPr="00267BCC">
        <w:rPr>
          <w:lang w:val="lv-LV"/>
        </w:rPr>
        <w:t xml:space="preserve"> tūristi kļūst kritiskāki un prasīgāki, viņi spēj labāk izvērtēt cenas un kvalitātes attiecību. Pakalpojumu rezervēšana ar interneta palīdzību kļūst arvien vienkāršāka, cilvēki arvien vairāk tai uzticas. Rezervēšana un pakalpojumu pirkšana biežāk tiek veikta pēdējā brīdī, arvien tuvāk izbraukšanas laikam. Pieaug individuāli organizēto ceļojumu skaits, ceļojumu grafiki kļūst elastīgāki, taču</w:t>
      </w:r>
      <w:r w:rsidR="00912420" w:rsidRPr="00267BCC">
        <w:rPr>
          <w:lang w:val="lv-LV"/>
        </w:rPr>
        <w:t>,</w:t>
      </w:r>
      <w:r w:rsidRPr="00267BCC">
        <w:rPr>
          <w:lang w:val="lv-LV"/>
        </w:rPr>
        <w:t xml:space="preserve"> neskatoties uz to, starpnieki saglabā savu vietu tirgū, piedāvājot pak</w:t>
      </w:r>
      <w:r w:rsidR="00912420" w:rsidRPr="00267BCC">
        <w:rPr>
          <w:lang w:val="lv-LV"/>
        </w:rPr>
        <w:t>alpojumus ar pievienoto vērtību.</w:t>
      </w:r>
    </w:p>
    <w:p w14:paraId="4964099C" w14:textId="77777777" w:rsidR="00805E43" w:rsidRPr="00267BCC" w:rsidRDefault="00805E43" w:rsidP="00267BCC">
      <w:pPr>
        <w:ind w:left="426" w:hanging="426"/>
        <w:jc w:val="both"/>
        <w:rPr>
          <w:lang w:val="lv-LV"/>
        </w:rPr>
      </w:pPr>
      <w:r w:rsidRPr="00267BCC">
        <w:rPr>
          <w:i/>
          <w:lang w:val="lv-LV"/>
        </w:rPr>
        <w:t xml:space="preserve">Transporta jomas izaicinājumi. </w:t>
      </w:r>
      <w:r w:rsidRPr="00267BCC">
        <w:rPr>
          <w:lang w:val="lv-LV"/>
        </w:rPr>
        <w:t xml:space="preserve">Ātrāks un ērtāks transports nodrošina plašu pasaules tūrisma galamērķu pieejamību. Jaunās tehnoloģijas palielina ātrumu un samazina reālās izmaksas. Taču degvielas cenu iespējams straujš kāpums un pieaugošā vides apziņa būs liels izaicinājums nākotnē, rosinot meklēt alternatīvus risinājumus. Tas nedod viennozīmīgu atbildi par reģionālo un lokālo lidlauku lomu nākotnē. </w:t>
      </w:r>
      <w:r w:rsidR="00912420" w:rsidRPr="00267BCC">
        <w:rPr>
          <w:lang w:val="lv-LV"/>
        </w:rPr>
        <w:t>Padarot sabiedrisko transportu draudzīgāku ceļošanai, t</w:t>
      </w:r>
      <w:r w:rsidRPr="00267BCC">
        <w:rPr>
          <w:lang w:val="lv-LV"/>
        </w:rPr>
        <w:t>ūristu plūsma nākotnē varētu palielināties.</w:t>
      </w:r>
    </w:p>
    <w:p w14:paraId="4964099D" w14:textId="77777777" w:rsidR="008C313A" w:rsidRPr="00267BCC" w:rsidRDefault="008C313A" w:rsidP="00267BCC">
      <w:pPr>
        <w:ind w:left="426" w:hanging="426"/>
        <w:jc w:val="both"/>
        <w:rPr>
          <w:lang w:val="lv-LV"/>
        </w:rPr>
      </w:pPr>
    </w:p>
    <w:p w14:paraId="4964099E" w14:textId="77777777" w:rsidR="00805E43" w:rsidRPr="00267BCC" w:rsidRDefault="00805E43" w:rsidP="00267BCC">
      <w:pPr>
        <w:pStyle w:val="Heading3"/>
        <w:numPr>
          <w:ilvl w:val="2"/>
          <w:numId w:val="24"/>
        </w:numPr>
        <w:rPr>
          <w:lang w:val="lv-LV"/>
        </w:rPr>
      </w:pPr>
      <w:bookmarkStart w:id="15" w:name="_Toc326234114"/>
      <w:bookmarkStart w:id="16" w:name="_Toc381256654"/>
      <w:r w:rsidRPr="00267BCC">
        <w:rPr>
          <w:lang w:val="lv-LV"/>
        </w:rPr>
        <w:t>Politiskie faktori</w:t>
      </w:r>
      <w:bookmarkEnd w:id="15"/>
      <w:bookmarkEnd w:id="16"/>
    </w:p>
    <w:p w14:paraId="4964099F" w14:textId="77777777" w:rsidR="00666FF0" w:rsidRPr="00267BCC" w:rsidRDefault="00666FF0" w:rsidP="00267BCC">
      <w:pPr>
        <w:ind w:left="360" w:hanging="360"/>
        <w:jc w:val="both"/>
        <w:rPr>
          <w:bCs/>
          <w:lang w:val="lv-LV"/>
        </w:rPr>
      </w:pPr>
    </w:p>
    <w:p w14:paraId="496409A0" w14:textId="77777777" w:rsidR="00805E43" w:rsidRPr="00267BCC" w:rsidRDefault="00805E43" w:rsidP="00267BCC">
      <w:pPr>
        <w:ind w:left="357" w:hanging="357"/>
        <w:jc w:val="both"/>
        <w:rPr>
          <w:bCs/>
          <w:lang w:val="lv-LV"/>
        </w:rPr>
      </w:pPr>
      <w:r w:rsidRPr="00267BCC">
        <w:rPr>
          <w:bCs/>
          <w:i/>
          <w:lang w:val="lv-LV"/>
        </w:rPr>
        <w:t>Starptautiskā vara.</w:t>
      </w:r>
      <w:r w:rsidRPr="00267BCC">
        <w:rPr>
          <w:bCs/>
          <w:lang w:val="lv-LV"/>
        </w:rPr>
        <w:t xml:space="preserve"> Pieaug ES loma starptautiskajā politikā, kas veido līdzsvaru ASV ģeopolitiskajai dominantei. Ķīna un Indija palielina ietekmi kā </w:t>
      </w:r>
      <w:r w:rsidRPr="00267BCC">
        <w:rPr>
          <w:bCs/>
          <w:i/>
          <w:lang w:val="lv-LV"/>
        </w:rPr>
        <w:t>globālie spēlētāji</w:t>
      </w:r>
      <w:r w:rsidRPr="00267BCC">
        <w:rPr>
          <w:bCs/>
          <w:lang w:val="lv-LV"/>
        </w:rPr>
        <w:t xml:space="preserve">, kas </w:t>
      </w:r>
      <w:r w:rsidRPr="00267BCC">
        <w:rPr>
          <w:bCs/>
          <w:lang w:val="lv-LV"/>
        </w:rPr>
        <w:lastRenderedPageBreak/>
        <w:t>mainīs ne tikai ģeopolitisko situāciju, bet arī kopējo tūrisma plūsmu</w:t>
      </w:r>
      <w:r w:rsidRPr="00267BCC">
        <w:rPr>
          <w:rStyle w:val="FootnoteReference"/>
          <w:bCs/>
          <w:lang w:val="lv-LV"/>
        </w:rPr>
        <w:footnoteReference w:id="24"/>
      </w:r>
      <w:r w:rsidRPr="00267BCC">
        <w:rPr>
          <w:bCs/>
          <w:lang w:val="lv-LV"/>
        </w:rPr>
        <w:t>. Globālie procesi ietekmēs izmaiņas tūrisma eksporta mērķtirgos. Latvijā stabili nostiprinājusies Šengenas līguma ietekme uz brīvu ceļošanas iespēju Baltijas jūras reģionā.</w:t>
      </w:r>
    </w:p>
    <w:p w14:paraId="496409A1" w14:textId="77777777" w:rsidR="00805E43" w:rsidRPr="00267BCC" w:rsidRDefault="00805E43" w:rsidP="00267BCC">
      <w:pPr>
        <w:ind w:left="357" w:hanging="357"/>
        <w:jc w:val="both"/>
        <w:rPr>
          <w:bCs/>
          <w:lang w:val="lv-LV"/>
        </w:rPr>
      </w:pPr>
      <w:r w:rsidRPr="00267BCC">
        <w:rPr>
          <w:bCs/>
          <w:i/>
          <w:lang w:val="lv-LV"/>
        </w:rPr>
        <w:t>Aizsardzība.</w:t>
      </w:r>
      <w:r w:rsidRPr="00267BCC">
        <w:rPr>
          <w:bCs/>
          <w:lang w:val="lv-LV"/>
        </w:rPr>
        <w:t xml:space="preserve"> Terorisms kā drauds starptautiskajā telpā turpinās pastāvēt</w:t>
      </w:r>
      <w:r w:rsidR="00DE22B0" w:rsidRPr="00267BCC">
        <w:rPr>
          <w:bCs/>
          <w:lang w:val="lv-LV"/>
        </w:rPr>
        <w:t>,</w:t>
      </w:r>
      <w:r w:rsidRPr="00267BCC">
        <w:rPr>
          <w:bCs/>
          <w:lang w:val="lv-LV"/>
        </w:rPr>
        <w:t xml:space="preserve"> un globālā tīmekļa izmantošana to </w:t>
      </w:r>
      <w:r w:rsidR="00DE22B0" w:rsidRPr="00267BCC">
        <w:rPr>
          <w:bCs/>
          <w:lang w:val="lv-LV"/>
        </w:rPr>
        <w:t>turpinās</w:t>
      </w:r>
      <w:r w:rsidRPr="00267BCC">
        <w:rPr>
          <w:bCs/>
          <w:lang w:val="lv-LV"/>
        </w:rPr>
        <w:t xml:space="preserve"> decentralizē</w:t>
      </w:r>
      <w:r w:rsidR="00DE22B0" w:rsidRPr="00267BCC">
        <w:rPr>
          <w:bCs/>
          <w:lang w:val="lv-LV"/>
        </w:rPr>
        <w:t>t</w:t>
      </w:r>
      <w:r w:rsidRPr="00267BCC">
        <w:rPr>
          <w:bCs/>
          <w:lang w:val="lv-LV"/>
        </w:rPr>
        <w:t>. Drošības apsvērumi pastiprinās kampaņveidīgu robežu kontroli un pārbaudes lidostās. Latvijai šajā ziņā ir priekšrocības. Pieaugošā globālā mēroga mobilitāte rada risku infekcijas slimību ātrākai izplatībai. Miers, drošība, aizsardzība un politiskā stabilitāte ir priekšnoteikumi ilgtspējīga tūrisma attīstībai</w:t>
      </w:r>
      <w:r w:rsidRPr="00267BCC">
        <w:rPr>
          <w:rStyle w:val="FootnoteReference"/>
          <w:bCs/>
          <w:lang w:val="lv-LV"/>
        </w:rPr>
        <w:footnoteReference w:id="25"/>
      </w:r>
      <w:r w:rsidRPr="00267BCC">
        <w:rPr>
          <w:bCs/>
          <w:lang w:val="lv-LV"/>
        </w:rPr>
        <w:t>.</w:t>
      </w:r>
    </w:p>
    <w:p w14:paraId="496409A2" w14:textId="77777777" w:rsidR="00805E43" w:rsidRPr="00267BCC" w:rsidRDefault="00805E43" w:rsidP="00267BCC">
      <w:pPr>
        <w:ind w:left="357" w:hanging="357"/>
        <w:jc w:val="both"/>
        <w:rPr>
          <w:bCs/>
          <w:lang w:val="lv-LV"/>
        </w:rPr>
      </w:pPr>
      <w:r w:rsidRPr="00267BCC">
        <w:rPr>
          <w:bCs/>
          <w:i/>
          <w:lang w:val="lv-LV"/>
        </w:rPr>
        <w:t xml:space="preserve">Reģionālie un etniskie konflikti </w:t>
      </w:r>
      <w:r w:rsidRPr="00267BCC">
        <w:rPr>
          <w:bCs/>
          <w:lang w:val="lv-LV"/>
        </w:rPr>
        <w:t>visvairāk</w:t>
      </w:r>
      <w:r w:rsidR="001D38CB" w:rsidRPr="00267BCC">
        <w:rPr>
          <w:bCs/>
          <w:lang w:val="lv-LV"/>
        </w:rPr>
        <w:t xml:space="preserve"> raksturīgi </w:t>
      </w:r>
      <w:r w:rsidR="00DE22B0" w:rsidRPr="00267BCC">
        <w:rPr>
          <w:bCs/>
          <w:lang w:val="lv-LV"/>
        </w:rPr>
        <w:t>attīstības</w:t>
      </w:r>
      <w:r w:rsidRPr="00267BCC">
        <w:rPr>
          <w:bCs/>
          <w:lang w:val="lv-LV"/>
        </w:rPr>
        <w:t xml:space="preserve"> valstīs,</w:t>
      </w:r>
      <w:r w:rsidR="002570BC" w:rsidRPr="00267BCC">
        <w:rPr>
          <w:bCs/>
          <w:lang w:val="lv-LV"/>
        </w:rPr>
        <w:t xml:space="preserve"> taču militārie konflikti T</w:t>
      </w:r>
      <w:r w:rsidR="001D38CB" w:rsidRPr="00267BCC">
        <w:rPr>
          <w:bCs/>
          <w:lang w:val="lv-LV"/>
        </w:rPr>
        <w:t>uvo</w:t>
      </w:r>
      <w:r w:rsidR="002570BC" w:rsidRPr="00267BCC">
        <w:rPr>
          <w:bCs/>
          <w:lang w:val="lv-LV"/>
        </w:rPr>
        <w:t xml:space="preserve"> A</w:t>
      </w:r>
      <w:r w:rsidRPr="00267BCC">
        <w:rPr>
          <w:bCs/>
          <w:lang w:val="lv-LV"/>
        </w:rPr>
        <w:t xml:space="preserve">ustrumu valstīs izraisa degvielas cenu kāpumu. Reģionālās iedzīvotāju kopas globalizācijas procesu ietekmē pastiprina savas identitātes pētījumus, kas reizē veido nozīmīgu elementu kultūras tūrismā. Piemēram, publikāciju analīze par Latviju Krievijas medijos par 2012.gadu pierāda, ka tūrisma konteksts </w:t>
      </w:r>
      <w:r w:rsidR="00DE22B0" w:rsidRPr="00267BCC">
        <w:rPr>
          <w:bCs/>
          <w:lang w:val="lv-LV"/>
        </w:rPr>
        <w:t xml:space="preserve">ir </w:t>
      </w:r>
      <w:r w:rsidRPr="00267BCC">
        <w:rPr>
          <w:bCs/>
          <w:lang w:val="lv-LV"/>
        </w:rPr>
        <w:t>bijusi dominējoši pozitīvā ziņa par Latv</w:t>
      </w:r>
      <w:r w:rsidR="008044E6" w:rsidRPr="00267BCC">
        <w:rPr>
          <w:bCs/>
          <w:lang w:val="lv-LV"/>
        </w:rPr>
        <w:t>iju.</w:t>
      </w:r>
    </w:p>
    <w:p w14:paraId="496409A3" w14:textId="77777777" w:rsidR="00805E43" w:rsidRPr="00267BCC" w:rsidRDefault="00805E43" w:rsidP="00267BCC">
      <w:pPr>
        <w:ind w:left="426" w:hanging="426"/>
        <w:jc w:val="both"/>
        <w:rPr>
          <w:bCs/>
          <w:lang w:val="lv-LV"/>
        </w:rPr>
      </w:pPr>
      <w:r w:rsidRPr="00267BCC">
        <w:rPr>
          <w:bCs/>
          <w:i/>
          <w:lang w:val="lv-LV"/>
        </w:rPr>
        <w:t>Lokālās politikas līmenis.</w:t>
      </w:r>
      <w:r w:rsidRPr="00267BCC">
        <w:rPr>
          <w:bCs/>
          <w:lang w:val="lv-LV"/>
        </w:rPr>
        <w:t xml:space="preserve"> </w:t>
      </w:r>
      <w:r w:rsidR="00141B00" w:rsidRPr="00267BCC">
        <w:rPr>
          <w:bCs/>
          <w:lang w:val="lv-LV"/>
        </w:rPr>
        <w:t>2009.gadā ī</w:t>
      </w:r>
      <w:r w:rsidRPr="00267BCC">
        <w:rPr>
          <w:bCs/>
          <w:lang w:val="lv-LV"/>
        </w:rPr>
        <w:t>stenotā admi</w:t>
      </w:r>
      <w:r w:rsidR="00C92D9A" w:rsidRPr="00267BCC">
        <w:rPr>
          <w:bCs/>
          <w:lang w:val="lv-LV"/>
        </w:rPr>
        <w:t xml:space="preserve">nistratīvi teritoriālā reforma </w:t>
      </w:r>
      <w:r w:rsidRPr="00267BCC">
        <w:rPr>
          <w:bCs/>
          <w:lang w:val="lv-LV"/>
        </w:rPr>
        <w:t>ieviesa jaunas korekcijas vietējo tūrisma galamērķu organizēšanā. Izveidojoties jaunajiem novadiem, tika pārtraukta bijušo administratīvo rajonu pēctecība. Stratēģiskās partnerības stiprināšana ar blakus esošajām pašvaldībām funkcionālo galamērķu ietvaros ir izaicinājums un nodrošinās lielāku k</w:t>
      </w:r>
      <w:r w:rsidR="00666FF0" w:rsidRPr="00267BCC">
        <w:rPr>
          <w:bCs/>
          <w:lang w:val="lv-LV"/>
        </w:rPr>
        <w:t>onkurētspēju vietām ilgtermiņā.</w:t>
      </w:r>
    </w:p>
    <w:p w14:paraId="496409A4" w14:textId="77777777" w:rsidR="00666FF0" w:rsidRPr="00267BCC" w:rsidRDefault="00666FF0" w:rsidP="00267BCC">
      <w:pPr>
        <w:ind w:left="426" w:hanging="426"/>
        <w:jc w:val="both"/>
        <w:rPr>
          <w:bCs/>
          <w:lang w:val="lv-LV"/>
        </w:rPr>
      </w:pPr>
    </w:p>
    <w:p w14:paraId="496409A5" w14:textId="77777777" w:rsidR="00805E43" w:rsidRPr="00267BCC" w:rsidRDefault="00805E43" w:rsidP="00267BCC">
      <w:pPr>
        <w:pStyle w:val="Heading3"/>
        <w:numPr>
          <w:ilvl w:val="2"/>
          <w:numId w:val="24"/>
        </w:numPr>
        <w:rPr>
          <w:lang w:val="lv-LV"/>
        </w:rPr>
      </w:pPr>
      <w:bookmarkStart w:id="17" w:name="_Toc326234115"/>
      <w:bookmarkStart w:id="18" w:name="_Toc381256655"/>
      <w:r w:rsidRPr="00267BCC">
        <w:rPr>
          <w:lang w:val="lv-LV"/>
        </w:rPr>
        <w:t>Vides faktori</w:t>
      </w:r>
      <w:bookmarkEnd w:id="17"/>
      <w:bookmarkEnd w:id="18"/>
    </w:p>
    <w:p w14:paraId="496409A6" w14:textId="77777777" w:rsidR="00141B00" w:rsidRPr="00267BCC" w:rsidRDefault="00141B00" w:rsidP="00267BCC">
      <w:pPr>
        <w:ind w:left="360" w:hanging="360"/>
        <w:jc w:val="both"/>
        <w:rPr>
          <w:lang w:val="lv-LV"/>
        </w:rPr>
      </w:pPr>
    </w:p>
    <w:p w14:paraId="496409A7" w14:textId="77777777" w:rsidR="00805E43" w:rsidRPr="00263B9F" w:rsidRDefault="00805E43" w:rsidP="00267BCC">
      <w:pPr>
        <w:ind w:left="357" w:hanging="357"/>
        <w:jc w:val="both"/>
        <w:rPr>
          <w:lang w:val="lv-LV"/>
        </w:rPr>
      </w:pPr>
      <w:r w:rsidRPr="00267BCC">
        <w:rPr>
          <w:i/>
          <w:lang w:val="lv-LV"/>
        </w:rPr>
        <w:t xml:space="preserve">Klimata pārmaiņu </w:t>
      </w:r>
      <w:r w:rsidRPr="00267BCC">
        <w:rPr>
          <w:lang w:val="lv-LV"/>
        </w:rPr>
        <w:t>problēma</w:t>
      </w:r>
      <w:r w:rsidR="00141B00" w:rsidRPr="00267BCC">
        <w:rPr>
          <w:lang w:val="lv-LV"/>
        </w:rPr>
        <w:t>s</w:t>
      </w:r>
      <w:r w:rsidRPr="00267BCC">
        <w:rPr>
          <w:lang w:val="lv-LV"/>
        </w:rPr>
        <w:t xml:space="preserve"> pieaug</w:t>
      </w:r>
      <w:r w:rsidR="00ED6913" w:rsidRPr="00267BCC">
        <w:rPr>
          <w:lang w:val="lv-LV"/>
        </w:rPr>
        <w:t>.</w:t>
      </w:r>
      <w:r w:rsidRPr="00267BCC">
        <w:rPr>
          <w:lang w:val="lv-LV"/>
        </w:rPr>
        <w:t xml:space="preserve"> </w:t>
      </w:r>
      <w:r w:rsidR="00ED6913" w:rsidRPr="00267BCC">
        <w:rPr>
          <w:lang w:val="lv-LV"/>
        </w:rPr>
        <w:t>L</w:t>
      </w:r>
      <w:r w:rsidRPr="00267BCC">
        <w:rPr>
          <w:lang w:val="lv-LV"/>
        </w:rPr>
        <w:t>ai arī klimata pārmaiņas ir globāls fenomens, t</w:t>
      </w:r>
      <w:r w:rsidR="00141B00" w:rsidRPr="00267BCC">
        <w:rPr>
          <w:lang w:val="lv-LV"/>
        </w:rPr>
        <w:t>o</w:t>
      </w:r>
      <w:r w:rsidRPr="00267BCC">
        <w:rPr>
          <w:lang w:val="lv-LV"/>
        </w:rPr>
        <w:t xml:space="preserve"> ietekme visvairāk izjūtama tieši lokāli. Pētījumi par klimata pārmaiņu izpausmēm un to prognozēm nav viennozīmīgi, taču ilgtermiņā p</w:t>
      </w:r>
      <w:r w:rsidR="00141B00" w:rsidRPr="00267BCC">
        <w:rPr>
          <w:lang w:val="lv-LV"/>
        </w:rPr>
        <w:t xml:space="preserve">aredzama ūdens līmeņa celšanās – </w:t>
      </w:r>
      <w:r w:rsidRPr="00267BCC">
        <w:rPr>
          <w:lang w:val="lv-LV"/>
        </w:rPr>
        <w:t>pieaugs plūdu risks.</w:t>
      </w:r>
      <w:r w:rsidR="00076F7E" w:rsidRPr="00267BCC">
        <w:rPr>
          <w:lang w:val="lv-LV"/>
        </w:rPr>
        <w:t xml:space="preserve"> Pastiprināsies </w:t>
      </w:r>
      <w:r w:rsidR="00076F7E" w:rsidRPr="00263B9F">
        <w:rPr>
          <w:lang w:val="lv-LV"/>
        </w:rPr>
        <w:t>mērķtiecīga eko</w:t>
      </w:r>
      <w:r w:rsidRPr="00263B9F">
        <w:rPr>
          <w:lang w:val="lv-LV"/>
        </w:rPr>
        <w:t>inovāciju</w:t>
      </w:r>
      <w:r w:rsidR="00ED6913" w:rsidRPr="00263B9F">
        <w:rPr>
          <w:lang w:val="lv-LV"/>
        </w:rPr>
        <w:t>, t.sk. videi draudzīgo pieeju un tehnoloģisko</w:t>
      </w:r>
      <w:r w:rsidRPr="00263B9F">
        <w:rPr>
          <w:lang w:val="lv-LV"/>
        </w:rPr>
        <w:t xml:space="preserve"> risinājumu ieviešana.</w:t>
      </w:r>
    </w:p>
    <w:p w14:paraId="496409A8" w14:textId="77777777" w:rsidR="00805E43" w:rsidRPr="00263B9F" w:rsidRDefault="00805E43" w:rsidP="00267BCC">
      <w:pPr>
        <w:ind w:left="357" w:hanging="357"/>
        <w:jc w:val="both"/>
        <w:rPr>
          <w:lang w:val="lv-LV"/>
        </w:rPr>
      </w:pPr>
      <w:r w:rsidRPr="00267BCC">
        <w:rPr>
          <w:i/>
          <w:lang w:val="lv-LV"/>
        </w:rPr>
        <w:t>Dabas resursu noplicināšana.</w:t>
      </w:r>
      <w:r w:rsidRPr="00267BCC">
        <w:rPr>
          <w:lang w:val="lv-LV"/>
        </w:rPr>
        <w:t xml:space="preserve"> Pieaugošais pasaules iedzīvotāju skaits un ekonomiskā izaugsme ierobežo dabas resursu pieejamību. To izraisa pieaugošais pieprasījums pēc pārtikas, ūdens un enerģijas. Globāli, samazinoties fosilās enerģijas krājumiem, prognozējams degvielas cenu kāpums, kas veicinās pieaugošas investīcijas atjaunojamā enerģijā un efektīvā enerģijas izmantošanā. Pieaugs </w:t>
      </w:r>
      <w:r w:rsidRPr="00267BCC">
        <w:rPr>
          <w:i/>
          <w:lang w:val="lv-LV"/>
        </w:rPr>
        <w:t>zaļo stratēģiju</w:t>
      </w:r>
      <w:r w:rsidR="00ED6913" w:rsidRPr="00267BCC">
        <w:rPr>
          <w:i/>
          <w:lang w:val="lv-LV"/>
        </w:rPr>
        <w:t xml:space="preserve"> un </w:t>
      </w:r>
      <w:r w:rsidR="00ED6913" w:rsidRPr="00263B9F">
        <w:rPr>
          <w:i/>
          <w:lang w:val="lv-LV"/>
        </w:rPr>
        <w:t>zaļās ekonomikas</w:t>
      </w:r>
      <w:r w:rsidRPr="00263B9F">
        <w:rPr>
          <w:lang w:val="lv-LV"/>
        </w:rPr>
        <w:t xml:space="preserve"> ieviešanas aktualitāte ar apkārtējo vidi saistīta tūrisma izpausmēs.</w:t>
      </w:r>
    </w:p>
    <w:p w14:paraId="496409A9" w14:textId="77777777" w:rsidR="00805E43" w:rsidRDefault="00805E43" w:rsidP="00267BCC">
      <w:pPr>
        <w:ind w:left="360" w:hanging="360"/>
        <w:jc w:val="both"/>
        <w:rPr>
          <w:lang w:val="lv-LV"/>
        </w:rPr>
      </w:pPr>
      <w:r w:rsidRPr="00267BCC">
        <w:rPr>
          <w:i/>
          <w:lang w:val="lv-LV"/>
        </w:rPr>
        <w:t>Dabas daudzveidības zaudēšana.</w:t>
      </w:r>
      <w:r w:rsidRPr="00267BCC">
        <w:rPr>
          <w:lang w:val="lv-LV"/>
        </w:rPr>
        <w:t xml:space="preserve"> Piemērotu un ekoloģiski stabilu dzīves telpu zaudēšana būs galvenais iemesls sugu un bioloģiskās daudzveidības krituma</w:t>
      </w:r>
      <w:r w:rsidRPr="00263B9F">
        <w:rPr>
          <w:lang w:val="lv-LV"/>
        </w:rPr>
        <w:t>m</w:t>
      </w:r>
      <w:r w:rsidR="00ED6913" w:rsidRPr="00263B9F">
        <w:rPr>
          <w:lang w:val="lv-LV"/>
        </w:rPr>
        <w:t>,</w:t>
      </w:r>
      <w:r w:rsidR="00263B9F">
        <w:rPr>
          <w:lang w:val="lv-LV"/>
        </w:rPr>
        <w:t xml:space="preserve"> </w:t>
      </w:r>
      <w:r w:rsidR="00ED6913" w:rsidRPr="00263B9F">
        <w:rPr>
          <w:lang w:val="lv-LV"/>
        </w:rPr>
        <w:t>kas var būtiski ietekmēt galveno dabas tūrisma resursu</w:t>
      </w:r>
      <w:r w:rsidRPr="00263B9F">
        <w:rPr>
          <w:lang w:val="lv-LV"/>
        </w:rPr>
        <w:t xml:space="preserve"> </w:t>
      </w:r>
      <w:r w:rsidR="00ED6913" w:rsidRPr="00263B9F">
        <w:rPr>
          <w:lang w:val="lv-LV"/>
        </w:rPr>
        <w:t xml:space="preserve">- </w:t>
      </w:r>
      <w:r w:rsidRPr="00267BCC">
        <w:rPr>
          <w:i/>
          <w:lang w:val="lv-LV"/>
        </w:rPr>
        <w:t xml:space="preserve">Natura 2000 </w:t>
      </w:r>
      <w:r w:rsidRPr="00267BCC">
        <w:rPr>
          <w:lang w:val="lv-LV"/>
        </w:rPr>
        <w:t>teritoriju kvalitāti. No dabas tūrisma komerciālās perspektīvas pārdomātu dabas aizsardzības iniciatīvu atbalstīšana un saskaņošana ar uzņēmējdarbību kopumā ir nepieciešamība.</w:t>
      </w:r>
    </w:p>
    <w:p w14:paraId="496409AA" w14:textId="77777777" w:rsidR="00346C9C" w:rsidRPr="00346C9C" w:rsidRDefault="00346C9C" w:rsidP="00267BCC">
      <w:pPr>
        <w:ind w:left="360" w:hanging="360"/>
        <w:jc w:val="both"/>
        <w:rPr>
          <w:lang w:val="lv-LV"/>
        </w:rPr>
      </w:pPr>
    </w:p>
    <w:p w14:paraId="496409AB" w14:textId="77777777" w:rsidR="00FA18E3" w:rsidRPr="00267BCC" w:rsidRDefault="005F49DC" w:rsidP="00267BCC">
      <w:pPr>
        <w:pStyle w:val="Heading2"/>
        <w:numPr>
          <w:ilvl w:val="1"/>
          <w:numId w:val="24"/>
        </w:numPr>
        <w:rPr>
          <w:lang w:val="lv-LV"/>
        </w:rPr>
      </w:pPr>
      <w:bookmarkStart w:id="19" w:name="_Toc381256656"/>
      <w:r w:rsidRPr="00267BCC">
        <w:rPr>
          <w:lang w:val="lv-LV"/>
        </w:rPr>
        <w:t>Latvijas t</w:t>
      </w:r>
      <w:r w:rsidR="00FA18E3" w:rsidRPr="00267BCC">
        <w:rPr>
          <w:lang w:val="lv-LV"/>
        </w:rPr>
        <w:t>ū</w:t>
      </w:r>
      <w:r w:rsidR="009432DB" w:rsidRPr="00267BCC">
        <w:rPr>
          <w:lang w:val="lv-LV"/>
        </w:rPr>
        <w:t>risma attīstība 2009.-2012.gadā</w:t>
      </w:r>
      <w:r w:rsidR="00FA18E3" w:rsidRPr="00267BCC">
        <w:rPr>
          <w:lang w:val="lv-LV"/>
        </w:rPr>
        <w:t xml:space="preserve">. </w:t>
      </w:r>
      <w:r w:rsidRPr="00267BCC">
        <w:rPr>
          <w:lang w:val="lv-LV"/>
        </w:rPr>
        <w:t>Baltijas valstu konteksts.</w:t>
      </w:r>
      <w:bookmarkEnd w:id="19"/>
    </w:p>
    <w:p w14:paraId="496409AC" w14:textId="77777777" w:rsidR="0070322C" w:rsidRPr="00267BCC" w:rsidRDefault="0070322C" w:rsidP="00267BCC">
      <w:pPr>
        <w:ind w:firstLine="720"/>
        <w:jc w:val="both"/>
        <w:rPr>
          <w:lang w:val="lv-LV"/>
        </w:rPr>
      </w:pPr>
    </w:p>
    <w:p w14:paraId="496409AD" w14:textId="77777777" w:rsidR="007A2FCB" w:rsidRPr="00267BCC" w:rsidRDefault="007A2FCB" w:rsidP="00267BCC">
      <w:pPr>
        <w:ind w:firstLine="720"/>
        <w:jc w:val="both"/>
        <w:rPr>
          <w:lang w:val="lv-LV"/>
        </w:rPr>
      </w:pPr>
      <w:r w:rsidRPr="00267BCC">
        <w:rPr>
          <w:lang w:val="lv-LV"/>
        </w:rPr>
        <w:t xml:space="preserve">Tūrisms ir viena no vadošajām eksporta nozarēm pasaulē, kas, neskatoties uz daudzajiem izaicinājumiem un satricinājumiem, stabili attīstās. Tas ir arī viens no konkurētspējīgākajiem Eiropas tautsaimniecības sektoriem, kas veido vairāk nekā 5% no ES </w:t>
      </w:r>
      <w:r w:rsidRPr="00267BCC">
        <w:rPr>
          <w:lang w:val="lv-LV"/>
        </w:rPr>
        <w:lastRenderedPageBreak/>
        <w:t>IKP – aptuveni 1,8 miljoni komersantu nodrošina aptuveni 9,7 miljoni darbavietu. Turklāt tūrisma industrija kopā ar tās saistītajām nozarēm veido vairāk nekā 10% no ES IKP.</w:t>
      </w:r>
      <w:r w:rsidRPr="00267BCC">
        <w:rPr>
          <w:rStyle w:val="FootnoteReference"/>
          <w:u w:val="single"/>
          <w:lang w:val="lv-LV"/>
        </w:rPr>
        <w:footnoteReference w:id="26"/>
      </w:r>
    </w:p>
    <w:p w14:paraId="496409AE" w14:textId="77777777" w:rsidR="007A2FCB" w:rsidRPr="00267BCC" w:rsidRDefault="00EA44DA" w:rsidP="00267BCC">
      <w:pPr>
        <w:ind w:firstLine="720"/>
        <w:jc w:val="both"/>
        <w:rPr>
          <w:lang w:val="lv-LV"/>
        </w:rPr>
      </w:pPr>
      <w:r>
        <w:rPr>
          <w:lang w:val="lv-LV"/>
        </w:rPr>
        <w:t>Tūrisma nozare Latvijā</w:t>
      </w:r>
      <w:r w:rsidR="007A2FCB" w:rsidRPr="00267BCC">
        <w:rPr>
          <w:lang w:val="lv-LV"/>
        </w:rPr>
        <w:t xml:space="preserve"> 2012.gadā veidojot </w:t>
      </w:r>
      <w:r w:rsidR="00647BBC" w:rsidRPr="00263B9F">
        <w:rPr>
          <w:lang w:val="lv-LV"/>
        </w:rPr>
        <w:t>580,5</w:t>
      </w:r>
      <w:r w:rsidR="007A2FCB" w:rsidRPr="00263B9F">
        <w:rPr>
          <w:lang w:val="lv-LV"/>
        </w:rPr>
        <w:t xml:space="preserve"> milj. </w:t>
      </w:r>
      <w:r w:rsidR="00647BBC" w:rsidRPr="00263B9F">
        <w:rPr>
          <w:lang w:val="lv-LV"/>
        </w:rPr>
        <w:t>EUR</w:t>
      </w:r>
      <w:r w:rsidR="007A2FCB" w:rsidRPr="00263B9F">
        <w:rPr>
          <w:lang w:val="lv-LV"/>
        </w:rPr>
        <w:t xml:space="preserve"> jeb 16,5% no kopējā pakalpojumu eksporta un 4,3% no kopējā preču un p</w:t>
      </w:r>
      <w:r w:rsidR="007A2FCB" w:rsidRPr="00267BCC">
        <w:rPr>
          <w:lang w:val="lv-LV"/>
        </w:rPr>
        <w:t>akalpojumu eksporta. Kopumā aizvadītajā desmitgadē (2000.-2012.gadā) ārvalstu ceļotāju tēriņi Latvijā un izdevumi par sniegtajiem pakalpojumiem attiecīgajā periodā ir veidojuši vidēji 6,4% no preču un pakalpojumu eksporta.</w:t>
      </w:r>
      <w:r w:rsidR="007A2FCB" w:rsidRPr="00267BCC">
        <w:rPr>
          <w:rStyle w:val="FootnoteReference"/>
          <w:lang w:val="lv-LV"/>
        </w:rPr>
        <w:footnoteReference w:id="27"/>
      </w:r>
      <w:r w:rsidR="007A2FCB" w:rsidRPr="00267BCC">
        <w:rPr>
          <w:lang w:val="lv-LV"/>
        </w:rPr>
        <w:t xml:space="preserve"> Pēc CSP satelītkontu aprēķiniem tūrisma raksturīgo nozaru īpatsvars kopējā pievienotajā vērtībā 2010.gadā veidoja 5,3%, tādējādi apliecinot tūrisma nozares nozīmi tautsaimniecībā.</w:t>
      </w:r>
      <w:r w:rsidR="007A2FCB" w:rsidRPr="00CB19B5">
        <w:rPr>
          <w:rStyle w:val="FootnoteReference"/>
          <w:lang w:val="lv-LV"/>
        </w:rPr>
        <w:footnoteReference w:id="28"/>
      </w:r>
    </w:p>
    <w:p w14:paraId="496409AF" w14:textId="77777777" w:rsidR="007A2FCB" w:rsidRPr="00267BCC" w:rsidRDefault="007A2FCB" w:rsidP="00267BCC">
      <w:pPr>
        <w:ind w:firstLine="720"/>
        <w:jc w:val="both"/>
        <w:rPr>
          <w:lang w:val="lv-LV"/>
        </w:rPr>
      </w:pPr>
      <w:r w:rsidRPr="00267BCC">
        <w:rPr>
          <w:lang w:val="lv-LV"/>
        </w:rPr>
        <w:t>Jāatzīmē, ka tūrisma nozarei ir liels multiplikatora efekts – tās izaugsme dod pieprasījuma stimulu ēdināšanas, transporta, veselības, izklaides un tirdzniecības pakalpojumiem. Saskaņā ar PCTP 2012.gada pētījumu „Salīdzinošā ceļojumu un tūrisma ekonomiskā ietekme” (</w:t>
      </w:r>
      <w:r w:rsidRPr="00267BCC">
        <w:rPr>
          <w:i/>
          <w:lang w:val="lv-LV"/>
        </w:rPr>
        <w:t>The comparative economic impact of Travel &amp; Tourism</w:t>
      </w:r>
      <w:r w:rsidRPr="00267BCC">
        <w:rPr>
          <w:lang w:val="lv-LV"/>
        </w:rPr>
        <w:t>) tūrisma nozares ienākumu multiplikatora vērtība pasaulē ir vidēji 3,2 – tas nozīmē, ka viena iztērētā naudas vienība valstī gada laikā rada 3,2 reizes lielākus ienākumus IKP, pārsniedzot tādu nozaru ietekmi uz IKP kā, piemēram, ieguves rūpniecība, lauksaimniecība, izglītība, finanšu pakalpojumi un sakaru nozare (tikai ķīmiskajai rūpniecībai un automobiļu rūpniecībai ir augstāks multiplikatora efekts).</w:t>
      </w:r>
    </w:p>
    <w:p w14:paraId="496409B0" w14:textId="77777777" w:rsidR="00783831" w:rsidRPr="00263B9F" w:rsidRDefault="00783831" w:rsidP="00267BCC">
      <w:pPr>
        <w:ind w:firstLine="720"/>
        <w:jc w:val="both"/>
        <w:rPr>
          <w:lang w:val="lv-LV"/>
        </w:rPr>
      </w:pPr>
      <w:r w:rsidRPr="00263B9F">
        <w:rPr>
          <w:lang w:val="lv-LV"/>
        </w:rPr>
        <w:t>Valsts attīstības plānošanas dokumentos</w:t>
      </w:r>
      <w:r w:rsidR="000761B2" w:rsidRPr="00263B9F">
        <w:rPr>
          <w:rStyle w:val="FootnoteReference"/>
          <w:lang w:val="lv-LV"/>
        </w:rPr>
        <w:footnoteReference w:id="29"/>
      </w:r>
      <w:r w:rsidRPr="00263B9F">
        <w:rPr>
          <w:lang w:val="lv-LV"/>
        </w:rPr>
        <w:t xml:space="preserve"> ir definēts, ka galvenais Latvijas ekonomiskās izaugsmes virzītājs ir eksports – ekonomiskās situācijas uzlabojumu galvenokārt noteiks eksporta apjomu pieaugums un eksporta nozaru izaugsme. Investīcijas tūrisma konkurētspējas stiprināšanā ir nepieciešama</w:t>
      </w:r>
      <w:r w:rsidR="00776271" w:rsidRPr="00263B9F">
        <w:rPr>
          <w:lang w:val="lv-LV"/>
        </w:rPr>
        <w:t>s, jo šīs nozares izaugsme nes</w:t>
      </w:r>
      <w:r w:rsidRPr="00263B9F">
        <w:rPr>
          <w:lang w:val="lv-LV"/>
        </w:rPr>
        <w:t xml:space="preserve"> būtisku ieguldījumu</w:t>
      </w:r>
      <w:r w:rsidR="00776271" w:rsidRPr="00263B9F">
        <w:rPr>
          <w:lang w:val="lv-LV"/>
        </w:rPr>
        <w:t xml:space="preserve"> valsts definētā virsuzdevuma – ekonomiskā izrāviena </w:t>
      </w:r>
      <w:r w:rsidR="00261874" w:rsidRPr="00263B9F">
        <w:rPr>
          <w:lang w:val="lv-LV"/>
        </w:rPr>
        <w:t xml:space="preserve">– </w:t>
      </w:r>
      <w:r w:rsidR="003831E9" w:rsidRPr="00263B9F">
        <w:rPr>
          <w:lang w:val="lv-LV"/>
        </w:rPr>
        <w:t>sasniegšanā.</w:t>
      </w:r>
    </w:p>
    <w:p w14:paraId="496409B1" w14:textId="77777777" w:rsidR="007A2FCB" w:rsidRPr="00267BCC" w:rsidRDefault="007A2FCB" w:rsidP="00267BCC">
      <w:pPr>
        <w:ind w:firstLine="720"/>
        <w:jc w:val="both"/>
        <w:rPr>
          <w:lang w:val="lv-LV"/>
        </w:rPr>
      </w:pPr>
      <w:r w:rsidRPr="00267BCC">
        <w:rPr>
          <w:lang w:val="lv-LV"/>
        </w:rPr>
        <w:t>Nozares izaugsmes pamats līdz šim ir bijis valsts stratēģiski izdevīgais ģeogrāfiskais novietojums, sasniedzamība (tiešo lidojumu attīstība), kā arī kultūras un dabas resursi, cilvēkresursi un to radošums, uzņēmējdarbības spēja. Veicot pārdomātus ieguldījumus tūrisma nozares konkurētspējas stiprināšanā, ir iespējams vēl vairāk palielināt tūrisma pakalpojumu eksporta apjomus.</w:t>
      </w:r>
    </w:p>
    <w:p w14:paraId="496409B2" w14:textId="77777777" w:rsidR="007A2FCB" w:rsidRPr="00267BCC" w:rsidRDefault="007A2FCB" w:rsidP="00267BCC">
      <w:pPr>
        <w:ind w:firstLine="720"/>
        <w:jc w:val="both"/>
        <w:rPr>
          <w:lang w:val="lv-LV"/>
        </w:rPr>
      </w:pPr>
      <w:r w:rsidRPr="00267BCC">
        <w:rPr>
          <w:lang w:val="lv-LV"/>
        </w:rPr>
        <w:t>Tūrisma nozares pēdējo gadu lielākais izaicinājums bija nestabilā, krīzes ietekmētā ekonomiskā situācija, kuras ietekmē, mazinoties starptautiskajai tūrisma plūsmai, Latvijas tūrisma pakalpojumu eksports 2009.-2010.gadā pieredzēja lejupslīdi, 2010.gadā – pat 6,3% apmērā. Tomēr, neraugoties uz ekonomisko nestabilitāti, kas radīja negatīvo tendenci, šo gadu laikā tūrisms ir spējis saglabāt nemainīgi augstu pozīciju Latvijas pakalpojumu eksporta struktūrā, ikgadēji veidojot vidēji 17,5% no kopējā valsts pakalpojumu eksporta</w:t>
      </w:r>
      <w:r w:rsidRPr="00CB19B5">
        <w:rPr>
          <w:lang w:val="lv-LV"/>
        </w:rPr>
        <w:t>.</w:t>
      </w:r>
      <w:r w:rsidRPr="00CB19B5">
        <w:rPr>
          <w:rStyle w:val="FootnoteReference"/>
          <w:lang w:val="lv-LV"/>
        </w:rPr>
        <w:footnoteReference w:id="30"/>
      </w:r>
    </w:p>
    <w:p w14:paraId="496409B3" w14:textId="77777777" w:rsidR="007A2FCB" w:rsidRPr="00267BCC" w:rsidRDefault="007A2FCB" w:rsidP="00267BCC">
      <w:pPr>
        <w:ind w:firstLine="720"/>
        <w:jc w:val="both"/>
        <w:rPr>
          <w:lang w:val="lv-LV"/>
        </w:rPr>
      </w:pPr>
      <w:r w:rsidRPr="00267BCC">
        <w:rPr>
          <w:lang w:val="lv-LV"/>
        </w:rPr>
        <w:t>Jāatzīmē, ka šobrīd situācija ir stabilizējusies, un Latvijas tūrisma nozare jau 2011.gadā atgriezās uz izaugsmes ceļa – tūrisma pakalpojumu eksports, salīdzinot ar 2010.gadu, pieauga par 14%, pierādot sevi kā vienu no elastīgākajiem tautsaimniecības sektoriem. Tūrisma nozares izaugsme, lai gan mērenākā tempā, turpinājās arī 2012.gadā (+4,9%).</w:t>
      </w:r>
      <w:r w:rsidRPr="00CB19B5">
        <w:rPr>
          <w:rStyle w:val="FootnoteReference"/>
          <w:lang w:val="lv-LV"/>
        </w:rPr>
        <w:footnoteReference w:id="31"/>
      </w:r>
    </w:p>
    <w:p w14:paraId="496409B4" w14:textId="77777777" w:rsidR="007A2FCB" w:rsidRPr="00267BCC" w:rsidRDefault="007A2FCB" w:rsidP="00267BCC">
      <w:pPr>
        <w:ind w:firstLine="720"/>
        <w:jc w:val="both"/>
        <w:rPr>
          <w:lang w:val="lv-LV"/>
        </w:rPr>
      </w:pPr>
    </w:p>
    <w:p w14:paraId="496409B5" w14:textId="77777777" w:rsidR="007A2FCB" w:rsidRPr="00267BCC" w:rsidRDefault="007A2FCB" w:rsidP="00267BCC">
      <w:pPr>
        <w:jc w:val="right"/>
        <w:rPr>
          <w:lang w:val="lv-LV"/>
        </w:rPr>
      </w:pPr>
      <w:r w:rsidRPr="00267BCC">
        <w:rPr>
          <w:lang w:val="lv-LV"/>
        </w:rPr>
        <w:t>1.tabula</w:t>
      </w:r>
    </w:p>
    <w:p w14:paraId="496409B6" w14:textId="77777777" w:rsidR="007A2FCB" w:rsidRPr="00267BCC" w:rsidRDefault="007A2FCB" w:rsidP="00267BCC">
      <w:pPr>
        <w:jc w:val="center"/>
        <w:rPr>
          <w:b/>
          <w:lang w:val="lv-LV"/>
        </w:rPr>
      </w:pPr>
      <w:r w:rsidRPr="00267BCC">
        <w:rPr>
          <w:b/>
          <w:lang w:val="lv-LV"/>
        </w:rPr>
        <w:t>Latvijas tūrisma pakalpojumu eksports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742"/>
        <w:gridCol w:w="2742"/>
        <w:gridCol w:w="2742"/>
      </w:tblGrid>
      <w:tr w:rsidR="007A2FCB" w:rsidRPr="00267BCC" w14:paraId="496409BB" w14:textId="77777777" w:rsidTr="007A2FCB">
        <w:trPr>
          <w:trHeight w:val="557"/>
        </w:trPr>
        <w:tc>
          <w:tcPr>
            <w:tcW w:w="571" w:type="pct"/>
            <w:vAlign w:val="center"/>
            <w:hideMark/>
          </w:tcPr>
          <w:p w14:paraId="496409B7" w14:textId="77777777" w:rsidR="007A2FCB" w:rsidRPr="00267BCC" w:rsidRDefault="007A2FCB" w:rsidP="00267BCC">
            <w:pPr>
              <w:jc w:val="center"/>
              <w:rPr>
                <w:b/>
                <w:sz w:val="20"/>
                <w:szCs w:val="20"/>
                <w:lang w:val="lv-LV"/>
              </w:rPr>
            </w:pPr>
            <w:r w:rsidRPr="00267BCC">
              <w:rPr>
                <w:b/>
                <w:sz w:val="20"/>
                <w:szCs w:val="20"/>
                <w:lang w:val="lv-LV"/>
              </w:rPr>
              <w:lastRenderedPageBreak/>
              <w:t>Gads</w:t>
            </w:r>
          </w:p>
        </w:tc>
        <w:tc>
          <w:tcPr>
            <w:tcW w:w="1476" w:type="pct"/>
            <w:vAlign w:val="center"/>
            <w:hideMark/>
          </w:tcPr>
          <w:p w14:paraId="496409B8" w14:textId="77777777" w:rsidR="007A2FCB" w:rsidRPr="00267BCC" w:rsidRDefault="007A2FCB" w:rsidP="00267BCC">
            <w:pPr>
              <w:jc w:val="center"/>
              <w:rPr>
                <w:b/>
                <w:sz w:val="20"/>
                <w:szCs w:val="20"/>
                <w:lang w:val="lv-LV"/>
              </w:rPr>
            </w:pPr>
            <w:r w:rsidRPr="00267BCC">
              <w:rPr>
                <w:b/>
                <w:bCs/>
                <w:kern w:val="24"/>
                <w:sz w:val="20"/>
                <w:szCs w:val="20"/>
                <w:lang w:val="lv-LV"/>
              </w:rPr>
              <w:t xml:space="preserve">Tūrisma </w:t>
            </w:r>
            <w:r w:rsidR="00647BBC" w:rsidRPr="00267BCC">
              <w:rPr>
                <w:b/>
                <w:bCs/>
                <w:kern w:val="24"/>
                <w:sz w:val="20"/>
                <w:szCs w:val="20"/>
                <w:lang w:val="lv-LV"/>
              </w:rPr>
              <w:t xml:space="preserve">pakalpojumu eksports, milj. </w:t>
            </w:r>
            <w:r w:rsidR="00647BBC" w:rsidRPr="00267BCC">
              <w:rPr>
                <w:b/>
                <w:bCs/>
                <w:kern w:val="24"/>
                <w:sz w:val="20"/>
                <w:szCs w:val="20"/>
                <w:u w:val="single"/>
                <w:lang w:val="lv-LV"/>
              </w:rPr>
              <w:t>EUR</w:t>
            </w:r>
          </w:p>
        </w:tc>
        <w:tc>
          <w:tcPr>
            <w:tcW w:w="1476" w:type="pct"/>
            <w:vAlign w:val="center"/>
            <w:hideMark/>
          </w:tcPr>
          <w:p w14:paraId="496409B9" w14:textId="77777777" w:rsidR="007A2FCB" w:rsidRPr="00267BCC" w:rsidRDefault="007A2FCB" w:rsidP="00267BCC">
            <w:pPr>
              <w:jc w:val="center"/>
              <w:rPr>
                <w:b/>
                <w:sz w:val="20"/>
                <w:szCs w:val="20"/>
                <w:lang w:val="lv-LV"/>
              </w:rPr>
            </w:pPr>
            <w:r w:rsidRPr="00267BCC">
              <w:rPr>
                <w:b/>
                <w:bCs/>
                <w:kern w:val="24"/>
                <w:sz w:val="20"/>
                <w:szCs w:val="20"/>
                <w:lang w:val="lv-LV"/>
              </w:rPr>
              <w:t>Pieaugums, (%)</w:t>
            </w:r>
          </w:p>
        </w:tc>
        <w:tc>
          <w:tcPr>
            <w:tcW w:w="1476" w:type="pct"/>
            <w:vAlign w:val="center"/>
            <w:hideMark/>
          </w:tcPr>
          <w:p w14:paraId="496409BA" w14:textId="77777777" w:rsidR="007A2FCB" w:rsidRPr="00267BCC" w:rsidRDefault="007A2FCB" w:rsidP="00267BCC">
            <w:pPr>
              <w:jc w:val="center"/>
              <w:rPr>
                <w:b/>
                <w:sz w:val="20"/>
                <w:szCs w:val="20"/>
                <w:lang w:val="lv-LV"/>
              </w:rPr>
            </w:pPr>
            <w:r w:rsidRPr="00267BCC">
              <w:rPr>
                <w:b/>
                <w:bCs/>
                <w:kern w:val="24"/>
                <w:sz w:val="20"/>
                <w:szCs w:val="20"/>
                <w:lang w:val="lv-LV"/>
              </w:rPr>
              <w:t>Īpatsvars kopējā pakalpojumu eksportā (%)</w:t>
            </w:r>
          </w:p>
        </w:tc>
      </w:tr>
      <w:tr w:rsidR="007A2FCB" w:rsidRPr="00267BCC" w14:paraId="496409C0" w14:textId="77777777" w:rsidTr="007A2FCB">
        <w:trPr>
          <w:trHeight w:val="300"/>
        </w:trPr>
        <w:tc>
          <w:tcPr>
            <w:tcW w:w="571" w:type="pct"/>
            <w:vAlign w:val="center"/>
            <w:hideMark/>
          </w:tcPr>
          <w:p w14:paraId="496409BC" w14:textId="77777777" w:rsidR="007A2FCB" w:rsidRPr="00267BCC" w:rsidRDefault="007A2FCB" w:rsidP="00267BCC">
            <w:pPr>
              <w:jc w:val="center"/>
              <w:rPr>
                <w:sz w:val="20"/>
                <w:szCs w:val="20"/>
                <w:lang w:val="lv-LV"/>
              </w:rPr>
            </w:pPr>
            <w:r w:rsidRPr="00267BCC">
              <w:rPr>
                <w:b/>
                <w:bCs/>
                <w:kern w:val="24"/>
                <w:sz w:val="20"/>
                <w:szCs w:val="20"/>
                <w:lang w:val="lv-LV"/>
              </w:rPr>
              <w:t>2009</w:t>
            </w:r>
          </w:p>
        </w:tc>
        <w:tc>
          <w:tcPr>
            <w:tcW w:w="1476" w:type="pct"/>
            <w:vAlign w:val="center"/>
            <w:hideMark/>
          </w:tcPr>
          <w:p w14:paraId="496409BD" w14:textId="77777777" w:rsidR="007A2FCB" w:rsidRPr="00263B9F" w:rsidRDefault="00647BBC" w:rsidP="00267BCC">
            <w:pPr>
              <w:jc w:val="center"/>
              <w:rPr>
                <w:sz w:val="20"/>
                <w:szCs w:val="20"/>
                <w:lang w:val="lv-LV"/>
              </w:rPr>
            </w:pPr>
            <w:r w:rsidRPr="00263B9F">
              <w:rPr>
                <w:kern w:val="24"/>
                <w:sz w:val="20"/>
                <w:szCs w:val="20"/>
                <w:lang w:val="lv-LV"/>
              </w:rPr>
              <w:t>517,9</w:t>
            </w:r>
          </w:p>
        </w:tc>
        <w:tc>
          <w:tcPr>
            <w:tcW w:w="1476" w:type="pct"/>
            <w:vAlign w:val="center"/>
            <w:hideMark/>
          </w:tcPr>
          <w:p w14:paraId="496409BE" w14:textId="77777777" w:rsidR="007A2FCB" w:rsidRPr="00267BCC" w:rsidRDefault="007A2FCB" w:rsidP="00267BCC">
            <w:pPr>
              <w:jc w:val="center"/>
              <w:rPr>
                <w:sz w:val="20"/>
                <w:szCs w:val="20"/>
                <w:lang w:val="lv-LV"/>
              </w:rPr>
            </w:pPr>
            <w:r w:rsidRPr="00267BCC">
              <w:rPr>
                <w:kern w:val="24"/>
                <w:sz w:val="20"/>
                <w:szCs w:val="20"/>
                <w:lang w:val="lv-LV"/>
              </w:rPr>
              <w:t>-4,1</w:t>
            </w:r>
          </w:p>
        </w:tc>
        <w:tc>
          <w:tcPr>
            <w:tcW w:w="1476" w:type="pct"/>
            <w:vAlign w:val="center"/>
            <w:hideMark/>
          </w:tcPr>
          <w:p w14:paraId="496409BF" w14:textId="77777777" w:rsidR="007A2FCB" w:rsidRPr="00267BCC" w:rsidRDefault="007A2FCB" w:rsidP="00267BCC">
            <w:pPr>
              <w:jc w:val="center"/>
              <w:rPr>
                <w:sz w:val="20"/>
                <w:szCs w:val="20"/>
                <w:lang w:val="lv-LV"/>
              </w:rPr>
            </w:pPr>
            <w:r w:rsidRPr="00267BCC">
              <w:rPr>
                <w:kern w:val="24"/>
                <w:sz w:val="20"/>
                <w:szCs w:val="20"/>
                <w:lang w:val="lv-LV"/>
              </w:rPr>
              <w:t>18,9</w:t>
            </w:r>
          </w:p>
        </w:tc>
      </w:tr>
      <w:tr w:rsidR="007A2FCB" w:rsidRPr="00267BCC" w14:paraId="496409C5" w14:textId="77777777" w:rsidTr="007A2FCB">
        <w:trPr>
          <w:trHeight w:val="300"/>
        </w:trPr>
        <w:tc>
          <w:tcPr>
            <w:tcW w:w="571" w:type="pct"/>
            <w:vAlign w:val="center"/>
            <w:hideMark/>
          </w:tcPr>
          <w:p w14:paraId="496409C1" w14:textId="77777777" w:rsidR="007A2FCB" w:rsidRPr="00267BCC" w:rsidRDefault="007A2FCB" w:rsidP="00267BCC">
            <w:pPr>
              <w:jc w:val="center"/>
              <w:rPr>
                <w:sz w:val="20"/>
                <w:szCs w:val="20"/>
                <w:lang w:val="lv-LV"/>
              </w:rPr>
            </w:pPr>
            <w:r w:rsidRPr="00267BCC">
              <w:rPr>
                <w:b/>
                <w:bCs/>
                <w:kern w:val="24"/>
                <w:sz w:val="20"/>
                <w:szCs w:val="20"/>
                <w:lang w:val="lv-LV"/>
              </w:rPr>
              <w:t>2010</w:t>
            </w:r>
          </w:p>
        </w:tc>
        <w:tc>
          <w:tcPr>
            <w:tcW w:w="1476" w:type="pct"/>
            <w:vAlign w:val="center"/>
            <w:hideMark/>
          </w:tcPr>
          <w:p w14:paraId="496409C2" w14:textId="77777777" w:rsidR="007A2FCB" w:rsidRPr="00263B9F" w:rsidRDefault="00647BBC" w:rsidP="00267BCC">
            <w:pPr>
              <w:jc w:val="center"/>
              <w:rPr>
                <w:sz w:val="20"/>
                <w:szCs w:val="20"/>
                <w:lang w:val="lv-LV"/>
              </w:rPr>
            </w:pPr>
            <w:r w:rsidRPr="00263B9F">
              <w:rPr>
                <w:kern w:val="24"/>
                <w:sz w:val="20"/>
                <w:szCs w:val="20"/>
                <w:lang w:val="lv-LV"/>
              </w:rPr>
              <w:t>483,8</w:t>
            </w:r>
          </w:p>
        </w:tc>
        <w:tc>
          <w:tcPr>
            <w:tcW w:w="1476" w:type="pct"/>
            <w:vAlign w:val="center"/>
            <w:hideMark/>
          </w:tcPr>
          <w:p w14:paraId="496409C3" w14:textId="77777777" w:rsidR="007A2FCB" w:rsidRPr="00267BCC" w:rsidRDefault="007A2FCB" w:rsidP="00267BCC">
            <w:pPr>
              <w:jc w:val="center"/>
              <w:rPr>
                <w:sz w:val="20"/>
                <w:szCs w:val="20"/>
                <w:lang w:val="lv-LV"/>
              </w:rPr>
            </w:pPr>
            <w:r w:rsidRPr="00267BCC">
              <w:rPr>
                <w:kern w:val="24"/>
                <w:sz w:val="20"/>
                <w:szCs w:val="20"/>
                <w:lang w:val="lv-LV"/>
              </w:rPr>
              <w:t>-6,3</w:t>
            </w:r>
          </w:p>
        </w:tc>
        <w:tc>
          <w:tcPr>
            <w:tcW w:w="1476" w:type="pct"/>
            <w:vAlign w:val="center"/>
            <w:hideMark/>
          </w:tcPr>
          <w:p w14:paraId="496409C4" w14:textId="77777777" w:rsidR="007A2FCB" w:rsidRPr="00267BCC" w:rsidRDefault="007A2FCB" w:rsidP="00267BCC">
            <w:pPr>
              <w:jc w:val="center"/>
              <w:rPr>
                <w:sz w:val="20"/>
                <w:szCs w:val="20"/>
                <w:lang w:val="lv-LV"/>
              </w:rPr>
            </w:pPr>
            <w:r w:rsidRPr="00267BCC">
              <w:rPr>
                <w:kern w:val="24"/>
                <w:sz w:val="20"/>
                <w:szCs w:val="20"/>
                <w:lang w:val="lv-LV"/>
              </w:rPr>
              <w:t>17,4</w:t>
            </w:r>
          </w:p>
        </w:tc>
      </w:tr>
      <w:tr w:rsidR="007A2FCB" w:rsidRPr="00267BCC" w14:paraId="496409CA" w14:textId="77777777" w:rsidTr="007A2FCB">
        <w:trPr>
          <w:trHeight w:val="300"/>
        </w:trPr>
        <w:tc>
          <w:tcPr>
            <w:tcW w:w="571" w:type="pct"/>
            <w:vAlign w:val="center"/>
            <w:hideMark/>
          </w:tcPr>
          <w:p w14:paraId="496409C6" w14:textId="77777777" w:rsidR="007A2FCB" w:rsidRPr="00267BCC" w:rsidRDefault="007A2FCB" w:rsidP="00267BCC">
            <w:pPr>
              <w:jc w:val="center"/>
              <w:rPr>
                <w:b/>
                <w:bCs/>
                <w:kern w:val="24"/>
                <w:sz w:val="20"/>
                <w:szCs w:val="20"/>
                <w:lang w:val="lv-LV"/>
              </w:rPr>
            </w:pPr>
            <w:r w:rsidRPr="00267BCC">
              <w:rPr>
                <w:b/>
                <w:bCs/>
                <w:kern w:val="24"/>
                <w:sz w:val="20"/>
                <w:szCs w:val="20"/>
                <w:lang w:val="lv-LV"/>
              </w:rPr>
              <w:t>2011</w:t>
            </w:r>
          </w:p>
        </w:tc>
        <w:tc>
          <w:tcPr>
            <w:tcW w:w="1476" w:type="pct"/>
            <w:vAlign w:val="center"/>
            <w:hideMark/>
          </w:tcPr>
          <w:p w14:paraId="496409C7" w14:textId="77777777" w:rsidR="007A2FCB" w:rsidRPr="00263B9F" w:rsidRDefault="00647BBC" w:rsidP="00267BCC">
            <w:pPr>
              <w:jc w:val="center"/>
              <w:rPr>
                <w:kern w:val="24"/>
                <w:sz w:val="20"/>
                <w:szCs w:val="20"/>
                <w:lang w:val="lv-LV"/>
              </w:rPr>
            </w:pPr>
            <w:r w:rsidRPr="00263B9F">
              <w:rPr>
                <w:kern w:val="24"/>
                <w:sz w:val="20"/>
                <w:szCs w:val="20"/>
                <w:lang w:val="lv-LV"/>
              </w:rPr>
              <w:t>553,5</w:t>
            </w:r>
          </w:p>
        </w:tc>
        <w:tc>
          <w:tcPr>
            <w:tcW w:w="1476" w:type="pct"/>
            <w:vAlign w:val="center"/>
            <w:hideMark/>
          </w:tcPr>
          <w:p w14:paraId="496409C8" w14:textId="77777777" w:rsidR="007A2FCB" w:rsidRPr="00267BCC" w:rsidRDefault="007A2FCB" w:rsidP="00267BCC">
            <w:pPr>
              <w:jc w:val="center"/>
              <w:rPr>
                <w:kern w:val="24"/>
                <w:sz w:val="20"/>
                <w:szCs w:val="20"/>
                <w:lang w:val="lv-LV"/>
              </w:rPr>
            </w:pPr>
            <w:r w:rsidRPr="00267BCC">
              <w:rPr>
                <w:kern w:val="24"/>
                <w:sz w:val="20"/>
                <w:szCs w:val="20"/>
                <w:lang w:val="lv-LV"/>
              </w:rPr>
              <w:t>+14,4</w:t>
            </w:r>
          </w:p>
        </w:tc>
        <w:tc>
          <w:tcPr>
            <w:tcW w:w="1476" w:type="pct"/>
            <w:vAlign w:val="center"/>
            <w:hideMark/>
          </w:tcPr>
          <w:p w14:paraId="496409C9" w14:textId="77777777" w:rsidR="007A2FCB" w:rsidRPr="00267BCC" w:rsidRDefault="007A2FCB" w:rsidP="00267BCC">
            <w:pPr>
              <w:jc w:val="center"/>
              <w:rPr>
                <w:kern w:val="24"/>
                <w:sz w:val="20"/>
                <w:szCs w:val="20"/>
                <w:lang w:val="lv-LV"/>
              </w:rPr>
            </w:pPr>
            <w:r w:rsidRPr="00267BCC">
              <w:rPr>
                <w:kern w:val="24"/>
                <w:sz w:val="20"/>
                <w:szCs w:val="20"/>
                <w:lang w:val="lv-LV"/>
              </w:rPr>
              <w:t>17,3</w:t>
            </w:r>
          </w:p>
        </w:tc>
      </w:tr>
      <w:tr w:rsidR="007A2FCB" w:rsidRPr="00267BCC" w14:paraId="496409CF" w14:textId="77777777" w:rsidTr="007A2FCB">
        <w:trPr>
          <w:trHeight w:val="300"/>
        </w:trPr>
        <w:tc>
          <w:tcPr>
            <w:tcW w:w="571" w:type="pct"/>
            <w:vAlign w:val="center"/>
          </w:tcPr>
          <w:p w14:paraId="496409CB" w14:textId="77777777" w:rsidR="007A2FCB" w:rsidRPr="00267BCC" w:rsidRDefault="007A2FCB" w:rsidP="00267BCC">
            <w:pPr>
              <w:jc w:val="center"/>
              <w:rPr>
                <w:b/>
                <w:bCs/>
                <w:kern w:val="24"/>
                <w:sz w:val="20"/>
                <w:szCs w:val="20"/>
                <w:lang w:val="lv-LV"/>
              </w:rPr>
            </w:pPr>
            <w:r w:rsidRPr="00267BCC">
              <w:rPr>
                <w:b/>
                <w:bCs/>
                <w:kern w:val="24"/>
                <w:sz w:val="20"/>
                <w:szCs w:val="20"/>
                <w:lang w:val="lv-LV"/>
              </w:rPr>
              <w:t>2012</w:t>
            </w:r>
          </w:p>
        </w:tc>
        <w:tc>
          <w:tcPr>
            <w:tcW w:w="1476" w:type="pct"/>
            <w:vAlign w:val="center"/>
          </w:tcPr>
          <w:p w14:paraId="496409CC" w14:textId="77777777" w:rsidR="007A2FCB" w:rsidRPr="00263B9F" w:rsidRDefault="00647BBC" w:rsidP="00267BCC">
            <w:pPr>
              <w:jc w:val="center"/>
              <w:rPr>
                <w:kern w:val="24"/>
                <w:sz w:val="20"/>
                <w:szCs w:val="20"/>
                <w:lang w:val="lv-LV"/>
              </w:rPr>
            </w:pPr>
            <w:r w:rsidRPr="00263B9F">
              <w:rPr>
                <w:kern w:val="24"/>
                <w:sz w:val="20"/>
                <w:szCs w:val="20"/>
                <w:lang w:val="lv-LV"/>
              </w:rPr>
              <w:t>580,5</w:t>
            </w:r>
          </w:p>
        </w:tc>
        <w:tc>
          <w:tcPr>
            <w:tcW w:w="1476" w:type="pct"/>
            <w:vAlign w:val="center"/>
          </w:tcPr>
          <w:p w14:paraId="496409CD" w14:textId="77777777" w:rsidR="007A2FCB" w:rsidRPr="00267BCC" w:rsidRDefault="007A2FCB" w:rsidP="00267BCC">
            <w:pPr>
              <w:jc w:val="center"/>
              <w:rPr>
                <w:kern w:val="24"/>
                <w:sz w:val="20"/>
                <w:szCs w:val="20"/>
                <w:lang w:val="lv-LV"/>
              </w:rPr>
            </w:pPr>
            <w:r w:rsidRPr="00267BCC">
              <w:rPr>
                <w:kern w:val="24"/>
                <w:sz w:val="20"/>
                <w:szCs w:val="20"/>
                <w:lang w:val="lv-LV"/>
              </w:rPr>
              <w:t>+4,9</w:t>
            </w:r>
          </w:p>
        </w:tc>
        <w:tc>
          <w:tcPr>
            <w:tcW w:w="1476" w:type="pct"/>
            <w:vAlign w:val="center"/>
          </w:tcPr>
          <w:p w14:paraId="496409CE" w14:textId="77777777" w:rsidR="007A2FCB" w:rsidRPr="00267BCC" w:rsidRDefault="007A2FCB" w:rsidP="00267BCC">
            <w:pPr>
              <w:jc w:val="center"/>
              <w:rPr>
                <w:kern w:val="24"/>
                <w:sz w:val="20"/>
                <w:szCs w:val="20"/>
                <w:lang w:val="lv-LV"/>
              </w:rPr>
            </w:pPr>
            <w:r w:rsidRPr="00267BCC">
              <w:rPr>
                <w:kern w:val="24"/>
                <w:sz w:val="20"/>
                <w:szCs w:val="20"/>
                <w:lang w:val="lv-LV"/>
              </w:rPr>
              <w:t>16,5</w:t>
            </w:r>
          </w:p>
        </w:tc>
      </w:tr>
    </w:tbl>
    <w:p w14:paraId="496409D0" w14:textId="77777777" w:rsidR="007A2FCB" w:rsidRPr="00263B9F" w:rsidRDefault="007A2FCB" w:rsidP="00267BCC">
      <w:pPr>
        <w:rPr>
          <w:sz w:val="20"/>
          <w:szCs w:val="20"/>
          <w:lang w:val="lv-LV"/>
        </w:rPr>
      </w:pPr>
      <w:r w:rsidRPr="00267BCC">
        <w:rPr>
          <w:sz w:val="20"/>
          <w:szCs w:val="20"/>
          <w:lang w:val="lv-LV"/>
        </w:rPr>
        <w:t xml:space="preserve">Datu avots: Latvijas Banka, </w:t>
      </w:r>
      <w:r w:rsidRPr="00263B9F">
        <w:rPr>
          <w:sz w:val="20"/>
          <w:szCs w:val="20"/>
          <w:lang w:val="lv-LV"/>
        </w:rPr>
        <w:t>Latvijas maksājumu bilance</w:t>
      </w:r>
    </w:p>
    <w:p w14:paraId="496409D1" w14:textId="77777777" w:rsidR="007A2FCB" w:rsidRPr="00267BCC" w:rsidRDefault="007A2FCB" w:rsidP="00267BCC">
      <w:pPr>
        <w:rPr>
          <w:lang w:val="lv-LV"/>
        </w:rPr>
      </w:pPr>
    </w:p>
    <w:p w14:paraId="496409D2" w14:textId="77777777" w:rsidR="007A2FCB" w:rsidRPr="00263B9F" w:rsidRDefault="007A2FCB" w:rsidP="00267BCC">
      <w:pPr>
        <w:ind w:firstLine="720"/>
        <w:jc w:val="both"/>
        <w:rPr>
          <w:lang w:val="lv-LV"/>
        </w:rPr>
      </w:pPr>
      <w:r w:rsidRPr="00267BCC">
        <w:rPr>
          <w:lang w:val="lv-LV"/>
        </w:rPr>
        <w:t xml:space="preserve">Kā jau minēts, globālā ekonomiskā krīze nopietni ietekmēja kopējo Latvijas tūrisma nozares attīstību, it īpaši – 2009.gadā, taču jau kopš 2010.gada novērojama stabila ārvalstu ceļotāju robežšķērsojumu skaita palielināšanās, 2012.gadā sasniedzot 5,6 miljonus, kas bija par 17,8% vairāk nekā 2009.gadā </w:t>
      </w:r>
      <w:r w:rsidRPr="00263B9F">
        <w:rPr>
          <w:lang w:val="lv-LV"/>
        </w:rPr>
        <w:t>(2.tabula)</w:t>
      </w:r>
      <w:r w:rsidRPr="00267BCC">
        <w:rPr>
          <w:lang w:val="lv-LV"/>
        </w:rPr>
        <w:t xml:space="preserve">. Pozitīvi vērtējams arī fakts, ka pēdējo divu gadu laikā ir palielinājušies arī kopējie ārvalstu ceļotāju tēriņi Latvijā, 2011.gadā pieaugot par 13,7%, savukārt 2012.gadā – par 1,1%. Izdevumu kāpumu galvenokārt nosaka pakalpojumu cenu sadārdzināšanās un tādu ceļotāju skaita pieaugums, kas vidēji ilgāk uzturas mūsu valstī, kā arī vairāk tērē, piemēram, Vācijas </w:t>
      </w:r>
      <w:r w:rsidRPr="00263B9F">
        <w:rPr>
          <w:lang w:val="lv-LV"/>
        </w:rPr>
        <w:t>(vidēji uztu</w:t>
      </w:r>
      <w:r w:rsidR="00EB4F30" w:rsidRPr="00263B9F">
        <w:rPr>
          <w:lang w:val="lv-LV"/>
        </w:rPr>
        <w:t>ras 4 diennaktis, iztērējot 43,1</w:t>
      </w:r>
      <w:r w:rsidRPr="00263B9F">
        <w:rPr>
          <w:lang w:val="lv-LV"/>
        </w:rPr>
        <w:t xml:space="preserve"> milj. </w:t>
      </w:r>
      <w:r w:rsidR="00EB4F30" w:rsidRPr="00263B9F">
        <w:rPr>
          <w:lang w:val="lv-LV"/>
        </w:rPr>
        <w:t>EUR</w:t>
      </w:r>
      <w:r w:rsidRPr="00263B9F">
        <w:rPr>
          <w:lang w:val="lv-LV"/>
        </w:rPr>
        <w:t xml:space="preserve">) un Krievijas ceļotāji (vidēji uzturas 6,5 diennaktis, iztērējot </w:t>
      </w:r>
      <w:r w:rsidR="0099684D" w:rsidRPr="00263B9F">
        <w:rPr>
          <w:lang w:val="lv-LV"/>
        </w:rPr>
        <w:t>89,9</w:t>
      </w:r>
      <w:r w:rsidRPr="00263B9F">
        <w:rPr>
          <w:lang w:val="lv-LV"/>
        </w:rPr>
        <w:t xml:space="preserve"> milj. </w:t>
      </w:r>
      <w:r w:rsidR="0099684D" w:rsidRPr="00263B9F">
        <w:rPr>
          <w:lang w:val="lv-LV"/>
        </w:rPr>
        <w:t>EUR</w:t>
      </w:r>
      <w:r w:rsidRPr="00263B9F">
        <w:rPr>
          <w:lang w:val="lv-LV"/>
        </w:rPr>
        <w:t>).</w:t>
      </w:r>
      <w:r w:rsidRPr="00263B9F">
        <w:rPr>
          <w:rStyle w:val="FootnoteReference"/>
          <w:lang w:val="lv-LV"/>
        </w:rPr>
        <w:footnoteReference w:id="32"/>
      </w:r>
    </w:p>
    <w:p w14:paraId="496409D3" w14:textId="77777777" w:rsidR="007A2FCB" w:rsidRPr="00267BCC" w:rsidRDefault="007A2FCB" w:rsidP="00267BCC">
      <w:pPr>
        <w:jc w:val="both"/>
        <w:rPr>
          <w:lang w:val="lv-LV"/>
        </w:rPr>
      </w:pPr>
    </w:p>
    <w:p w14:paraId="496409D4" w14:textId="77777777" w:rsidR="007A2FCB" w:rsidRPr="00267BCC" w:rsidRDefault="007A2FCB" w:rsidP="00267BCC">
      <w:pPr>
        <w:ind w:firstLine="720"/>
        <w:jc w:val="right"/>
        <w:rPr>
          <w:lang w:val="lv-LV"/>
        </w:rPr>
      </w:pPr>
      <w:r w:rsidRPr="00267BCC">
        <w:rPr>
          <w:lang w:val="lv-LV"/>
        </w:rPr>
        <w:t>2.tabula</w:t>
      </w:r>
    </w:p>
    <w:p w14:paraId="496409D5" w14:textId="77777777" w:rsidR="007A2FCB" w:rsidRPr="00267BCC" w:rsidRDefault="007A2FCB" w:rsidP="00267BCC">
      <w:pPr>
        <w:jc w:val="center"/>
        <w:rPr>
          <w:b/>
          <w:lang w:val="lv-LV"/>
        </w:rPr>
      </w:pPr>
      <w:r w:rsidRPr="00267BCC">
        <w:rPr>
          <w:b/>
          <w:lang w:val="lv-LV"/>
        </w:rPr>
        <w:t>Ārvalstu ceļotājus (Latvijā) raksturojošie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27"/>
        <w:gridCol w:w="927"/>
        <w:gridCol w:w="927"/>
        <w:gridCol w:w="927"/>
        <w:gridCol w:w="927"/>
        <w:gridCol w:w="927"/>
        <w:gridCol w:w="923"/>
      </w:tblGrid>
      <w:tr w:rsidR="007A2FCB" w:rsidRPr="00267BCC" w14:paraId="496409DE" w14:textId="77777777" w:rsidTr="007A2FCB">
        <w:trPr>
          <w:trHeight w:val="574"/>
        </w:trPr>
        <w:tc>
          <w:tcPr>
            <w:tcW w:w="1509" w:type="pct"/>
            <w:vAlign w:val="center"/>
            <w:hideMark/>
          </w:tcPr>
          <w:p w14:paraId="496409D6" w14:textId="77777777" w:rsidR="007A2FCB" w:rsidRPr="00267BCC" w:rsidRDefault="007A2FCB" w:rsidP="00267BCC">
            <w:pPr>
              <w:jc w:val="center"/>
              <w:rPr>
                <w:sz w:val="20"/>
                <w:szCs w:val="20"/>
                <w:lang w:val="lv-LV"/>
              </w:rPr>
            </w:pPr>
          </w:p>
        </w:tc>
        <w:tc>
          <w:tcPr>
            <w:tcW w:w="499" w:type="pct"/>
            <w:vAlign w:val="center"/>
            <w:hideMark/>
          </w:tcPr>
          <w:p w14:paraId="496409D7" w14:textId="77777777" w:rsidR="007A2FCB" w:rsidRPr="00267BCC" w:rsidRDefault="007A2FCB" w:rsidP="00267BCC">
            <w:pPr>
              <w:jc w:val="center"/>
              <w:rPr>
                <w:sz w:val="20"/>
                <w:szCs w:val="20"/>
                <w:lang w:val="lv-LV"/>
              </w:rPr>
            </w:pPr>
            <w:r w:rsidRPr="00267BCC">
              <w:rPr>
                <w:b/>
                <w:bCs/>
                <w:color w:val="000000"/>
                <w:kern w:val="24"/>
                <w:sz w:val="20"/>
                <w:szCs w:val="20"/>
                <w:lang w:val="lv-LV"/>
              </w:rPr>
              <w:t>2009</w:t>
            </w:r>
          </w:p>
        </w:tc>
        <w:tc>
          <w:tcPr>
            <w:tcW w:w="499" w:type="pct"/>
            <w:vAlign w:val="center"/>
            <w:hideMark/>
          </w:tcPr>
          <w:p w14:paraId="496409D8" w14:textId="77777777" w:rsidR="007A2FCB" w:rsidRPr="00267BCC" w:rsidRDefault="007A2FCB" w:rsidP="00267BCC">
            <w:pPr>
              <w:jc w:val="center"/>
              <w:rPr>
                <w:sz w:val="20"/>
                <w:szCs w:val="20"/>
                <w:lang w:val="lv-LV"/>
              </w:rPr>
            </w:pPr>
            <w:r w:rsidRPr="00267BCC">
              <w:rPr>
                <w:b/>
                <w:bCs/>
                <w:color w:val="000000"/>
                <w:kern w:val="24"/>
                <w:sz w:val="20"/>
                <w:szCs w:val="20"/>
                <w:lang w:val="lv-LV"/>
              </w:rPr>
              <w:t>2010</w:t>
            </w:r>
          </w:p>
        </w:tc>
        <w:tc>
          <w:tcPr>
            <w:tcW w:w="499" w:type="pct"/>
            <w:vAlign w:val="center"/>
          </w:tcPr>
          <w:p w14:paraId="496409D9" w14:textId="77777777" w:rsidR="007A2FCB" w:rsidRPr="00267BCC" w:rsidRDefault="007A2FCB" w:rsidP="00267BCC">
            <w:pPr>
              <w:jc w:val="center"/>
              <w:rPr>
                <w:bCs/>
                <w:i/>
                <w:color w:val="000000"/>
                <w:kern w:val="24"/>
                <w:sz w:val="18"/>
                <w:szCs w:val="18"/>
                <w:lang w:val="lv-LV"/>
              </w:rPr>
            </w:pPr>
            <w:r w:rsidRPr="00267BCC">
              <w:rPr>
                <w:bCs/>
                <w:i/>
                <w:color w:val="000000"/>
                <w:kern w:val="24"/>
                <w:sz w:val="18"/>
                <w:szCs w:val="18"/>
                <w:lang w:val="lv-LV"/>
              </w:rPr>
              <w:t>Izmaiņas, %</w:t>
            </w:r>
          </w:p>
        </w:tc>
        <w:tc>
          <w:tcPr>
            <w:tcW w:w="499" w:type="pct"/>
            <w:vAlign w:val="center"/>
          </w:tcPr>
          <w:p w14:paraId="496409DA" w14:textId="77777777" w:rsidR="007A2FCB" w:rsidRPr="00267BCC" w:rsidRDefault="007A2FCB" w:rsidP="00267BCC">
            <w:pPr>
              <w:jc w:val="center"/>
              <w:rPr>
                <w:sz w:val="20"/>
                <w:szCs w:val="20"/>
                <w:lang w:val="lv-LV"/>
              </w:rPr>
            </w:pPr>
            <w:r w:rsidRPr="00267BCC">
              <w:rPr>
                <w:b/>
                <w:bCs/>
                <w:color w:val="000000"/>
                <w:kern w:val="24"/>
                <w:sz w:val="20"/>
                <w:szCs w:val="20"/>
                <w:lang w:val="lv-LV"/>
              </w:rPr>
              <w:t>2011</w:t>
            </w:r>
          </w:p>
        </w:tc>
        <w:tc>
          <w:tcPr>
            <w:tcW w:w="499" w:type="pct"/>
            <w:vAlign w:val="center"/>
          </w:tcPr>
          <w:p w14:paraId="496409DB" w14:textId="77777777" w:rsidR="007A2FCB" w:rsidRPr="00267BCC" w:rsidRDefault="007A2FCB" w:rsidP="00267BCC">
            <w:pPr>
              <w:jc w:val="center"/>
              <w:rPr>
                <w:b/>
                <w:bCs/>
                <w:i/>
                <w:color w:val="000000"/>
                <w:kern w:val="24"/>
                <w:sz w:val="18"/>
                <w:szCs w:val="18"/>
                <w:lang w:val="lv-LV"/>
              </w:rPr>
            </w:pPr>
            <w:r w:rsidRPr="00267BCC">
              <w:rPr>
                <w:bCs/>
                <w:i/>
                <w:color w:val="000000"/>
                <w:kern w:val="24"/>
                <w:sz w:val="18"/>
                <w:szCs w:val="18"/>
                <w:lang w:val="lv-LV"/>
              </w:rPr>
              <w:t>Izmaiņas, %</w:t>
            </w:r>
          </w:p>
        </w:tc>
        <w:tc>
          <w:tcPr>
            <w:tcW w:w="499" w:type="pct"/>
            <w:vAlign w:val="center"/>
          </w:tcPr>
          <w:p w14:paraId="496409DC" w14:textId="77777777" w:rsidR="007A2FCB" w:rsidRPr="00267BCC" w:rsidRDefault="007A2FCB" w:rsidP="00267BCC">
            <w:pPr>
              <w:jc w:val="center"/>
              <w:rPr>
                <w:sz w:val="20"/>
                <w:szCs w:val="20"/>
                <w:lang w:val="lv-LV"/>
              </w:rPr>
            </w:pPr>
            <w:r w:rsidRPr="00267BCC">
              <w:rPr>
                <w:b/>
                <w:bCs/>
                <w:color w:val="000000"/>
                <w:kern w:val="24"/>
                <w:sz w:val="20"/>
                <w:szCs w:val="20"/>
                <w:lang w:val="lv-LV"/>
              </w:rPr>
              <w:t>2012</w:t>
            </w:r>
          </w:p>
        </w:tc>
        <w:tc>
          <w:tcPr>
            <w:tcW w:w="499" w:type="pct"/>
            <w:vAlign w:val="center"/>
          </w:tcPr>
          <w:p w14:paraId="496409DD" w14:textId="77777777" w:rsidR="007A2FCB" w:rsidRPr="00267BCC" w:rsidRDefault="007A2FCB" w:rsidP="00267BCC">
            <w:pPr>
              <w:jc w:val="center"/>
              <w:rPr>
                <w:b/>
                <w:bCs/>
                <w:i/>
                <w:color w:val="000000"/>
                <w:kern w:val="24"/>
                <w:sz w:val="18"/>
                <w:szCs w:val="18"/>
                <w:lang w:val="lv-LV"/>
              </w:rPr>
            </w:pPr>
            <w:r w:rsidRPr="00267BCC">
              <w:rPr>
                <w:bCs/>
                <w:i/>
                <w:color w:val="000000"/>
                <w:kern w:val="24"/>
                <w:sz w:val="18"/>
                <w:szCs w:val="18"/>
                <w:lang w:val="lv-LV"/>
              </w:rPr>
              <w:t>Izmaiņas, %</w:t>
            </w:r>
          </w:p>
        </w:tc>
      </w:tr>
      <w:tr w:rsidR="007A2FCB" w:rsidRPr="00267BCC" w14:paraId="496409E7" w14:textId="77777777" w:rsidTr="007A2FCB">
        <w:trPr>
          <w:trHeight w:val="574"/>
        </w:trPr>
        <w:tc>
          <w:tcPr>
            <w:tcW w:w="1509" w:type="pct"/>
            <w:vAlign w:val="center"/>
            <w:hideMark/>
          </w:tcPr>
          <w:p w14:paraId="496409DF" w14:textId="77777777" w:rsidR="007A2FCB" w:rsidRPr="00267BCC" w:rsidRDefault="007A2FCB" w:rsidP="00267BCC">
            <w:pPr>
              <w:rPr>
                <w:b/>
                <w:bCs/>
                <w:color w:val="000000"/>
                <w:kern w:val="24"/>
                <w:sz w:val="20"/>
                <w:szCs w:val="20"/>
                <w:lang w:val="lv-LV"/>
              </w:rPr>
            </w:pPr>
            <w:r w:rsidRPr="00267BCC">
              <w:rPr>
                <w:b/>
                <w:bCs/>
                <w:color w:val="000000"/>
                <w:kern w:val="24"/>
                <w:sz w:val="20"/>
                <w:szCs w:val="20"/>
                <w:lang w:val="lv-LV"/>
              </w:rPr>
              <w:t>Robežšķērsojumu skaits, tūkst.</w:t>
            </w:r>
          </w:p>
        </w:tc>
        <w:tc>
          <w:tcPr>
            <w:tcW w:w="499" w:type="pct"/>
            <w:vAlign w:val="center"/>
            <w:hideMark/>
          </w:tcPr>
          <w:p w14:paraId="496409E0" w14:textId="77777777" w:rsidR="007A2FCB" w:rsidRPr="00267BCC" w:rsidRDefault="007A2FCB" w:rsidP="00267BCC">
            <w:pPr>
              <w:jc w:val="center"/>
              <w:rPr>
                <w:color w:val="000000"/>
                <w:kern w:val="24"/>
                <w:sz w:val="20"/>
                <w:szCs w:val="20"/>
                <w:lang w:val="lv-LV"/>
              </w:rPr>
            </w:pPr>
            <w:r w:rsidRPr="00267BCC">
              <w:rPr>
                <w:color w:val="000000"/>
                <w:kern w:val="24"/>
                <w:sz w:val="20"/>
                <w:szCs w:val="20"/>
                <w:lang w:val="lv-LV"/>
              </w:rPr>
              <w:t>4727</w:t>
            </w:r>
          </w:p>
        </w:tc>
        <w:tc>
          <w:tcPr>
            <w:tcW w:w="499" w:type="pct"/>
            <w:vAlign w:val="center"/>
            <w:hideMark/>
          </w:tcPr>
          <w:p w14:paraId="496409E1" w14:textId="77777777" w:rsidR="007A2FCB" w:rsidRPr="00267BCC" w:rsidRDefault="007A2FCB" w:rsidP="00267BCC">
            <w:pPr>
              <w:jc w:val="center"/>
              <w:rPr>
                <w:color w:val="000000"/>
                <w:kern w:val="24"/>
                <w:sz w:val="20"/>
                <w:szCs w:val="20"/>
                <w:lang w:val="lv-LV"/>
              </w:rPr>
            </w:pPr>
            <w:r w:rsidRPr="00267BCC">
              <w:rPr>
                <w:color w:val="000000"/>
                <w:kern w:val="24"/>
                <w:sz w:val="20"/>
                <w:szCs w:val="20"/>
                <w:lang w:val="lv-LV"/>
              </w:rPr>
              <w:t>5042</w:t>
            </w:r>
          </w:p>
        </w:tc>
        <w:tc>
          <w:tcPr>
            <w:tcW w:w="499" w:type="pct"/>
            <w:vAlign w:val="center"/>
          </w:tcPr>
          <w:p w14:paraId="496409E2" w14:textId="77777777" w:rsidR="007A2FCB" w:rsidRPr="00267BCC" w:rsidRDefault="007A2FCB" w:rsidP="00267BCC">
            <w:pPr>
              <w:jc w:val="center"/>
              <w:rPr>
                <w:i/>
                <w:color w:val="000000"/>
                <w:kern w:val="24"/>
                <w:sz w:val="20"/>
                <w:szCs w:val="20"/>
                <w:lang w:val="lv-LV"/>
              </w:rPr>
            </w:pPr>
            <w:r w:rsidRPr="00267BCC">
              <w:rPr>
                <w:i/>
                <w:color w:val="000000"/>
                <w:kern w:val="24"/>
                <w:sz w:val="20"/>
                <w:szCs w:val="20"/>
                <w:lang w:val="lv-LV"/>
              </w:rPr>
              <w:t>+6,7</w:t>
            </w:r>
          </w:p>
        </w:tc>
        <w:tc>
          <w:tcPr>
            <w:tcW w:w="499" w:type="pct"/>
            <w:vAlign w:val="center"/>
          </w:tcPr>
          <w:p w14:paraId="496409E3" w14:textId="77777777" w:rsidR="007A2FCB" w:rsidRPr="00267BCC" w:rsidRDefault="007A2FCB" w:rsidP="00267BCC">
            <w:pPr>
              <w:jc w:val="center"/>
              <w:rPr>
                <w:color w:val="000000"/>
                <w:kern w:val="24"/>
                <w:sz w:val="20"/>
                <w:szCs w:val="20"/>
                <w:lang w:val="lv-LV"/>
              </w:rPr>
            </w:pPr>
            <w:r w:rsidRPr="00267BCC">
              <w:rPr>
                <w:color w:val="000000"/>
                <w:kern w:val="24"/>
                <w:sz w:val="20"/>
                <w:szCs w:val="20"/>
                <w:lang w:val="lv-LV"/>
              </w:rPr>
              <w:t>5538</w:t>
            </w:r>
          </w:p>
        </w:tc>
        <w:tc>
          <w:tcPr>
            <w:tcW w:w="499" w:type="pct"/>
            <w:vAlign w:val="center"/>
          </w:tcPr>
          <w:p w14:paraId="496409E4" w14:textId="77777777" w:rsidR="007A2FCB" w:rsidRPr="00267BCC" w:rsidRDefault="007A2FCB" w:rsidP="00267BCC">
            <w:pPr>
              <w:jc w:val="center"/>
              <w:rPr>
                <w:i/>
                <w:color w:val="000000"/>
                <w:kern w:val="24"/>
                <w:sz w:val="20"/>
                <w:szCs w:val="20"/>
                <w:lang w:val="lv-LV"/>
              </w:rPr>
            </w:pPr>
            <w:r w:rsidRPr="00267BCC">
              <w:rPr>
                <w:i/>
                <w:color w:val="000000"/>
                <w:kern w:val="24"/>
                <w:sz w:val="20"/>
                <w:szCs w:val="20"/>
                <w:lang w:val="lv-LV"/>
              </w:rPr>
              <w:t>+9,8</w:t>
            </w:r>
          </w:p>
        </w:tc>
        <w:tc>
          <w:tcPr>
            <w:tcW w:w="499" w:type="pct"/>
            <w:vAlign w:val="center"/>
          </w:tcPr>
          <w:p w14:paraId="496409E5" w14:textId="77777777" w:rsidR="007A2FCB" w:rsidRPr="00267BCC" w:rsidRDefault="007A2FCB" w:rsidP="00267BCC">
            <w:pPr>
              <w:jc w:val="center"/>
              <w:rPr>
                <w:color w:val="000000"/>
                <w:kern w:val="24"/>
                <w:sz w:val="20"/>
                <w:szCs w:val="20"/>
                <w:lang w:val="lv-LV"/>
              </w:rPr>
            </w:pPr>
            <w:r w:rsidRPr="00267BCC">
              <w:rPr>
                <w:color w:val="000000"/>
                <w:kern w:val="24"/>
                <w:sz w:val="20"/>
                <w:szCs w:val="20"/>
                <w:lang w:val="lv-LV"/>
              </w:rPr>
              <w:t>5569</w:t>
            </w:r>
          </w:p>
        </w:tc>
        <w:tc>
          <w:tcPr>
            <w:tcW w:w="499" w:type="pct"/>
            <w:vAlign w:val="center"/>
          </w:tcPr>
          <w:p w14:paraId="496409E6" w14:textId="77777777" w:rsidR="007A2FCB" w:rsidRPr="00267BCC" w:rsidRDefault="007A2FCB" w:rsidP="00267BCC">
            <w:pPr>
              <w:jc w:val="center"/>
              <w:rPr>
                <w:i/>
                <w:color w:val="000000"/>
                <w:kern w:val="24"/>
                <w:sz w:val="20"/>
                <w:szCs w:val="20"/>
                <w:lang w:val="lv-LV"/>
              </w:rPr>
            </w:pPr>
            <w:r w:rsidRPr="00267BCC">
              <w:rPr>
                <w:i/>
                <w:color w:val="000000"/>
                <w:kern w:val="24"/>
                <w:sz w:val="20"/>
                <w:szCs w:val="20"/>
                <w:lang w:val="lv-LV"/>
              </w:rPr>
              <w:t>+0,6</w:t>
            </w:r>
          </w:p>
        </w:tc>
      </w:tr>
      <w:tr w:rsidR="007A2FCB" w:rsidRPr="00267BCC" w14:paraId="496409F0" w14:textId="77777777" w:rsidTr="007A2FCB">
        <w:trPr>
          <w:trHeight w:val="574"/>
        </w:trPr>
        <w:tc>
          <w:tcPr>
            <w:tcW w:w="1509" w:type="pct"/>
            <w:vAlign w:val="center"/>
            <w:hideMark/>
          </w:tcPr>
          <w:p w14:paraId="496409E8" w14:textId="77777777" w:rsidR="007A2FCB" w:rsidRPr="00267BCC" w:rsidRDefault="007A2FCB" w:rsidP="00267BCC">
            <w:pPr>
              <w:rPr>
                <w:sz w:val="20"/>
                <w:szCs w:val="20"/>
                <w:lang w:val="lv-LV"/>
              </w:rPr>
            </w:pPr>
            <w:r w:rsidRPr="00267BCC">
              <w:rPr>
                <w:b/>
                <w:bCs/>
                <w:color w:val="000000"/>
                <w:kern w:val="24"/>
                <w:sz w:val="20"/>
                <w:szCs w:val="20"/>
                <w:lang w:val="lv-LV"/>
              </w:rPr>
              <w:t>Vidējais ceļojumu ilgums, diennaktis</w:t>
            </w:r>
          </w:p>
        </w:tc>
        <w:tc>
          <w:tcPr>
            <w:tcW w:w="499" w:type="pct"/>
            <w:vAlign w:val="center"/>
            <w:hideMark/>
          </w:tcPr>
          <w:p w14:paraId="496409E9" w14:textId="77777777" w:rsidR="007A2FCB" w:rsidRPr="00267BCC" w:rsidRDefault="007A2FCB" w:rsidP="00267BCC">
            <w:pPr>
              <w:jc w:val="center"/>
              <w:rPr>
                <w:sz w:val="20"/>
                <w:szCs w:val="20"/>
                <w:lang w:val="lv-LV"/>
              </w:rPr>
            </w:pPr>
            <w:r w:rsidRPr="00267BCC">
              <w:rPr>
                <w:color w:val="000000"/>
                <w:kern w:val="24"/>
                <w:sz w:val="20"/>
                <w:szCs w:val="20"/>
                <w:lang w:val="lv-LV"/>
              </w:rPr>
              <w:t>1,3</w:t>
            </w:r>
          </w:p>
        </w:tc>
        <w:tc>
          <w:tcPr>
            <w:tcW w:w="499" w:type="pct"/>
            <w:vAlign w:val="center"/>
            <w:hideMark/>
          </w:tcPr>
          <w:p w14:paraId="496409EA" w14:textId="77777777" w:rsidR="007A2FCB" w:rsidRPr="00267BCC" w:rsidRDefault="007A2FCB" w:rsidP="00267BCC">
            <w:pPr>
              <w:jc w:val="center"/>
              <w:rPr>
                <w:sz w:val="20"/>
                <w:szCs w:val="20"/>
                <w:lang w:val="lv-LV"/>
              </w:rPr>
            </w:pPr>
            <w:r w:rsidRPr="00267BCC">
              <w:rPr>
                <w:color w:val="000000"/>
                <w:kern w:val="24"/>
                <w:sz w:val="20"/>
                <w:szCs w:val="20"/>
                <w:lang w:val="lv-LV"/>
              </w:rPr>
              <w:t>1,2</w:t>
            </w:r>
          </w:p>
        </w:tc>
        <w:tc>
          <w:tcPr>
            <w:tcW w:w="499" w:type="pct"/>
            <w:vAlign w:val="center"/>
          </w:tcPr>
          <w:p w14:paraId="496409EB" w14:textId="77777777" w:rsidR="007A2FCB" w:rsidRPr="00267BCC" w:rsidRDefault="007A2FCB" w:rsidP="00267BCC">
            <w:pPr>
              <w:jc w:val="center"/>
              <w:rPr>
                <w:i/>
                <w:sz w:val="20"/>
                <w:szCs w:val="20"/>
                <w:lang w:val="lv-LV"/>
              </w:rPr>
            </w:pPr>
            <w:r w:rsidRPr="00267BCC">
              <w:rPr>
                <w:i/>
                <w:sz w:val="20"/>
                <w:szCs w:val="20"/>
                <w:lang w:val="lv-LV"/>
              </w:rPr>
              <w:t>-7,7</w:t>
            </w:r>
          </w:p>
        </w:tc>
        <w:tc>
          <w:tcPr>
            <w:tcW w:w="499" w:type="pct"/>
            <w:vAlign w:val="center"/>
          </w:tcPr>
          <w:p w14:paraId="496409EC" w14:textId="77777777" w:rsidR="007A2FCB" w:rsidRPr="00267BCC" w:rsidRDefault="007A2FCB" w:rsidP="00267BCC">
            <w:pPr>
              <w:jc w:val="center"/>
              <w:rPr>
                <w:sz w:val="20"/>
                <w:szCs w:val="20"/>
                <w:lang w:val="lv-LV"/>
              </w:rPr>
            </w:pPr>
            <w:r w:rsidRPr="00267BCC">
              <w:rPr>
                <w:sz w:val="20"/>
                <w:szCs w:val="20"/>
                <w:lang w:val="lv-LV"/>
              </w:rPr>
              <w:t>1.3</w:t>
            </w:r>
          </w:p>
        </w:tc>
        <w:tc>
          <w:tcPr>
            <w:tcW w:w="499" w:type="pct"/>
            <w:vAlign w:val="center"/>
          </w:tcPr>
          <w:p w14:paraId="496409ED" w14:textId="77777777" w:rsidR="007A2FCB" w:rsidRPr="00267BCC" w:rsidRDefault="007A2FCB" w:rsidP="00267BCC">
            <w:pPr>
              <w:jc w:val="center"/>
              <w:rPr>
                <w:i/>
                <w:sz w:val="20"/>
                <w:szCs w:val="20"/>
                <w:lang w:val="lv-LV"/>
              </w:rPr>
            </w:pPr>
            <w:r w:rsidRPr="00267BCC">
              <w:rPr>
                <w:i/>
                <w:sz w:val="20"/>
                <w:szCs w:val="20"/>
                <w:lang w:val="lv-LV"/>
              </w:rPr>
              <w:t>+8,3</w:t>
            </w:r>
          </w:p>
        </w:tc>
        <w:tc>
          <w:tcPr>
            <w:tcW w:w="499" w:type="pct"/>
            <w:vAlign w:val="center"/>
          </w:tcPr>
          <w:p w14:paraId="496409EE" w14:textId="77777777" w:rsidR="007A2FCB" w:rsidRPr="00267BCC" w:rsidRDefault="007A2FCB" w:rsidP="00267BCC">
            <w:pPr>
              <w:jc w:val="center"/>
              <w:rPr>
                <w:sz w:val="20"/>
                <w:szCs w:val="20"/>
                <w:lang w:val="lv-LV"/>
              </w:rPr>
            </w:pPr>
            <w:r w:rsidRPr="00267BCC">
              <w:rPr>
                <w:sz w:val="20"/>
                <w:szCs w:val="20"/>
                <w:lang w:val="lv-LV"/>
              </w:rPr>
              <w:t>1,2</w:t>
            </w:r>
          </w:p>
        </w:tc>
        <w:tc>
          <w:tcPr>
            <w:tcW w:w="499" w:type="pct"/>
            <w:vAlign w:val="center"/>
          </w:tcPr>
          <w:p w14:paraId="496409EF" w14:textId="77777777" w:rsidR="007A2FCB" w:rsidRPr="00267BCC" w:rsidRDefault="007A2FCB" w:rsidP="00267BCC">
            <w:pPr>
              <w:jc w:val="center"/>
              <w:rPr>
                <w:i/>
                <w:sz w:val="20"/>
                <w:szCs w:val="20"/>
                <w:lang w:val="lv-LV"/>
              </w:rPr>
            </w:pPr>
            <w:r w:rsidRPr="00267BCC">
              <w:rPr>
                <w:i/>
                <w:sz w:val="20"/>
                <w:szCs w:val="20"/>
                <w:lang w:val="lv-LV"/>
              </w:rPr>
              <w:t>-7,7</w:t>
            </w:r>
          </w:p>
        </w:tc>
      </w:tr>
      <w:tr w:rsidR="007A2FCB" w:rsidRPr="00267BCC" w14:paraId="496409F9" w14:textId="77777777" w:rsidTr="004444B5">
        <w:trPr>
          <w:trHeight w:val="574"/>
        </w:trPr>
        <w:tc>
          <w:tcPr>
            <w:tcW w:w="1509" w:type="pct"/>
            <w:shd w:val="clear" w:color="auto" w:fill="auto"/>
            <w:vAlign w:val="center"/>
            <w:hideMark/>
          </w:tcPr>
          <w:p w14:paraId="496409F1" w14:textId="77777777" w:rsidR="007A2FCB" w:rsidRPr="00263B9F" w:rsidRDefault="007A2FCB" w:rsidP="00267BCC">
            <w:pPr>
              <w:rPr>
                <w:sz w:val="20"/>
                <w:szCs w:val="20"/>
                <w:lang w:val="lv-LV"/>
              </w:rPr>
            </w:pPr>
            <w:r w:rsidRPr="00263B9F">
              <w:rPr>
                <w:b/>
                <w:bCs/>
                <w:color w:val="000000"/>
                <w:kern w:val="24"/>
                <w:sz w:val="20"/>
                <w:szCs w:val="20"/>
                <w:lang w:val="lv-LV"/>
              </w:rPr>
              <w:t xml:space="preserve">Viena ceļotāja vidējie izdevumi diennaktī, </w:t>
            </w:r>
            <w:r w:rsidR="0099684D" w:rsidRPr="00263B9F">
              <w:rPr>
                <w:b/>
                <w:bCs/>
                <w:color w:val="000000"/>
                <w:kern w:val="24"/>
                <w:sz w:val="20"/>
                <w:szCs w:val="20"/>
                <w:lang w:val="lv-LV"/>
              </w:rPr>
              <w:t>EUR</w:t>
            </w:r>
          </w:p>
        </w:tc>
        <w:tc>
          <w:tcPr>
            <w:tcW w:w="499" w:type="pct"/>
            <w:shd w:val="clear" w:color="auto" w:fill="auto"/>
            <w:vAlign w:val="center"/>
            <w:hideMark/>
          </w:tcPr>
          <w:p w14:paraId="496409F2" w14:textId="77777777" w:rsidR="007A2FCB" w:rsidRPr="00263B9F" w:rsidRDefault="00D35B50" w:rsidP="00267BCC">
            <w:pPr>
              <w:jc w:val="center"/>
              <w:rPr>
                <w:sz w:val="20"/>
                <w:szCs w:val="20"/>
                <w:lang w:val="lv-LV"/>
              </w:rPr>
            </w:pPr>
            <w:r w:rsidRPr="00263B9F">
              <w:rPr>
                <w:sz w:val="20"/>
                <w:szCs w:val="20"/>
                <w:lang w:val="lv-LV"/>
              </w:rPr>
              <w:t>80</w:t>
            </w:r>
          </w:p>
        </w:tc>
        <w:tc>
          <w:tcPr>
            <w:tcW w:w="499" w:type="pct"/>
            <w:shd w:val="clear" w:color="auto" w:fill="auto"/>
            <w:vAlign w:val="center"/>
            <w:hideMark/>
          </w:tcPr>
          <w:p w14:paraId="496409F3" w14:textId="77777777" w:rsidR="007A2FCB" w:rsidRPr="00263B9F" w:rsidRDefault="00D35B50" w:rsidP="00267BCC">
            <w:pPr>
              <w:jc w:val="center"/>
              <w:rPr>
                <w:color w:val="000000"/>
                <w:kern w:val="24"/>
                <w:sz w:val="20"/>
                <w:szCs w:val="20"/>
                <w:lang w:val="lv-LV"/>
              </w:rPr>
            </w:pPr>
            <w:r w:rsidRPr="00263B9F">
              <w:rPr>
                <w:color w:val="000000"/>
                <w:kern w:val="24"/>
                <w:sz w:val="20"/>
                <w:szCs w:val="20"/>
                <w:lang w:val="lv-LV"/>
              </w:rPr>
              <w:t>77</w:t>
            </w:r>
          </w:p>
        </w:tc>
        <w:tc>
          <w:tcPr>
            <w:tcW w:w="499" w:type="pct"/>
            <w:shd w:val="clear" w:color="auto" w:fill="auto"/>
            <w:vAlign w:val="center"/>
          </w:tcPr>
          <w:p w14:paraId="496409F4" w14:textId="77777777" w:rsidR="007A2FCB" w:rsidRPr="00267BCC" w:rsidRDefault="007A2FCB" w:rsidP="00267BCC">
            <w:pPr>
              <w:jc w:val="center"/>
              <w:rPr>
                <w:i/>
                <w:sz w:val="20"/>
                <w:szCs w:val="20"/>
                <w:lang w:val="lv-LV"/>
              </w:rPr>
            </w:pPr>
            <w:r w:rsidRPr="00267BCC">
              <w:rPr>
                <w:i/>
                <w:sz w:val="20"/>
                <w:szCs w:val="20"/>
                <w:lang w:val="lv-LV"/>
              </w:rPr>
              <w:t>-3,6</w:t>
            </w:r>
          </w:p>
        </w:tc>
        <w:tc>
          <w:tcPr>
            <w:tcW w:w="499" w:type="pct"/>
            <w:shd w:val="clear" w:color="auto" w:fill="auto"/>
            <w:vAlign w:val="center"/>
          </w:tcPr>
          <w:p w14:paraId="496409F5" w14:textId="77777777" w:rsidR="007A2FCB" w:rsidRPr="00263B9F" w:rsidRDefault="00D35B50" w:rsidP="00267BCC">
            <w:pPr>
              <w:jc w:val="center"/>
              <w:rPr>
                <w:sz w:val="20"/>
                <w:szCs w:val="20"/>
                <w:lang w:val="lv-LV"/>
              </w:rPr>
            </w:pPr>
            <w:r w:rsidRPr="00263B9F">
              <w:rPr>
                <w:sz w:val="20"/>
                <w:szCs w:val="20"/>
                <w:lang w:val="lv-LV"/>
              </w:rPr>
              <w:t>75</w:t>
            </w:r>
          </w:p>
        </w:tc>
        <w:tc>
          <w:tcPr>
            <w:tcW w:w="499" w:type="pct"/>
            <w:shd w:val="clear" w:color="auto" w:fill="auto"/>
            <w:vAlign w:val="center"/>
          </w:tcPr>
          <w:p w14:paraId="496409F6" w14:textId="77777777" w:rsidR="007A2FCB" w:rsidRPr="00267BCC" w:rsidRDefault="007A2FCB" w:rsidP="00267BCC">
            <w:pPr>
              <w:jc w:val="center"/>
              <w:rPr>
                <w:i/>
                <w:sz w:val="20"/>
                <w:szCs w:val="20"/>
                <w:lang w:val="lv-LV"/>
              </w:rPr>
            </w:pPr>
            <w:r w:rsidRPr="00267BCC">
              <w:rPr>
                <w:i/>
                <w:sz w:val="20"/>
                <w:szCs w:val="20"/>
                <w:lang w:val="lv-LV"/>
              </w:rPr>
              <w:t>-1,9</w:t>
            </w:r>
          </w:p>
        </w:tc>
        <w:tc>
          <w:tcPr>
            <w:tcW w:w="499" w:type="pct"/>
            <w:shd w:val="clear" w:color="auto" w:fill="auto"/>
            <w:vAlign w:val="center"/>
          </w:tcPr>
          <w:p w14:paraId="496409F7" w14:textId="77777777" w:rsidR="007A2FCB" w:rsidRPr="00263B9F" w:rsidRDefault="00D35B50" w:rsidP="00267BCC">
            <w:pPr>
              <w:jc w:val="center"/>
              <w:rPr>
                <w:sz w:val="20"/>
                <w:szCs w:val="20"/>
                <w:lang w:val="lv-LV"/>
              </w:rPr>
            </w:pPr>
            <w:r w:rsidRPr="00263B9F">
              <w:rPr>
                <w:sz w:val="20"/>
                <w:szCs w:val="20"/>
                <w:lang w:val="lv-LV"/>
              </w:rPr>
              <w:t>80</w:t>
            </w:r>
          </w:p>
        </w:tc>
        <w:tc>
          <w:tcPr>
            <w:tcW w:w="499" w:type="pct"/>
            <w:shd w:val="clear" w:color="auto" w:fill="auto"/>
            <w:vAlign w:val="center"/>
          </w:tcPr>
          <w:p w14:paraId="496409F8" w14:textId="77777777" w:rsidR="007A2FCB" w:rsidRPr="00267BCC" w:rsidRDefault="007A2FCB" w:rsidP="00267BCC">
            <w:pPr>
              <w:jc w:val="center"/>
              <w:rPr>
                <w:i/>
                <w:sz w:val="20"/>
                <w:szCs w:val="20"/>
                <w:lang w:val="lv-LV"/>
              </w:rPr>
            </w:pPr>
            <w:r w:rsidRPr="00267BCC">
              <w:rPr>
                <w:i/>
                <w:sz w:val="20"/>
                <w:szCs w:val="20"/>
                <w:lang w:val="lv-LV"/>
              </w:rPr>
              <w:t>+5,7</w:t>
            </w:r>
          </w:p>
        </w:tc>
      </w:tr>
      <w:tr w:rsidR="007A2FCB" w:rsidRPr="00267BCC" w14:paraId="49640A02" w14:textId="77777777" w:rsidTr="00E57D39">
        <w:trPr>
          <w:trHeight w:val="574"/>
        </w:trPr>
        <w:tc>
          <w:tcPr>
            <w:tcW w:w="1509" w:type="pct"/>
            <w:shd w:val="clear" w:color="auto" w:fill="auto"/>
            <w:vAlign w:val="center"/>
            <w:hideMark/>
          </w:tcPr>
          <w:p w14:paraId="496409FA" w14:textId="77777777" w:rsidR="007A2FCB" w:rsidRPr="00263B9F" w:rsidRDefault="007A2FCB" w:rsidP="00267BCC">
            <w:pPr>
              <w:rPr>
                <w:sz w:val="20"/>
                <w:szCs w:val="20"/>
                <w:lang w:val="lv-LV"/>
              </w:rPr>
            </w:pPr>
            <w:r w:rsidRPr="00263B9F">
              <w:rPr>
                <w:b/>
                <w:bCs/>
                <w:color w:val="000000"/>
                <w:kern w:val="24"/>
                <w:sz w:val="20"/>
                <w:szCs w:val="20"/>
                <w:lang w:val="lv-LV"/>
              </w:rPr>
              <w:t xml:space="preserve">Kopējie izdevumi, milj. </w:t>
            </w:r>
            <w:r w:rsidR="0099684D" w:rsidRPr="00263B9F">
              <w:rPr>
                <w:b/>
                <w:bCs/>
                <w:color w:val="000000"/>
                <w:kern w:val="24"/>
                <w:sz w:val="20"/>
                <w:szCs w:val="20"/>
                <w:lang w:val="lv-LV"/>
              </w:rPr>
              <w:t>EUR</w:t>
            </w:r>
          </w:p>
        </w:tc>
        <w:tc>
          <w:tcPr>
            <w:tcW w:w="499" w:type="pct"/>
            <w:shd w:val="clear" w:color="auto" w:fill="auto"/>
            <w:vAlign w:val="center"/>
          </w:tcPr>
          <w:p w14:paraId="496409FB" w14:textId="77777777" w:rsidR="007A2FCB" w:rsidRPr="00263B9F" w:rsidRDefault="00E57D39" w:rsidP="00267BCC">
            <w:pPr>
              <w:jc w:val="center"/>
              <w:rPr>
                <w:sz w:val="20"/>
                <w:szCs w:val="20"/>
                <w:lang w:val="lv-LV"/>
              </w:rPr>
            </w:pPr>
            <w:r w:rsidRPr="00263B9F">
              <w:rPr>
                <w:sz w:val="20"/>
                <w:szCs w:val="20"/>
                <w:lang w:val="lv-LV"/>
              </w:rPr>
              <w:t>489,6</w:t>
            </w:r>
          </w:p>
        </w:tc>
        <w:tc>
          <w:tcPr>
            <w:tcW w:w="499" w:type="pct"/>
            <w:shd w:val="clear" w:color="auto" w:fill="auto"/>
            <w:vAlign w:val="center"/>
          </w:tcPr>
          <w:p w14:paraId="496409FC" w14:textId="77777777" w:rsidR="007A2FCB" w:rsidRPr="00263B9F" w:rsidRDefault="00E57D39" w:rsidP="00267BCC">
            <w:pPr>
              <w:jc w:val="center"/>
              <w:rPr>
                <w:sz w:val="20"/>
                <w:szCs w:val="20"/>
                <w:lang w:val="lv-LV"/>
              </w:rPr>
            </w:pPr>
            <w:r w:rsidRPr="00263B9F">
              <w:rPr>
                <w:sz w:val="20"/>
                <w:szCs w:val="20"/>
                <w:lang w:val="lv-LV"/>
              </w:rPr>
              <w:t>475,1</w:t>
            </w:r>
          </w:p>
        </w:tc>
        <w:tc>
          <w:tcPr>
            <w:tcW w:w="499" w:type="pct"/>
            <w:shd w:val="clear" w:color="auto" w:fill="auto"/>
            <w:vAlign w:val="center"/>
          </w:tcPr>
          <w:p w14:paraId="496409FD" w14:textId="77777777" w:rsidR="007A2FCB" w:rsidRPr="00263B9F" w:rsidRDefault="007A2FCB" w:rsidP="00267BCC">
            <w:pPr>
              <w:jc w:val="center"/>
              <w:rPr>
                <w:i/>
                <w:sz w:val="20"/>
                <w:szCs w:val="20"/>
                <w:lang w:val="lv-LV"/>
              </w:rPr>
            </w:pPr>
            <w:r w:rsidRPr="00263B9F">
              <w:rPr>
                <w:i/>
                <w:sz w:val="20"/>
                <w:szCs w:val="20"/>
                <w:lang w:val="lv-LV"/>
              </w:rPr>
              <w:t>-2,96</w:t>
            </w:r>
          </w:p>
        </w:tc>
        <w:tc>
          <w:tcPr>
            <w:tcW w:w="499" w:type="pct"/>
            <w:shd w:val="clear" w:color="auto" w:fill="auto"/>
            <w:vAlign w:val="center"/>
          </w:tcPr>
          <w:p w14:paraId="496409FE" w14:textId="77777777" w:rsidR="007A2FCB" w:rsidRPr="00263B9F" w:rsidRDefault="00E57D39" w:rsidP="00267BCC">
            <w:pPr>
              <w:jc w:val="center"/>
              <w:rPr>
                <w:sz w:val="20"/>
                <w:szCs w:val="20"/>
                <w:lang w:val="lv-LV"/>
              </w:rPr>
            </w:pPr>
            <w:r w:rsidRPr="00263B9F">
              <w:rPr>
                <w:sz w:val="20"/>
                <w:szCs w:val="20"/>
                <w:lang w:val="lv-LV"/>
              </w:rPr>
              <w:t>540,0</w:t>
            </w:r>
          </w:p>
        </w:tc>
        <w:tc>
          <w:tcPr>
            <w:tcW w:w="499" w:type="pct"/>
            <w:shd w:val="clear" w:color="auto" w:fill="auto"/>
            <w:vAlign w:val="center"/>
          </w:tcPr>
          <w:p w14:paraId="496409FF" w14:textId="77777777" w:rsidR="007A2FCB" w:rsidRPr="00263B9F" w:rsidRDefault="007A2FCB" w:rsidP="00267BCC">
            <w:pPr>
              <w:jc w:val="center"/>
              <w:rPr>
                <w:i/>
                <w:sz w:val="20"/>
                <w:szCs w:val="20"/>
                <w:lang w:val="lv-LV"/>
              </w:rPr>
            </w:pPr>
            <w:r w:rsidRPr="00263B9F">
              <w:rPr>
                <w:i/>
                <w:sz w:val="20"/>
                <w:szCs w:val="20"/>
                <w:lang w:val="lv-LV"/>
              </w:rPr>
              <w:t>+13,7</w:t>
            </w:r>
          </w:p>
        </w:tc>
        <w:tc>
          <w:tcPr>
            <w:tcW w:w="499" w:type="pct"/>
            <w:shd w:val="clear" w:color="auto" w:fill="auto"/>
            <w:vAlign w:val="center"/>
          </w:tcPr>
          <w:p w14:paraId="49640A00" w14:textId="77777777" w:rsidR="007A2FCB" w:rsidRPr="00263B9F" w:rsidRDefault="00E57D39" w:rsidP="00267BCC">
            <w:pPr>
              <w:jc w:val="center"/>
              <w:rPr>
                <w:sz w:val="20"/>
                <w:szCs w:val="20"/>
                <w:lang w:val="lv-LV"/>
              </w:rPr>
            </w:pPr>
            <w:r w:rsidRPr="00263B9F">
              <w:rPr>
                <w:sz w:val="20"/>
                <w:szCs w:val="20"/>
                <w:lang w:val="lv-LV"/>
              </w:rPr>
              <w:t>545,8</w:t>
            </w:r>
          </w:p>
        </w:tc>
        <w:tc>
          <w:tcPr>
            <w:tcW w:w="499" w:type="pct"/>
            <w:shd w:val="clear" w:color="auto" w:fill="auto"/>
            <w:vAlign w:val="center"/>
          </w:tcPr>
          <w:p w14:paraId="49640A01" w14:textId="77777777" w:rsidR="007A2FCB" w:rsidRPr="00267BCC" w:rsidRDefault="007A2FCB" w:rsidP="00267BCC">
            <w:pPr>
              <w:jc w:val="center"/>
              <w:rPr>
                <w:i/>
                <w:sz w:val="20"/>
                <w:szCs w:val="20"/>
                <w:lang w:val="lv-LV"/>
              </w:rPr>
            </w:pPr>
            <w:r w:rsidRPr="00267BCC">
              <w:rPr>
                <w:i/>
                <w:sz w:val="20"/>
                <w:szCs w:val="20"/>
                <w:lang w:val="lv-LV"/>
              </w:rPr>
              <w:t>+1,1</w:t>
            </w:r>
          </w:p>
        </w:tc>
      </w:tr>
      <w:tr w:rsidR="007A2FCB" w:rsidRPr="00267BCC" w14:paraId="49640A0B" w14:textId="77777777" w:rsidTr="007A2FCB">
        <w:trPr>
          <w:trHeight w:val="574"/>
        </w:trPr>
        <w:tc>
          <w:tcPr>
            <w:tcW w:w="1509" w:type="pct"/>
            <w:vAlign w:val="center"/>
          </w:tcPr>
          <w:p w14:paraId="49640A03" w14:textId="77777777" w:rsidR="007A2FCB" w:rsidRPr="00263B9F" w:rsidRDefault="007A2FCB" w:rsidP="00267BCC">
            <w:pPr>
              <w:rPr>
                <w:b/>
                <w:bCs/>
                <w:color w:val="000000"/>
                <w:kern w:val="24"/>
                <w:sz w:val="20"/>
                <w:szCs w:val="20"/>
                <w:lang w:val="lv-LV"/>
              </w:rPr>
            </w:pPr>
            <w:r w:rsidRPr="00263B9F">
              <w:rPr>
                <w:b/>
                <w:bCs/>
                <w:color w:val="000000"/>
                <w:kern w:val="24"/>
                <w:sz w:val="20"/>
                <w:szCs w:val="20"/>
                <w:lang w:val="lv-LV"/>
              </w:rPr>
              <w:t>Vairākdienu ceļotāju skaits, tūkst.</w:t>
            </w:r>
          </w:p>
        </w:tc>
        <w:tc>
          <w:tcPr>
            <w:tcW w:w="499" w:type="pct"/>
            <w:vAlign w:val="center"/>
          </w:tcPr>
          <w:p w14:paraId="49640A04" w14:textId="77777777" w:rsidR="007A2FCB" w:rsidRPr="00267BCC" w:rsidRDefault="007A2FCB" w:rsidP="00267BCC">
            <w:pPr>
              <w:jc w:val="center"/>
              <w:rPr>
                <w:sz w:val="20"/>
                <w:szCs w:val="20"/>
                <w:lang w:val="lv-LV"/>
              </w:rPr>
            </w:pPr>
            <w:r w:rsidRPr="00267BCC">
              <w:rPr>
                <w:sz w:val="20"/>
                <w:szCs w:val="20"/>
                <w:lang w:val="lv-LV"/>
              </w:rPr>
              <w:t>1323</w:t>
            </w:r>
          </w:p>
        </w:tc>
        <w:tc>
          <w:tcPr>
            <w:tcW w:w="499" w:type="pct"/>
            <w:vAlign w:val="center"/>
          </w:tcPr>
          <w:p w14:paraId="49640A05" w14:textId="77777777" w:rsidR="007A2FCB" w:rsidRPr="00267BCC" w:rsidRDefault="007A2FCB" w:rsidP="00267BCC">
            <w:pPr>
              <w:jc w:val="center"/>
              <w:rPr>
                <w:sz w:val="20"/>
                <w:szCs w:val="20"/>
                <w:lang w:val="lv-LV"/>
              </w:rPr>
            </w:pPr>
            <w:r w:rsidRPr="00267BCC">
              <w:rPr>
                <w:sz w:val="20"/>
                <w:szCs w:val="20"/>
                <w:lang w:val="lv-LV"/>
              </w:rPr>
              <w:t>1373</w:t>
            </w:r>
          </w:p>
        </w:tc>
        <w:tc>
          <w:tcPr>
            <w:tcW w:w="499" w:type="pct"/>
            <w:vAlign w:val="center"/>
          </w:tcPr>
          <w:p w14:paraId="49640A06" w14:textId="77777777" w:rsidR="007A2FCB" w:rsidRPr="00267BCC" w:rsidRDefault="007A2FCB" w:rsidP="00267BCC">
            <w:pPr>
              <w:jc w:val="center"/>
              <w:rPr>
                <w:i/>
                <w:sz w:val="20"/>
                <w:szCs w:val="20"/>
                <w:lang w:val="lv-LV"/>
              </w:rPr>
            </w:pPr>
            <w:r w:rsidRPr="00267BCC">
              <w:rPr>
                <w:i/>
                <w:sz w:val="20"/>
                <w:szCs w:val="20"/>
                <w:lang w:val="lv-LV"/>
              </w:rPr>
              <w:t>+3,8</w:t>
            </w:r>
          </w:p>
        </w:tc>
        <w:tc>
          <w:tcPr>
            <w:tcW w:w="499" w:type="pct"/>
            <w:vAlign w:val="center"/>
          </w:tcPr>
          <w:p w14:paraId="49640A07" w14:textId="77777777" w:rsidR="007A2FCB" w:rsidRPr="00267BCC" w:rsidRDefault="007A2FCB" w:rsidP="00267BCC">
            <w:pPr>
              <w:jc w:val="center"/>
              <w:rPr>
                <w:sz w:val="20"/>
                <w:szCs w:val="20"/>
                <w:lang w:val="lv-LV"/>
              </w:rPr>
            </w:pPr>
            <w:r w:rsidRPr="00267BCC">
              <w:rPr>
                <w:sz w:val="20"/>
                <w:szCs w:val="20"/>
                <w:lang w:val="lv-LV"/>
              </w:rPr>
              <w:t>1493</w:t>
            </w:r>
          </w:p>
        </w:tc>
        <w:tc>
          <w:tcPr>
            <w:tcW w:w="499" w:type="pct"/>
            <w:vAlign w:val="center"/>
          </w:tcPr>
          <w:p w14:paraId="49640A08" w14:textId="77777777" w:rsidR="007A2FCB" w:rsidRPr="00267BCC" w:rsidRDefault="007A2FCB" w:rsidP="00267BCC">
            <w:pPr>
              <w:jc w:val="center"/>
              <w:rPr>
                <w:i/>
                <w:sz w:val="20"/>
                <w:szCs w:val="20"/>
                <w:lang w:val="lv-LV"/>
              </w:rPr>
            </w:pPr>
            <w:r w:rsidRPr="00267BCC">
              <w:rPr>
                <w:i/>
                <w:sz w:val="20"/>
                <w:szCs w:val="20"/>
                <w:lang w:val="lv-LV"/>
              </w:rPr>
              <w:t>+8,7</w:t>
            </w:r>
          </w:p>
        </w:tc>
        <w:tc>
          <w:tcPr>
            <w:tcW w:w="499" w:type="pct"/>
            <w:vAlign w:val="center"/>
          </w:tcPr>
          <w:p w14:paraId="49640A09" w14:textId="77777777" w:rsidR="007A2FCB" w:rsidRPr="00267BCC" w:rsidRDefault="007A2FCB" w:rsidP="00267BCC">
            <w:pPr>
              <w:jc w:val="center"/>
              <w:rPr>
                <w:sz w:val="20"/>
                <w:szCs w:val="20"/>
                <w:lang w:val="lv-LV"/>
              </w:rPr>
            </w:pPr>
            <w:r w:rsidRPr="00267BCC">
              <w:rPr>
                <w:sz w:val="20"/>
                <w:szCs w:val="20"/>
                <w:lang w:val="lv-LV"/>
              </w:rPr>
              <w:t>1435</w:t>
            </w:r>
          </w:p>
        </w:tc>
        <w:tc>
          <w:tcPr>
            <w:tcW w:w="499" w:type="pct"/>
            <w:vAlign w:val="center"/>
          </w:tcPr>
          <w:p w14:paraId="49640A0A" w14:textId="77777777" w:rsidR="007A2FCB" w:rsidRPr="00267BCC" w:rsidRDefault="007A2FCB" w:rsidP="00267BCC">
            <w:pPr>
              <w:jc w:val="center"/>
              <w:rPr>
                <w:i/>
                <w:sz w:val="20"/>
                <w:szCs w:val="20"/>
                <w:lang w:val="lv-LV"/>
              </w:rPr>
            </w:pPr>
            <w:r w:rsidRPr="00267BCC">
              <w:rPr>
                <w:i/>
                <w:sz w:val="20"/>
                <w:szCs w:val="20"/>
                <w:lang w:val="lv-LV"/>
              </w:rPr>
              <w:t>-3,9</w:t>
            </w:r>
          </w:p>
        </w:tc>
      </w:tr>
      <w:tr w:rsidR="007A2FCB" w:rsidRPr="00267BCC" w14:paraId="49640A14" w14:textId="77777777" w:rsidTr="007A2FCB">
        <w:trPr>
          <w:trHeight w:val="574"/>
        </w:trPr>
        <w:tc>
          <w:tcPr>
            <w:tcW w:w="1509" w:type="pct"/>
            <w:vAlign w:val="center"/>
          </w:tcPr>
          <w:p w14:paraId="49640A0C" w14:textId="77777777" w:rsidR="007A2FCB" w:rsidRPr="00263B9F" w:rsidRDefault="007A2FCB" w:rsidP="00267BCC">
            <w:pPr>
              <w:rPr>
                <w:b/>
                <w:bCs/>
                <w:color w:val="000000"/>
                <w:kern w:val="24"/>
                <w:sz w:val="20"/>
                <w:szCs w:val="20"/>
                <w:lang w:val="lv-LV"/>
              </w:rPr>
            </w:pPr>
            <w:r w:rsidRPr="00263B9F">
              <w:rPr>
                <w:b/>
                <w:bCs/>
                <w:color w:val="000000"/>
                <w:kern w:val="24"/>
                <w:sz w:val="20"/>
                <w:szCs w:val="20"/>
                <w:lang w:val="lv-LV"/>
              </w:rPr>
              <w:t>Vidējais vairākdienu ceļotāju ceļojumu ilgums, diennaktis</w:t>
            </w:r>
          </w:p>
        </w:tc>
        <w:tc>
          <w:tcPr>
            <w:tcW w:w="499" w:type="pct"/>
            <w:vAlign w:val="center"/>
          </w:tcPr>
          <w:p w14:paraId="49640A0D" w14:textId="77777777" w:rsidR="007A2FCB" w:rsidRPr="00267BCC" w:rsidRDefault="007A2FCB" w:rsidP="00267BCC">
            <w:pPr>
              <w:jc w:val="center"/>
              <w:rPr>
                <w:sz w:val="20"/>
                <w:szCs w:val="20"/>
                <w:lang w:val="lv-LV"/>
              </w:rPr>
            </w:pPr>
            <w:r w:rsidRPr="00267BCC">
              <w:rPr>
                <w:sz w:val="20"/>
                <w:szCs w:val="20"/>
                <w:lang w:val="lv-LV"/>
              </w:rPr>
              <w:t>4,0</w:t>
            </w:r>
          </w:p>
        </w:tc>
        <w:tc>
          <w:tcPr>
            <w:tcW w:w="499" w:type="pct"/>
            <w:vAlign w:val="center"/>
          </w:tcPr>
          <w:p w14:paraId="49640A0E" w14:textId="77777777" w:rsidR="007A2FCB" w:rsidRPr="00267BCC" w:rsidRDefault="007A2FCB" w:rsidP="00267BCC">
            <w:pPr>
              <w:jc w:val="center"/>
              <w:rPr>
                <w:sz w:val="20"/>
                <w:szCs w:val="20"/>
                <w:lang w:val="lv-LV"/>
              </w:rPr>
            </w:pPr>
            <w:r w:rsidRPr="00267BCC">
              <w:rPr>
                <w:sz w:val="20"/>
                <w:szCs w:val="20"/>
                <w:lang w:val="lv-LV"/>
              </w:rPr>
              <w:t>3.9</w:t>
            </w:r>
          </w:p>
        </w:tc>
        <w:tc>
          <w:tcPr>
            <w:tcW w:w="499" w:type="pct"/>
            <w:vAlign w:val="center"/>
          </w:tcPr>
          <w:p w14:paraId="49640A0F" w14:textId="77777777" w:rsidR="007A2FCB" w:rsidRPr="00267BCC" w:rsidRDefault="007A2FCB" w:rsidP="00267BCC">
            <w:pPr>
              <w:jc w:val="center"/>
              <w:rPr>
                <w:i/>
                <w:sz w:val="20"/>
                <w:szCs w:val="20"/>
                <w:lang w:val="lv-LV"/>
              </w:rPr>
            </w:pPr>
            <w:r w:rsidRPr="00267BCC">
              <w:rPr>
                <w:i/>
                <w:sz w:val="20"/>
                <w:szCs w:val="20"/>
                <w:lang w:val="lv-LV"/>
              </w:rPr>
              <w:t>-2,5</w:t>
            </w:r>
          </w:p>
        </w:tc>
        <w:tc>
          <w:tcPr>
            <w:tcW w:w="499" w:type="pct"/>
            <w:vAlign w:val="center"/>
          </w:tcPr>
          <w:p w14:paraId="49640A10" w14:textId="77777777" w:rsidR="007A2FCB" w:rsidRPr="00267BCC" w:rsidRDefault="007A2FCB" w:rsidP="00267BCC">
            <w:pPr>
              <w:jc w:val="center"/>
              <w:rPr>
                <w:sz w:val="20"/>
                <w:szCs w:val="20"/>
                <w:lang w:val="lv-LV"/>
              </w:rPr>
            </w:pPr>
            <w:r w:rsidRPr="00267BCC">
              <w:rPr>
                <w:sz w:val="20"/>
                <w:szCs w:val="20"/>
                <w:lang w:val="lv-LV"/>
              </w:rPr>
              <w:t>4.1</w:t>
            </w:r>
          </w:p>
        </w:tc>
        <w:tc>
          <w:tcPr>
            <w:tcW w:w="499" w:type="pct"/>
            <w:vAlign w:val="center"/>
          </w:tcPr>
          <w:p w14:paraId="49640A11" w14:textId="77777777" w:rsidR="007A2FCB" w:rsidRPr="00267BCC" w:rsidRDefault="007A2FCB" w:rsidP="00267BCC">
            <w:pPr>
              <w:jc w:val="center"/>
              <w:rPr>
                <w:i/>
                <w:sz w:val="20"/>
                <w:szCs w:val="20"/>
                <w:lang w:val="lv-LV"/>
              </w:rPr>
            </w:pPr>
            <w:r w:rsidRPr="00267BCC">
              <w:rPr>
                <w:i/>
                <w:sz w:val="20"/>
                <w:szCs w:val="20"/>
                <w:lang w:val="lv-LV"/>
              </w:rPr>
              <w:t>+5</w:t>
            </w:r>
          </w:p>
        </w:tc>
        <w:tc>
          <w:tcPr>
            <w:tcW w:w="499" w:type="pct"/>
            <w:vAlign w:val="center"/>
          </w:tcPr>
          <w:p w14:paraId="49640A12" w14:textId="77777777" w:rsidR="007A2FCB" w:rsidRPr="00267BCC" w:rsidRDefault="007A2FCB" w:rsidP="00267BCC">
            <w:pPr>
              <w:jc w:val="center"/>
              <w:rPr>
                <w:sz w:val="20"/>
                <w:szCs w:val="20"/>
                <w:lang w:val="lv-LV"/>
              </w:rPr>
            </w:pPr>
            <w:r w:rsidRPr="00267BCC">
              <w:rPr>
                <w:sz w:val="20"/>
                <w:szCs w:val="20"/>
                <w:lang w:val="lv-LV"/>
              </w:rPr>
              <w:t>4.0</w:t>
            </w:r>
          </w:p>
        </w:tc>
        <w:tc>
          <w:tcPr>
            <w:tcW w:w="499" w:type="pct"/>
            <w:vAlign w:val="center"/>
          </w:tcPr>
          <w:p w14:paraId="49640A13" w14:textId="77777777" w:rsidR="007A2FCB" w:rsidRPr="00267BCC" w:rsidRDefault="007A2FCB" w:rsidP="00267BCC">
            <w:pPr>
              <w:jc w:val="center"/>
              <w:rPr>
                <w:i/>
                <w:sz w:val="20"/>
                <w:szCs w:val="20"/>
                <w:lang w:val="lv-LV"/>
              </w:rPr>
            </w:pPr>
            <w:r w:rsidRPr="00267BCC">
              <w:rPr>
                <w:i/>
                <w:sz w:val="20"/>
                <w:szCs w:val="20"/>
                <w:lang w:val="lv-LV"/>
              </w:rPr>
              <w:t>-2,5</w:t>
            </w:r>
          </w:p>
        </w:tc>
      </w:tr>
      <w:tr w:rsidR="007A2FCB" w:rsidRPr="00267BCC" w14:paraId="49640A1D" w14:textId="77777777" w:rsidTr="007557EF">
        <w:trPr>
          <w:trHeight w:val="574"/>
        </w:trPr>
        <w:tc>
          <w:tcPr>
            <w:tcW w:w="1509" w:type="pct"/>
            <w:shd w:val="clear" w:color="auto" w:fill="auto"/>
            <w:vAlign w:val="center"/>
          </w:tcPr>
          <w:p w14:paraId="49640A15" w14:textId="77777777" w:rsidR="007A2FCB" w:rsidRPr="00263B9F" w:rsidRDefault="007A2FCB" w:rsidP="00267BCC">
            <w:pPr>
              <w:rPr>
                <w:b/>
                <w:bCs/>
                <w:color w:val="000000"/>
                <w:kern w:val="24"/>
                <w:sz w:val="20"/>
                <w:szCs w:val="20"/>
                <w:lang w:val="lv-LV"/>
              </w:rPr>
            </w:pPr>
            <w:r w:rsidRPr="00263B9F">
              <w:rPr>
                <w:b/>
                <w:bCs/>
                <w:color w:val="000000"/>
                <w:kern w:val="24"/>
                <w:sz w:val="20"/>
                <w:szCs w:val="20"/>
                <w:lang w:val="lv-LV"/>
              </w:rPr>
              <w:t xml:space="preserve">Viena vairākdienu ceļotāja </w:t>
            </w:r>
            <w:r w:rsidR="0099684D" w:rsidRPr="00263B9F">
              <w:rPr>
                <w:b/>
                <w:bCs/>
                <w:color w:val="000000"/>
                <w:kern w:val="24"/>
                <w:sz w:val="20"/>
                <w:szCs w:val="20"/>
                <w:lang w:val="lv-LV"/>
              </w:rPr>
              <w:t>vidējie izdevumi diennaktī, EUR</w:t>
            </w:r>
          </w:p>
        </w:tc>
        <w:tc>
          <w:tcPr>
            <w:tcW w:w="499" w:type="pct"/>
            <w:shd w:val="clear" w:color="auto" w:fill="auto"/>
            <w:vAlign w:val="center"/>
          </w:tcPr>
          <w:p w14:paraId="49640A16" w14:textId="77777777" w:rsidR="007A2FCB" w:rsidRPr="00263B9F" w:rsidRDefault="00693BBB" w:rsidP="00267BCC">
            <w:pPr>
              <w:jc w:val="center"/>
              <w:rPr>
                <w:sz w:val="20"/>
                <w:szCs w:val="20"/>
                <w:lang w:val="lv-LV"/>
              </w:rPr>
            </w:pPr>
            <w:r w:rsidRPr="00263B9F">
              <w:rPr>
                <w:sz w:val="20"/>
                <w:szCs w:val="20"/>
                <w:lang w:val="lv-LV"/>
              </w:rPr>
              <w:t>73</w:t>
            </w:r>
          </w:p>
        </w:tc>
        <w:tc>
          <w:tcPr>
            <w:tcW w:w="499" w:type="pct"/>
            <w:shd w:val="clear" w:color="auto" w:fill="auto"/>
            <w:vAlign w:val="center"/>
          </w:tcPr>
          <w:p w14:paraId="49640A17" w14:textId="77777777" w:rsidR="007A2FCB" w:rsidRPr="00263B9F" w:rsidRDefault="00693BBB" w:rsidP="00267BCC">
            <w:pPr>
              <w:jc w:val="center"/>
              <w:rPr>
                <w:sz w:val="20"/>
                <w:szCs w:val="20"/>
                <w:lang w:val="lv-LV"/>
              </w:rPr>
            </w:pPr>
            <w:r w:rsidRPr="00263B9F">
              <w:rPr>
                <w:sz w:val="20"/>
                <w:szCs w:val="20"/>
                <w:lang w:val="lv-LV"/>
              </w:rPr>
              <w:t>71</w:t>
            </w:r>
          </w:p>
        </w:tc>
        <w:tc>
          <w:tcPr>
            <w:tcW w:w="499" w:type="pct"/>
            <w:shd w:val="clear" w:color="auto" w:fill="auto"/>
            <w:vAlign w:val="center"/>
          </w:tcPr>
          <w:p w14:paraId="49640A18" w14:textId="77777777" w:rsidR="007A2FCB" w:rsidRPr="00267BCC" w:rsidRDefault="007A2FCB" w:rsidP="00267BCC">
            <w:pPr>
              <w:jc w:val="center"/>
              <w:rPr>
                <w:i/>
                <w:sz w:val="20"/>
                <w:szCs w:val="20"/>
                <w:lang w:val="lv-LV"/>
              </w:rPr>
            </w:pPr>
            <w:r w:rsidRPr="00267BCC">
              <w:rPr>
                <w:i/>
                <w:sz w:val="20"/>
                <w:szCs w:val="20"/>
                <w:lang w:val="lv-LV"/>
              </w:rPr>
              <w:t>-1,9</w:t>
            </w:r>
          </w:p>
        </w:tc>
        <w:tc>
          <w:tcPr>
            <w:tcW w:w="499" w:type="pct"/>
            <w:shd w:val="clear" w:color="auto" w:fill="auto"/>
            <w:vAlign w:val="center"/>
          </w:tcPr>
          <w:p w14:paraId="49640A19" w14:textId="77777777" w:rsidR="007A2FCB" w:rsidRPr="00263B9F" w:rsidRDefault="00693BBB" w:rsidP="00267BCC">
            <w:pPr>
              <w:jc w:val="center"/>
              <w:rPr>
                <w:sz w:val="20"/>
                <w:szCs w:val="20"/>
                <w:lang w:val="lv-LV"/>
              </w:rPr>
            </w:pPr>
            <w:r w:rsidRPr="00263B9F">
              <w:rPr>
                <w:sz w:val="20"/>
                <w:szCs w:val="20"/>
                <w:lang w:val="lv-LV"/>
              </w:rPr>
              <w:t>74</w:t>
            </w:r>
          </w:p>
        </w:tc>
        <w:tc>
          <w:tcPr>
            <w:tcW w:w="499" w:type="pct"/>
            <w:shd w:val="clear" w:color="auto" w:fill="auto"/>
            <w:vAlign w:val="center"/>
          </w:tcPr>
          <w:p w14:paraId="49640A1A" w14:textId="77777777" w:rsidR="007A2FCB" w:rsidRPr="00267BCC" w:rsidRDefault="007A2FCB" w:rsidP="00267BCC">
            <w:pPr>
              <w:jc w:val="center"/>
              <w:rPr>
                <w:i/>
                <w:sz w:val="20"/>
                <w:szCs w:val="20"/>
                <w:lang w:val="lv-LV"/>
              </w:rPr>
            </w:pPr>
            <w:r w:rsidRPr="00267BCC">
              <w:rPr>
                <w:i/>
                <w:sz w:val="20"/>
                <w:szCs w:val="20"/>
                <w:lang w:val="lv-LV"/>
              </w:rPr>
              <w:t>+4</w:t>
            </w:r>
          </w:p>
        </w:tc>
        <w:tc>
          <w:tcPr>
            <w:tcW w:w="499" w:type="pct"/>
            <w:shd w:val="clear" w:color="auto" w:fill="auto"/>
            <w:vAlign w:val="center"/>
          </w:tcPr>
          <w:p w14:paraId="49640A1B" w14:textId="77777777" w:rsidR="007A2FCB" w:rsidRPr="00263B9F" w:rsidRDefault="00693BBB" w:rsidP="00267BCC">
            <w:pPr>
              <w:jc w:val="center"/>
              <w:rPr>
                <w:sz w:val="20"/>
                <w:szCs w:val="20"/>
                <w:lang w:val="lv-LV"/>
              </w:rPr>
            </w:pPr>
            <w:r w:rsidRPr="00263B9F">
              <w:rPr>
                <w:sz w:val="20"/>
                <w:szCs w:val="20"/>
                <w:lang w:val="lv-LV"/>
              </w:rPr>
              <w:t>75</w:t>
            </w:r>
          </w:p>
        </w:tc>
        <w:tc>
          <w:tcPr>
            <w:tcW w:w="499" w:type="pct"/>
            <w:shd w:val="clear" w:color="auto" w:fill="auto"/>
            <w:vAlign w:val="center"/>
          </w:tcPr>
          <w:p w14:paraId="49640A1C" w14:textId="77777777" w:rsidR="007A2FCB" w:rsidRPr="00267BCC" w:rsidRDefault="007A2FCB" w:rsidP="00267BCC">
            <w:pPr>
              <w:jc w:val="center"/>
              <w:rPr>
                <w:i/>
                <w:sz w:val="20"/>
                <w:szCs w:val="20"/>
                <w:lang w:val="lv-LV"/>
              </w:rPr>
            </w:pPr>
            <w:r w:rsidRPr="00267BCC">
              <w:rPr>
                <w:i/>
                <w:sz w:val="20"/>
                <w:szCs w:val="20"/>
                <w:lang w:val="lv-LV"/>
              </w:rPr>
              <w:t>+1,9</w:t>
            </w:r>
          </w:p>
        </w:tc>
      </w:tr>
      <w:tr w:rsidR="007A2FCB" w:rsidRPr="00267BCC" w14:paraId="49640A26" w14:textId="77777777" w:rsidTr="00693BBB">
        <w:trPr>
          <w:trHeight w:val="574"/>
        </w:trPr>
        <w:tc>
          <w:tcPr>
            <w:tcW w:w="1509" w:type="pct"/>
            <w:shd w:val="clear" w:color="auto" w:fill="auto"/>
            <w:vAlign w:val="center"/>
          </w:tcPr>
          <w:p w14:paraId="49640A1E" w14:textId="77777777" w:rsidR="007A2FCB" w:rsidRPr="00267BCC" w:rsidRDefault="007A2FCB" w:rsidP="00267BCC">
            <w:pPr>
              <w:rPr>
                <w:b/>
                <w:bCs/>
                <w:color w:val="000000"/>
                <w:kern w:val="24"/>
                <w:sz w:val="20"/>
                <w:szCs w:val="20"/>
                <w:lang w:val="lv-LV"/>
              </w:rPr>
            </w:pPr>
            <w:r w:rsidRPr="00267BCC">
              <w:rPr>
                <w:b/>
                <w:bCs/>
                <w:color w:val="000000"/>
                <w:kern w:val="24"/>
                <w:sz w:val="20"/>
                <w:szCs w:val="20"/>
                <w:lang w:val="lv-LV"/>
              </w:rPr>
              <w:t xml:space="preserve">Kopējie vairākdienu ceļotāju izdevumi, milj. </w:t>
            </w:r>
            <w:r w:rsidR="0099684D" w:rsidRPr="00263B9F">
              <w:rPr>
                <w:b/>
                <w:bCs/>
                <w:color w:val="000000"/>
                <w:kern w:val="24"/>
                <w:sz w:val="20"/>
                <w:szCs w:val="20"/>
                <w:lang w:val="lv-LV"/>
              </w:rPr>
              <w:t>EUR</w:t>
            </w:r>
          </w:p>
        </w:tc>
        <w:tc>
          <w:tcPr>
            <w:tcW w:w="499" w:type="pct"/>
            <w:shd w:val="clear" w:color="auto" w:fill="auto"/>
            <w:vAlign w:val="center"/>
          </w:tcPr>
          <w:p w14:paraId="49640A1F" w14:textId="77777777" w:rsidR="007A2FCB" w:rsidRPr="00263B9F" w:rsidRDefault="00693BBB" w:rsidP="00267BCC">
            <w:pPr>
              <w:jc w:val="center"/>
              <w:rPr>
                <w:sz w:val="20"/>
                <w:szCs w:val="20"/>
                <w:lang w:val="lv-LV"/>
              </w:rPr>
            </w:pPr>
            <w:r w:rsidRPr="00263B9F">
              <w:rPr>
                <w:sz w:val="20"/>
                <w:szCs w:val="20"/>
                <w:lang w:val="lv-LV"/>
              </w:rPr>
              <w:t>384,3</w:t>
            </w:r>
          </w:p>
        </w:tc>
        <w:tc>
          <w:tcPr>
            <w:tcW w:w="499" w:type="pct"/>
            <w:shd w:val="clear" w:color="auto" w:fill="auto"/>
            <w:vAlign w:val="center"/>
          </w:tcPr>
          <w:p w14:paraId="49640A20" w14:textId="77777777" w:rsidR="007A2FCB" w:rsidRPr="00263B9F" w:rsidRDefault="00693BBB" w:rsidP="00267BCC">
            <w:pPr>
              <w:jc w:val="center"/>
              <w:rPr>
                <w:sz w:val="20"/>
                <w:szCs w:val="20"/>
                <w:lang w:val="lv-LV"/>
              </w:rPr>
            </w:pPr>
            <w:r w:rsidRPr="00263B9F">
              <w:rPr>
                <w:sz w:val="20"/>
                <w:szCs w:val="20"/>
                <w:lang w:val="lv-LV"/>
              </w:rPr>
              <w:t>374,9</w:t>
            </w:r>
          </w:p>
        </w:tc>
        <w:tc>
          <w:tcPr>
            <w:tcW w:w="499" w:type="pct"/>
            <w:shd w:val="clear" w:color="auto" w:fill="auto"/>
            <w:vAlign w:val="center"/>
          </w:tcPr>
          <w:p w14:paraId="49640A21" w14:textId="77777777" w:rsidR="007A2FCB" w:rsidRPr="00263B9F" w:rsidRDefault="007A2FCB" w:rsidP="00267BCC">
            <w:pPr>
              <w:jc w:val="center"/>
              <w:rPr>
                <w:i/>
                <w:sz w:val="20"/>
                <w:szCs w:val="20"/>
                <w:lang w:val="lv-LV"/>
              </w:rPr>
            </w:pPr>
            <w:r w:rsidRPr="00263B9F">
              <w:rPr>
                <w:i/>
                <w:sz w:val="20"/>
                <w:szCs w:val="20"/>
                <w:lang w:val="lv-LV"/>
              </w:rPr>
              <w:t>-2,4</w:t>
            </w:r>
          </w:p>
        </w:tc>
        <w:tc>
          <w:tcPr>
            <w:tcW w:w="499" w:type="pct"/>
            <w:shd w:val="clear" w:color="auto" w:fill="auto"/>
            <w:vAlign w:val="center"/>
          </w:tcPr>
          <w:p w14:paraId="49640A22" w14:textId="77777777" w:rsidR="007A2FCB" w:rsidRPr="00263B9F" w:rsidRDefault="00693BBB" w:rsidP="00267BCC">
            <w:pPr>
              <w:jc w:val="center"/>
              <w:rPr>
                <w:sz w:val="20"/>
                <w:szCs w:val="20"/>
                <w:lang w:val="lv-LV"/>
              </w:rPr>
            </w:pPr>
            <w:r w:rsidRPr="00263B9F">
              <w:rPr>
                <w:sz w:val="20"/>
                <w:szCs w:val="20"/>
                <w:lang w:val="lv-LV"/>
              </w:rPr>
              <w:t>456,2</w:t>
            </w:r>
          </w:p>
        </w:tc>
        <w:tc>
          <w:tcPr>
            <w:tcW w:w="499" w:type="pct"/>
            <w:shd w:val="clear" w:color="auto" w:fill="auto"/>
            <w:vAlign w:val="center"/>
          </w:tcPr>
          <w:p w14:paraId="49640A23" w14:textId="77777777" w:rsidR="007A2FCB" w:rsidRPr="00263B9F" w:rsidRDefault="007A2FCB" w:rsidP="00267BCC">
            <w:pPr>
              <w:jc w:val="center"/>
              <w:rPr>
                <w:i/>
                <w:sz w:val="20"/>
                <w:szCs w:val="20"/>
                <w:lang w:val="lv-LV"/>
              </w:rPr>
            </w:pPr>
            <w:r w:rsidRPr="00263B9F">
              <w:rPr>
                <w:i/>
                <w:sz w:val="20"/>
                <w:szCs w:val="20"/>
                <w:lang w:val="lv-LV"/>
              </w:rPr>
              <w:t>+21,7</w:t>
            </w:r>
          </w:p>
        </w:tc>
        <w:tc>
          <w:tcPr>
            <w:tcW w:w="499" w:type="pct"/>
            <w:shd w:val="clear" w:color="auto" w:fill="auto"/>
            <w:vAlign w:val="center"/>
          </w:tcPr>
          <w:p w14:paraId="49640A24" w14:textId="77777777" w:rsidR="007A2FCB" w:rsidRPr="00263B9F" w:rsidRDefault="00693BBB" w:rsidP="00267BCC">
            <w:pPr>
              <w:jc w:val="center"/>
              <w:rPr>
                <w:sz w:val="20"/>
                <w:szCs w:val="20"/>
                <w:lang w:val="lv-LV"/>
              </w:rPr>
            </w:pPr>
            <w:r w:rsidRPr="00263B9F">
              <w:rPr>
                <w:sz w:val="20"/>
                <w:szCs w:val="20"/>
                <w:lang w:val="lv-LV"/>
              </w:rPr>
              <w:t>438,1</w:t>
            </w:r>
          </w:p>
        </w:tc>
        <w:tc>
          <w:tcPr>
            <w:tcW w:w="499" w:type="pct"/>
            <w:shd w:val="clear" w:color="auto" w:fill="auto"/>
            <w:vAlign w:val="center"/>
          </w:tcPr>
          <w:p w14:paraId="49640A25" w14:textId="77777777" w:rsidR="007A2FCB" w:rsidRPr="00267BCC" w:rsidRDefault="007A2FCB" w:rsidP="00267BCC">
            <w:pPr>
              <w:jc w:val="center"/>
              <w:rPr>
                <w:i/>
                <w:sz w:val="20"/>
                <w:szCs w:val="20"/>
                <w:lang w:val="lv-LV"/>
              </w:rPr>
            </w:pPr>
            <w:r w:rsidRPr="00267BCC">
              <w:rPr>
                <w:i/>
                <w:sz w:val="20"/>
                <w:szCs w:val="20"/>
                <w:lang w:val="lv-LV"/>
              </w:rPr>
              <w:t>-4</w:t>
            </w:r>
          </w:p>
        </w:tc>
      </w:tr>
    </w:tbl>
    <w:p w14:paraId="49640A27" w14:textId="77777777" w:rsidR="007A2FCB" w:rsidRPr="00267BCC" w:rsidRDefault="007A2FCB" w:rsidP="00267BCC">
      <w:pPr>
        <w:rPr>
          <w:sz w:val="20"/>
          <w:szCs w:val="20"/>
          <w:lang w:val="lv-LV"/>
        </w:rPr>
      </w:pPr>
      <w:r w:rsidRPr="00267BCC">
        <w:rPr>
          <w:sz w:val="20"/>
          <w:szCs w:val="20"/>
          <w:lang w:val="lv-LV"/>
        </w:rPr>
        <w:t xml:space="preserve">Datu avots: </w:t>
      </w:r>
      <w:r w:rsidRPr="00263B9F">
        <w:rPr>
          <w:sz w:val="20"/>
          <w:szCs w:val="20"/>
          <w:lang w:val="lv-LV"/>
        </w:rPr>
        <w:t>CSP statistikas datu krājums „Tūrisms Latvijā 2013.gadā”</w:t>
      </w:r>
    </w:p>
    <w:p w14:paraId="49640A28" w14:textId="77777777" w:rsidR="007A2FCB" w:rsidRPr="00267BCC" w:rsidRDefault="007A2FCB" w:rsidP="00267BCC">
      <w:pPr>
        <w:ind w:firstLine="720"/>
        <w:jc w:val="both"/>
        <w:rPr>
          <w:lang w:val="lv-LV"/>
        </w:rPr>
      </w:pPr>
    </w:p>
    <w:p w14:paraId="49640A29" w14:textId="77777777" w:rsidR="008E3133" w:rsidRPr="00263B9F" w:rsidRDefault="00346C9C" w:rsidP="00267BCC">
      <w:pPr>
        <w:ind w:firstLine="720"/>
        <w:jc w:val="both"/>
        <w:rPr>
          <w:lang w:val="lv-LV"/>
        </w:rPr>
      </w:pPr>
      <w:r w:rsidRPr="00263B9F">
        <w:rPr>
          <w:lang w:val="lv-LV"/>
        </w:rPr>
        <w:t xml:space="preserve">Kā redzams 2.tabulā, pēdējos četros gados ārvalstu tūristu vidējais uzturēšanās ilgums Latvijā diemžēl nepalielinās, kas skaidrojams ar tūristu ceļošanas paradumu izmaiņām (priekšroka tiek dota īsākiem ceļojumiem), ar ko saskaras tūrisma galamērķi visā pasaulē, kā arī transfēra un tranzīta pasažieru skaita pieaugumam). Šāda tendence liecina par pieaugošo nepieciešamību piedāvāt konkurētspējīgus un saistošus produktus, kas tūristus ilgāk noturētu Latvijā, turklāt – ne tikai galvaspilsētā un tās apkārtnē, bet arī reģionos, kā arī nepieciešama šādu produktu reklāma gaisa kuģos un lidostā „Rīga”. </w:t>
      </w:r>
    </w:p>
    <w:p w14:paraId="49640A2A" w14:textId="77777777" w:rsidR="007A2FCB" w:rsidRPr="00263B9F" w:rsidRDefault="007A2FCB" w:rsidP="00267BCC">
      <w:pPr>
        <w:ind w:firstLine="720"/>
        <w:jc w:val="both"/>
        <w:rPr>
          <w:lang w:val="lv-LV"/>
        </w:rPr>
      </w:pPr>
      <w:r w:rsidRPr="00267BCC">
        <w:rPr>
          <w:lang w:val="lv-LV"/>
        </w:rPr>
        <w:lastRenderedPageBreak/>
        <w:t xml:space="preserve">Vērtējot ienākošā tūrisma struktūru sadalījumā pa valstīm, 2012.gadā Latviju par sava vairākdienu ceļojuma galamērķi visvairāk izvēlējās tūristi no Krievijas (19%), Lietuvas </w:t>
      </w:r>
      <w:r w:rsidRPr="00263B9F">
        <w:rPr>
          <w:lang w:val="lv-LV"/>
        </w:rPr>
        <w:t>(14,2%), Zviedrijas (13,3%), Vācijas (8,5%) un Igaunijas (8,4%), kas, kopsummā veidojot 63% no visiem ārvalstu ceļotājiem</w:t>
      </w:r>
      <w:r w:rsidRPr="00263B9F">
        <w:rPr>
          <w:rStyle w:val="FootnoteReference"/>
          <w:lang w:val="lv-LV"/>
        </w:rPr>
        <w:footnoteReference w:id="33"/>
      </w:r>
      <w:r w:rsidRPr="00263B9F">
        <w:rPr>
          <w:lang w:val="lv-LV"/>
        </w:rPr>
        <w:t>, saskan ar Latvijas tūrisma mārketinga stratēģijā 2010.-2015.gadam definētajiem augsti prioritārajiem tirgiem.</w:t>
      </w:r>
    </w:p>
    <w:p w14:paraId="49640A2B" w14:textId="77777777" w:rsidR="007A2FCB" w:rsidRPr="00263B9F" w:rsidRDefault="007A2FCB" w:rsidP="00267BCC">
      <w:pPr>
        <w:ind w:firstLine="720"/>
        <w:jc w:val="both"/>
        <w:rPr>
          <w:lang w:val="lv-LV"/>
        </w:rPr>
      </w:pPr>
      <w:r w:rsidRPr="00267BCC">
        <w:rPr>
          <w:lang w:val="lv-LV"/>
        </w:rPr>
        <w:t xml:space="preserve">Lai gan aizvadīto gadu laikā ārvalstu tūristu plūsmas ģeogrāfija nav būtiski mainījusies un pieprasījums ir izteikti </w:t>
      </w:r>
      <w:r w:rsidR="009919EB" w:rsidRPr="00267BCC">
        <w:rPr>
          <w:lang w:val="lv-LV"/>
        </w:rPr>
        <w:t>orientēts</w:t>
      </w:r>
      <w:r w:rsidRPr="00267BCC">
        <w:rPr>
          <w:lang w:val="lv-LV"/>
        </w:rPr>
        <w:t xml:space="preserve"> uz Baltijas jūras reģiona valstīm, kopš 2010.gada visvairāk vairākdienu ceļotāju ierodas no Krievijas – visstraujākos pieauguma tempus uzrādot 2011.gadā (+43%) (3.attēls)</w:t>
      </w:r>
      <w:r w:rsidRPr="00267BCC">
        <w:rPr>
          <w:rStyle w:val="FootnoteReference"/>
          <w:u w:val="single"/>
          <w:lang w:val="lv-LV"/>
        </w:rPr>
        <w:footnoteReference w:id="34"/>
      </w:r>
      <w:r w:rsidRPr="00267BCC">
        <w:rPr>
          <w:lang w:val="lv-LV"/>
        </w:rPr>
        <w:t xml:space="preserve">. Esošo tendenci apstiprina arī TAVA 2012.gadā veiktās ārvalstu tūristu aptaujas rezultāti, kas </w:t>
      </w:r>
      <w:r w:rsidR="009919EB" w:rsidRPr="00267BCC">
        <w:rPr>
          <w:lang w:val="lv-LV"/>
        </w:rPr>
        <w:t>parāda</w:t>
      </w:r>
      <w:r w:rsidRPr="00267BCC">
        <w:rPr>
          <w:lang w:val="lv-LV"/>
        </w:rPr>
        <w:t xml:space="preserve">, ka vidējais Latvijas ārvalstu viesis  ir 36-45 gadus vecs ceļotājs no Krievijas ar vidēju ienākumu līmeni, kurš kopā ar partneri atvaļinājumā četras dienas pavada Latvijā, nakšņojot 4*/5* viesnīcās Rīgā vai citur, kopumā iztērējot </w:t>
      </w:r>
      <w:r w:rsidR="006233EE" w:rsidRPr="00263B9F">
        <w:rPr>
          <w:lang w:val="lv-LV"/>
        </w:rPr>
        <w:t>512</w:t>
      </w:r>
      <w:r w:rsidRPr="00263B9F">
        <w:rPr>
          <w:lang w:val="lv-LV"/>
        </w:rPr>
        <w:t xml:space="preserve"> </w:t>
      </w:r>
      <w:r w:rsidR="006233EE" w:rsidRPr="00263B9F">
        <w:rPr>
          <w:lang w:val="lv-LV"/>
        </w:rPr>
        <w:t>EUR</w:t>
      </w:r>
      <w:r w:rsidRPr="00263B9F">
        <w:rPr>
          <w:lang w:val="lv-LV"/>
        </w:rPr>
        <w:t>.</w:t>
      </w:r>
    </w:p>
    <w:p w14:paraId="49640A2C" w14:textId="77777777" w:rsidR="007A2FCB" w:rsidRPr="00267BCC" w:rsidRDefault="007A2FCB" w:rsidP="00267BCC">
      <w:pPr>
        <w:ind w:firstLine="720"/>
        <w:jc w:val="both"/>
        <w:rPr>
          <w:lang w:val="lv-LV"/>
        </w:rPr>
      </w:pPr>
    </w:p>
    <w:p w14:paraId="49640A2D" w14:textId="77777777" w:rsidR="007A2FCB" w:rsidRPr="00267BCC" w:rsidRDefault="007A2FCB" w:rsidP="00267BCC">
      <w:pPr>
        <w:ind w:firstLine="720"/>
        <w:jc w:val="right"/>
        <w:rPr>
          <w:lang w:val="lv-LV"/>
        </w:rPr>
      </w:pPr>
      <w:r w:rsidRPr="00267BCC">
        <w:rPr>
          <w:lang w:val="lv-LV"/>
        </w:rPr>
        <w:t>3.attēls</w:t>
      </w:r>
    </w:p>
    <w:p w14:paraId="49640A2E" w14:textId="77777777" w:rsidR="007A2FCB" w:rsidRPr="00267BCC" w:rsidRDefault="007A2FCB" w:rsidP="00267BCC">
      <w:pPr>
        <w:jc w:val="center"/>
        <w:rPr>
          <w:b/>
          <w:lang w:val="lv-LV"/>
        </w:rPr>
      </w:pPr>
      <w:r w:rsidRPr="00267BCC">
        <w:rPr>
          <w:b/>
          <w:lang w:val="lv-LV"/>
        </w:rPr>
        <w:t>Ārvalstu vairākdienu ceļotāji Latvijā sadalījumā pa valstīm, tūkstošos</w:t>
      </w:r>
    </w:p>
    <w:p w14:paraId="49640A2F" w14:textId="77777777" w:rsidR="007A2FCB" w:rsidRPr="00267BCC" w:rsidRDefault="007A2FCB" w:rsidP="00267BCC">
      <w:pPr>
        <w:jc w:val="center"/>
        <w:rPr>
          <w:lang w:val="lv-LV"/>
        </w:rPr>
      </w:pPr>
      <w:r w:rsidRPr="00267BCC">
        <w:rPr>
          <w:noProof/>
          <w:lang w:val="lv-LV"/>
        </w:rPr>
        <w:drawing>
          <wp:inline distT="0" distB="0" distL="0" distR="0" wp14:anchorId="49640EC4" wp14:editId="49640EC5">
            <wp:extent cx="4276725" cy="2362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640A30" w14:textId="77777777" w:rsidR="007A2FCB" w:rsidRPr="00267BCC" w:rsidRDefault="007A2FCB" w:rsidP="00267BCC">
      <w:pPr>
        <w:rPr>
          <w:sz w:val="20"/>
          <w:szCs w:val="20"/>
          <w:lang w:val="lv-LV"/>
        </w:rPr>
      </w:pPr>
      <w:r w:rsidRPr="00267BCC">
        <w:rPr>
          <w:sz w:val="20"/>
          <w:szCs w:val="20"/>
          <w:lang w:val="lv-LV"/>
        </w:rPr>
        <w:t>Datu avots: CSP</w:t>
      </w:r>
    </w:p>
    <w:p w14:paraId="49640A31" w14:textId="77777777" w:rsidR="007A2FCB" w:rsidRPr="00267BCC" w:rsidRDefault="007A2FCB" w:rsidP="00267BCC">
      <w:pPr>
        <w:ind w:firstLine="720"/>
        <w:jc w:val="both"/>
        <w:rPr>
          <w:lang w:val="lv-LV"/>
        </w:rPr>
      </w:pPr>
    </w:p>
    <w:p w14:paraId="49640A32" w14:textId="77777777" w:rsidR="007A2FCB" w:rsidRPr="00263B9F" w:rsidRDefault="007A2FCB" w:rsidP="00267BCC">
      <w:pPr>
        <w:ind w:firstLine="720"/>
        <w:jc w:val="both"/>
        <w:rPr>
          <w:lang w:val="lv-LV"/>
        </w:rPr>
      </w:pPr>
      <w:r w:rsidRPr="00267BCC">
        <w:rPr>
          <w:lang w:val="lv-LV"/>
        </w:rPr>
        <w:t xml:space="preserve">Kā liecina 3.attēlā redzamā informācija, ja vēl 2009.gadā vislielākais vairākdienu ceļotāju skaits Latvijā ieradās no Lietuvas, tad turpmākajos gados mūsu kaimiņvalsts savas līderpozīcijas zaudēja, lai gan pēdējo divu gadu laikā tūristu skaits no Lietuvas atkal lēnām sācis </w:t>
      </w:r>
      <w:r w:rsidRPr="00263B9F">
        <w:rPr>
          <w:lang w:val="lv-LV"/>
        </w:rPr>
        <w:t>palielināties (+5,7% 2011.gadā un +5,8% 2012.gadā). Pozitīvi vērtējams fakts, ka 2012.gadā pēc 20</w:t>
      </w:r>
      <w:r w:rsidRPr="00267BCC">
        <w:rPr>
          <w:lang w:val="lv-LV"/>
        </w:rPr>
        <w:t xml:space="preserve">11.gadā piedzīvotās lejupslīdes sāka atgūties tādi augsti prioritārie tirgi kā Igaunija (+18,3%) un Zviedrija (+26,6%). Vienlaicīgi gan jānorāda, ka tūristi no Zviedrijas, tāpat arī no Igaunijas un Lietuvas, Latvijā pavada vidēji īsākus ceļojumus </w:t>
      </w:r>
      <w:r w:rsidRPr="00263B9F">
        <w:rPr>
          <w:lang w:val="lv-LV"/>
        </w:rPr>
        <w:t xml:space="preserve">(2,8 un 2,1 diennakti, piemēram, nedēļas nogali Rīgā), līdz ar to tūrisma pakalpojumu sniedzējiem ir mazāk ienesīgi nekā viesi no Krievijas, kas mūsu valstī uzturas par gandrīz trim dienām ilgāk nekā pārējie ārvalstu ceļotāji (6,5 diennaktis pret 4 diennaktīm), apmeklējot ne vien Rīgu un Jūrmalu, bet arī </w:t>
      </w:r>
      <w:r w:rsidR="000E6BF2" w:rsidRPr="00263B9F">
        <w:rPr>
          <w:lang w:val="lv-LV"/>
        </w:rPr>
        <w:t>citus Latvijas galamērķus</w:t>
      </w:r>
      <w:r w:rsidRPr="00263B9F">
        <w:rPr>
          <w:lang w:val="lv-LV"/>
        </w:rPr>
        <w:t>.</w:t>
      </w:r>
      <w:r w:rsidRPr="00263B9F">
        <w:rPr>
          <w:rStyle w:val="FootnoteReference"/>
          <w:lang w:val="lv-LV"/>
        </w:rPr>
        <w:footnoteReference w:id="35"/>
      </w:r>
    </w:p>
    <w:p w14:paraId="49640A33" w14:textId="77777777" w:rsidR="007A2FCB" w:rsidRPr="00267BCC" w:rsidRDefault="007A2FCB" w:rsidP="00267BCC">
      <w:pPr>
        <w:ind w:firstLine="720"/>
        <w:jc w:val="both"/>
        <w:rPr>
          <w:lang w:val="lv-LV"/>
        </w:rPr>
      </w:pPr>
      <w:r w:rsidRPr="00267BCC">
        <w:rPr>
          <w:lang w:val="lv-LV"/>
        </w:rPr>
        <w:t>Dati liecina, ka 2012.gadā palielinājies arī vairākdienu ceļotāju skaits no Vācijas (+5%). Izņēmums ir Somijas tirgus, kura īpatsvars Latvijas ienākošā tūrisma struktūrā katru gadu turpina mazināties, 2012.gadā salīdzinājumā ar 2009.gadu vairākdienu tūristu skaits no Somijas bija krities par aptuveni 40%.</w:t>
      </w:r>
      <w:r w:rsidRPr="00CB19B5">
        <w:rPr>
          <w:rStyle w:val="FootnoteReference"/>
          <w:lang w:val="lv-LV"/>
        </w:rPr>
        <w:footnoteReference w:id="36"/>
      </w:r>
    </w:p>
    <w:p w14:paraId="49640A34" w14:textId="77777777" w:rsidR="007A2FCB" w:rsidRPr="00267BCC" w:rsidRDefault="007A2FCB" w:rsidP="00267BCC">
      <w:pPr>
        <w:ind w:firstLine="720"/>
        <w:jc w:val="both"/>
        <w:rPr>
          <w:lang w:val="lv-LV"/>
        </w:rPr>
      </w:pPr>
      <w:r w:rsidRPr="00267BCC">
        <w:rPr>
          <w:lang w:val="lv-LV"/>
        </w:rPr>
        <w:lastRenderedPageBreak/>
        <w:t>Robežšķērsotāju un vairākdienu ceļotāju skaita dinamika lielā mērā sakrīt arī ar naktsmītņu sektora pārmaiņu tendencēm. Kā redzams 4.attēlā, pēdējo gadu laikā naktsmītņu sektors Latvijā līdzīgi kā visā pasaulē ir mēreni pieaudzis. Aplūkojot gultas vietu noslogojuma datus, kas raksturo viesnīcu pieprasījumu, izteikti redzama 2009.gada ekonomiskās krīzes situācija, tomēr jau 2010.gadā, īpaši vasaras mēnešos (jūlijā, augustā), gultas vietu noslogojums palielinājās. 2011. un 2012.gadā vērojama jau pārliecinoša viesnīcu noslogojuma palielināšanās.</w:t>
      </w:r>
      <w:r w:rsidRPr="00CB19B5">
        <w:rPr>
          <w:rStyle w:val="FootnoteReference"/>
          <w:lang w:val="lv-LV"/>
        </w:rPr>
        <w:footnoteReference w:id="37"/>
      </w:r>
    </w:p>
    <w:p w14:paraId="49640A35" w14:textId="77777777" w:rsidR="00E65A55" w:rsidRPr="00267BCC" w:rsidRDefault="00E65A55" w:rsidP="00267BCC">
      <w:pPr>
        <w:ind w:firstLine="720"/>
        <w:jc w:val="both"/>
        <w:rPr>
          <w:lang w:val="lv-LV"/>
        </w:rPr>
      </w:pPr>
    </w:p>
    <w:p w14:paraId="49640A36" w14:textId="77777777" w:rsidR="007A2FCB" w:rsidRPr="00267BCC" w:rsidRDefault="007A2FCB" w:rsidP="00267BCC">
      <w:pPr>
        <w:jc w:val="right"/>
        <w:rPr>
          <w:lang w:val="lv-LV"/>
        </w:rPr>
      </w:pPr>
      <w:r w:rsidRPr="00267BCC">
        <w:rPr>
          <w:lang w:val="lv-LV"/>
        </w:rPr>
        <w:t>4.attēls</w:t>
      </w:r>
    </w:p>
    <w:p w14:paraId="49640A37" w14:textId="77777777" w:rsidR="007A2FCB" w:rsidRPr="00267BCC" w:rsidRDefault="007A2FCB" w:rsidP="00267BCC">
      <w:pPr>
        <w:jc w:val="center"/>
        <w:rPr>
          <w:b/>
          <w:lang w:val="lv-LV"/>
        </w:rPr>
      </w:pPr>
      <w:r w:rsidRPr="00267BCC">
        <w:rPr>
          <w:b/>
          <w:lang w:val="lv-LV"/>
        </w:rPr>
        <w:t>Gultas vietu noslogojums Latvijas viesnīcās un citās tūristu mītnēs (%)</w:t>
      </w:r>
    </w:p>
    <w:p w14:paraId="49640A38" w14:textId="77777777" w:rsidR="007A2FCB" w:rsidRPr="00267BCC" w:rsidRDefault="007A2FCB" w:rsidP="00267BCC">
      <w:pPr>
        <w:jc w:val="center"/>
        <w:rPr>
          <w:lang w:val="lv-LV"/>
        </w:rPr>
      </w:pPr>
      <w:r w:rsidRPr="00267BCC">
        <w:rPr>
          <w:noProof/>
          <w:lang w:val="lv-LV"/>
        </w:rPr>
        <w:drawing>
          <wp:inline distT="0" distB="0" distL="0" distR="0" wp14:anchorId="49640EC6" wp14:editId="49640EC7">
            <wp:extent cx="4067175" cy="21621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640A39" w14:textId="77777777" w:rsidR="007A2FCB" w:rsidRPr="00267BCC" w:rsidRDefault="007A2FCB" w:rsidP="00267BCC">
      <w:pPr>
        <w:rPr>
          <w:sz w:val="20"/>
          <w:szCs w:val="20"/>
          <w:lang w:val="lv-LV"/>
        </w:rPr>
      </w:pPr>
      <w:r w:rsidRPr="00267BCC">
        <w:rPr>
          <w:sz w:val="20"/>
          <w:szCs w:val="20"/>
          <w:lang w:val="lv-LV"/>
        </w:rPr>
        <w:t>Datu avots: CSP</w:t>
      </w:r>
    </w:p>
    <w:p w14:paraId="49640A3A" w14:textId="77777777" w:rsidR="007A2FCB" w:rsidRPr="00267BCC" w:rsidRDefault="007A2FCB" w:rsidP="00267BCC">
      <w:pPr>
        <w:ind w:firstLine="720"/>
        <w:jc w:val="both"/>
        <w:rPr>
          <w:lang w:val="lv-LV"/>
        </w:rPr>
      </w:pPr>
    </w:p>
    <w:p w14:paraId="49640A3B" w14:textId="77777777" w:rsidR="007A2FCB" w:rsidRPr="00267BCC" w:rsidRDefault="007A2FCB" w:rsidP="00267BCC">
      <w:pPr>
        <w:ind w:firstLine="720"/>
        <w:jc w:val="both"/>
        <w:rPr>
          <w:lang w:val="lv-LV"/>
        </w:rPr>
      </w:pPr>
      <w:r w:rsidRPr="00267BCC">
        <w:rPr>
          <w:lang w:val="lv-LV"/>
        </w:rPr>
        <w:t>Otra tendence, kas tradicionāli raksturo gultasvietu noslogojumu Latvijā, ir sezonalitāte. Ir vērojama noslogojuma palielināšanās sākot ar aprīli, un vislielākais noslogojums tiek sasniegts vasaras mēnešos (jūlijs, augusts) – aktīvākajā tūrisma sezonā, kad tūristiem pieejams daudzpusīgs tūrisma aktivitāšu klāsts gan pilsētās, gan laukos, savukārt ziemas mēnešos (novembris, decembris), pieprasījums pēc naktsmītņu pakalpojumiem krītas. Līdzīgas tendences novērojamas lielākajā daļā galamērķu mērenajā joslā.</w:t>
      </w:r>
    </w:p>
    <w:p w14:paraId="49640A3C" w14:textId="77777777" w:rsidR="007A2FCB" w:rsidRPr="00267BCC" w:rsidRDefault="007A2FCB" w:rsidP="00267BCC">
      <w:pPr>
        <w:ind w:firstLine="720"/>
        <w:jc w:val="both"/>
        <w:rPr>
          <w:lang w:val="lv-LV"/>
        </w:rPr>
      </w:pPr>
      <w:r w:rsidRPr="00267BCC">
        <w:rPr>
          <w:lang w:val="lv-LV"/>
        </w:rPr>
        <w:t>Jāatzīmē, ka, salīdzinot gultas vietu noslogojumu Latvijā un Rīgā, galvaspilsētā rādītāji ir vidēji par 10 procentpunktiem labāki nekā pārējā valsts teritorijā, taču neatkarīgi no tā skaidri iezīmējas raksturīgā sezonalitātes tendence.</w:t>
      </w:r>
    </w:p>
    <w:p w14:paraId="49640A3D" w14:textId="77777777" w:rsidR="007A2FCB" w:rsidRPr="00267BCC" w:rsidRDefault="007A2FCB" w:rsidP="00267BCC">
      <w:pPr>
        <w:ind w:firstLine="720"/>
        <w:jc w:val="both"/>
        <w:rPr>
          <w:lang w:val="lv-LV"/>
        </w:rPr>
      </w:pPr>
      <w:r w:rsidRPr="00267BCC">
        <w:rPr>
          <w:lang w:val="lv-LV"/>
        </w:rPr>
        <w:t>Attiecībā uz viesnīcu un citu tūristu mītņu skaitu jāatzīmē, ka pēdējos trijos gados tas palicis gandrīz nemainīgs (2010.gadā – 628; 2011.gadā – 641; 2012.gadā – 632), savukārt numuru un gultasvietu skaits mēreni, bet stabili pieaug: numuru skaits pēdējos divos gados pieauga vidēji par 2,6%, bet gultasvietu skaits – par 3%.</w:t>
      </w:r>
      <w:r w:rsidRPr="00CB19B5">
        <w:rPr>
          <w:rStyle w:val="FootnoteReference"/>
          <w:lang w:val="lv-LV"/>
        </w:rPr>
        <w:footnoteReference w:id="38"/>
      </w:r>
    </w:p>
    <w:p w14:paraId="49640A3E" w14:textId="77777777" w:rsidR="007A2FCB" w:rsidRPr="00267BCC" w:rsidRDefault="007A2FCB" w:rsidP="00267BCC">
      <w:pPr>
        <w:ind w:firstLine="720"/>
        <w:jc w:val="both"/>
        <w:rPr>
          <w:lang w:val="lv-LV"/>
        </w:rPr>
      </w:pPr>
      <w:r w:rsidRPr="00267BCC">
        <w:rPr>
          <w:lang w:val="lv-LV"/>
        </w:rPr>
        <w:t>Pasaules Ekonomikas foruma (</w:t>
      </w:r>
      <w:r w:rsidRPr="00267BCC">
        <w:rPr>
          <w:i/>
          <w:lang w:val="lv-LV"/>
        </w:rPr>
        <w:t>World Economic Forum</w:t>
      </w:r>
      <w:r w:rsidRPr="00267BCC">
        <w:rPr>
          <w:lang w:val="lv-LV"/>
        </w:rPr>
        <w:t>) izdotajā „</w:t>
      </w:r>
      <w:r w:rsidRPr="00263B9F">
        <w:rPr>
          <w:lang w:val="lv-LV"/>
        </w:rPr>
        <w:t>Ceļojumu un Tūrisma konkurētspējas ziņojumā 2013” (</w:t>
      </w:r>
      <w:r w:rsidRPr="00263B9F">
        <w:rPr>
          <w:i/>
          <w:lang w:val="lv-LV"/>
        </w:rPr>
        <w:t>Travel &amp; Tourism Competitiveness</w:t>
      </w:r>
      <w:r w:rsidRPr="00267BCC">
        <w:rPr>
          <w:i/>
          <w:lang w:val="lv-LV"/>
        </w:rPr>
        <w:t xml:space="preserve"> Report 2013</w:t>
      </w:r>
      <w:r w:rsidRPr="00267BCC">
        <w:rPr>
          <w:lang w:val="lv-LV"/>
        </w:rPr>
        <w:t>) par 2013.gada tēmu izvēlēta barjeru ekonomiskai izaugsmei samazināšana un darba vietu radīšana, izceļot tūrisma nozīmi šo mērķu sasniegšanā. Minētajā ziņojumā tiek aprēķināts Ceļojumu un Tūrisma konkurētspējas indekss, savstarpēji salīdzinot 139 valstis pēc 14 kritērijiem 3 tematiskajās grupās: tūrisma normatīvais ietvars, uzņēmējdarbības vide un infrastruktūra, pieejamie cilvēkresursi, kultūras un dabas resursi. Latvija šajā indeksā ierindojas 48.vietā pasaules pievilcīgāko galamērķu vērtējumā. Pēdējo divu gadu laikā Latvija ir pakāpusies šajā reitingā par 3 vietām, Lietuva – par 6 vietām (49.vieta), savukārt Igaunija noslīdējusi par 5 vietām uz leju (30.vieta). Kopumā Baltijas valstu vērtējumi kopš pirmā ziņojuma 2007.gadā svārstījušies bez noteiktas pārmaiņu tendences.</w:t>
      </w:r>
    </w:p>
    <w:p w14:paraId="49640A3F" w14:textId="77777777" w:rsidR="007A2FCB" w:rsidRDefault="007A2FCB" w:rsidP="00267BCC">
      <w:pPr>
        <w:ind w:firstLine="720"/>
        <w:jc w:val="both"/>
        <w:rPr>
          <w:lang w:val="lv-LV"/>
        </w:rPr>
      </w:pPr>
    </w:p>
    <w:p w14:paraId="49640A40" w14:textId="77777777" w:rsidR="009611F8" w:rsidRDefault="009611F8" w:rsidP="00267BCC">
      <w:pPr>
        <w:ind w:firstLine="720"/>
        <w:jc w:val="both"/>
        <w:rPr>
          <w:lang w:val="lv-LV"/>
        </w:rPr>
      </w:pPr>
    </w:p>
    <w:p w14:paraId="49640A41" w14:textId="77777777" w:rsidR="009611F8" w:rsidRDefault="009611F8" w:rsidP="00267BCC">
      <w:pPr>
        <w:ind w:firstLine="720"/>
        <w:jc w:val="both"/>
        <w:rPr>
          <w:lang w:val="lv-LV"/>
        </w:rPr>
      </w:pPr>
    </w:p>
    <w:p w14:paraId="49640A42" w14:textId="77777777" w:rsidR="009611F8" w:rsidRPr="00267BCC" w:rsidRDefault="009611F8" w:rsidP="00267BCC">
      <w:pPr>
        <w:ind w:firstLine="720"/>
        <w:jc w:val="both"/>
        <w:rPr>
          <w:lang w:val="lv-LV"/>
        </w:rPr>
      </w:pPr>
    </w:p>
    <w:p w14:paraId="49640A43" w14:textId="77777777" w:rsidR="007A2FCB" w:rsidRPr="00267BCC" w:rsidRDefault="007A2FCB" w:rsidP="00267BCC">
      <w:pPr>
        <w:ind w:firstLine="720"/>
        <w:jc w:val="right"/>
        <w:rPr>
          <w:lang w:val="lv-LV"/>
        </w:rPr>
      </w:pPr>
      <w:r w:rsidRPr="00267BCC">
        <w:rPr>
          <w:lang w:val="lv-LV"/>
        </w:rPr>
        <w:t>3.tabula</w:t>
      </w:r>
    </w:p>
    <w:p w14:paraId="49640A44" w14:textId="77777777" w:rsidR="007A2FCB" w:rsidRPr="00267BCC" w:rsidRDefault="007A2FCB" w:rsidP="00267BCC">
      <w:pPr>
        <w:ind w:firstLine="720"/>
        <w:jc w:val="center"/>
        <w:rPr>
          <w:b/>
          <w:lang w:val="lv-LV"/>
        </w:rPr>
      </w:pPr>
      <w:r w:rsidRPr="00267BCC">
        <w:rPr>
          <w:b/>
          <w:lang w:val="lv-LV"/>
        </w:rPr>
        <w:t>Baltijas valstis pēc Ceļojumu un Tūrisma konkurētspējas indeksa salīdzinājuma (2012.gads)</w:t>
      </w:r>
    </w:p>
    <w:tbl>
      <w:tblPr>
        <w:tblStyle w:val="TableGrid"/>
        <w:tblW w:w="0" w:type="auto"/>
        <w:tblInd w:w="250" w:type="dxa"/>
        <w:tblLook w:val="04A0" w:firstRow="1" w:lastRow="0" w:firstColumn="1" w:lastColumn="0" w:noHBand="0" w:noVBand="1"/>
      </w:tblPr>
      <w:tblGrid>
        <w:gridCol w:w="5236"/>
        <w:gridCol w:w="1134"/>
        <w:gridCol w:w="1232"/>
        <w:gridCol w:w="1228"/>
      </w:tblGrid>
      <w:tr w:rsidR="007A2FCB" w:rsidRPr="00267BCC" w14:paraId="49640A49" w14:textId="77777777" w:rsidTr="007A2FCB">
        <w:tc>
          <w:tcPr>
            <w:tcW w:w="5236" w:type="dxa"/>
            <w:vMerge w:val="restart"/>
          </w:tcPr>
          <w:p w14:paraId="49640A45" w14:textId="77777777" w:rsidR="007A2FCB" w:rsidRPr="00267BCC" w:rsidRDefault="007A2FCB" w:rsidP="00267BCC">
            <w:pPr>
              <w:jc w:val="both"/>
              <w:rPr>
                <w:b/>
                <w:sz w:val="22"/>
                <w:szCs w:val="22"/>
                <w:lang w:val="lv-LV"/>
              </w:rPr>
            </w:pPr>
            <w:r w:rsidRPr="00267BCC">
              <w:rPr>
                <w:b/>
                <w:sz w:val="22"/>
                <w:szCs w:val="22"/>
                <w:lang w:val="lv-LV"/>
              </w:rPr>
              <w:t>Kritērijs</w:t>
            </w:r>
          </w:p>
        </w:tc>
        <w:tc>
          <w:tcPr>
            <w:tcW w:w="1134" w:type="dxa"/>
          </w:tcPr>
          <w:p w14:paraId="49640A46" w14:textId="77777777" w:rsidR="007A2FCB" w:rsidRPr="00267BCC" w:rsidRDefault="007A2FCB" w:rsidP="00267BCC">
            <w:pPr>
              <w:jc w:val="center"/>
              <w:rPr>
                <w:b/>
                <w:sz w:val="22"/>
                <w:szCs w:val="22"/>
                <w:lang w:val="lv-LV"/>
              </w:rPr>
            </w:pPr>
            <w:r w:rsidRPr="00267BCC">
              <w:rPr>
                <w:b/>
                <w:sz w:val="22"/>
                <w:szCs w:val="22"/>
                <w:lang w:val="lv-LV"/>
              </w:rPr>
              <w:t>Latvija</w:t>
            </w:r>
          </w:p>
        </w:tc>
        <w:tc>
          <w:tcPr>
            <w:tcW w:w="1232" w:type="dxa"/>
          </w:tcPr>
          <w:p w14:paraId="49640A47" w14:textId="77777777" w:rsidR="007A2FCB" w:rsidRPr="00267BCC" w:rsidRDefault="007A2FCB" w:rsidP="00267BCC">
            <w:pPr>
              <w:jc w:val="center"/>
              <w:rPr>
                <w:b/>
                <w:sz w:val="22"/>
                <w:szCs w:val="22"/>
                <w:lang w:val="lv-LV"/>
              </w:rPr>
            </w:pPr>
            <w:r w:rsidRPr="00267BCC">
              <w:rPr>
                <w:b/>
                <w:sz w:val="22"/>
                <w:szCs w:val="22"/>
                <w:lang w:val="lv-LV"/>
              </w:rPr>
              <w:t>Lietuva</w:t>
            </w:r>
          </w:p>
        </w:tc>
        <w:tc>
          <w:tcPr>
            <w:tcW w:w="1228" w:type="dxa"/>
          </w:tcPr>
          <w:p w14:paraId="49640A48" w14:textId="77777777" w:rsidR="007A2FCB" w:rsidRPr="00267BCC" w:rsidRDefault="007A2FCB" w:rsidP="00267BCC">
            <w:pPr>
              <w:jc w:val="center"/>
              <w:rPr>
                <w:b/>
                <w:sz w:val="22"/>
                <w:szCs w:val="22"/>
                <w:lang w:val="lv-LV"/>
              </w:rPr>
            </w:pPr>
            <w:r w:rsidRPr="00267BCC">
              <w:rPr>
                <w:b/>
                <w:sz w:val="22"/>
                <w:szCs w:val="22"/>
                <w:lang w:val="lv-LV"/>
              </w:rPr>
              <w:t>Igaunija</w:t>
            </w:r>
          </w:p>
        </w:tc>
      </w:tr>
      <w:tr w:rsidR="007A2FCB" w:rsidRPr="00267BCC" w14:paraId="49640A4C" w14:textId="77777777" w:rsidTr="007A2FCB">
        <w:tc>
          <w:tcPr>
            <w:tcW w:w="5236" w:type="dxa"/>
            <w:vMerge/>
          </w:tcPr>
          <w:p w14:paraId="49640A4A" w14:textId="77777777" w:rsidR="007A2FCB" w:rsidRPr="00267BCC" w:rsidRDefault="007A2FCB" w:rsidP="00267BCC">
            <w:pPr>
              <w:jc w:val="both"/>
              <w:rPr>
                <w:b/>
                <w:sz w:val="22"/>
                <w:szCs w:val="22"/>
                <w:lang w:val="lv-LV"/>
              </w:rPr>
            </w:pPr>
          </w:p>
        </w:tc>
        <w:tc>
          <w:tcPr>
            <w:tcW w:w="3594" w:type="dxa"/>
            <w:gridSpan w:val="3"/>
          </w:tcPr>
          <w:p w14:paraId="49640A4B" w14:textId="77777777" w:rsidR="007A2FCB" w:rsidRPr="00267BCC" w:rsidRDefault="007A2FCB" w:rsidP="00267BCC">
            <w:pPr>
              <w:jc w:val="center"/>
              <w:rPr>
                <w:b/>
                <w:sz w:val="22"/>
                <w:szCs w:val="22"/>
                <w:lang w:val="lv-LV"/>
              </w:rPr>
            </w:pPr>
            <w:r w:rsidRPr="00267BCC">
              <w:rPr>
                <w:b/>
                <w:sz w:val="22"/>
                <w:szCs w:val="22"/>
                <w:lang w:val="lv-LV"/>
              </w:rPr>
              <w:t>vieta reitingā starp 139 valstīm</w:t>
            </w:r>
          </w:p>
        </w:tc>
      </w:tr>
      <w:tr w:rsidR="007A2FCB" w:rsidRPr="00267BCC" w14:paraId="49640A51" w14:textId="77777777" w:rsidTr="007A2FCB">
        <w:tc>
          <w:tcPr>
            <w:tcW w:w="5236" w:type="dxa"/>
            <w:shd w:val="clear" w:color="auto" w:fill="D9D9D9" w:themeFill="background1" w:themeFillShade="D9"/>
          </w:tcPr>
          <w:p w14:paraId="49640A4D" w14:textId="77777777" w:rsidR="007A2FCB" w:rsidRPr="00267BCC" w:rsidRDefault="007A2FCB" w:rsidP="00267BCC">
            <w:pPr>
              <w:jc w:val="right"/>
              <w:rPr>
                <w:b/>
                <w:sz w:val="22"/>
                <w:szCs w:val="22"/>
                <w:lang w:val="lv-LV"/>
              </w:rPr>
            </w:pPr>
            <w:r w:rsidRPr="00267BCC">
              <w:rPr>
                <w:b/>
                <w:sz w:val="22"/>
                <w:szCs w:val="22"/>
                <w:lang w:val="lv-LV"/>
              </w:rPr>
              <w:t>Kopējais indeksa vērtējums</w:t>
            </w:r>
          </w:p>
        </w:tc>
        <w:tc>
          <w:tcPr>
            <w:tcW w:w="1134" w:type="dxa"/>
            <w:shd w:val="clear" w:color="auto" w:fill="D9D9D9" w:themeFill="background1" w:themeFillShade="D9"/>
            <w:vAlign w:val="center"/>
          </w:tcPr>
          <w:p w14:paraId="49640A4E" w14:textId="77777777" w:rsidR="007A2FCB" w:rsidRPr="00267BCC" w:rsidRDefault="007A2FCB" w:rsidP="00267BCC">
            <w:pPr>
              <w:jc w:val="center"/>
              <w:rPr>
                <w:b/>
                <w:sz w:val="22"/>
                <w:szCs w:val="22"/>
                <w:lang w:val="lv-LV"/>
              </w:rPr>
            </w:pPr>
            <w:r w:rsidRPr="00267BCC">
              <w:rPr>
                <w:b/>
                <w:sz w:val="22"/>
                <w:szCs w:val="22"/>
                <w:lang w:val="lv-LV"/>
              </w:rPr>
              <w:t>48</w:t>
            </w:r>
          </w:p>
        </w:tc>
        <w:tc>
          <w:tcPr>
            <w:tcW w:w="1232" w:type="dxa"/>
            <w:shd w:val="clear" w:color="auto" w:fill="D9D9D9" w:themeFill="background1" w:themeFillShade="D9"/>
            <w:vAlign w:val="center"/>
          </w:tcPr>
          <w:p w14:paraId="49640A4F" w14:textId="77777777" w:rsidR="007A2FCB" w:rsidRPr="00267BCC" w:rsidRDefault="007A2FCB" w:rsidP="00267BCC">
            <w:pPr>
              <w:jc w:val="center"/>
              <w:rPr>
                <w:b/>
                <w:sz w:val="22"/>
                <w:szCs w:val="22"/>
                <w:lang w:val="lv-LV"/>
              </w:rPr>
            </w:pPr>
            <w:r w:rsidRPr="00267BCC">
              <w:rPr>
                <w:b/>
                <w:sz w:val="22"/>
                <w:szCs w:val="22"/>
                <w:lang w:val="lv-LV"/>
              </w:rPr>
              <w:t>49</w:t>
            </w:r>
          </w:p>
        </w:tc>
        <w:tc>
          <w:tcPr>
            <w:tcW w:w="1228" w:type="dxa"/>
            <w:shd w:val="clear" w:color="auto" w:fill="D9D9D9" w:themeFill="background1" w:themeFillShade="D9"/>
            <w:vAlign w:val="center"/>
          </w:tcPr>
          <w:p w14:paraId="49640A50" w14:textId="77777777" w:rsidR="007A2FCB" w:rsidRPr="00267BCC" w:rsidRDefault="007A2FCB" w:rsidP="00267BCC">
            <w:pPr>
              <w:jc w:val="center"/>
              <w:rPr>
                <w:b/>
                <w:sz w:val="22"/>
                <w:szCs w:val="22"/>
                <w:lang w:val="lv-LV"/>
              </w:rPr>
            </w:pPr>
            <w:r w:rsidRPr="00267BCC">
              <w:rPr>
                <w:b/>
                <w:sz w:val="22"/>
                <w:szCs w:val="22"/>
                <w:lang w:val="lv-LV"/>
              </w:rPr>
              <w:t>30</w:t>
            </w:r>
          </w:p>
        </w:tc>
      </w:tr>
      <w:tr w:rsidR="007A2FCB" w:rsidRPr="00267BCC" w14:paraId="49640A56" w14:textId="77777777" w:rsidTr="007A2FCB">
        <w:tc>
          <w:tcPr>
            <w:tcW w:w="5236" w:type="dxa"/>
          </w:tcPr>
          <w:p w14:paraId="49640A52" w14:textId="77777777" w:rsidR="007A2FCB" w:rsidRPr="00267BCC" w:rsidRDefault="007A2FCB" w:rsidP="00267BCC">
            <w:pPr>
              <w:jc w:val="both"/>
              <w:rPr>
                <w:b/>
                <w:sz w:val="22"/>
                <w:szCs w:val="22"/>
                <w:lang w:val="lv-LV"/>
              </w:rPr>
            </w:pPr>
            <w:r w:rsidRPr="00267BCC">
              <w:rPr>
                <w:b/>
                <w:sz w:val="22"/>
                <w:szCs w:val="22"/>
                <w:lang w:val="lv-LV"/>
              </w:rPr>
              <w:t>Tūrisma normatīvais ietvars</w:t>
            </w:r>
          </w:p>
        </w:tc>
        <w:tc>
          <w:tcPr>
            <w:tcW w:w="1134" w:type="dxa"/>
            <w:vAlign w:val="center"/>
          </w:tcPr>
          <w:p w14:paraId="49640A53" w14:textId="77777777" w:rsidR="007A2FCB" w:rsidRPr="00267BCC" w:rsidRDefault="007A2FCB" w:rsidP="00267BCC">
            <w:pPr>
              <w:jc w:val="center"/>
              <w:rPr>
                <w:b/>
                <w:sz w:val="22"/>
                <w:szCs w:val="22"/>
                <w:lang w:val="lv-LV"/>
              </w:rPr>
            </w:pPr>
            <w:r w:rsidRPr="00267BCC">
              <w:rPr>
                <w:b/>
                <w:sz w:val="22"/>
                <w:szCs w:val="22"/>
                <w:lang w:val="lv-LV"/>
              </w:rPr>
              <w:t>35</w:t>
            </w:r>
          </w:p>
        </w:tc>
        <w:tc>
          <w:tcPr>
            <w:tcW w:w="1232" w:type="dxa"/>
            <w:vAlign w:val="center"/>
          </w:tcPr>
          <w:p w14:paraId="49640A54" w14:textId="77777777" w:rsidR="007A2FCB" w:rsidRPr="00267BCC" w:rsidRDefault="007A2FCB" w:rsidP="00267BCC">
            <w:pPr>
              <w:jc w:val="center"/>
              <w:rPr>
                <w:b/>
                <w:sz w:val="22"/>
                <w:szCs w:val="22"/>
                <w:lang w:val="lv-LV"/>
              </w:rPr>
            </w:pPr>
            <w:r w:rsidRPr="00267BCC">
              <w:rPr>
                <w:b/>
                <w:sz w:val="22"/>
                <w:szCs w:val="22"/>
                <w:lang w:val="lv-LV"/>
              </w:rPr>
              <w:t>41</w:t>
            </w:r>
          </w:p>
        </w:tc>
        <w:tc>
          <w:tcPr>
            <w:tcW w:w="1228" w:type="dxa"/>
            <w:vAlign w:val="center"/>
          </w:tcPr>
          <w:p w14:paraId="49640A55" w14:textId="77777777" w:rsidR="007A2FCB" w:rsidRPr="00267BCC" w:rsidRDefault="007A2FCB" w:rsidP="00267BCC">
            <w:pPr>
              <w:jc w:val="center"/>
              <w:rPr>
                <w:b/>
                <w:sz w:val="22"/>
                <w:szCs w:val="22"/>
                <w:lang w:val="lv-LV"/>
              </w:rPr>
            </w:pPr>
            <w:r w:rsidRPr="00267BCC">
              <w:rPr>
                <w:b/>
                <w:sz w:val="22"/>
                <w:szCs w:val="22"/>
                <w:lang w:val="lv-LV"/>
              </w:rPr>
              <w:t>10</w:t>
            </w:r>
          </w:p>
        </w:tc>
      </w:tr>
      <w:tr w:rsidR="007A2FCB" w:rsidRPr="00267BCC" w14:paraId="49640A5B" w14:textId="77777777" w:rsidTr="007A2FCB">
        <w:tc>
          <w:tcPr>
            <w:tcW w:w="5236" w:type="dxa"/>
          </w:tcPr>
          <w:p w14:paraId="49640A57" w14:textId="77777777" w:rsidR="007A2FCB" w:rsidRPr="00267BCC" w:rsidRDefault="007A2FCB" w:rsidP="00267BCC">
            <w:pPr>
              <w:jc w:val="both"/>
              <w:rPr>
                <w:sz w:val="22"/>
                <w:szCs w:val="22"/>
                <w:lang w:val="lv-LV"/>
              </w:rPr>
            </w:pPr>
            <w:r w:rsidRPr="00267BCC">
              <w:rPr>
                <w:sz w:val="22"/>
                <w:szCs w:val="22"/>
                <w:lang w:val="lv-LV"/>
              </w:rPr>
              <w:t>Politikas normas un regulējums</w:t>
            </w:r>
          </w:p>
        </w:tc>
        <w:tc>
          <w:tcPr>
            <w:tcW w:w="1134" w:type="dxa"/>
            <w:vAlign w:val="center"/>
          </w:tcPr>
          <w:p w14:paraId="49640A58" w14:textId="77777777" w:rsidR="007A2FCB" w:rsidRPr="00267BCC" w:rsidRDefault="007A2FCB" w:rsidP="00267BCC">
            <w:pPr>
              <w:jc w:val="center"/>
              <w:rPr>
                <w:sz w:val="22"/>
                <w:szCs w:val="22"/>
                <w:lang w:val="lv-LV"/>
              </w:rPr>
            </w:pPr>
            <w:r w:rsidRPr="00267BCC">
              <w:rPr>
                <w:sz w:val="22"/>
                <w:szCs w:val="22"/>
                <w:lang w:val="lv-LV"/>
              </w:rPr>
              <w:t>58</w:t>
            </w:r>
          </w:p>
        </w:tc>
        <w:tc>
          <w:tcPr>
            <w:tcW w:w="1232" w:type="dxa"/>
            <w:vAlign w:val="center"/>
          </w:tcPr>
          <w:p w14:paraId="49640A59" w14:textId="77777777" w:rsidR="007A2FCB" w:rsidRPr="00267BCC" w:rsidRDefault="007A2FCB" w:rsidP="00267BCC">
            <w:pPr>
              <w:jc w:val="center"/>
              <w:rPr>
                <w:sz w:val="22"/>
                <w:szCs w:val="22"/>
                <w:lang w:val="lv-LV"/>
              </w:rPr>
            </w:pPr>
            <w:r w:rsidRPr="00267BCC">
              <w:rPr>
                <w:sz w:val="22"/>
                <w:szCs w:val="22"/>
                <w:lang w:val="lv-LV"/>
              </w:rPr>
              <w:t>75</w:t>
            </w:r>
          </w:p>
        </w:tc>
        <w:tc>
          <w:tcPr>
            <w:tcW w:w="1228" w:type="dxa"/>
            <w:vAlign w:val="center"/>
          </w:tcPr>
          <w:p w14:paraId="49640A5A" w14:textId="77777777" w:rsidR="007A2FCB" w:rsidRPr="00267BCC" w:rsidRDefault="007A2FCB" w:rsidP="00267BCC">
            <w:pPr>
              <w:jc w:val="center"/>
              <w:rPr>
                <w:sz w:val="22"/>
                <w:szCs w:val="22"/>
                <w:lang w:val="lv-LV"/>
              </w:rPr>
            </w:pPr>
            <w:r w:rsidRPr="00267BCC">
              <w:rPr>
                <w:sz w:val="22"/>
                <w:szCs w:val="22"/>
                <w:lang w:val="lv-LV"/>
              </w:rPr>
              <w:t>26</w:t>
            </w:r>
          </w:p>
        </w:tc>
      </w:tr>
      <w:tr w:rsidR="007A2FCB" w:rsidRPr="00267BCC" w14:paraId="49640A60" w14:textId="77777777" w:rsidTr="007A2FCB">
        <w:trPr>
          <w:trHeight w:val="133"/>
        </w:trPr>
        <w:tc>
          <w:tcPr>
            <w:tcW w:w="5236" w:type="dxa"/>
          </w:tcPr>
          <w:p w14:paraId="49640A5C" w14:textId="77777777" w:rsidR="007A2FCB" w:rsidRPr="00267BCC" w:rsidRDefault="007A2FCB" w:rsidP="00267BCC">
            <w:pPr>
              <w:jc w:val="both"/>
              <w:rPr>
                <w:sz w:val="22"/>
                <w:szCs w:val="22"/>
                <w:lang w:val="lv-LV"/>
              </w:rPr>
            </w:pPr>
            <w:r w:rsidRPr="00267BCC">
              <w:rPr>
                <w:sz w:val="22"/>
                <w:szCs w:val="22"/>
                <w:lang w:val="lv-LV"/>
              </w:rPr>
              <w:t xml:space="preserve">Vides ilgtspēja </w:t>
            </w:r>
          </w:p>
        </w:tc>
        <w:tc>
          <w:tcPr>
            <w:tcW w:w="1134" w:type="dxa"/>
            <w:vAlign w:val="center"/>
          </w:tcPr>
          <w:p w14:paraId="49640A5D" w14:textId="77777777" w:rsidR="007A2FCB" w:rsidRPr="00267BCC" w:rsidRDefault="007A2FCB" w:rsidP="00267BCC">
            <w:pPr>
              <w:jc w:val="center"/>
              <w:rPr>
                <w:sz w:val="22"/>
                <w:szCs w:val="22"/>
                <w:lang w:val="lv-LV"/>
              </w:rPr>
            </w:pPr>
            <w:r w:rsidRPr="00267BCC">
              <w:rPr>
                <w:sz w:val="22"/>
                <w:szCs w:val="22"/>
                <w:lang w:val="lv-LV"/>
              </w:rPr>
              <w:t>18</w:t>
            </w:r>
          </w:p>
        </w:tc>
        <w:tc>
          <w:tcPr>
            <w:tcW w:w="1232" w:type="dxa"/>
            <w:vAlign w:val="center"/>
          </w:tcPr>
          <w:p w14:paraId="49640A5E" w14:textId="77777777" w:rsidR="007A2FCB" w:rsidRPr="00267BCC" w:rsidRDefault="007A2FCB" w:rsidP="00267BCC">
            <w:pPr>
              <w:jc w:val="center"/>
              <w:rPr>
                <w:sz w:val="22"/>
                <w:szCs w:val="22"/>
                <w:lang w:val="lv-LV"/>
              </w:rPr>
            </w:pPr>
            <w:r w:rsidRPr="00267BCC">
              <w:rPr>
                <w:sz w:val="22"/>
                <w:szCs w:val="22"/>
                <w:lang w:val="lv-LV"/>
              </w:rPr>
              <w:t>20</w:t>
            </w:r>
          </w:p>
        </w:tc>
        <w:tc>
          <w:tcPr>
            <w:tcW w:w="1228" w:type="dxa"/>
            <w:vAlign w:val="center"/>
          </w:tcPr>
          <w:p w14:paraId="49640A5F" w14:textId="77777777" w:rsidR="007A2FCB" w:rsidRPr="00267BCC" w:rsidRDefault="007A2FCB" w:rsidP="00267BCC">
            <w:pPr>
              <w:jc w:val="center"/>
              <w:rPr>
                <w:sz w:val="22"/>
                <w:szCs w:val="22"/>
                <w:lang w:val="lv-LV"/>
              </w:rPr>
            </w:pPr>
            <w:r w:rsidRPr="00267BCC">
              <w:rPr>
                <w:sz w:val="22"/>
                <w:szCs w:val="22"/>
                <w:lang w:val="lv-LV"/>
              </w:rPr>
              <w:t>14</w:t>
            </w:r>
          </w:p>
        </w:tc>
      </w:tr>
      <w:tr w:rsidR="007A2FCB" w:rsidRPr="00267BCC" w14:paraId="49640A65" w14:textId="77777777" w:rsidTr="007A2FCB">
        <w:tc>
          <w:tcPr>
            <w:tcW w:w="5236" w:type="dxa"/>
          </w:tcPr>
          <w:p w14:paraId="49640A61" w14:textId="77777777" w:rsidR="007A2FCB" w:rsidRPr="00267BCC" w:rsidRDefault="007A2FCB" w:rsidP="00267BCC">
            <w:pPr>
              <w:jc w:val="both"/>
              <w:rPr>
                <w:sz w:val="22"/>
                <w:szCs w:val="22"/>
                <w:lang w:val="lv-LV"/>
              </w:rPr>
            </w:pPr>
            <w:r w:rsidRPr="00267BCC">
              <w:rPr>
                <w:sz w:val="22"/>
                <w:szCs w:val="22"/>
                <w:lang w:val="lv-LV"/>
              </w:rPr>
              <w:t>Drošība un miers</w:t>
            </w:r>
          </w:p>
        </w:tc>
        <w:tc>
          <w:tcPr>
            <w:tcW w:w="1134" w:type="dxa"/>
            <w:vAlign w:val="center"/>
          </w:tcPr>
          <w:p w14:paraId="49640A62" w14:textId="77777777" w:rsidR="007A2FCB" w:rsidRPr="00267BCC" w:rsidRDefault="007A2FCB" w:rsidP="00267BCC">
            <w:pPr>
              <w:jc w:val="center"/>
              <w:rPr>
                <w:sz w:val="22"/>
                <w:szCs w:val="22"/>
                <w:lang w:val="lv-LV"/>
              </w:rPr>
            </w:pPr>
            <w:r w:rsidRPr="00267BCC">
              <w:rPr>
                <w:sz w:val="22"/>
                <w:szCs w:val="22"/>
                <w:lang w:val="lv-LV"/>
              </w:rPr>
              <w:t>53</w:t>
            </w:r>
          </w:p>
        </w:tc>
        <w:tc>
          <w:tcPr>
            <w:tcW w:w="1232" w:type="dxa"/>
            <w:vAlign w:val="center"/>
          </w:tcPr>
          <w:p w14:paraId="49640A63" w14:textId="77777777" w:rsidR="007A2FCB" w:rsidRPr="00267BCC" w:rsidRDefault="007A2FCB" w:rsidP="00267BCC">
            <w:pPr>
              <w:jc w:val="center"/>
              <w:rPr>
                <w:sz w:val="22"/>
                <w:szCs w:val="22"/>
                <w:lang w:val="lv-LV"/>
              </w:rPr>
            </w:pPr>
            <w:r w:rsidRPr="00267BCC">
              <w:rPr>
                <w:sz w:val="22"/>
                <w:szCs w:val="22"/>
                <w:lang w:val="lv-LV"/>
              </w:rPr>
              <w:t>56</w:t>
            </w:r>
          </w:p>
        </w:tc>
        <w:tc>
          <w:tcPr>
            <w:tcW w:w="1228" w:type="dxa"/>
            <w:vAlign w:val="center"/>
          </w:tcPr>
          <w:p w14:paraId="49640A64" w14:textId="77777777" w:rsidR="007A2FCB" w:rsidRPr="00267BCC" w:rsidRDefault="007A2FCB" w:rsidP="00267BCC">
            <w:pPr>
              <w:jc w:val="center"/>
              <w:rPr>
                <w:sz w:val="22"/>
                <w:szCs w:val="22"/>
                <w:lang w:val="lv-LV"/>
              </w:rPr>
            </w:pPr>
            <w:r w:rsidRPr="00267BCC">
              <w:rPr>
                <w:sz w:val="22"/>
                <w:szCs w:val="22"/>
                <w:lang w:val="lv-LV"/>
              </w:rPr>
              <w:t>25</w:t>
            </w:r>
          </w:p>
        </w:tc>
      </w:tr>
      <w:tr w:rsidR="007A2FCB" w:rsidRPr="00267BCC" w14:paraId="49640A6A" w14:textId="77777777" w:rsidTr="007A2FCB">
        <w:tc>
          <w:tcPr>
            <w:tcW w:w="5236" w:type="dxa"/>
          </w:tcPr>
          <w:p w14:paraId="49640A66" w14:textId="77777777" w:rsidR="007A2FCB" w:rsidRPr="00267BCC" w:rsidRDefault="007A2FCB" w:rsidP="00267BCC">
            <w:pPr>
              <w:jc w:val="both"/>
              <w:rPr>
                <w:sz w:val="22"/>
                <w:szCs w:val="22"/>
                <w:lang w:val="lv-LV"/>
              </w:rPr>
            </w:pPr>
            <w:r w:rsidRPr="00267BCC">
              <w:rPr>
                <w:sz w:val="22"/>
                <w:szCs w:val="22"/>
                <w:lang w:val="lv-LV"/>
              </w:rPr>
              <w:t>Veselība un higiēna</w:t>
            </w:r>
          </w:p>
        </w:tc>
        <w:tc>
          <w:tcPr>
            <w:tcW w:w="1134" w:type="dxa"/>
            <w:vAlign w:val="center"/>
          </w:tcPr>
          <w:p w14:paraId="49640A67" w14:textId="77777777" w:rsidR="007A2FCB" w:rsidRPr="00267BCC" w:rsidRDefault="007A2FCB" w:rsidP="00267BCC">
            <w:pPr>
              <w:jc w:val="center"/>
              <w:rPr>
                <w:sz w:val="22"/>
                <w:szCs w:val="22"/>
                <w:lang w:val="lv-LV"/>
              </w:rPr>
            </w:pPr>
            <w:r w:rsidRPr="00267BCC">
              <w:rPr>
                <w:sz w:val="22"/>
                <w:szCs w:val="22"/>
                <w:lang w:val="lv-LV"/>
              </w:rPr>
              <w:t>32</w:t>
            </w:r>
          </w:p>
        </w:tc>
        <w:tc>
          <w:tcPr>
            <w:tcW w:w="1232" w:type="dxa"/>
            <w:vAlign w:val="center"/>
          </w:tcPr>
          <w:p w14:paraId="49640A68" w14:textId="77777777" w:rsidR="007A2FCB" w:rsidRPr="00267BCC" w:rsidRDefault="007A2FCB" w:rsidP="00267BCC">
            <w:pPr>
              <w:jc w:val="center"/>
              <w:rPr>
                <w:sz w:val="22"/>
                <w:szCs w:val="22"/>
                <w:lang w:val="lv-LV"/>
              </w:rPr>
            </w:pPr>
            <w:r w:rsidRPr="00267BCC">
              <w:rPr>
                <w:sz w:val="22"/>
                <w:szCs w:val="22"/>
                <w:lang w:val="lv-LV"/>
              </w:rPr>
              <w:t>18</w:t>
            </w:r>
          </w:p>
        </w:tc>
        <w:tc>
          <w:tcPr>
            <w:tcW w:w="1228" w:type="dxa"/>
            <w:vAlign w:val="center"/>
          </w:tcPr>
          <w:p w14:paraId="49640A69" w14:textId="77777777" w:rsidR="007A2FCB" w:rsidRPr="00267BCC" w:rsidRDefault="007A2FCB" w:rsidP="00267BCC">
            <w:pPr>
              <w:jc w:val="center"/>
              <w:rPr>
                <w:sz w:val="22"/>
                <w:szCs w:val="22"/>
                <w:lang w:val="lv-LV"/>
              </w:rPr>
            </w:pPr>
            <w:r w:rsidRPr="00267BCC">
              <w:rPr>
                <w:sz w:val="22"/>
                <w:szCs w:val="22"/>
                <w:lang w:val="lv-LV"/>
              </w:rPr>
              <w:t>20</w:t>
            </w:r>
          </w:p>
        </w:tc>
      </w:tr>
      <w:tr w:rsidR="007A2FCB" w:rsidRPr="00267BCC" w14:paraId="49640A6F" w14:textId="77777777" w:rsidTr="007A2FCB">
        <w:tc>
          <w:tcPr>
            <w:tcW w:w="5236" w:type="dxa"/>
          </w:tcPr>
          <w:p w14:paraId="49640A6B" w14:textId="77777777" w:rsidR="007A2FCB" w:rsidRPr="00267BCC" w:rsidRDefault="007A2FCB" w:rsidP="00267BCC">
            <w:pPr>
              <w:jc w:val="both"/>
              <w:rPr>
                <w:sz w:val="22"/>
                <w:szCs w:val="22"/>
                <w:lang w:val="lv-LV"/>
              </w:rPr>
            </w:pPr>
            <w:r w:rsidRPr="00267BCC">
              <w:rPr>
                <w:sz w:val="22"/>
                <w:szCs w:val="22"/>
                <w:lang w:val="lv-LV"/>
              </w:rPr>
              <w:t>Tūrisma izvirzīšana par prioritāti</w:t>
            </w:r>
          </w:p>
        </w:tc>
        <w:tc>
          <w:tcPr>
            <w:tcW w:w="1134" w:type="dxa"/>
            <w:vAlign w:val="center"/>
          </w:tcPr>
          <w:p w14:paraId="49640A6C" w14:textId="77777777" w:rsidR="007A2FCB" w:rsidRPr="00267BCC" w:rsidRDefault="007A2FCB" w:rsidP="00267BCC">
            <w:pPr>
              <w:jc w:val="center"/>
              <w:rPr>
                <w:sz w:val="22"/>
                <w:szCs w:val="22"/>
                <w:lang w:val="lv-LV"/>
              </w:rPr>
            </w:pPr>
            <w:r w:rsidRPr="00267BCC">
              <w:rPr>
                <w:sz w:val="22"/>
                <w:szCs w:val="22"/>
                <w:lang w:val="lv-LV"/>
              </w:rPr>
              <w:t>70</w:t>
            </w:r>
          </w:p>
        </w:tc>
        <w:tc>
          <w:tcPr>
            <w:tcW w:w="1232" w:type="dxa"/>
            <w:vAlign w:val="center"/>
          </w:tcPr>
          <w:p w14:paraId="49640A6D" w14:textId="77777777" w:rsidR="007A2FCB" w:rsidRPr="00267BCC" w:rsidRDefault="007A2FCB" w:rsidP="00267BCC">
            <w:pPr>
              <w:jc w:val="center"/>
              <w:rPr>
                <w:sz w:val="22"/>
                <w:szCs w:val="22"/>
                <w:lang w:val="lv-LV"/>
              </w:rPr>
            </w:pPr>
            <w:r w:rsidRPr="00267BCC">
              <w:rPr>
                <w:sz w:val="22"/>
                <w:szCs w:val="22"/>
                <w:lang w:val="lv-LV"/>
              </w:rPr>
              <w:t>91</w:t>
            </w:r>
          </w:p>
        </w:tc>
        <w:tc>
          <w:tcPr>
            <w:tcW w:w="1228" w:type="dxa"/>
            <w:vAlign w:val="center"/>
          </w:tcPr>
          <w:p w14:paraId="49640A6E" w14:textId="77777777" w:rsidR="007A2FCB" w:rsidRPr="00267BCC" w:rsidRDefault="007A2FCB" w:rsidP="00267BCC">
            <w:pPr>
              <w:jc w:val="center"/>
              <w:rPr>
                <w:sz w:val="22"/>
                <w:szCs w:val="22"/>
                <w:lang w:val="lv-LV"/>
              </w:rPr>
            </w:pPr>
            <w:r w:rsidRPr="00267BCC">
              <w:rPr>
                <w:sz w:val="22"/>
                <w:szCs w:val="22"/>
                <w:lang w:val="lv-LV"/>
              </w:rPr>
              <w:t>16</w:t>
            </w:r>
          </w:p>
        </w:tc>
      </w:tr>
      <w:tr w:rsidR="007A2FCB" w:rsidRPr="00267BCC" w14:paraId="49640A74" w14:textId="77777777" w:rsidTr="007A2FCB">
        <w:tc>
          <w:tcPr>
            <w:tcW w:w="5236" w:type="dxa"/>
          </w:tcPr>
          <w:p w14:paraId="49640A70" w14:textId="77777777" w:rsidR="007A2FCB" w:rsidRPr="00267BCC" w:rsidRDefault="007A2FCB" w:rsidP="00267BCC">
            <w:pPr>
              <w:jc w:val="both"/>
              <w:rPr>
                <w:b/>
                <w:sz w:val="22"/>
                <w:szCs w:val="22"/>
                <w:lang w:val="lv-LV"/>
              </w:rPr>
            </w:pPr>
            <w:r w:rsidRPr="00267BCC">
              <w:rPr>
                <w:b/>
                <w:sz w:val="22"/>
                <w:szCs w:val="22"/>
                <w:lang w:val="lv-LV"/>
              </w:rPr>
              <w:t>Uzņēmējdarbības vide un infrastruktūra</w:t>
            </w:r>
          </w:p>
        </w:tc>
        <w:tc>
          <w:tcPr>
            <w:tcW w:w="1134" w:type="dxa"/>
            <w:vAlign w:val="center"/>
          </w:tcPr>
          <w:p w14:paraId="49640A71" w14:textId="77777777" w:rsidR="007A2FCB" w:rsidRPr="00267BCC" w:rsidRDefault="007A2FCB" w:rsidP="00267BCC">
            <w:pPr>
              <w:jc w:val="center"/>
              <w:rPr>
                <w:b/>
                <w:sz w:val="22"/>
                <w:szCs w:val="22"/>
                <w:lang w:val="lv-LV"/>
              </w:rPr>
            </w:pPr>
            <w:r w:rsidRPr="00267BCC">
              <w:rPr>
                <w:b/>
                <w:sz w:val="22"/>
                <w:szCs w:val="22"/>
                <w:lang w:val="lv-LV"/>
              </w:rPr>
              <w:t>40</w:t>
            </w:r>
          </w:p>
        </w:tc>
        <w:tc>
          <w:tcPr>
            <w:tcW w:w="1232" w:type="dxa"/>
            <w:vAlign w:val="center"/>
          </w:tcPr>
          <w:p w14:paraId="49640A72" w14:textId="77777777" w:rsidR="007A2FCB" w:rsidRPr="00267BCC" w:rsidRDefault="007A2FCB" w:rsidP="00267BCC">
            <w:pPr>
              <w:jc w:val="center"/>
              <w:rPr>
                <w:b/>
                <w:sz w:val="22"/>
                <w:szCs w:val="22"/>
                <w:lang w:val="lv-LV"/>
              </w:rPr>
            </w:pPr>
            <w:r w:rsidRPr="00267BCC">
              <w:rPr>
                <w:b/>
                <w:sz w:val="22"/>
                <w:szCs w:val="22"/>
                <w:lang w:val="lv-LV"/>
              </w:rPr>
              <w:t>48</w:t>
            </w:r>
          </w:p>
        </w:tc>
        <w:tc>
          <w:tcPr>
            <w:tcW w:w="1228" w:type="dxa"/>
            <w:vAlign w:val="center"/>
          </w:tcPr>
          <w:p w14:paraId="49640A73" w14:textId="77777777" w:rsidR="007A2FCB" w:rsidRPr="00267BCC" w:rsidRDefault="007A2FCB" w:rsidP="00267BCC">
            <w:pPr>
              <w:jc w:val="center"/>
              <w:rPr>
                <w:b/>
                <w:sz w:val="22"/>
                <w:szCs w:val="22"/>
                <w:lang w:val="lv-LV"/>
              </w:rPr>
            </w:pPr>
            <w:r w:rsidRPr="00267BCC">
              <w:rPr>
                <w:b/>
                <w:sz w:val="22"/>
                <w:szCs w:val="22"/>
                <w:lang w:val="lv-LV"/>
              </w:rPr>
              <w:t>30</w:t>
            </w:r>
          </w:p>
        </w:tc>
      </w:tr>
      <w:tr w:rsidR="007A2FCB" w:rsidRPr="00267BCC" w14:paraId="49640A79" w14:textId="77777777" w:rsidTr="007A2FCB">
        <w:tc>
          <w:tcPr>
            <w:tcW w:w="5236" w:type="dxa"/>
          </w:tcPr>
          <w:p w14:paraId="49640A75" w14:textId="77777777" w:rsidR="007A2FCB" w:rsidRPr="00267BCC" w:rsidRDefault="007A2FCB" w:rsidP="00267BCC">
            <w:pPr>
              <w:jc w:val="both"/>
              <w:rPr>
                <w:sz w:val="22"/>
                <w:szCs w:val="22"/>
                <w:lang w:val="lv-LV"/>
              </w:rPr>
            </w:pPr>
            <w:r w:rsidRPr="00267BCC">
              <w:rPr>
                <w:sz w:val="22"/>
                <w:szCs w:val="22"/>
                <w:lang w:val="lv-LV"/>
              </w:rPr>
              <w:t>Gaisa transporta infrastruktūra</w:t>
            </w:r>
          </w:p>
        </w:tc>
        <w:tc>
          <w:tcPr>
            <w:tcW w:w="1134" w:type="dxa"/>
            <w:vAlign w:val="center"/>
          </w:tcPr>
          <w:p w14:paraId="49640A76" w14:textId="77777777" w:rsidR="007A2FCB" w:rsidRPr="00267BCC" w:rsidRDefault="007A2FCB" w:rsidP="00267BCC">
            <w:pPr>
              <w:jc w:val="center"/>
              <w:rPr>
                <w:sz w:val="22"/>
                <w:szCs w:val="22"/>
                <w:lang w:val="lv-LV"/>
              </w:rPr>
            </w:pPr>
            <w:r w:rsidRPr="00267BCC">
              <w:rPr>
                <w:sz w:val="22"/>
                <w:szCs w:val="22"/>
                <w:lang w:val="lv-LV"/>
              </w:rPr>
              <w:t>47</w:t>
            </w:r>
          </w:p>
        </w:tc>
        <w:tc>
          <w:tcPr>
            <w:tcW w:w="1232" w:type="dxa"/>
            <w:vAlign w:val="center"/>
          </w:tcPr>
          <w:p w14:paraId="49640A77" w14:textId="77777777" w:rsidR="007A2FCB" w:rsidRPr="00267BCC" w:rsidRDefault="007A2FCB" w:rsidP="00267BCC">
            <w:pPr>
              <w:jc w:val="center"/>
              <w:rPr>
                <w:sz w:val="22"/>
                <w:szCs w:val="22"/>
                <w:lang w:val="lv-LV"/>
              </w:rPr>
            </w:pPr>
            <w:r w:rsidRPr="00267BCC">
              <w:rPr>
                <w:sz w:val="22"/>
                <w:szCs w:val="22"/>
                <w:lang w:val="lv-LV"/>
              </w:rPr>
              <w:t>95</w:t>
            </w:r>
          </w:p>
        </w:tc>
        <w:tc>
          <w:tcPr>
            <w:tcW w:w="1228" w:type="dxa"/>
            <w:vAlign w:val="center"/>
          </w:tcPr>
          <w:p w14:paraId="49640A78" w14:textId="77777777" w:rsidR="007A2FCB" w:rsidRPr="00267BCC" w:rsidRDefault="007A2FCB" w:rsidP="00267BCC">
            <w:pPr>
              <w:jc w:val="center"/>
              <w:rPr>
                <w:sz w:val="22"/>
                <w:szCs w:val="22"/>
                <w:lang w:val="lv-LV"/>
              </w:rPr>
            </w:pPr>
            <w:r w:rsidRPr="00267BCC">
              <w:rPr>
                <w:sz w:val="22"/>
                <w:szCs w:val="22"/>
                <w:lang w:val="lv-LV"/>
              </w:rPr>
              <w:t>65</w:t>
            </w:r>
          </w:p>
        </w:tc>
      </w:tr>
      <w:tr w:rsidR="007A2FCB" w:rsidRPr="00267BCC" w14:paraId="49640A7E" w14:textId="77777777" w:rsidTr="007A2FCB">
        <w:tc>
          <w:tcPr>
            <w:tcW w:w="5236" w:type="dxa"/>
          </w:tcPr>
          <w:p w14:paraId="49640A7A" w14:textId="77777777" w:rsidR="007A2FCB" w:rsidRPr="00267BCC" w:rsidRDefault="007A2FCB" w:rsidP="00267BCC">
            <w:pPr>
              <w:jc w:val="both"/>
              <w:rPr>
                <w:sz w:val="22"/>
                <w:szCs w:val="22"/>
                <w:lang w:val="lv-LV"/>
              </w:rPr>
            </w:pPr>
            <w:r w:rsidRPr="00267BCC">
              <w:rPr>
                <w:sz w:val="22"/>
                <w:szCs w:val="22"/>
                <w:lang w:val="lv-LV"/>
              </w:rPr>
              <w:t>Sauszemes transporta infrastruktūra</w:t>
            </w:r>
          </w:p>
        </w:tc>
        <w:tc>
          <w:tcPr>
            <w:tcW w:w="1134" w:type="dxa"/>
            <w:vAlign w:val="center"/>
          </w:tcPr>
          <w:p w14:paraId="49640A7B" w14:textId="77777777" w:rsidR="007A2FCB" w:rsidRPr="00267BCC" w:rsidRDefault="007A2FCB" w:rsidP="00267BCC">
            <w:pPr>
              <w:jc w:val="center"/>
              <w:rPr>
                <w:sz w:val="22"/>
                <w:szCs w:val="22"/>
                <w:lang w:val="lv-LV"/>
              </w:rPr>
            </w:pPr>
            <w:r w:rsidRPr="00267BCC">
              <w:rPr>
                <w:sz w:val="22"/>
                <w:szCs w:val="22"/>
                <w:lang w:val="lv-LV"/>
              </w:rPr>
              <w:t>44</w:t>
            </w:r>
          </w:p>
        </w:tc>
        <w:tc>
          <w:tcPr>
            <w:tcW w:w="1232" w:type="dxa"/>
            <w:vAlign w:val="center"/>
          </w:tcPr>
          <w:p w14:paraId="49640A7C" w14:textId="77777777" w:rsidR="007A2FCB" w:rsidRPr="00267BCC" w:rsidRDefault="007A2FCB" w:rsidP="00267BCC">
            <w:pPr>
              <w:jc w:val="center"/>
              <w:rPr>
                <w:sz w:val="22"/>
                <w:szCs w:val="22"/>
                <w:lang w:val="lv-LV"/>
              </w:rPr>
            </w:pPr>
            <w:r w:rsidRPr="00267BCC">
              <w:rPr>
                <w:sz w:val="22"/>
                <w:szCs w:val="22"/>
                <w:lang w:val="lv-LV"/>
              </w:rPr>
              <w:t>21</w:t>
            </w:r>
          </w:p>
        </w:tc>
        <w:tc>
          <w:tcPr>
            <w:tcW w:w="1228" w:type="dxa"/>
            <w:vAlign w:val="center"/>
          </w:tcPr>
          <w:p w14:paraId="49640A7D" w14:textId="77777777" w:rsidR="007A2FCB" w:rsidRPr="00267BCC" w:rsidRDefault="007A2FCB" w:rsidP="00267BCC">
            <w:pPr>
              <w:jc w:val="center"/>
              <w:rPr>
                <w:sz w:val="22"/>
                <w:szCs w:val="22"/>
                <w:lang w:val="lv-LV"/>
              </w:rPr>
            </w:pPr>
            <w:r w:rsidRPr="00267BCC">
              <w:rPr>
                <w:sz w:val="22"/>
                <w:szCs w:val="22"/>
                <w:lang w:val="lv-LV"/>
              </w:rPr>
              <w:t>30</w:t>
            </w:r>
          </w:p>
        </w:tc>
      </w:tr>
      <w:tr w:rsidR="007A2FCB" w:rsidRPr="00267BCC" w14:paraId="49640A83" w14:textId="77777777" w:rsidTr="007A2FCB">
        <w:tc>
          <w:tcPr>
            <w:tcW w:w="5236" w:type="dxa"/>
          </w:tcPr>
          <w:p w14:paraId="49640A7F" w14:textId="77777777" w:rsidR="007A2FCB" w:rsidRPr="00267BCC" w:rsidRDefault="007A2FCB" w:rsidP="00267BCC">
            <w:pPr>
              <w:jc w:val="both"/>
              <w:rPr>
                <w:sz w:val="22"/>
                <w:szCs w:val="22"/>
                <w:lang w:val="lv-LV"/>
              </w:rPr>
            </w:pPr>
            <w:r w:rsidRPr="00267BCC">
              <w:rPr>
                <w:sz w:val="22"/>
                <w:szCs w:val="22"/>
                <w:lang w:val="lv-LV"/>
              </w:rPr>
              <w:t>Tūrisma infrastruktūra</w:t>
            </w:r>
          </w:p>
        </w:tc>
        <w:tc>
          <w:tcPr>
            <w:tcW w:w="1134" w:type="dxa"/>
            <w:vAlign w:val="center"/>
          </w:tcPr>
          <w:p w14:paraId="49640A80" w14:textId="77777777" w:rsidR="007A2FCB" w:rsidRPr="00267BCC" w:rsidRDefault="007A2FCB" w:rsidP="00267BCC">
            <w:pPr>
              <w:jc w:val="center"/>
              <w:rPr>
                <w:sz w:val="22"/>
                <w:szCs w:val="22"/>
                <w:lang w:val="lv-LV"/>
              </w:rPr>
            </w:pPr>
            <w:r w:rsidRPr="00267BCC">
              <w:rPr>
                <w:sz w:val="22"/>
                <w:szCs w:val="22"/>
                <w:lang w:val="lv-LV"/>
              </w:rPr>
              <w:t>35</w:t>
            </w:r>
          </w:p>
        </w:tc>
        <w:tc>
          <w:tcPr>
            <w:tcW w:w="1232" w:type="dxa"/>
            <w:vAlign w:val="center"/>
          </w:tcPr>
          <w:p w14:paraId="49640A81" w14:textId="77777777" w:rsidR="007A2FCB" w:rsidRPr="00267BCC" w:rsidRDefault="007A2FCB" w:rsidP="00267BCC">
            <w:pPr>
              <w:jc w:val="center"/>
              <w:rPr>
                <w:sz w:val="22"/>
                <w:szCs w:val="22"/>
                <w:lang w:val="lv-LV"/>
              </w:rPr>
            </w:pPr>
            <w:r w:rsidRPr="00267BCC">
              <w:rPr>
                <w:sz w:val="22"/>
                <w:szCs w:val="22"/>
                <w:lang w:val="lv-LV"/>
              </w:rPr>
              <w:t>63</w:t>
            </w:r>
          </w:p>
        </w:tc>
        <w:tc>
          <w:tcPr>
            <w:tcW w:w="1228" w:type="dxa"/>
            <w:vAlign w:val="center"/>
          </w:tcPr>
          <w:p w14:paraId="49640A82" w14:textId="77777777" w:rsidR="007A2FCB" w:rsidRPr="00267BCC" w:rsidRDefault="007A2FCB" w:rsidP="00267BCC">
            <w:pPr>
              <w:jc w:val="center"/>
              <w:rPr>
                <w:sz w:val="22"/>
                <w:szCs w:val="22"/>
                <w:lang w:val="lv-LV"/>
              </w:rPr>
            </w:pPr>
            <w:r w:rsidRPr="00267BCC">
              <w:rPr>
                <w:sz w:val="22"/>
                <w:szCs w:val="22"/>
                <w:lang w:val="lv-LV"/>
              </w:rPr>
              <w:t>18</w:t>
            </w:r>
          </w:p>
        </w:tc>
      </w:tr>
      <w:tr w:rsidR="007A2FCB" w:rsidRPr="00267BCC" w14:paraId="49640A88" w14:textId="77777777" w:rsidTr="007A2FCB">
        <w:tc>
          <w:tcPr>
            <w:tcW w:w="5236" w:type="dxa"/>
          </w:tcPr>
          <w:p w14:paraId="49640A84" w14:textId="77777777" w:rsidR="007A2FCB" w:rsidRPr="00267BCC" w:rsidRDefault="007A2FCB" w:rsidP="00267BCC">
            <w:pPr>
              <w:jc w:val="both"/>
              <w:rPr>
                <w:sz w:val="22"/>
                <w:szCs w:val="22"/>
                <w:lang w:val="lv-LV"/>
              </w:rPr>
            </w:pPr>
            <w:r w:rsidRPr="00267BCC">
              <w:rPr>
                <w:sz w:val="22"/>
                <w:szCs w:val="22"/>
                <w:lang w:val="lv-LV"/>
              </w:rPr>
              <w:t>Informācijas un telekomunikācijas tehnoloģiju infrastruktūra</w:t>
            </w:r>
          </w:p>
        </w:tc>
        <w:tc>
          <w:tcPr>
            <w:tcW w:w="1134" w:type="dxa"/>
            <w:vAlign w:val="center"/>
          </w:tcPr>
          <w:p w14:paraId="49640A85" w14:textId="77777777" w:rsidR="007A2FCB" w:rsidRPr="00267BCC" w:rsidRDefault="007A2FCB" w:rsidP="00267BCC">
            <w:pPr>
              <w:jc w:val="center"/>
              <w:rPr>
                <w:sz w:val="22"/>
                <w:szCs w:val="22"/>
                <w:lang w:val="lv-LV"/>
              </w:rPr>
            </w:pPr>
            <w:r w:rsidRPr="00267BCC">
              <w:rPr>
                <w:sz w:val="22"/>
                <w:szCs w:val="22"/>
                <w:lang w:val="lv-LV"/>
              </w:rPr>
              <w:t>38</w:t>
            </w:r>
          </w:p>
        </w:tc>
        <w:tc>
          <w:tcPr>
            <w:tcW w:w="1232" w:type="dxa"/>
            <w:vAlign w:val="center"/>
          </w:tcPr>
          <w:p w14:paraId="49640A86" w14:textId="77777777" w:rsidR="007A2FCB" w:rsidRPr="00267BCC" w:rsidRDefault="007A2FCB" w:rsidP="00267BCC">
            <w:pPr>
              <w:jc w:val="center"/>
              <w:rPr>
                <w:sz w:val="22"/>
                <w:szCs w:val="22"/>
                <w:lang w:val="lv-LV"/>
              </w:rPr>
            </w:pPr>
            <w:r w:rsidRPr="00267BCC">
              <w:rPr>
                <w:sz w:val="22"/>
                <w:szCs w:val="22"/>
                <w:lang w:val="lv-LV"/>
              </w:rPr>
              <w:t>36</w:t>
            </w:r>
          </w:p>
        </w:tc>
        <w:tc>
          <w:tcPr>
            <w:tcW w:w="1228" w:type="dxa"/>
            <w:vAlign w:val="center"/>
          </w:tcPr>
          <w:p w14:paraId="49640A87" w14:textId="77777777" w:rsidR="007A2FCB" w:rsidRPr="00267BCC" w:rsidRDefault="007A2FCB" w:rsidP="00267BCC">
            <w:pPr>
              <w:jc w:val="center"/>
              <w:rPr>
                <w:sz w:val="22"/>
                <w:szCs w:val="22"/>
                <w:lang w:val="lv-LV"/>
              </w:rPr>
            </w:pPr>
            <w:r w:rsidRPr="00267BCC">
              <w:rPr>
                <w:sz w:val="22"/>
                <w:szCs w:val="22"/>
                <w:lang w:val="lv-LV"/>
              </w:rPr>
              <w:t>25</w:t>
            </w:r>
          </w:p>
        </w:tc>
      </w:tr>
      <w:tr w:rsidR="007A2FCB" w:rsidRPr="00267BCC" w14:paraId="49640A8D" w14:textId="77777777" w:rsidTr="007A2FCB">
        <w:tc>
          <w:tcPr>
            <w:tcW w:w="5236" w:type="dxa"/>
          </w:tcPr>
          <w:p w14:paraId="49640A89" w14:textId="77777777" w:rsidR="007A2FCB" w:rsidRPr="00267BCC" w:rsidRDefault="007A2FCB" w:rsidP="00267BCC">
            <w:pPr>
              <w:jc w:val="both"/>
              <w:rPr>
                <w:sz w:val="22"/>
                <w:szCs w:val="22"/>
                <w:lang w:val="lv-LV"/>
              </w:rPr>
            </w:pPr>
            <w:r w:rsidRPr="00267BCC">
              <w:rPr>
                <w:sz w:val="22"/>
                <w:szCs w:val="22"/>
                <w:lang w:val="lv-LV"/>
              </w:rPr>
              <w:t>Cenu konkurētspēja tūrisma industrijā</w:t>
            </w:r>
          </w:p>
        </w:tc>
        <w:tc>
          <w:tcPr>
            <w:tcW w:w="1134" w:type="dxa"/>
            <w:vAlign w:val="center"/>
          </w:tcPr>
          <w:p w14:paraId="49640A8A" w14:textId="77777777" w:rsidR="007A2FCB" w:rsidRPr="00267BCC" w:rsidRDefault="007A2FCB" w:rsidP="00267BCC">
            <w:pPr>
              <w:jc w:val="center"/>
              <w:rPr>
                <w:sz w:val="22"/>
                <w:szCs w:val="22"/>
                <w:lang w:val="lv-LV"/>
              </w:rPr>
            </w:pPr>
            <w:r w:rsidRPr="00267BCC">
              <w:rPr>
                <w:sz w:val="22"/>
                <w:szCs w:val="22"/>
                <w:lang w:val="lv-LV"/>
              </w:rPr>
              <w:t>57</w:t>
            </w:r>
          </w:p>
        </w:tc>
        <w:tc>
          <w:tcPr>
            <w:tcW w:w="1232" w:type="dxa"/>
            <w:vAlign w:val="center"/>
          </w:tcPr>
          <w:p w14:paraId="49640A8B" w14:textId="77777777" w:rsidR="007A2FCB" w:rsidRPr="00267BCC" w:rsidRDefault="007A2FCB" w:rsidP="00267BCC">
            <w:pPr>
              <w:jc w:val="center"/>
              <w:rPr>
                <w:sz w:val="22"/>
                <w:szCs w:val="22"/>
                <w:lang w:val="lv-LV"/>
              </w:rPr>
            </w:pPr>
            <w:r w:rsidRPr="00267BCC">
              <w:rPr>
                <w:sz w:val="22"/>
                <w:szCs w:val="22"/>
                <w:lang w:val="lv-LV"/>
              </w:rPr>
              <w:t>58</w:t>
            </w:r>
          </w:p>
        </w:tc>
        <w:tc>
          <w:tcPr>
            <w:tcW w:w="1228" w:type="dxa"/>
            <w:vAlign w:val="center"/>
          </w:tcPr>
          <w:p w14:paraId="49640A8C" w14:textId="77777777" w:rsidR="007A2FCB" w:rsidRPr="00267BCC" w:rsidRDefault="007A2FCB" w:rsidP="00267BCC">
            <w:pPr>
              <w:jc w:val="center"/>
              <w:rPr>
                <w:sz w:val="22"/>
                <w:szCs w:val="22"/>
                <w:lang w:val="lv-LV"/>
              </w:rPr>
            </w:pPr>
            <w:r w:rsidRPr="00267BCC">
              <w:rPr>
                <w:sz w:val="22"/>
                <w:szCs w:val="22"/>
                <w:lang w:val="lv-LV"/>
              </w:rPr>
              <w:t>44</w:t>
            </w:r>
          </w:p>
        </w:tc>
      </w:tr>
      <w:tr w:rsidR="007A2FCB" w:rsidRPr="00267BCC" w14:paraId="49640A92" w14:textId="77777777" w:rsidTr="007A2FCB">
        <w:tc>
          <w:tcPr>
            <w:tcW w:w="5236" w:type="dxa"/>
          </w:tcPr>
          <w:p w14:paraId="49640A8E" w14:textId="77777777" w:rsidR="007A2FCB" w:rsidRPr="00267BCC" w:rsidRDefault="007A2FCB" w:rsidP="00267BCC">
            <w:pPr>
              <w:jc w:val="both"/>
              <w:rPr>
                <w:b/>
                <w:sz w:val="22"/>
                <w:szCs w:val="22"/>
                <w:lang w:val="lv-LV"/>
              </w:rPr>
            </w:pPr>
            <w:r w:rsidRPr="00267BCC">
              <w:rPr>
                <w:b/>
                <w:sz w:val="22"/>
                <w:szCs w:val="22"/>
                <w:lang w:val="lv-LV"/>
              </w:rPr>
              <w:t>Cilvēkresursi, kultūras un dabas resursi tūrisma nozarē</w:t>
            </w:r>
          </w:p>
        </w:tc>
        <w:tc>
          <w:tcPr>
            <w:tcW w:w="1134" w:type="dxa"/>
            <w:vAlign w:val="center"/>
          </w:tcPr>
          <w:p w14:paraId="49640A8F" w14:textId="77777777" w:rsidR="007A2FCB" w:rsidRPr="00267BCC" w:rsidRDefault="007A2FCB" w:rsidP="00267BCC">
            <w:pPr>
              <w:jc w:val="center"/>
              <w:rPr>
                <w:b/>
                <w:sz w:val="22"/>
                <w:szCs w:val="22"/>
                <w:lang w:val="lv-LV"/>
              </w:rPr>
            </w:pPr>
            <w:r w:rsidRPr="00267BCC">
              <w:rPr>
                <w:b/>
                <w:sz w:val="22"/>
                <w:szCs w:val="22"/>
                <w:lang w:val="lv-LV"/>
              </w:rPr>
              <w:t>77</w:t>
            </w:r>
          </w:p>
        </w:tc>
        <w:tc>
          <w:tcPr>
            <w:tcW w:w="1232" w:type="dxa"/>
            <w:vAlign w:val="center"/>
          </w:tcPr>
          <w:p w14:paraId="49640A90" w14:textId="77777777" w:rsidR="007A2FCB" w:rsidRPr="00267BCC" w:rsidRDefault="007A2FCB" w:rsidP="00267BCC">
            <w:pPr>
              <w:jc w:val="center"/>
              <w:rPr>
                <w:b/>
                <w:sz w:val="22"/>
                <w:szCs w:val="22"/>
                <w:lang w:val="lv-LV"/>
              </w:rPr>
            </w:pPr>
            <w:r w:rsidRPr="00267BCC">
              <w:rPr>
                <w:b/>
                <w:sz w:val="22"/>
                <w:szCs w:val="22"/>
                <w:lang w:val="lv-LV"/>
              </w:rPr>
              <w:t>61</w:t>
            </w:r>
          </w:p>
        </w:tc>
        <w:tc>
          <w:tcPr>
            <w:tcW w:w="1228" w:type="dxa"/>
            <w:vAlign w:val="center"/>
          </w:tcPr>
          <w:p w14:paraId="49640A91" w14:textId="77777777" w:rsidR="007A2FCB" w:rsidRPr="00267BCC" w:rsidRDefault="007A2FCB" w:rsidP="00267BCC">
            <w:pPr>
              <w:jc w:val="center"/>
              <w:rPr>
                <w:b/>
                <w:sz w:val="22"/>
                <w:szCs w:val="22"/>
                <w:lang w:val="lv-LV"/>
              </w:rPr>
            </w:pPr>
            <w:r w:rsidRPr="00267BCC">
              <w:rPr>
                <w:b/>
                <w:sz w:val="22"/>
                <w:szCs w:val="22"/>
                <w:lang w:val="lv-LV"/>
              </w:rPr>
              <w:t>51</w:t>
            </w:r>
          </w:p>
        </w:tc>
      </w:tr>
      <w:tr w:rsidR="007A2FCB" w:rsidRPr="00267BCC" w14:paraId="49640A97" w14:textId="77777777" w:rsidTr="007A2FCB">
        <w:tc>
          <w:tcPr>
            <w:tcW w:w="5236" w:type="dxa"/>
          </w:tcPr>
          <w:p w14:paraId="49640A93" w14:textId="77777777" w:rsidR="007A2FCB" w:rsidRPr="00267BCC" w:rsidRDefault="007A2FCB" w:rsidP="00267BCC">
            <w:pPr>
              <w:jc w:val="both"/>
              <w:rPr>
                <w:sz w:val="22"/>
                <w:szCs w:val="22"/>
                <w:lang w:val="lv-LV"/>
              </w:rPr>
            </w:pPr>
            <w:r w:rsidRPr="00267BCC">
              <w:rPr>
                <w:sz w:val="22"/>
                <w:szCs w:val="22"/>
                <w:lang w:val="lv-LV"/>
              </w:rPr>
              <w:t>Cilvēkresursi</w:t>
            </w:r>
          </w:p>
        </w:tc>
        <w:tc>
          <w:tcPr>
            <w:tcW w:w="1134" w:type="dxa"/>
            <w:vAlign w:val="center"/>
          </w:tcPr>
          <w:p w14:paraId="49640A94" w14:textId="77777777" w:rsidR="007A2FCB" w:rsidRPr="00267BCC" w:rsidRDefault="007A2FCB" w:rsidP="00267BCC">
            <w:pPr>
              <w:jc w:val="center"/>
              <w:rPr>
                <w:sz w:val="22"/>
                <w:szCs w:val="22"/>
                <w:lang w:val="lv-LV"/>
              </w:rPr>
            </w:pPr>
            <w:r w:rsidRPr="00267BCC">
              <w:rPr>
                <w:sz w:val="22"/>
                <w:szCs w:val="22"/>
                <w:lang w:val="lv-LV"/>
              </w:rPr>
              <w:t>46</w:t>
            </w:r>
          </w:p>
        </w:tc>
        <w:tc>
          <w:tcPr>
            <w:tcW w:w="1232" w:type="dxa"/>
            <w:vAlign w:val="center"/>
          </w:tcPr>
          <w:p w14:paraId="49640A95" w14:textId="77777777" w:rsidR="007A2FCB" w:rsidRPr="00267BCC" w:rsidRDefault="007A2FCB" w:rsidP="00267BCC">
            <w:pPr>
              <w:jc w:val="center"/>
              <w:rPr>
                <w:sz w:val="22"/>
                <w:szCs w:val="22"/>
                <w:lang w:val="lv-LV"/>
              </w:rPr>
            </w:pPr>
            <w:r w:rsidRPr="00267BCC">
              <w:rPr>
                <w:sz w:val="22"/>
                <w:szCs w:val="22"/>
                <w:lang w:val="lv-LV"/>
              </w:rPr>
              <w:t>63</w:t>
            </w:r>
          </w:p>
        </w:tc>
        <w:tc>
          <w:tcPr>
            <w:tcW w:w="1228" w:type="dxa"/>
            <w:vAlign w:val="center"/>
          </w:tcPr>
          <w:p w14:paraId="49640A96" w14:textId="77777777" w:rsidR="007A2FCB" w:rsidRPr="00267BCC" w:rsidRDefault="007A2FCB" w:rsidP="00267BCC">
            <w:pPr>
              <w:jc w:val="center"/>
              <w:rPr>
                <w:sz w:val="22"/>
                <w:szCs w:val="22"/>
                <w:lang w:val="lv-LV"/>
              </w:rPr>
            </w:pPr>
            <w:r w:rsidRPr="00267BCC">
              <w:rPr>
                <w:sz w:val="22"/>
                <w:szCs w:val="22"/>
                <w:lang w:val="lv-LV"/>
              </w:rPr>
              <w:t>37</w:t>
            </w:r>
          </w:p>
        </w:tc>
      </w:tr>
      <w:tr w:rsidR="007A2FCB" w:rsidRPr="00267BCC" w14:paraId="49640A9C" w14:textId="77777777" w:rsidTr="007A2FCB">
        <w:tc>
          <w:tcPr>
            <w:tcW w:w="5236" w:type="dxa"/>
          </w:tcPr>
          <w:p w14:paraId="49640A98" w14:textId="77777777" w:rsidR="007A2FCB" w:rsidRPr="00267BCC" w:rsidRDefault="007A2FCB" w:rsidP="00267BCC">
            <w:pPr>
              <w:pStyle w:val="ListParagraph"/>
              <w:numPr>
                <w:ilvl w:val="0"/>
                <w:numId w:val="18"/>
              </w:numPr>
              <w:spacing w:line="240" w:lineRule="auto"/>
              <w:contextualSpacing w:val="0"/>
              <w:jc w:val="both"/>
              <w:rPr>
                <w:rFonts w:ascii="Times New Roman" w:hAnsi="Times New Roman"/>
                <w:i/>
                <w:lang w:val="lv-LV"/>
              </w:rPr>
            </w:pPr>
            <w:r w:rsidRPr="00267BCC">
              <w:rPr>
                <w:rFonts w:ascii="Times New Roman" w:hAnsi="Times New Roman"/>
                <w:i/>
                <w:lang w:val="lv-LV"/>
              </w:rPr>
              <w:t>izglītība</w:t>
            </w:r>
          </w:p>
        </w:tc>
        <w:tc>
          <w:tcPr>
            <w:tcW w:w="1134" w:type="dxa"/>
            <w:vAlign w:val="center"/>
          </w:tcPr>
          <w:p w14:paraId="49640A99" w14:textId="77777777" w:rsidR="007A2FCB" w:rsidRPr="00267BCC" w:rsidRDefault="007A2FCB" w:rsidP="00267BCC">
            <w:pPr>
              <w:jc w:val="center"/>
              <w:rPr>
                <w:i/>
                <w:sz w:val="22"/>
                <w:szCs w:val="22"/>
                <w:lang w:val="lv-LV"/>
              </w:rPr>
            </w:pPr>
            <w:r w:rsidRPr="00267BCC">
              <w:rPr>
                <w:i/>
                <w:sz w:val="22"/>
                <w:szCs w:val="22"/>
                <w:lang w:val="lv-LV"/>
              </w:rPr>
              <w:t>50</w:t>
            </w:r>
          </w:p>
        </w:tc>
        <w:tc>
          <w:tcPr>
            <w:tcW w:w="1232" w:type="dxa"/>
            <w:vAlign w:val="center"/>
          </w:tcPr>
          <w:p w14:paraId="49640A9A" w14:textId="77777777" w:rsidR="007A2FCB" w:rsidRPr="00267BCC" w:rsidRDefault="007A2FCB" w:rsidP="00267BCC">
            <w:pPr>
              <w:jc w:val="center"/>
              <w:rPr>
                <w:i/>
                <w:sz w:val="22"/>
                <w:szCs w:val="22"/>
                <w:lang w:val="lv-LV"/>
              </w:rPr>
            </w:pPr>
            <w:r w:rsidRPr="00267BCC">
              <w:rPr>
                <w:i/>
                <w:sz w:val="22"/>
                <w:szCs w:val="22"/>
                <w:lang w:val="lv-LV"/>
              </w:rPr>
              <w:t>40</w:t>
            </w:r>
          </w:p>
        </w:tc>
        <w:tc>
          <w:tcPr>
            <w:tcW w:w="1228" w:type="dxa"/>
            <w:vAlign w:val="center"/>
          </w:tcPr>
          <w:p w14:paraId="49640A9B" w14:textId="77777777" w:rsidR="007A2FCB" w:rsidRPr="00267BCC" w:rsidRDefault="007A2FCB" w:rsidP="00267BCC">
            <w:pPr>
              <w:jc w:val="center"/>
              <w:rPr>
                <w:i/>
                <w:sz w:val="22"/>
                <w:szCs w:val="22"/>
                <w:lang w:val="lv-LV"/>
              </w:rPr>
            </w:pPr>
            <w:r w:rsidRPr="00267BCC">
              <w:rPr>
                <w:i/>
                <w:sz w:val="22"/>
                <w:szCs w:val="22"/>
                <w:lang w:val="lv-LV"/>
              </w:rPr>
              <w:t>35</w:t>
            </w:r>
          </w:p>
        </w:tc>
      </w:tr>
      <w:tr w:rsidR="007A2FCB" w:rsidRPr="00267BCC" w14:paraId="49640AA1" w14:textId="77777777" w:rsidTr="007A2FCB">
        <w:tc>
          <w:tcPr>
            <w:tcW w:w="5236" w:type="dxa"/>
          </w:tcPr>
          <w:p w14:paraId="49640A9D" w14:textId="77777777" w:rsidR="007A2FCB" w:rsidRPr="00267BCC" w:rsidRDefault="007A2FCB" w:rsidP="00267BCC">
            <w:pPr>
              <w:pStyle w:val="ListParagraph"/>
              <w:numPr>
                <w:ilvl w:val="0"/>
                <w:numId w:val="18"/>
              </w:numPr>
              <w:spacing w:line="240" w:lineRule="auto"/>
              <w:contextualSpacing w:val="0"/>
              <w:jc w:val="both"/>
              <w:rPr>
                <w:rFonts w:ascii="Times New Roman" w:hAnsi="Times New Roman"/>
                <w:i/>
                <w:lang w:val="lv-LV"/>
              </w:rPr>
            </w:pPr>
            <w:r w:rsidRPr="00267BCC">
              <w:rPr>
                <w:rFonts w:ascii="Times New Roman" w:hAnsi="Times New Roman"/>
                <w:i/>
                <w:lang w:val="lv-LV"/>
              </w:rPr>
              <w:t>kvalificētā darbaspēka pieejamība</w:t>
            </w:r>
          </w:p>
        </w:tc>
        <w:tc>
          <w:tcPr>
            <w:tcW w:w="1134" w:type="dxa"/>
            <w:vAlign w:val="center"/>
          </w:tcPr>
          <w:p w14:paraId="49640A9E" w14:textId="77777777" w:rsidR="007A2FCB" w:rsidRPr="00267BCC" w:rsidRDefault="007A2FCB" w:rsidP="00267BCC">
            <w:pPr>
              <w:jc w:val="center"/>
              <w:rPr>
                <w:i/>
                <w:sz w:val="22"/>
                <w:szCs w:val="22"/>
                <w:lang w:val="lv-LV"/>
              </w:rPr>
            </w:pPr>
            <w:r w:rsidRPr="00267BCC">
              <w:rPr>
                <w:i/>
                <w:sz w:val="22"/>
                <w:szCs w:val="22"/>
                <w:lang w:val="lv-LV"/>
              </w:rPr>
              <w:t>55</w:t>
            </w:r>
          </w:p>
        </w:tc>
        <w:tc>
          <w:tcPr>
            <w:tcW w:w="1232" w:type="dxa"/>
            <w:vAlign w:val="center"/>
          </w:tcPr>
          <w:p w14:paraId="49640A9F" w14:textId="77777777" w:rsidR="007A2FCB" w:rsidRPr="00267BCC" w:rsidRDefault="007A2FCB" w:rsidP="00267BCC">
            <w:pPr>
              <w:jc w:val="center"/>
              <w:rPr>
                <w:i/>
                <w:sz w:val="22"/>
                <w:szCs w:val="22"/>
                <w:lang w:val="lv-LV"/>
              </w:rPr>
            </w:pPr>
            <w:r w:rsidRPr="00267BCC">
              <w:rPr>
                <w:i/>
                <w:sz w:val="22"/>
                <w:szCs w:val="22"/>
                <w:lang w:val="lv-LV"/>
              </w:rPr>
              <w:t>95</w:t>
            </w:r>
          </w:p>
        </w:tc>
        <w:tc>
          <w:tcPr>
            <w:tcW w:w="1228" w:type="dxa"/>
            <w:vAlign w:val="center"/>
          </w:tcPr>
          <w:p w14:paraId="49640AA0" w14:textId="77777777" w:rsidR="007A2FCB" w:rsidRPr="00267BCC" w:rsidRDefault="007A2FCB" w:rsidP="00267BCC">
            <w:pPr>
              <w:jc w:val="center"/>
              <w:rPr>
                <w:i/>
                <w:sz w:val="22"/>
                <w:szCs w:val="22"/>
                <w:lang w:val="lv-LV"/>
              </w:rPr>
            </w:pPr>
            <w:r w:rsidRPr="00267BCC">
              <w:rPr>
                <w:i/>
                <w:sz w:val="22"/>
                <w:szCs w:val="22"/>
                <w:lang w:val="lv-LV"/>
              </w:rPr>
              <w:t>49</w:t>
            </w:r>
          </w:p>
        </w:tc>
      </w:tr>
      <w:tr w:rsidR="007A2FCB" w:rsidRPr="00267BCC" w14:paraId="49640AA6" w14:textId="77777777" w:rsidTr="007A2FCB">
        <w:tc>
          <w:tcPr>
            <w:tcW w:w="5236" w:type="dxa"/>
          </w:tcPr>
          <w:p w14:paraId="49640AA2" w14:textId="77777777" w:rsidR="007A2FCB" w:rsidRPr="00267BCC" w:rsidRDefault="007A2FCB" w:rsidP="00267BCC">
            <w:pPr>
              <w:jc w:val="both"/>
              <w:rPr>
                <w:sz w:val="22"/>
                <w:szCs w:val="22"/>
                <w:lang w:val="lv-LV"/>
              </w:rPr>
            </w:pPr>
            <w:r w:rsidRPr="00267BCC">
              <w:rPr>
                <w:sz w:val="22"/>
                <w:szCs w:val="22"/>
                <w:lang w:val="lv-LV"/>
              </w:rPr>
              <w:t>Patika pret ceļošanu</w:t>
            </w:r>
          </w:p>
        </w:tc>
        <w:tc>
          <w:tcPr>
            <w:tcW w:w="1134" w:type="dxa"/>
            <w:vAlign w:val="center"/>
          </w:tcPr>
          <w:p w14:paraId="49640AA3" w14:textId="77777777" w:rsidR="007A2FCB" w:rsidRPr="00267BCC" w:rsidRDefault="007A2FCB" w:rsidP="00267BCC">
            <w:pPr>
              <w:jc w:val="center"/>
              <w:rPr>
                <w:sz w:val="22"/>
                <w:szCs w:val="22"/>
                <w:lang w:val="lv-LV"/>
              </w:rPr>
            </w:pPr>
            <w:r w:rsidRPr="00267BCC">
              <w:rPr>
                <w:sz w:val="22"/>
                <w:szCs w:val="22"/>
                <w:lang w:val="lv-LV"/>
              </w:rPr>
              <w:t>113</w:t>
            </w:r>
          </w:p>
        </w:tc>
        <w:tc>
          <w:tcPr>
            <w:tcW w:w="1232" w:type="dxa"/>
            <w:vAlign w:val="center"/>
          </w:tcPr>
          <w:p w14:paraId="49640AA4" w14:textId="77777777" w:rsidR="007A2FCB" w:rsidRPr="00267BCC" w:rsidRDefault="007A2FCB" w:rsidP="00267BCC">
            <w:pPr>
              <w:jc w:val="center"/>
              <w:rPr>
                <w:sz w:val="22"/>
                <w:szCs w:val="22"/>
                <w:lang w:val="lv-LV"/>
              </w:rPr>
            </w:pPr>
            <w:r w:rsidRPr="00267BCC">
              <w:rPr>
                <w:sz w:val="22"/>
                <w:szCs w:val="22"/>
                <w:lang w:val="lv-LV"/>
              </w:rPr>
              <w:t>78</w:t>
            </w:r>
          </w:p>
        </w:tc>
        <w:tc>
          <w:tcPr>
            <w:tcW w:w="1228" w:type="dxa"/>
            <w:vAlign w:val="center"/>
          </w:tcPr>
          <w:p w14:paraId="49640AA5" w14:textId="77777777" w:rsidR="007A2FCB" w:rsidRPr="00267BCC" w:rsidRDefault="007A2FCB" w:rsidP="00267BCC">
            <w:pPr>
              <w:jc w:val="center"/>
              <w:rPr>
                <w:sz w:val="22"/>
                <w:szCs w:val="22"/>
                <w:lang w:val="lv-LV"/>
              </w:rPr>
            </w:pPr>
            <w:r w:rsidRPr="00267BCC">
              <w:rPr>
                <w:sz w:val="22"/>
                <w:szCs w:val="22"/>
                <w:lang w:val="lv-LV"/>
              </w:rPr>
              <w:t>23</w:t>
            </w:r>
          </w:p>
        </w:tc>
      </w:tr>
      <w:tr w:rsidR="007A2FCB" w:rsidRPr="00267BCC" w14:paraId="49640AAB" w14:textId="77777777" w:rsidTr="007A2FCB">
        <w:tc>
          <w:tcPr>
            <w:tcW w:w="5236" w:type="dxa"/>
          </w:tcPr>
          <w:p w14:paraId="49640AA7" w14:textId="77777777" w:rsidR="007A2FCB" w:rsidRPr="00267BCC" w:rsidRDefault="007A2FCB" w:rsidP="00267BCC">
            <w:pPr>
              <w:jc w:val="both"/>
              <w:rPr>
                <w:sz w:val="22"/>
                <w:szCs w:val="22"/>
                <w:lang w:val="lv-LV"/>
              </w:rPr>
            </w:pPr>
            <w:r w:rsidRPr="00267BCC">
              <w:rPr>
                <w:sz w:val="22"/>
                <w:szCs w:val="22"/>
                <w:lang w:val="lv-LV"/>
              </w:rPr>
              <w:t>Dabas resursi</w:t>
            </w:r>
          </w:p>
        </w:tc>
        <w:tc>
          <w:tcPr>
            <w:tcW w:w="1134" w:type="dxa"/>
            <w:vAlign w:val="center"/>
          </w:tcPr>
          <w:p w14:paraId="49640AA8" w14:textId="77777777" w:rsidR="007A2FCB" w:rsidRPr="00267BCC" w:rsidRDefault="007A2FCB" w:rsidP="00267BCC">
            <w:pPr>
              <w:jc w:val="center"/>
              <w:rPr>
                <w:sz w:val="22"/>
                <w:szCs w:val="22"/>
                <w:lang w:val="lv-LV"/>
              </w:rPr>
            </w:pPr>
            <w:r w:rsidRPr="00267BCC">
              <w:rPr>
                <w:sz w:val="22"/>
                <w:szCs w:val="22"/>
                <w:lang w:val="lv-LV"/>
              </w:rPr>
              <w:t>70</w:t>
            </w:r>
          </w:p>
        </w:tc>
        <w:tc>
          <w:tcPr>
            <w:tcW w:w="1232" w:type="dxa"/>
            <w:vAlign w:val="center"/>
          </w:tcPr>
          <w:p w14:paraId="49640AA9" w14:textId="77777777" w:rsidR="007A2FCB" w:rsidRPr="00267BCC" w:rsidRDefault="007A2FCB" w:rsidP="00267BCC">
            <w:pPr>
              <w:jc w:val="center"/>
              <w:rPr>
                <w:sz w:val="22"/>
                <w:szCs w:val="22"/>
                <w:lang w:val="lv-LV"/>
              </w:rPr>
            </w:pPr>
            <w:r w:rsidRPr="00267BCC">
              <w:rPr>
                <w:sz w:val="22"/>
                <w:szCs w:val="22"/>
                <w:lang w:val="lv-LV"/>
              </w:rPr>
              <w:t>73</w:t>
            </w:r>
          </w:p>
        </w:tc>
        <w:tc>
          <w:tcPr>
            <w:tcW w:w="1228" w:type="dxa"/>
            <w:vAlign w:val="center"/>
          </w:tcPr>
          <w:p w14:paraId="49640AAA" w14:textId="77777777" w:rsidR="007A2FCB" w:rsidRPr="00267BCC" w:rsidRDefault="007A2FCB" w:rsidP="00267BCC">
            <w:pPr>
              <w:jc w:val="center"/>
              <w:rPr>
                <w:sz w:val="22"/>
                <w:szCs w:val="22"/>
                <w:lang w:val="lv-LV"/>
              </w:rPr>
            </w:pPr>
            <w:r w:rsidRPr="00267BCC">
              <w:rPr>
                <w:sz w:val="22"/>
                <w:szCs w:val="22"/>
                <w:lang w:val="lv-LV"/>
              </w:rPr>
              <w:t>57</w:t>
            </w:r>
          </w:p>
        </w:tc>
      </w:tr>
      <w:tr w:rsidR="007A2FCB" w:rsidRPr="00267BCC" w14:paraId="49640AB0" w14:textId="77777777" w:rsidTr="007A2FCB">
        <w:tc>
          <w:tcPr>
            <w:tcW w:w="5236" w:type="dxa"/>
          </w:tcPr>
          <w:p w14:paraId="49640AAC" w14:textId="77777777" w:rsidR="007A2FCB" w:rsidRPr="00267BCC" w:rsidRDefault="007A2FCB" w:rsidP="00267BCC">
            <w:pPr>
              <w:jc w:val="both"/>
              <w:rPr>
                <w:sz w:val="22"/>
                <w:szCs w:val="22"/>
                <w:lang w:val="lv-LV"/>
              </w:rPr>
            </w:pPr>
            <w:r w:rsidRPr="00267BCC">
              <w:rPr>
                <w:sz w:val="22"/>
                <w:szCs w:val="22"/>
                <w:lang w:val="lv-LV"/>
              </w:rPr>
              <w:t>Kultūras resursi</w:t>
            </w:r>
          </w:p>
        </w:tc>
        <w:tc>
          <w:tcPr>
            <w:tcW w:w="1134" w:type="dxa"/>
            <w:vAlign w:val="center"/>
          </w:tcPr>
          <w:p w14:paraId="49640AAD" w14:textId="77777777" w:rsidR="007A2FCB" w:rsidRPr="00267BCC" w:rsidRDefault="007A2FCB" w:rsidP="00267BCC">
            <w:pPr>
              <w:jc w:val="center"/>
              <w:rPr>
                <w:sz w:val="22"/>
                <w:szCs w:val="22"/>
                <w:lang w:val="lv-LV"/>
              </w:rPr>
            </w:pPr>
            <w:r w:rsidRPr="00267BCC">
              <w:rPr>
                <w:sz w:val="22"/>
                <w:szCs w:val="22"/>
                <w:lang w:val="lv-LV"/>
              </w:rPr>
              <w:t>73</w:t>
            </w:r>
          </w:p>
        </w:tc>
        <w:tc>
          <w:tcPr>
            <w:tcW w:w="1232" w:type="dxa"/>
            <w:vAlign w:val="center"/>
          </w:tcPr>
          <w:p w14:paraId="49640AAE" w14:textId="77777777" w:rsidR="007A2FCB" w:rsidRPr="00267BCC" w:rsidRDefault="007A2FCB" w:rsidP="00267BCC">
            <w:pPr>
              <w:jc w:val="center"/>
              <w:rPr>
                <w:sz w:val="22"/>
                <w:szCs w:val="22"/>
                <w:lang w:val="lv-LV"/>
              </w:rPr>
            </w:pPr>
            <w:r w:rsidRPr="00267BCC">
              <w:rPr>
                <w:sz w:val="22"/>
                <w:szCs w:val="22"/>
                <w:lang w:val="lv-LV"/>
              </w:rPr>
              <w:t>51</w:t>
            </w:r>
          </w:p>
        </w:tc>
        <w:tc>
          <w:tcPr>
            <w:tcW w:w="1228" w:type="dxa"/>
            <w:vAlign w:val="center"/>
          </w:tcPr>
          <w:p w14:paraId="49640AAF" w14:textId="77777777" w:rsidR="007A2FCB" w:rsidRPr="00267BCC" w:rsidRDefault="007A2FCB" w:rsidP="00267BCC">
            <w:pPr>
              <w:jc w:val="center"/>
              <w:rPr>
                <w:sz w:val="22"/>
                <w:szCs w:val="22"/>
                <w:lang w:val="lv-LV"/>
              </w:rPr>
            </w:pPr>
            <w:r w:rsidRPr="00267BCC">
              <w:rPr>
                <w:sz w:val="22"/>
                <w:szCs w:val="22"/>
                <w:lang w:val="lv-LV"/>
              </w:rPr>
              <w:t>63</w:t>
            </w:r>
          </w:p>
        </w:tc>
      </w:tr>
    </w:tbl>
    <w:p w14:paraId="49640AB1" w14:textId="77777777" w:rsidR="007A2FCB" w:rsidRPr="00267BCC" w:rsidRDefault="007A2FCB" w:rsidP="00267BCC">
      <w:pPr>
        <w:jc w:val="both"/>
        <w:rPr>
          <w:sz w:val="20"/>
          <w:szCs w:val="20"/>
          <w:lang w:val="lv-LV"/>
        </w:rPr>
      </w:pPr>
      <w:r w:rsidRPr="00267BCC">
        <w:rPr>
          <w:sz w:val="20"/>
          <w:szCs w:val="20"/>
          <w:lang w:val="lv-LV"/>
        </w:rPr>
        <w:t>Datu avots: Pasaules Ekonomikas forums (</w:t>
      </w:r>
      <w:r w:rsidRPr="00267BCC">
        <w:rPr>
          <w:i/>
          <w:sz w:val="20"/>
          <w:szCs w:val="20"/>
          <w:lang w:val="lv-LV"/>
        </w:rPr>
        <w:t>World Economic Forum</w:t>
      </w:r>
      <w:r w:rsidRPr="00267BCC">
        <w:rPr>
          <w:sz w:val="20"/>
          <w:szCs w:val="20"/>
          <w:lang w:val="lv-LV"/>
        </w:rPr>
        <w:t>)</w:t>
      </w:r>
    </w:p>
    <w:p w14:paraId="49640AB2" w14:textId="77777777" w:rsidR="007A2FCB" w:rsidRPr="00263B9F" w:rsidRDefault="007A2FCB" w:rsidP="00267BCC">
      <w:pPr>
        <w:ind w:firstLine="720"/>
        <w:jc w:val="both"/>
        <w:rPr>
          <w:lang w:val="lv-LV"/>
        </w:rPr>
      </w:pPr>
    </w:p>
    <w:p w14:paraId="49640AB3" w14:textId="77777777" w:rsidR="007A2FCB" w:rsidRPr="00263B9F" w:rsidRDefault="007A2FCB" w:rsidP="00267BCC">
      <w:pPr>
        <w:ind w:firstLine="720"/>
        <w:jc w:val="both"/>
        <w:rPr>
          <w:lang w:val="lv-LV"/>
        </w:rPr>
      </w:pPr>
      <w:r w:rsidRPr="00263B9F">
        <w:rPr>
          <w:lang w:val="lv-LV"/>
        </w:rPr>
        <w:t>Starp trīs Baltijas valstīm Igaunija reitingā ieņem visaugstāko vietu, īpaši augstu rezultātu uzrādot tematisko kritēriju grupā „Tūrisma normatīvais ietvars” (10.vieta), nodrošinot pārsvaru pār Latviju par 25.vietām, bet pār Lietuvu – pat par 31 vietu, kas lielā mērā skaidrojams ar augstu tūrisma prioritizācijas līmeni attīstības plānošanā valstī – Igaunija ieņem 16. vietu, Latvija – 70., savukārt Lietuva – 91. vietu. Salīdzinoši tuvāk Igaunijas reitingam Latvija pietuvojas tematisko kritēriju grupā „Uzņēmējdarbības vide un infrastruktūra” (attiecīgi – 30. un 40.vieta), pateicoties gaisa transporta infrastruktūrai, kas kopējā indeksa vērtējumā ir vienīgā Latvijas priekšrocība salīdzinājumā ar abām kaimiņvalstīm. Tikmēr, izvērtējot kopējo tūrisma infrastruktūru, reitinga autori tomēr secinājuši, ka labākais sniegums ir Igaunijai (18.vieta). Jāatzīmē, ka trešajā kritēriju grupā „Cilvēkresursi, kultūras un dabas resursi tūrisma nozarē” Latvija (77.vieta) atpaliek ne tikvien no Igaunijas (51.vieta), bet arī no Lietuvas, kas reitingā ieņem 61.vietu.</w:t>
      </w:r>
    </w:p>
    <w:p w14:paraId="49640AB4" w14:textId="77777777" w:rsidR="007A2FCB" w:rsidRPr="00267BCC" w:rsidRDefault="007A2FCB" w:rsidP="00267BCC">
      <w:pPr>
        <w:ind w:firstLine="720"/>
        <w:jc w:val="both"/>
        <w:rPr>
          <w:u w:val="single"/>
          <w:lang w:val="lv-LV"/>
        </w:rPr>
      </w:pPr>
      <w:r w:rsidRPr="00263B9F">
        <w:rPr>
          <w:lang w:val="lv-LV"/>
        </w:rPr>
        <w:t>Vienlaicīgi Pasaules Ekonomikas forums ir secinājis, ka visvairāk ārvalstu ceļotāju uzņem Igaunija, savukārt Lietuvā ārvalstu ceļotāji tērē visvairāk. Neraugoties uz šobrīd salīdzinoši zemāko vietu kopējā Ceļojumu un Tūrisma konkurētspējas indeksā, lielāko tūrisma izaugsmi nākamajos deviņos gados Pasaules Ekonomikas forums progn</w:t>
      </w:r>
      <w:r w:rsidR="0064492B" w:rsidRPr="00263B9F">
        <w:rPr>
          <w:lang w:val="lv-LV"/>
        </w:rPr>
        <w:t>ozē tieši Latvijai (4.tabula)</w:t>
      </w:r>
      <w:r w:rsidR="0064492B" w:rsidRPr="00267BCC">
        <w:rPr>
          <w:u w:val="single"/>
          <w:lang w:val="lv-LV"/>
        </w:rPr>
        <w:t xml:space="preserve">. </w:t>
      </w:r>
    </w:p>
    <w:p w14:paraId="49640AB5" w14:textId="77777777" w:rsidR="0064492B" w:rsidRPr="00267BCC" w:rsidRDefault="0064492B" w:rsidP="00267BCC">
      <w:pPr>
        <w:ind w:firstLine="720"/>
        <w:jc w:val="both"/>
        <w:rPr>
          <w:u w:val="single"/>
          <w:lang w:val="lv-LV"/>
        </w:rPr>
      </w:pPr>
    </w:p>
    <w:p w14:paraId="49640AB6" w14:textId="77777777" w:rsidR="007A2FCB" w:rsidRPr="00267BCC" w:rsidRDefault="007A2FCB" w:rsidP="00267BCC">
      <w:pPr>
        <w:ind w:firstLine="720"/>
        <w:jc w:val="right"/>
        <w:rPr>
          <w:lang w:val="lv-LV"/>
        </w:rPr>
      </w:pPr>
      <w:r w:rsidRPr="00267BCC">
        <w:rPr>
          <w:lang w:val="lv-LV"/>
        </w:rPr>
        <w:t>4.tabula</w:t>
      </w:r>
    </w:p>
    <w:p w14:paraId="49640AB7" w14:textId="77777777" w:rsidR="007A2FCB" w:rsidRPr="00267BCC" w:rsidRDefault="007A2FCB" w:rsidP="00267BCC">
      <w:pPr>
        <w:ind w:firstLine="720"/>
        <w:jc w:val="center"/>
        <w:rPr>
          <w:b/>
          <w:lang w:val="lv-LV"/>
        </w:rPr>
      </w:pPr>
      <w:r w:rsidRPr="00267BCC">
        <w:rPr>
          <w:b/>
          <w:lang w:val="lv-LV"/>
        </w:rPr>
        <w:lastRenderedPageBreak/>
        <w:t>Galveno tūrisma rādītāju salīdzinājums Baltijas valstīs</w:t>
      </w:r>
    </w:p>
    <w:tbl>
      <w:tblPr>
        <w:tblStyle w:val="TableGrid"/>
        <w:tblW w:w="5000" w:type="pct"/>
        <w:tblLook w:val="04A0" w:firstRow="1" w:lastRow="0" w:firstColumn="1" w:lastColumn="0" w:noHBand="0" w:noVBand="1"/>
      </w:tblPr>
      <w:tblGrid>
        <w:gridCol w:w="5636"/>
        <w:gridCol w:w="1217"/>
        <w:gridCol w:w="1217"/>
        <w:gridCol w:w="1217"/>
      </w:tblGrid>
      <w:tr w:rsidR="007A2FCB" w:rsidRPr="00267BCC" w14:paraId="49640ABC" w14:textId="77777777" w:rsidTr="007A2FCB">
        <w:trPr>
          <w:trHeight w:val="343"/>
        </w:trPr>
        <w:tc>
          <w:tcPr>
            <w:tcW w:w="3035" w:type="pct"/>
            <w:tcBorders>
              <w:right w:val="single" w:sz="4" w:space="0" w:color="auto"/>
            </w:tcBorders>
          </w:tcPr>
          <w:p w14:paraId="49640AB8" w14:textId="77777777" w:rsidR="007A2FCB" w:rsidRPr="00267BCC" w:rsidRDefault="007A2FCB" w:rsidP="00267BCC">
            <w:pPr>
              <w:jc w:val="both"/>
              <w:rPr>
                <w:b/>
                <w:lang w:val="lv-LV"/>
              </w:rPr>
            </w:pPr>
            <w:r w:rsidRPr="00267BCC">
              <w:rPr>
                <w:b/>
                <w:lang w:val="lv-LV"/>
              </w:rPr>
              <w:t>Kritērijs</w:t>
            </w:r>
          </w:p>
        </w:tc>
        <w:tc>
          <w:tcPr>
            <w:tcW w:w="655" w:type="pct"/>
            <w:tcBorders>
              <w:left w:val="single" w:sz="4" w:space="0" w:color="auto"/>
            </w:tcBorders>
            <w:vAlign w:val="center"/>
          </w:tcPr>
          <w:p w14:paraId="49640AB9" w14:textId="77777777" w:rsidR="007A2FCB" w:rsidRPr="00267BCC" w:rsidRDefault="007A2FCB" w:rsidP="00267BCC">
            <w:pPr>
              <w:jc w:val="center"/>
              <w:rPr>
                <w:b/>
                <w:lang w:val="lv-LV"/>
              </w:rPr>
            </w:pPr>
            <w:r w:rsidRPr="00267BCC">
              <w:rPr>
                <w:b/>
                <w:lang w:val="lv-LV"/>
              </w:rPr>
              <w:t>Latvija</w:t>
            </w:r>
          </w:p>
        </w:tc>
        <w:tc>
          <w:tcPr>
            <w:tcW w:w="655" w:type="pct"/>
            <w:vAlign w:val="center"/>
          </w:tcPr>
          <w:p w14:paraId="49640ABA" w14:textId="77777777" w:rsidR="007A2FCB" w:rsidRPr="00267BCC" w:rsidRDefault="007A2FCB" w:rsidP="00267BCC">
            <w:pPr>
              <w:jc w:val="center"/>
              <w:rPr>
                <w:b/>
                <w:lang w:val="lv-LV"/>
              </w:rPr>
            </w:pPr>
            <w:r w:rsidRPr="00267BCC">
              <w:rPr>
                <w:b/>
                <w:lang w:val="lv-LV"/>
              </w:rPr>
              <w:t>Lietuva</w:t>
            </w:r>
          </w:p>
        </w:tc>
        <w:tc>
          <w:tcPr>
            <w:tcW w:w="655" w:type="pct"/>
            <w:vAlign w:val="center"/>
          </w:tcPr>
          <w:p w14:paraId="49640ABB" w14:textId="77777777" w:rsidR="007A2FCB" w:rsidRPr="00267BCC" w:rsidRDefault="007A2FCB" w:rsidP="00267BCC">
            <w:pPr>
              <w:jc w:val="center"/>
              <w:rPr>
                <w:b/>
                <w:lang w:val="lv-LV"/>
              </w:rPr>
            </w:pPr>
            <w:r w:rsidRPr="00267BCC">
              <w:rPr>
                <w:b/>
                <w:lang w:val="lv-LV"/>
              </w:rPr>
              <w:t>Igaunija</w:t>
            </w:r>
          </w:p>
        </w:tc>
      </w:tr>
      <w:tr w:rsidR="007A2FCB" w:rsidRPr="00267BCC" w14:paraId="49640AC1" w14:textId="77777777" w:rsidTr="007A2FCB">
        <w:trPr>
          <w:trHeight w:val="343"/>
        </w:trPr>
        <w:tc>
          <w:tcPr>
            <w:tcW w:w="3035" w:type="pct"/>
            <w:vAlign w:val="center"/>
          </w:tcPr>
          <w:p w14:paraId="49640ABD" w14:textId="77777777" w:rsidR="007A2FCB" w:rsidRPr="00267BCC" w:rsidRDefault="007A2FCB" w:rsidP="00267BCC">
            <w:pPr>
              <w:rPr>
                <w:lang w:val="lv-LV"/>
              </w:rPr>
            </w:pPr>
            <w:r w:rsidRPr="00267BCC">
              <w:rPr>
                <w:lang w:val="lv-LV"/>
              </w:rPr>
              <w:t>Ārvalstu vairākdienu ceļotāju braucienu skaits, tūkst.</w:t>
            </w:r>
          </w:p>
        </w:tc>
        <w:tc>
          <w:tcPr>
            <w:tcW w:w="655" w:type="pct"/>
            <w:vAlign w:val="center"/>
          </w:tcPr>
          <w:p w14:paraId="49640ABE" w14:textId="77777777" w:rsidR="007A2FCB" w:rsidRPr="00267BCC" w:rsidRDefault="007A2FCB" w:rsidP="00267BCC">
            <w:pPr>
              <w:jc w:val="center"/>
              <w:rPr>
                <w:lang w:val="lv-LV"/>
              </w:rPr>
            </w:pPr>
            <w:r w:rsidRPr="00267BCC">
              <w:rPr>
                <w:lang w:val="lv-LV"/>
              </w:rPr>
              <w:t>1 493</w:t>
            </w:r>
          </w:p>
        </w:tc>
        <w:tc>
          <w:tcPr>
            <w:tcW w:w="655" w:type="pct"/>
            <w:vAlign w:val="center"/>
          </w:tcPr>
          <w:p w14:paraId="49640ABF" w14:textId="77777777" w:rsidR="007A2FCB" w:rsidRPr="00267BCC" w:rsidRDefault="007A2FCB" w:rsidP="00267BCC">
            <w:pPr>
              <w:jc w:val="center"/>
              <w:rPr>
                <w:lang w:val="lv-LV"/>
              </w:rPr>
            </w:pPr>
            <w:r w:rsidRPr="00267BCC">
              <w:rPr>
                <w:lang w:val="lv-LV"/>
              </w:rPr>
              <w:t>1 775</w:t>
            </w:r>
          </w:p>
        </w:tc>
        <w:tc>
          <w:tcPr>
            <w:tcW w:w="655" w:type="pct"/>
            <w:vAlign w:val="center"/>
          </w:tcPr>
          <w:p w14:paraId="49640AC0" w14:textId="77777777" w:rsidR="007A2FCB" w:rsidRPr="00267BCC" w:rsidRDefault="007A2FCB" w:rsidP="00267BCC">
            <w:pPr>
              <w:jc w:val="center"/>
              <w:rPr>
                <w:lang w:val="lv-LV"/>
              </w:rPr>
            </w:pPr>
            <w:r w:rsidRPr="00267BCC">
              <w:rPr>
                <w:lang w:val="lv-LV"/>
              </w:rPr>
              <w:t>2 665</w:t>
            </w:r>
          </w:p>
        </w:tc>
      </w:tr>
      <w:tr w:rsidR="007A2FCB" w:rsidRPr="00267BCC" w14:paraId="49640AC6" w14:textId="77777777" w:rsidTr="007A2FCB">
        <w:trPr>
          <w:trHeight w:val="343"/>
        </w:trPr>
        <w:tc>
          <w:tcPr>
            <w:tcW w:w="3035" w:type="pct"/>
            <w:vAlign w:val="center"/>
          </w:tcPr>
          <w:p w14:paraId="49640AC2" w14:textId="77777777" w:rsidR="007A2FCB" w:rsidRPr="00267BCC" w:rsidRDefault="007A2FCB" w:rsidP="00267BCC">
            <w:pPr>
              <w:rPr>
                <w:lang w:val="lv-LV"/>
              </w:rPr>
            </w:pPr>
            <w:r w:rsidRPr="00267BCC">
              <w:rPr>
                <w:lang w:val="lv-LV"/>
              </w:rPr>
              <w:t xml:space="preserve">Kopējie ārvalstu ceļotāju izdevumi, milj. </w:t>
            </w:r>
            <w:r w:rsidR="002400FE" w:rsidRPr="00267BCC">
              <w:rPr>
                <w:lang w:val="lv-LV"/>
              </w:rPr>
              <w:t>EUR</w:t>
            </w:r>
          </w:p>
        </w:tc>
        <w:tc>
          <w:tcPr>
            <w:tcW w:w="655" w:type="pct"/>
            <w:vAlign w:val="center"/>
          </w:tcPr>
          <w:p w14:paraId="49640AC3" w14:textId="77777777" w:rsidR="007A2FCB" w:rsidRPr="00267BCC" w:rsidRDefault="007A2FCB" w:rsidP="00267BCC">
            <w:pPr>
              <w:jc w:val="center"/>
              <w:rPr>
                <w:lang w:val="lv-LV"/>
              </w:rPr>
            </w:pPr>
            <w:r w:rsidRPr="00267BCC">
              <w:rPr>
                <w:lang w:val="lv-LV"/>
              </w:rPr>
              <w:t>578</w:t>
            </w:r>
          </w:p>
        </w:tc>
        <w:tc>
          <w:tcPr>
            <w:tcW w:w="655" w:type="pct"/>
            <w:vAlign w:val="center"/>
          </w:tcPr>
          <w:p w14:paraId="49640AC4" w14:textId="77777777" w:rsidR="007A2FCB" w:rsidRPr="00267BCC" w:rsidRDefault="007A2FCB" w:rsidP="00267BCC">
            <w:pPr>
              <w:jc w:val="center"/>
              <w:rPr>
                <w:lang w:val="lv-LV"/>
              </w:rPr>
            </w:pPr>
            <w:r w:rsidRPr="00267BCC">
              <w:rPr>
                <w:lang w:val="lv-LV"/>
              </w:rPr>
              <w:t>1 015</w:t>
            </w:r>
          </w:p>
        </w:tc>
        <w:tc>
          <w:tcPr>
            <w:tcW w:w="655" w:type="pct"/>
            <w:vAlign w:val="center"/>
          </w:tcPr>
          <w:p w14:paraId="49640AC5" w14:textId="77777777" w:rsidR="007A2FCB" w:rsidRPr="00267BCC" w:rsidRDefault="007A2FCB" w:rsidP="00267BCC">
            <w:pPr>
              <w:jc w:val="center"/>
              <w:rPr>
                <w:lang w:val="lv-LV"/>
              </w:rPr>
            </w:pPr>
            <w:r w:rsidRPr="00267BCC">
              <w:rPr>
                <w:lang w:val="lv-LV"/>
              </w:rPr>
              <w:t>937</w:t>
            </w:r>
          </w:p>
        </w:tc>
      </w:tr>
      <w:tr w:rsidR="007A2FCB" w:rsidRPr="00267BCC" w14:paraId="49640ACB" w14:textId="77777777" w:rsidTr="007A2FCB">
        <w:trPr>
          <w:trHeight w:val="343"/>
        </w:trPr>
        <w:tc>
          <w:tcPr>
            <w:tcW w:w="3035" w:type="pct"/>
            <w:vAlign w:val="center"/>
          </w:tcPr>
          <w:p w14:paraId="49640AC7" w14:textId="77777777" w:rsidR="007A2FCB" w:rsidRPr="00267BCC" w:rsidRDefault="007A2FCB" w:rsidP="00267BCC">
            <w:pPr>
              <w:rPr>
                <w:lang w:val="lv-LV"/>
              </w:rPr>
            </w:pPr>
            <w:r w:rsidRPr="00267BCC">
              <w:rPr>
                <w:lang w:val="lv-LV"/>
              </w:rPr>
              <w:t>Tūrisma industrijas izaugsmes prognoze 2013-2022, %</w:t>
            </w:r>
          </w:p>
        </w:tc>
        <w:tc>
          <w:tcPr>
            <w:tcW w:w="655" w:type="pct"/>
            <w:vAlign w:val="center"/>
          </w:tcPr>
          <w:p w14:paraId="49640AC8" w14:textId="77777777" w:rsidR="007A2FCB" w:rsidRPr="00267BCC" w:rsidRDefault="007A2FCB" w:rsidP="00267BCC">
            <w:pPr>
              <w:jc w:val="center"/>
              <w:rPr>
                <w:lang w:val="lv-LV"/>
              </w:rPr>
            </w:pPr>
            <w:r w:rsidRPr="00267BCC">
              <w:rPr>
                <w:lang w:val="lv-LV"/>
              </w:rPr>
              <w:t>5,4</w:t>
            </w:r>
          </w:p>
        </w:tc>
        <w:tc>
          <w:tcPr>
            <w:tcW w:w="655" w:type="pct"/>
            <w:vAlign w:val="center"/>
          </w:tcPr>
          <w:p w14:paraId="49640AC9" w14:textId="77777777" w:rsidR="007A2FCB" w:rsidRPr="00267BCC" w:rsidRDefault="007A2FCB" w:rsidP="00267BCC">
            <w:pPr>
              <w:jc w:val="center"/>
              <w:rPr>
                <w:lang w:val="lv-LV"/>
              </w:rPr>
            </w:pPr>
            <w:r w:rsidRPr="00267BCC">
              <w:rPr>
                <w:lang w:val="lv-LV"/>
              </w:rPr>
              <w:t>4,9</w:t>
            </w:r>
          </w:p>
        </w:tc>
        <w:tc>
          <w:tcPr>
            <w:tcW w:w="655" w:type="pct"/>
            <w:vAlign w:val="center"/>
          </w:tcPr>
          <w:p w14:paraId="49640ACA" w14:textId="77777777" w:rsidR="007A2FCB" w:rsidRPr="00267BCC" w:rsidRDefault="007A2FCB" w:rsidP="00267BCC">
            <w:pPr>
              <w:jc w:val="center"/>
              <w:rPr>
                <w:lang w:val="lv-LV"/>
              </w:rPr>
            </w:pPr>
            <w:r w:rsidRPr="00267BCC">
              <w:rPr>
                <w:lang w:val="lv-LV"/>
              </w:rPr>
              <w:t>2,9</w:t>
            </w:r>
          </w:p>
        </w:tc>
      </w:tr>
    </w:tbl>
    <w:p w14:paraId="49640ACC" w14:textId="77777777" w:rsidR="007A2FCB" w:rsidRPr="00267BCC" w:rsidRDefault="007A2FCB" w:rsidP="00267BCC">
      <w:pPr>
        <w:jc w:val="both"/>
        <w:rPr>
          <w:sz w:val="20"/>
          <w:szCs w:val="20"/>
          <w:lang w:val="lv-LV"/>
        </w:rPr>
      </w:pPr>
      <w:r w:rsidRPr="00267BCC">
        <w:rPr>
          <w:sz w:val="20"/>
          <w:szCs w:val="20"/>
          <w:lang w:val="lv-LV"/>
        </w:rPr>
        <w:t>Datu avots: Pasaules Ekonomikas forums (World Economic Forum)</w:t>
      </w:r>
    </w:p>
    <w:p w14:paraId="49640ACD" w14:textId="77777777" w:rsidR="007A2FCB" w:rsidRPr="00267BCC" w:rsidRDefault="007A2FCB" w:rsidP="00267BCC">
      <w:pPr>
        <w:jc w:val="both"/>
        <w:rPr>
          <w:lang w:val="lv-LV"/>
        </w:rPr>
      </w:pPr>
    </w:p>
    <w:p w14:paraId="49640ACE" w14:textId="77777777" w:rsidR="007A2FCB" w:rsidRPr="00263B9F" w:rsidRDefault="007A2FCB" w:rsidP="00267BCC">
      <w:pPr>
        <w:ind w:firstLine="720"/>
        <w:jc w:val="both"/>
        <w:rPr>
          <w:lang w:val="lv-LV"/>
        </w:rPr>
      </w:pPr>
      <w:r w:rsidRPr="00263B9F">
        <w:rPr>
          <w:lang w:val="lv-LV"/>
        </w:rPr>
        <w:t>Prognozējams, ka, īstenojot Pamatnostādnēs izvirzīto mērķu un apakšmērķu sasniegšanu, turpmākajos gados tiks pozitīvi ietekmēts kopējais Latvijas sniegums Ceļojumu un Tūrisma konkurētspējas indeksā:</w:t>
      </w:r>
    </w:p>
    <w:p w14:paraId="49640ACF" w14:textId="77777777" w:rsidR="007A2FCB" w:rsidRPr="00263B9F" w:rsidRDefault="007A2FCB" w:rsidP="00267BCC">
      <w:pPr>
        <w:pStyle w:val="ListParagraph"/>
        <w:numPr>
          <w:ilvl w:val="0"/>
          <w:numId w:val="25"/>
        </w:numPr>
        <w:spacing w:line="240" w:lineRule="auto"/>
        <w:contextualSpacing w:val="0"/>
        <w:jc w:val="both"/>
        <w:rPr>
          <w:rFonts w:ascii="Times New Roman" w:hAnsi="Times New Roman"/>
          <w:sz w:val="24"/>
          <w:szCs w:val="24"/>
          <w:lang w:val="lv-LV"/>
        </w:rPr>
      </w:pPr>
      <w:r w:rsidRPr="00263B9F">
        <w:rPr>
          <w:rFonts w:ascii="Times New Roman" w:hAnsi="Times New Roman"/>
          <w:sz w:val="24"/>
          <w:szCs w:val="24"/>
          <w:lang w:val="lv-LV"/>
        </w:rPr>
        <w:t>Pamatnostādnes, kas ir skaidri noteikts tūrisma politikas plānošana</w:t>
      </w:r>
      <w:r w:rsidR="00FF550B" w:rsidRPr="00263B9F">
        <w:rPr>
          <w:rFonts w:ascii="Times New Roman" w:hAnsi="Times New Roman"/>
          <w:sz w:val="24"/>
          <w:szCs w:val="24"/>
          <w:lang w:val="lv-LV"/>
        </w:rPr>
        <w:t xml:space="preserve">s ietvars gaidāmajam ES </w:t>
      </w:r>
      <w:r w:rsidRPr="00263B9F">
        <w:rPr>
          <w:rFonts w:ascii="Times New Roman" w:hAnsi="Times New Roman"/>
          <w:sz w:val="24"/>
          <w:szCs w:val="24"/>
          <w:lang w:val="lv-LV"/>
        </w:rPr>
        <w:t>fondu plānošanas periodam, uzlabos Latvijas reitingu tematisko kritēriju grupā „Tūrisma normatīvais ietvars”, jo šī ir tā kritēriju grupa, kuras elementi vistiešāk saistīti ar tūrisma politikas izstrādi un veidošanu valstī. Tas īpaši attiecināms uz pozīciju „Tūrisma izvirzīšana par prioritāti”, kas galvenokārt raksturo tūrisma nozares prioritizāciju valdības skatījumā, budžeta izdevumus tūrismam, kā arī mārketinga efektivitāti;</w:t>
      </w:r>
    </w:p>
    <w:p w14:paraId="49640AD0" w14:textId="77777777" w:rsidR="007A2FCB" w:rsidRPr="00263B9F" w:rsidRDefault="007A2FCB" w:rsidP="00267BCC">
      <w:pPr>
        <w:pStyle w:val="ListParagraph"/>
        <w:numPr>
          <w:ilvl w:val="0"/>
          <w:numId w:val="25"/>
        </w:numPr>
        <w:spacing w:line="240" w:lineRule="auto"/>
        <w:contextualSpacing w:val="0"/>
        <w:jc w:val="both"/>
        <w:rPr>
          <w:rFonts w:ascii="Times New Roman" w:hAnsi="Times New Roman"/>
          <w:sz w:val="24"/>
          <w:szCs w:val="24"/>
          <w:lang w:val="lv-LV"/>
        </w:rPr>
      </w:pPr>
      <w:r w:rsidRPr="00263B9F">
        <w:rPr>
          <w:rFonts w:ascii="Times New Roman" w:hAnsi="Times New Roman"/>
          <w:sz w:val="24"/>
          <w:szCs w:val="24"/>
          <w:lang w:val="lv-LV"/>
        </w:rPr>
        <w:t>Veicinot vairākdienu ceļotāju skaita palielināšanos un tūrisma eksporta produktu pieaugumu, iespējams uzlabot Latvijas reitingu pozīcijā „Patika pret ceļošanu”, kas mēra ne tikai sabiedrības attieksmi pret ārvalstu viesiem, bet arī tā dēvēto „tūrisma nozares atvērtību” (tūrisma ieņēmumu un izdevumu īpatsvars IKP);</w:t>
      </w:r>
    </w:p>
    <w:p w14:paraId="49640AD1" w14:textId="77777777" w:rsidR="007A2FCB" w:rsidRPr="00267BCC" w:rsidRDefault="007A2FCB" w:rsidP="00267BCC">
      <w:pPr>
        <w:widowControl w:val="0"/>
        <w:jc w:val="both"/>
        <w:rPr>
          <w:rFonts w:eastAsia="Calibri"/>
          <w:lang w:val="lv-LV" w:eastAsia="en-US"/>
        </w:rPr>
      </w:pPr>
    </w:p>
    <w:p w14:paraId="49640AD2" w14:textId="77777777" w:rsidR="007A2FCB" w:rsidRPr="00267BCC" w:rsidRDefault="007A2FCB" w:rsidP="00267BCC">
      <w:pPr>
        <w:widowControl w:val="0"/>
        <w:jc w:val="both"/>
        <w:rPr>
          <w:rFonts w:eastAsia="Calibri"/>
          <w:b/>
          <w:lang w:val="lv-LV" w:eastAsia="en-US"/>
        </w:rPr>
      </w:pPr>
      <w:r w:rsidRPr="00267BCC">
        <w:rPr>
          <w:rFonts w:eastAsia="Calibri"/>
          <w:b/>
          <w:lang w:val="lv-LV" w:eastAsia="en-US"/>
        </w:rPr>
        <w:t>EM identificētās Latvijas priekšrocības salīdzinājumā ar Lietuvu un Igauniju:</w:t>
      </w:r>
    </w:p>
    <w:p w14:paraId="49640AD3" w14:textId="77777777" w:rsidR="007A2FCB" w:rsidRPr="00263B9F" w:rsidRDefault="007A2FCB" w:rsidP="00267BCC">
      <w:pPr>
        <w:widowControl w:val="0"/>
        <w:numPr>
          <w:ilvl w:val="0"/>
          <w:numId w:val="12"/>
        </w:numPr>
        <w:jc w:val="both"/>
        <w:rPr>
          <w:rFonts w:eastAsia="Calibri"/>
          <w:lang w:val="lv-LV" w:eastAsia="en-US"/>
        </w:rPr>
      </w:pPr>
      <w:r w:rsidRPr="00267BCC">
        <w:rPr>
          <w:rFonts w:eastAsia="Calibri"/>
          <w:lang w:val="lv-LV" w:eastAsia="en-US"/>
        </w:rPr>
        <w:t xml:space="preserve">Viegla starptautiskā sasniedzamība, ko nodrošina attīstīta gaisa satiksme (lidostas un nacionālās aviokompānijas attīstība – </w:t>
      </w:r>
      <w:r w:rsidRPr="00263B9F">
        <w:rPr>
          <w:rFonts w:eastAsia="Calibri"/>
          <w:lang w:val="lv-LV" w:eastAsia="en-US"/>
        </w:rPr>
        <w:t>2012.gadā lidosta „Rīga” piedāvāja plašu galamērķu klāstu – no 65 ziemas sezonā līdz pat 79 galamērķiem vasaras periodā</w:t>
      </w:r>
      <w:r w:rsidRPr="00263B9F">
        <w:rPr>
          <w:rStyle w:val="FootnoteReference"/>
          <w:rFonts w:eastAsia="Calibri"/>
          <w:lang w:val="lv-LV" w:eastAsia="en-US"/>
        </w:rPr>
        <w:footnoteReference w:id="39"/>
      </w:r>
      <w:r w:rsidRPr="00263B9F">
        <w:rPr>
          <w:rFonts w:eastAsia="Calibri"/>
          <w:lang w:val="lv-LV" w:eastAsia="en-US"/>
        </w:rPr>
        <w:t>) un citu transporta veidu esamība turpmākai attīstībai;</w:t>
      </w:r>
    </w:p>
    <w:p w14:paraId="49640AD4" w14:textId="77777777" w:rsidR="007A2FCB" w:rsidRPr="00267BCC" w:rsidRDefault="007A2FCB" w:rsidP="00267BCC">
      <w:pPr>
        <w:widowControl w:val="0"/>
        <w:numPr>
          <w:ilvl w:val="0"/>
          <w:numId w:val="12"/>
        </w:numPr>
        <w:jc w:val="both"/>
        <w:rPr>
          <w:rFonts w:eastAsia="Calibri"/>
          <w:lang w:val="lv-LV" w:eastAsia="en-US"/>
        </w:rPr>
      </w:pPr>
      <w:r w:rsidRPr="00267BCC">
        <w:rPr>
          <w:rFonts w:eastAsia="Calibri"/>
          <w:lang w:val="lv-LV" w:eastAsia="en-US"/>
        </w:rPr>
        <w:t>Plaši pieejami dabas dziednieciskie resursi – dūņas, minerālūdeņi, gara jūras piekraste ar smilšainu pludmali, meži, neskarta daba un pievilcīga ainava, kā arī augsta vides kvalitāte un ūdens resursu dažādība;</w:t>
      </w:r>
    </w:p>
    <w:p w14:paraId="49640AD5" w14:textId="77777777" w:rsidR="007A2FCB" w:rsidRPr="00267BCC" w:rsidRDefault="007A2FCB" w:rsidP="00267BCC">
      <w:pPr>
        <w:widowControl w:val="0"/>
        <w:numPr>
          <w:ilvl w:val="0"/>
          <w:numId w:val="12"/>
        </w:numPr>
        <w:jc w:val="both"/>
        <w:rPr>
          <w:rFonts w:eastAsia="Calibri"/>
          <w:lang w:val="lv-LV" w:eastAsia="en-US"/>
        </w:rPr>
      </w:pPr>
      <w:r w:rsidRPr="00267BCC">
        <w:rPr>
          <w:rFonts w:eastAsia="Calibri"/>
          <w:lang w:val="lv-LV" w:eastAsia="en-US"/>
        </w:rPr>
        <w:t xml:space="preserve">Laba Rīgas atpazīstamība, agresīvs un aktīvs galvaspilsētas mārketings </w:t>
      </w:r>
      <w:r w:rsidRPr="00263B9F">
        <w:rPr>
          <w:rFonts w:eastAsia="Calibri"/>
          <w:lang w:val="lv-LV" w:eastAsia="en-US"/>
        </w:rPr>
        <w:t>(LIVE Rīga).</w:t>
      </w:r>
      <w:r w:rsidRPr="00267BCC">
        <w:rPr>
          <w:rFonts w:eastAsia="Calibri"/>
          <w:lang w:val="lv-LV" w:eastAsia="en-US"/>
        </w:rPr>
        <w:t xml:space="preserve"> Rīga ir lielākā pilsēta starp trīs Baltijas valstu galvaspilsētām. Rīga – Eiropas kultūras galvaspilsēta 2014.gadā, Latvija – prezidējošā valsts ES 2015.gada pirmajā pusgadā;</w:t>
      </w:r>
    </w:p>
    <w:p w14:paraId="49640AD6" w14:textId="77777777" w:rsidR="007A2FCB" w:rsidRPr="00267BCC" w:rsidRDefault="007A2FCB" w:rsidP="00267BCC">
      <w:pPr>
        <w:widowControl w:val="0"/>
        <w:numPr>
          <w:ilvl w:val="0"/>
          <w:numId w:val="12"/>
        </w:numPr>
        <w:jc w:val="both"/>
        <w:rPr>
          <w:rFonts w:eastAsia="Calibri"/>
          <w:lang w:val="lv-LV" w:eastAsia="en-US"/>
        </w:rPr>
      </w:pPr>
      <w:r w:rsidRPr="00267BCC">
        <w:rPr>
          <w:rFonts w:eastAsia="Calibri"/>
          <w:lang w:val="lv-LV" w:eastAsia="en-US"/>
        </w:rPr>
        <w:t xml:space="preserve">Svešvalodu zināšanas. Saskaņā ar </w:t>
      </w:r>
      <w:r w:rsidRPr="00267BCC">
        <w:rPr>
          <w:rFonts w:eastAsia="Calibri"/>
          <w:i/>
          <w:lang w:val="lv-LV" w:eastAsia="en-US"/>
        </w:rPr>
        <w:t>Eurobarometer</w:t>
      </w:r>
      <w:r w:rsidRPr="00267BCC">
        <w:rPr>
          <w:rFonts w:eastAsia="Calibri"/>
          <w:lang w:val="lv-LV" w:eastAsia="en-US"/>
        </w:rPr>
        <w:t xml:space="preserve"> datiem, Latvijā ir otrs procentuāli lielākais iedzīvotāju skaits Eiropā, kurš prot vismaz vienu svešvalodu;</w:t>
      </w:r>
    </w:p>
    <w:p w14:paraId="49640AD7" w14:textId="77777777" w:rsidR="007A2FCB" w:rsidRPr="00267BCC" w:rsidRDefault="007A2FCB" w:rsidP="00267BCC">
      <w:pPr>
        <w:widowControl w:val="0"/>
        <w:numPr>
          <w:ilvl w:val="0"/>
          <w:numId w:val="12"/>
        </w:numPr>
        <w:jc w:val="both"/>
        <w:rPr>
          <w:rFonts w:eastAsia="Calibri"/>
          <w:lang w:val="lv-LV" w:eastAsia="en-US"/>
        </w:rPr>
      </w:pPr>
      <w:r w:rsidRPr="00267BCC">
        <w:rPr>
          <w:rFonts w:eastAsia="Calibri"/>
          <w:lang w:val="lv-LV" w:eastAsia="en-US"/>
        </w:rPr>
        <w:t>Gadījumā, ja tiek veidots tūrisma produkts, piedāvājot apmeklēt divas Baltijas valstis, Latvijai tās ģeogrāfiskā stāvokļa dēļ (starp Lietuvu un Igauniju) ir lielākas priekšrocības.</w:t>
      </w:r>
    </w:p>
    <w:p w14:paraId="49640AD8" w14:textId="77777777" w:rsidR="007A2FCB" w:rsidRPr="00267BCC" w:rsidRDefault="007A2FCB" w:rsidP="00267BCC">
      <w:pPr>
        <w:widowControl w:val="0"/>
        <w:ind w:left="720"/>
        <w:jc w:val="both"/>
        <w:rPr>
          <w:rFonts w:eastAsia="Calibri"/>
          <w:lang w:val="lv-LV" w:eastAsia="en-US"/>
        </w:rPr>
      </w:pPr>
    </w:p>
    <w:p w14:paraId="49640AD9" w14:textId="77777777" w:rsidR="007A2FCB" w:rsidRPr="00267BCC" w:rsidRDefault="007A2FCB" w:rsidP="00267BCC">
      <w:pPr>
        <w:widowControl w:val="0"/>
        <w:autoSpaceDE w:val="0"/>
        <w:autoSpaceDN w:val="0"/>
        <w:adjustRightInd w:val="0"/>
        <w:ind w:firstLine="720"/>
        <w:jc w:val="both"/>
        <w:rPr>
          <w:lang w:val="lv-LV"/>
        </w:rPr>
      </w:pPr>
      <w:r w:rsidRPr="00267BCC">
        <w:rPr>
          <w:lang w:val="lv-LV"/>
        </w:rPr>
        <w:t>Pašlaik Latvijas tūrisma nozare nespēj pilnvērtīgi izmantot savu tūrisma eksporta potenciālu konkurētspējas trūkuma dēļ salīdzinājumā ar Lietuvu un Igauniju, kur tiek piedāvāta attīstīta kūrortu un cita tūrisma infrastruktūra reģionos ar attīstītu un blīvu tūrisma piedāvājumu visa gada garumā. Latvija nevar konkurēt ar pārējām Baltijas valstīm tikai ar tās kultūras un dabas resursiem, t</w:t>
      </w:r>
      <w:r w:rsidR="00B074E1">
        <w:rPr>
          <w:lang w:val="lv-LV"/>
        </w:rPr>
        <w:t>aču tā var radīt konkurētspējas</w:t>
      </w:r>
      <w:r w:rsidRPr="00267BCC">
        <w:rPr>
          <w:lang w:val="lv-LV"/>
        </w:rPr>
        <w:t xml:space="preserve"> priekšrocību ar gudru un ilgtspējīgu šo resursu izmantošanu tūrisma piedāvājuma veidošanā, kas ir pielāgots mūsdienu tūristu vajadzībām. Latvijas tūrisma pakalpojumu piedāvājumu nepieciešams pilnveidot, veicot investīcijas gan infrastruktūrā</w:t>
      </w:r>
      <w:r w:rsidR="002706BB">
        <w:rPr>
          <w:lang w:val="lv-LV"/>
        </w:rPr>
        <w:t xml:space="preserve"> </w:t>
      </w:r>
      <w:r w:rsidR="002706BB" w:rsidRPr="00263B9F">
        <w:rPr>
          <w:lang w:val="lv-LV"/>
        </w:rPr>
        <w:t>(t.sk. kūrortu)</w:t>
      </w:r>
      <w:r w:rsidRPr="00263B9F">
        <w:rPr>
          <w:lang w:val="lv-LV"/>
        </w:rPr>
        <w:t>,</w:t>
      </w:r>
      <w:r w:rsidRPr="00267BCC">
        <w:rPr>
          <w:lang w:val="lv-LV"/>
        </w:rPr>
        <w:t xml:space="preserve"> gan tūrisma piedāvājuma dažādošanā, primāri attīstot uz eksportu orientētus tūrisma produktus un pakalpojumus. Būtiski ir atbalstīt </w:t>
      </w:r>
      <w:r w:rsidRPr="00267BCC">
        <w:rPr>
          <w:lang w:val="lv-LV"/>
        </w:rPr>
        <w:lastRenderedPageBreak/>
        <w:t>tādu nacionālā līmeņa tūristu piesaistes objektu ar augstu komerciālo potenciālu un pelnītspēju attīstību, kas iekļautos definēto konkurētspējīgo tūrisma veidu sarakstā, lai veicinātu Latvijas tūrisma piedāvājuma konkurētspējas uzlabošanu – ārvalstu vairākdienu ceļotāju skaita palielināšanos un tūrisma sezonalitātes mazināšanos.</w:t>
      </w:r>
    </w:p>
    <w:p w14:paraId="49640ADA" w14:textId="77777777" w:rsidR="006227E0" w:rsidRPr="00267BCC" w:rsidRDefault="006227E0" w:rsidP="00267BCC">
      <w:pPr>
        <w:rPr>
          <w:lang w:val="lv-LV"/>
        </w:rPr>
      </w:pPr>
    </w:p>
    <w:p w14:paraId="49640ADB" w14:textId="77777777" w:rsidR="00783831" w:rsidRPr="00267BCC" w:rsidRDefault="00783831" w:rsidP="00267BCC">
      <w:pPr>
        <w:pStyle w:val="Heading2"/>
        <w:numPr>
          <w:ilvl w:val="1"/>
          <w:numId w:val="24"/>
        </w:numPr>
        <w:rPr>
          <w:lang w:val="lv-LV"/>
        </w:rPr>
      </w:pPr>
      <w:bookmarkStart w:id="20" w:name="_Toc381256657"/>
      <w:r w:rsidRPr="00267BCC">
        <w:rPr>
          <w:lang w:val="lv-LV"/>
        </w:rPr>
        <w:t>Veiktie ieguldījumi tūrisma attīstībā</w:t>
      </w:r>
      <w:bookmarkEnd w:id="20"/>
    </w:p>
    <w:p w14:paraId="49640ADC" w14:textId="77777777" w:rsidR="006227E0" w:rsidRPr="00267BCC" w:rsidRDefault="006227E0" w:rsidP="00267BCC">
      <w:pPr>
        <w:ind w:firstLine="720"/>
        <w:jc w:val="both"/>
        <w:rPr>
          <w:lang w:val="lv-LV"/>
        </w:rPr>
      </w:pPr>
    </w:p>
    <w:p w14:paraId="49640ADD" w14:textId="77777777" w:rsidR="008044E6" w:rsidRPr="00267BCC" w:rsidRDefault="0049166C" w:rsidP="00267BCC">
      <w:pPr>
        <w:ind w:firstLine="720"/>
        <w:jc w:val="both"/>
        <w:rPr>
          <w:lang w:val="lv-LV"/>
        </w:rPr>
      </w:pPr>
      <w:r w:rsidRPr="00263B9F">
        <w:rPr>
          <w:lang w:val="lv-LV"/>
        </w:rPr>
        <w:t>P</w:t>
      </w:r>
      <w:r w:rsidR="008044E6" w:rsidRPr="00263B9F">
        <w:rPr>
          <w:lang w:val="lv-LV"/>
        </w:rPr>
        <w:t xml:space="preserve">lānojot ieguldījumus </w:t>
      </w:r>
      <w:r w:rsidRPr="00263B9F">
        <w:rPr>
          <w:lang w:val="lv-LV"/>
        </w:rPr>
        <w:t>ES fondu plānošanas</w:t>
      </w:r>
      <w:r w:rsidR="008044E6" w:rsidRPr="00263B9F">
        <w:rPr>
          <w:lang w:val="lv-LV"/>
        </w:rPr>
        <w:t xml:space="preserve"> periodam</w:t>
      </w:r>
      <w:r w:rsidRPr="00263B9F">
        <w:rPr>
          <w:lang w:val="lv-LV"/>
        </w:rPr>
        <w:t xml:space="preserve"> 2014.-2020.gadā</w:t>
      </w:r>
      <w:r w:rsidR="008044E6" w:rsidRPr="00263B9F">
        <w:rPr>
          <w:lang w:val="lv-LV"/>
        </w:rPr>
        <w:t>, ir būtiski ņemt vērā līdzšinējo pieredzi</w:t>
      </w:r>
      <w:r w:rsidRPr="00263B9F">
        <w:rPr>
          <w:lang w:val="lv-LV"/>
        </w:rPr>
        <w:t xml:space="preserve"> (2007.-2013.gads)</w:t>
      </w:r>
      <w:r w:rsidR="008044E6" w:rsidRPr="00263B9F">
        <w:rPr>
          <w:lang w:val="lv-LV"/>
        </w:rPr>
        <w:t>.</w:t>
      </w:r>
      <w:r w:rsidR="008044E6" w:rsidRPr="00267BCC">
        <w:rPr>
          <w:lang w:val="lv-LV"/>
        </w:rPr>
        <w:t xml:space="preserve"> Tā ilustrē galvenos tūrisma nozares atbalsta virzienus un teritoriālo sadalījumu, kā arī daļēji jau sniedz iespēju analizēt finansējuma izlietojuma atdevi. Detalizēts atbalsta programmu apraksts, kā arī telpiskās attīstības novērtējums sniegts </w:t>
      </w:r>
      <w:r w:rsidR="00676C56" w:rsidRPr="00267BCC">
        <w:rPr>
          <w:lang w:val="lv-LV"/>
        </w:rPr>
        <w:t>2</w:t>
      </w:r>
      <w:r w:rsidR="008044E6" w:rsidRPr="00267BCC">
        <w:rPr>
          <w:lang w:val="lv-LV"/>
        </w:rPr>
        <w:t>.pielikumā.</w:t>
      </w:r>
    </w:p>
    <w:p w14:paraId="49640ADE" w14:textId="77777777" w:rsidR="008044E6" w:rsidRPr="00267BCC" w:rsidRDefault="008044E6" w:rsidP="00267BCC">
      <w:pPr>
        <w:ind w:firstLine="720"/>
        <w:jc w:val="both"/>
        <w:rPr>
          <w:lang w:val="lv-LV"/>
        </w:rPr>
      </w:pPr>
      <w:r w:rsidRPr="00267BCC">
        <w:rPr>
          <w:lang w:val="lv-LV"/>
        </w:rPr>
        <w:t>Latvijā ES fondu 2007.-2013.gada</w:t>
      </w:r>
      <w:r w:rsidR="00033A61" w:rsidRPr="00267BCC">
        <w:rPr>
          <w:lang w:val="lv-LV"/>
        </w:rPr>
        <w:t xml:space="preserve"> plānošanas periodā</w:t>
      </w:r>
      <w:r w:rsidRPr="00267BCC">
        <w:rPr>
          <w:lang w:val="lv-LV"/>
        </w:rPr>
        <w:t xml:space="preserve"> finanšu līdzekļi tūrisma atbalstam tika novirzīti šādiem galvenajiem mērķiem:</w:t>
      </w:r>
    </w:p>
    <w:p w14:paraId="49640ADF" w14:textId="77777777" w:rsidR="008044E6" w:rsidRPr="00267BCC" w:rsidRDefault="008044E6" w:rsidP="00267BCC">
      <w:pPr>
        <w:pStyle w:val="ListParagraph"/>
        <w:numPr>
          <w:ilvl w:val="0"/>
          <w:numId w:val="9"/>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ieguldījumi infrastruktūrā;</w:t>
      </w:r>
    </w:p>
    <w:p w14:paraId="49640AE0" w14:textId="77777777" w:rsidR="008044E6" w:rsidRPr="00267BCC" w:rsidRDefault="008044E6" w:rsidP="00267BCC">
      <w:pPr>
        <w:pStyle w:val="ListParagraph"/>
        <w:numPr>
          <w:ilvl w:val="0"/>
          <w:numId w:val="9"/>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ieguldījumi mārketingā un sadarbības veicināšanā;</w:t>
      </w:r>
    </w:p>
    <w:p w14:paraId="49640AE1" w14:textId="77777777" w:rsidR="008044E6" w:rsidRPr="00267BCC" w:rsidRDefault="008044E6" w:rsidP="00267BCC">
      <w:pPr>
        <w:pStyle w:val="ListParagraph"/>
        <w:numPr>
          <w:ilvl w:val="0"/>
          <w:numId w:val="9"/>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ieguldījumi cilvēkresursos;</w:t>
      </w:r>
    </w:p>
    <w:p w14:paraId="49640AE2" w14:textId="77777777" w:rsidR="008044E6" w:rsidRPr="00267BCC" w:rsidRDefault="008044E6" w:rsidP="00267BCC">
      <w:pPr>
        <w:pStyle w:val="ListParagraph"/>
        <w:numPr>
          <w:ilvl w:val="0"/>
          <w:numId w:val="9"/>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ieguldījumi pārrobežu sadarbības veicināšanā.</w:t>
      </w:r>
    </w:p>
    <w:p w14:paraId="49640AE3" w14:textId="77777777" w:rsidR="008044E6" w:rsidRPr="00263B9F" w:rsidRDefault="008044E6" w:rsidP="00267BCC">
      <w:pPr>
        <w:ind w:firstLine="720"/>
        <w:jc w:val="both"/>
        <w:rPr>
          <w:lang w:val="lv-LV"/>
        </w:rPr>
      </w:pPr>
      <w:r w:rsidRPr="00267BCC">
        <w:rPr>
          <w:lang w:val="lv-LV"/>
        </w:rPr>
        <w:t xml:space="preserve">Ievērojami lielākā finansējuma daļa novirzīta ieguldījumiem infrastruktūrā, kur kopējā noslēgto līgumu summa </w:t>
      </w:r>
      <w:r w:rsidRPr="00263B9F">
        <w:rPr>
          <w:lang w:val="lv-LV"/>
        </w:rPr>
        <w:t>sasniedz</w:t>
      </w:r>
      <w:r w:rsidR="00A402BF" w:rsidRPr="00263B9F">
        <w:rPr>
          <w:lang w:val="lv-LV"/>
        </w:rPr>
        <w:t xml:space="preserve"> 73,52</w:t>
      </w:r>
      <w:r w:rsidR="00C73CFB" w:rsidRPr="00263B9F">
        <w:rPr>
          <w:lang w:val="lv-LV"/>
        </w:rPr>
        <w:t xml:space="preserve"> milj. EUR</w:t>
      </w:r>
      <w:r w:rsidRPr="00263B9F">
        <w:rPr>
          <w:lang w:val="lv-LV"/>
        </w:rPr>
        <w:t xml:space="preserve">, ieguldījumi mārketingā un sadarbības veicināšanā – </w:t>
      </w:r>
      <w:r w:rsidR="009173F0" w:rsidRPr="00263B9F">
        <w:rPr>
          <w:lang w:val="lv-LV"/>
        </w:rPr>
        <w:t>8,6</w:t>
      </w:r>
      <w:r w:rsidRPr="00263B9F">
        <w:rPr>
          <w:lang w:val="lv-LV"/>
        </w:rPr>
        <w:t xml:space="preserve"> milj. </w:t>
      </w:r>
      <w:r w:rsidR="009173F0" w:rsidRPr="00263B9F">
        <w:rPr>
          <w:lang w:val="lv-LV"/>
        </w:rPr>
        <w:t>EUR</w:t>
      </w:r>
      <w:r w:rsidRPr="00263B9F">
        <w:rPr>
          <w:lang w:val="lv-LV"/>
        </w:rPr>
        <w:t xml:space="preserve">, ieguldījumi cilvēkresursos – </w:t>
      </w:r>
      <w:r w:rsidR="009173F0" w:rsidRPr="00263B9F">
        <w:rPr>
          <w:lang w:val="lv-LV"/>
        </w:rPr>
        <w:t>2,16</w:t>
      </w:r>
      <w:r w:rsidRPr="00263B9F">
        <w:rPr>
          <w:lang w:val="lv-LV"/>
        </w:rPr>
        <w:t xml:space="preserve"> milj. </w:t>
      </w:r>
      <w:r w:rsidR="009173F0" w:rsidRPr="00263B9F">
        <w:rPr>
          <w:lang w:val="lv-LV"/>
        </w:rPr>
        <w:t>EUR</w:t>
      </w:r>
      <w:r w:rsidRPr="00263B9F">
        <w:rPr>
          <w:lang w:val="lv-LV"/>
        </w:rPr>
        <w:t xml:space="preserve">, bet ieguldījumi pārrobežu sadarbības veicināšanā </w:t>
      </w:r>
      <w:r w:rsidR="009173F0" w:rsidRPr="00263B9F">
        <w:rPr>
          <w:lang w:val="lv-LV"/>
        </w:rPr>
        <w:t>2.05</w:t>
      </w:r>
      <w:r w:rsidR="00DF141B" w:rsidRPr="00263B9F">
        <w:rPr>
          <w:lang w:val="lv-LV"/>
        </w:rPr>
        <w:t xml:space="preserve"> milj. </w:t>
      </w:r>
      <w:r w:rsidR="009173F0" w:rsidRPr="00263B9F">
        <w:rPr>
          <w:lang w:val="lv-LV"/>
        </w:rPr>
        <w:t>EUR</w:t>
      </w:r>
      <w:r w:rsidR="00DF141B" w:rsidRPr="00263B9F">
        <w:rPr>
          <w:lang w:val="lv-LV"/>
        </w:rPr>
        <w:t>.</w:t>
      </w:r>
    </w:p>
    <w:p w14:paraId="49640AE4" w14:textId="77777777" w:rsidR="004B5C1D" w:rsidRPr="00267BCC" w:rsidRDefault="004B5C1D" w:rsidP="00267BCC">
      <w:pPr>
        <w:jc w:val="both"/>
        <w:rPr>
          <w:lang w:val="lv-LV"/>
        </w:rPr>
      </w:pPr>
    </w:p>
    <w:p w14:paraId="49640AE5" w14:textId="77777777" w:rsidR="008044E6" w:rsidRPr="00267BCC" w:rsidRDefault="00752600" w:rsidP="00267BCC">
      <w:pPr>
        <w:ind w:firstLine="720"/>
        <w:jc w:val="right"/>
        <w:rPr>
          <w:lang w:val="lv-LV"/>
        </w:rPr>
      </w:pPr>
      <w:r w:rsidRPr="00267BCC">
        <w:rPr>
          <w:lang w:val="lv-LV"/>
        </w:rPr>
        <w:t>5</w:t>
      </w:r>
      <w:r w:rsidR="008044E6" w:rsidRPr="00267BCC">
        <w:rPr>
          <w:lang w:val="lv-LV"/>
        </w:rPr>
        <w:t>.attēls</w:t>
      </w:r>
    </w:p>
    <w:p w14:paraId="49640AE6" w14:textId="77777777" w:rsidR="008044E6" w:rsidRPr="00267BCC" w:rsidRDefault="008044E6" w:rsidP="00267BCC">
      <w:pPr>
        <w:ind w:firstLine="720"/>
        <w:jc w:val="center"/>
        <w:rPr>
          <w:lang w:val="lv-LV"/>
        </w:rPr>
      </w:pPr>
      <w:r w:rsidRPr="00267BCC">
        <w:rPr>
          <w:noProof/>
          <w:lang w:val="lv-LV"/>
        </w:rPr>
        <w:drawing>
          <wp:inline distT="0" distB="0" distL="0" distR="0" wp14:anchorId="49640EC8" wp14:editId="49640EC9">
            <wp:extent cx="3794760" cy="227653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0500" cy="2279983"/>
                    </a:xfrm>
                    <a:prstGeom prst="rect">
                      <a:avLst/>
                    </a:prstGeom>
                    <a:noFill/>
                  </pic:spPr>
                </pic:pic>
              </a:graphicData>
            </a:graphic>
          </wp:inline>
        </w:drawing>
      </w:r>
    </w:p>
    <w:p w14:paraId="49640AE7" w14:textId="77777777" w:rsidR="00180E4C" w:rsidRPr="00267BCC" w:rsidRDefault="00180E4C" w:rsidP="00267BCC">
      <w:pPr>
        <w:jc w:val="both"/>
        <w:rPr>
          <w:lang w:val="lv-LV"/>
        </w:rPr>
      </w:pPr>
    </w:p>
    <w:p w14:paraId="49640AE8" w14:textId="77777777" w:rsidR="008044E6" w:rsidRPr="00267BCC" w:rsidRDefault="008044E6" w:rsidP="00267BCC">
      <w:pPr>
        <w:pStyle w:val="Heading3"/>
        <w:numPr>
          <w:ilvl w:val="2"/>
          <w:numId w:val="24"/>
        </w:numPr>
        <w:rPr>
          <w:lang w:val="lv-LV"/>
        </w:rPr>
      </w:pPr>
      <w:bookmarkStart w:id="21" w:name="_Toc381256658"/>
      <w:r w:rsidRPr="00267BCC">
        <w:rPr>
          <w:lang w:val="lv-LV"/>
        </w:rPr>
        <w:t>Ieguldījumi infrastruktūrā</w:t>
      </w:r>
      <w:bookmarkEnd w:id="21"/>
    </w:p>
    <w:p w14:paraId="49640AE9" w14:textId="77777777" w:rsidR="008044E6" w:rsidRPr="00267BCC" w:rsidRDefault="008044E6" w:rsidP="00267BCC">
      <w:pPr>
        <w:ind w:firstLine="720"/>
        <w:jc w:val="both"/>
        <w:rPr>
          <w:lang w:val="lv-LV"/>
        </w:rPr>
      </w:pPr>
    </w:p>
    <w:p w14:paraId="49640AEA" w14:textId="77777777" w:rsidR="005820F7" w:rsidRPr="00267BCC" w:rsidRDefault="005820F7" w:rsidP="00267BCC">
      <w:pPr>
        <w:ind w:firstLine="720"/>
        <w:jc w:val="both"/>
        <w:rPr>
          <w:lang w:val="lv-LV"/>
        </w:rPr>
      </w:pPr>
      <w:r w:rsidRPr="00267BCC">
        <w:rPr>
          <w:lang w:val="lv-LV"/>
        </w:rPr>
        <w:t>Par finansējuma novirzīšanu ieguldījumiem infrastruktūrā šajā periodā atbildīgas bijušas EM, KM, VARAM darbības programmas „Infrastruktūra un pakalpojumi” ietvaros un ZM.</w:t>
      </w:r>
      <w:r w:rsidR="000E6BF2" w:rsidRPr="00267BCC">
        <w:rPr>
          <w:lang w:val="lv-LV"/>
        </w:rPr>
        <w:t xml:space="preserve"> Turpmākie reģionālie salīdzinājumi veidoti, par pamatu ņemot statistikas reģionus.</w:t>
      </w:r>
    </w:p>
    <w:p w14:paraId="49640AEB" w14:textId="77777777" w:rsidR="005820F7" w:rsidRPr="00263B9F" w:rsidRDefault="005820F7" w:rsidP="00267BCC">
      <w:pPr>
        <w:ind w:firstLine="720"/>
        <w:jc w:val="both"/>
        <w:rPr>
          <w:lang w:val="lv-LV"/>
        </w:rPr>
      </w:pPr>
      <w:r w:rsidRPr="00267BCC">
        <w:rPr>
          <w:lang w:val="lv-LV"/>
        </w:rPr>
        <w:t xml:space="preserve">Valsts nozīmes pilsētbūvniecības pieminekļu saglabāšanas, atjaunošanas un infrastruktūras pielāgošanas tūrisma produkta attīstībai programmā (EM finansējums) kopējā līgumu summa </w:t>
      </w:r>
      <w:r w:rsidRPr="00263B9F">
        <w:rPr>
          <w:lang w:val="lv-LV"/>
        </w:rPr>
        <w:t xml:space="preserve">veido </w:t>
      </w:r>
      <w:r w:rsidR="00BA36A5" w:rsidRPr="00263B9F">
        <w:rPr>
          <w:lang w:val="lv-LV"/>
        </w:rPr>
        <w:t>15 050 349,55 EUR</w:t>
      </w:r>
      <w:r w:rsidRPr="00263B9F">
        <w:rPr>
          <w:lang w:val="lv-LV"/>
        </w:rPr>
        <w:t xml:space="preserve">, no kuras ERAF līdzfinansējums bija </w:t>
      </w:r>
      <w:r w:rsidR="00BA36A5" w:rsidRPr="00263B9F">
        <w:rPr>
          <w:lang w:val="lv-LV"/>
        </w:rPr>
        <w:t>9 970 649,33</w:t>
      </w:r>
      <w:r w:rsidRPr="00263B9F">
        <w:rPr>
          <w:lang w:val="lv-LV"/>
        </w:rPr>
        <w:t xml:space="preserve"> </w:t>
      </w:r>
      <w:r w:rsidR="00BA36A5" w:rsidRPr="00263B9F">
        <w:rPr>
          <w:lang w:val="lv-LV"/>
        </w:rPr>
        <w:t>EUR</w:t>
      </w:r>
      <w:r w:rsidRPr="00263B9F">
        <w:rPr>
          <w:lang w:val="lv-LV"/>
        </w:rPr>
        <w:t>. Šajā programmā visaktīvākā bija Kurzeme ar 6 īstenotiem projektiem, kurai seko Zemgale ar 5 projektiem, savukārt Rīgā ti</w:t>
      </w:r>
      <w:r w:rsidR="00C007EE" w:rsidRPr="00263B9F">
        <w:rPr>
          <w:lang w:val="lv-LV"/>
        </w:rPr>
        <w:t>ka atbalstīts tikai 1 projekts.</w:t>
      </w:r>
    </w:p>
    <w:p w14:paraId="49640AEC" w14:textId="77777777" w:rsidR="005820F7" w:rsidRPr="00267BCC" w:rsidRDefault="005820F7" w:rsidP="00267BCC">
      <w:pPr>
        <w:ind w:firstLine="720"/>
        <w:jc w:val="both"/>
        <w:rPr>
          <w:lang w:val="lv-LV"/>
        </w:rPr>
      </w:pPr>
      <w:r w:rsidRPr="00263B9F">
        <w:rPr>
          <w:lang w:val="lv-LV"/>
        </w:rPr>
        <w:t xml:space="preserve">Sociālekonomiski nozīmīgu kultūras mantojuma objektu atjaunošanas programmā (KM finansējums) kopējā līgumu summa veido </w:t>
      </w:r>
      <w:r w:rsidR="00E24397" w:rsidRPr="00263B9F">
        <w:rPr>
          <w:lang w:val="lv-LV"/>
        </w:rPr>
        <w:t>24 305 014,53 EUR</w:t>
      </w:r>
      <w:r w:rsidRPr="00263B9F">
        <w:rPr>
          <w:lang w:val="lv-LV"/>
        </w:rPr>
        <w:t xml:space="preserve">, no kuras ERAF līdzfinansējums bija </w:t>
      </w:r>
      <w:r w:rsidR="00E24397" w:rsidRPr="00263B9F">
        <w:rPr>
          <w:lang w:val="lv-LV"/>
        </w:rPr>
        <w:t>20 188 447,60 EUR</w:t>
      </w:r>
      <w:r w:rsidRPr="00263B9F">
        <w:rPr>
          <w:lang w:val="lv-LV"/>
        </w:rPr>
        <w:t>. Šajā programmā</w:t>
      </w:r>
      <w:r w:rsidRPr="00267BCC">
        <w:rPr>
          <w:lang w:val="lv-LV"/>
        </w:rPr>
        <w:t xml:space="preserve"> visaktīvākā bija Rīga un Kurzeme </w:t>
      </w:r>
      <w:r w:rsidRPr="00267BCC">
        <w:rPr>
          <w:lang w:val="lv-LV"/>
        </w:rPr>
        <w:lastRenderedPageBreak/>
        <w:t>ar 2 atbalstītiem projektiem, bet Vidzemē šajā programmā netika apstiprināts neviens projekts.</w:t>
      </w:r>
    </w:p>
    <w:p w14:paraId="49640AED" w14:textId="77777777" w:rsidR="005820F7" w:rsidRPr="00263B9F" w:rsidRDefault="005820F7" w:rsidP="00267BCC">
      <w:pPr>
        <w:ind w:firstLine="720"/>
        <w:jc w:val="both"/>
        <w:rPr>
          <w:lang w:val="lv-LV"/>
        </w:rPr>
      </w:pPr>
      <w:r w:rsidRPr="00267BCC">
        <w:rPr>
          <w:lang w:val="lv-LV"/>
        </w:rPr>
        <w:t xml:space="preserve">Nacionālas nozīmes velotūrisma produktu attīstības programmā (EM finansējums) </w:t>
      </w:r>
      <w:r w:rsidRPr="00263B9F">
        <w:rPr>
          <w:lang w:val="lv-LV"/>
        </w:rPr>
        <w:t xml:space="preserve">kopējā līgumu summa veido </w:t>
      </w:r>
      <w:r w:rsidR="00E24397" w:rsidRPr="00263B9F">
        <w:rPr>
          <w:lang w:val="lv-LV"/>
        </w:rPr>
        <w:t>10 436 057,68 EUR</w:t>
      </w:r>
      <w:r w:rsidRPr="00263B9F">
        <w:rPr>
          <w:lang w:val="lv-LV"/>
        </w:rPr>
        <w:t xml:space="preserve">, no kuras ERAF līdzfinansējums bija </w:t>
      </w:r>
      <w:r w:rsidR="00E24397" w:rsidRPr="00263B9F">
        <w:rPr>
          <w:lang w:val="lv-LV"/>
        </w:rPr>
        <w:t>5 314 752,19 EUR</w:t>
      </w:r>
      <w:r w:rsidRPr="00263B9F">
        <w:rPr>
          <w:lang w:val="lv-LV"/>
        </w:rPr>
        <w:t>. Šajā programmā visaktīvākais bija Rīgas reģions ar 4 projektiem, kuram seko Kurzeme ar 2 atbalstītiem projektiem un Zemgale ar vienu projektu, bet Vidzemē un Latgalē šajā programmā netika atbalstīts neviens projekts.</w:t>
      </w:r>
    </w:p>
    <w:p w14:paraId="49640AEE" w14:textId="67D3E845" w:rsidR="005820F7" w:rsidRPr="00263B9F" w:rsidRDefault="00B71CEA" w:rsidP="00267BCC">
      <w:pPr>
        <w:ind w:firstLine="720"/>
        <w:jc w:val="both"/>
        <w:rPr>
          <w:lang w:val="lv-LV"/>
        </w:rPr>
      </w:pPr>
      <w:r w:rsidRPr="00B71CEA">
        <w:rPr>
          <w:lang w:val="lv-LV"/>
        </w:rPr>
        <w:t>Atbalsta programmā kultūras pieminekļu privātīpašniekiem kultūras pieminekļu saglabāšanā un to sociālekonomiskā potenciāla efektīvā izmantošanā (KM finansējums) kopējā līgumu summa veido 14 899 216,34 EUR, no kuras ERAF līdzfinansējums bija 9 655 001,68 EUR. Šajā programmā visaktīvākā bija Rīga ar 5 projektiem, kurai seko Kurzeme ar 1 atbalstītu projektu, bet pārējiem reģioniem šajā programmā nav apstiprināts neviens projekts</w:t>
      </w:r>
      <w:r w:rsidR="005820F7" w:rsidRPr="00263B9F">
        <w:rPr>
          <w:lang w:val="lv-LV"/>
        </w:rPr>
        <w:t>.</w:t>
      </w:r>
    </w:p>
    <w:p w14:paraId="49640AEF" w14:textId="77777777" w:rsidR="005820F7" w:rsidRPr="00263B9F" w:rsidRDefault="005820F7" w:rsidP="00267BCC">
      <w:pPr>
        <w:ind w:firstLine="720"/>
        <w:jc w:val="both"/>
        <w:rPr>
          <w:lang w:val="lv-LV"/>
        </w:rPr>
      </w:pPr>
      <w:r w:rsidRPr="00263B9F">
        <w:rPr>
          <w:lang w:val="lv-LV"/>
        </w:rPr>
        <w:t xml:space="preserve">Nacionālas un reģionālas nozīmes attīstības centru izaugsmes veicināšanas līdzsvarotai valsts attīstībai programmā (VARAM finansējums) kopā atbalstīti 96 projekti, no tiem ar tūrismu saistīti 13, kur ERAF līdzfinansējums veido </w:t>
      </w:r>
      <w:r w:rsidR="00E24397" w:rsidRPr="00263B9F">
        <w:rPr>
          <w:lang w:val="lv-LV"/>
        </w:rPr>
        <w:t>23 546 139,13 EUR</w:t>
      </w:r>
      <w:r w:rsidRPr="00263B9F">
        <w:rPr>
          <w:lang w:val="lv-LV"/>
        </w:rPr>
        <w:t>. Šajā programmā visaktīvākā bija Zemgale un Kurzeme – katrai 4 projekti, kam seko Latgale ar 3 un Vidz</w:t>
      </w:r>
      <w:r w:rsidR="00E24397" w:rsidRPr="00263B9F">
        <w:rPr>
          <w:lang w:val="lv-LV"/>
        </w:rPr>
        <w:t>eme ar 2 īstenotiem projektiem.</w:t>
      </w:r>
    </w:p>
    <w:p w14:paraId="49640AF0" w14:textId="77777777" w:rsidR="005820F7" w:rsidRPr="00267BCC" w:rsidRDefault="005820F7" w:rsidP="00267BCC">
      <w:pPr>
        <w:ind w:firstLine="720"/>
        <w:jc w:val="both"/>
        <w:rPr>
          <w:lang w:val="lv-LV"/>
        </w:rPr>
      </w:pPr>
      <w:r w:rsidRPr="00263B9F">
        <w:rPr>
          <w:lang w:val="lv-LV"/>
        </w:rPr>
        <w:t>Atbalsta programmā novadu pašvaldību kompleksai attīstībai (VARAM finansējums) kopā atbalstīti 1</w:t>
      </w:r>
      <w:r w:rsidR="00E24397" w:rsidRPr="00263B9F">
        <w:rPr>
          <w:lang w:val="lv-LV"/>
        </w:rPr>
        <w:t>3</w:t>
      </w:r>
      <w:r w:rsidRPr="00263B9F">
        <w:rPr>
          <w:lang w:val="lv-LV"/>
        </w:rPr>
        <w:t xml:space="preserve"> projekti, no tiem ar tūrismu saistīti 4, kur ERAF līdzfinansējums veido </w:t>
      </w:r>
      <w:r w:rsidR="00E24397" w:rsidRPr="00263B9F">
        <w:rPr>
          <w:lang w:val="lv-LV"/>
        </w:rPr>
        <w:t>5 076 153,49 EUR</w:t>
      </w:r>
      <w:r w:rsidRPr="00263B9F">
        <w:rPr>
          <w:lang w:val="lv-LV"/>
        </w:rPr>
        <w:t>. Šajā prog</w:t>
      </w:r>
      <w:r w:rsidRPr="00267BCC">
        <w:rPr>
          <w:lang w:val="lv-LV"/>
        </w:rPr>
        <w:t>rammā visaktīvākā bija Latgale ar 2 projektiem, kam seko Kurzeme un Vidzeme – katra ar 1  atbalstītu projektu.</w:t>
      </w:r>
    </w:p>
    <w:p w14:paraId="49640AF1" w14:textId="77777777" w:rsidR="00774244" w:rsidRPr="00263B9F" w:rsidRDefault="005820F7" w:rsidP="00267BCC">
      <w:pPr>
        <w:ind w:firstLine="720"/>
        <w:jc w:val="both"/>
        <w:rPr>
          <w:lang w:val="lv-LV"/>
        </w:rPr>
      </w:pPr>
      <w:r w:rsidRPr="00267BCC">
        <w:rPr>
          <w:lang w:val="lv-LV"/>
        </w:rPr>
        <w:t xml:space="preserve">Skatoties uz finansējuma apguvi teritoriāli (pēc noslēgtajiem līgumiem), var secināt, ka lielākos ieguldījumus infrastruktūras izveidē saņēmusi Rīga, kam seko Kurzeme un Latgale. 6.attēlā norādītajā sadalījumā nav iekļauts </w:t>
      </w:r>
      <w:r w:rsidR="00E24397" w:rsidRPr="00267BCC">
        <w:rPr>
          <w:lang w:val="lv-LV"/>
        </w:rPr>
        <w:t>ZM</w:t>
      </w:r>
      <w:r w:rsidRPr="00267BCC">
        <w:rPr>
          <w:lang w:val="lv-LV"/>
        </w:rPr>
        <w:t xml:space="preserve"> atbalsta programmas tūrisma attīstībai reģionos par </w:t>
      </w:r>
      <w:r w:rsidR="00E24397" w:rsidRPr="00267BCC">
        <w:rPr>
          <w:lang w:val="lv-LV"/>
        </w:rPr>
        <w:t xml:space="preserve">kopējo līgumu summu </w:t>
      </w:r>
      <w:r w:rsidR="00E24397" w:rsidRPr="00263B9F">
        <w:rPr>
          <w:lang w:val="lv-LV"/>
        </w:rPr>
        <w:t>9,93 milj. EUR</w:t>
      </w:r>
      <w:r w:rsidRPr="00263B9F">
        <w:rPr>
          <w:lang w:val="lv-LV"/>
        </w:rPr>
        <w:t xml:space="preserve"> (12% no kopējās ieguldījumu infrastruktūrā summas).</w:t>
      </w:r>
    </w:p>
    <w:p w14:paraId="49640AF2" w14:textId="77777777" w:rsidR="00774244" w:rsidRPr="00267BCC" w:rsidRDefault="00774244" w:rsidP="00267BCC">
      <w:pPr>
        <w:jc w:val="right"/>
        <w:rPr>
          <w:lang w:val="lv-LV"/>
        </w:rPr>
      </w:pPr>
    </w:p>
    <w:p w14:paraId="49640AF3" w14:textId="77777777" w:rsidR="008044E6" w:rsidRPr="00267BCC" w:rsidRDefault="00752600" w:rsidP="00267BCC">
      <w:pPr>
        <w:jc w:val="right"/>
        <w:rPr>
          <w:lang w:val="lv-LV"/>
        </w:rPr>
      </w:pPr>
      <w:r w:rsidRPr="00267BCC">
        <w:rPr>
          <w:lang w:val="lv-LV"/>
        </w:rPr>
        <w:t>6</w:t>
      </w:r>
      <w:r w:rsidR="008044E6" w:rsidRPr="00267BCC">
        <w:rPr>
          <w:lang w:val="lv-LV"/>
        </w:rPr>
        <w:t>.attēls</w:t>
      </w:r>
    </w:p>
    <w:p w14:paraId="49640AF4" w14:textId="77777777" w:rsidR="008044E6" w:rsidRPr="00267BCC" w:rsidRDefault="008044E6" w:rsidP="00267BCC">
      <w:pPr>
        <w:jc w:val="center"/>
        <w:rPr>
          <w:lang w:val="lv-LV"/>
        </w:rPr>
      </w:pPr>
      <w:r w:rsidRPr="00267BCC">
        <w:rPr>
          <w:noProof/>
          <w:lang w:val="lv-LV"/>
        </w:rPr>
        <w:drawing>
          <wp:inline distT="0" distB="0" distL="0" distR="0" wp14:anchorId="49640ECA" wp14:editId="49640ECB">
            <wp:extent cx="3886739" cy="2331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6997" cy="2337874"/>
                    </a:xfrm>
                    <a:prstGeom prst="rect">
                      <a:avLst/>
                    </a:prstGeom>
                    <a:noFill/>
                  </pic:spPr>
                </pic:pic>
              </a:graphicData>
            </a:graphic>
          </wp:inline>
        </w:drawing>
      </w:r>
    </w:p>
    <w:p w14:paraId="49640AF5" w14:textId="77777777" w:rsidR="008044E6" w:rsidRPr="00267BCC" w:rsidRDefault="008044E6" w:rsidP="00267BCC">
      <w:pPr>
        <w:rPr>
          <w:b/>
          <w:lang w:val="lv-LV"/>
        </w:rPr>
      </w:pPr>
    </w:p>
    <w:p w14:paraId="49640AF6" w14:textId="77777777" w:rsidR="008044E6" w:rsidRPr="00267BCC" w:rsidRDefault="008044E6" w:rsidP="00267BCC">
      <w:pPr>
        <w:pStyle w:val="Heading3"/>
        <w:numPr>
          <w:ilvl w:val="2"/>
          <w:numId w:val="24"/>
        </w:numPr>
        <w:rPr>
          <w:lang w:val="lv-LV"/>
        </w:rPr>
      </w:pPr>
      <w:bookmarkStart w:id="22" w:name="_Toc381256659"/>
      <w:r w:rsidRPr="00267BCC">
        <w:rPr>
          <w:lang w:val="lv-LV"/>
        </w:rPr>
        <w:t>Citi ieguldījumi</w:t>
      </w:r>
      <w:bookmarkEnd w:id="22"/>
      <w:r w:rsidRPr="00267BCC">
        <w:rPr>
          <w:lang w:val="lv-LV"/>
        </w:rPr>
        <w:t xml:space="preserve"> </w:t>
      </w:r>
    </w:p>
    <w:p w14:paraId="49640AF7" w14:textId="77777777" w:rsidR="008044E6" w:rsidRPr="00267BCC" w:rsidRDefault="008044E6" w:rsidP="00267BCC">
      <w:pPr>
        <w:jc w:val="both"/>
        <w:rPr>
          <w:lang w:val="lv-LV"/>
        </w:rPr>
      </w:pPr>
      <w:r w:rsidRPr="00267BCC">
        <w:rPr>
          <w:lang w:val="lv-LV"/>
        </w:rPr>
        <w:tab/>
      </w:r>
    </w:p>
    <w:p w14:paraId="49640AF8" w14:textId="77777777" w:rsidR="005820F7" w:rsidRPr="00267BCC" w:rsidRDefault="005820F7" w:rsidP="00267BCC">
      <w:pPr>
        <w:ind w:firstLine="720"/>
        <w:jc w:val="both"/>
        <w:rPr>
          <w:lang w:val="lv-LV"/>
        </w:rPr>
      </w:pPr>
      <w:r w:rsidRPr="00267BCC">
        <w:rPr>
          <w:lang w:val="lv-LV"/>
        </w:rPr>
        <w:t xml:space="preserve">Ieguldījumi mārketingā veikti darbības programmas „Uzņēmējdarbība un inovācijas” ietvaros LIAA projektā „Nozaru nacionālie stendi starptautiskajās izstādēs ārvalstīs un eksporta konsultācija”, atbalsta programmā „Ārējo tirgu apgūšana – ārējais mārketings”, kā arī TAVA projektā „Latvijas kā tūrisma galamērķa konkurētspējas stiprināšana ārējos tirgos” ietvaros. TAVA projektam </w:t>
      </w:r>
      <w:r w:rsidRPr="00263B9F">
        <w:rPr>
          <w:lang w:val="lv-LV"/>
        </w:rPr>
        <w:t>ko</w:t>
      </w:r>
      <w:r w:rsidR="008A054A" w:rsidRPr="00263B9F">
        <w:rPr>
          <w:lang w:val="lv-LV"/>
        </w:rPr>
        <w:t>pējais finansējums ir 7 114 359,05 EUR</w:t>
      </w:r>
      <w:r w:rsidRPr="00263B9F">
        <w:rPr>
          <w:lang w:val="lv-LV"/>
        </w:rPr>
        <w:t xml:space="preserve">, kur ERAF līdzfinansējums veido </w:t>
      </w:r>
      <w:r w:rsidR="008A054A" w:rsidRPr="00263B9F">
        <w:rPr>
          <w:lang w:val="lv-LV"/>
        </w:rPr>
        <w:t>4 268 615,43 EUR</w:t>
      </w:r>
      <w:r w:rsidRPr="00267BCC">
        <w:rPr>
          <w:lang w:val="lv-LV"/>
        </w:rPr>
        <w:t xml:space="preserve"> un projekta īstenošana paredzēta no 2011.gada 1.janvāra līdz 2015.gada 30.jūnijam. TAVA projektā paredzētas aktivitātes nacionālo stendu </w:t>
      </w:r>
      <w:r w:rsidRPr="00267BCC">
        <w:rPr>
          <w:lang w:val="lv-LV"/>
        </w:rPr>
        <w:lastRenderedPageBreak/>
        <w:t>organizēšanai starptautiskajās izstādēs ārvalstīs un dažādu reklāmas kampaņu organizēšanai ārvalstu tirgos.</w:t>
      </w:r>
    </w:p>
    <w:p w14:paraId="49640AF9" w14:textId="77777777" w:rsidR="005820F7" w:rsidRPr="00263B9F" w:rsidRDefault="005820F7" w:rsidP="00267BCC">
      <w:pPr>
        <w:ind w:firstLine="720"/>
        <w:jc w:val="both"/>
        <w:rPr>
          <w:lang w:val="lv-LV"/>
        </w:rPr>
      </w:pPr>
      <w:r w:rsidRPr="00267BCC">
        <w:rPr>
          <w:lang w:val="lv-LV"/>
        </w:rPr>
        <w:t xml:space="preserve">Nozares pārstāvju sadarbības veicināšana tiek veikta „Klasteru programmas” ietvaros (2.3.2.2. aktivitāte), īstenojot 2 projektus „Gaujas nacionālā parka tūrisma klastera attīstība” un „Latvijas ilgtspējīga tūrisma klasteris” ar kopējo publiskā atbalsta summu </w:t>
      </w:r>
      <w:r w:rsidR="008A054A" w:rsidRPr="00263B9F">
        <w:rPr>
          <w:lang w:val="lv-LV"/>
        </w:rPr>
        <w:t xml:space="preserve">831 221,79 EUR </w:t>
      </w:r>
      <w:r w:rsidRPr="00263B9F">
        <w:rPr>
          <w:lang w:val="lv-LV"/>
        </w:rPr>
        <w:t xml:space="preserve">apmērā. </w:t>
      </w:r>
    </w:p>
    <w:p w14:paraId="49640AFA" w14:textId="77777777" w:rsidR="005820F7" w:rsidRPr="00263B9F" w:rsidRDefault="005820F7" w:rsidP="00267BCC">
      <w:pPr>
        <w:ind w:firstLine="720"/>
        <w:jc w:val="both"/>
        <w:rPr>
          <w:lang w:val="lv-LV"/>
        </w:rPr>
      </w:pPr>
      <w:r w:rsidRPr="00263B9F">
        <w:rPr>
          <w:lang w:val="lv-LV"/>
        </w:rPr>
        <w:t>Ieguldījumi cilvēkresursos veikti darbības programmas „Cilvēkresursi un nodarbinātība” ietvaros īstenojot aktivitāti „Atbalsts nodarbināto apmācībām komersantu konkurētspējas veicināšanai – atbalsts partnerībās organizētām apmācībām”, kuras ietvaros viesnīcu, restorānu un saistīto nozaru komersantu darbin</w:t>
      </w:r>
      <w:r w:rsidR="008A054A" w:rsidRPr="00263B9F">
        <w:rPr>
          <w:lang w:val="lv-LV"/>
        </w:rPr>
        <w:t>ieku apmācībām plānots izlietot 2 134 307,72 EUR</w:t>
      </w:r>
      <w:r w:rsidRPr="00263B9F">
        <w:rPr>
          <w:lang w:val="lv-LV"/>
        </w:rPr>
        <w:t xml:space="preserve">. Savukārt atbalsta programmā komersantu individuāli organizētām aktivitātēm izlietots </w:t>
      </w:r>
      <w:r w:rsidR="008A054A" w:rsidRPr="00263B9F">
        <w:rPr>
          <w:lang w:val="lv-LV"/>
        </w:rPr>
        <w:t>28 472,73 EUR</w:t>
      </w:r>
      <w:r w:rsidRPr="00263B9F">
        <w:rPr>
          <w:lang w:val="lv-LV"/>
        </w:rPr>
        <w:t xml:space="preserve">. </w:t>
      </w:r>
    </w:p>
    <w:p w14:paraId="49640AFB" w14:textId="77777777" w:rsidR="008F588D" w:rsidRPr="00267BCC" w:rsidRDefault="00B6048F" w:rsidP="00267BCC">
      <w:pPr>
        <w:ind w:firstLine="720"/>
        <w:jc w:val="both"/>
        <w:rPr>
          <w:lang w:val="lv-LV"/>
        </w:rPr>
      </w:pPr>
      <w:r w:rsidRPr="00267BCC">
        <w:rPr>
          <w:lang w:val="lv-LV"/>
        </w:rPr>
        <w:t xml:space="preserve">ES </w:t>
      </w:r>
      <w:r w:rsidR="005820F7" w:rsidRPr="00267BCC">
        <w:rPr>
          <w:lang w:val="lv-LV"/>
        </w:rPr>
        <w:t xml:space="preserve">fondu 3.mērķa „Eiropas teritoriālā sadarbība” (pārrobežu sadarbības veicināšana) ietvaros 2007.-2013.gadā sadarbībā ar Lietuvas, Igaunijas, Krievijas un Baltkrievijas dalībvalstu tika īstenoti vairāki projekti pārrobežu sadarbības programmās, kuru rezultātā tika uzlabota Rīgas jūras līča piekrastes pludmaļu un pilsētu pievilcība, sakopti kultūras objekti un publiskās atpūtas vietas, izstrādātas kopējas tūrisma stratēģijas un mārketinga plāni, attīstīts velotūrisms, savienojot velosipēdu ceļus un maršrutus starp Latviju un Lietuvu, kā arī Latviju un Igauniju, atbalstīts ūdens tūrisms, uz kultūras mantojuma pamata attīstīti tūrisma produkti, kā arī notiek sadarbība starp muzejiem, attīstīti tradicionālās lietišķās mākslas un amatniecības tīkli, tādējādi veicinot tūrismu plūsmu reģionos. </w:t>
      </w:r>
    </w:p>
    <w:p w14:paraId="49640AFC" w14:textId="77777777" w:rsidR="00413F50" w:rsidRPr="00267BCC" w:rsidRDefault="00413F50" w:rsidP="00267BCC">
      <w:pPr>
        <w:jc w:val="both"/>
        <w:rPr>
          <w:sz w:val="26"/>
          <w:szCs w:val="26"/>
          <w:lang w:val="lv-LV"/>
        </w:rPr>
      </w:pPr>
    </w:p>
    <w:p w14:paraId="49640AFD" w14:textId="77777777" w:rsidR="00EF3F05" w:rsidRPr="00267BCC" w:rsidRDefault="00752600" w:rsidP="00267BCC">
      <w:pPr>
        <w:pStyle w:val="Heading3"/>
        <w:numPr>
          <w:ilvl w:val="2"/>
          <w:numId w:val="24"/>
        </w:numPr>
        <w:rPr>
          <w:lang w:val="lv-LV"/>
        </w:rPr>
      </w:pPr>
      <w:bookmarkStart w:id="23" w:name="_Toc381256660"/>
      <w:r w:rsidRPr="00267BCC">
        <w:rPr>
          <w:lang w:val="lv-LV"/>
        </w:rPr>
        <w:t>Veikto ieguldījumu atdeves analīze</w:t>
      </w:r>
      <w:bookmarkEnd w:id="23"/>
    </w:p>
    <w:p w14:paraId="49640AFE" w14:textId="77777777" w:rsidR="00AB2C03" w:rsidRPr="00267BCC" w:rsidRDefault="00AB2C03" w:rsidP="00267BCC">
      <w:pPr>
        <w:jc w:val="both"/>
        <w:rPr>
          <w:lang w:val="lv-LV"/>
        </w:rPr>
      </w:pPr>
    </w:p>
    <w:p w14:paraId="49640AFF" w14:textId="77777777" w:rsidR="00B94249" w:rsidRPr="00267BCC" w:rsidRDefault="00B94249" w:rsidP="00267BCC">
      <w:pPr>
        <w:ind w:firstLine="720"/>
        <w:jc w:val="both"/>
        <w:rPr>
          <w:lang w:val="lv-LV"/>
        </w:rPr>
      </w:pPr>
      <w:r w:rsidRPr="00267BCC">
        <w:rPr>
          <w:lang w:val="lv-LV"/>
        </w:rPr>
        <w:t>Starp iepriekš aprakstītajiem ieguldījumiem</w:t>
      </w:r>
      <w:r w:rsidR="009919EB" w:rsidRPr="00267BCC">
        <w:rPr>
          <w:lang w:val="lv-LV"/>
        </w:rPr>
        <w:t>, kas veikti</w:t>
      </w:r>
      <w:r w:rsidRPr="00267BCC">
        <w:rPr>
          <w:lang w:val="lv-LV"/>
        </w:rPr>
        <w:t xml:space="preserve"> tūrisma attīstībā statistikas reģionos</w:t>
      </w:r>
      <w:r w:rsidR="009919EB" w:rsidRPr="00267BCC">
        <w:rPr>
          <w:lang w:val="lv-LV"/>
        </w:rPr>
        <w:t>,</w:t>
      </w:r>
      <w:r w:rsidRPr="00267BCC">
        <w:rPr>
          <w:lang w:val="lv-LV"/>
        </w:rPr>
        <w:t xml:space="preserve"> un tūrisma nozares attīstību reģion</w:t>
      </w:r>
      <w:r w:rsidR="009919EB" w:rsidRPr="00267BCC">
        <w:rPr>
          <w:lang w:val="lv-LV"/>
        </w:rPr>
        <w:t>os</w:t>
      </w:r>
      <w:r w:rsidRPr="00267BCC">
        <w:rPr>
          <w:lang w:val="lv-LV"/>
        </w:rPr>
        <w:t xml:space="preserve"> vērojama kopsakarība. Rīgas un Kurzemes reģionos, kuros veiktas lielākās investīcijas, straujāk kāpināta konkurētspēja eksporta tirgos. </w:t>
      </w:r>
      <w:r w:rsidR="009919EB" w:rsidRPr="00267BCC">
        <w:rPr>
          <w:lang w:val="lv-LV"/>
        </w:rPr>
        <w:t xml:space="preserve">Vienlaicīgi </w:t>
      </w:r>
      <w:r w:rsidRPr="00267BCC">
        <w:rPr>
          <w:lang w:val="lv-LV"/>
        </w:rPr>
        <w:t>Rīgā koncentrējas un turpina attīstīties vislielākie tūrisma resursi. Vidēji ap 72% no ārvalstu tūristu nakšņojumi</w:t>
      </w:r>
      <w:r w:rsidR="009919EB" w:rsidRPr="00267BCC">
        <w:rPr>
          <w:lang w:val="lv-LV"/>
        </w:rPr>
        <w:t>em koncentrējas Rīgā</w:t>
      </w:r>
      <w:r w:rsidR="009919EB" w:rsidRPr="00267BCC">
        <w:rPr>
          <w:rStyle w:val="FootnoteReference"/>
          <w:lang w:val="lv-LV"/>
        </w:rPr>
        <w:footnoteReference w:id="40"/>
      </w:r>
      <w:r w:rsidRPr="00267BCC">
        <w:rPr>
          <w:lang w:val="lv-LV"/>
        </w:rPr>
        <w:t>. Līdzīgi arī vietējā tūrismā – no visiem atpūtas braucieniem iecienītākais galamērķis ir Rīg</w:t>
      </w:r>
      <w:r w:rsidR="009919EB" w:rsidRPr="00267BCC">
        <w:rPr>
          <w:lang w:val="lv-LV"/>
        </w:rPr>
        <w:t>a</w:t>
      </w:r>
      <w:r w:rsidRPr="00267BCC">
        <w:rPr>
          <w:lang w:val="lv-LV"/>
        </w:rPr>
        <w:t xml:space="preserve"> un </w:t>
      </w:r>
      <w:r w:rsidR="009919EB" w:rsidRPr="00267BCC">
        <w:rPr>
          <w:lang w:val="lv-LV"/>
        </w:rPr>
        <w:t>tās</w:t>
      </w:r>
      <w:r w:rsidRPr="00267BCC">
        <w:rPr>
          <w:lang w:val="lv-LV"/>
        </w:rPr>
        <w:t xml:space="preserve"> apkārtne, piesaistot trešo daļu no Latvijas vietējā tūrisma nakšņojumu skaita un Rīgas popularitāte proporcionāli palielinās tieši ārpus aktīvās tūrisma sezonas. Kurzemes konkurētspēja arī pirms šo investīciju ieguldīšanas bija relatīvi augstāka par citiem reģioniem, taču ne tik izteikti. </w:t>
      </w:r>
    </w:p>
    <w:p w14:paraId="49640B00" w14:textId="77777777" w:rsidR="00B94249" w:rsidRPr="00263B9F" w:rsidRDefault="00B94249" w:rsidP="00267BCC">
      <w:pPr>
        <w:ind w:firstLine="720"/>
        <w:jc w:val="both"/>
        <w:rPr>
          <w:lang w:val="lv-LV"/>
        </w:rPr>
      </w:pPr>
      <w:r w:rsidRPr="00267BCC">
        <w:rPr>
          <w:lang w:val="lv-LV"/>
        </w:rPr>
        <w:t xml:space="preserve">Ieguldījumi infrastruktūras attīstībā joprojām ir būtiski, jo </w:t>
      </w:r>
      <w:r w:rsidR="009919EB" w:rsidRPr="00263B9F">
        <w:rPr>
          <w:lang w:val="lv-LV"/>
        </w:rPr>
        <w:t>sasniedzamība ir viens no trim</w:t>
      </w:r>
      <w:r w:rsidRPr="00263B9F">
        <w:rPr>
          <w:lang w:val="lv-LV"/>
        </w:rPr>
        <w:t xml:space="preserve"> galamērķu kritiskajiem faktoriem. Ceļu kvalitāte kā reģionu vājais posms tiek minēta </w:t>
      </w:r>
      <w:r w:rsidR="00260122" w:rsidRPr="00263B9F">
        <w:rPr>
          <w:lang w:val="lv-LV"/>
        </w:rPr>
        <w:t>lielākajā</w:t>
      </w:r>
      <w:r w:rsidRPr="00263B9F">
        <w:rPr>
          <w:lang w:val="lv-LV"/>
        </w:rPr>
        <w:t xml:space="preserve"> daļā pašvaldību attīstības</w:t>
      </w:r>
      <w:r w:rsidR="00260122" w:rsidRPr="00263B9F">
        <w:rPr>
          <w:lang w:val="lv-LV"/>
        </w:rPr>
        <w:t xml:space="preserve"> stratēģiju</w:t>
      </w:r>
      <w:r w:rsidRPr="00263B9F">
        <w:rPr>
          <w:lang w:val="lv-LV"/>
        </w:rPr>
        <w:t xml:space="preserve"> un tūrisma nozares att</w:t>
      </w:r>
      <w:r w:rsidR="00260122" w:rsidRPr="00263B9F">
        <w:rPr>
          <w:lang w:val="lv-LV"/>
        </w:rPr>
        <w:t>īstības un plānošanas dokumentu jau kopš 1995.gada.</w:t>
      </w:r>
    </w:p>
    <w:p w14:paraId="49640B01" w14:textId="77777777" w:rsidR="007F2D37" w:rsidRPr="00263B9F" w:rsidRDefault="00B94249" w:rsidP="00267BCC">
      <w:pPr>
        <w:ind w:firstLine="720"/>
        <w:jc w:val="both"/>
        <w:rPr>
          <w:lang w:val="lv-LV"/>
        </w:rPr>
      </w:pPr>
      <w:r w:rsidRPr="00263B9F">
        <w:rPr>
          <w:lang w:val="lv-LV"/>
        </w:rPr>
        <w:t>Īstenotie mārketinga projekti kopumā ir devuši nozīmīgu rezultātu, jo tūrism</w:t>
      </w:r>
      <w:r w:rsidR="00260122" w:rsidRPr="00263B9F">
        <w:rPr>
          <w:lang w:val="lv-LV"/>
        </w:rPr>
        <w:t>a eksports turpina pieaugt (2.tabula</w:t>
      </w:r>
      <w:r w:rsidRPr="00263B9F">
        <w:rPr>
          <w:lang w:val="lv-LV"/>
        </w:rPr>
        <w:t xml:space="preserve">). Reģionu tūrisma piedāvājumu atbalsta valsts tūrisma </w:t>
      </w:r>
      <w:r w:rsidR="00260122" w:rsidRPr="00263B9F">
        <w:rPr>
          <w:lang w:val="lv-LV"/>
        </w:rPr>
        <w:t>tēla</w:t>
      </w:r>
      <w:r w:rsidRPr="00263B9F">
        <w:rPr>
          <w:lang w:val="lv-LV"/>
        </w:rPr>
        <w:t xml:space="preserve"> „</w:t>
      </w:r>
      <w:r w:rsidR="00260122" w:rsidRPr="00263B9F">
        <w:rPr>
          <w:i/>
          <w:lang w:val="lv-LV"/>
        </w:rPr>
        <w:t xml:space="preserve">Latvia. </w:t>
      </w:r>
      <w:r w:rsidRPr="00263B9F">
        <w:rPr>
          <w:i/>
          <w:lang w:val="lv-LV"/>
        </w:rPr>
        <w:t>Best enjoyed slowly</w:t>
      </w:r>
      <w:r w:rsidRPr="00263B9F">
        <w:rPr>
          <w:lang w:val="lv-LV"/>
        </w:rPr>
        <w:t xml:space="preserve">” („Nesteidzīga atpūta Latvijā”) aktivitātes ārvalstu tirgos, ko skaidri pierāda pieaugošais </w:t>
      </w:r>
      <w:r w:rsidR="00260122" w:rsidRPr="00263B9F">
        <w:rPr>
          <w:lang w:val="lv-LV"/>
        </w:rPr>
        <w:t>nacionālā</w:t>
      </w:r>
      <w:r w:rsidRPr="00263B9F">
        <w:rPr>
          <w:lang w:val="lv-LV"/>
        </w:rPr>
        <w:t xml:space="preserve"> tūrisma </w:t>
      </w:r>
      <w:r w:rsidR="00260122" w:rsidRPr="00263B9F">
        <w:rPr>
          <w:lang w:val="lv-LV"/>
        </w:rPr>
        <w:t>portāla www.l</w:t>
      </w:r>
      <w:r w:rsidRPr="00263B9F">
        <w:rPr>
          <w:lang w:val="lv-LV"/>
        </w:rPr>
        <w:t xml:space="preserve">atvia.travel apmeklējums – 2013.gadā salīdzinoši ar 2012.gadu apmeklējumu skaits pieaudzis par 22%, lapu skatījums pieaudzis par 45%, </w:t>
      </w:r>
      <w:r w:rsidR="00260122" w:rsidRPr="00263B9F">
        <w:rPr>
          <w:lang w:val="lv-LV"/>
        </w:rPr>
        <w:t xml:space="preserve">savukārt apmeklējuma ilgums – </w:t>
      </w:r>
      <w:r w:rsidRPr="00263B9F">
        <w:rPr>
          <w:lang w:val="lv-LV"/>
        </w:rPr>
        <w:t xml:space="preserve">par 33%. Ieguldījumi mārketingā līdz šim pierādījuši divējādu efektu. Liela daļa no </w:t>
      </w:r>
      <w:r w:rsidR="004E4DC8" w:rsidRPr="00263B9F">
        <w:rPr>
          <w:lang w:val="lv-LV"/>
        </w:rPr>
        <w:t xml:space="preserve">aktivitātēm </w:t>
      </w:r>
      <w:r w:rsidRPr="00263B9F">
        <w:rPr>
          <w:lang w:val="lv-LV"/>
        </w:rPr>
        <w:t xml:space="preserve">pierobežas </w:t>
      </w:r>
      <w:r w:rsidR="004E4DC8" w:rsidRPr="00263B9F">
        <w:rPr>
          <w:lang w:val="lv-LV"/>
        </w:rPr>
        <w:t xml:space="preserve">teritorijā </w:t>
      </w:r>
      <w:r w:rsidRPr="00263B9F">
        <w:rPr>
          <w:lang w:val="lv-LV"/>
        </w:rPr>
        <w:t xml:space="preserve">(piemēram, Krievijas vai Baltkrievijas tirgos), ko veikušas dažādas iesaistītās puses pierobežas galamērķos, lielāku atdevi devušas </w:t>
      </w:r>
      <w:r w:rsidR="004E4DC8" w:rsidRPr="00263B9F">
        <w:rPr>
          <w:lang w:val="lv-LV"/>
        </w:rPr>
        <w:t>tādiem</w:t>
      </w:r>
      <w:r w:rsidRPr="00263B9F">
        <w:rPr>
          <w:lang w:val="lv-LV"/>
        </w:rPr>
        <w:t xml:space="preserve"> tūrisma galam</w:t>
      </w:r>
      <w:r w:rsidR="004E4DC8" w:rsidRPr="00263B9F">
        <w:rPr>
          <w:lang w:val="lv-LV"/>
        </w:rPr>
        <w:t xml:space="preserve">ērķiem kā Jūrmala un Rīga, kas </w:t>
      </w:r>
      <w:r w:rsidRPr="00263B9F">
        <w:rPr>
          <w:lang w:val="lv-LV"/>
        </w:rPr>
        <w:t xml:space="preserve">redzams arī eksporta tirgus kartēs (3.pielikums). </w:t>
      </w:r>
      <w:r w:rsidR="007F2D37" w:rsidRPr="00263B9F">
        <w:rPr>
          <w:lang w:val="lv-LV"/>
        </w:rPr>
        <w:t>Tas skaidrojams ar faktu, ka d</w:t>
      </w:r>
      <w:r w:rsidRPr="00263B9F">
        <w:rPr>
          <w:lang w:val="lv-LV"/>
        </w:rPr>
        <w:t>aļu no mārketinga satura ik gadu veido dažādu ES atbalstītu projektu iniciatīvas, kuras ne vienmēr saistītas ar stratēģisku</w:t>
      </w:r>
      <w:r w:rsidRPr="00267BCC">
        <w:rPr>
          <w:u w:val="single"/>
          <w:lang w:val="lv-LV"/>
        </w:rPr>
        <w:t xml:space="preserve"> </w:t>
      </w:r>
      <w:r w:rsidRPr="00263B9F">
        <w:rPr>
          <w:lang w:val="lv-LV"/>
        </w:rPr>
        <w:t>attīstības mērķi un vieno</w:t>
      </w:r>
      <w:r w:rsidR="007F2D37" w:rsidRPr="00263B9F">
        <w:rPr>
          <w:lang w:val="lv-LV"/>
        </w:rPr>
        <w:t xml:space="preserve">tu pieeju. Attiecīgi tiešā Baltkrievijas pierobežas tuvumā lielākais </w:t>
      </w:r>
      <w:r w:rsidR="007F2D37" w:rsidRPr="00263B9F">
        <w:rPr>
          <w:lang w:val="lv-LV"/>
        </w:rPr>
        <w:lastRenderedPageBreak/>
        <w:t>tūristu īpatsvars ir vienīgi Daugavpilī (3.pielikums), tomēr tieši pēdējā gada laikā krievu tūristu īpatsvars ir pieaudzis ne tikai Daugavpilī, bet arī Rēzeknē esošajās tūristu mītnēs</w:t>
      </w:r>
      <w:r w:rsidR="007F2D37" w:rsidRPr="00263B9F">
        <w:rPr>
          <w:rStyle w:val="FootnoteReference"/>
          <w:lang w:val="lv-LV"/>
        </w:rPr>
        <w:footnoteReference w:id="41"/>
      </w:r>
      <w:r w:rsidR="007F2D37" w:rsidRPr="00263B9F">
        <w:rPr>
          <w:lang w:val="lv-LV"/>
        </w:rPr>
        <w:t>.</w:t>
      </w:r>
    </w:p>
    <w:p w14:paraId="49640B02" w14:textId="77777777" w:rsidR="00B94249" w:rsidRPr="00263B9F" w:rsidRDefault="007F2D37" w:rsidP="00267BCC">
      <w:pPr>
        <w:ind w:firstLine="720"/>
        <w:jc w:val="both"/>
        <w:rPr>
          <w:lang w:val="lv-LV"/>
        </w:rPr>
      </w:pPr>
      <w:r w:rsidRPr="00263B9F">
        <w:rPr>
          <w:lang w:val="lv-LV"/>
        </w:rPr>
        <w:t>Tāpat arī l</w:t>
      </w:r>
      <w:r w:rsidR="00260122" w:rsidRPr="00263B9F">
        <w:rPr>
          <w:lang w:val="lv-LV"/>
        </w:rPr>
        <w:t>ielākās ieguvējas</w:t>
      </w:r>
      <w:r w:rsidR="00B94249" w:rsidRPr="00263B9F">
        <w:rPr>
          <w:lang w:val="lv-LV"/>
        </w:rPr>
        <w:t xml:space="preserve"> no pārrobežu sadarbības projektu aktivi</w:t>
      </w:r>
      <w:r w:rsidR="00260122" w:rsidRPr="00263B9F">
        <w:rPr>
          <w:lang w:val="lv-LV"/>
        </w:rPr>
        <w:t xml:space="preserve">tātēm tūrismā līdz šim </w:t>
      </w:r>
      <w:r w:rsidRPr="00263B9F">
        <w:rPr>
          <w:lang w:val="lv-LV"/>
        </w:rPr>
        <w:t xml:space="preserve">ir </w:t>
      </w:r>
      <w:r w:rsidR="00260122" w:rsidRPr="00263B9F">
        <w:rPr>
          <w:lang w:val="lv-LV"/>
        </w:rPr>
        <w:t>bijušas</w:t>
      </w:r>
      <w:r w:rsidR="00B94249" w:rsidRPr="00263B9F">
        <w:rPr>
          <w:lang w:val="lv-LV"/>
        </w:rPr>
        <w:t xml:space="preserve"> Jūrmala un Rīga. </w:t>
      </w:r>
      <w:r w:rsidRPr="00263B9F">
        <w:rPr>
          <w:lang w:val="lv-LV"/>
        </w:rPr>
        <w:t>Kopumā p</w:t>
      </w:r>
      <w:r w:rsidR="00B94249" w:rsidRPr="00263B9F">
        <w:rPr>
          <w:lang w:val="lv-LV"/>
        </w:rPr>
        <w:t>ārrobežu sadarbības aktivitātes ir palielinājušas vienas dienas Igaunijas un Lietuvas apmeklējumu skaitu pierobežā (pamatojoties uz apmeklējumu datiem tūristu piesaistēs 2009-2013), taču nakšņojumu skaits novados, kas robežojas ar blakus valstīm b</w:t>
      </w:r>
      <w:r w:rsidR="00260122" w:rsidRPr="00263B9F">
        <w:rPr>
          <w:lang w:val="lv-LV"/>
        </w:rPr>
        <w:t>ūtiski nav mainījies</w:t>
      </w:r>
      <w:r w:rsidR="00260122" w:rsidRPr="00263B9F">
        <w:rPr>
          <w:rStyle w:val="FootnoteReference"/>
          <w:lang w:val="lv-LV"/>
        </w:rPr>
        <w:footnoteReference w:id="42"/>
      </w:r>
      <w:r w:rsidR="00911433" w:rsidRPr="00263B9F">
        <w:rPr>
          <w:lang w:val="lv-LV"/>
        </w:rPr>
        <w:t>.</w:t>
      </w:r>
    </w:p>
    <w:p w14:paraId="49640B03" w14:textId="77777777" w:rsidR="00B94249" w:rsidRPr="00263B9F" w:rsidRDefault="00B94249" w:rsidP="00267BCC">
      <w:pPr>
        <w:ind w:firstLine="720"/>
        <w:jc w:val="both"/>
        <w:rPr>
          <w:lang w:val="lv-LV"/>
        </w:rPr>
      </w:pPr>
      <w:r w:rsidRPr="00263B9F">
        <w:rPr>
          <w:lang w:val="lv-LV"/>
        </w:rPr>
        <w:t xml:space="preserve">Ieguldījumi nacionālas nozīmes velotūrisma produktu attīstībā vēl pagaidām nav devuši skaidri izmērāmus rezultātus attiecībā uz starptautiskā tūrisma veicināšanu, jo tieši šāda veida precīzi pētījumi Latvijā līdz šim nav veikti. Starptautiskā Velotūrisma ekonomiskās ietekmes pētījumā norādīts, ka velotūristi dod priekšroku veloceļiem ar labas kvalitātes segumu un uzskatāmu marķējumu. Lielākā grupa ir vienas dienas braucēji, kuri tērē līdz 15 EUR dienā. Vairāku dienu velotūristi, kuri ceļojumā pavada 2-4 dienas (30%), 5-7 dienas (30%) vai vairāk vidēji dienā tērē 57 EUR. Tajā pašā pētījumā norādīts, ka Latvijā prognozējamais velotūristu skaits (ieskaitot vienas dienas braucējus) vienā no populārākajiem velotūrisma ceļiem varētu būt 418 300 </w:t>
      </w:r>
      <w:r w:rsidR="00260122" w:rsidRPr="00263B9F">
        <w:rPr>
          <w:lang w:val="lv-LV"/>
        </w:rPr>
        <w:t xml:space="preserve">personas </w:t>
      </w:r>
      <w:r w:rsidRPr="00263B9F">
        <w:rPr>
          <w:lang w:val="lv-LV"/>
        </w:rPr>
        <w:t>gadā, Velotūristiem ir lielāka ietekme uz vietējo ekonomiku</w:t>
      </w:r>
      <w:r w:rsidR="00260122" w:rsidRPr="00263B9F">
        <w:rPr>
          <w:lang w:val="lv-LV"/>
        </w:rPr>
        <w:t>,</w:t>
      </w:r>
      <w:r w:rsidRPr="00263B9F">
        <w:rPr>
          <w:lang w:val="lv-LV"/>
        </w:rPr>
        <w:t xml:space="preserve"> un </w:t>
      </w:r>
      <w:r w:rsidR="00260122" w:rsidRPr="00263B9F">
        <w:rPr>
          <w:lang w:val="lv-LV"/>
        </w:rPr>
        <w:t>viņi atbilst pieaugošajai</w:t>
      </w:r>
      <w:r w:rsidRPr="00263B9F">
        <w:rPr>
          <w:lang w:val="lv-LV"/>
        </w:rPr>
        <w:t xml:space="preserve"> tendencei rūpēties par veselību ceļoj</w:t>
      </w:r>
      <w:r w:rsidR="00260122" w:rsidRPr="00263B9F">
        <w:rPr>
          <w:lang w:val="lv-LV"/>
        </w:rPr>
        <w:t>uma laikā</w:t>
      </w:r>
      <w:r w:rsidR="00260122" w:rsidRPr="00263B9F">
        <w:rPr>
          <w:rStyle w:val="FootnoteReference"/>
          <w:lang w:val="lv-LV"/>
        </w:rPr>
        <w:footnoteReference w:id="43"/>
      </w:r>
      <w:r w:rsidRPr="00263B9F">
        <w:rPr>
          <w:lang w:val="lv-LV"/>
        </w:rPr>
        <w:t xml:space="preserve">. </w:t>
      </w:r>
      <w:r w:rsidR="00260122" w:rsidRPr="00263B9F">
        <w:rPr>
          <w:lang w:val="lv-LV"/>
        </w:rPr>
        <w:t>Tāpat arī p</w:t>
      </w:r>
      <w:r w:rsidRPr="00263B9F">
        <w:rPr>
          <w:lang w:val="lv-LV"/>
        </w:rPr>
        <w:t>ieaugusi vi</w:t>
      </w:r>
      <w:r w:rsidR="00260122" w:rsidRPr="00263B9F">
        <w:rPr>
          <w:lang w:val="lv-LV"/>
        </w:rPr>
        <w:t>etējās sabiedrības aktivitāte – L</w:t>
      </w:r>
      <w:r w:rsidRPr="00263B9F">
        <w:rPr>
          <w:lang w:val="lv-LV"/>
        </w:rPr>
        <w:t>atvijas iedzīvotāji, kuri norādījuši velobraukšanu brīvdienās kā brīvā laika pavadīšanas veidu, pirms vei</w:t>
      </w:r>
      <w:r w:rsidR="00260122" w:rsidRPr="00263B9F">
        <w:rPr>
          <w:lang w:val="lv-LV"/>
        </w:rPr>
        <w:t>ktajām investīcijām bija 14,5%</w:t>
      </w:r>
      <w:r w:rsidR="00260122" w:rsidRPr="00263B9F">
        <w:rPr>
          <w:rStyle w:val="FootnoteReference"/>
          <w:lang w:val="lv-LV"/>
        </w:rPr>
        <w:footnoteReference w:id="44"/>
      </w:r>
      <w:r w:rsidR="00260122" w:rsidRPr="00263B9F">
        <w:rPr>
          <w:lang w:val="lv-LV"/>
        </w:rPr>
        <w:t xml:space="preserve">. </w:t>
      </w:r>
      <w:r w:rsidRPr="00263B9F">
        <w:rPr>
          <w:lang w:val="lv-LV"/>
        </w:rPr>
        <w:t>Latvijas iedzīvotāji, kuri norādījuši velo</w:t>
      </w:r>
      <w:r w:rsidR="00260122" w:rsidRPr="00263B9F">
        <w:rPr>
          <w:lang w:val="lv-LV"/>
        </w:rPr>
        <w:t>sipēdu</w:t>
      </w:r>
      <w:r w:rsidRPr="00263B9F">
        <w:rPr>
          <w:lang w:val="lv-LV"/>
        </w:rPr>
        <w:t xml:space="preserve"> kā galveno </w:t>
      </w:r>
      <w:r w:rsidR="00260122" w:rsidRPr="00263B9F">
        <w:rPr>
          <w:lang w:val="lv-LV"/>
        </w:rPr>
        <w:t>pārvietošanās līdzekli, ir 5-8%</w:t>
      </w:r>
      <w:r w:rsidR="00260122" w:rsidRPr="00263B9F">
        <w:rPr>
          <w:rStyle w:val="FootnoteReference"/>
          <w:lang w:val="lv-LV"/>
        </w:rPr>
        <w:footnoteReference w:id="45"/>
      </w:r>
      <w:r w:rsidR="00260122" w:rsidRPr="00263B9F">
        <w:rPr>
          <w:lang w:val="lv-LV"/>
        </w:rPr>
        <w:t>.</w:t>
      </w:r>
    </w:p>
    <w:p w14:paraId="49640B04" w14:textId="77777777" w:rsidR="00B94249" w:rsidRPr="00267BCC" w:rsidRDefault="00B94249" w:rsidP="00267BCC">
      <w:pPr>
        <w:ind w:firstLine="720"/>
        <w:jc w:val="both"/>
        <w:rPr>
          <w:lang w:val="lv-LV"/>
        </w:rPr>
      </w:pPr>
      <w:r w:rsidRPr="00267BCC">
        <w:rPr>
          <w:lang w:val="lv-LV"/>
        </w:rPr>
        <w:t>Pilsētbūvniecības pieminekļu un sociālekonomiski nozīmīgu kultūras mantojuma objektu atjaunošana devusi tiešu labumu attiecībā uz konkrēto pilsētu vietas mārketinga iespējām, kas attiecas vienlaicīgi uz tūrismu, taču tikpat lielā mērā uz dzīves vides kvalitātes paaugstināšanu – iedzīvotāju piesaisti un uzņēmējdarbības aktivitātes piesaisti. Daudzus atjaunotos kultūras mantojuma pieminekļus, kas nav iekļāvušies līdz šim dominējošā ārvalstu tūrisma plūsmā, apmeklē vietējie tūristi. Liels komerciāl</w:t>
      </w:r>
      <w:r w:rsidR="00FD0887" w:rsidRPr="00267BCC">
        <w:rPr>
          <w:lang w:val="lv-LV"/>
        </w:rPr>
        <w:t>ai</w:t>
      </w:r>
      <w:r w:rsidRPr="00267BCC">
        <w:rPr>
          <w:lang w:val="lv-LV"/>
        </w:rPr>
        <w:t>s potenciāls ir atjaunotajiem kultūras</w:t>
      </w:r>
      <w:r w:rsidR="00FD0887" w:rsidRPr="00267BCC">
        <w:rPr>
          <w:lang w:val="lv-LV"/>
        </w:rPr>
        <w:t xml:space="preserve"> mantojuma objektiem, piemēram, Siguldas pilsdrupām</w:t>
      </w:r>
      <w:r w:rsidRPr="00267BCC">
        <w:rPr>
          <w:lang w:val="lv-LV"/>
        </w:rPr>
        <w:t xml:space="preserve"> (48 tūkst. ap</w:t>
      </w:r>
      <w:r w:rsidR="00FD0887" w:rsidRPr="00267BCC">
        <w:rPr>
          <w:lang w:val="lv-LV"/>
        </w:rPr>
        <w:t>meklējumu 2012.g.), labiekārtotajam Rīgas Jūgendstila centram</w:t>
      </w:r>
      <w:r w:rsidRPr="00267BCC">
        <w:rPr>
          <w:lang w:val="lv-LV"/>
        </w:rPr>
        <w:t xml:space="preserve"> – (27 tū</w:t>
      </w:r>
      <w:r w:rsidR="00FD0887" w:rsidRPr="00267BCC">
        <w:rPr>
          <w:lang w:val="lv-LV"/>
        </w:rPr>
        <w:t>kst. apmeklējumu 2012.g.) un cit</w:t>
      </w:r>
      <w:r w:rsidR="00AC392E" w:rsidRPr="00267BCC">
        <w:rPr>
          <w:lang w:val="lv-LV"/>
        </w:rPr>
        <w:t>iem objektiem, uz kuriem dominē ārvalstu tūristu</w:t>
      </w:r>
      <w:r w:rsidR="00FD0887" w:rsidRPr="00267BCC">
        <w:rPr>
          <w:lang w:val="lv-LV"/>
        </w:rPr>
        <w:t xml:space="preserve"> plūsma.</w:t>
      </w:r>
    </w:p>
    <w:p w14:paraId="49640B05" w14:textId="77777777" w:rsidR="00B94249" w:rsidRPr="00267BCC" w:rsidRDefault="00B94249" w:rsidP="00267BCC">
      <w:pPr>
        <w:ind w:firstLine="720"/>
        <w:jc w:val="both"/>
        <w:rPr>
          <w:lang w:val="lv-LV"/>
        </w:rPr>
      </w:pPr>
      <w:r w:rsidRPr="00267BCC">
        <w:rPr>
          <w:lang w:val="lv-LV"/>
        </w:rPr>
        <w:t xml:space="preserve">Apmeklējumu skaits tūristu piesaistes vietās pierāda divas tendences, kas krasi ietekmē apmeklējumu pieaugumu – investīcijas objekta pilnveidē un infrastruktūrā vai starptautiski nozīmīgi pasākumi. Pasākumi rada strauju plūsmas pieaugumu īstermiņā, taču var tikt mērķtiecīgi izmantots eksporta kāpināšanai, tai skaitā </w:t>
      </w:r>
      <w:r w:rsidR="00FD0887" w:rsidRPr="00267BCC">
        <w:rPr>
          <w:lang w:val="lv-LV"/>
        </w:rPr>
        <w:t>ārpus aktīvās</w:t>
      </w:r>
      <w:r w:rsidRPr="00267BCC">
        <w:rPr>
          <w:lang w:val="lv-LV"/>
        </w:rPr>
        <w:t xml:space="preserve"> sezonā.</w:t>
      </w:r>
    </w:p>
    <w:p w14:paraId="49640B06" w14:textId="77777777" w:rsidR="00891876" w:rsidRPr="00263B9F" w:rsidRDefault="00B94249" w:rsidP="00267BCC">
      <w:pPr>
        <w:ind w:firstLine="720"/>
        <w:jc w:val="both"/>
        <w:rPr>
          <w:lang w:val="lv-LV"/>
        </w:rPr>
      </w:pPr>
      <w:r w:rsidRPr="00267BCC">
        <w:rPr>
          <w:lang w:val="lv-LV"/>
        </w:rPr>
        <w:t>Kurzemē gar Baltijas jūras piekrasti pēdējo gadu laikā izvietojies ievērojams skaits jaunu tūristu mītņu</w:t>
      </w:r>
      <w:r w:rsidRPr="00267BCC">
        <w:rPr>
          <w:u w:val="single"/>
          <w:lang w:val="lv-LV"/>
        </w:rPr>
        <w:t xml:space="preserve">, </w:t>
      </w:r>
      <w:r w:rsidR="00FD0887" w:rsidRPr="00263B9F">
        <w:rPr>
          <w:lang w:val="lv-LV"/>
        </w:rPr>
        <w:t xml:space="preserve">to </w:t>
      </w:r>
      <w:r w:rsidRPr="00263B9F">
        <w:rPr>
          <w:lang w:val="lv-LV"/>
        </w:rPr>
        <w:t>kopējam skaitam 5 km zonā l</w:t>
      </w:r>
      <w:r w:rsidR="00AC392E" w:rsidRPr="00263B9F">
        <w:rPr>
          <w:lang w:val="lv-LV"/>
        </w:rPr>
        <w:t>īdz piekrastei pārsniedzot 200. Vērtējot tūrisma attīstību lielākajās Kurzemes pilsētās, jāizceļ Liepāja</w:t>
      </w:r>
      <w:r w:rsidRPr="00263B9F">
        <w:rPr>
          <w:lang w:val="lv-LV"/>
        </w:rPr>
        <w:t xml:space="preserve"> (</w:t>
      </w:r>
      <w:r w:rsidR="00AC392E" w:rsidRPr="00263B9F">
        <w:rPr>
          <w:lang w:val="lv-LV"/>
        </w:rPr>
        <w:t xml:space="preserve">kādu no tūrisma </w:t>
      </w:r>
      <w:r w:rsidRPr="00263B9F">
        <w:rPr>
          <w:lang w:val="lv-LV"/>
        </w:rPr>
        <w:t>marš</w:t>
      </w:r>
      <w:r w:rsidR="00AC392E" w:rsidRPr="00263B9F">
        <w:rPr>
          <w:lang w:val="lv-LV"/>
        </w:rPr>
        <w:t xml:space="preserve">ruta „Liepāja kā pa notīm” </w:t>
      </w:r>
      <w:r w:rsidRPr="00263B9F">
        <w:rPr>
          <w:lang w:val="lv-LV"/>
        </w:rPr>
        <w:t xml:space="preserve">posmu apmeklējuši </w:t>
      </w:r>
      <w:r w:rsidR="00AC392E" w:rsidRPr="00263B9F">
        <w:rPr>
          <w:lang w:val="lv-LV"/>
        </w:rPr>
        <w:t>aptuveni 70 000 apmeklētāju</w:t>
      </w:r>
      <w:r w:rsidRPr="00263B9F">
        <w:rPr>
          <w:lang w:val="lv-LV"/>
        </w:rPr>
        <w:t xml:space="preserve">, kas ir aptuvens vērtējums pēc izsniegtajām pilsētas kartēm, taču patiesais skaits varētu būt vēl lielāks. </w:t>
      </w:r>
      <w:r w:rsidR="00AC392E" w:rsidRPr="00263B9F">
        <w:rPr>
          <w:lang w:val="lv-LV"/>
        </w:rPr>
        <w:t>Tāpat arī tūristi iecienījuši Karostas cietumu – 21 522 apmeklētāju 2012.gadā, Liepājas muzeju – 31 806 apmeklētāju 2011.gadā</w:t>
      </w:r>
      <w:r w:rsidRPr="00263B9F">
        <w:rPr>
          <w:lang w:val="lv-LV"/>
        </w:rPr>
        <w:t xml:space="preserve">, </w:t>
      </w:r>
      <w:r w:rsidR="00AC392E" w:rsidRPr="00263B9F">
        <w:rPr>
          <w:lang w:val="lv-LV"/>
        </w:rPr>
        <w:t>ralliju</w:t>
      </w:r>
      <w:r w:rsidRPr="00263B9F">
        <w:rPr>
          <w:lang w:val="lv-LV"/>
        </w:rPr>
        <w:t xml:space="preserve"> „Kurzeme” 35 000 </w:t>
      </w:r>
      <w:r w:rsidR="00AC392E" w:rsidRPr="00263B9F">
        <w:rPr>
          <w:lang w:val="lv-LV"/>
        </w:rPr>
        <w:t>apmeklētāju 2011.gadā</w:t>
      </w:r>
      <w:r w:rsidRPr="00263B9F">
        <w:rPr>
          <w:lang w:val="lv-LV"/>
        </w:rPr>
        <w:t>, Liepājas simfoniskā orķes</w:t>
      </w:r>
      <w:r w:rsidR="00AC392E" w:rsidRPr="00263B9F">
        <w:rPr>
          <w:lang w:val="lv-LV"/>
        </w:rPr>
        <w:t>tra koncertus</w:t>
      </w:r>
      <w:r w:rsidRPr="00263B9F">
        <w:rPr>
          <w:lang w:val="lv-LV"/>
        </w:rPr>
        <w:t xml:space="preserve"> 40 500 </w:t>
      </w:r>
      <w:r w:rsidR="00AC392E" w:rsidRPr="00263B9F">
        <w:rPr>
          <w:lang w:val="lv-LV"/>
        </w:rPr>
        <w:t>apmeklētāju 2011.gadā</w:t>
      </w:r>
      <w:r w:rsidRPr="00263B9F">
        <w:rPr>
          <w:lang w:val="lv-LV"/>
        </w:rPr>
        <w:t xml:space="preserve">, </w:t>
      </w:r>
      <w:r w:rsidR="00276929" w:rsidRPr="00263B9F">
        <w:rPr>
          <w:lang w:val="lv-LV"/>
        </w:rPr>
        <w:t>festivālu „Positivus” Salacgrīvā 30 000 apmeklētāju 2013.gadā, festivālu „Summer Sound” – 25 000 apmeklētāju 2012</w:t>
      </w:r>
      <w:r w:rsidR="00AC392E" w:rsidRPr="00263B9F">
        <w:rPr>
          <w:lang w:val="lv-LV"/>
        </w:rPr>
        <w:t>.gadā</w:t>
      </w:r>
      <w:r w:rsidR="00AC392E" w:rsidRPr="00267BCC">
        <w:rPr>
          <w:u w:val="single"/>
          <w:lang w:val="lv-LV"/>
        </w:rPr>
        <w:t xml:space="preserve"> </w:t>
      </w:r>
      <w:r w:rsidR="00AC392E" w:rsidRPr="00263B9F">
        <w:rPr>
          <w:lang w:val="lv-LV"/>
        </w:rPr>
        <w:t>u.c.</w:t>
      </w:r>
      <w:r w:rsidR="000A418E" w:rsidRPr="00263B9F">
        <w:rPr>
          <w:lang w:val="lv-LV"/>
        </w:rPr>
        <w:t xml:space="preserve"> Tāpat arī jāatzīmē Ventspils, kur </w:t>
      </w:r>
      <w:r w:rsidRPr="00263B9F">
        <w:rPr>
          <w:lang w:val="lv-LV"/>
        </w:rPr>
        <w:t xml:space="preserve">2012.gadā palielinājies viesu uzturēšanās ilgums, kas </w:t>
      </w:r>
      <w:r w:rsidR="000A418E" w:rsidRPr="00263B9F">
        <w:rPr>
          <w:lang w:val="lv-LV"/>
        </w:rPr>
        <w:lastRenderedPageBreak/>
        <w:t>bijis</w:t>
      </w:r>
      <w:r w:rsidRPr="00263B9F">
        <w:rPr>
          <w:lang w:val="lv-LV"/>
        </w:rPr>
        <w:t xml:space="preserve"> vismaz </w:t>
      </w:r>
      <w:r w:rsidR="000A418E" w:rsidRPr="00263B9F">
        <w:rPr>
          <w:lang w:val="lv-LV"/>
        </w:rPr>
        <w:t>divas reizes</w:t>
      </w:r>
      <w:r w:rsidRPr="00263B9F">
        <w:rPr>
          <w:lang w:val="lv-LV"/>
        </w:rPr>
        <w:t xml:space="preserve"> lielāks </w:t>
      </w:r>
      <w:r w:rsidR="000A418E" w:rsidRPr="00263B9F">
        <w:rPr>
          <w:lang w:val="lv-LV"/>
        </w:rPr>
        <w:t>ne</w:t>
      </w:r>
      <w:r w:rsidRPr="00263B9F">
        <w:rPr>
          <w:lang w:val="lv-LV"/>
        </w:rPr>
        <w:t xml:space="preserve">kā </w:t>
      </w:r>
      <w:r w:rsidR="000A418E" w:rsidRPr="00263B9F">
        <w:rPr>
          <w:lang w:val="lv-LV"/>
        </w:rPr>
        <w:t xml:space="preserve">Latvijā vidēji. Tiek lēsts, ka gada siltākajos mēnešos Ventspils pludmali apmeklējuši apmēram 200 000 cilvēku. Citi populārākie objekti un pasākumi: Ventspils mazbānītis – </w:t>
      </w:r>
      <w:r w:rsidRPr="00263B9F">
        <w:rPr>
          <w:lang w:val="lv-LV"/>
        </w:rPr>
        <w:t xml:space="preserve">98 200 </w:t>
      </w:r>
      <w:r w:rsidR="000A418E" w:rsidRPr="00263B9F">
        <w:rPr>
          <w:lang w:val="lv-LV"/>
        </w:rPr>
        <w:t>apmeklētāju 2012.gadā</w:t>
      </w:r>
      <w:r w:rsidRPr="00263B9F">
        <w:rPr>
          <w:lang w:val="lv-LV"/>
        </w:rPr>
        <w:t>, Livonijas ordeņa pils</w:t>
      </w:r>
      <w:r w:rsidR="000A418E" w:rsidRPr="00263B9F">
        <w:rPr>
          <w:lang w:val="lv-LV"/>
        </w:rPr>
        <w:t xml:space="preserve"> –</w:t>
      </w:r>
      <w:r w:rsidRPr="00263B9F">
        <w:rPr>
          <w:lang w:val="lv-LV"/>
        </w:rPr>
        <w:t xml:space="preserve"> 40 725 </w:t>
      </w:r>
      <w:r w:rsidR="000A418E" w:rsidRPr="00263B9F">
        <w:rPr>
          <w:lang w:val="lv-LV"/>
        </w:rPr>
        <w:t>apmeklētāju 2012.gadā</w:t>
      </w:r>
      <w:r w:rsidRPr="00263B9F">
        <w:rPr>
          <w:lang w:val="lv-LV"/>
        </w:rPr>
        <w:t xml:space="preserve">, Ventspils pilsētas svētki – 130 000 </w:t>
      </w:r>
      <w:r w:rsidR="000A418E" w:rsidRPr="00263B9F">
        <w:rPr>
          <w:lang w:val="lv-LV"/>
        </w:rPr>
        <w:t xml:space="preserve">apmeklētāju 2012.gadā </w:t>
      </w:r>
      <w:r w:rsidRPr="00263B9F">
        <w:rPr>
          <w:lang w:val="lv-LV"/>
        </w:rPr>
        <w:t>u.c. Kopējais apmeklējumu skaits gadā Ventspilī kopumā</w:t>
      </w:r>
      <w:r w:rsidR="00891876" w:rsidRPr="00263B9F">
        <w:rPr>
          <w:lang w:val="lv-LV"/>
        </w:rPr>
        <w:t xml:space="preserve"> dažādos objektos </w:t>
      </w:r>
      <w:r w:rsidR="000A418E" w:rsidRPr="00263B9F">
        <w:rPr>
          <w:lang w:val="lv-LV"/>
        </w:rPr>
        <w:t>bijis</w:t>
      </w:r>
      <w:r w:rsidR="00891876" w:rsidRPr="00263B9F">
        <w:rPr>
          <w:lang w:val="lv-LV"/>
        </w:rPr>
        <w:t xml:space="preserve"> ap 420 000</w:t>
      </w:r>
      <w:r w:rsidR="00891876" w:rsidRPr="00263B9F">
        <w:rPr>
          <w:rStyle w:val="FootnoteReference"/>
          <w:lang w:val="lv-LV"/>
        </w:rPr>
        <w:footnoteReference w:id="46"/>
      </w:r>
      <w:r w:rsidR="00891876" w:rsidRPr="00263B9F">
        <w:rPr>
          <w:lang w:val="lv-LV"/>
        </w:rPr>
        <w:t>.</w:t>
      </w:r>
    </w:p>
    <w:p w14:paraId="49640B07" w14:textId="77777777" w:rsidR="008044E6" w:rsidRPr="00267BCC" w:rsidRDefault="00891876" w:rsidP="00267BCC">
      <w:pPr>
        <w:ind w:firstLine="720"/>
        <w:jc w:val="both"/>
        <w:rPr>
          <w:lang w:val="lv-LV"/>
        </w:rPr>
      </w:pPr>
      <w:r w:rsidRPr="00267BCC">
        <w:rPr>
          <w:lang w:val="lv-LV"/>
        </w:rPr>
        <w:t>Tāpat arī</w:t>
      </w:r>
      <w:r w:rsidR="00B94249" w:rsidRPr="00267BCC">
        <w:rPr>
          <w:lang w:val="lv-LV"/>
        </w:rPr>
        <w:t xml:space="preserve"> palielinājusies tūrisma attīstība Jūrkalnes piekrastē, Kuldīgā, Rojā un Kolkā. Kolka joprojām </w:t>
      </w:r>
      <w:r w:rsidR="00C96BCE" w:rsidRPr="00267BCC">
        <w:rPr>
          <w:lang w:val="lv-LV"/>
        </w:rPr>
        <w:t xml:space="preserve">ir </w:t>
      </w:r>
      <w:r w:rsidR="00B94249" w:rsidRPr="00267BCC">
        <w:rPr>
          <w:lang w:val="lv-LV"/>
        </w:rPr>
        <w:t>Rīgas jūras līča piekrastes galamērķis, kas piesaista lielāko apmeklējumu skaitu visā posmā pēc Jūrmalas, pārsniedzot 65 tūkst. tūristu</w:t>
      </w:r>
      <w:r w:rsidRPr="00267BCC">
        <w:rPr>
          <w:rStyle w:val="FootnoteReference"/>
          <w:lang w:val="lv-LV"/>
        </w:rPr>
        <w:footnoteReference w:id="47"/>
      </w:r>
      <w:r w:rsidR="00B94249" w:rsidRPr="00267BCC">
        <w:rPr>
          <w:lang w:val="lv-LV"/>
        </w:rPr>
        <w:t>.</w:t>
      </w:r>
      <w:r w:rsidRPr="00267BCC">
        <w:rPr>
          <w:lang w:val="lv-LV"/>
        </w:rPr>
        <w:t xml:space="preserve"> Tikmēr </w:t>
      </w:r>
      <w:r w:rsidR="008044E6" w:rsidRPr="00267BCC">
        <w:rPr>
          <w:lang w:val="lv-LV"/>
        </w:rPr>
        <w:t xml:space="preserve">Latgalē apmeklētāju skaits </w:t>
      </w:r>
      <w:r w:rsidRPr="00267BCC">
        <w:rPr>
          <w:lang w:val="lv-LV"/>
        </w:rPr>
        <w:t>10</w:t>
      </w:r>
      <w:r w:rsidR="008044E6" w:rsidRPr="00267BCC">
        <w:rPr>
          <w:lang w:val="lv-LV"/>
        </w:rPr>
        <w:t xml:space="preserve"> gadu laikā nav būtiski mainījies. No tūristu apmeklētības viedokļa ieskicējas tā saucamais Latgales aplis, kas apvieno Aglonu, Rāznas </w:t>
      </w:r>
      <w:r w:rsidR="00BB0C06" w:rsidRPr="00267BCC">
        <w:rPr>
          <w:lang w:val="lv-LV"/>
        </w:rPr>
        <w:t>nacionālo parku</w:t>
      </w:r>
      <w:r w:rsidRPr="00267BCC">
        <w:rPr>
          <w:lang w:val="lv-LV"/>
        </w:rPr>
        <w:t xml:space="preserve">, Daugavas lokus un </w:t>
      </w:r>
      <w:r w:rsidR="008044E6" w:rsidRPr="00267BCC">
        <w:rPr>
          <w:lang w:val="lv-LV"/>
        </w:rPr>
        <w:t>Daugavpili</w:t>
      </w:r>
      <w:r w:rsidR="00BB0C06" w:rsidRPr="00267BCC">
        <w:rPr>
          <w:lang w:val="lv-LV"/>
        </w:rPr>
        <w:t>,</w:t>
      </w:r>
      <w:r w:rsidR="008044E6" w:rsidRPr="00267BCC">
        <w:rPr>
          <w:lang w:val="lv-LV"/>
        </w:rPr>
        <w:t xml:space="preserve"> </w:t>
      </w:r>
      <w:r w:rsidR="00BB0C06" w:rsidRPr="00267BCC">
        <w:rPr>
          <w:lang w:val="lv-LV"/>
        </w:rPr>
        <w:t>kur</w:t>
      </w:r>
      <w:r w:rsidR="008044E6" w:rsidRPr="00267BCC">
        <w:rPr>
          <w:lang w:val="lv-LV"/>
        </w:rPr>
        <w:t xml:space="preserve"> aktivitāte ir daudz lielāka salīdzinoši ar ārējo – pierobežas apli.</w:t>
      </w:r>
      <w:r w:rsidR="00AB2C03" w:rsidRPr="00267BCC">
        <w:rPr>
          <w:lang w:val="lv-LV"/>
        </w:rPr>
        <w:t xml:space="preserve"> Īpaši izceļams ir Daugavpils Marka Rotko mākslas centrs, kas </w:t>
      </w:r>
      <w:r w:rsidRPr="00267BCC">
        <w:rPr>
          <w:lang w:val="lv-LV"/>
        </w:rPr>
        <w:t>kopš atklāšanas brīža</w:t>
      </w:r>
      <w:r w:rsidR="00AB2C03" w:rsidRPr="00267BCC">
        <w:rPr>
          <w:lang w:val="lv-LV"/>
        </w:rPr>
        <w:t xml:space="preserve"> spējis piesaistīt </w:t>
      </w:r>
      <w:r w:rsidRPr="00267BCC">
        <w:rPr>
          <w:lang w:val="lv-LV"/>
        </w:rPr>
        <w:t xml:space="preserve">jau </w:t>
      </w:r>
      <w:r w:rsidR="00AB2C03" w:rsidRPr="00267BCC">
        <w:rPr>
          <w:lang w:val="lv-LV"/>
        </w:rPr>
        <w:t>vairāk nekā 30 000 apmeklētāju.</w:t>
      </w:r>
    </w:p>
    <w:p w14:paraId="49640B08" w14:textId="77777777" w:rsidR="00AB2C03" w:rsidRPr="00267BCC" w:rsidRDefault="00AB2C03" w:rsidP="00267BCC">
      <w:pPr>
        <w:ind w:firstLine="720"/>
        <w:jc w:val="both"/>
        <w:rPr>
          <w:lang w:val="lv-LV"/>
        </w:rPr>
      </w:pPr>
      <w:r w:rsidRPr="00267BCC">
        <w:rPr>
          <w:lang w:val="lv-LV"/>
        </w:rPr>
        <w:t>Zemgalē izceļams tūrisma objekts ir Tērvetes dabas parks, kur</w:t>
      </w:r>
      <w:r w:rsidR="00891876" w:rsidRPr="00267BCC">
        <w:rPr>
          <w:lang w:val="lv-LV"/>
        </w:rPr>
        <w:t>ā</w:t>
      </w:r>
      <w:r w:rsidRPr="00267BCC">
        <w:rPr>
          <w:lang w:val="lv-LV"/>
        </w:rPr>
        <w:t xml:space="preserve"> apmeklējumu skaits pēdējo sešu gadu periodā pieaudzis par 26% un turpina kāpt, palielinot eksportspēju.</w:t>
      </w:r>
      <w:r w:rsidR="006832C0" w:rsidRPr="00267BCC">
        <w:rPr>
          <w:lang w:val="lv-LV"/>
        </w:rPr>
        <w:t xml:space="preserve"> Tāpat </w:t>
      </w:r>
      <w:r w:rsidR="00891876" w:rsidRPr="00267BCC">
        <w:rPr>
          <w:lang w:val="lv-LV"/>
        </w:rPr>
        <w:t>arī</w:t>
      </w:r>
      <w:r w:rsidR="002706BB" w:rsidRPr="002706BB">
        <w:rPr>
          <w:color w:val="FF0000"/>
          <w:u w:val="single"/>
          <w:lang w:val="lv-LV"/>
        </w:rPr>
        <w:t xml:space="preserve"> </w:t>
      </w:r>
      <w:r w:rsidR="002706BB" w:rsidRPr="00263B9F">
        <w:rPr>
          <w:lang w:val="lv-LV"/>
        </w:rPr>
        <w:t>izceļami ir Jelgavā notiekošie starptautiskie festivāli – ziemā Starptautiskais Ledus skulptūru festivāls un vasarā Starptautiskais Smilšu skulptūras festivāls, kā arī 2010.gada rudenī Jelgavā</w:t>
      </w:r>
      <w:r w:rsidR="006832C0" w:rsidRPr="00263B9F">
        <w:rPr>
          <w:lang w:val="lv-LV"/>
        </w:rPr>
        <w:t xml:space="preserve"> </w:t>
      </w:r>
      <w:r w:rsidR="006832C0" w:rsidRPr="00267BCC">
        <w:rPr>
          <w:lang w:val="lv-LV"/>
        </w:rPr>
        <w:t>atjaunotais Sv.Trīsvienības baznīcas tornis Jelgavā ar modernu muzej</w:t>
      </w:r>
      <w:r w:rsidR="00891876" w:rsidRPr="00267BCC">
        <w:rPr>
          <w:lang w:val="lv-LV"/>
        </w:rPr>
        <w:t xml:space="preserve">a ekspozīciju un </w:t>
      </w:r>
      <w:r w:rsidR="00015AC3" w:rsidRPr="00267BCC">
        <w:rPr>
          <w:lang w:val="lv-LV"/>
        </w:rPr>
        <w:t>skatu platformu</w:t>
      </w:r>
      <w:r w:rsidR="00891876" w:rsidRPr="00267BCC">
        <w:rPr>
          <w:lang w:val="lv-LV"/>
        </w:rPr>
        <w:t>, kas</w:t>
      </w:r>
      <w:r w:rsidR="006832C0" w:rsidRPr="00267BCC">
        <w:rPr>
          <w:lang w:val="lv-LV"/>
        </w:rPr>
        <w:t xml:space="preserve"> ir spējis </w:t>
      </w:r>
      <w:r w:rsidR="006832C0" w:rsidRPr="00263B9F">
        <w:rPr>
          <w:lang w:val="lv-LV"/>
        </w:rPr>
        <w:t>piesaistīt</w:t>
      </w:r>
      <w:r w:rsidR="002706BB" w:rsidRPr="00263B9F">
        <w:rPr>
          <w:lang w:val="lv-LV"/>
        </w:rPr>
        <w:t xml:space="preserve"> vidēji gadā</w:t>
      </w:r>
      <w:r w:rsidR="006832C0" w:rsidRPr="00267BCC">
        <w:rPr>
          <w:lang w:val="lv-LV"/>
        </w:rPr>
        <w:t xml:space="preserve"> 39 tūkstošus apmeklētāju gadā. Vienlaicīgi tas kļuvis par vienu no simboliem rūpnieciski smagnējā pilsētas tēla maiņā.</w:t>
      </w:r>
    </w:p>
    <w:p w14:paraId="49640B09" w14:textId="77777777" w:rsidR="008044E6" w:rsidRPr="00267BCC" w:rsidRDefault="008044E6" w:rsidP="00267BCC">
      <w:pPr>
        <w:ind w:firstLine="720"/>
        <w:jc w:val="both"/>
        <w:rPr>
          <w:lang w:val="lv-LV"/>
        </w:rPr>
      </w:pPr>
      <w:r w:rsidRPr="00267BCC">
        <w:rPr>
          <w:lang w:val="lv-LV"/>
        </w:rPr>
        <w:t xml:space="preserve">Vidzemē </w:t>
      </w:r>
      <w:r w:rsidR="00891876" w:rsidRPr="00267BCC">
        <w:rPr>
          <w:lang w:val="lv-LV"/>
        </w:rPr>
        <w:t xml:space="preserve">par aktīvā tūrisma centriem ir kļuvušas </w:t>
      </w:r>
      <w:r w:rsidRPr="00267BCC">
        <w:rPr>
          <w:lang w:val="lv-LV"/>
        </w:rPr>
        <w:t xml:space="preserve">Sigulda un Cēsis. Gan Siguldas, gan Cēsu gadījumā vislielāko apmeklējumu skaitu spēj nodrošināt kultūras resursi – Turaidas muzejrezervāts (vidēji 200 tūkst. apmeklējumu) un Cēsu pils komplekss (vidēji 60 tūkst. apmeklējumu). </w:t>
      </w:r>
      <w:r w:rsidR="00891876" w:rsidRPr="00267BCC">
        <w:rPr>
          <w:lang w:val="lv-LV"/>
        </w:rPr>
        <w:t>Tikmēr</w:t>
      </w:r>
      <w:r w:rsidR="00015AC3" w:rsidRPr="00267BCC">
        <w:rPr>
          <w:lang w:val="lv-LV"/>
        </w:rPr>
        <w:t xml:space="preserve"> </w:t>
      </w:r>
      <w:r w:rsidRPr="00267BCC">
        <w:rPr>
          <w:lang w:val="lv-LV"/>
        </w:rPr>
        <w:t xml:space="preserve">Piebalgai nav izdevies piesaistīt vairāk par 3 tūkst. apmeklētāju lielākajos pasākumos (slēpojums apkārt Alaukstam vai Jāņu pasākums Zosēnos). Tāpat salīdzinoši maz apmeklējumu ir bijis piecos populārākajos Piebalgas muzejos. </w:t>
      </w:r>
      <w:r w:rsidR="00891876" w:rsidRPr="00267BCC">
        <w:rPr>
          <w:lang w:val="lv-LV"/>
        </w:rPr>
        <w:t>Šajā gadījumā traucējusi</w:t>
      </w:r>
      <w:r w:rsidRPr="00267BCC">
        <w:rPr>
          <w:lang w:val="lv-LV"/>
        </w:rPr>
        <w:t xml:space="preserve"> te</w:t>
      </w:r>
      <w:r w:rsidR="00891876" w:rsidRPr="00267BCC">
        <w:rPr>
          <w:lang w:val="lv-LV"/>
        </w:rPr>
        <w:t xml:space="preserve">ritorijas fragmentēšana, jo, piemēram, Vecpiebalgas un Jaunpiebalgas novadi </w:t>
      </w:r>
      <w:r w:rsidRPr="00267BCC">
        <w:rPr>
          <w:lang w:val="lv-LV"/>
        </w:rPr>
        <w:t xml:space="preserve">tūrisma izstādē </w:t>
      </w:r>
      <w:r w:rsidRPr="00267BCC">
        <w:rPr>
          <w:i/>
          <w:lang w:val="lv-LV"/>
        </w:rPr>
        <w:t>Balttour</w:t>
      </w:r>
      <w:r w:rsidRPr="00267BCC">
        <w:rPr>
          <w:lang w:val="lv-LV"/>
        </w:rPr>
        <w:t xml:space="preserve"> 2011 un 2012.gadā piedalījās ar atsevišķiem tūrisma veicināšanas stendiem</w:t>
      </w:r>
      <w:r w:rsidRPr="00263B9F">
        <w:rPr>
          <w:lang w:val="lv-LV"/>
        </w:rPr>
        <w:t xml:space="preserve">. </w:t>
      </w:r>
      <w:r w:rsidR="00A93388" w:rsidRPr="00085EAA">
        <w:rPr>
          <w:lang w:val="lv-LV"/>
        </w:rPr>
        <w:t>Pēdējo divu gadu laikā Vecpiebalgā, izmantojot pieejamos kultūras resursus, pašvaldība pakāpeniski sāk attīstīt kultūrtūrismu, kas orientēts uz vietējiem tūristiem.</w:t>
      </w:r>
      <w:r w:rsidR="00A93388">
        <w:rPr>
          <w:lang w:val="lv-LV"/>
        </w:rPr>
        <w:t xml:space="preserve"> </w:t>
      </w:r>
      <w:r w:rsidR="00891876" w:rsidRPr="00267BCC">
        <w:rPr>
          <w:lang w:val="lv-LV"/>
        </w:rPr>
        <w:t xml:space="preserve">Savukārt </w:t>
      </w:r>
      <w:r w:rsidRPr="00267BCC">
        <w:rPr>
          <w:lang w:val="lv-LV"/>
        </w:rPr>
        <w:t>Vidzemes jūrmala kā galamērķis ir piesais</w:t>
      </w:r>
      <w:r w:rsidR="00015AC3" w:rsidRPr="00267BCC">
        <w:rPr>
          <w:lang w:val="lv-LV"/>
        </w:rPr>
        <w:t xml:space="preserve">tījusi </w:t>
      </w:r>
      <w:r w:rsidR="00891876" w:rsidRPr="00267BCC">
        <w:rPr>
          <w:lang w:val="lv-LV"/>
        </w:rPr>
        <w:t>daudz apmeklētāju</w:t>
      </w:r>
      <w:r w:rsidR="00015AC3" w:rsidRPr="00267BCC">
        <w:rPr>
          <w:lang w:val="lv-LV"/>
        </w:rPr>
        <w:t xml:space="preserve">, ko </w:t>
      </w:r>
      <w:r w:rsidR="00891876" w:rsidRPr="00267BCC">
        <w:rPr>
          <w:lang w:val="lv-LV"/>
        </w:rPr>
        <w:t xml:space="preserve">galvenokārt </w:t>
      </w:r>
      <w:r w:rsidR="00015AC3" w:rsidRPr="00267BCC">
        <w:rPr>
          <w:lang w:val="lv-LV"/>
        </w:rPr>
        <w:t>veicin</w:t>
      </w:r>
      <w:r w:rsidR="00891876" w:rsidRPr="00267BCC">
        <w:rPr>
          <w:lang w:val="lv-LV"/>
        </w:rPr>
        <w:t xml:space="preserve">a Rīgas tuvums </w:t>
      </w:r>
      <w:r w:rsidRPr="00267BCC">
        <w:rPr>
          <w:lang w:val="lv-LV"/>
        </w:rPr>
        <w:t xml:space="preserve">un atrašanās populārākajā </w:t>
      </w:r>
      <w:r w:rsidR="00891876" w:rsidRPr="00267BCC">
        <w:rPr>
          <w:i/>
          <w:lang w:val="lv-LV"/>
        </w:rPr>
        <w:t>Panbaltica</w:t>
      </w:r>
      <w:r w:rsidR="00891876" w:rsidRPr="00267BCC">
        <w:rPr>
          <w:lang w:val="lv-LV"/>
        </w:rPr>
        <w:t xml:space="preserve"> </w:t>
      </w:r>
      <w:r w:rsidRPr="00267BCC">
        <w:rPr>
          <w:lang w:val="lv-LV"/>
        </w:rPr>
        <w:t xml:space="preserve"> maršrutā starp trijām Baltijas galvaspilsētām. Piejūras zonā radušās daudz</w:t>
      </w:r>
      <w:r w:rsidR="00891876" w:rsidRPr="00267BCC">
        <w:rPr>
          <w:lang w:val="lv-LV"/>
        </w:rPr>
        <w:t>as</w:t>
      </w:r>
      <w:r w:rsidRPr="00267BCC">
        <w:rPr>
          <w:lang w:val="lv-LV"/>
        </w:rPr>
        <w:t xml:space="preserve"> jaunas tūristu mītnes, to kop</w:t>
      </w:r>
      <w:r w:rsidR="006832C0" w:rsidRPr="00267BCC">
        <w:rPr>
          <w:lang w:val="lv-LV"/>
        </w:rPr>
        <w:t>ē</w:t>
      </w:r>
      <w:r w:rsidRPr="00267BCC">
        <w:rPr>
          <w:lang w:val="lv-LV"/>
        </w:rPr>
        <w:t>jam skaitam sasniedzot 50.</w:t>
      </w:r>
    </w:p>
    <w:p w14:paraId="49640B0A" w14:textId="77777777" w:rsidR="003A2812" w:rsidRPr="00267BCC" w:rsidRDefault="003A2812" w:rsidP="00267BCC">
      <w:pPr>
        <w:rPr>
          <w:lang w:val="lv-LV"/>
        </w:rPr>
      </w:pPr>
    </w:p>
    <w:p w14:paraId="49640B0B" w14:textId="77777777" w:rsidR="001D04DF" w:rsidRPr="00267BCC" w:rsidRDefault="007F5977" w:rsidP="00267BCC">
      <w:pPr>
        <w:pStyle w:val="Heading2"/>
        <w:numPr>
          <w:ilvl w:val="1"/>
          <w:numId w:val="24"/>
        </w:numPr>
        <w:rPr>
          <w:lang w:val="lv-LV"/>
        </w:rPr>
      </w:pPr>
      <w:bookmarkStart w:id="24" w:name="_Toc381256661"/>
      <w:r w:rsidRPr="00267BCC">
        <w:rPr>
          <w:lang w:val="lv-LV"/>
        </w:rPr>
        <w:t>K</w:t>
      </w:r>
      <w:r w:rsidR="00B3022B" w:rsidRPr="00267BCC">
        <w:rPr>
          <w:lang w:val="lv-LV"/>
        </w:rPr>
        <w:t xml:space="preserve">onkurētspējīgāko </w:t>
      </w:r>
      <w:r w:rsidR="009F4C12" w:rsidRPr="00267BCC">
        <w:rPr>
          <w:lang w:val="lv-LV"/>
        </w:rPr>
        <w:t>tūrisma veidu</w:t>
      </w:r>
      <w:r w:rsidR="00B3022B" w:rsidRPr="00267BCC">
        <w:rPr>
          <w:lang w:val="lv-LV"/>
        </w:rPr>
        <w:t xml:space="preserve"> raksturojums</w:t>
      </w:r>
      <w:bookmarkEnd w:id="24"/>
    </w:p>
    <w:p w14:paraId="49640B0C" w14:textId="77777777" w:rsidR="00783831" w:rsidRPr="00267BCC" w:rsidRDefault="00783831" w:rsidP="00267BCC">
      <w:pPr>
        <w:rPr>
          <w:lang w:val="lv-LV"/>
        </w:rPr>
      </w:pPr>
    </w:p>
    <w:p w14:paraId="49640B0D" w14:textId="77777777" w:rsidR="00BB394B" w:rsidRPr="00267BCC" w:rsidRDefault="00783831" w:rsidP="00267BCC">
      <w:pPr>
        <w:autoSpaceDE w:val="0"/>
        <w:autoSpaceDN w:val="0"/>
        <w:adjustRightInd w:val="0"/>
        <w:ind w:firstLine="720"/>
        <w:jc w:val="both"/>
        <w:rPr>
          <w:lang w:val="lv-LV"/>
        </w:rPr>
      </w:pPr>
      <w:r w:rsidRPr="00267BCC">
        <w:rPr>
          <w:lang w:val="lv-LV"/>
        </w:rPr>
        <w:t xml:space="preserve">Latvijai ir resursi un potenciāls ne tikai </w:t>
      </w:r>
      <w:r w:rsidR="009508DD" w:rsidRPr="00263B9F">
        <w:rPr>
          <w:lang w:val="lv-LV"/>
        </w:rPr>
        <w:t xml:space="preserve">tradicionālo </w:t>
      </w:r>
      <w:r w:rsidRPr="00263B9F">
        <w:rPr>
          <w:lang w:val="lv-LV"/>
        </w:rPr>
        <w:t>uz kult</w:t>
      </w:r>
      <w:r w:rsidR="0014053F" w:rsidRPr="00263B9F">
        <w:rPr>
          <w:lang w:val="lv-LV"/>
        </w:rPr>
        <w:t>ūras un dabas resursiem balstīto</w:t>
      </w:r>
      <w:r w:rsidRPr="00263B9F">
        <w:rPr>
          <w:lang w:val="lv-LV"/>
        </w:rPr>
        <w:t xml:space="preserve"> </w:t>
      </w:r>
      <w:r w:rsidR="0014053F" w:rsidRPr="00263B9F">
        <w:rPr>
          <w:lang w:val="lv-LV"/>
        </w:rPr>
        <w:t xml:space="preserve">tūrisma </w:t>
      </w:r>
      <w:r w:rsidRPr="00263B9F">
        <w:rPr>
          <w:lang w:val="lv-LV"/>
        </w:rPr>
        <w:t>produktu attīstībai, bet arī produktu attīstībai ar augstāku pievienoto vērtību,</w:t>
      </w:r>
      <w:r w:rsidRPr="00267BCC">
        <w:rPr>
          <w:lang w:val="lv-LV"/>
        </w:rPr>
        <w:t xml:space="preserve"> piemēram, MICE</w:t>
      </w:r>
      <w:r w:rsidR="00C060E3" w:rsidRPr="00267BCC">
        <w:rPr>
          <w:lang w:val="lv-LV"/>
        </w:rPr>
        <w:t xml:space="preserve"> (kopīgs apzīmējums vairākiem darījum</w:t>
      </w:r>
      <w:r w:rsidR="0014053F" w:rsidRPr="00267BCC">
        <w:rPr>
          <w:lang w:val="lv-LV"/>
        </w:rPr>
        <w:t xml:space="preserve">u </w:t>
      </w:r>
      <w:r w:rsidR="00C060E3" w:rsidRPr="00267BCC">
        <w:rPr>
          <w:lang w:val="lv-LV"/>
        </w:rPr>
        <w:t>t</w:t>
      </w:r>
      <w:r w:rsidR="009508DD" w:rsidRPr="00267BCC">
        <w:rPr>
          <w:lang w:val="lv-LV"/>
        </w:rPr>
        <w:t>ū</w:t>
      </w:r>
      <w:r w:rsidR="0014053F" w:rsidRPr="00267BCC">
        <w:rPr>
          <w:lang w:val="lv-LV"/>
        </w:rPr>
        <w:t>risma vei</w:t>
      </w:r>
      <w:r w:rsidR="009508DD" w:rsidRPr="00267BCC">
        <w:rPr>
          <w:lang w:val="lv-LV"/>
        </w:rPr>
        <w:t>diem, no „</w:t>
      </w:r>
      <w:r w:rsidR="00C060E3" w:rsidRPr="00267BCC">
        <w:rPr>
          <w:i/>
          <w:lang w:val="lv-LV"/>
        </w:rPr>
        <w:t>Meeting, Incentive travel, Conferences, Exhibitions</w:t>
      </w:r>
      <w:r w:rsidR="009508DD" w:rsidRPr="00267BCC">
        <w:rPr>
          <w:lang w:val="lv-LV"/>
        </w:rPr>
        <w:t>”</w:t>
      </w:r>
      <w:r w:rsidR="00C060E3" w:rsidRPr="00267BCC">
        <w:rPr>
          <w:lang w:val="lv-LV"/>
        </w:rPr>
        <w:t>)</w:t>
      </w:r>
      <w:r w:rsidR="00BB394B" w:rsidRPr="00267BCC">
        <w:rPr>
          <w:lang w:val="lv-LV"/>
        </w:rPr>
        <w:t>,</w:t>
      </w:r>
      <w:r w:rsidRPr="00267BCC">
        <w:rPr>
          <w:lang w:val="lv-LV"/>
        </w:rPr>
        <w:t xml:space="preserve"> veselības tūrisma attīstībai</w:t>
      </w:r>
      <w:r w:rsidR="00BB394B" w:rsidRPr="00267BCC">
        <w:rPr>
          <w:lang w:val="lv-LV"/>
        </w:rPr>
        <w:t>, kā arī radoš</w:t>
      </w:r>
      <w:r w:rsidR="001E22A4" w:rsidRPr="00267BCC">
        <w:rPr>
          <w:lang w:val="lv-LV"/>
        </w:rPr>
        <w:t>ajām</w:t>
      </w:r>
      <w:r w:rsidR="00BB394B" w:rsidRPr="00267BCC">
        <w:rPr>
          <w:lang w:val="lv-LV"/>
        </w:rPr>
        <w:t xml:space="preserve"> industrij</w:t>
      </w:r>
      <w:r w:rsidR="001E22A4" w:rsidRPr="00267BCC">
        <w:rPr>
          <w:lang w:val="lv-LV"/>
        </w:rPr>
        <w:t>ām</w:t>
      </w:r>
      <w:r w:rsidRPr="00267BCC">
        <w:rPr>
          <w:lang w:val="lv-LV"/>
        </w:rPr>
        <w:t xml:space="preserve">. </w:t>
      </w:r>
    </w:p>
    <w:p w14:paraId="49640B0E" w14:textId="77777777" w:rsidR="00783831" w:rsidRPr="00267BCC" w:rsidRDefault="009508DD" w:rsidP="00267BCC">
      <w:pPr>
        <w:autoSpaceDE w:val="0"/>
        <w:autoSpaceDN w:val="0"/>
        <w:adjustRightInd w:val="0"/>
        <w:ind w:firstLine="720"/>
        <w:jc w:val="both"/>
        <w:rPr>
          <w:lang w:val="lv-LV"/>
        </w:rPr>
      </w:pPr>
      <w:r w:rsidRPr="00267BCC">
        <w:rPr>
          <w:lang w:val="lv-LV"/>
        </w:rPr>
        <w:t>Jāveicina abu minēto tūrisma produktu grupu attīstība ne tikai eksportam, bet arī</w:t>
      </w:r>
      <w:r w:rsidR="0014053F" w:rsidRPr="00267BCC">
        <w:rPr>
          <w:lang w:val="lv-LV"/>
        </w:rPr>
        <w:t xml:space="preserve"> iekšējam patēriņam – attīstīt</w:t>
      </w:r>
      <w:r w:rsidRPr="00267BCC">
        <w:rPr>
          <w:lang w:val="lv-LV"/>
        </w:rPr>
        <w:t>s vietējais tūrisms sniedz ievērojamu pozitīvu ietekmi uz nozares attīstību kopumā, „sildot” tirgu, pozitīvi ietekmēj</w:t>
      </w:r>
      <w:r w:rsidR="006F6C6C" w:rsidRPr="00267BCC">
        <w:rPr>
          <w:lang w:val="lv-LV"/>
        </w:rPr>
        <w:t>ot kvalitātes līmeņa uzturēšanu, turklāt vietējais tūrisms spēj konkurēt ar izejošo tūrismu, tādējādi samazinot naudas līdzekļu aizplūšanu no valsts.</w:t>
      </w:r>
    </w:p>
    <w:p w14:paraId="49640B0F" w14:textId="77777777" w:rsidR="00A57078" w:rsidRPr="00267BCC" w:rsidRDefault="00A57078" w:rsidP="00267BCC">
      <w:pPr>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83831" w:rsidRPr="00B71CEA" w14:paraId="49640B9F" w14:textId="77777777" w:rsidTr="00663C1A">
        <w:tc>
          <w:tcPr>
            <w:tcW w:w="5000" w:type="pct"/>
            <w:vAlign w:val="center"/>
          </w:tcPr>
          <w:p w14:paraId="49640B10" w14:textId="77777777" w:rsidR="00B77F79" w:rsidRDefault="00B77F79" w:rsidP="00267BCC">
            <w:pPr>
              <w:jc w:val="both"/>
              <w:rPr>
                <w:b/>
                <w:i/>
                <w:u w:val="single"/>
                <w:lang w:val="lv-LV"/>
              </w:rPr>
            </w:pPr>
          </w:p>
          <w:p w14:paraId="49640B11" w14:textId="77777777" w:rsidR="00783831" w:rsidRPr="00267BCC" w:rsidRDefault="00783831" w:rsidP="00267BCC">
            <w:pPr>
              <w:jc w:val="both"/>
              <w:rPr>
                <w:b/>
                <w:i/>
                <w:u w:val="single"/>
                <w:lang w:val="lv-LV"/>
              </w:rPr>
            </w:pPr>
            <w:r w:rsidRPr="00267BCC">
              <w:rPr>
                <w:b/>
                <w:i/>
                <w:u w:val="single"/>
                <w:lang w:val="lv-LV"/>
              </w:rPr>
              <w:t>MICE (darījumu</w:t>
            </w:r>
            <w:r w:rsidR="0037102B" w:rsidRPr="00267BCC">
              <w:rPr>
                <w:b/>
                <w:i/>
                <w:u w:val="single"/>
                <w:lang w:val="lv-LV"/>
              </w:rPr>
              <w:t xml:space="preserve"> un pasākumu</w:t>
            </w:r>
            <w:r w:rsidRPr="00267BCC">
              <w:rPr>
                <w:b/>
                <w:i/>
                <w:u w:val="single"/>
                <w:lang w:val="lv-LV"/>
              </w:rPr>
              <w:t>) tūrisms</w:t>
            </w:r>
          </w:p>
          <w:p w14:paraId="49640B12" w14:textId="77777777" w:rsidR="009E54A4" w:rsidRPr="00267BCC" w:rsidRDefault="009E54A4" w:rsidP="00267BCC">
            <w:pPr>
              <w:jc w:val="both"/>
              <w:rPr>
                <w:b/>
                <w:i/>
                <w:u w:val="single"/>
                <w:lang w:val="lv-LV"/>
              </w:rPr>
            </w:pPr>
          </w:p>
          <w:p w14:paraId="49640B13" w14:textId="77777777" w:rsidR="00A57078" w:rsidRPr="00267BCC" w:rsidRDefault="00A57078" w:rsidP="00267BCC">
            <w:pPr>
              <w:jc w:val="both"/>
              <w:rPr>
                <w:i/>
                <w:lang w:val="lv-LV"/>
              </w:rPr>
            </w:pPr>
            <w:r w:rsidRPr="00267BCC">
              <w:rPr>
                <w:i/>
                <w:lang w:val="lv-LV"/>
              </w:rPr>
              <w:t xml:space="preserve">Saskaņā ar </w:t>
            </w:r>
            <w:r w:rsidR="00A16E1A" w:rsidRPr="00267BCC">
              <w:rPr>
                <w:i/>
                <w:lang w:val="lv-LV"/>
              </w:rPr>
              <w:t>PCTP</w:t>
            </w:r>
            <w:r w:rsidRPr="00267BCC">
              <w:rPr>
                <w:i/>
                <w:lang w:val="lv-LV"/>
              </w:rPr>
              <w:t xml:space="preserve"> 2011.gada pētījumu (Business travel: a catalyst for economic preformance) darījumu tūrisms ģenerē ieguldījuma atdevi (rentabilitāti) 10:1. Tāpat minētajā pētījumā ir secināts, ka darījumu tūrisma pieaugums par 10% rada IKP </w:t>
            </w:r>
            <w:r w:rsidR="004014B7" w:rsidRPr="00267BCC">
              <w:rPr>
                <w:i/>
                <w:lang w:val="lv-LV"/>
              </w:rPr>
              <w:t>pieaugumu 0,5% līdz 3,5% apmērā.</w:t>
            </w:r>
          </w:p>
          <w:p w14:paraId="49640B14" w14:textId="77777777" w:rsidR="00A57078" w:rsidRPr="00267BCC" w:rsidRDefault="00A57078" w:rsidP="00267BCC">
            <w:pPr>
              <w:pStyle w:val="ListParagraph"/>
              <w:numPr>
                <w:ilvl w:val="0"/>
                <w:numId w:val="11"/>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Rīgā ir augsta tūrisma iespēju koncentrācija, apjomīgs finansējums mārketingam (Rīgas tūrisma attīstības birojs - </w:t>
            </w:r>
            <w:r w:rsidRPr="00267BCC">
              <w:rPr>
                <w:rFonts w:ascii="Times New Roman" w:hAnsi="Times New Roman"/>
                <w:i/>
                <w:sz w:val="24"/>
                <w:szCs w:val="24"/>
                <w:lang w:val="lv-LV"/>
              </w:rPr>
              <w:t>LIVE RIGA</w:t>
            </w:r>
            <w:r w:rsidRPr="00267BCC">
              <w:rPr>
                <w:rFonts w:ascii="Times New Roman" w:hAnsi="Times New Roman"/>
                <w:sz w:val="24"/>
                <w:szCs w:val="24"/>
                <w:lang w:val="lv-LV"/>
              </w:rPr>
              <w:t>)</w:t>
            </w:r>
            <w:r w:rsidR="001E22A4" w:rsidRPr="00267BCC">
              <w:rPr>
                <w:rFonts w:ascii="Times New Roman" w:hAnsi="Times New Roman"/>
                <w:sz w:val="24"/>
                <w:szCs w:val="24"/>
                <w:lang w:val="lv-LV"/>
              </w:rPr>
              <w:t>.</w:t>
            </w:r>
            <w:r w:rsidRPr="00267BCC">
              <w:rPr>
                <w:rFonts w:ascii="Times New Roman" w:hAnsi="Times New Roman"/>
                <w:sz w:val="24"/>
                <w:szCs w:val="24"/>
                <w:lang w:val="lv-LV"/>
              </w:rPr>
              <w:t xml:space="preserve"> </w:t>
            </w:r>
          </w:p>
          <w:p w14:paraId="49640B15" w14:textId="77777777" w:rsidR="00A57078" w:rsidRPr="00267BCC" w:rsidRDefault="00793B8C" w:rsidP="00267BCC">
            <w:pPr>
              <w:pStyle w:val="ListParagraph"/>
              <w:numPr>
                <w:ilvl w:val="0"/>
                <w:numId w:val="11"/>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2012.gadā 46</w:t>
            </w:r>
            <w:r w:rsidR="00A57078" w:rsidRPr="00267BCC">
              <w:rPr>
                <w:rFonts w:ascii="Times New Roman" w:hAnsi="Times New Roman"/>
                <w:sz w:val="24"/>
                <w:szCs w:val="24"/>
                <w:lang w:val="lv-LV"/>
              </w:rPr>
              <w:t xml:space="preserve">% no </w:t>
            </w:r>
            <w:r w:rsidRPr="00267BCC">
              <w:rPr>
                <w:rFonts w:ascii="Times New Roman" w:hAnsi="Times New Roman"/>
                <w:sz w:val="24"/>
                <w:szCs w:val="24"/>
                <w:lang w:val="lv-LV"/>
              </w:rPr>
              <w:t xml:space="preserve">visiem </w:t>
            </w:r>
            <w:r w:rsidR="00A57078" w:rsidRPr="00267BCC">
              <w:rPr>
                <w:rFonts w:ascii="Times New Roman" w:hAnsi="Times New Roman"/>
                <w:sz w:val="24"/>
                <w:szCs w:val="24"/>
                <w:lang w:val="lv-LV"/>
              </w:rPr>
              <w:t xml:space="preserve">vairākdienu ceļotājiem </w:t>
            </w:r>
            <w:r w:rsidRPr="00267BCC">
              <w:rPr>
                <w:rFonts w:ascii="Times New Roman" w:hAnsi="Times New Roman"/>
                <w:sz w:val="24"/>
                <w:szCs w:val="24"/>
                <w:lang w:val="lv-LV"/>
              </w:rPr>
              <w:t>ieradušies</w:t>
            </w:r>
            <w:r w:rsidR="009E54A4" w:rsidRPr="00267BCC">
              <w:rPr>
                <w:rFonts w:ascii="Times New Roman" w:hAnsi="Times New Roman"/>
                <w:sz w:val="24"/>
                <w:szCs w:val="24"/>
                <w:lang w:val="lv-LV"/>
              </w:rPr>
              <w:t xml:space="preserve"> Latvijā</w:t>
            </w:r>
            <w:r w:rsidR="00A57078" w:rsidRPr="00267BCC">
              <w:rPr>
                <w:rFonts w:ascii="Times New Roman" w:hAnsi="Times New Roman"/>
                <w:sz w:val="24"/>
                <w:szCs w:val="24"/>
                <w:lang w:val="lv-LV"/>
              </w:rPr>
              <w:t xml:space="preserve"> izmantojot gaisa transportu, </w:t>
            </w:r>
            <w:r w:rsidR="00AE1EC4" w:rsidRPr="00267BCC">
              <w:rPr>
                <w:rFonts w:ascii="Times New Roman" w:hAnsi="Times New Roman"/>
                <w:sz w:val="24"/>
                <w:szCs w:val="24"/>
                <w:lang w:val="lv-LV"/>
              </w:rPr>
              <w:t>tādēļ</w:t>
            </w:r>
            <w:r w:rsidR="00A57078" w:rsidRPr="00267BCC">
              <w:rPr>
                <w:rFonts w:ascii="Times New Roman" w:hAnsi="Times New Roman"/>
                <w:sz w:val="24"/>
                <w:szCs w:val="24"/>
                <w:lang w:val="lv-LV"/>
              </w:rPr>
              <w:t xml:space="preserve"> laba sasniedzamība pa gaisu ir </w:t>
            </w:r>
            <w:r w:rsidR="000D6203" w:rsidRPr="00267BCC">
              <w:rPr>
                <w:rFonts w:ascii="Times New Roman" w:hAnsi="Times New Roman"/>
                <w:sz w:val="24"/>
                <w:szCs w:val="24"/>
                <w:lang w:val="lv-LV"/>
              </w:rPr>
              <w:t>stratēģiska Rīgas un visas Latvijas</w:t>
            </w:r>
            <w:r w:rsidR="00A57078" w:rsidRPr="00267BCC">
              <w:rPr>
                <w:rFonts w:ascii="Times New Roman" w:hAnsi="Times New Roman"/>
                <w:sz w:val="24"/>
                <w:szCs w:val="24"/>
                <w:lang w:val="lv-LV"/>
              </w:rPr>
              <w:t xml:space="preserve"> priekšrocība (18 aviokompānijas, 86 tiešie savienojumi).</w:t>
            </w:r>
            <w:r w:rsidR="00A57078" w:rsidRPr="00267BCC">
              <w:rPr>
                <w:sz w:val="24"/>
                <w:szCs w:val="24"/>
                <w:lang w:val="lv-LV"/>
              </w:rPr>
              <w:t xml:space="preserve"> </w:t>
            </w:r>
            <w:r w:rsidR="00A57078" w:rsidRPr="00267BCC">
              <w:rPr>
                <w:rFonts w:ascii="Times New Roman" w:hAnsi="Times New Roman"/>
                <w:sz w:val="24"/>
                <w:szCs w:val="24"/>
                <w:lang w:val="lv-LV"/>
              </w:rPr>
              <w:t xml:space="preserve">Ir uzsākts darbs pie lidostas „Rīga” </w:t>
            </w:r>
            <w:r w:rsidR="00523645" w:rsidRPr="00263B9F">
              <w:rPr>
                <w:rFonts w:ascii="Times New Roman" w:hAnsi="Times New Roman"/>
                <w:sz w:val="24"/>
                <w:szCs w:val="24"/>
                <w:lang w:val="lv-LV"/>
              </w:rPr>
              <w:t>95,26</w:t>
            </w:r>
            <w:r w:rsidR="00A57078" w:rsidRPr="00263B9F">
              <w:rPr>
                <w:rFonts w:ascii="Times New Roman" w:hAnsi="Times New Roman"/>
                <w:sz w:val="24"/>
                <w:szCs w:val="24"/>
                <w:lang w:val="lv-LV"/>
              </w:rPr>
              <w:t xml:space="preserve"> milj. </w:t>
            </w:r>
            <w:r w:rsidR="00523645" w:rsidRPr="00263B9F">
              <w:rPr>
                <w:rFonts w:ascii="Times New Roman" w:hAnsi="Times New Roman"/>
                <w:sz w:val="24"/>
                <w:szCs w:val="24"/>
                <w:lang w:val="lv-LV"/>
              </w:rPr>
              <w:t>EUR</w:t>
            </w:r>
            <w:r w:rsidR="00A57078" w:rsidRPr="00267BCC">
              <w:rPr>
                <w:rFonts w:ascii="Times New Roman" w:hAnsi="Times New Roman"/>
                <w:sz w:val="24"/>
                <w:szCs w:val="24"/>
                <w:lang w:val="lv-LV"/>
              </w:rPr>
              <w:t xml:space="preserve"> vērtā infrastruktūras attīstības projekta. Tā mērķis ir nodrošināt augošam pārvadājumu apjomam (pieaugošajam pasažieru un gaisa kuģu skaitam) atbilstošu infrastruktūru</w:t>
            </w:r>
            <w:r w:rsidR="00663C1A" w:rsidRPr="00267BCC">
              <w:rPr>
                <w:rFonts w:ascii="Times New Roman" w:hAnsi="Times New Roman"/>
                <w:sz w:val="24"/>
                <w:szCs w:val="24"/>
                <w:lang w:val="lv-LV"/>
              </w:rPr>
              <w:t>,</w:t>
            </w:r>
            <w:r w:rsidR="00A57078" w:rsidRPr="00267BCC">
              <w:rPr>
                <w:rFonts w:ascii="Times New Roman" w:hAnsi="Times New Roman"/>
                <w:sz w:val="24"/>
                <w:szCs w:val="24"/>
                <w:lang w:val="lv-LV"/>
              </w:rPr>
              <w:t xml:space="preserve"> un šo</w:t>
            </w:r>
            <w:r w:rsidR="009E54A4" w:rsidRPr="00267BCC">
              <w:rPr>
                <w:rFonts w:ascii="Times New Roman" w:hAnsi="Times New Roman"/>
                <w:sz w:val="24"/>
                <w:szCs w:val="24"/>
                <w:lang w:val="lv-LV"/>
              </w:rPr>
              <w:t xml:space="preserve"> projektu plānots pabeigt 2015.</w:t>
            </w:r>
            <w:r w:rsidR="00A57078" w:rsidRPr="00267BCC">
              <w:rPr>
                <w:rFonts w:ascii="Times New Roman" w:hAnsi="Times New Roman"/>
                <w:sz w:val="24"/>
                <w:szCs w:val="24"/>
                <w:lang w:val="lv-LV"/>
              </w:rPr>
              <w:t>gadā.</w:t>
            </w:r>
          </w:p>
          <w:p w14:paraId="49640B16" w14:textId="77777777" w:rsidR="00A57078" w:rsidRPr="00267BCC" w:rsidRDefault="00A57078" w:rsidP="00267BCC">
            <w:pPr>
              <w:pStyle w:val="ListParagraph"/>
              <w:numPr>
                <w:ilvl w:val="0"/>
                <w:numId w:val="11"/>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Dažādu dzelzceļa sliežu platuma dēļ gaisa transports </w:t>
            </w:r>
            <w:r w:rsidR="00891876" w:rsidRPr="00267BCC">
              <w:rPr>
                <w:rFonts w:ascii="Times New Roman" w:hAnsi="Times New Roman"/>
                <w:sz w:val="24"/>
                <w:szCs w:val="24"/>
                <w:lang w:val="lv-LV"/>
              </w:rPr>
              <w:t xml:space="preserve">ir </w:t>
            </w:r>
            <w:r w:rsidRPr="00267BCC">
              <w:rPr>
                <w:rFonts w:ascii="Times New Roman" w:hAnsi="Times New Roman"/>
                <w:sz w:val="24"/>
                <w:szCs w:val="24"/>
                <w:lang w:val="lv-LV"/>
              </w:rPr>
              <w:t xml:space="preserve">faktiski vienīgā alternatīva masveida pasažieru pārvadājumiem starp Latviju un pārējo Eiropu, savukārt Krievija un pārējās NVS valstis var </w:t>
            </w:r>
            <w:r w:rsidR="00663C1A" w:rsidRPr="00267BCC">
              <w:rPr>
                <w:rFonts w:ascii="Times New Roman" w:hAnsi="Times New Roman"/>
                <w:sz w:val="24"/>
                <w:szCs w:val="24"/>
                <w:lang w:val="lv-LV"/>
              </w:rPr>
              <w:t xml:space="preserve">tikt </w:t>
            </w:r>
            <w:r w:rsidRPr="00267BCC">
              <w:rPr>
                <w:rFonts w:ascii="Times New Roman" w:hAnsi="Times New Roman"/>
                <w:sz w:val="24"/>
                <w:szCs w:val="24"/>
                <w:lang w:val="lv-LV"/>
              </w:rPr>
              <w:t xml:space="preserve">ērti sasniegtas </w:t>
            </w:r>
            <w:r w:rsidR="009E54A4" w:rsidRPr="00267BCC">
              <w:rPr>
                <w:rFonts w:ascii="Times New Roman" w:hAnsi="Times New Roman"/>
                <w:sz w:val="24"/>
                <w:szCs w:val="24"/>
                <w:lang w:val="lv-LV"/>
              </w:rPr>
              <w:t xml:space="preserve">arī </w:t>
            </w:r>
            <w:r w:rsidRPr="00267BCC">
              <w:rPr>
                <w:rFonts w:ascii="Times New Roman" w:hAnsi="Times New Roman"/>
                <w:sz w:val="24"/>
                <w:szCs w:val="24"/>
                <w:lang w:val="lv-LV"/>
              </w:rPr>
              <w:t>ar vilcienu.</w:t>
            </w:r>
          </w:p>
          <w:p w14:paraId="49640B17" w14:textId="77777777" w:rsidR="00B3022B" w:rsidRPr="00267BCC" w:rsidRDefault="00A57078" w:rsidP="00267BCC">
            <w:pPr>
              <w:pStyle w:val="ListParagraph"/>
              <w:numPr>
                <w:ilvl w:val="0"/>
                <w:numId w:val="16"/>
              </w:numPr>
              <w:spacing w:line="240" w:lineRule="auto"/>
              <w:ind w:left="284" w:hanging="284"/>
              <w:contextualSpacing w:val="0"/>
              <w:jc w:val="both"/>
              <w:rPr>
                <w:sz w:val="24"/>
                <w:szCs w:val="24"/>
                <w:lang w:val="lv-LV"/>
              </w:rPr>
            </w:pPr>
            <w:r w:rsidRPr="00267BCC">
              <w:rPr>
                <w:rFonts w:ascii="Times New Roman" w:hAnsi="Times New Roman"/>
                <w:sz w:val="24"/>
                <w:szCs w:val="24"/>
                <w:lang w:val="lv-LV"/>
              </w:rPr>
              <w:t>Pēdējo sešu gadu laikā (2006.-2012.g.) lidostas „Rīga” apkalpotais pasažieru skaits ir pieaudzis gandrīz divas</w:t>
            </w:r>
            <w:r w:rsidR="00A4090F" w:rsidRPr="00267BCC">
              <w:rPr>
                <w:rFonts w:ascii="Times New Roman" w:hAnsi="Times New Roman"/>
                <w:sz w:val="24"/>
                <w:szCs w:val="24"/>
                <w:lang w:val="lv-LV"/>
              </w:rPr>
              <w:t xml:space="preserve"> reizes (7</w:t>
            </w:r>
            <w:r w:rsidR="00663C1A" w:rsidRPr="00267BCC">
              <w:rPr>
                <w:rFonts w:ascii="Times New Roman" w:hAnsi="Times New Roman"/>
                <w:sz w:val="24"/>
                <w:szCs w:val="24"/>
                <w:lang w:val="lv-LV"/>
              </w:rPr>
              <w:t>.</w:t>
            </w:r>
            <w:r w:rsidRPr="00267BCC">
              <w:rPr>
                <w:rFonts w:ascii="Times New Roman" w:hAnsi="Times New Roman"/>
                <w:sz w:val="24"/>
                <w:szCs w:val="24"/>
                <w:lang w:val="lv-LV"/>
              </w:rPr>
              <w:t>attēls). Lidosta „Rīga” ir kļuvusi par pārliecinošu līderi starp Baltijas valstu lidostām, kā a</w:t>
            </w:r>
            <w:r w:rsidR="00663C1A" w:rsidRPr="00267BCC">
              <w:rPr>
                <w:rFonts w:ascii="Times New Roman" w:hAnsi="Times New Roman"/>
                <w:sz w:val="24"/>
                <w:szCs w:val="24"/>
                <w:lang w:val="lv-LV"/>
              </w:rPr>
              <w:t>rī par vienu no straujāk augošajām</w:t>
            </w:r>
            <w:r w:rsidRPr="00267BCC">
              <w:rPr>
                <w:rFonts w:ascii="Times New Roman" w:hAnsi="Times New Roman"/>
                <w:sz w:val="24"/>
                <w:szCs w:val="24"/>
                <w:lang w:val="lv-LV"/>
              </w:rPr>
              <w:t xml:space="preserve"> lidostām </w:t>
            </w:r>
            <w:r w:rsidR="00663C1A" w:rsidRPr="00267BCC">
              <w:rPr>
                <w:rFonts w:ascii="Times New Roman" w:hAnsi="Times New Roman"/>
                <w:sz w:val="24"/>
                <w:szCs w:val="24"/>
                <w:lang w:val="lv-LV"/>
              </w:rPr>
              <w:t>ES</w:t>
            </w:r>
            <w:r w:rsidRPr="00267BCC">
              <w:rPr>
                <w:rFonts w:ascii="Times New Roman" w:hAnsi="Times New Roman"/>
                <w:sz w:val="24"/>
                <w:szCs w:val="24"/>
                <w:lang w:val="lv-LV"/>
              </w:rPr>
              <w:t>. Tomēr tās daļa kopējā triju Baltijas lidostu apkalpoto pasažieru tirgū 2011.</w:t>
            </w:r>
            <w:r w:rsidR="00663C1A" w:rsidRPr="00267BCC">
              <w:rPr>
                <w:rFonts w:ascii="Times New Roman" w:hAnsi="Times New Roman"/>
                <w:sz w:val="24"/>
                <w:szCs w:val="24"/>
                <w:lang w:val="lv-LV"/>
              </w:rPr>
              <w:t>gadā ir kritusies gandrīz par 4,</w:t>
            </w:r>
            <w:r w:rsidR="00523645" w:rsidRPr="00267BCC">
              <w:rPr>
                <w:rFonts w:ascii="Times New Roman" w:hAnsi="Times New Roman"/>
                <w:sz w:val="24"/>
                <w:szCs w:val="24"/>
                <w:lang w:val="lv-LV"/>
              </w:rPr>
              <w:t>3</w:t>
            </w:r>
            <w:r w:rsidRPr="00267BCC">
              <w:rPr>
                <w:rFonts w:ascii="Times New Roman" w:hAnsi="Times New Roman"/>
                <w:sz w:val="24"/>
                <w:szCs w:val="24"/>
                <w:lang w:val="lv-LV"/>
              </w:rPr>
              <w:t>%. Tāpat ir jārēķinās ar Kauņas lidostas straujo attīstību, kura 2011.gadā apkalpoja 870 tūkstošus pasažieru</w:t>
            </w:r>
            <w:r w:rsidR="008D3671" w:rsidRPr="00267BCC">
              <w:rPr>
                <w:rFonts w:ascii="Times New Roman" w:hAnsi="Times New Roman"/>
                <w:sz w:val="24"/>
                <w:szCs w:val="24"/>
                <w:lang w:val="lv-LV"/>
              </w:rPr>
              <w:t xml:space="preserve">. Kauņas lidostā tiek plaši piedāvāti zemo cenu aviokompānijas </w:t>
            </w:r>
            <w:r w:rsidRPr="00267BCC">
              <w:rPr>
                <w:rFonts w:ascii="Times New Roman" w:hAnsi="Times New Roman"/>
                <w:i/>
                <w:sz w:val="24"/>
                <w:szCs w:val="24"/>
                <w:lang w:val="lv-LV"/>
              </w:rPr>
              <w:t>Ryanair</w:t>
            </w:r>
            <w:r w:rsidR="008D3671" w:rsidRPr="00267BCC">
              <w:rPr>
                <w:rFonts w:ascii="Times New Roman" w:hAnsi="Times New Roman"/>
                <w:i/>
                <w:sz w:val="24"/>
                <w:szCs w:val="24"/>
                <w:lang w:val="lv-LV"/>
              </w:rPr>
              <w:t xml:space="preserve"> </w:t>
            </w:r>
            <w:r w:rsidR="008D3671" w:rsidRPr="00267BCC">
              <w:rPr>
                <w:rFonts w:ascii="Times New Roman" w:hAnsi="Times New Roman"/>
                <w:sz w:val="24"/>
                <w:szCs w:val="24"/>
                <w:lang w:val="lv-LV"/>
              </w:rPr>
              <w:t>pakalpojumi, apkalpoto pasažieru skaits ir gandrīz 40% attiecībā pret Viļņas lidostā apkalpoto pasažieru skaitu</w:t>
            </w:r>
            <w:r w:rsidRPr="00267BCC">
              <w:rPr>
                <w:rFonts w:ascii="Times New Roman" w:hAnsi="Times New Roman"/>
                <w:sz w:val="24"/>
                <w:szCs w:val="24"/>
                <w:lang w:val="lv-LV"/>
              </w:rPr>
              <w:t>.</w:t>
            </w:r>
          </w:p>
          <w:p w14:paraId="49640B18" w14:textId="77777777" w:rsidR="00504DBE" w:rsidRPr="00267BCC" w:rsidRDefault="00504DBE" w:rsidP="00267BCC">
            <w:pPr>
              <w:pStyle w:val="ListParagraph"/>
              <w:numPr>
                <w:ilvl w:val="0"/>
                <w:numId w:val="16"/>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Lidostu kapacitāte un infrastruktūra Stokholmas, Helsinku un Kopenhāgenas lidostās būtiski atšķiras no Rīgas un citu Baltijas valstu lidostām, jo ievērojamu pasažieru daļu </w:t>
            </w:r>
            <w:r w:rsidR="005820F7" w:rsidRPr="00267BCC">
              <w:rPr>
                <w:rFonts w:ascii="Times New Roman" w:hAnsi="Times New Roman"/>
                <w:sz w:val="24"/>
                <w:szCs w:val="24"/>
                <w:lang w:val="lv-LV"/>
              </w:rPr>
              <w:t>veido</w:t>
            </w:r>
            <w:r w:rsidRPr="00267BCC">
              <w:rPr>
                <w:rFonts w:ascii="Times New Roman" w:hAnsi="Times New Roman"/>
                <w:sz w:val="24"/>
                <w:szCs w:val="24"/>
                <w:lang w:val="lv-LV"/>
              </w:rPr>
              <w:t xml:space="preserve"> starpkontinentālie reisi un lidostu piedāvātais pasažieru pārvadāšanas skaits, ievērojami pārsniedz lidostas „Rīga” šobrīd piedāvātās iespējas. </w:t>
            </w:r>
          </w:p>
          <w:p w14:paraId="49640B19" w14:textId="77777777" w:rsidR="00E65A55" w:rsidRPr="00267BCC" w:rsidRDefault="00E65A55" w:rsidP="00267BCC">
            <w:pPr>
              <w:jc w:val="both"/>
              <w:rPr>
                <w:lang w:val="lv-LV"/>
              </w:rPr>
            </w:pPr>
          </w:p>
          <w:p w14:paraId="49640B1A" w14:textId="77777777" w:rsidR="00B3022B" w:rsidRPr="00267BCC" w:rsidRDefault="00A4090F" w:rsidP="00267BCC">
            <w:pPr>
              <w:pStyle w:val="ListParagraph"/>
              <w:spacing w:line="240" w:lineRule="auto"/>
              <w:ind w:left="284"/>
              <w:contextualSpacing w:val="0"/>
              <w:jc w:val="right"/>
              <w:rPr>
                <w:sz w:val="24"/>
                <w:szCs w:val="24"/>
                <w:lang w:val="lv-LV"/>
              </w:rPr>
            </w:pPr>
            <w:r w:rsidRPr="00267BCC">
              <w:rPr>
                <w:rFonts w:ascii="Times New Roman" w:hAnsi="Times New Roman"/>
                <w:sz w:val="24"/>
                <w:szCs w:val="24"/>
                <w:lang w:val="lv-LV"/>
              </w:rPr>
              <w:t>7</w:t>
            </w:r>
            <w:r w:rsidR="00B3022B" w:rsidRPr="00267BCC">
              <w:rPr>
                <w:rFonts w:ascii="Times New Roman" w:hAnsi="Times New Roman"/>
                <w:sz w:val="24"/>
                <w:szCs w:val="24"/>
                <w:lang w:val="lv-LV"/>
              </w:rPr>
              <w:t>.attēls</w:t>
            </w:r>
          </w:p>
          <w:p w14:paraId="49640B1B" w14:textId="77777777" w:rsidR="00B3022B" w:rsidRPr="00267BCC" w:rsidRDefault="00B3022B" w:rsidP="00267BCC">
            <w:pPr>
              <w:pStyle w:val="ListParagraph"/>
              <w:spacing w:line="240" w:lineRule="auto"/>
              <w:ind w:left="284"/>
              <w:contextualSpacing w:val="0"/>
              <w:jc w:val="center"/>
              <w:rPr>
                <w:sz w:val="24"/>
                <w:szCs w:val="24"/>
                <w:lang w:val="lv-LV"/>
              </w:rPr>
            </w:pPr>
            <w:r w:rsidRPr="00267BCC">
              <w:rPr>
                <w:noProof/>
                <w:sz w:val="24"/>
                <w:szCs w:val="24"/>
                <w:lang w:val="lv-LV" w:eastAsia="lv-LV"/>
              </w:rPr>
              <w:drawing>
                <wp:inline distT="0" distB="0" distL="0" distR="0" wp14:anchorId="49640ECC" wp14:editId="49640ECD">
                  <wp:extent cx="4069080" cy="220993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925" cy="2214193"/>
                          </a:xfrm>
                          <a:prstGeom prst="rect">
                            <a:avLst/>
                          </a:prstGeom>
                          <a:noFill/>
                        </pic:spPr>
                      </pic:pic>
                    </a:graphicData>
                  </a:graphic>
                </wp:inline>
              </w:drawing>
            </w:r>
          </w:p>
          <w:p w14:paraId="49640B1C" w14:textId="77777777" w:rsidR="004014B7" w:rsidRPr="00267BCC" w:rsidRDefault="00B3022B" w:rsidP="00267BCC">
            <w:pPr>
              <w:pStyle w:val="ListParagraph"/>
              <w:spacing w:line="240" w:lineRule="auto"/>
              <w:ind w:left="142"/>
              <w:contextualSpacing w:val="0"/>
              <w:jc w:val="both"/>
              <w:rPr>
                <w:rFonts w:ascii="Times New Roman" w:hAnsi="Times New Roman"/>
                <w:sz w:val="20"/>
                <w:szCs w:val="20"/>
                <w:lang w:val="lv-LV"/>
              </w:rPr>
            </w:pPr>
            <w:r w:rsidRPr="00267BCC">
              <w:rPr>
                <w:rFonts w:ascii="Times New Roman" w:hAnsi="Times New Roman"/>
                <w:sz w:val="20"/>
                <w:szCs w:val="20"/>
                <w:lang w:val="lv-LV"/>
              </w:rPr>
              <w:t>Datu avots: SM</w:t>
            </w:r>
          </w:p>
          <w:p w14:paraId="49640B1D" w14:textId="77777777" w:rsidR="00E90BA8" w:rsidRPr="00267BCC" w:rsidRDefault="00E90BA8" w:rsidP="00267BCC">
            <w:pPr>
              <w:pStyle w:val="ListParagraph"/>
              <w:tabs>
                <w:tab w:val="left" w:pos="0"/>
              </w:tabs>
              <w:spacing w:line="240" w:lineRule="auto"/>
              <w:ind w:left="0"/>
              <w:contextualSpacing w:val="0"/>
              <w:jc w:val="right"/>
              <w:rPr>
                <w:rFonts w:ascii="Times New Roman" w:hAnsi="Times New Roman"/>
                <w:lang w:val="lv-LV"/>
              </w:rPr>
            </w:pPr>
          </w:p>
          <w:p w14:paraId="49640B1E" w14:textId="77777777" w:rsidR="004B5C1D" w:rsidRPr="00267BCC" w:rsidRDefault="00E90BA8" w:rsidP="00267BCC">
            <w:pPr>
              <w:pStyle w:val="ListParagraph"/>
              <w:numPr>
                <w:ilvl w:val="0"/>
                <w:numId w:val="35"/>
              </w:numPr>
              <w:tabs>
                <w:tab w:val="left" w:pos="0"/>
              </w:tabs>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Konferenču zāļu ietilpības ziņā Viļņa ir pārāka par Rīgu un Tallinu, </w:t>
            </w:r>
            <w:r w:rsidR="000501B4" w:rsidRPr="00267BCC">
              <w:rPr>
                <w:rFonts w:ascii="Times New Roman" w:hAnsi="Times New Roman"/>
                <w:sz w:val="24"/>
                <w:szCs w:val="24"/>
                <w:lang w:val="lv-LV"/>
              </w:rPr>
              <w:t>jo Viļņā ir vairākas viesnīcas ar plašiem konferenču centriem, p</w:t>
            </w:r>
            <w:r w:rsidRPr="00267BCC">
              <w:rPr>
                <w:rFonts w:ascii="Times New Roman" w:hAnsi="Times New Roman"/>
                <w:sz w:val="24"/>
                <w:szCs w:val="24"/>
                <w:lang w:val="lv-LV"/>
              </w:rPr>
              <w:t xml:space="preserve">iemēram, </w:t>
            </w:r>
            <w:r w:rsidRPr="00267BCC">
              <w:rPr>
                <w:rFonts w:ascii="Times New Roman" w:hAnsi="Times New Roman"/>
                <w:i/>
                <w:sz w:val="24"/>
                <w:szCs w:val="24"/>
                <w:lang w:val="lv-LV"/>
              </w:rPr>
              <w:t>La Meridien Villon</w:t>
            </w:r>
            <w:r w:rsidRPr="00267BCC">
              <w:rPr>
                <w:rFonts w:ascii="Times New Roman" w:hAnsi="Times New Roman"/>
                <w:sz w:val="24"/>
                <w:szCs w:val="24"/>
                <w:lang w:val="lv-LV"/>
              </w:rPr>
              <w:t xml:space="preserve"> konferenču komplekss ietver 34 zāles – sākot no 8 ci</w:t>
            </w:r>
            <w:r w:rsidR="000501B4" w:rsidRPr="00267BCC">
              <w:rPr>
                <w:rFonts w:ascii="Times New Roman" w:hAnsi="Times New Roman"/>
                <w:sz w:val="24"/>
                <w:szCs w:val="24"/>
                <w:lang w:val="lv-LV"/>
              </w:rPr>
              <w:t>lvēku ietilpības – līdz pat</w:t>
            </w:r>
            <w:r w:rsidRPr="00267BCC">
              <w:rPr>
                <w:rFonts w:ascii="Times New Roman" w:hAnsi="Times New Roman"/>
                <w:sz w:val="24"/>
                <w:szCs w:val="24"/>
                <w:lang w:val="lv-LV"/>
              </w:rPr>
              <w:t xml:space="preserve"> </w:t>
            </w:r>
            <w:r w:rsidRPr="00267BCC">
              <w:rPr>
                <w:rFonts w:ascii="Times New Roman" w:hAnsi="Times New Roman"/>
                <w:i/>
                <w:sz w:val="24"/>
                <w:szCs w:val="24"/>
                <w:lang w:val="lv-LV"/>
              </w:rPr>
              <w:t>Grand Opera</w:t>
            </w:r>
            <w:r w:rsidRPr="00267BCC">
              <w:rPr>
                <w:rFonts w:ascii="Times New Roman" w:hAnsi="Times New Roman"/>
                <w:sz w:val="24"/>
                <w:szCs w:val="24"/>
                <w:lang w:val="lv-LV"/>
              </w:rPr>
              <w:t xml:space="preserve"> zāle</w:t>
            </w:r>
            <w:r w:rsidR="000501B4" w:rsidRPr="00267BCC">
              <w:rPr>
                <w:rFonts w:ascii="Times New Roman" w:hAnsi="Times New Roman"/>
                <w:sz w:val="24"/>
                <w:szCs w:val="24"/>
                <w:lang w:val="lv-LV"/>
              </w:rPr>
              <w:t>i</w:t>
            </w:r>
            <w:r w:rsidRPr="00267BCC">
              <w:rPr>
                <w:rFonts w:ascii="Times New Roman" w:hAnsi="Times New Roman"/>
                <w:sz w:val="24"/>
                <w:szCs w:val="24"/>
                <w:lang w:val="lv-LV"/>
              </w:rPr>
              <w:t xml:space="preserve"> ar ietilpību 1000 cilvēku, </w:t>
            </w:r>
            <w:r w:rsidRPr="00267BCC">
              <w:rPr>
                <w:rFonts w:ascii="Times New Roman" w:hAnsi="Times New Roman"/>
                <w:i/>
                <w:sz w:val="24"/>
                <w:szCs w:val="24"/>
                <w:lang w:val="lv-LV"/>
              </w:rPr>
              <w:t>Crown Plaza</w:t>
            </w:r>
            <w:r w:rsidRPr="00267BCC">
              <w:rPr>
                <w:rFonts w:ascii="Times New Roman" w:hAnsi="Times New Roman"/>
                <w:sz w:val="24"/>
                <w:szCs w:val="24"/>
                <w:lang w:val="lv-LV"/>
              </w:rPr>
              <w:t xml:space="preserve"> – 8 zāles, </w:t>
            </w:r>
            <w:r w:rsidRPr="00267BCC">
              <w:rPr>
                <w:rFonts w:ascii="Times New Roman" w:hAnsi="Times New Roman"/>
                <w:i/>
                <w:sz w:val="24"/>
                <w:szCs w:val="24"/>
                <w:lang w:val="lv-LV"/>
              </w:rPr>
              <w:t>Reval Lietuva</w:t>
            </w:r>
            <w:r w:rsidRPr="00267BCC">
              <w:rPr>
                <w:rFonts w:ascii="Times New Roman" w:hAnsi="Times New Roman"/>
                <w:sz w:val="24"/>
                <w:szCs w:val="24"/>
                <w:lang w:val="lv-LV"/>
              </w:rPr>
              <w:t xml:space="preserve"> – 17 zāles, </w:t>
            </w:r>
            <w:r w:rsidRPr="00267BCC">
              <w:rPr>
                <w:rFonts w:ascii="Times New Roman" w:hAnsi="Times New Roman"/>
                <w:i/>
                <w:sz w:val="24"/>
                <w:szCs w:val="24"/>
                <w:lang w:val="lv-LV"/>
              </w:rPr>
              <w:t xml:space="preserve">Best Western </w:t>
            </w:r>
            <w:r w:rsidRPr="00267BCC">
              <w:rPr>
                <w:rFonts w:ascii="Times New Roman" w:hAnsi="Times New Roman"/>
                <w:i/>
                <w:sz w:val="24"/>
                <w:szCs w:val="24"/>
                <w:lang w:val="lv-LV"/>
              </w:rPr>
              <w:lastRenderedPageBreak/>
              <w:t>Vilnius</w:t>
            </w:r>
            <w:r w:rsidRPr="00267BCC">
              <w:rPr>
                <w:rFonts w:ascii="Times New Roman" w:hAnsi="Times New Roman"/>
                <w:sz w:val="24"/>
                <w:szCs w:val="24"/>
                <w:lang w:val="lv-LV"/>
              </w:rPr>
              <w:t xml:space="preserve"> – 7 zāles un </w:t>
            </w:r>
            <w:r w:rsidRPr="00267BCC">
              <w:rPr>
                <w:rFonts w:ascii="Times New Roman" w:hAnsi="Times New Roman"/>
                <w:i/>
                <w:sz w:val="24"/>
                <w:szCs w:val="24"/>
                <w:lang w:val="lv-LV"/>
              </w:rPr>
              <w:t>Karolina Hotel</w:t>
            </w:r>
            <w:r w:rsidRPr="00267BCC">
              <w:rPr>
                <w:rFonts w:ascii="Times New Roman" w:hAnsi="Times New Roman"/>
                <w:sz w:val="24"/>
                <w:szCs w:val="24"/>
                <w:lang w:val="lv-LV"/>
              </w:rPr>
              <w:t xml:space="preserve"> – 14 zāles. </w:t>
            </w:r>
            <w:r w:rsidR="000501B4" w:rsidRPr="00267BCC">
              <w:rPr>
                <w:rFonts w:ascii="Times New Roman" w:hAnsi="Times New Roman"/>
                <w:sz w:val="24"/>
                <w:szCs w:val="24"/>
                <w:lang w:val="lv-LV"/>
              </w:rPr>
              <w:t xml:space="preserve">Pretstatā </w:t>
            </w:r>
            <w:r w:rsidRPr="00267BCC">
              <w:rPr>
                <w:rFonts w:ascii="Times New Roman" w:hAnsi="Times New Roman"/>
                <w:sz w:val="24"/>
                <w:szCs w:val="24"/>
                <w:lang w:val="lv-LV"/>
              </w:rPr>
              <w:t xml:space="preserve">Rīgā ir tikai 3 viesnīcas ar ietilpīgiem konferenču centriem – </w:t>
            </w:r>
            <w:r w:rsidRPr="00267BCC">
              <w:rPr>
                <w:rFonts w:ascii="Times New Roman" w:hAnsi="Times New Roman"/>
                <w:i/>
                <w:sz w:val="24"/>
                <w:szCs w:val="24"/>
                <w:lang w:val="lv-LV"/>
              </w:rPr>
              <w:t>Radission Blu Hotel Daugava</w:t>
            </w:r>
            <w:r w:rsidRPr="00267BCC">
              <w:rPr>
                <w:rFonts w:ascii="Times New Roman" w:hAnsi="Times New Roman"/>
                <w:sz w:val="24"/>
                <w:szCs w:val="24"/>
                <w:lang w:val="lv-LV"/>
              </w:rPr>
              <w:t xml:space="preserve"> ar 13 zālēm, </w:t>
            </w:r>
            <w:r w:rsidRPr="00267BCC">
              <w:rPr>
                <w:rFonts w:ascii="Times New Roman" w:hAnsi="Times New Roman"/>
                <w:i/>
                <w:sz w:val="24"/>
                <w:szCs w:val="24"/>
                <w:lang w:val="lv-LV"/>
              </w:rPr>
              <w:t>Radisson Blu Hotel Latvija</w:t>
            </w:r>
            <w:r w:rsidRPr="00267BCC">
              <w:rPr>
                <w:rFonts w:ascii="Times New Roman" w:hAnsi="Times New Roman"/>
                <w:sz w:val="24"/>
                <w:szCs w:val="24"/>
                <w:lang w:val="lv-LV"/>
              </w:rPr>
              <w:t xml:space="preserve"> ar 11 zālēm un </w:t>
            </w:r>
            <w:r w:rsidRPr="00267BCC">
              <w:rPr>
                <w:rFonts w:ascii="Times New Roman" w:hAnsi="Times New Roman"/>
                <w:i/>
                <w:sz w:val="24"/>
                <w:szCs w:val="24"/>
                <w:lang w:val="lv-LV"/>
              </w:rPr>
              <w:t>Maritim Park Hotel</w:t>
            </w:r>
            <w:r w:rsidRPr="00267BCC">
              <w:rPr>
                <w:rFonts w:ascii="Times New Roman" w:hAnsi="Times New Roman"/>
                <w:sz w:val="24"/>
                <w:szCs w:val="24"/>
                <w:lang w:val="lv-LV"/>
              </w:rPr>
              <w:t xml:space="preserve"> ar 9 zālēm. Tallinā ir vairākas viesnīcas ar daudzām konferenču zālēm, bet to ietilpība ir maza. Viesnīcu konferenču zāļu ietilpība, summējot lielāko konferenču zāļu ietilpību ar teātra stila krēslu izvietojumu: </w:t>
            </w:r>
            <w:r w:rsidR="009E54A4" w:rsidRPr="00267BCC">
              <w:rPr>
                <w:rFonts w:ascii="Times New Roman" w:hAnsi="Times New Roman"/>
                <w:sz w:val="24"/>
                <w:szCs w:val="24"/>
                <w:lang w:val="lv-LV"/>
              </w:rPr>
              <w:t>Viļņa – 6820, Rīga – 5690, Tallina – 5025</w:t>
            </w:r>
            <w:r w:rsidR="005820F7" w:rsidRPr="00267BCC">
              <w:rPr>
                <w:rFonts w:ascii="Times New Roman" w:hAnsi="Times New Roman"/>
                <w:sz w:val="24"/>
                <w:szCs w:val="24"/>
                <w:lang w:val="lv-LV"/>
              </w:rPr>
              <w:t>. Savukārt Rīgā ir liels</w:t>
            </w:r>
            <w:r w:rsidRPr="00267BCC">
              <w:rPr>
                <w:rFonts w:ascii="Times New Roman" w:hAnsi="Times New Roman"/>
                <w:sz w:val="24"/>
                <w:szCs w:val="24"/>
                <w:lang w:val="lv-LV"/>
              </w:rPr>
              <w:t xml:space="preserve"> dažādu ārpus viesnīcām esošu telpu skaits, kurās var rīkot konferences vai kongresus. Šeit varētu minēt Melngalvju namu, Latviešu biedrības namu, Lielo un Mazo ģildi, Kongresu namu un citas vietas. Šādu iespēju ziņā Tallinā ir līdzīgs skaits ar zālēm, bet to ietilpība ir par 55% </w:t>
            </w:r>
            <w:r w:rsidR="005820F7" w:rsidRPr="00267BCC">
              <w:rPr>
                <w:rFonts w:ascii="Times New Roman" w:hAnsi="Times New Roman"/>
                <w:sz w:val="24"/>
                <w:szCs w:val="24"/>
                <w:lang w:val="lv-LV"/>
              </w:rPr>
              <w:t xml:space="preserve">mazāka </w:t>
            </w:r>
            <w:r w:rsidRPr="00267BCC">
              <w:rPr>
                <w:rFonts w:ascii="Times New Roman" w:hAnsi="Times New Roman"/>
                <w:sz w:val="24"/>
                <w:szCs w:val="24"/>
                <w:lang w:val="lv-LV"/>
              </w:rPr>
              <w:t>salīdzinājumā ar Rīgu. Lielākās vienapjoma telpas, kuras varētu iz</w:t>
            </w:r>
            <w:r w:rsidR="009E54A4" w:rsidRPr="00267BCC">
              <w:rPr>
                <w:rFonts w:ascii="Times New Roman" w:hAnsi="Times New Roman"/>
                <w:sz w:val="24"/>
                <w:szCs w:val="24"/>
                <w:lang w:val="lv-LV"/>
              </w:rPr>
              <w:t>mantot konferenču organizēšanai</w:t>
            </w:r>
            <w:r w:rsidRPr="00267BCC">
              <w:rPr>
                <w:rFonts w:ascii="Times New Roman" w:hAnsi="Times New Roman"/>
                <w:sz w:val="24"/>
                <w:szCs w:val="24"/>
                <w:lang w:val="lv-LV"/>
              </w:rPr>
              <w:t xml:space="preserve"> Rīgā ir Arēna Rīga (maksimālais vietu skaits – 12 500), Tallinā – Saku Suurhall (6 000) un Viļņā – Siemens Arena (9000). Helsinkos, līdzīgi kā Rīgā, ir 10 vietas, kurās var rīkot konferences un kongresus (Rīgā – 9 vietas), bet tie </w:t>
            </w:r>
            <w:r w:rsidR="009E54A4" w:rsidRPr="00267BCC">
              <w:rPr>
                <w:rFonts w:ascii="Times New Roman" w:hAnsi="Times New Roman"/>
                <w:sz w:val="24"/>
                <w:szCs w:val="24"/>
                <w:lang w:val="lv-LV"/>
              </w:rPr>
              <w:t xml:space="preserve">ir </w:t>
            </w:r>
            <w:r w:rsidRPr="00267BCC">
              <w:rPr>
                <w:rFonts w:ascii="Times New Roman" w:hAnsi="Times New Roman"/>
                <w:sz w:val="24"/>
                <w:szCs w:val="24"/>
                <w:lang w:val="lv-LV"/>
              </w:rPr>
              <w:t>multifunkcionālie kompleksi, kas piedāvā ļoti dažādu telpu izmēru, sākot no 10 cilvēku apspriežu zālēm un līdz pat 4400 vietu zālēm (maksimāli lielākā pieejamā konferenču zālē ar krēslu izvietojumu teātra stilā Helsinku Izstāžu un Kongresu centrā). Helsinku konferenču ietilpība ir aptuveni par vienu piektdaļu lielāka nekā Rīgas telpu ietilpība. Savukārt viesnīcu numuru skaita ziņā Helsinki</w:t>
            </w:r>
            <w:r w:rsidR="009E54A4" w:rsidRPr="00267BCC">
              <w:rPr>
                <w:rFonts w:ascii="Times New Roman" w:hAnsi="Times New Roman"/>
                <w:sz w:val="24"/>
                <w:szCs w:val="24"/>
                <w:lang w:val="lv-LV"/>
              </w:rPr>
              <w:t xml:space="preserve"> (</w:t>
            </w:r>
            <w:r w:rsidR="009E54A4" w:rsidRPr="00267BCC">
              <w:rPr>
                <w:rFonts w:ascii="Times New Roman" w:hAnsi="Times New Roman"/>
                <w:color w:val="000000"/>
                <w:sz w:val="24"/>
                <w:szCs w:val="24"/>
                <w:lang w:val="lv-LV"/>
              </w:rPr>
              <w:t>5845)</w:t>
            </w:r>
            <w:r w:rsidR="009E54A4" w:rsidRPr="00267BCC">
              <w:rPr>
                <w:rFonts w:ascii="Times New Roman" w:hAnsi="Times New Roman"/>
                <w:sz w:val="24"/>
                <w:szCs w:val="24"/>
                <w:lang w:val="lv-LV"/>
              </w:rPr>
              <w:t xml:space="preserve"> </w:t>
            </w:r>
            <w:r w:rsidR="004B5C1D" w:rsidRPr="00267BCC">
              <w:rPr>
                <w:rFonts w:ascii="Times New Roman" w:hAnsi="Times New Roman"/>
                <w:sz w:val="24"/>
                <w:szCs w:val="24"/>
                <w:lang w:val="lv-LV"/>
              </w:rPr>
              <w:t>atpaliek no Tallinas un Rīgas.</w:t>
            </w:r>
          </w:p>
          <w:p w14:paraId="49640B1F" w14:textId="77777777" w:rsidR="00E65A55" w:rsidRPr="00267BCC" w:rsidRDefault="00E65A55" w:rsidP="00267BCC">
            <w:pPr>
              <w:tabs>
                <w:tab w:val="left" w:pos="0"/>
              </w:tabs>
              <w:jc w:val="both"/>
              <w:rPr>
                <w:lang w:val="lv-LV"/>
              </w:rPr>
            </w:pPr>
          </w:p>
          <w:p w14:paraId="49640B20" w14:textId="77777777" w:rsidR="00E90BA8" w:rsidRPr="00267BCC" w:rsidRDefault="0037102B" w:rsidP="00267BCC">
            <w:pPr>
              <w:pStyle w:val="ListParagraph"/>
              <w:tabs>
                <w:tab w:val="left" w:pos="0"/>
              </w:tabs>
              <w:spacing w:line="240" w:lineRule="auto"/>
              <w:ind w:left="0"/>
              <w:contextualSpacing w:val="0"/>
              <w:jc w:val="right"/>
              <w:rPr>
                <w:rFonts w:ascii="Times New Roman" w:hAnsi="Times New Roman"/>
                <w:sz w:val="24"/>
                <w:szCs w:val="24"/>
                <w:lang w:val="lv-LV"/>
              </w:rPr>
            </w:pPr>
            <w:r w:rsidRPr="00267BCC">
              <w:rPr>
                <w:rFonts w:ascii="Times New Roman" w:hAnsi="Times New Roman"/>
                <w:sz w:val="24"/>
                <w:szCs w:val="24"/>
                <w:lang w:val="lv-LV"/>
              </w:rPr>
              <w:t>5</w:t>
            </w:r>
            <w:r w:rsidR="00E90BA8" w:rsidRPr="00267BCC">
              <w:rPr>
                <w:rFonts w:ascii="Times New Roman" w:hAnsi="Times New Roman"/>
                <w:sz w:val="24"/>
                <w:szCs w:val="24"/>
                <w:lang w:val="lv-LV"/>
              </w:rPr>
              <w:t>.tabula</w:t>
            </w:r>
          </w:p>
          <w:p w14:paraId="49640B21" w14:textId="77777777" w:rsidR="00E90BA8" w:rsidRPr="00267BCC" w:rsidRDefault="00E90BA8" w:rsidP="00267BCC">
            <w:pPr>
              <w:pStyle w:val="ListParagraph"/>
              <w:tabs>
                <w:tab w:val="left" w:pos="0"/>
              </w:tabs>
              <w:spacing w:line="240" w:lineRule="auto"/>
              <w:ind w:left="0"/>
              <w:contextualSpacing w:val="0"/>
              <w:jc w:val="center"/>
              <w:rPr>
                <w:rFonts w:ascii="Times New Roman" w:hAnsi="Times New Roman"/>
                <w:b/>
                <w:lang w:val="lv-LV"/>
              </w:rPr>
            </w:pPr>
            <w:r w:rsidRPr="00267BCC">
              <w:rPr>
                <w:rFonts w:ascii="Times New Roman" w:hAnsi="Times New Roman"/>
                <w:b/>
                <w:lang w:val="lv-LV"/>
              </w:rPr>
              <w:t>Konferenču telpu ietilpība Rīgā, Tallinā, Viļņā un Helsinkos</w:t>
            </w:r>
          </w:p>
          <w:tbl>
            <w:tblPr>
              <w:tblStyle w:val="TableGrid"/>
              <w:tblW w:w="5000" w:type="pct"/>
              <w:tblLook w:val="0420" w:firstRow="1" w:lastRow="0" w:firstColumn="0" w:lastColumn="0" w:noHBand="0" w:noVBand="1"/>
            </w:tblPr>
            <w:tblGrid>
              <w:gridCol w:w="4667"/>
              <w:gridCol w:w="1099"/>
              <w:gridCol w:w="1099"/>
              <w:gridCol w:w="1098"/>
              <w:gridCol w:w="1098"/>
            </w:tblGrid>
            <w:tr w:rsidR="00E90BA8" w:rsidRPr="00267BCC" w14:paraId="49640B27" w14:textId="77777777" w:rsidTr="00DA3CE7">
              <w:trPr>
                <w:trHeight w:val="341"/>
              </w:trPr>
              <w:tc>
                <w:tcPr>
                  <w:tcW w:w="2574" w:type="pct"/>
                  <w:hideMark/>
                </w:tcPr>
                <w:p w14:paraId="49640B22" w14:textId="77777777" w:rsidR="00E90BA8" w:rsidRPr="00267BCC" w:rsidRDefault="00E90BA8" w:rsidP="00267BCC">
                  <w:pPr>
                    <w:pStyle w:val="ListParagraph"/>
                    <w:tabs>
                      <w:tab w:val="left" w:pos="0"/>
                    </w:tabs>
                    <w:spacing w:line="240" w:lineRule="auto"/>
                    <w:contextualSpacing w:val="0"/>
                    <w:jc w:val="both"/>
                    <w:rPr>
                      <w:rFonts w:ascii="Times New Roman" w:hAnsi="Times New Roman"/>
                      <w:lang w:val="lv-LV"/>
                    </w:rPr>
                  </w:pPr>
                </w:p>
              </w:tc>
              <w:tc>
                <w:tcPr>
                  <w:tcW w:w="606" w:type="pct"/>
                  <w:vAlign w:val="center"/>
                  <w:hideMark/>
                </w:tcPr>
                <w:p w14:paraId="49640B23"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bCs/>
                      <w:lang w:val="lv-LV"/>
                    </w:rPr>
                    <w:t>Rīga</w:t>
                  </w:r>
                </w:p>
              </w:tc>
              <w:tc>
                <w:tcPr>
                  <w:tcW w:w="606" w:type="pct"/>
                  <w:vAlign w:val="center"/>
                  <w:hideMark/>
                </w:tcPr>
                <w:p w14:paraId="49640B24"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bCs/>
                      <w:lang w:val="lv-LV"/>
                    </w:rPr>
                    <w:t>Tallina</w:t>
                  </w:r>
                </w:p>
              </w:tc>
              <w:tc>
                <w:tcPr>
                  <w:tcW w:w="606" w:type="pct"/>
                  <w:vAlign w:val="center"/>
                  <w:hideMark/>
                </w:tcPr>
                <w:p w14:paraId="49640B25"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bCs/>
                      <w:lang w:val="lv-LV"/>
                    </w:rPr>
                    <w:t>Viļņa</w:t>
                  </w:r>
                </w:p>
              </w:tc>
              <w:tc>
                <w:tcPr>
                  <w:tcW w:w="606" w:type="pct"/>
                  <w:vAlign w:val="center"/>
                </w:tcPr>
                <w:p w14:paraId="49640B26"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bCs/>
                      <w:lang w:val="lv-LV"/>
                    </w:rPr>
                  </w:pPr>
                  <w:r w:rsidRPr="00267BCC">
                    <w:rPr>
                      <w:rFonts w:ascii="Times New Roman" w:hAnsi="Times New Roman"/>
                      <w:bCs/>
                      <w:lang w:val="lv-LV"/>
                    </w:rPr>
                    <w:t>Helsinki</w:t>
                  </w:r>
                </w:p>
              </w:tc>
            </w:tr>
            <w:tr w:rsidR="00E90BA8" w:rsidRPr="00267BCC" w14:paraId="49640B2D" w14:textId="77777777" w:rsidTr="00DA3CE7">
              <w:trPr>
                <w:trHeight w:val="275"/>
              </w:trPr>
              <w:tc>
                <w:tcPr>
                  <w:tcW w:w="2574" w:type="pct"/>
                  <w:vAlign w:val="center"/>
                  <w:hideMark/>
                </w:tcPr>
                <w:p w14:paraId="49640B28" w14:textId="77777777" w:rsidR="00E90BA8" w:rsidRPr="00267BCC" w:rsidRDefault="00E90BA8" w:rsidP="00267BCC">
                  <w:pPr>
                    <w:pStyle w:val="ListParagraph"/>
                    <w:tabs>
                      <w:tab w:val="left" w:pos="0"/>
                    </w:tabs>
                    <w:spacing w:line="240" w:lineRule="auto"/>
                    <w:ind w:left="0"/>
                    <w:contextualSpacing w:val="0"/>
                    <w:rPr>
                      <w:rFonts w:ascii="Times New Roman" w:hAnsi="Times New Roman"/>
                      <w:lang w:val="lv-LV"/>
                    </w:rPr>
                  </w:pPr>
                  <w:r w:rsidRPr="00267BCC">
                    <w:rPr>
                      <w:rFonts w:ascii="Times New Roman" w:hAnsi="Times New Roman"/>
                      <w:bCs/>
                      <w:lang w:val="lv-LV"/>
                    </w:rPr>
                    <w:t xml:space="preserve">Konferenču telpu skaits viesnīcās </w:t>
                  </w:r>
                </w:p>
              </w:tc>
              <w:tc>
                <w:tcPr>
                  <w:tcW w:w="606" w:type="pct"/>
                  <w:vAlign w:val="center"/>
                  <w:hideMark/>
                </w:tcPr>
                <w:p w14:paraId="49640B29"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lang w:val="lv-LV"/>
                    </w:rPr>
                    <w:t>137</w:t>
                  </w:r>
                </w:p>
              </w:tc>
              <w:tc>
                <w:tcPr>
                  <w:tcW w:w="606" w:type="pct"/>
                  <w:vAlign w:val="center"/>
                  <w:hideMark/>
                </w:tcPr>
                <w:p w14:paraId="49640B2A"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171</w:t>
                  </w:r>
                </w:p>
              </w:tc>
              <w:tc>
                <w:tcPr>
                  <w:tcW w:w="606" w:type="pct"/>
                  <w:vAlign w:val="center"/>
                  <w:hideMark/>
                </w:tcPr>
                <w:p w14:paraId="49640B2B"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177</w:t>
                  </w:r>
                </w:p>
              </w:tc>
              <w:tc>
                <w:tcPr>
                  <w:tcW w:w="606" w:type="pct"/>
                  <w:vAlign w:val="center"/>
                </w:tcPr>
                <w:p w14:paraId="49640B2C"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w:t>
                  </w:r>
                </w:p>
              </w:tc>
            </w:tr>
            <w:tr w:rsidR="00E90BA8" w:rsidRPr="00267BCC" w14:paraId="49640B33" w14:textId="77777777" w:rsidTr="00DA3CE7">
              <w:trPr>
                <w:trHeight w:val="557"/>
              </w:trPr>
              <w:tc>
                <w:tcPr>
                  <w:tcW w:w="2574" w:type="pct"/>
                  <w:vAlign w:val="center"/>
                  <w:hideMark/>
                </w:tcPr>
                <w:p w14:paraId="49640B2E" w14:textId="77777777" w:rsidR="00E90BA8" w:rsidRPr="00267BCC" w:rsidRDefault="00E90BA8" w:rsidP="00267BCC">
                  <w:pPr>
                    <w:pStyle w:val="ListParagraph"/>
                    <w:tabs>
                      <w:tab w:val="left" w:pos="0"/>
                    </w:tabs>
                    <w:spacing w:line="240" w:lineRule="auto"/>
                    <w:ind w:left="0"/>
                    <w:contextualSpacing w:val="0"/>
                    <w:rPr>
                      <w:rFonts w:ascii="Times New Roman" w:hAnsi="Times New Roman"/>
                      <w:lang w:val="lv-LV"/>
                    </w:rPr>
                  </w:pPr>
                  <w:r w:rsidRPr="00267BCC">
                    <w:rPr>
                      <w:rFonts w:ascii="Times New Roman" w:hAnsi="Times New Roman"/>
                      <w:bCs/>
                      <w:lang w:val="lv-LV"/>
                    </w:rPr>
                    <w:t>Kapacitāte (visas lielākās konferenču telpas viesnīcās ar iekārtojumu teātra stilā)</w:t>
                  </w:r>
                </w:p>
              </w:tc>
              <w:tc>
                <w:tcPr>
                  <w:tcW w:w="606" w:type="pct"/>
                  <w:vAlign w:val="center"/>
                  <w:hideMark/>
                </w:tcPr>
                <w:p w14:paraId="49640B2F"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lang w:val="lv-LV"/>
                    </w:rPr>
                    <w:t>5690</w:t>
                  </w:r>
                </w:p>
              </w:tc>
              <w:tc>
                <w:tcPr>
                  <w:tcW w:w="606" w:type="pct"/>
                  <w:vAlign w:val="center"/>
                  <w:hideMark/>
                </w:tcPr>
                <w:p w14:paraId="49640B30"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5025</w:t>
                  </w:r>
                </w:p>
              </w:tc>
              <w:tc>
                <w:tcPr>
                  <w:tcW w:w="606" w:type="pct"/>
                  <w:vAlign w:val="center"/>
                  <w:hideMark/>
                </w:tcPr>
                <w:p w14:paraId="49640B31"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6820</w:t>
                  </w:r>
                </w:p>
              </w:tc>
              <w:tc>
                <w:tcPr>
                  <w:tcW w:w="606" w:type="pct"/>
                  <w:vAlign w:val="center"/>
                </w:tcPr>
                <w:p w14:paraId="49640B32"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eastAsia="Times New Roman" w:hAnsi="Times New Roman"/>
                      <w:color w:val="000000"/>
                      <w:lang w:val="lv-LV"/>
                    </w:rPr>
                    <w:t>4815</w:t>
                  </w:r>
                </w:p>
              </w:tc>
            </w:tr>
            <w:tr w:rsidR="00E90BA8" w:rsidRPr="00267BCC" w14:paraId="49640B39" w14:textId="77777777" w:rsidTr="00DA3CE7">
              <w:trPr>
                <w:trHeight w:val="557"/>
              </w:trPr>
              <w:tc>
                <w:tcPr>
                  <w:tcW w:w="2574" w:type="pct"/>
                  <w:vAlign w:val="center"/>
                  <w:hideMark/>
                </w:tcPr>
                <w:p w14:paraId="49640B34" w14:textId="77777777" w:rsidR="00E90BA8" w:rsidRPr="00267BCC" w:rsidRDefault="00E90BA8" w:rsidP="00267BCC">
                  <w:pPr>
                    <w:pStyle w:val="ListParagraph"/>
                    <w:tabs>
                      <w:tab w:val="left" w:pos="0"/>
                    </w:tabs>
                    <w:spacing w:line="240" w:lineRule="auto"/>
                    <w:ind w:left="0"/>
                    <w:contextualSpacing w:val="0"/>
                    <w:rPr>
                      <w:rFonts w:ascii="Times New Roman" w:hAnsi="Times New Roman"/>
                      <w:lang w:val="lv-LV"/>
                    </w:rPr>
                  </w:pPr>
                  <w:r w:rsidRPr="00267BCC">
                    <w:rPr>
                      <w:rFonts w:ascii="Times New Roman" w:hAnsi="Times New Roman"/>
                      <w:bCs/>
                      <w:lang w:val="lv-LV"/>
                    </w:rPr>
                    <w:t xml:space="preserve">Citas vietas, kas piemērotas konferenču organizēšanai </w:t>
                  </w:r>
                </w:p>
              </w:tc>
              <w:tc>
                <w:tcPr>
                  <w:tcW w:w="606" w:type="pct"/>
                  <w:vAlign w:val="center"/>
                  <w:hideMark/>
                </w:tcPr>
                <w:p w14:paraId="49640B35"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lang w:val="lv-LV"/>
                    </w:rPr>
                    <w:t>9</w:t>
                  </w:r>
                </w:p>
              </w:tc>
              <w:tc>
                <w:tcPr>
                  <w:tcW w:w="606" w:type="pct"/>
                  <w:vAlign w:val="center"/>
                  <w:hideMark/>
                </w:tcPr>
                <w:p w14:paraId="49640B36"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6</w:t>
                  </w:r>
                </w:p>
              </w:tc>
              <w:tc>
                <w:tcPr>
                  <w:tcW w:w="606" w:type="pct"/>
                  <w:vAlign w:val="center"/>
                  <w:hideMark/>
                </w:tcPr>
                <w:p w14:paraId="49640B37"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7</w:t>
                  </w:r>
                </w:p>
              </w:tc>
              <w:tc>
                <w:tcPr>
                  <w:tcW w:w="606" w:type="pct"/>
                  <w:vAlign w:val="center"/>
                </w:tcPr>
                <w:p w14:paraId="49640B38"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10</w:t>
                  </w:r>
                </w:p>
              </w:tc>
            </w:tr>
            <w:tr w:rsidR="00E90BA8" w:rsidRPr="00267BCC" w14:paraId="49640B3F" w14:textId="77777777" w:rsidTr="00DA3CE7">
              <w:trPr>
                <w:trHeight w:val="203"/>
              </w:trPr>
              <w:tc>
                <w:tcPr>
                  <w:tcW w:w="2574" w:type="pct"/>
                  <w:vAlign w:val="center"/>
                  <w:hideMark/>
                </w:tcPr>
                <w:p w14:paraId="49640B3A" w14:textId="77777777" w:rsidR="00E90BA8" w:rsidRPr="00267BCC" w:rsidRDefault="00E90BA8" w:rsidP="00267BCC">
                  <w:pPr>
                    <w:pStyle w:val="ListParagraph"/>
                    <w:tabs>
                      <w:tab w:val="left" w:pos="0"/>
                    </w:tabs>
                    <w:spacing w:line="240" w:lineRule="auto"/>
                    <w:ind w:left="0"/>
                    <w:contextualSpacing w:val="0"/>
                    <w:rPr>
                      <w:rFonts w:ascii="Times New Roman" w:hAnsi="Times New Roman"/>
                      <w:lang w:val="lv-LV"/>
                    </w:rPr>
                  </w:pPr>
                  <w:r w:rsidRPr="00267BCC">
                    <w:rPr>
                      <w:rFonts w:ascii="Times New Roman" w:hAnsi="Times New Roman"/>
                      <w:bCs/>
                      <w:lang w:val="lv-LV"/>
                    </w:rPr>
                    <w:t xml:space="preserve">Konferenču telpu skaits šajās vietās </w:t>
                  </w:r>
                </w:p>
              </w:tc>
              <w:tc>
                <w:tcPr>
                  <w:tcW w:w="606" w:type="pct"/>
                  <w:vAlign w:val="center"/>
                  <w:hideMark/>
                </w:tcPr>
                <w:p w14:paraId="49640B3B"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lang w:val="lv-LV"/>
                    </w:rPr>
                    <w:t>26</w:t>
                  </w:r>
                </w:p>
              </w:tc>
              <w:tc>
                <w:tcPr>
                  <w:tcW w:w="606" w:type="pct"/>
                  <w:vAlign w:val="center"/>
                  <w:hideMark/>
                </w:tcPr>
                <w:p w14:paraId="49640B3C"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26</w:t>
                  </w:r>
                </w:p>
              </w:tc>
              <w:tc>
                <w:tcPr>
                  <w:tcW w:w="606" w:type="pct"/>
                  <w:vAlign w:val="center"/>
                  <w:hideMark/>
                </w:tcPr>
                <w:p w14:paraId="49640B3D"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15</w:t>
                  </w:r>
                </w:p>
              </w:tc>
              <w:tc>
                <w:tcPr>
                  <w:tcW w:w="606" w:type="pct"/>
                  <w:vAlign w:val="center"/>
                </w:tcPr>
                <w:p w14:paraId="49640B3E"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110</w:t>
                  </w:r>
                </w:p>
              </w:tc>
            </w:tr>
            <w:tr w:rsidR="00E90BA8" w:rsidRPr="00B71CEA" w14:paraId="49640B45" w14:textId="77777777" w:rsidTr="00DA3CE7">
              <w:trPr>
                <w:trHeight w:val="556"/>
              </w:trPr>
              <w:tc>
                <w:tcPr>
                  <w:tcW w:w="2574" w:type="pct"/>
                  <w:vAlign w:val="center"/>
                  <w:hideMark/>
                </w:tcPr>
                <w:p w14:paraId="49640B40" w14:textId="77777777" w:rsidR="00E90BA8" w:rsidRPr="00267BCC" w:rsidRDefault="00E90BA8" w:rsidP="00267BCC">
                  <w:pPr>
                    <w:pStyle w:val="ListParagraph"/>
                    <w:tabs>
                      <w:tab w:val="left" w:pos="0"/>
                    </w:tabs>
                    <w:spacing w:line="240" w:lineRule="auto"/>
                    <w:ind w:left="0"/>
                    <w:contextualSpacing w:val="0"/>
                    <w:rPr>
                      <w:rFonts w:ascii="Times New Roman" w:hAnsi="Times New Roman"/>
                      <w:lang w:val="lv-LV"/>
                    </w:rPr>
                  </w:pPr>
                  <w:r w:rsidRPr="00267BCC">
                    <w:rPr>
                      <w:rFonts w:ascii="Times New Roman" w:hAnsi="Times New Roman"/>
                      <w:bCs/>
                      <w:lang w:val="lv-LV"/>
                    </w:rPr>
                    <w:t xml:space="preserve">Šo vietu konferenču telpu kapacitāte (ar </w:t>
                  </w:r>
                  <w:r w:rsidR="00DA3CE7" w:rsidRPr="00267BCC">
                    <w:rPr>
                      <w:rFonts w:ascii="Times New Roman" w:hAnsi="Times New Roman"/>
                      <w:bCs/>
                      <w:lang w:val="lv-LV"/>
                    </w:rPr>
                    <w:t>i</w:t>
                  </w:r>
                  <w:r w:rsidRPr="00267BCC">
                    <w:rPr>
                      <w:rFonts w:ascii="Times New Roman" w:hAnsi="Times New Roman"/>
                      <w:bCs/>
                      <w:lang w:val="lv-LV"/>
                    </w:rPr>
                    <w:t>ekārtojumu teātra stilā)</w:t>
                  </w:r>
                </w:p>
              </w:tc>
              <w:tc>
                <w:tcPr>
                  <w:tcW w:w="606" w:type="pct"/>
                  <w:vAlign w:val="center"/>
                  <w:hideMark/>
                </w:tcPr>
                <w:p w14:paraId="49640B41" w14:textId="77777777" w:rsidR="00E90BA8" w:rsidRPr="00267BCC" w:rsidRDefault="00E90BA8" w:rsidP="00267BCC">
                  <w:pPr>
                    <w:pStyle w:val="ListParagraph"/>
                    <w:tabs>
                      <w:tab w:val="left" w:pos="0"/>
                    </w:tabs>
                    <w:spacing w:line="240" w:lineRule="auto"/>
                    <w:ind w:left="130"/>
                    <w:contextualSpacing w:val="0"/>
                    <w:jc w:val="center"/>
                    <w:rPr>
                      <w:rFonts w:ascii="Times New Roman" w:hAnsi="Times New Roman"/>
                      <w:lang w:val="lv-LV"/>
                    </w:rPr>
                  </w:pPr>
                  <w:r w:rsidRPr="00267BCC">
                    <w:rPr>
                      <w:rFonts w:ascii="Times New Roman" w:hAnsi="Times New Roman"/>
                      <w:lang w:val="lv-LV"/>
                    </w:rPr>
                    <w:t>4760</w:t>
                  </w:r>
                </w:p>
              </w:tc>
              <w:tc>
                <w:tcPr>
                  <w:tcW w:w="606" w:type="pct"/>
                  <w:vAlign w:val="center"/>
                  <w:hideMark/>
                </w:tcPr>
                <w:p w14:paraId="49640B42"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2575</w:t>
                  </w:r>
                </w:p>
              </w:tc>
              <w:tc>
                <w:tcPr>
                  <w:tcW w:w="606" w:type="pct"/>
                  <w:vAlign w:val="center"/>
                  <w:hideMark/>
                </w:tcPr>
                <w:p w14:paraId="49640B43"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3015</w:t>
                  </w:r>
                </w:p>
              </w:tc>
              <w:tc>
                <w:tcPr>
                  <w:tcW w:w="606" w:type="pct"/>
                  <w:vAlign w:val="center"/>
                </w:tcPr>
                <w:p w14:paraId="49640B44" w14:textId="77777777" w:rsidR="00E90BA8" w:rsidRPr="00267BCC" w:rsidRDefault="00E90BA8" w:rsidP="00267BCC">
                  <w:pPr>
                    <w:pStyle w:val="ListParagraph"/>
                    <w:tabs>
                      <w:tab w:val="left" w:pos="0"/>
                    </w:tabs>
                    <w:spacing w:line="240" w:lineRule="auto"/>
                    <w:ind w:left="34"/>
                    <w:contextualSpacing w:val="0"/>
                    <w:jc w:val="center"/>
                    <w:rPr>
                      <w:rFonts w:ascii="Times New Roman" w:hAnsi="Times New Roman"/>
                      <w:lang w:val="lv-LV"/>
                    </w:rPr>
                  </w:pPr>
                  <w:r w:rsidRPr="00267BCC">
                    <w:rPr>
                      <w:rFonts w:ascii="Times New Roman" w:hAnsi="Times New Roman"/>
                      <w:lang w:val="lv-LV"/>
                    </w:rPr>
                    <w:t>18140</w:t>
                  </w:r>
                </w:p>
              </w:tc>
            </w:tr>
          </w:tbl>
          <w:p w14:paraId="49640B46" w14:textId="77777777" w:rsidR="00E90BA8" w:rsidRPr="00267BCC" w:rsidRDefault="00E90BA8" w:rsidP="00267BCC">
            <w:pPr>
              <w:pStyle w:val="ListParagraph"/>
              <w:tabs>
                <w:tab w:val="left" w:pos="0"/>
              </w:tabs>
              <w:spacing w:line="240" w:lineRule="auto"/>
              <w:ind w:left="0"/>
              <w:contextualSpacing w:val="0"/>
              <w:jc w:val="both"/>
              <w:rPr>
                <w:rFonts w:ascii="Times New Roman" w:hAnsi="Times New Roman"/>
                <w:sz w:val="20"/>
                <w:szCs w:val="20"/>
                <w:lang w:val="lv-LV"/>
              </w:rPr>
            </w:pPr>
            <w:r w:rsidRPr="00267BCC">
              <w:rPr>
                <w:rFonts w:ascii="Times New Roman" w:hAnsi="Times New Roman"/>
                <w:sz w:val="20"/>
                <w:szCs w:val="20"/>
                <w:lang w:val="lv-LV"/>
              </w:rPr>
              <w:t>Datu avots: Rīgas tūrisma attīstības birojs</w:t>
            </w:r>
          </w:p>
          <w:p w14:paraId="49640B47" w14:textId="77777777" w:rsidR="00E90BA8" w:rsidRPr="00267BCC" w:rsidRDefault="0037102B" w:rsidP="00267BCC">
            <w:pPr>
              <w:pStyle w:val="ListParagraph"/>
              <w:tabs>
                <w:tab w:val="left" w:pos="0"/>
              </w:tabs>
              <w:spacing w:line="240" w:lineRule="auto"/>
              <w:ind w:left="0"/>
              <w:contextualSpacing w:val="0"/>
              <w:jc w:val="right"/>
              <w:rPr>
                <w:rFonts w:ascii="Times New Roman" w:hAnsi="Times New Roman"/>
                <w:sz w:val="24"/>
                <w:szCs w:val="24"/>
                <w:lang w:val="lv-LV"/>
              </w:rPr>
            </w:pPr>
            <w:r w:rsidRPr="00267BCC">
              <w:rPr>
                <w:rFonts w:ascii="Times New Roman" w:hAnsi="Times New Roman"/>
                <w:sz w:val="24"/>
                <w:szCs w:val="24"/>
                <w:lang w:val="lv-LV"/>
              </w:rPr>
              <w:t>6</w:t>
            </w:r>
            <w:r w:rsidR="00E90BA8" w:rsidRPr="00267BCC">
              <w:rPr>
                <w:rFonts w:ascii="Times New Roman" w:hAnsi="Times New Roman"/>
                <w:sz w:val="24"/>
                <w:szCs w:val="24"/>
                <w:lang w:val="lv-LV"/>
              </w:rPr>
              <w:t>.tabula</w:t>
            </w:r>
          </w:p>
          <w:p w14:paraId="49640B48" w14:textId="77777777" w:rsidR="00E90BA8" w:rsidRPr="00267BCC" w:rsidRDefault="00E90BA8" w:rsidP="00267BCC">
            <w:pPr>
              <w:jc w:val="center"/>
              <w:rPr>
                <w:b/>
                <w:lang w:val="lv-LV"/>
              </w:rPr>
            </w:pPr>
            <w:r w:rsidRPr="00267BCC">
              <w:rPr>
                <w:b/>
                <w:sz w:val="22"/>
                <w:szCs w:val="22"/>
                <w:lang w:val="lv-LV"/>
              </w:rPr>
              <w:t>Viesnīcu kapacitāte Baltijas valstu galvaspilsētās</w:t>
            </w: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58"/>
              <w:gridCol w:w="1462"/>
              <w:gridCol w:w="960"/>
              <w:gridCol w:w="555"/>
              <w:gridCol w:w="1365"/>
              <w:gridCol w:w="761"/>
              <w:gridCol w:w="567"/>
              <w:gridCol w:w="1134"/>
            </w:tblGrid>
            <w:tr w:rsidR="00E90BA8" w:rsidRPr="00267BCC" w14:paraId="49640B52" w14:textId="77777777" w:rsidTr="00DA3CE7">
              <w:trPr>
                <w:trHeight w:val="300"/>
                <w:jc w:val="center"/>
              </w:trPr>
              <w:tc>
                <w:tcPr>
                  <w:tcW w:w="818" w:type="dxa"/>
                  <w:shd w:val="clear" w:color="auto" w:fill="D9D9D9" w:themeFill="background1" w:themeFillShade="D9"/>
                  <w:noWrap/>
                  <w:vAlign w:val="center"/>
                </w:tcPr>
                <w:p w14:paraId="49640B49"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tcPr>
                <w:p w14:paraId="49640B4A" w14:textId="77777777" w:rsidR="00E90BA8" w:rsidRPr="00267BCC" w:rsidRDefault="00E90BA8" w:rsidP="00267BCC">
                  <w:pPr>
                    <w:jc w:val="center"/>
                    <w:rPr>
                      <w:color w:val="000000"/>
                      <w:lang w:val="lv-LV"/>
                    </w:rPr>
                  </w:pPr>
                </w:p>
              </w:tc>
              <w:tc>
                <w:tcPr>
                  <w:tcW w:w="1462" w:type="dxa"/>
                  <w:shd w:val="clear" w:color="auto" w:fill="D9D9D9" w:themeFill="background1" w:themeFillShade="D9"/>
                  <w:noWrap/>
                  <w:vAlign w:val="center"/>
                  <w:hideMark/>
                </w:tcPr>
                <w:p w14:paraId="49640B4B" w14:textId="77777777" w:rsidR="00E90BA8" w:rsidRPr="00267BCC" w:rsidRDefault="00E90BA8" w:rsidP="00267BCC">
                  <w:pPr>
                    <w:jc w:val="center"/>
                    <w:rPr>
                      <w:color w:val="000000"/>
                      <w:lang w:val="lv-LV"/>
                    </w:rPr>
                  </w:pPr>
                  <w:r w:rsidRPr="00267BCC">
                    <w:rPr>
                      <w:color w:val="000000"/>
                      <w:sz w:val="22"/>
                      <w:szCs w:val="22"/>
                      <w:lang w:val="lv-LV"/>
                    </w:rPr>
                    <w:t>Skaits</w:t>
                  </w:r>
                </w:p>
              </w:tc>
              <w:tc>
                <w:tcPr>
                  <w:tcW w:w="960" w:type="dxa"/>
                  <w:shd w:val="clear" w:color="auto" w:fill="D9D9D9" w:themeFill="background1" w:themeFillShade="D9"/>
                  <w:noWrap/>
                  <w:vAlign w:val="center"/>
                </w:tcPr>
                <w:p w14:paraId="49640B4C"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tcPr>
                <w:p w14:paraId="49640B4D" w14:textId="77777777" w:rsidR="00E90BA8" w:rsidRPr="00267BCC" w:rsidRDefault="00E90BA8" w:rsidP="00267BCC">
                  <w:pPr>
                    <w:jc w:val="center"/>
                    <w:rPr>
                      <w:color w:val="000000"/>
                      <w:lang w:val="lv-LV"/>
                    </w:rPr>
                  </w:pPr>
                </w:p>
              </w:tc>
              <w:tc>
                <w:tcPr>
                  <w:tcW w:w="1365" w:type="dxa"/>
                  <w:shd w:val="clear" w:color="auto" w:fill="D9D9D9" w:themeFill="background1" w:themeFillShade="D9"/>
                  <w:noWrap/>
                  <w:vAlign w:val="center"/>
                  <w:hideMark/>
                </w:tcPr>
                <w:p w14:paraId="49640B4E" w14:textId="77777777" w:rsidR="00E90BA8" w:rsidRPr="00267BCC" w:rsidRDefault="00E90BA8" w:rsidP="00267BCC">
                  <w:pPr>
                    <w:jc w:val="center"/>
                    <w:rPr>
                      <w:color w:val="000000"/>
                      <w:lang w:val="lv-LV"/>
                    </w:rPr>
                  </w:pPr>
                  <w:r w:rsidRPr="00267BCC">
                    <w:rPr>
                      <w:color w:val="000000"/>
                      <w:sz w:val="22"/>
                      <w:szCs w:val="22"/>
                      <w:lang w:val="lv-LV"/>
                    </w:rPr>
                    <w:t>Skaits</w:t>
                  </w:r>
                </w:p>
              </w:tc>
              <w:tc>
                <w:tcPr>
                  <w:tcW w:w="761" w:type="dxa"/>
                  <w:shd w:val="clear" w:color="auto" w:fill="D9D9D9" w:themeFill="background1" w:themeFillShade="D9"/>
                  <w:noWrap/>
                  <w:vAlign w:val="center"/>
                </w:tcPr>
                <w:p w14:paraId="49640B4F"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tcPr>
                <w:p w14:paraId="49640B50" w14:textId="77777777" w:rsidR="00E90BA8" w:rsidRPr="00267BCC" w:rsidRDefault="00E90BA8" w:rsidP="00267BCC">
                  <w:pPr>
                    <w:jc w:val="center"/>
                    <w:rPr>
                      <w:color w:val="000000"/>
                      <w:lang w:val="lv-LV"/>
                    </w:rPr>
                  </w:pPr>
                </w:p>
              </w:tc>
              <w:tc>
                <w:tcPr>
                  <w:tcW w:w="1134" w:type="dxa"/>
                  <w:shd w:val="clear" w:color="auto" w:fill="D9D9D9" w:themeFill="background1" w:themeFillShade="D9"/>
                  <w:noWrap/>
                  <w:vAlign w:val="center"/>
                  <w:hideMark/>
                </w:tcPr>
                <w:p w14:paraId="49640B51" w14:textId="77777777" w:rsidR="00E90BA8" w:rsidRPr="00267BCC" w:rsidRDefault="00E90BA8" w:rsidP="00267BCC">
                  <w:pPr>
                    <w:jc w:val="center"/>
                    <w:rPr>
                      <w:color w:val="000000"/>
                      <w:lang w:val="lv-LV"/>
                    </w:rPr>
                  </w:pPr>
                  <w:r w:rsidRPr="00267BCC">
                    <w:rPr>
                      <w:color w:val="000000"/>
                      <w:sz w:val="22"/>
                      <w:szCs w:val="22"/>
                      <w:lang w:val="lv-LV"/>
                    </w:rPr>
                    <w:t>Skaits</w:t>
                  </w:r>
                </w:p>
              </w:tc>
            </w:tr>
            <w:tr w:rsidR="00E90BA8" w:rsidRPr="00267BCC" w14:paraId="49640B5C" w14:textId="77777777" w:rsidTr="00DA3CE7">
              <w:trPr>
                <w:trHeight w:val="300"/>
                <w:jc w:val="center"/>
              </w:trPr>
              <w:tc>
                <w:tcPr>
                  <w:tcW w:w="818" w:type="dxa"/>
                  <w:noWrap/>
                  <w:vAlign w:val="center"/>
                  <w:hideMark/>
                </w:tcPr>
                <w:p w14:paraId="49640B53" w14:textId="77777777" w:rsidR="00E90BA8" w:rsidRPr="00267BCC" w:rsidRDefault="00E90BA8" w:rsidP="00267BCC">
                  <w:pPr>
                    <w:jc w:val="center"/>
                    <w:rPr>
                      <w:color w:val="000000"/>
                      <w:lang w:val="lv-LV"/>
                    </w:rPr>
                  </w:pPr>
                  <w:r w:rsidRPr="00267BCC">
                    <w:rPr>
                      <w:color w:val="000000"/>
                      <w:sz w:val="22"/>
                      <w:szCs w:val="22"/>
                      <w:lang w:val="lv-LV"/>
                    </w:rPr>
                    <w:t>Rīga</w:t>
                  </w:r>
                </w:p>
              </w:tc>
              <w:tc>
                <w:tcPr>
                  <w:tcW w:w="458" w:type="dxa"/>
                  <w:shd w:val="clear" w:color="auto" w:fill="D9D9D9" w:themeFill="background1" w:themeFillShade="D9"/>
                  <w:noWrap/>
                  <w:vAlign w:val="center"/>
                  <w:hideMark/>
                </w:tcPr>
                <w:p w14:paraId="49640B54" w14:textId="77777777" w:rsidR="00E90BA8" w:rsidRPr="00267BCC" w:rsidRDefault="00E90BA8" w:rsidP="00267BCC">
                  <w:pPr>
                    <w:jc w:val="center"/>
                    <w:rPr>
                      <w:color w:val="000000"/>
                      <w:lang w:val="lv-LV"/>
                    </w:rPr>
                  </w:pPr>
                  <w:r w:rsidRPr="00267BCC">
                    <w:rPr>
                      <w:color w:val="000000"/>
                      <w:sz w:val="22"/>
                      <w:szCs w:val="22"/>
                      <w:lang w:val="lv-LV"/>
                    </w:rPr>
                    <w:t>5*</w:t>
                  </w:r>
                </w:p>
              </w:tc>
              <w:tc>
                <w:tcPr>
                  <w:tcW w:w="1462" w:type="dxa"/>
                  <w:noWrap/>
                  <w:vAlign w:val="center"/>
                  <w:hideMark/>
                </w:tcPr>
                <w:p w14:paraId="49640B55" w14:textId="77777777" w:rsidR="00E90BA8" w:rsidRPr="00267BCC" w:rsidRDefault="00E90BA8" w:rsidP="00267BCC">
                  <w:pPr>
                    <w:jc w:val="center"/>
                    <w:rPr>
                      <w:color w:val="000000"/>
                      <w:lang w:val="lv-LV"/>
                    </w:rPr>
                  </w:pPr>
                  <w:r w:rsidRPr="00267BCC">
                    <w:rPr>
                      <w:color w:val="000000"/>
                      <w:sz w:val="22"/>
                      <w:szCs w:val="22"/>
                      <w:lang w:val="lv-LV"/>
                    </w:rPr>
                    <w:t>8</w:t>
                  </w:r>
                </w:p>
              </w:tc>
              <w:tc>
                <w:tcPr>
                  <w:tcW w:w="960" w:type="dxa"/>
                  <w:noWrap/>
                  <w:vAlign w:val="center"/>
                  <w:hideMark/>
                </w:tcPr>
                <w:p w14:paraId="49640B56" w14:textId="77777777" w:rsidR="00E90BA8" w:rsidRPr="00267BCC" w:rsidRDefault="00E90BA8" w:rsidP="00267BCC">
                  <w:pPr>
                    <w:jc w:val="center"/>
                    <w:rPr>
                      <w:color w:val="000000"/>
                      <w:lang w:val="lv-LV"/>
                    </w:rPr>
                  </w:pPr>
                  <w:r w:rsidRPr="00267BCC">
                    <w:rPr>
                      <w:color w:val="000000"/>
                      <w:sz w:val="22"/>
                      <w:szCs w:val="22"/>
                      <w:lang w:val="lv-LV"/>
                    </w:rPr>
                    <w:t>Tallina</w:t>
                  </w:r>
                </w:p>
              </w:tc>
              <w:tc>
                <w:tcPr>
                  <w:tcW w:w="555" w:type="dxa"/>
                  <w:shd w:val="clear" w:color="auto" w:fill="D9D9D9" w:themeFill="background1" w:themeFillShade="D9"/>
                  <w:noWrap/>
                  <w:vAlign w:val="center"/>
                  <w:hideMark/>
                </w:tcPr>
                <w:p w14:paraId="49640B57" w14:textId="77777777" w:rsidR="00E90BA8" w:rsidRPr="00267BCC" w:rsidRDefault="00E90BA8" w:rsidP="00267BCC">
                  <w:pPr>
                    <w:jc w:val="center"/>
                    <w:rPr>
                      <w:color w:val="000000"/>
                      <w:lang w:val="lv-LV"/>
                    </w:rPr>
                  </w:pPr>
                  <w:r w:rsidRPr="00267BCC">
                    <w:rPr>
                      <w:color w:val="000000"/>
                      <w:sz w:val="22"/>
                      <w:szCs w:val="22"/>
                      <w:lang w:val="lv-LV"/>
                    </w:rPr>
                    <w:t>5*</w:t>
                  </w:r>
                </w:p>
              </w:tc>
              <w:tc>
                <w:tcPr>
                  <w:tcW w:w="1365" w:type="dxa"/>
                  <w:noWrap/>
                  <w:vAlign w:val="center"/>
                  <w:hideMark/>
                </w:tcPr>
                <w:p w14:paraId="49640B58" w14:textId="77777777" w:rsidR="00E90BA8" w:rsidRPr="00267BCC" w:rsidRDefault="00E90BA8" w:rsidP="00267BCC">
                  <w:pPr>
                    <w:jc w:val="center"/>
                    <w:rPr>
                      <w:color w:val="000000"/>
                      <w:lang w:val="lv-LV"/>
                    </w:rPr>
                  </w:pPr>
                  <w:r w:rsidRPr="00267BCC">
                    <w:rPr>
                      <w:color w:val="000000"/>
                      <w:sz w:val="22"/>
                      <w:szCs w:val="22"/>
                      <w:lang w:val="lv-LV"/>
                    </w:rPr>
                    <w:t>6</w:t>
                  </w:r>
                </w:p>
              </w:tc>
              <w:tc>
                <w:tcPr>
                  <w:tcW w:w="761" w:type="dxa"/>
                  <w:noWrap/>
                  <w:vAlign w:val="center"/>
                  <w:hideMark/>
                </w:tcPr>
                <w:p w14:paraId="49640B59" w14:textId="77777777" w:rsidR="00E90BA8" w:rsidRPr="00267BCC" w:rsidRDefault="00E90BA8" w:rsidP="00267BCC">
                  <w:pPr>
                    <w:jc w:val="center"/>
                    <w:rPr>
                      <w:color w:val="000000"/>
                      <w:lang w:val="lv-LV"/>
                    </w:rPr>
                  </w:pPr>
                  <w:r w:rsidRPr="00267BCC">
                    <w:rPr>
                      <w:color w:val="000000"/>
                      <w:sz w:val="22"/>
                      <w:szCs w:val="22"/>
                      <w:lang w:val="lv-LV"/>
                    </w:rPr>
                    <w:t>Viļņa</w:t>
                  </w:r>
                </w:p>
              </w:tc>
              <w:tc>
                <w:tcPr>
                  <w:tcW w:w="567" w:type="dxa"/>
                  <w:shd w:val="clear" w:color="auto" w:fill="D9D9D9" w:themeFill="background1" w:themeFillShade="D9"/>
                  <w:noWrap/>
                  <w:vAlign w:val="center"/>
                  <w:hideMark/>
                </w:tcPr>
                <w:p w14:paraId="49640B5A" w14:textId="77777777" w:rsidR="00E90BA8" w:rsidRPr="00267BCC" w:rsidRDefault="00E90BA8" w:rsidP="00267BCC">
                  <w:pPr>
                    <w:jc w:val="center"/>
                    <w:rPr>
                      <w:color w:val="000000"/>
                      <w:lang w:val="lv-LV"/>
                    </w:rPr>
                  </w:pPr>
                  <w:r w:rsidRPr="00267BCC">
                    <w:rPr>
                      <w:color w:val="000000"/>
                      <w:sz w:val="22"/>
                      <w:szCs w:val="22"/>
                      <w:lang w:val="lv-LV"/>
                    </w:rPr>
                    <w:t>5*</w:t>
                  </w:r>
                </w:p>
              </w:tc>
              <w:tc>
                <w:tcPr>
                  <w:tcW w:w="1134" w:type="dxa"/>
                  <w:noWrap/>
                  <w:vAlign w:val="center"/>
                  <w:hideMark/>
                </w:tcPr>
                <w:p w14:paraId="49640B5B" w14:textId="77777777" w:rsidR="00E90BA8" w:rsidRPr="00267BCC" w:rsidRDefault="00E90BA8" w:rsidP="00267BCC">
                  <w:pPr>
                    <w:jc w:val="center"/>
                    <w:rPr>
                      <w:color w:val="000000"/>
                      <w:lang w:val="lv-LV"/>
                    </w:rPr>
                  </w:pPr>
                  <w:r w:rsidRPr="00267BCC">
                    <w:rPr>
                      <w:color w:val="000000"/>
                      <w:sz w:val="22"/>
                      <w:szCs w:val="22"/>
                      <w:lang w:val="lv-LV"/>
                    </w:rPr>
                    <w:t>6</w:t>
                  </w:r>
                </w:p>
              </w:tc>
            </w:tr>
            <w:tr w:rsidR="00E90BA8" w:rsidRPr="00267BCC" w14:paraId="49640B66" w14:textId="77777777" w:rsidTr="00DA3CE7">
              <w:trPr>
                <w:trHeight w:val="300"/>
                <w:jc w:val="center"/>
              </w:trPr>
              <w:tc>
                <w:tcPr>
                  <w:tcW w:w="818" w:type="dxa"/>
                  <w:noWrap/>
                  <w:vAlign w:val="center"/>
                </w:tcPr>
                <w:p w14:paraId="49640B5D"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hideMark/>
                </w:tcPr>
                <w:p w14:paraId="49640B5E" w14:textId="77777777" w:rsidR="00E90BA8" w:rsidRPr="00267BCC" w:rsidRDefault="00E90BA8" w:rsidP="00267BCC">
                  <w:pPr>
                    <w:jc w:val="center"/>
                    <w:rPr>
                      <w:color w:val="000000"/>
                      <w:lang w:val="lv-LV"/>
                    </w:rPr>
                  </w:pPr>
                  <w:r w:rsidRPr="00267BCC">
                    <w:rPr>
                      <w:color w:val="000000"/>
                      <w:sz w:val="22"/>
                      <w:szCs w:val="22"/>
                      <w:lang w:val="lv-LV"/>
                    </w:rPr>
                    <w:t>4*</w:t>
                  </w:r>
                </w:p>
              </w:tc>
              <w:tc>
                <w:tcPr>
                  <w:tcW w:w="1462" w:type="dxa"/>
                  <w:noWrap/>
                  <w:vAlign w:val="center"/>
                  <w:hideMark/>
                </w:tcPr>
                <w:p w14:paraId="49640B5F" w14:textId="77777777" w:rsidR="00E90BA8" w:rsidRPr="00267BCC" w:rsidRDefault="00E90BA8" w:rsidP="00267BCC">
                  <w:pPr>
                    <w:jc w:val="center"/>
                    <w:rPr>
                      <w:color w:val="000000"/>
                      <w:lang w:val="lv-LV"/>
                    </w:rPr>
                  </w:pPr>
                  <w:r w:rsidRPr="00267BCC">
                    <w:rPr>
                      <w:color w:val="000000"/>
                      <w:sz w:val="22"/>
                      <w:szCs w:val="22"/>
                      <w:lang w:val="lv-LV"/>
                    </w:rPr>
                    <w:t>31</w:t>
                  </w:r>
                </w:p>
              </w:tc>
              <w:tc>
                <w:tcPr>
                  <w:tcW w:w="960" w:type="dxa"/>
                  <w:noWrap/>
                  <w:vAlign w:val="center"/>
                </w:tcPr>
                <w:p w14:paraId="49640B60"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hideMark/>
                </w:tcPr>
                <w:p w14:paraId="49640B61" w14:textId="77777777" w:rsidR="00E90BA8" w:rsidRPr="00267BCC" w:rsidRDefault="00E90BA8" w:rsidP="00267BCC">
                  <w:pPr>
                    <w:jc w:val="center"/>
                    <w:rPr>
                      <w:color w:val="000000"/>
                      <w:lang w:val="lv-LV"/>
                    </w:rPr>
                  </w:pPr>
                  <w:r w:rsidRPr="00267BCC">
                    <w:rPr>
                      <w:color w:val="000000"/>
                      <w:sz w:val="22"/>
                      <w:szCs w:val="22"/>
                      <w:lang w:val="lv-LV"/>
                    </w:rPr>
                    <w:t>4*</w:t>
                  </w:r>
                </w:p>
              </w:tc>
              <w:tc>
                <w:tcPr>
                  <w:tcW w:w="1365" w:type="dxa"/>
                  <w:noWrap/>
                  <w:vAlign w:val="center"/>
                  <w:hideMark/>
                </w:tcPr>
                <w:p w14:paraId="49640B62" w14:textId="77777777" w:rsidR="00E90BA8" w:rsidRPr="00267BCC" w:rsidRDefault="00E90BA8" w:rsidP="00267BCC">
                  <w:pPr>
                    <w:jc w:val="center"/>
                    <w:rPr>
                      <w:color w:val="000000"/>
                      <w:lang w:val="lv-LV"/>
                    </w:rPr>
                  </w:pPr>
                  <w:r w:rsidRPr="00267BCC">
                    <w:rPr>
                      <w:color w:val="000000"/>
                      <w:sz w:val="22"/>
                      <w:szCs w:val="22"/>
                      <w:lang w:val="lv-LV"/>
                    </w:rPr>
                    <w:t>23</w:t>
                  </w:r>
                </w:p>
              </w:tc>
              <w:tc>
                <w:tcPr>
                  <w:tcW w:w="761" w:type="dxa"/>
                  <w:noWrap/>
                  <w:vAlign w:val="center"/>
                </w:tcPr>
                <w:p w14:paraId="49640B63"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hideMark/>
                </w:tcPr>
                <w:p w14:paraId="49640B64" w14:textId="77777777" w:rsidR="00E90BA8" w:rsidRPr="00267BCC" w:rsidRDefault="00E90BA8" w:rsidP="00267BCC">
                  <w:pPr>
                    <w:jc w:val="center"/>
                    <w:rPr>
                      <w:color w:val="000000"/>
                      <w:lang w:val="lv-LV"/>
                    </w:rPr>
                  </w:pPr>
                  <w:r w:rsidRPr="00267BCC">
                    <w:rPr>
                      <w:color w:val="000000"/>
                      <w:sz w:val="22"/>
                      <w:szCs w:val="22"/>
                      <w:lang w:val="lv-LV"/>
                    </w:rPr>
                    <w:t>4*</w:t>
                  </w:r>
                </w:p>
              </w:tc>
              <w:tc>
                <w:tcPr>
                  <w:tcW w:w="1134" w:type="dxa"/>
                  <w:noWrap/>
                  <w:vAlign w:val="center"/>
                  <w:hideMark/>
                </w:tcPr>
                <w:p w14:paraId="49640B65" w14:textId="77777777" w:rsidR="00E90BA8" w:rsidRPr="00267BCC" w:rsidRDefault="00E90BA8" w:rsidP="00267BCC">
                  <w:pPr>
                    <w:jc w:val="center"/>
                    <w:rPr>
                      <w:color w:val="000000"/>
                      <w:lang w:val="lv-LV"/>
                    </w:rPr>
                  </w:pPr>
                  <w:r w:rsidRPr="00267BCC">
                    <w:rPr>
                      <w:color w:val="000000"/>
                      <w:sz w:val="22"/>
                      <w:szCs w:val="22"/>
                      <w:lang w:val="lv-LV"/>
                    </w:rPr>
                    <w:t>17</w:t>
                  </w:r>
                </w:p>
              </w:tc>
            </w:tr>
            <w:tr w:rsidR="00E90BA8" w:rsidRPr="00267BCC" w14:paraId="49640B70" w14:textId="77777777" w:rsidTr="00DA3CE7">
              <w:trPr>
                <w:trHeight w:val="300"/>
                <w:jc w:val="center"/>
              </w:trPr>
              <w:tc>
                <w:tcPr>
                  <w:tcW w:w="818" w:type="dxa"/>
                  <w:noWrap/>
                  <w:vAlign w:val="center"/>
                </w:tcPr>
                <w:p w14:paraId="49640B67"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hideMark/>
                </w:tcPr>
                <w:p w14:paraId="49640B68" w14:textId="77777777" w:rsidR="00E90BA8" w:rsidRPr="00267BCC" w:rsidRDefault="00E90BA8" w:rsidP="00267BCC">
                  <w:pPr>
                    <w:jc w:val="center"/>
                    <w:rPr>
                      <w:color w:val="000000"/>
                      <w:lang w:val="lv-LV"/>
                    </w:rPr>
                  </w:pPr>
                  <w:r w:rsidRPr="00267BCC">
                    <w:rPr>
                      <w:color w:val="000000"/>
                      <w:sz w:val="22"/>
                      <w:szCs w:val="22"/>
                      <w:lang w:val="lv-LV"/>
                    </w:rPr>
                    <w:t>3*</w:t>
                  </w:r>
                </w:p>
              </w:tc>
              <w:tc>
                <w:tcPr>
                  <w:tcW w:w="1462" w:type="dxa"/>
                  <w:noWrap/>
                  <w:vAlign w:val="center"/>
                  <w:hideMark/>
                </w:tcPr>
                <w:p w14:paraId="49640B69" w14:textId="77777777" w:rsidR="00E90BA8" w:rsidRPr="00267BCC" w:rsidRDefault="00E90BA8" w:rsidP="00267BCC">
                  <w:pPr>
                    <w:jc w:val="center"/>
                    <w:rPr>
                      <w:color w:val="000000"/>
                      <w:lang w:val="lv-LV"/>
                    </w:rPr>
                  </w:pPr>
                  <w:r w:rsidRPr="00267BCC">
                    <w:rPr>
                      <w:color w:val="000000"/>
                      <w:sz w:val="22"/>
                      <w:szCs w:val="22"/>
                      <w:lang w:val="lv-LV"/>
                    </w:rPr>
                    <w:t>47</w:t>
                  </w:r>
                </w:p>
              </w:tc>
              <w:tc>
                <w:tcPr>
                  <w:tcW w:w="960" w:type="dxa"/>
                  <w:noWrap/>
                  <w:vAlign w:val="center"/>
                </w:tcPr>
                <w:p w14:paraId="49640B6A"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hideMark/>
                </w:tcPr>
                <w:p w14:paraId="49640B6B" w14:textId="77777777" w:rsidR="00E90BA8" w:rsidRPr="00267BCC" w:rsidRDefault="00E90BA8" w:rsidP="00267BCC">
                  <w:pPr>
                    <w:jc w:val="center"/>
                    <w:rPr>
                      <w:color w:val="000000"/>
                      <w:lang w:val="lv-LV"/>
                    </w:rPr>
                  </w:pPr>
                  <w:r w:rsidRPr="00267BCC">
                    <w:rPr>
                      <w:color w:val="000000"/>
                      <w:sz w:val="22"/>
                      <w:szCs w:val="22"/>
                      <w:lang w:val="lv-LV"/>
                    </w:rPr>
                    <w:t>3*</w:t>
                  </w:r>
                </w:p>
              </w:tc>
              <w:tc>
                <w:tcPr>
                  <w:tcW w:w="1365" w:type="dxa"/>
                  <w:noWrap/>
                  <w:vAlign w:val="center"/>
                  <w:hideMark/>
                </w:tcPr>
                <w:p w14:paraId="49640B6C" w14:textId="77777777" w:rsidR="00E90BA8" w:rsidRPr="00267BCC" w:rsidRDefault="00E90BA8" w:rsidP="00267BCC">
                  <w:pPr>
                    <w:jc w:val="center"/>
                    <w:rPr>
                      <w:color w:val="000000"/>
                      <w:lang w:val="lv-LV"/>
                    </w:rPr>
                  </w:pPr>
                  <w:r w:rsidRPr="00267BCC">
                    <w:rPr>
                      <w:color w:val="000000"/>
                      <w:sz w:val="22"/>
                      <w:szCs w:val="22"/>
                      <w:lang w:val="lv-LV"/>
                    </w:rPr>
                    <w:t>21</w:t>
                  </w:r>
                </w:p>
              </w:tc>
              <w:tc>
                <w:tcPr>
                  <w:tcW w:w="761" w:type="dxa"/>
                  <w:noWrap/>
                  <w:vAlign w:val="center"/>
                </w:tcPr>
                <w:p w14:paraId="49640B6D"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hideMark/>
                </w:tcPr>
                <w:p w14:paraId="49640B6E" w14:textId="77777777" w:rsidR="00E90BA8" w:rsidRPr="00267BCC" w:rsidRDefault="00E90BA8" w:rsidP="00267BCC">
                  <w:pPr>
                    <w:jc w:val="center"/>
                    <w:rPr>
                      <w:color w:val="000000"/>
                      <w:lang w:val="lv-LV"/>
                    </w:rPr>
                  </w:pPr>
                  <w:r w:rsidRPr="00267BCC">
                    <w:rPr>
                      <w:color w:val="000000"/>
                      <w:sz w:val="22"/>
                      <w:szCs w:val="22"/>
                      <w:lang w:val="lv-LV"/>
                    </w:rPr>
                    <w:t>3*</w:t>
                  </w:r>
                </w:p>
              </w:tc>
              <w:tc>
                <w:tcPr>
                  <w:tcW w:w="1134" w:type="dxa"/>
                  <w:noWrap/>
                  <w:vAlign w:val="center"/>
                  <w:hideMark/>
                </w:tcPr>
                <w:p w14:paraId="49640B6F" w14:textId="77777777" w:rsidR="00E90BA8" w:rsidRPr="00267BCC" w:rsidRDefault="00E90BA8" w:rsidP="00267BCC">
                  <w:pPr>
                    <w:jc w:val="center"/>
                    <w:rPr>
                      <w:color w:val="000000"/>
                      <w:lang w:val="lv-LV"/>
                    </w:rPr>
                  </w:pPr>
                  <w:r w:rsidRPr="00267BCC">
                    <w:rPr>
                      <w:color w:val="000000"/>
                      <w:sz w:val="22"/>
                      <w:szCs w:val="22"/>
                      <w:lang w:val="lv-LV"/>
                    </w:rPr>
                    <w:t>16</w:t>
                  </w:r>
                </w:p>
              </w:tc>
            </w:tr>
            <w:tr w:rsidR="00E90BA8" w:rsidRPr="00267BCC" w14:paraId="49640B72" w14:textId="77777777" w:rsidTr="00DA3CE7">
              <w:trPr>
                <w:trHeight w:val="300"/>
                <w:jc w:val="center"/>
              </w:trPr>
              <w:tc>
                <w:tcPr>
                  <w:tcW w:w="8080" w:type="dxa"/>
                  <w:gridSpan w:val="9"/>
                  <w:noWrap/>
                  <w:vAlign w:val="center"/>
                </w:tcPr>
                <w:p w14:paraId="49640B71" w14:textId="77777777" w:rsidR="00E90BA8" w:rsidRPr="00267BCC" w:rsidRDefault="00E90BA8" w:rsidP="00267BCC">
                  <w:pPr>
                    <w:jc w:val="center"/>
                    <w:rPr>
                      <w:color w:val="000000"/>
                      <w:lang w:val="lv-LV"/>
                    </w:rPr>
                  </w:pPr>
                  <w:r w:rsidRPr="00267BCC">
                    <w:rPr>
                      <w:b/>
                      <w:bCs/>
                      <w:sz w:val="22"/>
                      <w:szCs w:val="22"/>
                      <w:lang w:val="lv-LV"/>
                    </w:rPr>
                    <w:t>Kapacitāte (numuru skaits 5*, 4*, 3* viesnīcās)</w:t>
                  </w:r>
                </w:p>
              </w:tc>
            </w:tr>
            <w:tr w:rsidR="00E90BA8" w:rsidRPr="00267BCC" w14:paraId="49640B7C" w14:textId="77777777" w:rsidTr="00DA3CE7">
              <w:trPr>
                <w:trHeight w:val="300"/>
                <w:jc w:val="center"/>
              </w:trPr>
              <w:tc>
                <w:tcPr>
                  <w:tcW w:w="818" w:type="dxa"/>
                  <w:noWrap/>
                  <w:vAlign w:val="center"/>
                </w:tcPr>
                <w:p w14:paraId="49640B73"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tcPr>
                <w:p w14:paraId="49640B74" w14:textId="77777777" w:rsidR="00E90BA8" w:rsidRPr="00267BCC" w:rsidRDefault="00E90BA8" w:rsidP="00267BCC">
                  <w:pPr>
                    <w:jc w:val="center"/>
                    <w:rPr>
                      <w:color w:val="000000"/>
                      <w:lang w:val="lv-LV"/>
                    </w:rPr>
                  </w:pPr>
                  <w:r w:rsidRPr="00267BCC">
                    <w:rPr>
                      <w:color w:val="000000"/>
                      <w:sz w:val="22"/>
                      <w:szCs w:val="22"/>
                      <w:lang w:val="lv-LV"/>
                    </w:rPr>
                    <w:t>5*</w:t>
                  </w:r>
                </w:p>
              </w:tc>
              <w:tc>
                <w:tcPr>
                  <w:tcW w:w="1462" w:type="dxa"/>
                  <w:noWrap/>
                  <w:vAlign w:val="center"/>
                </w:tcPr>
                <w:p w14:paraId="49640B75" w14:textId="77777777" w:rsidR="00E90BA8" w:rsidRPr="00267BCC" w:rsidRDefault="00E90BA8" w:rsidP="00267BCC">
                  <w:pPr>
                    <w:jc w:val="center"/>
                    <w:rPr>
                      <w:color w:val="000000"/>
                      <w:lang w:val="lv-LV"/>
                    </w:rPr>
                  </w:pPr>
                  <w:r w:rsidRPr="00267BCC">
                    <w:rPr>
                      <w:color w:val="000000"/>
                      <w:sz w:val="22"/>
                      <w:szCs w:val="22"/>
                      <w:lang w:val="lv-LV"/>
                    </w:rPr>
                    <w:t>711</w:t>
                  </w:r>
                </w:p>
              </w:tc>
              <w:tc>
                <w:tcPr>
                  <w:tcW w:w="960" w:type="dxa"/>
                  <w:noWrap/>
                  <w:vAlign w:val="center"/>
                </w:tcPr>
                <w:p w14:paraId="49640B76"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tcPr>
                <w:p w14:paraId="49640B77" w14:textId="77777777" w:rsidR="00E90BA8" w:rsidRPr="00267BCC" w:rsidRDefault="00E90BA8" w:rsidP="00267BCC">
                  <w:pPr>
                    <w:jc w:val="center"/>
                    <w:rPr>
                      <w:color w:val="000000"/>
                      <w:lang w:val="lv-LV"/>
                    </w:rPr>
                  </w:pPr>
                  <w:r w:rsidRPr="00267BCC">
                    <w:rPr>
                      <w:color w:val="000000"/>
                      <w:sz w:val="22"/>
                      <w:szCs w:val="22"/>
                      <w:lang w:val="lv-LV"/>
                    </w:rPr>
                    <w:t>5*</w:t>
                  </w:r>
                </w:p>
              </w:tc>
              <w:tc>
                <w:tcPr>
                  <w:tcW w:w="1365" w:type="dxa"/>
                  <w:noWrap/>
                  <w:vAlign w:val="center"/>
                </w:tcPr>
                <w:p w14:paraId="49640B78" w14:textId="77777777" w:rsidR="00E90BA8" w:rsidRPr="00267BCC" w:rsidRDefault="00E90BA8" w:rsidP="00267BCC">
                  <w:pPr>
                    <w:jc w:val="center"/>
                    <w:rPr>
                      <w:color w:val="000000"/>
                      <w:lang w:val="lv-LV"/>
                    </w:rPr>
                  </w:pPr>
                  <w:r w:rsidRPr="00267BCC">
                    <w:rPr>
                      <w:color w:val="000000"/>
                      <w:sz w:val="22"/>
                      <w:szCs w:val="22"/>
                      <w:lang w:val="lv-LV"/>
                    </w:rPr>
                    <w:t>695</w:t>
                  </w:r>
                </w:p>
              </w:tc>
              <w:tc>
                <w:tcPr>
                  <w:tcW w:w="761" w:type="dxa"/>
                  <w:noWrap/>
                  <w:vAlign w:val="center"/>
                </w:tcPr>
                <w:p w14:paraId="49640B79"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tcPr>
                <w:p w14:paraId="49640B7A" w14:textId="77777777" w:rsidR="00E90BA8" w:rsidRPr="00267BCC" w:rsidRDefault="00E90BA8" w:rsidP="00267BCC">
                  <w:pPr>
                    <w:jc w:val="center"/>
                    <w:rPr>
                      <w:color w:val="000000"/>
                      <w:lang w:val="lv-LV"/>
                    </w:rPr>
                  </w:pPr>
                  <w:r w:rsidRPr="00267BCC">
                    <w:rPr>
                      <w:color w:val="000000"/>
                      <w:sz w:val="22"/>
                      <w:szCs w:val="22"/>
                      <w:lang w:val="lv-LV"/>
                    </w:rPr>
                    <w:t>5*</w:t>
                  </w:r>
                </w:p>
              </w:tc>
              <w:tc>
                <w:tcPr>
                  <w:tcW w:w="1134" w:type="dxa"/>
                  <w:noWrap/>
                  <w:vAlign w:val="center"/>
                </w:tcPr>
                <w:p w14:paraId="49640B7B" w14:textId="77777777" w:rsidR="00E90BA8" w:rsidRPr="00267BCC" w:rsidRDefault="00E90BA8" w:rsidP="00267BCC">
                  <w:pPr>
                    <w:jc w:val="center"/>
                    <w:rPr>
                      <w:color w:val="000000"/>
                      <w:lang w:val="lv-LV"/>
                    </w:rPr>
                  </w:pPr>
                  <w:r w:rsidRPr="00267BCC">
                    <w:rPr>
                      <w:color w:val="000000"/>
                      <w:sz w:val="22"/>
                      <w:szCs w:val="22"/>
                      <w:lang w:val="lv-LV"/>
                    </w:rPr>
                    <w:t>568</w:t>
                  </w:r>
                </w:p>
              </w:tc>
            </w:tr>
            <w:tr w:rsidR="00E90BA8" w:rsidRPr="00267BCC" w14:paraId="49640B86" w14:textId="77777777" w:rsidTr="00DA3CE7">
              <w:trPr>
                <w:trHeight w:val="300"/>
                <w:jc w:val="center"/>
              </w:trPr>
              <w:tc>
                <w:tcPr>
                  <w:tcW w:w="818" w:type="dxa"/>
                  <w:noWrap/>
                  <w:vAlign w:val="center"/>
                </w:tcPr>
                <w:p w14:paraId="49640B7D"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tcPr>
                <w:p w14:paraId="49640B7E" w14:textId="77777777" w:rsidR="00E90BA8" w:rsidRPr="00267BCC" w:rsidRDefault="00E90BA8" w:rsidP="00267BCC">
                  <w:pPr>
                    <w:jc w:val="center"/>
                    <w:rPr>
                      <w:color w:val="000000"/>
                      <w:lang w:val="lv-LV"/>
                    </w:rPr>
                  </w:pPr>
                  <w:r w:rsidRPr="00267BCC">
                    <w:rPr>
                      <w:color w:val="000000"/>
                      <w:sz w:val="22"/>
                      <w:szCs w:val="22"/>
                      <w:lang w:val="lv-LV"/>
                    </w:rPr>
                    <w:t>4*</w:t>
                  </w:r>
                </w:p>
              </w:tc>
              <w:tc>
                <w:tcPr>
                  <w:tcW w:w="1462" w:type="dxa"/>
                  <w:noWrap/>
                  <w:vAlign w:val="center"/>
                </w:tcPr>
                <w:p w14:paraId="49640B7F" w14:textId="77777777" w:rsidR="00E90BA8" w:rsidRPr="00267BCC" w:rsidRDefault="00E90BA8" w:rsidP="00267BCC">
                  <w:pPr>
                    <w:jc w:val="center"/>
                    <w:rPr>
                      <w:color w:val="000000"/>
                      <w:lang w:val="lv-LV"/>
                    </w:rPr>
                  </w:pPr>
                  <w:r w:rsidRPr="00267BCC">
                    <w:rPr>
                      <w:color w:val="000000"/>
                      <w:sz w:val="22"/>
                      <w:szCs w:val="22"/>
                      <w:lang w:val="lv-LV"/>
                    </w:rPr>
                    <w:t>3131</w:t>
                  </w:r>
                </w:p>
              </w:tc>
              <w:tc>
                <w:tcPr>
                  <w:tcW w:w="960" w:type="dxa"/>
                  <w:noWrap/>
                  <w:vAlign w:val="center"/>
                </w:tcPr>
                <w:p w14:paraId="49640B80"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tcPr>
                <w:p w14:paraId="49640B81" w14:textId="77777777" w:rsidR="00E90BA8" w:rsidRPr="00267BCC" w:rsidRDefault="00E90BA8" w:rsidP="00267BCC">
                  <w:pPr>
                    <w:jc w:val="center"/>
                    <w:rPr>
                      <w:color w:val="000000"/>
                      <w:lang w:val="lv-LV"/>
                    </w:rPr>
                  </w:pPr>
                  <w:r w:rsidRPr="00267BCC">
                    <w:rPr>
                      <w:color w:val="000000"/>
                      <w:sz w:val="22"/>
                      <w:szCs w:val="22"/>
                      <w:lang w:val="lv-LV"/>
                    </w:rPr>
                    <w:t>4*</w:t>
                  </w:r>
                </w:p>
              </w:tc>
              <w:tc>
                <w:tcPr>
                  <w:tcW w:w="1365" w:type="dxa"/>
                  <w:noWrap/>
                  <w:vAlign w:val="center"/>
                </w:tcPr>
                <w:p w14:paraId="49640B82" w14:textId="77777777" w:rsidR="00E90BA8" w:rsidRPr="00267BCC" w:rsidRDefault="00E90BA8" w:rsidP="00267BCC">
                  <w:pPr>
                    <w:jc w:val="center"/>
                    <w:rPr>
                      <w:color w:val="000000"/>
                      <w:lang w:val="lv-LV"/>
                    </w:rPr>
                  </w:pPr>
                  <w:r w:rsidRPr="00267BCC">
                    <w:rPr>
                      <w:color w:val="000000"/>
                      <w:sz w:val="22"/>
                      <w:szCs w:val="22"/>
                      <w:lang w:val="lv-LV"/>
                    </w:rPr>
                    <w:t>3625</w:t>
                  </w:r>
                </w:p>
              </w:tc>
              <w:tc>
                <w:tcPr>
                  <w:tcW w:w="761" w:type="dxa"/>
                  <w:noWrap/>
                  <w:vAlign w:val="center"/>
                </w:tcPr>
                <w:p w14:paraId="49640B83"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tcPr>
                <w:p w14:paraId="49640B84" w14:textId="77777777" w:rsidR="00E90BA8" w:rsidRPr="00267BCC" w:rsidRDefault="00E90BA8" w:rsidP="00267BCC">
                  <w:pPr>
                    <w:jc w:val="center"/>
                    <w:rPr>
                      <w:color w:val="000000"/>
                      <w:lang w:val="lv-LV"/>
                    </w:rPr>
                  </w:pPr>
                  <w:r w:rsidRPr="00267BCC">
                    <w:rPr>
                      <w:color w:val="000000"/>
                      <w:sz w:val="22"/>
                      <w:szCs w:val="22"/>
                      <w:lang w:val="lv-LV"/>
                    </w:rPr>
                    <w:t>4*</w:t>
                  </w:r>
                </w:p>
              </w:tc>
              <w:tc>
                <w:tcPr>
                  <w:tcW w:w="1134" w:type="dxa"/>
                  <w:noWrap/>
                  <w:vAlign w:val="center"/>
                </w:tcPr>
                <w:p w14:paraId="49640B85" w14:textId="77777777" w:rsidR="00E90BA8" w:rsidRPr="00267BCC" w:rsidRDefault="00E90BA8" w:rsidP="00267BCC">
                  <w:pPr>
                    <w:jc w:val="center"/>
                    <w:rPr>
                      <w:color w:val="000000"/>
                      <w:lang w:val="lv-LV"/>
                    </w:rPr>
                  </w:pPr>
                  <w:r w:rsidRPr="00267BCC">
                    <w:rPr>
                      <w:color w:val="000000"/>
                      <w:sz w:val="22"/>
                      <w:szCs w:val="22"/>
                      <w:lang w:val="lv-LV"/>
                    </w:rPr>
                    <w:t>1402</w:t>
                  </w:r>
                </w:p>
              </w:tc>
            </w:tr>
            <w:tr w:rsidR="00E90BA8" w:rsidRPr="00267BCC" w14:paraId="49640B90" w14:textId="77777777" w:rsidTr="00DA3CE7">
              <w:trPr>
                <w:trHeight w:val="300"/>
                <w:jc w:val="center"/>
              </w:trPr>
              <w:tc>
                <w:tcPr>
                  <w:tcW w:w="818" w:type="dxa"/>
                  <w:noWrap/>
                  <w:vAlign w:val="center"/>
                </w:tcPr>
                <w:p w14:paraId="49640B87" w14:textId="77777777" w:rsidR="00E90BA8" w:rsidRPr="00267BCC" w:rsidRDefault="00E90BA8" w:rsidP="00267BCC">
                  <w:pPr>
                    <w:jc w:val="center"/>
                    <w:rPr>
                      <w:color w:val="000000"/>
                      <w:lang w:val="lv-LV"/>
                    </w:rPr>
                  </w:pPr>
                </w:p>
              </w:tc>
              <w:tc>
                <w:tcPr>
                  <w:tcW w:w="458" w:type="dxa"/>
                  <w:shd w:val="clear" w:color="auto" w:fill="D9D9D9" w:themeFill="background1" w:themeFillShade="D9"/>
                  <w:noWrap/>
                  <w:vAlign w:val="center"/>
                </w:tcPr>
                <w:p w14:paraId="49640B88" w14:textId="77777777" w:rsidR="00E90BA8" w:rsidRPr="00267BCC" w:rsidRDefault="00E90BA8" w:rsidP="00267BCC">
                  <w:pPr>
                    <w:jc w:val="center"/>
                    <w:rPr>
                      <w:color w:val="000000"/>
                      <w:lang w:val="lv-LV"/>
                    </w:rPr>
                  </w:pPr>
                  <w:r w:rsidRPr="00267BCC">
                    <w:rPr>
                      <w:color w:val="000000"/>
                      <w:sz w:val="22"/>
                      <w:szCs w:val="22"/>
                      <w:lang w:val="lv-LV"/>
                    </w:rPr>
                    <w:t>3*</w:t>
                  </w:r>
                </w:p>
              </w:tc>
              <w:tc>
                <w:tcPr>
                  <w:tcW w:w="1462" w:type="dxa"/>
                  <w:noWrap/>
                  <w:vAlign w:val="center"/>
                </w:tcPr>
                <w:p w14:paraId="49640B89" w14:textId="77777777" w:rsidR="00E90BA8" w:rsidRPr="00267BCC" w:rsidRDefault="00E90BA8" w:rsidP="00267BCC">
                  <w:pPr>
                    <w:jc w:val="center"/>
                    <w:rPr>
                      <w:color w:val="000000"/>
                      <w:lang w:val="lv-LV"/>
                    </w:rPr>
                  </w:pPr>
                  <w:r w:rsidRPr="00267BCC">
                    <w:rPr>
                      <w:color w:val="000000"/>
                      <w:sz w:val="22"/>
                      <w:szCs w:val="22"/>
                      <w:lang w:val="lv-LV"/>
                    </w:rPr>
                    <w:t>2155</w:t>
                  </w:r>
                </w:p>
              </w:tc>
              <w:tc>
                <w:tcPr>
                  <w:tcW w:w="960" w:type="dxa"/>
                  <w:noWrap/>
                  <w:vAlign w:val="center"/>
                </w:tcPr>
                <w:p w14:paraId="49640B8A" w14:textId="77777777" w:rsidR="00E90BA8" w:rsidRPr="00267BCC" w:rsidRDefault="00E90BA8" w:rsidP="00267BCC">
                  <w:pPr>
                    <w:jc w:val="center"/>
                    <w:rPr>
                      <w:color w:val="000000"/>
                      <w:lang w:val="lv-LV"/>
                    </w:rPr>
                  </w:pPr>
                </w:p>
              </w:tc>
              <w:tc>
                <w:tcPr>
                  <w:tcW w:w="555" w:type="dxa"/>
                  <w:shd w:val="clear" w:color="auto" w:fill="D9D9D9" w:themeFill="background1" w:themeFillShade="D9"/>
                  <w:noWrap/>
                  <w:vAlign w:val="center"/>
                </w:tcPr>
                <w:p w14:paraId="49640B8B" w14:textId="77777777" w:rsidR="00E90BA8" w:rsidRPr="00267BCC" w:rsidRDefault="00E90BA8" w:rsidP="00267BCC">
                  <w:pPr>
                    <w:jc w:val="center"/>
                    <w:rPr>
                      <w:color w:val="000000"/>
                      <w:lang w:val="lv-LV"/>
                    </w:rPr>
                  </w:pPr>
                  <w:r w:rsidRPr="00267BCC">
                    <w:rPr>
                      <w:color w:val="000000"/>
                      <w:sz w:val="22"/>
                      <w:szCs w:val="22"/>
                      <w:lang w:val="lv-LV"/>
                    </w:rPr>
                    <w:t>3*</w:t>
                  </w:r>
                </w:p>
              </w:tc>
              <w:tc>
                <w:tcPr>
                  <w:tcW w:w="1365" w:type="dxa"/>
                  <w:noWrap/>
                  <w:vAlign w:val="center"/>
                </w:tcPr>
                <w:p w14:paraId="49640B8C" w14:textId="77777777" w:rsidR="00E90BA8" w:rsidRPr="00267BCC" w:rsidRDefault="00E90BA8" w:rsidP="00267BCC">
                  <w:pPr>
                    <w:jc w:val="center"/>
                    <w:rPr>
                      <w:color w:val="000000"/>
                      <w:lang w:val="lv-LV"/>
                    </w:rPr>
                  </w:pPr>
                  <w:r w:rsidRPr="00267BCC">
                    <w:rPr>
                      <w:color w:val="000000"/>
                      <w:sz w:val="22"/>
                      <w:szCs w:val="22"/>
                      <w:lang w:val="lv-LV"/>
                    </w:rPr>
                    <w:t>2234</w:t>
                  </w:r>
                </w:p>
              </w:tc>
              <w:tc>
                <w:tcPr>
                  <w:tcW w:w="761" w:type="dxa"/>
                  <w:noWrap/>
                  <w:vAlign w:val="center"/>
                </w:tcPr>
                <w:p w14:paraId="49640B8D" w14:textId="77777777" w:rsidR="00E90BA8" w:rsidRPr="00267BCC" w:rsidRDefault="00E90BA8" w:rsidP="00267BCC">
                  <w:pPr>
                    <w:jc w:val="center"/>
                    <w:rPr>
                      <w:color w:val="000000"/>
                      <w:lang w:val="lv-LV"/>
                    </w:rPr>
                  </w:pPr>
                </w:p>
              </w:tc>
              <w:tc>
                <w:tcPr>
                  <w:tcW w:w="567" w:type="dxa"/>
                  <w:shd w:val="clear" w:color="auto" w:fill="D9D9D9" w:themeFill="background1" w:themeFillShade="D9"/>
                  <w:noWrap/>
                  <w:vAlign w:val="center"/>
                </w:tcPr>
                <w:p w14:paraId="49640B8E" w14:textId="77777777" w:rsidR="00E90BA8" w:rsidRPr="00267BCC" w:rsidRDefault="00E90BA8" w:rsidP="00267BCC">
                  <w:pPr>
                    <w:jc w:val="center"/>
                    <w:rPr>
                      <w:color w:val="000000"/>
                      <w:lang w:val="lv-LV"/>
                    </w:rPr>
                  </w:pPr>
                  <w:r w:rsidRPr="00267BCC">
                    <w:rPr>
                      <w:color w:val="000000"/>
                      <w:sz w:val="22"/>
                      <w:szCs w:val="22"/>
                      <w:lang w:val="lv-LV"/>
                    </w:rPr>
                    <w:t>3*</w:t>
                  </w:r>
                </w:p>
              </w:tc>
              <w:tc>
                <w:tcPr>
                  <w:tcW w:w="1134" w:type="dxa"/>
                  <w:noWrap/>
                  <w:vAlign w:val="center"/>
                </w:tcPr>
                <w:p w14:paraId="49640B8F" w14:textId="77777777" w:rsidR="00E90BA8" w:rsidRPr="00267BCC" w:rsidRDefault="00E90BA8" w:rsidP="00267BCC">
                  <w:pPr>
                    <w:jc w:val="center"/>
                    <w:rPr>
                      <w:color w:val="000000"/>
                      <w:lang w:val="lv-LV"/>
                    </w:rPr>
                  </w:pPr>
                  <w:r w:rsidRPr="00267BCC">
                    <w:rPr>
                      <w:color w:val="000000"/>
                      <w:sz w:val="22"/>
                      <w:szCs w:val="22"/>
                      <w:lang w:val="lv-LV"/>
                    </w:rPr>
                    <w:t>1390</w:t>
                  </w:r>
                </w:p>
              </w:tc>
            </w:tr>
            <w:tr w:rsidR="00E90BA8" w:rsidRPr="00B71CEA" w14:paraId="49640B92" w14:textId="77777777" w:rsidTr="00DA3CE7">
              <w:trPr>
                <w:trHeight w:val="300"/>
                <w:jc w:val="center"/>
              </w:trPr>
              <w:tc>
                <w:tcPr>
                  <w:tcW w:w="8080" w:type="dxa"/>
                  <w:gridSpan w:val="9"/>
                  <w:noWrap/>
                  <w:vAlign w:val="center"/>
                </w:tcPr>
                <w:p w14:paraId="49640B91" w14:textId="77777777" w:rsidR="00E90BA8" w:rsidRPr="00267BCC" w:rsidRDefault="00E90BA8" w:rsidP="00267BCC">
                  <w:pPr>
                    <w:jc w:val="center"/>
                    <w:rPr>
                      <w:b/>
                      <w:color w:val="000000"/>
                      <w:lang w:val="lv-LV"/>
                    </w:rPr>
                  </w:pPr>
                  <w:r w:rsidRPr="00267BCC">
                    <w:rPr>
                      <w:b/>
                      <w:bCs/>
                      <w:sz w:val="22"/>
                      <w:szCs w:val="22"/>
                      <w:lang w:val="lv-LV"/>
                    </w:rPr>
                    <w:t>Kapacitāte (kopējais numuru skaits 5*, 4*, 3* viesnīcās)</w:t>
                  </w:r>
                </w:p>
              </w:tc>
            </w:tr>
            <w:tr w:rsidR="00E90BA8" w:rsidRPr="00B71CEA" w14:paraId="49640B9C" w14:textId="77777777" w:rsidTr="00DA3CE7">
              <w:trPr>
                <w:trHeight w:val="300"/>
                <w:jc w:val="center"/>
              </w:trPr>
              <w:tc>
                <w:tcPr>
                  <w:tcW w:w="818" w:type="dxa"/>
                  <w:noWrap/>
                  <w:vAlign w:val="center"/>
                </w:tcPr>
                <w:p w14:paraId="49640B93" w14:textId="77777777" w:rsidR="00E90BA8" w:rsidRPr="00267BCC" w:rsidRDefault="00E90BA8" w:rsidP="00267BCC">
                  <w:pPr>
                    <w:jc w:val="center"/>
                    <w:rPr>
                      <w:color w:val="000000"/>
                      <w:lang w:val="lv-LV"/>
                    </w:rPr>
                  </w:pPr>
                  <w:r w:rsidRPr="00267BCC">
                    <w:rPr>
                      <w:color w:val="000000"/>
                      <w:sz w:val="22"/>
                      <w:szCs w:val="22"/>
                      <w:lang w:val="lv-LV"/>
                    </w:rPr>
                    <w:t>Rīga</w:t>
                  </w:r>
                </w:p>
              </w:tc>
              <w:tc>
                <w:tcPr>
                  <w:tcW w:w="458" w:type="dxa"/>
                  <w:shd w:val="clear" w:color="auto" w:fill="D9D9D9" w:themeFill="background1" w:themeFillShade="D9"/>
                  <w:noWrap/>
                  <w:vAlign w:val="center"/>
                </w:tcPr>
                <w:p w14:paraId="49640B94" w14:textId="77777777" w:rsidR="00E90BA8" w:rsidRPr="00267BCC" w:rsidRDefault="00E90BA8" w:rsidP="00267BCC">
                  <w:pPr>
                    <w:jc w:val="center"/>
                    <w:rPr>
                      <w:color w:val="000000"/>
                      <w:lang w:val="lv-LV"/>
                    </w:rPr>
                  </w:pPr>
                </w:p>
              </w:tc>
              <w:tc>
                <w:tcPr>
                  <w:tcW w:w="1462" w:type="dxa"/>
                  <w:noWrap/>
                  <w:vAlign w:val="center"/>
                </w:tcPr>
                <w:p w14:paraId="49640B95" w14:textId="77777777" w:rsidR="00E90BA8" w:rsidRPr="00267BCC" w:rsidRDefault="00E90BA8" w:rsidP="00267BCC">
                  <w:pPr>
                    <w:jc w:val="center"/>
                    <w:rPr>
                      <w:color w:val="000000"/>
                      <w:lang w:val="lv-LV"/>
                    </w:rPr>
                  </w:pPr>
                  <w:r w:rsidRPr="00267BCC">
                    <w:rPr>
                      <w:color w:val="000000"/>
                      <w:sz w:val="22"/>
                      <w:szCs w:val="22"/>
                      <w:lang w:val="lv-LV"/>
                    </w:rPr>
                    <w:t>5997</w:t>
                  </w:r>
                </w:p>
              </w:tc>
              <w:tc>
                <w:tcPr>
                  <w:tcW w:w="960" w:type="dxa"/>
                  <w:noWrap/>
                  <w:vAlign w:val="center"/>
                </w:tcPr>
                <w:p w14:paraId="49640B96" w14:textId="77777777" w:rsidR="00E90BA8" w:rsidRPr="00267BCC" w:rsidRDefault="00E90BA8" w:rsidP="00267BCC">
                  <w:pPr>
                    <w:jc w:val="center"/>
                    <w:rPr>
                      <w:color w:val="000000"/>
                      <w:lang w:val="lv-LV"/>
                    </w:rPr>
                  </w:pPr>
                  <w:r w:rsidRPr="00267BCC">
                    <w:rPr>
                      <w:color w:val="000000"/>
                      <w:sz w:val="22"/>
                      <w:szCs w:val="22"/>
                      <w:lang w:val="lv-LV"/>
                    </w:rPr>
                    <w:t>Tallina</w:t>
                  </w:r>
                </w:p>
              </w:tc>
              <w:tc>
                <w:tcPr>
                  <w:tcW w:w="555" w:type="dxa"/>
                  <w:shd w:val="clear" w:color="auto" w:fill="D9D9D9" w:themeFill="background1" w:themeFillShade="D9"/>
                  <w:noWrap/>
                  <w:vAlign w:val="center"/>
                </w:tcPr>
                <w:p w14:paraId="49640B97" w14:textId="77777777" w:rsidR="00E90BA8" w:rsidRPr="00267BCC" w:rsidRDefault="00E90BA8" w:rsidP="00267BCC">
                  <w:pPr>
                    <w:jc w:val="center"/>
                    <w:rPr>
                      <w:color w:val="000000"/>
                      <w:lang w:val="lv-LV"/>
                    </w:rPr>
                  </w:pPr>
                </w:p>
              </w:tc>
              <w:tc>
                <w:tcPr>
                  <w:tcW w:w="1365" w:type="dxa"/>
                  <w:noWrap/>
                  <w:vAlign w:val="center"/>
                </w:tcPr>
                <w:p w14:paraId="49640B98" w14:textId="77777777" w:rsidR="00E90BA8" w:rsidRPr="00267BCC" w:rsidRDefault="00E90BA8" w:rsidP="00267BCC">
                  <w:pPr>
                    <w:jc w:val="center"/>
                    <w:rPr>
                      <w:color w:val="000000"/>
                      <w:lang w:val="lv-LV"/>
                    </w:rPr>
                  </w:pPr>
                  <w:r w:rsidRPr="00267BCC">
                    <w:rPr>
                      <w:color w:val="000000"/>
                      <w:sz w:val="22"/>
                      <w:szCs w:val="22"/>
                      <w:lang w:val="lv-LV"/>
                    </w:rPr>
                    <w:t>6554</w:t>
                  </w:r>
                </w:p>
              </w:tc>
              <w:tc>
                <w:tcPr>
                  <w:tcW w:w="761" w:type="dxa"/>
                  <w:noWrap/>
                  <w:vAlign w:val="center"/>
                </w:tcPr>
                <w:p w14:paraId="49640B99" w14:textId="77777777" w:rsidR="00E90BA8" w:rsidRPr="00267BCC" w:rsidRDefault="00E90BA8" w:rsidP="00267BCC">
                  <w:pPr>
                    <w:jc w:val="center"/>
                    <w:rPr>
                      <w:color w:val="000000"/>
                      <w:lang w:val="lv-LV"/>
                    </w:rPr>
                  </w:pPr>
                  <w:r w:rsidRPr="00267BCC">
                    <w:rPr>
                      <w:color w:val="000000"/>
                      <w:sz w:val="22"/>
                      <w:szCs w:val="22"/>
                      <w:lang w:val="lv-LV"/>
                    </w:rPr>
                    <w:t>Viļņa</w:t>
                  </w:r>
                </w:p>
              </w:tc>
              <w:tc>
                <w:tcPr>
                  <w:tcW w:w="567" w:type="dxa"/>
                  <w:shd w:val="clear" w:color="auto" w:fill="D9D9D9" w:themeFill="background1" w:themeFillShade="D9"/>
                  <w:noWrap/>
                  <w:vAlign w:val="center"/>
                </w:tcPr>
                <w:p w14:paraId="49640B9A" w14:textId="77777777" w:rsidR="00E90BA8" w:rsidRPr="00267BCC" w:rsidRDefault="00E90BA8" w:rsidP="00267BCC">
                  <w:pPr>
                    <w:jc w:val="center"/>
                    <w:rPr>
                      <w:color w:val="000000"/>
                      <w:lang w:val="lv-LV"/>
                    </w:rPr>
                  </w:pPr>
                </w:p>
              </w:tc>
              <w:tc>
                <w:tcPr>
                  <w:tcW w:w="1134" w:type="dxa"/>
                  <w:noWrap/>
                  <w:vAlign w:val="center"/>
                </w:tcPr>
                <w:p w14:paraId="49640B9B" w14:textId="77777777" w:rsidR="00E90BA8" w:rsidRPr="00267BCC" w:rsidRDefault="00E90BA8" w:rsidP="00267BCC">
                  <w:pPr>
                    <w:jc w:val="center"/>
                    <w:rPr>
                      <w:color w:val="000000"/>
                      <w:lang w:val="lv-LV"/>
                    </w:rPr>
                  </w:pPr>
                  <w:r w:rsidRPr="00267BCC">
                    <w:rPr>
                      <w:color w:val="000000"/>
                      <w:sz w:val="22"/>
                      <w:szCs w:val="22"/>
                      <w:lang w:val="lv-LV"/>
                    </w:rPr>
                    <w:t>3360</w:t>
                  </w:r>
                </w:p>
              </w:tc>
            </w:tr>
          </w:tbl>
          <w:p w14:paraId="49640B9D" w14:textId="77777777" w:rsidR="00E90BA8" w:rsidRPr="00267BCC" w:rsidRDefault="00E90BA8" w:rsidP="00267BCC">
            <w:pPr>
              <w:pStyle w:val="ListParagraph"/>
              <w:tabs>
                <w:tab w:val="left" w:pos="0"/>
              </w:tabs>
              <w:spacing w:line="240" w:lineRule="auto"/>
              <w:ind w:left="0"/>
              <w:contextualSpacing w:val="0"/>
              <w:jc w:val="both"/>
              <w:rPr>
                <w:rFonts w:ascii="Times New Roman" w:hAnsi="Times New Roman"/>
                <w:sz w:val="20"/>
                <w:szCs w:val="20"/>
                <w:lang w:val="lv-LV"/>
              </w:rPr>
            </w:pPr>
            <w:r w:rsidRPr="00267BCC">
              <w:rPr>
                <w:rFonts w:ascii="Times New Roman" w:hAnsi="Times New Roman"/>
                <w:sz w:val="20"/>
                <w:szCs w:val="20"/>
                <w:lang w:val="lv-LV"/>
              </w:rPr>
              <w:t>Datu avots: Rīgas tūrisma attīstības birojs</w:t>
            </w:r>
          </w:p>
          <w:p w14:paraId="49640B9E" w14:textId="77777777" w:rsidR="007E50F9" w:rsidRPr="00267BCC" w:rsidRDefault="00675F55" w:rsidP="00267BCC">
            <w:pPr>
              <w:pStyle w:val="ListParagraph"/>
              <w:numPr>
                <w:ilvl w:val="0"/>
                <w:numId w:val="31"/>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
                <w:sz w:val="24"/>
                <w:szCs w:val="24"/>
                <w:lang w:val="lv-LV"/>
              </w:rPr>
              <w:t>Citi</w:t>
            </w:r>
            <w:r w:rsidR="004014B7" w:rsidRPr="00267BCC">
              <w:rPr>
                <w:rFonts w:ascii="Times New Roman" w:hAnsi="Times New Roman"/>
                <w:b/>
                <w:sz w:val="24"/>
                <w:szCs w:val="24"/>
                <w:lang w:val="lv-LV"/>
              </w:rPr>
              <w:t xml:space="preserve"> resursi:</w:t>
            </w:r>
            <w:r w:rsidRPr="00267BCC">
              <w:rPr>
                <w:rFonts w:ascii="Times New Roman" w:hAnsi="Times New Roman"/>
                <w:b/>
                <w:sz w:val="24"/>
                <w:szCs w:val="24"/>
                <w:lang w:val="lv-LV"/>
              </w:rPr>
              <w:t xml:space="preserve"> </w:t>
            </w:r>
            <w:r w:rsidR="004014B7" w:rsidRPr="00267BCC">
              <w:rPr>
                <w:rFonts w:ascii="Times New Roman" w:hAnsi="Times New Roman"/>
                <w:sz w:val="24"/>
                <w:szCs w:val="24"/>
                <w:lang w:val="lv-LV"/>
              </w:rPr>
              <w:t>MICE</w:t>
            </w:r>
            <w:r w:rsidR="009E54A4" w:rsidRPr="00267BCC">
              <w:rPr>
                <w:rFonts w:ascii="Times New Roman" w:hAnsi="Times New Roman"/>
                <w:sz w:val="24"/>
                <w:szCs w:val="24"/>
                <w:lang w:val="lv-LV"/>
              </w:rPr>
              <w:t xml:space="preserve"> (darījumu</w:t>
            </w:r>
            <w:r w:rsidR="0037102B" w:rsidRPr="00267BCC">
              <w:rPr>
                <w:rFonts w:ascii="Times New Roman" w:hAnsi="Times New Roman"/>
                <w:sz w:val="24"/>
                <w:szCs w:val="24"/>
                <w:lang w:val="lv-LV"/>
              </w:rPr>
              <w:t xml:space="preserve"> un pasākumu</w:t>
            </w:r>
            <w:r w:rsidR="009E54A4" w:rsidRPr="00267BCC">
              <w:rPr>
                <w:rFonts w:ascii="Times New Roman" w:hAnsi="Times New Roman"/>
                <w:sz w:val="24"/>
                <w:szCs w:val="24"/>
                <w:lang w:val="lv-LV"/>
              </w:rPr>
              <w:t>)</w:t>
            </w:r>
            <w:r w:rsidR="004014B7" w:rsidRPr="00267BCC">
              <w:rPr>
                <w:rFonts w:ascii="Times New Roman" w:hAnsi="Times New Roman"/>
                <w:sz w:val="24"/>
                <w:szCs w:val="24"/>
                <w:lang w:val="lv-LV"/>
              </w:rPr>
              <w:t xml:space="preserve"> tūrisma infrastruktūra m</w:t>
            </w:r>
            <w:r w:rsidR="000512D9" w:rsidRPr="00267BCC">
              <w:rPr>
                <w:rFonts w:ascii="Times New Roman" w:hAnsi="Times New Roman"/>
                <w:sz w:val="24"/>
                <w:szCs w:val="24"/>
                <w:lang w:val="lv-LV"/>
              </w:rPr>
              <w:t>aza un vidēja</w:t>
            </w:r>
            <w:r w:rsidRPr="00267BCC">
              <w:rPr>
                <w:rFonts w:ascii="Times New Roman" w:hAnsi="Times New Roman"/>
                <w:sz w:val="24"/>
                <w:szCs w:val="24"/>
                <w:lang w:val="lv-LV"/>
              </w:rPr>
              <w:t xml:space="preserve"> izmēra pasākumiem, </w:t>
            </w:r>
            <w:r w:rsidR="004014B7" w:rsidRPr="00267BCC">
              <w:rPr>
                <w:rFonts w:ascii="Times New Roman" w:hAnsi="Times New Roman"/>
                <w:bCs/>
                <w:sz w:val="24"/>
                <w:szCs w:val="24"/>
                <w:lang w:val="lv-LV"/>
              </w:rPr>
              <w:t>resursi motivējošo braucienu, komandu vei</w:t>
            </w:r>
            <w:r w:rsidRPr="00267BCC">
              <w:rPr>
                <w:rFonts w:ascii="Times New Roman" w:hAnsi="Times New Roman"/>
                <w:bCs/>
                <w:sz w:val="24"/>
                <w:szCs w:val="24"/>
                <w:lang w:val="lv-LV"/>
              </w:rPr>
              <w:t xml:space="preserve">došanas pasākumu organizēšanai, </w:t>
            </w:r>
            <w:r w:rsidRPr="00267BCC">
              <w:rPr>
                <w:rFonts w:ascii="Times New Roman" w:hAnsi="Times New Roman"/>
                <w:sz w:val="24"/>
                <w:szCs w:val="24"/>
                <w:lang w:val="lv-LV"/>
              </w:rPr>
              <w:t xml:space="preserve">sporta, t.sk. hokeja halles, </w:t>
            </w:r>
            <w:r w:rsidR="004014B7" w:rsidRPr="00267BCC">
              <w:rPr>
                <w:rFonts w:ascii="Times New Roman" w:hAnsi="Times New Roman"/>
                <w:sz w:val="24"/>
                <w:szCs w:val="24"/>
                <w:lang w:val="lv-LV"/>
              </w:rPr>
              <w:t>Siguldas kamaniņu un bobsleja trase</w:t>
            </w:r>
            <w:r w:rsidRPr="00267BCC">
              <w:rPr>
                <w:rFonts w:ascii="Times New Roman" w:hAnsi="Times New Roman"/>
                <w:sz w:val="24"/>
                <w:szCs w:val="24"/>
                <w:lang w:val="lv-LV"/>
              </w:rPr>
              <w:t xml:space="preserve">, BMX, </w:t>
            </w:r>
            <w:r w:rsidR="004014B7" w:rsidRPr="00267BCC">
              <w:rPr>
                <w:rFonts w:ascii="Times New Roman" w:hAnsi="Times New Roman"/>
                <w:sz w:val="24"/>
                <w:szCs w:val="24"/>
                <w:lang w:val="lv-LV"/>
              </w:rPr>
              <w:t>slēpošanas (kalnu un distanču) infrastruktūra</w:t>
            </w:r>
            <w:r w:rsidRPr="00267BCC">
              <w:rPr>
                <w:rFonts w:ascii="Times New Roman" w:hAnsi="Times New Roman"/>
                <w:sz w:val="24"/>
                <w:szCs w:val="24"/>
                <w:lang w:val="lv-LV"/>
              </w:rPr>
              <w:t xml:space="preserve">, </w:t>
            </w:r>
            <w:r w:rsidR="000512D9" w:rsidRPr="00267BCC">
              <w:rPr>
                <w:rFonts w:ascii="Times New Roman" w:hAnsi="Times New Roman"/>
                <w:sz w:val="24"/>
                <w:szCs w:val="24"/>
                <w:lang w:val="lv-LV"/>
              </w:rPr>
              <w:t xml:space="preserve">vietas orientēšanās un </w:t>
            </w:r>
            <w:r w:rsidR="004014B7" w:rsidRPr="00267BCC">
              <w:rPr>
                <w:rFonts w:ascii="Times New Roman" w:hAnsi="Times New Roman"/>
                <w:sz w:val="24"/>
                <w:szCs w:val="24"/>
                <w:lang w:val="lv-LV"/>
              </w:rPr>
              <w:t>tenisa sacensību organizēšanai.</w:t>
            </w:r>
          </w:p>
        </w:tc>
      </w:tr>
      <w:tr w:rsidR="00783831" w:rsidRPr="00B71CEA" w14:paraId="49640C0E" w14:textId="77777777" w:rsidTr="00663C1A">
        <w:tc>
          <w:tcPr>
            <w:tcW w:w="5000" w:type="pct"/>
          </w:tcPr>
          <w:p w14:paraId="49640BA0" w14:textId="77777777" w:rsidR="00B77F79" w:rsidRDefault="00B77F79" w:rsidP="00267BCC">
            <w:pPr>
              <w:jc w:val="both"/>
              <w:rPr>
                <w:b/>
                <w:i/>
                <w:u w:val="single"/>
                <w:lang w:val="lv-LV"/>
              </w:rPr>
            </w:pPr>
          </w:p>
          <w:p w14:paraId="49640BA1" w14:textId="77777777" w:rsidR="00783831" w:rsidRPr="00267BCC" w:rsidRDefault="00783831" w:rsidP="00267BCC">
            <w:pPr>
              <w:jc w:val="both"/>
              <w:rPr>
                <w:b/>
                <w:i/>
                <w:u w:val="single"/>
                <w:lang w:val="lv-LV"/>
              </w:rPr>
            </w:pPr>
            <w:r w:rsidRPr="00267BCC">
              <w:rPr>
                <w:b/>
                <w:i/>
                <w:u w:val="single"/>
                <w:lang w:val="lv-LV"/>
              </w:rPr>
              <w:t>Veselības tūrisms</w:t>
            </w:r>
          </w:p>
          <w:p w14:paraId="49640BA2" w14:textId="77777777" w:rsidR="009E54A4" w:rsidRPr="00267BCC" w:rsidRDefault="009E54A4" w:rsidP="00267BCC">
            <w:pPr>
              <w:jc w:val="both"/>
              <w:rPr>
                <w:b/>
                <w:i/>
                <w:u w:val="single"/>
                <w:lang w:val="lv-LV"/>
              </w:rPr>
            </w:pPr>
          </w:p>
          <w:p w14:paraId="49640BA3" w14:textId="77777777" w:rsidR="00675F55" w:rsidRPr="00267BCC" w:rsidRDefault="00675F55" w:rsidP="00267BCC">
            <w:pPr>
              <w:pStyle w:val="Paraststmeklis1"/>
              <w:spacing w:before="0" w:after="0"/>
              <w:jc w:val="both"/>
              <w:rPr>
                <w:rFonts w:eastAsia="Times New Roman"/>
                <w:i/>
                <w:lang w:eastAsia="en-US"/>
              </w:rPr>
            </w:pPr>
            <w:r w:rsidRPr="00267BCC">
              <w:rPr>
                <w:i/>
              </w:rPr>
              <w:t xml:space="preserve">Pēc </w:t>
            </w:r>
            <w:r w:rsidRPr="00267BCC">
              <w:rPr>
                <w:i/>
                <w:iCs/>
              </w:rPr>
              <w:t>Flash Eurobarometer</w:t>
            </w:r>
            <w:r w:rsidRPr="00267BCC">
              <w:rPr>
                <w:i/>
              </w:rPr>
              <w:t xml:space="preserve"> pētījuma datiem, </w:t>
            </w:r>
            <w:r w:rsidR="00663C1A" w:rsidRPr="00267BCC">
              <w:rPr>
                <w:i/>
              </w:rPr>
              <w:t xml:space="preserve">27% ES pilsoņi </w:t>
            </w:r>
            <w:r w:rsidRPr="00267BCC">
              <w:rPr>
                <w:i/>
              </w:rPr>
              <w:t>atrodoties ceļojumā visvairāk izdevumus tērē labsajūtas pakalpojumiem, apsteidzot iepirkšanos. Pēc Uzņēmējdarbības un Rūpniecības ģenerāldirektorāta pasūtījuma Eurobarometer 2011.gadā veiktā un 2011.gada 13.maijā publicētā pētījumā par Eiropas pilsoņu attieksmi pret tūrismu, saskaņā ar galvena</w:t>
            </w:r>
            <w:r w:rsidR="00C06C83" w:rsidRPr="00267BCC">
              <w:rPr>
                <w:i/>
              </w:rPr>
              <w:t>jām 2010.gada tūrisma tendencēm</w:t>
            </w:r>
            <w:r w:rsidRPr="00267BCC">
              <w:rPr>
                <w:i/>
              </w:rPr>
              <w:t xml:space="preserve"> galvenā motivācija tūristu ceļošanai Eiropā ir</w:t>
            </w:r>
            <w:r w:rsidR="00C06C83" w:rsidRPr="00267BCC">
              <w:rPr>
                <w:i/>
              </w:rPr>
              <w:t xml:space="preserve"> atpūta un rekreācija ar 36%, kamēr</w:t>
            </w:r>
            <w:r w:rsidRPr="00267BCC">
              <w:rPr>
                <w:i/>
              </w:rPr>
              <w:t xml:space="preserve"> labsajūta un veselības pakalpojumi </w:t>
            </w:r>
            <w:r w:rsidR="005820F7" w:rsidRPr="00267BCC">
              <w:rPr>
                <w:i/>
              </w:rPr>
              <w:t>veido</w:t>
            </w:r>
            <w:r w:rsidRPr="00267BCC">
              <w:rPr>
                <w:i/>
              </w:rPr>
              <w:t xml:space="preserve"> 3%. Vecāka gadagājuma cilvēki vairāk izvēlas ceļošanas mērķi labsajūta un veselības pakalpojumi. </w:t>
            </w:r>
          </w:p>
          <w:p w14:paraId="49640BA4" w14:textId="77777777" w:rsidR="00CF293E" w:rsidRPr="00267BCC" w:rsidRDefault="00CF293E" w:rsidP="00267BCC">
            <w:pPr>
              <w:jc w:val="both"/>
              <w:rPr>
                <w:i/>
                <w:lang w:val="lv-LV"/>
              </w:rPr>
            </w:pPr>
            <w:r w:rsidRPr="00267BCC">
              <w:rPr>
                <w:i/>
                <w:lang w:val="lv-LV"/>
              </w:rPr>
              <w:t xml:space="preserve">Veselības tūrisms ir augoša tautsaimniecības nozare, </w:t>
            </w:r>
            <w:r w:rsidR="00675F55" w:rsidRPr="00267BCC">
              <w:rPr>
                <w:i/>
                <w:lang w:val="lv-LV"/>
              </w:rPr>
              <w:t>kas uzrāda labus rādītājus arī ekonomiskās lejupslīdes laikā: 2</w:t>
            </w:r>
            <w:r w:rsidRPr="00267BCC">
              <w:rPr>
                <w:i/>
                <w:lang w:val="lv-LV"/>
              </w:rPr>
              <w:t xml:space="preserve">009.gadā, kas bija lejupslīdes gads visā ekonomikā, </w:t>
            </w:r>
            <w:r w:rsidR="00675F55" w:rsidRPr="00267BCC">
              <w:rPr>
                <w:i/>
                <w:lang w:val="lv-LV"/>
              </w:rPr>
              <w:t xml:space="preserve">Latvijas </w:t>
            </w:r>
            <w:r w:rsidRPr="00267BCC">
              <w:rPr>
                <w:i/>
                <w:lang w:val="lv-LV"/>
              </w:rPr>
              <w:t xml:space="preserve">kūrortviesnīcās un rehabilitācijas centros tika apkalpota 61 881 persona jeb par 15% vairāk nekā 2008.gadā, kamēr kopējais viesnīcās un citās tūristu mītnēs apkalpoto personu skaits </w:t>
            </w:r>
            <w:r w:rsidR="00675F55" w:rsidRPr="00267BCC">
              <w:rPr>
                <w:i/>
                <w:lang w:val="lv-LV"/>
              </w:rPr>
              <w:t xml:space="preserve">šajā gadā bija </w:t>
            </w:r>
            <w:r w:rsidRPr="00267BCC">
              <w:rPr>
                <w:i/>
                <w:lang w:val="lv-LV"/>
              </w:rPr>
              <w:t>samazinājies par 28%</w:t>
            </w:r>
            <w:r w:rsidR="00675F55" w:rsidRPr="00267BCC">
              <w:rPr>
                <w:i/>
                <w:lang w:val="lv-LV"/>
              </w:rPr>
              <w:t>.</w:t>
            </w:r>
          </w:p>
          <w:p w14:paraId="49640BA5" w14:textId="77777777" w:rsidR="005C6895" w:rsidRPr="005C766A" w:rsidRDefault="005C6895"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Veselības tūrisma priekšrocības Latvijā nodrošina unikālu dabas dziedniecisko resursu pieejamība un šo resursu īpašības bioterapijas, rehabilitācijas un rekreācijas pakalpojumu veikšanai, esošās kurortoloģijas iestrādnes, kūrortu ārstniecības un medicīniskās rehabilitācijas tradīcijas, kā arī personāla zināšanas un pieredze</w:t>
            </w:r>
            <w:r w:rsidR="00744CF2" w:rsidRPr="005C766A">
              <w:rPr>
                <w:rFonts w:ascii="Times New Roman" w:hAnsi="Times New Roman"/>
                <w:sz w:val="24"/>
                <w:szCs w:val="24"/>
                <w:lang w:val="lv-LV"/>
              </w:rPr>
              <w:t>. Veselības tūrisma kā viens no tūrisma virzieniem nodrošina ilgtspējīgu augstvērtīgo Latvijas peloidālo un balneoloģisko resursu ekonomisko izmantošanu.</w:t>
            </w:r>
          </w:p>
          <w:p w14:paraId="49640BA6" w14:textId="77777777" w:rsidR="00E65A55" w:rsidRPr="005C766A" w:rsidRDefault="006653ED"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Saskaņā ar CSP datiem ārvalstu vairākdienu ceļotāju vidējais uzturēšanās ilgums Latvijā 2012.gadā ir 4 diennaktis, kūrortviesnīcās ārvalstu ceļotāji pavada vidēji 2 diennaktis, savukārt rehabilitācijas centros – 12,6 diennaktis.</w:t>
            </w:r>
          </w:p>
          <w:p w14:paraId="49640BA7" w14:textId="77777777" w:rsidR="00867766" w:rsidRPr="00267BCC" w:rsidRDefault="0037102B" w:rsidP="00267BCC">
            <w:pPr>
              <w:jc w:val="right"/>
              <w:rPr>
                <w:lang w:val="lv-LV"/>
              </w:rPr>
            </w:pPr>
            <w:r w:rsidRPr="00267BCC">
              <w:rPr>
                <w:lang w:val="lv-LV"/>
              </w:rPr>
              <w:t>7</w:t>
            </w:r>
            <w:r w:rsidR="00867766" w:rsidRPr="00267BCC">
              <w:rPr>
                <w:lang w:val="lv-LV"/>
              </w:rPr>
              <w:t>.tabula</w:t>
            </w:r>
          </w:p>
          <w:p w14:paraId="49640BA8" w14:textId="77777777" w:rsidR="00867766" w:rsidRPr="00267BCC" w:rsidRDefault="00867766" w:rsidP="00267BCC">
            <w:pPr>
              <w:jc w:val="center"/>
              <w:rPr>
                <w:b/>
                <w:lang w:val="lv-LV"/>
              </w:rPr>
            </w:pPr>
            <w:r w:rsidRPr="00267BCC">
              <w:rPr>
                <w:b/>
                <w:sz w:val="22"/>
                <w:szCs w:val="22"/>
                <w:lang w:val="lv-LV"/>
              </w:rPr>
              <w:t>Latvijas kurortoloģijas iestādes un darbības rādītāji</w:t>
            </w:r>
          </w:p>
          <w:tbl>
            <w:tblPr>
              <w:tblStyle w:val="TableGrid"/>
              <w:tblW w:w="5000" w:type="pct"/>
              <w:tblLook w:val="0420" w:firstRow="1" w:lastRow="0" w:firstColumn="0" w:lastColumn="0" w:noHBand="0" w:noVBand="1"/>
            </w:tblPr>
            <w:tblGrid>
              <w:gridCol w:w="3004"/>
              <w:gridCol w:w="1213"/>
              <w:gridCol w:w="1212"/>
              <w:gridCol w:w="1209"/>
              <w:gridCol w:w="1212"/>
              <w:gridCol w:w="1211"/>
            </w:tblGrid>
            <w:tr w:rsidR="00581BF3" w:rsidRPr="00267BCC" w14:paraId="49640BAF" w14:textId="77777777" w:rsidTr="00581BF3">
              <w:trPr>
                <w:trHeight w:val="227"/>
              </w:trPr>
              <w:tc>
                <w:tcPr>
                  <w:tcW w:w="1657" w:type="pct"/>
                  <w:hideMark/>
                </w:tcPr>
                <w:p w14:paraId="49640BA9" w14:textId="77777777" w:rsidR="00581BF3" w:rsidRPr="00267BCC" w:rsidRDefault="00581BF3" w:rsidP="00267BCC">
                  <w:pPr>
                    <w:rPr>
                      <w:sz w:val="22"/>
                      <w:szCs w:val="22"/>
                      <w:lang w:val="lv-LV"/>
                    </w:rPr>
                  </w:pPr>
                </w:p>
              </w:tc>
              <w:tc>
                <w:tcPr>
                  <w:tcW w:w="669" w:type="pct"/>
                  <w:vAlign w:val="center"/>
                  <w:hideMark/>
                </w:tcPr>
                <w:p w14:paraId="49640BAA" w14:textId="77777777" w:rsidR="00581BF3" w:rsidRPr="00267BCC" w:rsidRDefault="00581BF3" w:rsidP="00267BCC">
                  <w:pPr>
                    <w:jc w:val="center"/>
                    <w:rPr>
                      <w:b/>
                      <w:sz w:val="22"/>
                      <w:szCs w:val="22"/>
                      <w:lang w:val="lv-LV"/>
                    </w:rPr>
                  </w:pPr>
                  <w:r w:rsidRPr="00267BCC">
                    <w:rPr>
                      <w:b/>
                      <w:sz w:val="22"/>
                      <w:szCs w:val="22"/>
                      <w:lang w:val="lv-LV"/>
                    </w:rPr>
                    <w:t>2008</w:t>
                  </w:r>
                </w:p>
              </w:tc>
              <w:tc>
                <w:tcPr>
                  <w:tcW w:w="669" w:type="pct"/>
                  <w:vAlign w:val="center"/>
                  <w:hideMark/>
                </w:tcPr>
                <w:p w14:paraId="49640BAB" w14:textId="77777777" w:rsidR="00581BF3" w:rsidRPr="00267BCC" w:rsidRDefault="00581BF3" w:rsidP="00267BCC">
                  <w:pPr>
                    <w:jc w:val="center"/>
                    <w:rPr>
                      <w:b/>
                      <w:sz w:val="22"/>
                      <w:szCs w:val="22"/>
                      <w:lang w:val="lv-LV"/>
                    </w:rPr>
                  </w:pPr>
                  <w:r w:rsidRPr="00267BCC">
                    <w:rPr>
                      <w:b/>
                      <w:sz w:val="22"/>
                      <w:szCs w:val="22"/>
                      <w:lang w:val="lv-LV"/>
                    </w:rPr>
                    <w:t>2009</w:t>
                  </w:r>
                </w:p>
              </w:tc>
              <w:tc>
                <w:tcPr>
                  <w:tcW w:w="667" w:type="pct"/>
                  <w:vAlign w:val="center"/>
                  <w:hideMark/>
                </w:tcPr>
                <w:p w14:paraId="49640BAC" w14:textId="77777777" w:rsidR="00581BF3" w:rsidRPr="00267BCC" w:rsidRDefault="00581BF3" w:rsidP="00267BCC">
                  <w:pPr>
                    <w:jc w:val="center"/>
                    <w:rPr>
                      <w:b/>
                      <w:sz w:val="22"/>
                      <w:szCs w:val="22"/>
                      <w:lang w:val="lv-LV"/>
                    </w:rPr>
                  </w:pPr>
                  <w:r w:rsidRPr="00267BCC">
                    <w:rPr>
                      <w:b/>
                      <w:sz w:val="22"/>
                      <w:szCs w:val="22"/>
                      <w:lang w:val="lv-LV"/>
                    </w:rPr>
                    <w:t>2010</w:t>
                  </w:r>
                </w:p>
              </w:tc>
              <w:tc>
                <w:tcPr>
                  <w:tcW w:w="669" w:type="pct"/>
                  <w:vAlign w:val="center"/>
                  <w:hideMark/>
                </w:tcPr>
                <w:p w14:paraId="49640BAD" w14:textId="77777777" w:rsidR="00581BF3" w:rsidRPr="00267BCC" w:rsidRDefault="00581BF3" w:rsidP="00267BCC">
                  <w:pPr>
                    <w:jc w:val="center"/>
                    <w:rPr>
                      <w:b/>
                      <w:sz w:val="22"/>
                      <w:szCs w:val="22"/>
                      <w:lang w:val="lv-LV"/>
                    </w:rPr>
                  </w:pPr>
                  <w:r w:rsidRPr="00267BCC">
                    <w:rPr>
                      <w:b/>
                      <w:sz w:val="22"/>
                      <w:szCs w:val="22"/>
                      <w:lang w:val="lv-LV"/>
                    </w:rPr>
                    <w:t>2011</w:t>
                  </w:r>
                </w:p>
              </w:tc>
              <w:tc>
                <w:tcPr>
                  <w:tcW w:w="668" w:type="pct"/>
                  <w:vAlign w:val="center"/>
                </w:tcPr>
                <w:p w14:paraId="49640BAE" w14:textId="77777777" w:rsidR="00581BF3" w:rsidRPr="00267BCC" w:rsidRDefault="00581BF3" w:rsidP="00267BCC">
                  <w:pPr>
                    <w:jc w:val="center"/>
                    <w:rPr>
                      <w:b/>
                      <w:sz w:val="22"/>
                      <w:szCs w:val="22"/>
                      <w:lang w:val="lv-LV"/>
                    </w:rPr>
                  </w:pPr>
                  <w:r w:rsidRPr="00267BCC">
                    <w:rPr>
                      <w:b/>
                      <w:sz w:val="22"/>
                      <w:szCs w:val="22"/>
                      <w:lang w:val="lv-LV"/>
                    </w:rPr>
                    <w:t>2012</w:t>
                  </w:r>
                </w:p>
              </w:tc>
            </w:tr>
            <w:tr w:rsidR="00581BF3" w:rsidRPr="00267BCC" w14:paraId="49640BB6" w14:textId="77777777" w:rsidTr="00581BF3">
              <w:trPr>
                <w:trHeight w:val="253"/>
              </w:trPr>
              <w:tc>
                <w:tcPr>
                  <w:tcW w:w="1657" w:type="pct"/>
                  <w:vAlign w:val="center"/>
                  <w:hideMark/>
                </w:tcPr>
                <w:p w14:paraId="49640BB0" w14:textId="77777777" w:rsidR="00581BF3" w:rsidRPr="00267BCC" w:rsidRDefault="00581BF3" w:rsidP="00267BCC">
                  <w:pPr>
                    <w:rPr>
                      <w:sz w:val="22"/>
                      <w:szCs w:val="22"/>
                      <w:lang w:val="lv-LV"/>
                    </w:rPr>
                  </w:pPr>
                  <w:r w:rsidRPr="00267BCC">
                    <w:rPr>
                      <w:sz w:val="22"/>
                      <w:szCs w:val="22"/>
                      <w:lang w:val="lv-LV"/>
                    </w:rPr>
                    <w:t>Kūrortviesnīcas</w:t>
                  </w:r>
                </w:p>
              </w:tc>
              <w:tc>
                <w:tcPr>
                  <w:tcW w:w="669" w:type="pct"/>
                  <w:vAlign w:val="center"/>
                  <w:hideMark/>
                </w:tcPr>
                <w:p w14:paraId="49640BB1" w14:textId="77777777" w:rsidR="00581BF3" w:rsidRPr="00267BCC" w:rsidRDefault="00581BF3" w:rsidP="00267BCC">
                  <w:pPr>
                    <w:jc w:val="center"/>
                    <w:rPr>
                      <w:sz w:val="22"/>
                      <w:szCs w:val="22"/>
                      <w:lang w:val="lv-LV"/>
                    </w:rPr>
                  </w:pPr>
                  <w:r w:rsidRPr="00267BCC">
                    <w:rPr>
                      <w:sz w:val="22"/>
                      <w:szCs w:val="22"/>
                      <w:lang w:val="lv-LV"/>
                    </w:rPr>
                    <w:t>6</w:t>
                  </w:r>
                </w:p>
              </w:tc>
              <w:tc>
                <w:tcPr>
                  <w:tcW w:w="669" w:type="pct"/>
                  <w:vAlign w:val="center"/>
                  <w:hideMark/>
                </w:tcPr>
                <w:p w14:paraId="49640BB2" w14:textId="77777777" w:rsidR="00581BF3" w:rsidRPr="00267BCC" w:rsidRDefault="00581BF3" w:rsidP="00267BCC">
                  <w:pPr>
                    <w:jc w:val="center"/>
                    <w:rPr>
                      <w:sz w:val="22"/>
                      <w:szCs w:val="22"/>
                      <w:lang w:val="lv-LV"/>
                    </w:rPr>
                  </w:pPr>
                  <w:r w:rsidRPr="00267BCC">
                    <w:rPr>
                      <w:sz w:val="22"/>
                      <w:szCs w:val="22"/>
                      <w:lang w:val="lv-LV"/>
                    </w:rPr>
                    <w:t>8</w:t>
                  </w:r>
                </w:p>
              </w:tc>
              <w:tc>
                <w:tcPr>
                  <w:tcW w:w="667" w:type="pct"/>
                  <w:vAlign w:val="center"/>
                  <w:hideMark/>
                </w:tcPr>
                <w:p w14:paraId="49640BB3" w14:textId="77777777" w:rsidR="00581BF3" w:rsidRPr="00267BCC" w:rsidRDefault="00581BF3" w:rsidP="00267BCC">
                  <w:pPr>
                    <w:jc w:val="center"/>
                    <w:rPr>
                      <w:sz w:val="22"/>
                      <w:szCs w:val="22"/>
                      <w:lang w:val="lv-LV"/>
                    </w:rPr>
                  </w:pPr>
                  <w:r w:rsidRPr="00267BCC">
                    <w:rPr>
                      <w:sz w:val="22"/>
                      <w:szCs w:val="22"/>
                      <w:lang w:val="lv-LV"/>
                    </w:rPr>
                    <w:t>9</w:t>
                  </w:r>
                </w:p>
              </w:tc>
              <w:tc>
                <w:tcPr>
                  <w:tcW w:w="669" w:type="pct"/>
                  <w:vAlign w:val="center"/>
                  <w:hideMark/>
                </w:tcPr>
                <w:p w14:paraId="49640BB4" w14:textId="77777777" w:rsidR="00581BF3" w:rsidRPr="00267BCC" w:rsidRDefault="00581BF3" w:rsidP="00267BCC">
                  <w:pPr>
                    <w:jc w:val="center"/>
                    <w:rPr>
                      <w:sz w:val="22"/>
                      <w:szCs w:val="22"/>
                      <w:lang w:val="lv-LV"/>
                    </w:rPr>
                  </w:pPr>
                  <w:r w:rsidRPr="00267BCC">
                    <w:rPr>
                      <w:sz w:val="22"/>
                      <w:szCs w:val="22"/>
                      <w:lang w:val="lv-LV"/>
                    </w:rPr>
                    <w:t>7</w:t>
                  </w:r>
                </w:p>
              </w:tc>
              <w:tc>
                <w:tcPr>
                  <w:tcW w:w="668" w:type="pct"/>
                  <w:vAlign w:val="center"/>
                </w:tcPr>
                <w:p w14:paraId="49640BB5" w14:textId="77777777" w:rsidR="00581BF3" w:rsidRPr="00267BCC" w:rsidRDefault="00581BF3" w:rsidP="00267BCC">
                  <w:pPr>
                    <w:jc w:val="center"/>
                    <w:rPr>
                      <w:sz w:val="22"/>
                      <w:szCs w:val="22"/>
                      <w:lang w:val="lv-LV"/>
                    </w:rPr>
                  </w:pPr>
                  <w:r w:rsidRPr="00267BCC">
                    <w:rPr>
                      <w:sz w:val="22"/>
                      <w:szCs w:val="22"/>
                      <w:lang w:val="lv-LV"/>
                    </w:rPr>
                    <w:t>7</w:t>
                  </w:r>
                </w:p>
              </w:tc>
            </w:tr>
            <w:tr w:rsidR="00581BF3" w:rsidRPr="00267BCC" w14:paraId="49640BBD" w14:textId="77777777" w:rsidTr="00581BF3">
              <w:trPr>
                <w:trHeight w:val="243"/>
              </w:trPr>
              <w:tc>
                <w:tcPr>
                  <w:tcW w:w="1657" w:type="pct"/>
                  <w:vAlign w:val="center"/>
                  <w:hideMark/>
                </w:tcPr>
                <w:p w14:paraId="49640BB7" w14:textId="77777777" w:rsidR="00581BF3" w:rsidRPr="00267BCC" w:rsidRDefault="00581BF3" w:rsidP="00267BCC">
                  <w:pPr>
                    <w:rPr>
                      <w:sz w:val="22"/>
                      <w:szCs w:val="22"/>
                      <w:lang w:val="lv-LV"/>
                    </w:rPr>
                  </w:pPr>
                  <w:r w:rsidRPr="00267BCC">
                    <w:rPr>
                      <w:sz w:val="22"/>
                      <w:szCs w:val="22"/>
                      <w:lang w:val="lv-LV"/>
                    </w:rPr>
                    <w:t>Rehabilitācijas centri</w:t>
                  </w:r>
                </w:p>
              </w:tc>
              <w:tc>
                <w:tcPr>
                  <w:tcW w:w="669" w:type="pct"/>
                  <w:vAlign w:val="center"/>
                  <w:hideMark/>
                </w:tcPr>
                <w:p w14:paraId="49640BB8" w14:textId="77777777" w:rsidR="00581BF3" w:rsidRPr="00267BCC" w:rsidRDefault="00581BF3" w:rsidP="00267BCC">
                  <w:pPr>
                    <w:jc w:val="center"/>
                    <w:rPr>
                      <w:sz w:val="22"/>
                      <w:szCs w:val="22"/>
                      <w:lang w:val="lv-LV"/>
                    </w:rPr>
                  </w:pPr>
                  <w:r w:rsidRPr="00267BCC">
                    <w:rPr>
                      <w:sz w:val="22"/>
                      <w:szCs w:val="22"/>
                      <w:lang w:val="lv-LV"/>
                    </w:rPr>
                    <w:t>5</w:t>
                  </w:r>
                </w:p>
              </w:tc>
              <w:tc>
                <w:tcPr>
                  <w:tcW w:w="669" w:type="pct"/>
                  <w:vAlign w:val="center"/>
                  <w:hideMark/>
                </w:tcPr>
                <w:p w14:paraId="49640BB9" w14:textId="77777777" w:rsidR="00581BF3" w:rsidRPr="00267BCC" w:rsidRDefault="00581BF3" w:rsidP="00267BCC">
                  <w:pPr>
                    <w:jc w:val="center"/>
                    <w:rPr>
                      <w:sz w:val="22"/>
                      <w:szCs w:val="22"/>
                      <w:lang w:val="lv-LV"/>
                    </w:rPr>
                  </w:pPr>
                  <w:r w:rsidRPr="00267BCC">
                    <w:rPr>
                      <w:sz w:val="22"/>
                      <w:szCs w:val="22"/>
                      <w:lang w:val="lv-LV"/>
                    </w:rPr>
                    <w:t>6</w:t>
                  </w:r>
                </w:p>
              </w:tc>
              <w:tc>
                <w:tcPr>
                  <w:tcW w:w="667" w:type="pct"/>
                  <w:vAlign w:val="center"/>
                  <w:hideMark/>
                </w:tcPr>
                <w:p w14:paraId="49640BBA" w14:textId="77777777" w:rsidR="00581BF3" w:rsidRPr="00267BCC" w:rsidRDefault="00581BF3" w:rsidP="00267BCC">
                  <w:pPr>
                    <w:jc w:val="center"/>
                    <w:rPr>
                      <w:sz w:val="22"/>
                      <w:szCs w:val="22"/>
                      <w:lang w:val="lv-LV"/>
                    </w:rPr>
                  </w:pPr>
                  <w:r w:rsidRPr="00267BCC">
                    <w:rPr>
                      <w:sz w:val="22"/>
                      <w:szCs w:val="22"/>
                      <w:lang w:val="lv-LV"/>
                    </w:rPr>
                    <w:t>7</w:t>
                  </w:r>
                </w:p>
              </w:tc>
              <w:tc>
                <w:tcPr>
                  <w:tcW w:w="669" w:type="pct"/>
                  <w:vAlign w:val="center"/>
                  <w:hideMark/>
                </w:tcPr>
                <w:p w14:paraId="49640BBB" w14:textId="77777777" w:rsidR="00581BF3" w:rsidRPr="00267BCC" w:rsidRDefault="00581BF3" w:rsidP="00267BCC">
                  <w:pPr>
                    <w:jc w:val="center"/>
                    <w:rPr>
                      <w:sz w:val="22"/>
                      <w:szCs w:val="22"/>
                      <w:lang w:val="lv-LV"/>
                    </w:rPr>
                  </w:pPr>
                  <w:r w:rsidRPr="00267BCC">
                    <w:rPr>
                      <w:sz w:val="22"/>
                      <w:szCs w:val="22"/>
                      <w:lang w:val="lv-LV"/>
                    </w:rPr>
                    <w:t>8</w:t>
                  </w:r>
                </w:p>
              </w:tc>
              <w:tc>
                <w:tcPr>
                  <w:tcW w:w="668" w:type="pct"/>
                  <w:vAlign w:val="center"/>
                </w:tcPr>
                <w:p w14:paraId="49640BBC" w14:textId="77777777" w:rsidR="00581BF3" w:rsidRPr="00267BCC" w:rsidRDefault="00581BF3" w:rsidP="00267BCC">
                  <w:pPr>
                    <w:jc w:val="center"/>
                    <w:rPr>
                      <w:sz w:val="22"/>
                      <w:szCs w:val="22"/>
                      <w:lang w:val="lv-LV"/>
                    </w:rPr>
                  </w:pPr>
                  <w:r w:rsidRPr="00267BCC">
                    <w:rPr>
                      <w:sz w:val="22"/>
                      <w:szCs w:val="22"/>
                      <w:lang w:val="lv-LV"/>
                    </w:rPr>
                    <w:t>8</w:t>
                  </w:r>
                </w:p>
              </w:tc>
            </w:tr>
            <w:tr w:rsidR="00581BF3" w:rsidRPr="00267BCC" w14:paraId="49640BC4" w14:textId="77777777" w:rsidTr="00581BF3">
              <w:trPr>
                <w:trHeight w:val="555"/>
              </w:trPr>
              <w:tc>
                <w:tcPr>
                  <w:tcW w:w="1657" w:type="pct"/>
                  <w:vAlign w:val="center"/>
                  <w:hideMark/>
                </w:tcPr>
                <w:p w14:paraId="49640BBE" w14:textId="77777777" w:rsidR="00581BF3" w:rsidRPr="00267BCC" w:rsidRDefault="00581BF3" w:rsidP="00267BCC">
                  <w:pPr>
                    <w:rPr>
                      <w:sz w:val="22"/>
                      <w:szCs w:val="22"/>
                      <w:lang w:val="lv-LV"/>
                    </w:rPr>
                  </w:pPr>
                  <w:r w:rsidRPr="00267BCC">
                    <w:rPr>
                      <w:sz w:val="22"/>
                      <w:szCs w:val="22"/>
                      <w:lang w:val="lv-LV"/>
                    </w:rPr>
                    <w:t xml:space="preserve">Numuru skaits kūrortviesnīcās </w:t>
                  </w:r>
                </w:p>
              </w:tc>
              <w:tc>
                <w:tcPr>
                  <w:tcW w:w="669" w:type="pct"/>
                  <w:vAlign w:val="center"/>
                  <w:hideMark/>
                </w:tcPr>
                <w:p w14:paraId="49640BBF" w14:textId="77777777" w:rsidR="00581BF3" w:rsidRPr="00267BCC" w:rsidRDefault="00581BF3" w:rsidP="00267BCC">
                  <w:pPr>
                    <w:jc w:val="center"/>
                    <w:rPr>
                      <w:sz w:val="22"/>
                      <w:szCs w:val="22"/>
                      <w:lang w:val="lv-LV"/>
                    </w:rPr>
                  </w:pPr>
                  <w:r w:rsidRPr="00267BCC">
                    <w:rPr>
                      <w:sz w:val="22"/>
                      <w:szCs w:val="22"/>
                      <w:lang w:val="lv-LV"/>
                    </w:rPr>
                    <w:t>370</w:t>
                  </w:r>
                </w:p>
              </w:tc>
              <w:tc>
                <w:tcPr>
                  <w:tcW w:w="669" w:type="pct"/>
                  <w:vAlign w:val="center"/>
                  <w:hideMark/>
                </w:tcPr>
                <w:p w14:paraId="49640BC0" w14:textId="77777777" w:rsidR="00581BF3" w:rsidRPr="00267BCC" w:rsidRDefault="00581BF3" w:rsidP="00267BCC">
                  <w:pPr>
                    <w:jc w:val="center"/>
                    <w:rPr>
                      <w:sz w:val="22"/>
                      <w:szCs w:val="22"/>
                      <w:lang w:val="lv-LV"/>
                    </w:rPr>
                  </w:pPr>
                  <w:r w:rsidRPr="00267BCC">
                    <w:rPr>
                      <w:sz w:val="22"/>
                      <w:szCs w:val="22"/>
                      <w:lang w:val="lv-LV"/>
                    </w:rPr>
                    <w:t>573</w:t>
                  </w:r>
                </w:p>
              </w:tc>
              <w:tc>
                <w:tcPr>
                  <w:tcW w:w="667" w:type="pct"/>
                  <w:vAlign w:val="center"/>
                  <w:hideMark/>
                </w:tcPr>
                <w:p w14:paraId="49640BC1" w14:textId="77777777" w:rsidR="00581BF3" w:rsidRPr="00267BCC" w:rsidRDefault="00581BF3" w:rsidP="00267BCC">
                  <w:pPr>
                    <w:jc w:val="center"/>
                    <w:rPr>
                      <w:sz w:val="22"/>
                      <w:szCs w:val="22"/>
                      <w:lang w:val="lv-LV"/>
                    </w:rPr>
                  </w:pPr>
                  <w:r w:rsidRPr="00267BCC">
                    <w:rPr>
                      <w:sz w:val="22"/>
                      <w:szCs w:val="22"/>
                      <w:lang w:val="lv-LV"/>
                    </w:rPr>
                    <w:t>609</w:t>
                  </w:r>
                </w:p>
              </w:tc>
              <w:tc>
                <w:tcPr>
                  <w:tcW w:w="669" w:type="pct"/>
                  <w:vAlign w:val="center"/>
                  <w:hideMark/>
                </w:tcPr>
                <w:p w14:paraId="49640BC2" w14:textId="77777777" w:rsidR="00581BF3" w:rsidRPr="00267BCC" w:rsidRDefault="00581BF3" w:rsidP="00267BCC">
                  <w:pPr>
                    <w:jc w:val="center"/>
                    <w:rPr>
                      <w:sz w:val="22"/>
                      <w:szCs w:val="22"/>
                      <w:lang w:val="lv-LV"/>
                    </w:rPr>
                  </w:pPr>
                  <w:r w:rsidRPr="00267BCC">
                    <w:rPr>
                      <w:sz w:val="22"/>
                      <w:szCs w:val="22"/>
                      <w:lang w:val="lv-LV"/>
                    </w:rPr>
                    <w:t>553</w:t>
                  </w:r>
                </w:p>
              </w:tc>
              <w:tc>
                <w:tcPr>
                  <w:tcW w:w="668" w:type="pct"/>
                  <w:vAlign w:val="center"/>
                </w:tcPr>
                <w:p w14:paraId="49640BC3" w14:textId="77777777" w:rsidR="00581BF3" w:rsidRPr="00267BCC" w:rsidRDefault="00581BF3" w:rsidP="00267BCC">
                  <w:pPr>
                    <w:jc w:val="center"/>
                    <w:rPr>
                      <w:sz w:val="22"/>
                      <w:szCs w:val="22"/>
                      <w:lang w:val="lv-LV"/>
                    </w:rPr>
                  </w:pPr>
                  <w:r w:rsidRPr="00267BCC">
                    <w:rPr>
                      <w:sz w:val="22"/>
                      <w:szCs w:val="22"/>
                      <w:lang w:val="lv-LV"/>
                    </w:rPr>
                    <w:t>556</w:t>
                  </w:r>
                </w:p>
              </w:tc>
            </w:tr>
            <w:tr w:rsidR="00581BF3" w:rsidRPr="00267BCC" w14:paraId="49640BCB" w14:textId="77777777" w:rsidTr="00581BF3">
              <w:trPr>
                <w:trHeight w:val="555"/>
              </w:trPr>
              <w:tc>
                <w:tcPr>
                  <w:tcW w:w="1657" w:type="pct"/>
                  <w:vAlign w:val="center"/>
                  <w:hideMark/>
                </w:tcPr>
                <w:p w14:paraId="49640BC5" w14:textId="77777777" w:rsidR="00581BF3" w:rsidRPr="00267BCC" w:rsidRDefault="00581BF3" w:rsidP="00267BCC">
                  <w:pPr>
                    <w:rPr>
                      <w:sz w:val="22"/>
                      <w:szCs w:val="22"/>
                      <w:lang w:val="lv-LV"/>
                    </w:rPr>
                  </w:pPr>
                  <w:r w:rsidRPr="00267BCC">
                    <w:rPr>
                      <w:sz w:val="22"/>
                      <w:szCs w:val="22"/>
                      <w:lang w:val="lv-LV"/>
                    </w:rPr>
                    <w:t>Numuru skaits rehabilitācijas centros</w:t>
                  </w:r>
                </w:p>
              </w:tc>
              <w:tc>
                <w:tcPr>
                  <w:tcW w:w="669" w:type="pct"/>
                  <w:vAlign w:val="center"/>
                  <w:hideMark/>
                </w:tcPr>
                <w:p w14:paraId="49640BC6" w14:textId="77777777" w:rsidR="00581BF3" w:rsidRPr="00267BCC" w:rsidRDefault="00581BF3" w:rsidP="00267BCC">
                  <w:pPr>
                    <w:jc w:val="center"/>
                    <w:rPr>
                      <w:sz w:val="22"/>
                      <w:szCs w:val="22"/>
                      <w:lang w:val="lv-LV"/>
                    </w:rPr>
                  </w:pPr>
                  <w:r w:rsidRPr="00267BCC">
                    <w:rPr>
                      <w:sz w:val="22"/>
                      <w:szCs w:val="22"/>
                      <w:lang w:val="lv-LV"/>
                    </w:rPr>
                    <w:t>468</w:t>
                  </w:r>
                </w:p>
              </w:tc>
              <w:tc>
                <w:tcPr>
                  <w:tcW w:w="669" w:type="pct"/>
                  <w:vAlign w:val="center"/>
                  <w:hideMark/>
                </w:tcPr>
                <w:p w14:paraId="49640BC7" w14:textId="77777777" w:rsidR="00581BF3" w:rsidRPr="00267BCC" w:rsidRDefault="00581BF3" w:rsidP="00267BCC">
                  <w:pPr>
                    <w:jc w:val="center"/>
                    <w:rPr>
                      <w:sz w:val="22"/>
                      <w:szCs w:val="22"/>
                      <w:lang w:val="lv-LV"/>
                    </w:rPr>
                  </w:pPr>
                  <w:r w:rsidRPr="00267BCC">
                    <w:rPr>
                      <w:sz w:val="22"/>
                      <w:szCs w:val="22"/>
                      <w:lang w:val="lv-LV"/>
                    </w:rPr>
                    <w:t>683</w:t>
                  </w:r>
                </w:p>
              </w:tc>
              <w:tc>
                <w:tcPr>
                  <w:tcW w:w="667" w:type="pct"/>
                  <w:vAlign w:val="center"/>
                  <w:hideMark/>
                </w:tcPr>
                <w:p w14:paraId="49640BC8" w14:textId="77777777" w:rsidR="00581BF3" w:rsidRPr="00267BCC" w:rsidRDefault="00581BF3" w:rsidP="00267BCC">
                  <w:pPr>
                    <w:jc w:val="center"/>
                    <w:rPr>
                      <w:sz w:val="22"/>
                      <w:szCs w:val="22"/>
                      <w:lang w:val="lv-LV"/>
                    </w:rPr>
                  </w:pPr>
                  <w:r w:rsidRPr="00267BCC">
                    <w:rPr>
                      <w:sz w:val="22"/>
                      <w:szCs w:val="22"/>
                      <w:lang w:val="lv-LV"/>
                    </w:rPr>
                    <w:t>702</w:t>
                  </w:r>
                </w:p>
              </w:tc>
              <w:tc>
                <w:tcPr>
                  <w:tcW w:w="669" w:type="pct"/>
                  <w:vAlign w:val="center"/>
                  <w:hideMark/>
                </w:tcPr>
                <w:p w14:paraId="49640BC9" w14:textId="77777777" w:rsidR="00581BF3" w:rsidRPr="00267BCC" w:rsidRDefault="00581BF3" w:rsidP="00267BCC">
                  <w:pPr>
                    <w:jc w:val="center"/>
                    <w:rPr>
                      <w:sz w:val="22"/>
                      <w:szCs w:val="22"/>
                      <w:lang w:val="lv-LV"/>
                    </w:rPr>
                  </w:pPr>
                  <w:r w:rsidRPr="00267BCC">
                    <w:rPr>
                      <w:sz w:val="22"/>
                      <w:szCs w:val="22"/>
                      <w:lang w:val="lv-LV"/>
                    </w:rPr>
                    <w:t>740</w:t>
                  </w:r>
                </w:p>
              </w:tc>
              <w:tc>
                <w:tcPr>
                  <w:tcW w:w="668" w:type="pct"/>
                  <w:vAlign w:val="center"/>
                </w:tcPr>
                <w:p w14:paraId="49640BCA" w14:textId="77777777" w:rsidR="00581BF3" w:rsidRPr="00267BCC" w:rsidRDefault="00581BF3" w:rsidP="00267BCC">
                  <w:pPr>
                    <w:jc w:val="center"/>
                    <w:rPr>
                      <w:sz w:val="22"/>
                      <w:szCs w:val="22"/>
                      <w:lang w:val="lv-LV"/>
                    </w:rPr>
                  </w:pPr>
                  <w:r w:rsidRPr="00267BCC">
                    <w:rPr>
                      <w:sz w:val="22"/>
                      <w:szCs w:val="22"/>
                      <w:lang w:val="lv-LV"/>
                    </w:rPr>
                    <w:t>720</w:t>
                  </w:r>
                </w:p>
              </w:tc>
            </w:tr>
            <w:tr w:rsidR="00581BF3" w:rsidRPr="00267BCC" w14:paraId="49640BD2" w14:textId="77777777" w:rsidTr="00581BF3">
              <w:trPr>
                <w:trHeight w:val="555"/>
              </w:trPr>
              <w:tc>
                <w:tcPr>
                  <w:tcW w:w="1657" w:type="pct"/>
                  <w:vAlign w:val="center"/>
                  <w:hideMark/>
                </w:tcPr>
                <w:p w14:paraId="49640BCC" w14:textId="77777777" w:rsidR="00581BF3" w:rsidRPr="00267BCC" w:rsidRDefault="00581BF3" w:rsidP="00267BCC">
                  <w:pPr>
                    <w:rPr>
                      <w:sz w:val="22"/>
                      <w:szCs w:val="22"/>
                      <w:lang w:val="lv-LV"/>
                    </w:rPr>
                  </w:pPr>
                  <w:r w:rsidRPr="00267BCC">
                    <w:rPr>
                      <w:sz w:val="22"/>
                      <w:szCs w:val="22"/>
                      <w:lang w:val="lv-LV"/>
                    </w:rPr>
                    <w:t xml:space="preserve">Kūrortviesnīcās apkalpoto personu skaits </w:t>
                  </w:r>
                </w:p>
              </w:tc>
              <w:tc>
                <w:tcPr>
                  <w:tcW w:w="669" w:type="pct"/>
                  <w:vAlign w:val="center"/>
                  <w:hideMark/>
                </w:tcPr>
                <w:p w14:paraId="49640BCD" w14:textId="77777777" w:rsidR="00581BF3" w:rsidRPr="00267BCC" w:rsidRDefault="00581BF3" w:rsidP="00267BCC">
                  <w:pPr>
                    <w:jc w:val="center"/>
                    <w:rPr>
                      <w:sz w:val="22"/>
                      <w:szCs w:val="22"/>
                      <w:lang w:val="lv-LV"/>
                    </w:rPr>
                  </w:pPr>
                  <w:r w:rsidRPr="00267BCC">
                    <w:rPr>
                      <w:sz w:val="22"/>
                      <w:szCs w:val="22"/>
                      <w:lang w:val="lv-LV"/>
                    </w:rPr>
                    <w:t>42 703</w:t>
                  </w:r>
                </w:p>
              </w:tc>
              <w:tc>
                <w:tcPr>
                  <w:tcW w:w="669" w:type="pct"/>
                  <w:vAlign w:val="center"/>
                  <w:hideMark/>
                </w:tcPr>
                <w:p w14:paraId="49640BCE" w14:textId="77777777" w:rsidR="00581BF3" w:rsidRPr="00267BCC" w:rsidRDefault="00581BF3" w:rsidP="00267BCC">
                  <w:pPr>
                    <w:jc w:val="center"/>
                    <w:rPr>
                      <w:sz w:val="22"/>
                      <w:szCs w:val="22"/>
                      <w:lang w:val="lv-LV"/>
                    </w:rPr>
                  </w:pPr>
                  <w:r w:rsidRPr="00267BCC">
                    <w:rPr>
                      <w:sz w:val="22"/>
                      <w:szCs w:val="22"/>
                      <w:lang w:val="lv-LV"/>
                    </w:rPr>
                    <w:t>47 179</w:t>
                  </w:r>
                </w:p>
              </w:tc>
              <w:tc>
                <w:tcPr>
                  <w:tcW w:w="667" w:type="pct"/>
                  <w:vAlign w:val="center"/>
                  <w:hideMark/>
                </w:tcPr>
                <w:p w14:paraId="49640BCF" w14:textId="77777777" w:rsidR="00581BF3" w:rsidRPr="00267BCC" w:rsidRDefault="00581BF3" w:rsidP="00267BCC">
                  <w:pPr>
                    <w:jc w:val="center"/>
                    <w:rPr>
                      <w:sz w:val="22"/>
                      <w:szCs w:val="22"/>
                      <w:lang w:val="lv-LV"/>
                    </w:rPr>
                  </w:pPr>
                  <w:r w:rsidRPr="00267BCC">
                    <w:rPr>
                      <w:sz w:val="22"/>
                      <w:szCs w:val="22"/>
                      <w:lang w:val="lv-LV"/>
                    </w:rPr>
                    <w:t>63 854</w:t>
                  </w:r>
                </w:p>
              </w:tc>
              <w:tc>
                <w:tcPr>
                  <w:tcW w:w="669" w:type="pct"/>
                  <w:vAlign w:val="center"/>
                  <w:hideMark/>
                </w:tcPr>
                <w:p w14:paraId="49640BD0" w14:textId="77777777" w:rsidR="00581BF3" w:rsidRPr="00267BCC" w:rsidRDefault="00581BF3" w:rsidP="00267BCC">
                  <w:pPr>
                    <w:jc w:val="center"/>
                    <w:rPr>
                      <w:sz w:val="22"/>
                      <w:szCs w:val="22"/>
                      <w:lang w:val="lv-LV"/>
                    </w:rPr>
                  </w:pPr>
                  <w:r w:rsidRPr="00267BCC">
                    <w:rPr>
                      <w:sz w:val="22"/>
                      <w:szCs w:val="22"/>
                      <w:lang w:val="lv-LV"/>
                    </w:rPr>
                    <w:t>63 454</w:t>
                  </w:r>
                </w:p>
              </w:tc>
              <w:tc>
                <w:tcPr>
                  <w:tcW w:w="668" w:type="pct"/>
                  <w:vAlign w:val="center"/>
                </w:tcPr>
                <w:p w14:paraId="49640BD1" w14:textId="77777777" w:rsidR="00581BF3" w:rsidRPr="00267BCC" w:rsidRDefault="00581BF3" w:rsidP="00267BCC">
                  <w:pPr>
                    <w:jc w:val="center"/>
                    <w:rPr>
                      <w:sz w:val="22"/>
                      <w:szCs w:val="22"/>
                      <w:lang w:val="lv-LV"/>
                    </w:rPr>
                  </w:pPr>
                  <w:r w:rsidRPr="00267BCC">
                    <w:rPr>
                      <w:sz w:val="22"/>
                      <w:szCs w:val="22"/>
                      <w:lang w:val="lv-LV"/>
                    </w:rPr>
                    <w:t>70 645</w:t>
                  </w:r>
                </w:p>
              </w:tc>
            </w:tr>
            <w:tr w:rsidR="00581BF3" w:rsidRPr="00267BCC" w14:paraId="49640BD9" w14:textId="77777777" w:rsidTr="00581BF3">
              <w:trPr>
                <w:trHeight w:val="555"/>
              </w:trPr>
              <w:tc>
                <w:tcPr>
                  <w:tcW w:w="1657" w:type="pct"/>
                  <w:vAlign w:val="center"/>
                </w:tcPr>
                <w:p w14:paraId="49640BD3" w14:textId="77777777" w:rsidR="00581BF3" w:rsidRPr="00267BCC" w:rsidRDefault="00581BF3" w:rsidP="00267BCC">
                  <w:pPr>
                    <w:rPr>
                      <w:sz w:val="22"/>
                      <w:szCs w:val="22"/>
                      <w:lang w:val="lv-LV"/>
                    </w:rPr>
                  </w:pPr>
                  <w:r w:rsidRPr="00267BCC">
                    <w:rPr>
                      <w:sz w:val="22"/>
                      <w:szCs w:val="22"/>
                      <w:lang w:val="lv-LV"/>
                    </w:rPr>
                    <w:t>Rehabilitācijas centros apkalpoto personu skaits</w:t>
                  </w:r>
                </w:p>
              </w:tc>
              <w:tc>
                <w:tcPr>
                  <w:tcW w:w="669" w:type="pct"/>
                  <w:vAlign w:val="center"/>
                </w:tcPr>
                <w:p w14:paraId="49640BD4" w14:textId="77777777" w:rsidR="00581BF3" w:rsidRPr="00267BCC" w:rsidRDefault="00581BF3" w:rsidP="00267BCC">
                  <w:pPr>
                    <w:jc w:val="center"/>
                    <w:rPr>
                      <w:sz w:val="22"/>
                      <w:szCs w:val="22"/>
                      <w:lang w:val="lv-LV"/>
                    </w:rPr>
                  </w:pPr>
                  <w:r w:rsidRPr="00267BCC">
                    <w:rPr>
                      <w:sz w:val="22"/>
                      <w:szCs w:val="22"/>
                      <w:lang w:val="lv-LV"/>
                    </w:rPr>
                    <w:t>11 026</w:t>
                  </w:r>
                </w:p>
              </w:tc>
              <w:tc>
                <w:tcPr>
                  <w:tcW w:w="669" w:type="pct"/>
                  <w:vAlign w:val="center"/>
                </w:tcPr>
                <w:p w14:paraId="49640BD5" w14:textId="77777777" w:rsidR="00581BF3" w:rsidRPr="00267BCC" w:rsidRDefault="00581BF3" w:rsidP="00267BCC">
                  <w:pPr>
                    <w:jc w:val="center"/>
                    <w:rPr>
                      <w:sz w:val="22"/>
                      <w:szCs w:val="22"/>
                      <w:lang w:val="lv-LV"/>
                    </w:rPr>
                  </w:pPr>
                  <w:r w:rsidRPr="00267BCC">
                    <w:rPr>
                      <w:sz w:val="22"/>
                      <w:szCs w:val="22"/>
                      <w:lang w:val="lv-LV"/>
                    </w:rPr>
                    <w:t>14 702</w:t>
                  </w:r>
                </w:p>
              </w:tc>
              <w:tc>
                <w:tcPr>
                  <w:tcW w:w="667" w:type="pct"/>
                  <w:vAlign w:val="center"/>
                </w:tcPr>
                <w:p w14:paraId="49640BD6" w14:textId="77777777" w:rsidR="00581BF3" w:rsidRPr="00267BCC" w:rsidRDefault="00581BF3" w:rsidP="00267BCC">
                  <w:pPr>
                    <w:jc w:val="center"/>
                    <w:rPr>
                      <w:sz w:val="22"/>
                      <w:szCs w:val="22"/>
                      <w:lang w:val="lv-LV"/>
                    </w:rPr>
                  </w:pPr>
                  <w:r w:rsidRPr="00267BCC">
                    <w:rPr>
                      <w:sz w:val="22"/>
                      <w:szCs w:val="22"/>
                      <w:lang w:val="lv-LV"/>
                    </w:rPr>
                    <w:t>16 884</w:t>
                  </w:r>
                </w:p>
              </w:tc>
              <w:tc>
                <w:tcPr>
                  <w:tcW w:w="669" w:type="pct"/>
                  <w:vAlign w:val="center"/>
                </w:tcPr>
                <w:p w14:paraId="49640BD7" w14:textId="77777777" w:rsidR="00581BF3" w:rsidRPr="00267BCC" w:rsidRDefault="00581BF3" w:rsidP="00267BCC">
                  <w:pPr>
                    <w:jc w:val="center"/>
                    <w:rPr>
                      <w:sz w:val="22"/>
                      <w:szCs w:val="22"/>
                      <w:lang w:val="lv-LV"/>
                    </w:rPr>
                  </w:pPr>
                  <w:r w:rsidRPr="00267BCC">
                    <w:rPr>
                      <w:sz w:val="22"/>
                      <w:szCs w:val="22"/>
                      <w:lang w:val="lv-LV"/>
                    </w:rPr>
                    <w:t>16 875</w:t>
                  </w:r>
                </w:p>
              </w:tc>
              <w:tc>
                <w:tcPr>
                  <w:tcW w:w="668" w:type="pct"/>
                  <w:vAlign w:val="center"/>
                </w:tcPr>
                <w:p w14:paraId="49640BD8" w14:textId="77777777" w:rsidR="00581BF3" w:rsidRPr="00267BCC" w:rsidRDefault="00581BF3" w:rsidP="00267BCC">
                  <w:pPr>
                    <w:jc w:val="center"/>
                    <w:rPr>
                      <w:sz w:val="22"/>
                      <w:szCs w:val="22"/>
                      <w:lang w:val="lv-LV"/>
                    </w:rPr>
                  </w:pPr>
                  <w:r w:rsidRPr="00267BCC">
                    <w:rPr>
                      <w:sz w:val="22"/>
                      <w:szCs w:val="22"/>
                      <w:lang w:val="lv-LV"/>
                    </w:rPr>
                    <w:t>20 226</w:t>
                  </w:r>
                </w:p>
              </w:tc>
            </w:tr>
          </w:tbl>
          <w:p w14:paraId="49640BDA" w14:textId="77777777" w:rsidR="00867766" w:rsidRPr="00267BCC" w:rsidRDefault="00867766" w:rsidP="00267BCC">
            <w:pPr>
              <w:rPr>
                <w:sz w:val="20"/>
                <w:szCs w:val="20"/>
                <w:lang w:val="lv-LV"/>
              </w:rPr>
            </w:pPr>
            <w:r w:rsidRPr="00267BCC">
              <w:rPr>
                <w:sz w:val="20"/>
                <w:szCs w:val="20"/>
                <w:lang w:val="lv-LV"/>
              </w:rPr>
              <w:t>Datu avots: CSP</w:t>
            </w:r>
          </w:p>
          <w:p w14:paraId="49640BDB" w14:textId="77777777" w:rsidR="00F05090" w:rsidRPr="00267BCC" w:rsidRDefault="00F05090" w:rsidP="00267BCC">
            <w:pPr>
              <w:rPr>
                <w:lang w:val="lv-LV"/>
              </w:rPr>
            </w:pPr>
          </w:p>
          <w:p w14:paraId="49640BDC" w14:textId="77777777" w:rsidR="00F05090" w:rsidRPr="005C766A" w:rsidRDefault="00F05090" w:rsidP="00267BCC">
            <w:pPr>
              <w:numPr>
                <w:ilvl w:val="0"/>
                <w:numId w:val="17"/>
              </w:numPr>
              <w:ind w:left="284" w:hanging="284"/>
              <w:jc w:val="both"/>
              <w:rPr>
                <w:rFonts w:eastAsia="Calibri"/>
                <w:lang w:val="lv-LV" w:eastAsia="en-US"/>
              </w:rPr>
            </w:pPr>
            <w:r w:rsidRPr="005C766A">
              <w:rPr>
                <w:rFonts w:eastAsia="Calibri"/>
                <w:lang w:val="lv-LV" w:eastAsia="en-US"/>
              </w:rPr>
              <w:t>Veselības tūris</w:t>
            </w:r>
            <w:r w:rsidR="00A14B7D" w:rsidRPr="005C766A">
              <w:rPr>
                <w:rFonts w:eastAsia="Calibri"/>
                <w:lang w:val="lv-LV" w:eastAsia="en-US"/>
              </w:rPr>
              <w:t>ma nozarē 2012.gadā pret 2008.gadu ir pieaugusi gan kopējā nozares kapacitāte jeb numuru skaits kūrortviesnīcās un rehabilitācijas centros (+52%), gan šajās iestādēs apkalpoto personu skaits (+69%).</w:t>
            </w:r>
          </w:p>
          <w:p w14:paraId="49640BDD" w14:textId="77777777" w:rsidR="00E65A55" w:rsidRPr="00267BCC" w:rsidRDefault="00E65A55" w:rsidP="00267BCC">
            <w:pPr>
              <w:ind w:left="284"/>
              <w:jc w:val="both"/>
              <w:rPr>
                <w:rFonts w:eastAsia="Calibri"/>
                <w:lang w:val="lv-LV" w:eastAsia="en-US"/>
              </w:rPr>
            </w:pPr>
          </w:p>
          <w:p w14:paraId="49640BDE" w14:textId="77777777" w:rsidR="00867766" w:rsidRPr="00267BCC" w:rsidRDefault="0037102B" w:rsidP="00267BCC">
            <w:pPr>
              <w:jc w:val="right"/>
              <w:rPr>
                <w:lang w:val="lv-LV"/>
              </w:rPr>
            </w:pPr>
            <w:r w:rsidRPr="00267BCC">
              <w:rPr>
                <w:lang w:val="lv-LV"/>
              </w:rPr>
              <w:t>8</w:t>
            </w:r>
            <w:r w:rsidR="00867766" w:rsidRPr="00267BCC">
              <w:rPr>
                <w:lang w:val="lv-LV"/>
              </w:rPr>
              <w:t>.tabula</w:t>
            </w:r>
          </w:p>
          <w:p w14:paraId="49640BDF" w14:textId="77777777" w:rsidR="00867766" w:rsidRPr="00267BCC" w:rsidRDefault="00867766" w:rsidP="00267BCC">
            <w:pPr>
              <w:jc w:val="center"/>
              <w:rPr>
                <w:b/>
                <w:lang w:val="lv-LV"/>
              </w:rPr>
            </w:pPr>
            <w:r w:rsidRPr="00267BCC">
              <w:rPr>
                <w:b/>
                <w:sz w:val="22"/>
                <w:szCs w:val="22"/>
                <w:lang w:val="lv-LV"/>
              </w:rPr>
              <w:t>Apkalpoto personu skaita pieaugums kūrortviesnīcās u</w:t>
            </w:r>
            <w:r w:rsidR="00504DBE" w:rsidRPr="00267BCC">
              <w:rPr>
                <w:b/>
                <w:sz w:val="22"/>
                <w:szCs w:val="22"/>
                <w:lang w:val="lv-LV"/>
              </w:rPr>
              <w:t>n rehabilitācijas centros pret</w:t>
            </w:r>
            <w:r w:rsidRPr="00267BCC">
              <w:rPr>
                <w:b/>
                <w:sz w:val="22"/>
                <w:szCs w:val="22"/>
                <w:lang w:val="lv-LV"/>
              </w:rPr>
              <w:t xml:space="preserve"> visās viesnīcās un citās izmitināšanas vietās</w:t>
            </w:r>
          </w:p>
          <w:tbl>
            <w:tblPr>
              <w:tblStyle w:val="TableGrid"/>
              <w:tblW w:w="5000" w:type="pct"/>
              <w:tblLook w:val="04A0" w:firstRow="1" w:lastRow="0" w:firstColumn="1" w:lastColumn="0" w:noHBand="0" w:noVBand="1"/>
            </w:tblPr>
            <w:tblGrid>
              <w:gridCol w:w="1765"/>
              <w:gridCol w:w="1216"/>
              <w:gridCol w:w="1216"/>
              <w:gridCol w:w="1216"/>
              <w:gridCol w:w="1216"/>
              <w:gridCol w:w="1216"/>
              <w:gridCol w:w="1216"/>
            </w:tblGrid>
            <w:tr w:rsidR="00867766" w:rsidRPr="00267BCC" w14:paraId="49640BE7" w14:textId="77777777" w:rsidTr="006B20FF">
              <w:trPr>
                <w:trHeight w:val="272"/>
              </w:trPr>
              <w:tc>
                <w:tcPr>
                  <w:tcW w:w="974" w:type="pct"/>
                  <w:hideMark/>
                </w:tcPr>
                <w:p w14:paraId="49640BE0" w14:textId="77777777" w:rsidR="00867766" w:rsidRPr="00267BCC" w:rsidRDefault="00867766" w:rsidP="00267BCC">
                  <w:pPr>
                    <w:rPr>
                      <w:sz w:val="22"/>
                      <w:szCs w:val="22"/>
                      <w:lang w:val="lv-LV"/>
                    </w:rPr>
                  </w:pPr>
                </w:p>
              </w:tc>
              <w:tc>
                <w:tcPr>
                  <w:tcW w:w="671" w:type="pct"/>
                  <w:vAlign w:val="center"/>
                  <w:hideMark/>
                </w:tcPr>
                <w:p w14:paraId="49640BE1" w14:textId="77777777" w:rsidR="00867766" w:rsidRPr="00267BCC" w:rsidRDefault="00867766" w:rsidP="00267BCC">
                  <w:pPr>
                    <w:jc w:val="center"/>
                    <w:rPr>
                      <w:b/>
                      <w:sz w:val="22"/>
                      <w:szCs w:val="22"/>
                      <w:lang w:val="lv-LV"/>
                    </w:rPr>
                  </w:pPr>
                  <w:r w:rsidRPr="00267BCC">
                    <w:rPr>
                      <w:b/>
                      <w:sz w:val="22"/>
                      <w:szCs w:val="22"/>
                      <w:lang w:val="lv-LV"/>
                    </w:rPr>
                    <w:t>2007</w:t>
                  </w:r>
                </w:p>
              </w:tc>
              <w:tc>
                <w:tcPr>
                  <w:tcW w:w="671" w:type="pct"/>
                  <w:vAlign w:val="center"/>
                  <w:hideMark/>
                </w:tcPr>
                <w:p w14:paraId="49640BE2" w14:textId="77777777" w:rsidR="00867766" w:rsidRPr="00267BCC" w:rsidRDefault="00867766" w:rsidP="00267BCC">
                  <w:pPr>
                    <w:jc w:val="center"/>
                    <w:rPr>
                      <w:b/>
                      <w:sz w:val="22"/>
                      <w:szCs w:val="22"/>
                      <w:lang w:val="lv-LV"/>
                    </w:rPr>
                  </w:pPr>
                  <w:r w:rsidRPr="00267BCC">
                    <w:rPr>
                      <w:b/>
                      <w:sz w:val="22"/>
                      <w:szCs w:val="22"/>
                      <w:lang w:val="lv-LV"/>
                    </w:rPr>
                    <w:t>2008</w:t>
                  </w:r>
                </w:p>
              </w:tc>
              <w:tc>
                <w:tcPr>
                  <w:tcW w:w="671" w:type="pct"/>
                  <w:vAlign w:val="center"/>
                  <w:hideMark/>
                </w:tcPr>
                <w:p w14:paraId="49640BE3" w14:textId="77777777" w:rsidR="00867766" w:rsidRPr="00267BCC" w:rsidRDefault="00867766" w:rsidP="00267BCC">
                  <w:pPr>
                    <w:jc w:val="center"/>
                    <w:rPr>
                      <w:b/>
                      <w:sz w:val="22"/>
                      <w:szCs w:val="22"/>
                      <w:lang w:val="lv-LV"/>
                    </w:rPr>
                  </w:pPr>
                  <w:r w:rsidRPr="00267BCC">
                    <w:rPr>
                      <w:b/>
                      <w:sz w:val="22"/>
                      <w:szCs w:val="22"/>
                      <w:lang w:val="lv-LV"/>
                    </w:rPr>
                    <w:t>2009</w:t>
                  </w:r>
                </w:p>
              </w:tc>
              <w:tc>
                <w:tcPr>
                  <w:tcW w:w="671" w:type="pct"/>
                  <w:vAlign w:val="center"/>
                  <w:hideMark/>
                </w:tcPr>
                <w:p w14:paraId="49640BE4" w14:textId="77777777" w:rsidR="00867766" w:rsidRPr="00267BCC" w:rsidRDefault="00867766" w:rsidP="00267BCC">
                  <w:pPr>
                    <w:jc w:val="center"/>
                    <w:rPr>
                      <w:b/>
                      <w:sz w:val="22"/>
                      <w:szCs w:val="22"/>
                      <w:lang w:val="lv-LV"/>
                    </w:rPr>
                  </w:pPr>
                  <w:r w:rsidRPr="00267BCC">
                    <w:rPr>
                      <w:b/>
                      <w:sz w:val="22"/>
                      <w:szCs w:val="22"/>
                      <w:lang w:val="lv-LV"/>
                    </w:rPr>
                    <w:t>2010</w:t>
                  </w:r>
                </w:p>
              </w:tc>
              <w:tc>
                <w:tcPr>
                  <w:tcW w:w="671" w:type="pct"/>
                  <w:vAlign w:val="center"/>
                  <w:hideMark/>
                </w:tcPr>
                <w:p w14:paraId="49640BE5" w14:textId="77777777" w:rsidR="00867766" w:rsidRPr="00267BCC" w:rsidRDefault="00867766" w:rsidP="00267BCC">
                  <w:pPr>
                    <w:jc w:val="center"/>
                    <w:rPr>
                      <w:b/>
                      <w:sz w:val="22"/>
                      <w:szCs w:val="22"/>
                      <w:lang w:val="lv-LV"/>
                    </w:rPr>
                  </w:pPr>
                  <w:r w:rsidRPr="00267BCC">
                    <w:rPr>
                      <w:b/>
                      <w:sz w:val="22"/>
                      <w:szCs w:val="22"/>
                      <w:lang w:val="lv-LV"/>
                    </w:rPr>
                    <w:t>2011</w:t>
                  </w:r>
                </w:p>
              </w:tc>
              <w:tc>
                <w:tcPr>
                  <w:tcW w:w="671" w:type="pct"/>
                  <w:vAlign w:val="center"/>
                </w:tcPr>
                <w:p w14:paraId="49640BE6" w14:textId="77777777" w:rsidR="00867766" w:rsidRPr="00267BCC" w:rsidRDefault="00867766" w:rsidP="00267BCC">
                  <w:pPr>
                    <w:jc w:val="center"/>
                    <w:rPr>
                      <w:b/>
                      <w:sz w:val="22"/>
                      <w:szCs w:val="22"/>
                      <w:lang w:val="lv-LV"/>
                    </w:rPr>
                  </w:pPr>
                  <w:r w:rsidRPr="00267BCC">
                    <w:rPr>
                      <w:b/>
                      <w:sz w:val="22"/>
                      <w:szCs w:val="22"/>
                      <w:lang w:val="lv-LV"/>
                    </w:rPr>
                    <w:t>2012</w:t>
                  </w:r>
                </w:p>
              </w:tc>
            </w:tr>
            <w:tr w:rsidR="00867766" w:rsidRPr="00267BCC" w14:paraId="49640BF4" w14:textId="77777777" w:rsidTr="006B20FF">
              <w:trPr>
                <w:trHeight w:val="1051"/>
              </w:trPr>
              <w:tc>
                <w:tcPr>
                  <w:tcW w:w="974" w:type="pct"/>
                  <w:vAlign w:val="center"/>
                  <w:hideMark/>
                </w:tcPr>
                <w:p w14:paraId="49640BE8" w14:textId="77777777" w:rsidR="00867766" w:rsidRPr="00267BCC" w:rsidRDefault="00867766" w:rsidP="00267BCC">
                  <w:pPr>
                    <w:rPr>
                      <w:sz w:val="22"/>
                      <w:szCs w:val="22"/>
                      <w:lang w:val="lv-LV"/>
                    </w:rPr>
                  </w:pPr>
                  <w:r w:rsidRPr="00267BCC">
                    <w:rPr>
                      <w:sz w:val="22"/>
                      <w:szCs w:val="22"/>
                      <w:lang w:val="lv-LV"/>
                    </w:rPr>
                    <w:t>Kūrortviesnīcās un rehabilitācijas centros apkalpoto personu skaits</w:t>
                  </w:r>
                </w:p>
              </w:tc>
              <w:tc>
                <w:tcPr>
                  <w:tcW w:w="671" w:type="pct"/>
                  <w:vAlign w:val="center"/>
                  <w:hideMark/>
                </w:tcPr>
                <w:p w14:paraId="49640BE9" w14:textId="77777777" w:rsidR="00867766" w:rsidRPr="00267BCC" w:rsidRDefault="00867766" w:rsidP="00267BCC">
                  <w:pPr>
                    <w:jc w:val="center"/>
                    <w:rPr>
                      <w:sz w:val="22"/>
                      <w:szCs w:val="22"/>
                      <w:lang w:val="lv-LV"/>
                    </w:rPr>
                  </w:pPr>
                  <w:r w:rsidRPr="00267BCC">
                    <w:rPr>
                      <w:sz w:val="22"/>
                      <w:szCs w:val="22"/>
                      <w:lang w:val="lv-LV"/>
                    </w:rPr>
                    <w:t>53 618</w:t>
                  </w:r>
                </w:p>
              </w:tc>
              <w:tc>
                <w:tcPr>
                  <w:tcW w:w="671" w:type="pct"/>
                  <w:vAlign w:val="center"/>
                  <w:hideMark/>
                </w:tcPr>
                <w:p w14:paraId="49640BEA" w14:textId="77777777" w:rsidR="00867766" w:rsidRPr="00267BCC" w:rsidRDefault="00867766" w:rsidP="00267BCC">
                  <w:pPr>
                    <w:jc w:val="center"/>
                    <w:rPr>
                      <w:sz w:val="22"/>
                      <w:szCs w:val="22"/>
                      <w:lang w:val="lv-LV"/>
                    </w:rPr>
                  </w:pPr>
                  <w:r w:rsidRPr="00267BCC">
                    <w:rPr>
                      <w:sz w:val="22"/>
                      <w:szCs w:val="22"/>
                      <w:lang w:val="lv-LV"/>
                    </w:rPr>
                    <w:t>53 729</w:t>
                  </w:r>
                </w:p>
                <w:p w14:paraId="49640BEB" w14:textId="77777777" w:rsidR="00867766" w:rsidRPr="00267BCC" w:rsidRDefault="00867766" w:rsidP="00267BCC">
                  <w:pPr>
                    <w:jc w:val="center"/>
                    <w:rPr>
                      <w:sz w:val="22"/>
                      <w:szCs w:val="22"/>
                      <w:lang w:val="lv-LV"/>
                    </w:rPr>
                  </w:pPr>
                  <w:r w:rsidRPr="00267BCC">
                    <w:rPr>
                      <w:sz w:val="22"/>
                      <w:szCs w:val="22"/>
                      <w:lang w:val="lv-LV"/>
                    </w:rPr>
                    <w:t>(+0,2%)</w:t>
                  </w:r>
                </w:p>
              </w:tc>
              <w:tc>
                <w:tcPr>
                  <w:tcW w:w="671" w:type="pct"/>
                  <w:vAlign w:val="center"/>
                  <w:hideMark/>
                </w:tcPr>
                <w:p w14:paraId="49640BEC" w14:textId="77777777" w:rsidR="00867766" w:rsidRPr="00267BCC" w:rsidRDefault="00867766" w:rsidP="00267BCC">
                  <w:pPr>
                    <w:jc w:val="center"/>
                    <w:rPr>
                      <w:sz w:val="22"/>
                      <w:szCs w:val="22"/>
                      <w:lang w:val="lv-LV"/>
                    </w:rPr>
                  </w:pPr>
                  <w:r w:rsidRPr="00267BCC">
                    <w:rPr>
                      <w:sz w:val="22"/>
                      <w:szCs w:val="22"/>
                      <w:lang w:val="lv-LV"/>
                    </w:rPr>
                    <w:t>61 881</w:t>
                  </w:r>
                </w:p>
                <w:p w14:paraId="49640BED" w14:textId="77777777" w:rsidR="00867766" w:rsidRPr="00267BCC" w:rsidRDefault="00867766" w:rsidP="00267BCC">
                  <w:pPr>
                    <w:jc w:val="center"/>
                    <w:rPr>
                      <w:sz w:val="22"/>
                      <w:szCs w:val="22"/>
                      <w:lang w:val="lv-LV"/>
                    </w:rPr>
                  </w:pPr>
                  <w:r w:rsidRPr="00267BCC">
                    <w:rPr>
                      <w:sz w:val="22"/>
                      <w:szCs w:val="22"/>
                      <w:lang w:val="lv-LV"/>
                    </w:rPr>
                    <w:t>(+15,2%)</w:t>
                  </w:r>
                </w:p>
              </w:tc>
              <w:tc>
                <w:tcPr>
                  <w:tcW w:w="671" w:type="pct"/>
                  <w:vAlign w:val="center"/>
                  <w:hideMark/>
                </w:tcPr>
                <w:p w14:paraId="49640BEE" w14:textId="77777777" w:rsidR="00867766" w:rsidRPr="00267BCC" w:rsidRDefault="00867766" w:rsidP="00267BCC">
                  <w:pPr>
                    <w:jc w:val="center"/>
                    <w:rPr>
                      <w:sz w:val="22"/>
                      <w:szCs w:val="22"/>
                      <w:lang w:val="lv-LV"/>
                    </w:rPr>
                  </w:pPr>
                  <w:r w:rsidRPr="00267BCC">
                    <w:rPr>
                      <w:sz w:val="22"/>
                      <w:szCs w:val="22"/>
                      <w:lang w:val="lv-LV"/>
                    </w:rPr>
                    <w:t>80 741</w:t>
                  </w:r>
                </w:p>
                <w:p w14:paraId="49640BEF" w14:textId="77777777" w:rsidR="00867766" w:rsidRPr="00267BCC" w:rsidRDefault="00867766" w:rsidP="00267BCC">
                  <w:pPr>
                    <w:jc w:val="center"/>
                    <w:rPr>
                      <w:sz w:val="22"/>
                      <w:szCs w:val="22"/>
                      <w:lang w:val="lv-LV"/>
                    </w:rPr>
                  </w:pPr>
                  <w:r w:rsidRPr="00267BCC">
                    <w:rPr>
                      <w:sz w:val="22"/>
                      <w:szCs w:val="22"/>
                      <w:lang w:val="lv-LV"/>
                    </w:rPr>
                    <w:t>(+30,5%)</w:t>
                  </w:r>
                </w:p>
              </w:tc>
              <w:tc>
                <w:tcPr>
                  <w:tcW w:w="671" w:type="pct"/>
                  <w:vAlign w:val="center"/>
                  <w:hideMark/>
                </w:tcPr>
                <w:p w14:paraId="49640BF0" w14:textId="77777777" w:rsidR="00867766" w:rsidRPr="00267BCC" w:rsidRDefault="00867766" w:rsidP="00267BCC">
                  <w:pPr>
                    <w:jc w:val="center"/>
                    <w:rPr>
                      <w:sz w:val="22"/>
                      <w:szCs w:val="22"/>
                      <w:lang w:val="lv-LV"/>
                    </w:rPr>
                  </w:pPr>
                  <w:r w:rsidRPr="00267BCC">
                    <w:rPr>
                      <w:sz w:val="22"/>
                      <w:szCs w:val="22"/>
                      <w:lang w:val="lv-LV"/>
                    </w:rPr>
                    <w:t>80 329</w:t>
                  </w:r>
                </w:p>
                <w:p w14:paraId="49640BF1" w14:textId="77777777" w:rsidR="00867766" w:rsidRPr="00267BCC" w:rsidRDefault="00867766" w:rsidP="00267BCC">
                  <w:pPr>
                    <w:jc w:val="center"/>
                    <w:rPr>
                      <w:sz w:val="22"/>
                      <w:szCs w:val="22"/>
                      <w:lang w:val="lv-LV"/>
                    </w:rPr>
                  </w:pPr>
                  <w:r w:rsidRPr="00267BCC">
                    <w:rPr>
                      <w:sz w:val="22"/>
                      <w:szCs w:val="22"/>
                      <w:lang w:val="lv-LV"/>
                    </w:rPr>
                    <w:t>(-0,5%)</w:t>
                  </w:r>
                </w:p>
              </w:tc>
              <w:tc>
                <w:tcPr>
                  <w:tcW w:w="671" w:type="pct"/>
                  <w:vAlign w:val="center"/>
                </w:tcPr>
                <w:p w14:paraId="49640BF2" w14:textId="77777777" w:rsidR="00867766" w:rsidRPr="00267BCC" w:rsidRDefault="00867766" w:rsidP="00267BCC">
                  <w:pPr>
                    <w:jc w:val="center"/>
                    <w:rPr>
                      <w:sz w:val="22"/>
                      <w:szCs w:val="22"/>
                      <w:lang w:val="lv-LV"/>
                    </w:rPr>
                  </w:pPr>
                  <w:r w:rsidRPr="00267BCC">
                    <w:rPr>
                      <w:sz w:val="22"/>
                      <w:szCs w:val="22"/>
                      <w:lang w:val="lv-LV"/>
                    </w:rPr>
                    <w:t>90 871</w:t>
                  </w:r>
                </w:p>
                <w:p w14:paraId="49640BF3" w14:textId="77777777" w:rsidR="00867766" w:rsidRPr="00267BCC" w:rsidRDefault="00867766" w:rsidP="00267BCC">
                  <w:pPr>
                    <w:jc w:val="center"/>
                    <w:rPr>
                      <w:sz w:val="22"/>
                      <w:szCs w:val="22"/>
                      <w:lang w:val="lv-LV"/>
                    </w:rPr>
                  </w:pPr>
                  <w:r w:rsidRPr="00267BCC">
                    <w:rPr>
                      <w:sz w:val="22"/>
                      <w:szCs w:val="22"/>
                      <w:lang w:val="lv-LV"/>
                    </w:rPr>
                    <w:t>(+13,1%)</w:t>
                  </w:r>
                </w:p>
              </w:tc>
            </w:tr>
            <w:tr w:rsidR="00867766" w:rsidRPr="00267BCC" w14:paraId="49640C01" w14:textId="77777777" w:rsidTr="006B20FF">
              <w:trPr>
                <w:trHeight w:val="1051"/>
              </w:trPr>
              <w:tc>
                <w:tcPr>
                  <w:tcW w:w="974" w:type="pct"/>
                  <w:vAlign w:val="center"/>
                  <w:hideMark/>
                </w:tcPr>
                <w:p w14:paraId="49640BF5" w14:textId="77777777" w:rsidR="00867766" w:rsidRPr="00267BCC" w:rsidRDefault="00867766" w:rsidP="00267BCC">
                  <w:pPr>
                    <w:rPr>
                      <w:sz w:val="22"/>
                      <w:szCs w:val="22"/>
                      <w:lang w:val="lv-LV"/>
                    </w:rPr>
                  </w:pPr>
                  <w:r w:rsidRPr="00267BCC">
                    <w:rPr>
                      <w:sz w:val="22"/>
                      <w:szCs w:val="22"/>
                      <w:lang w:val="lv-LV"/>
                    </w:rPr>
                    <w:lastRenderedPageBreak/>
                    <w:t>Viesnīcās un citās izmitināšanas vietās apkalpoto personu skaits</w:t>
                  </w:r>
                </w:p>
              </w:tc>
              <w:tc>
                <w:tcPr>
                  <w:tcW w:w="671" w:type="pct"/>
                  <w:vAlign w:val="center"/>
                  <w:hideMark/>
                </w:tcPr>
                <w:p w14:paraId="49640BF6" w14:textId="77777777" w:rsidR="00867766" w:rsidRPr="00267BCC" w:rsidRDefault="00867766" w:rsidP="00267BCC">
                  <w:pPr>
                    <w:jc w:val="center"/>
                    <w:rPr>
                      <w:sz w:val="22"/>
                      <w:szCs w:val="22"/>
                      <w:lang w:val="lv-LV"/>
                    </w:rPr>
                  </w:pPr>
                  <w:r w:rsidRPr="00267BCC">
                    <w:rPr>
                      <w:sz w:val="22"/>
                      <w:szCs w:val="22"/>
                      <w:lang w:val="lv-LV"/>
                    </w:rPr>
                    <w:t>1 487 379</w:t>
                  </w:r>
                </w:p>
              </w:tc>
              <w:tc>
                <w:tcPr>
                  <w:tcW w:w="671" w:type="pct"/>
                  <w:vAlign w:val="center"/>
                  <w:hideMark/>
                </w:tcPr>
                <w:p w14:paraId="49640BF7" w14:textId="77777777" w:rsidR="00867766" w:rsidRPr="00267BCC" w:rsidRDefault="00867766" w:rsidP="00267BCC">
                  <w:pPr>
                    <w:jc w:val="center"/>
                    <w:rPr>
                      <w:sz w:val="22"/>
                      <w:szCs w:val="22"/>
                      <w:lang w:val="lv-LV"/>
                    </w:rPr>
                  </w:pPr>
                  <w:r w:rsidRPr="00267BCC">
                    <w:rPr>
                      <w:sz w:val="22"/>
                      <w:szCs w:val="22"/>
                      <w:lang w:val="lv-LV"/>
                    </w:rPr>
                    <w:t>1</w:t>
                  </w:r>
                  <w:r w:rsidR="00E7755D" w:rsidRPr="00267BCC">
                    <w:rPr>
                      <w:sz w:val="22"/>
                      <w:szCs w:val="22"/>
                      <w:lang w:val="lv-LV"/>
                    </w:rPr>
                    <w:t xml:space="preserve"> </w:t>
                  </w:r>
                  <w:r w:rsidRPr="00267BCC">
                    <w:rPr>
                      <w:sz w:val="22"/>
                      <w:szCs w:val="22"/>
                      <w:lang w:val="lv-LV"/>
                    </w:rPr>
                    <w:t>555 936</w:t>
                  </w:r>
                </w:p>
                <w:p w14:paraId="49640BF8" w14:textId="77777777" w:rsidR="00867766" w:rsidRPr="00267BCC" w:rsidRDefault="00867766" w:rsidP="00267BCC">
                  <w:pPr>
                    <w:jc w:val="center"/>
                    <w:rPr>
                      <w:sz w:val="22"/>
                      <w:szCs w:val="22"/>
                      <w:lang w:val="lv-LV"/>
                    </w:rPr>
                  </w:pPr>
                  <w:r w:rsidRPr="00267BCC">
                    <w:rPr>
                      <w:sz w:val="22"/>
                      <w:szCs w:val="22"/>
                      <w:lang w:val="lv-LV"/>
                    </w:rPr>
                    <w:t>(+4,6%)</w:t>
                  </w:r>
                </w:p>
              </w:tc>
              <w:tc>
                <w:tcPr>
                  <w:tcW w:w="671" w:type="pct"/>
                  <w:vAlign w:val="center"/>
                  <w:hideMark/>
                </w:tcPr>
                <w:p w14:paraId="49640BF9" w14:textId="77777777" w:rsidR="00867766" w:rsidRPr="00267BCC" w:rsidRDefault="00867766" w:rsidP="00267BCC">
                  <w:pPr>
                    <w:jc w:val="center"/>
                    <w:rPr>
                      <w:sz w:val="22"/>
                      <w:szCs w:val="22"/>
                      <w:lang w:val="lv-LV"/>
                    </w:rPr>
                  </w:pPr>
                  <w:r w:rsidRPr="00267BCC">
                    <w:rPr>
                      <w:sz w:val="22"/>
                      <w:szCs w:val="22"/>
                      <w:lang w:val="lv-LV"/>
                    </w:rPr>
                    <w:t>1</w:t>
                  </w:r>
                  <w:r w:rsidR="00E7755D" w:rsidRPr="00267BCC">
                    <w:rPr>
                      <w:sz w:val="22"/>
                      <w:szCs w:val="22"/>
                      <w:lang w:val="lv-LV"/>
                    </w:rPr>
                    <w:t xml:space="preserve"> </w:t>
                  </w:r>
                  <w:r w:rsidRPr="00267BCC">
                    <w:rPr>
                      <w:sz w:val="22"/>
                      <w:szCs w:val="22"/>
                      <w:lang w:val="lv-LV"/>
                    </w:rPr>
                    <w:t>113 898</w:t>
                  </w:r>
                </w:p>
                <w:p w14:paraId="49640BFA" w14:textId="77777777" w:rsidR="00867766" w:rsidRPr="00267BCC" w:rsidRDefault="00867766" w:rsidP="00267BCC">
                  <w:pPr>
                    <w:jc w:val="center"/>
                    <w:rPr>
                      <w:sz w:val="22"/>
                      <w:szCs w:val="22"/>
                      <w:lang w:val="lv-LV"/>
                    </w:rPr>
                  </w:pPr>
                  <w:r w:rsidRPr="00267BCC">
                    <w:rPr>
                      <w:sz w:val="22"/>
                      <w:szCs w:val="22"/>
                      <w:lang w:val="lv-LV"/>
                    </w:rPr>
                    <w:t>(-28,4%)</w:t>
                  </w:r>
                </w:p>
              </w:tc>
              <w:tc>
                <w:tcPr>
                  <w:tcW w:w="671" w:type="pct"/>
                  <w:vAlign w:val="center"/>
                  <w:hideMark/>
                </w:tcPr>
                <w:p w14:paraId="49640BFB" w14:textId="77777777" w:rsidR="00867766" w:rsidRPr="00267BCC" w:rsidRDefault="00867766" w:rsidP="00267BCC">
                  <w:pPr>
                    <w:jc w:val="center"/>
                    <w:rPr>
                      <w:sz w:val="22"/>
                      <w:szCs w:val="22"/>
                      <w:lang w:val="lv-LV"/>
                    </w:rPr>
                  </w:pPr>
                  <w:r w:rsidRPr="00267BCC">
                    <w:rPr>
                      <w:sz w:val="22"/>
                      <w:szCs w:val="22"/>
                      <w:lang w:val="lv-LV"/>
                    </w:rPr>
                    <w:t>1311 538</w:t>
                  </w:r>
                </w:p>
                <w:p w14:paraId="49640BFC" w14:textId="77777777" w:rsidR="00867766" w:rsidRPr="00267BCC" w:rsidRDefault="00867766" w:rsidP="00267BCC">
                  <w:pPr>
                    <w:jc w:val="center"/>
                    <w:rPr>
                      <w:sz w:val="22"/>
                      <w:szCs w:val="22"/>
                      <w:lang w:val="lv-LV"/>
                    </w:rPr>
                  </w:pPr>
                  <w:r w:rsidRPr="00267BCC">
                    <w:rPr>
                      <w:sz w:val="22"/>
                      <w:szCs w:val="22"/>
                      <w:lang w:val="lv-LV"/>
                    </w:rPr>
                    <w:t>(+17,7%)</w:t>
                  </w:r>
                </w:p>
              </w:tc>
              <w:tc>
                <w:tcPr>
                  <w:tcW w:w="671" w:type="pct"/>
                  <w:vAlign w:val="center"/>
                  <w:hideMark/>
                </w:tcPr>
                <w:p w14:paraId="49640BFD" w14:textId="77777777" w:rsidR="00867766" w:rsidRPr="00267BCC" w:rsidRDefault="00867766" w:rsidP="00267BCC">
                  <w:pPr>
                    <w:jc w:val="center"/>
                    <w:rPr>
                      <w:sz w:val="22"/>
                      <w:szCs w:val="22"/>
                      <w:lang w:val="lv-LV"/>
                    </w:rPr>
                  </w:pPr>
                  <w:r w:rsidRPr="00267BCC">
                    <w:rPr>
                      <w:sz w:val="22"/>
                      <w:szCs w:val="22"/>
                      <w:lang w:val="lv-LV"/>
                    </w:rPr>
                    <w:t>1</w:t>
                  </w:r>
                  <w:r w:rsidR="00E7755D" w:rsidRPr="00267BCC">
                    <w:rPr>
                      <w:sz w:val="22"/>
                      <w:szCs w:val="22"/>
                      <w:lang w:val="lv-LV"/>
                    </w:rPr>
                    <w:t xml:space="preserve"> </w:t>
                  </w:r>
                  <w:r w:rsidRPr="00267BCC">
                    <w:rPr>
                      <w:sz w:val="22"/>
                      <w:szCs w:val="22"/>
                      <w:lang w:val="lv-LV"/>
                    </w:rPr>
                    <w:t>584 996</w:t>
                  </w:r>
                </w:p>
                <w:p w14:paraId="49640BFE" w14:textId="77777777" w:rsidR="00867766" w:rsidRPr="00267BCC" w:rsidRDefault="00867766" w:rsidP="00267BCC">
                  <w:pPr>
                    <w:jc w:val="center"/>
                    <w:rPr>
                      <w:sz w:val="22"/>
                      <w:szCs w:val="22"/>
                      <w:lang w:val="lv-LV"/>
                    </w:rPr>
                  </w:pPr>
                  <w:r w:rsidRPr="00267BCC">
                    <w:rPr>
                      <w:sz w:val="22"/>
                      <w:szCs w:val="22"/>
                      <w:lang w:val="lv-LV"/>
                    </w:rPr>
                    <w:t>(+20,9%)</w:t>
                  </w:r>
                </w:p>
              </w:tc>
              <w:tc>
                <w:tcPr>
                  <w:tcW w:w="671" w:type="pct"/>
                  <w:vAlign w:val="center"/>
                </w:tcPr>
                <w:p w14:paraId="49640BFF" w14:textId="77777777" w:rsidR="00867766" w:rsidRPr="00267BCC" w:rsidRDefault="00867766" w:rsidP="00267BCC">
                  <w:pPr>
                    <w:jc w:val="center"/>
                    <w:rPr>
                      <w:sz w:val="22"/>
                      <w:szCs w:val="22"/>
                      <w:lang w:val="lv-LV"/>
                    </w:rPr>
                  </w:pPr>
                  <w:r w:rsidRPr="00267BCC">
                    <w:rPr>
                      <w:sz w:val="22"/>
                      <w:szCs w:val="22"/>
                      <w:lang w:val="lv-LV"/>
                    </w:rPr>
                    <w:t>1 644 758</w:t>
                  </w:r>
                </w:p>
                <w:p w14:paraId="49640C00" w14:textId="77777777" w:rsidR="00867766" w:rsidRPr="00267BCC" w:rsidRDefault="00867766" w:rsidP="00267BCC">
                  <w:pPr>
                    <w:jc w:val="center"/>
                    <w:rPr>
                      <w:sz w:val="22"/>
                      <w:szCs w:val="22"/>
                      <w:lang w:val="lv-LV"/>
                    </w:rPr>
                  </w:pPr>
                  <w:r w:rsidRPr="00267BCC">
                    <w:rPr>
                      <w:sz w:val="22"/>
                      <w:szCs w:val="22"/>
                      <w:lang w:val="lv-LV"/>
                    </w:rPr>
                    <w:t>(+3,8%)</w:t>
                  </w:r>
                </w:p>
              </w:tc>
            </w:tr>
          </w:tbl>
          <w:p w14:paraId="49640C02" w14:textId="77777777" w:rsidR="00867766" w:rsidRPr="00267BCC" w:rsidRDefault="00867766" w:rsidP="00267BCC">
            <w:pPr>
              <w:rPr>
                <w:sz w:val="20"/>
                <w:szCs w:val="20"/>
                <w:lang w:val="lv-LV"/>
              </w:rPr>
            </w:pPr>
            <w:r w:rsidRPr="00267BCC">
              <w:rPr>
                <w:sz w:val="20"/>
                <w:szCs w:val="20"/>
                <w:lang w:val="lv-LV"/>
              </w:rPr>
              <w:t>Datu avots: CSP</w:t>
            </w:r>
          </w:p>
          <w:p w14:paraId="49640C03" w14:textId="77777777" w:rsidR="00867766" w:rsidRPr="00267BCC" w:rsidRDefault="00867766" w:rsidP="00267BCC">
            <w:pPr>
              <w:rPr>
                <w:lang w:val="lv-LV"/>
              </w:rPr>
            </w:pPr>
          </w:p>
          <w:p w14:paraId="49640C04" w14:textId="77777777" w:rsidR="00867766" w:rsidRPr="005C766A" w:rsidRDefault="00675F55"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Jau</w:t>
            </w:r>
            <w:r w:rsidR="00E22B25" w:rsidRPr="00267BCC">
              <w:rPr>
                <w:rFonts w:ascii="Times New Roman" w:hAnsi="Times New Roman"/>
                <w:sz w:val="24"/>
                <w:szCs w:val="24"/>
                <w:lang w:val="lv-LV"/>
              </w:rPr>
              <w:t xml:space="preserve"> divus gadus darbojas Latvijas V</w:t>
            </w:r>
            <w:r w:rsidRPr="00267BCC">
              <w:rPr>
                <w:rFonts w:ascii="Times New Roman" w:hAnsi="Times New Roman"/>
                <w:sz w:val="24"/>
                <w:szCs w:val="24"/>
                <w:lang w:val="lv-LV"/>
              </w:rPr>
              <w:t xml:space="preserve">eselības tūrisma klasteris, kurš apvieno </w:t>
            </w:r>
            <w:r w:rsidR="00E22B25" w:rsidRPr="00267BCC">
              <w:rPr>
                <w:rFonts w:ascii="Times New Roman" w:hAnsi="Times New Roman"/>
                <w:sz w:val="24"/>
                <w:szCs w:val="24"/>
                <w:lang w:val="lv-LV"/>
              </w:rPr>
              <w:t xml:space="preserve">31 biedru - </w:t>
            </w:r>
            <w:r w:rsidRPr="00267BCC">
              <w:rPr>
                <w:rFonts w:ascii="Times New Roman" w:hAnsi="Times New Roman"/>
                <w:sz w:val="24"/>
                <w:szCs w:val="24"/>
                <w:lang w:val="lv-LV"/>
              </w:rPr>
              <w:t>rehabilitācijas centrus, slimnīcas, privāt</w:t>
            </w:r>
            <w:r w:rsidR="009F4C12" w:rsidRPr="00267BCC">
              <w:rPr>
                <w:rFonts w:ascii="Times New Roman" w:hAnsi="Times New Roman"/>
                <w:sz w:val="24"/>
                <w:szCs w:val="24"/>
                <w:lang w:val="lv-LV"/>
              </w:rPr>
              <w:t xml:space="preserve">as </w:t>
            </w:r>
            <w:r w:rsidRPr="00267BCC">
              <w:rPr>
                <w:rFonts w:ascii="Times New Roman" w:hAnsi="Times New Roman"/>
                <w:sz w:val="24"/>
                <w:szCs w:val="24"/>
                <w:lang w:val="lv-LV"/>
              </w:rPr>
              <w:t xml:space="preserve">klīnikas, kūrortviesnīcas, tūrisma kompānijas un pašvaldība, kuras vēlas sekmēt veselības tūrisma attīstību valstī. Tiek īstenoti izglītības un pakalpojumu kvalitātes paaugstināšanas pasākumi, tiek īstenotas mārketinga aktivitātes un veidoti jauni kompleksie veselības tūrisma produkti. </w:t>
            </w:r>
            <w:r w:rsidR="005C5EE8" w:rsidRPr="00267BCC">
              <w:rPr>
                <w:rFonts w:ascii="Times New Roman" w:hAnsi="Times New Roman"/>
                <w:sz w:val="24"/>
                <w:szCs w:val="24"/>
                <w:lang w:val="lv-LV"/>
              </w:rPr>
              <w:t>Latvijas Veselīb</w:t>
            </w:r>
            <w:r w:rsidR="000512D9" w:rsidRPr="00267BCC">
              <w:rPr>
                <w:rFonts w:ascii="Times New Roman" w:hAnsi="Times New Roman"/>
                <w:sz w:val="24"/>
                <w:szCs w:val="24"/>
                <w:lang w:val="lv-LV"/>
              </w:rPr>
              <w:t xml:space="preserve">as tūrisma klastera biedru  - 21 ārstniecības iestādes un kūrortviesnīcas </w:t>
            </w:r>
            <w:r w:rsidR="005C5EE8" w:rsidRPr="00267BCC">
              <w:rPr>
                <w:rFonts w:ascii="Times New Roman" w:hAnsi="Times New Roman"/>
                <w:sz w:val="24"/>
                <w:szCs w:val="24"/>
                <w:lang w:val="lv-LV"/>
              </w:rPr>
              <w:t>apgrozījums 2012.gadā salīdzinājumā ar 2011.gadu pali</w:t>
            </w:r>
            <w:r w:rsidR="00523645" w:rsidRPr="00267BCC">
              <w:rPr>
                <w:rFonts w:ascii="Times New Roman" w:hAnsi="Times New Roman"/>
                <w:sz w:val="24"/>
                <w:szCs w:val="24"/>
                <w:lang w:val="lv-LV"/>
              </w:rPr>
              <w:t xml:space="preserve">elinājies par 13% un sasniedza </w:t>
            </w:r>
            <w:r w:rsidR="00523645" w:rsidRPr="005C766A">
              <w:rPr>
                <w:rFonts w:ascii="Times New Roman" w:hAnsi="Times New Roman"/>
                <w:sz w:val="24"/>
                <w:szCs w:val="24"/>
                <w:lang w:val="lv-LV"/>
              </w:rPr>
              <w:t>6</w:t>
            </w:r>
            <w:r w:rsidR="00067C08" w:rsidRPr="005C766A">
              <w:rPr>
                <w:rFonts w:ascii="Times New Roman" w:hAnsi="Times New Roman"/>
                <w:sz w:val="24"/>
                <w:szCs w:val="24"/>
                <w:lang w:val="lv-LV"/>
              </w:rPr>
              <w:t>7,7</w:t>
            </w:r>
            <w:r w:rsidR="005C5EE8" w:rsidRPr="005C766A">
              <w:rPr>
                <w:rFonts w:ascii="Times New Roman" w:hAnsi="Times New Roman"/>
                <w:sz w:val="24"/>
                <w:szCs w:val="24"/>
                <w:lang w:val="lv-LV"/>
              </w:rPr>
              <w:t xml:space="preserve"> milj. </w:t>
            </w:r>
            <w:r w:rsidR="00523645" w:rsidRPr="005C766A">
              <w:rPr>
                <w:rFonts w:ascii="Times New Roman" w:hAnsi="Times New Roman"/>
                <w:sz w:val="24"/>
                <w:szCs w:val="24"/>
                <w:lang w:val="lv-LV"/>
              </w:rPr>
              <w:t>EUR</w:t>
            </w:r>
            <w:r w:rsidR="005C5EE8" w:rsidRPr="005C766A">
              <w:rPr>
                <w:rFonts w:ascii="Times New Roman" w:hAnsi="Times New Roman"/>
                <w:sz w:val="24"/>
                <w:szCs w:val="24"/>
                <w:lang w:val="lv-LV"/>
              </w:rPr>
              <w:t>, apkalpoto viesu skaits attiecīgajā peri</w:t>
            </w:r>
            <w:r w:rsidR="00067C08" w:rsidRPr="005C766A">
              <w:rPr>
                <w:rFonts w:ascii="Times New Roman" w:hAnsi="Times New Roman"/>
                <w:sz w:val="24"/>
                <w:szCs w:val="24"/>
                <w:lang w:val="lv-LV"/>
              </w:rPr>
              <w:t>odā pieauga par 7,7</w:t>
            </w:r>
            <w:r w:rsidR="005C5EE8" w:rsidRPr="005C766A">
              <w:rPr>
                <w:rFonts w:ascii="Times New Roman" w:hAnsi="Times New Roman"/>
                <w:sz w:val="24"/>
                <w:szCs w:val="24"/>
                <w:lang w:val="lv-LV"/>
              </w:rPr>
              <w:t xml:space="preserve">% un sasniedza </w:t>
            </w:r>
            <w:r w:rsidR="00067C08" w:rsidRPr="005C766A">
              <w:rPr>
                <w:rFonts w:ascii="Times New Roman" w:hAnsi="Times New Roman"/>
                <w:sz w:val="24"/>
                <w:szCs w:val="24"/>
                <w:lang w:val="lv-LV"/>
              </w:rPr>
              <w:t>509 363</w:t>
            </w:r>
            <w:r w:rsidR="005C5EE8" w:rsidRPr="005C766A">
              <w:rPr>
                <w:rFonts w:ascii="Times New Roman" w:hAnsi="Times New Roman"/>
                <w:sz w:val="24"/>
                <w:szCs w:val="24"/>
                <w:lang w:val="lv-LV"/>
              </w:rPr>
              <w:t xml:space="preserve"> cilvēku, savukārt apkalpoto viesu skaits ārstniecībā pieauga par 6</w:t>
            </w:r>
            <w:r w:rsidR="00067C08" w:rsidRPr="005C766A">
              <w:rPr>
                <w:rFonts w:ascii="Times New Roman" w:hAnsi="Times New Roman"/>
                <w:sz w:val="24"/>
                <w:szCs w:val="24"/>
                <w:lang w:val="lv-LV"/>
              </w:rPr>
              <w:t>,7% un sasniedza 530 061 (4.pielikums</w:t>
            </w:r>
            <w:r w:rsidR="005C5EE8" w:rsidRPr="005C766A">
              <w:rPr>
                <w:rFonts w:ascii="Times New Roman" w:hAnsi="Times New Roman"/>
                <w:sz w:val="24"/>
                <w:szCs w:val="24"/>
                <w:lang w:val="lv-LV"/>
              </w:rPr>
              <w:t>).</w:t>
            </w:r>
          </w:p>
          <w:p w14:paraId="49640C05" w14:textId="77777777" w:rsidR="00867766" w:rsidRPr="005C766A" w:rsidRDefault="00867766"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Tāpat ar mērķi attīstīt veselības un medicīnas pakalpojumu tūrisma eksportu Latvijas ilgtspējī</w:t>
            </w:r>
            <w:r w:rsidR="00E7755D" w:rsidRPr="005C766A">
              <w:rPr>
                <w:rFonts w:ascii="Times New Roman" w:hAnsi="Times New Roman"/>
                <w:sz w:val="24"/>
                <w:szCs w:val="24"/>
                <w:lang w:val="lv-LV"/>
              </w:rPr>
              <w:t>ga tūrisma klasterī apvienojas 6</w:t>
            </w:r>
            <w:r w:rsidRPr="005C766A">
              <w:rPr>
                <w:rFonts w:ascii="Times New Roman" w:hAnsi="Times New Roman"/>
                <w:sz w:val="24"/>
                <w:szCs w:val="24"/>
                <w:lang w:val="lv-LV"/>
              </w:rPr>
              <w:t xml:space="preserve"> biedri (5 tūrisma operatori un 9 Latvijas vadošo veselības aprūpes privātklīniku alianse </w:t>
            </w:r>
            <w:r w:rsidRPr="005C766A">
              <w:rPr>
                <w:rFonts w:ascii="Times New Roman" w:hAnsi="Times New Roman"/>
                <w:i/>
                <w:sz w:val="24"/>
                <w:szCs w:val="24"/>
                <w:lang w:val="lv-LV"/>
              </w:rPr>
              <w:t>Baltic Care</w:t>
            </w:r>
            <w:r w:rsidRPr="005C766A">
              <w:rPr>
                <w:rFonts w:ascii="Times New Roman" w:hAnsi="Times New Roman"/>
                <w:sz w:val="24"/>
                <w:szCs w:val="24"/>
                <w:lang w:val="lv-LV"/>
              </w:rPr>
              <w:t xml:space="preserve">), kas īsteno Latvijas medicīnas tūrisma atpazīstamības veicināšanas pasākumus, produktu virzīšanas un pārdošanas aktivitātes (piemēram, dalība tirdzniecības misijās mērķa tirgos, dalība specializētajās izstādēs un kontaktbiržās, </w:t>
            </w:r>
            <w:r w:rsidRPr="005C766A">
              <w:rPr>
                <w:rFonts w:ascii="Times New Roman" w:hAnsi="Times New Roman"/>
                <w:i/>
                <w:sz w:val="24"/>
                <w:szCs w:val="24"/>
                <w:lang w:val="lv-LV"/>
              </w:rPr>
              <w:t>Facebook</w:t>
            </w:r>
            <w:r w:rsidRPr="005C766A">
              <w:rPr>
                <w:rFonts w:ascii="Times New Roman" w:hAnsi="Times New Roman"/>
                <w:sz w:val="24"/>
                <w:szCs w:val="24"/>
                <w:lang w:val="lv-LV"/>
              </w:rPr>
              <w:t xml:space="preserve"> lapas izveide, preču zīmes </w:t>
            </w:r>
            <w:r w:rsidRPr="005C766A">
              <w:rPr>
                <w:rFonts w:ascii="Times New Roman" w:hAnsi="Times New Roman"/>
                <w:i/>
                <w:sz w:val="24"/>
                <w:szCs w:val="24"/>
                <w:lang w:val="lv-LV"/>
              </w:rPr>
              <w:t>Healthcare Travel</w:t>
            </w:r>
            <w:r w:rsidRPr="005C766A">
              <w:rPr>
                <w:rFonts w:ascii="Times New Roman" w:hAnsi="Times New Roman"/>
                <w:sz w:val="24"/>
                <w:szCs w:val="24"/>
                <w:lang w:val="lv-LV"/>
              </w:rPr>
              <w:t xml:space="preserve"> patentēšana, klastera prezentācija prioritārajos mērķa tirgos u.c.).</w:t>
            </w:r>
          </w:p>
          <w:p w14:paraId="49640C06" w14:textId="77777777" w:rsidR="00B3022B" w:rsidRPr="005C766A" w:rsidRDefault="00067C08"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Ar 2013.gada 20.novembra MK rīkojumu Nr.552 Jūrmalas pilsētas daļai ir piešķirts</w:t>
            </w:r>
            <w:r w:rsidRPr="00267BCC">
              <w:rPr>
                <w:rFonts w:ascii="Times New Roman" w:hAnsi="Times New Roman"/>
                <w:sz w:val="24"/>
                <w:szCs w:val="24"/>
                <w:u w:val="single"/>
                <w:lang w:val="lv-LV"/>
              </w:rPr>
              <w:t xml:space="preserve"> </w:t>
            </w:r>
            <w:r w:rsidRPr="005C766A">
              <w:rPr>
                <w:rFonts w:ascii="Times New Roman" w:hAnsi="Times New Roman"/>
                <w:sz w:val="24"/>
                <w:szCs w:val="24"/>
                <w:lang w:val="lv-LV"/>
              </w:rPr>
              <w:t>kūrorta statuss, kas</w:t>
            </w:r>
            <w:r w:rsidR="00B3022B" w:rsidRPr="005C766A">
              <w:rPr>
                <w:rFonts w:ascii="Times New Roman" w:hAnsi="Times New Roman"/>
                <w:sz w:val="24"/>
                <w:szCs w:val="24"/>
                <w:lang w:val="lv-LV"/>
              </w:rPr>
              <w:t xml:space="preserve"> </w:t>
            </w:r>
            <w:r w:rsidR="00675F55" w:rsidRPr="005C766A">
              <w:rPr>
                <w:rFonts w:ascii="Times New Roman" w:hAnsi="Times New Roman"/>
                <w:sz w:val="24"/>
                <w:szCs w:val="24"/>
                <w:lang w:val="lv-LV"/>
              </w:rPr>
              <w:t xml:space="preserve">kalpos par </w:t>
            </w:r>
            <w:r w:rsidRPr="005C766A">
              <w:rPr>
                <w:rFonts w:ascii="Times New Roman" w:hAnsi="Times New Roman"/>
                <w:sz w:val="24"/>
                <w:szCs w:val="24"/>
                <w:lang w:val="lv-LV"/>
              </w:rPr>
              <w:t xml:space="preserve">mārketinga instrumentu un </w:t>
            </w:r>
            <w:r w:rsidR="00675F55" w:rsidRPr="005C766A">
              <w:rPr>
                <w:rFonts w:ascii="Times New Roman" w:hAnsi="Times New Roman"/>
                <w:sz w:val="24"/>
                <w:szCs w:val="24"/>
                <w:lang w:val="lv-LV"/>
              </w:rPr>
              <w:t>liecinās</w:t>
            </w:r>
            <w:r w:rsidR="00B3022B" w:rsidRPr="005C766A">
              <w:rPr>
                <w:rFonts w:ascii="Times New Roman" w:hAnsi="Times New Roman"/>
                <w:sz w:val="24"/>
                <w:szCs w:val="24"/>
                <w:lang w:val="lv-LV"/>
              </w:rPr>
              <w:t xml:space="preserve">, ka attiecīgā pašvaldība ir pierādījusi savu ieceri nodrošināt </w:t>
            </w:r>
            <w:r w:rsidR="00675F55" w:rsidRPr="005C766A">
              <w:rPr>
                <w:rFonts w:ascii="Times New Roman" w:hAnsi="Times New Roman"/>
                <w:sz w:val="24"/>
                <w:szCs w:val="24"/>
                <w:lang w:val="lv-LV"/>
              </w:rPr>
              <w:t xml:space="preserve">savā administratīvajā teritorijā </w:t>
            </w:r>
            <w:r w:rsidR="00B3022B" w:rsidRPr="005C766A">
              <w:rPr>
                <w:rFonts w:ascii="Times New Roman" w:hAnsi="Times New Roman"/>
                <w:sz w:val="24"/>
                <w:szCs w:val="24"/>
                <w:lang w:val="lv-LV"/>
              </w:rPr>
              <w:t xml:space="preserve">mērķtiecīgu </w:t>
            </w:r>
            <w:r w:rsidR="00675F55" w:rsidRPr="005C766A">
              <w:rPr>
                <w:rFonts w:ascii="Times New Roman" w:hAnsi="Times New Roman"/>
                <w:sz w:val="24"/>
                <w:szCs w:val="24"/>
                <w:lang w:val="lv-LV"/>
              </w:rPr>
              <w:t>kūrorta</w:t>
            </w:r>
            <w:r w:rsidR="00B3022B" w:rsidRPr="005C766A">
              <w:rPr>
                <w:rFonts w:ascii="Times New Roman" w:hAnsi="Times New Roman"/>
                <w:sz w:val="24"/>
                <w:szCs w:val="24"/>
                <w:lang w:val="lv-LV"/>
              </w:rPr>
              <w:t xml:space="preserve"> attīstību: ir noteikti mērķi, vīzijas, izstrādāta attīstības stratēģija, programma un plānoti turpmākie stratēģiski ieguldījumi gan publiskajā kūrortu infrastruktūrā, gan atpazīstamības veicināšanā.  </w:t>
            </w:r>
          </w:p>
          <w:p w14:paraId="49640C07" w14:textId="77777777" w:rsidR="00267BCC" w:rsidRPr="005C766A" w:rsidRDefault="00B3022B"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Latvijā starp Baltijas valstīm ir augstākais kvalificētu ārstu un medmāsu īpatsvars (91,2% no visa ārstniecības personāla), kā arī kopumā augstākie ārstniecības personāla pieauguma tempi. Veselības sektora konkurētspēju sekmē atbilstoša izglītības sistēma – gan arodizglītības, gan augstākās izglītības līmenī.</w:t>
            </w:r>
          </w:p>
          <w:p w14:paraId="49640C08" w14:textId="77777777" w:rsidR="00267BCC" w:rsidRPr="005C766A" w:rsidRDefault="00267BCC"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2012./2013.akadēmiskajā gadā augstskolās un koledžās veselības aprūpes un sociālās labklājības zinības kopumā apguva 10814 studenti.</w:t>
            </w:r>
          </w:p>
          <w:p w14:paraId="49640C09" w14:textId="77777777" w:rsidR="00267BCC" w:rsidRPr="005C766A" w:rsidRDefault="00267BCC" w:rsidP="00267BCC">
            <w:pPr>
              <w:pStyle w:val="ListParagraph"/>
              <w:numPr>
                <w:ilvl w:val="0"/>
                <w:numId w:val="17"/>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2012./2013.mācību gadā profesionālajās izglītības iestādēs uzņemti 642 audzēkņi, kuri apgūst veselības aprūpes un sociālās labklājības zinības.</w:t>
            </w:r>
          </w:p>
          <w:p w14:paraId="49640C0A" w14:textId="77777777" w:rsidR="00B3022B" w:rsidRPr="00267BCC" w:rsidRDefault="00B3022B" w:rsidP="00267BCC">
            <w:pPr>
              <w:pStyle w:val="ListParagraph"/>
              <w:numPr>
                <w:ilvl w:val="0"/>
                <w:numId w:val="17"/>
              </w:numPr>
              <w:spacing w:line="240" w:lineRule="auto"/>
              <w:ind w:left="284" w:hanging="284"/>
              <w:contextualSpacing w:val="0"/>
              <w:jc w:val="both"/>
              <w:rPr>
                <w:sz w:val="24"/>
                <w:szCs w:val="24"/>
                <w:lang w:val="lv-LV"/>
              </w:rPr>
            </w:pPr>
            <w:r w:rsidRPr="00267BCC">
              <w:rPr>
                <w:rFonts w:ascii="Times New Roman" w:hAnsi="Times New Roman"/>
                <w:sz w:val="24"/>
                <w:szCs w:val="24"/>
                <w:lang w:val="lv-LV"/>
              </w:rPr>
              <w:t>Saskaņā ar Valsts kancelejas īstenotā p</w:t>
            </w:r>
            <w:r w:rsidRPr="00267BCC">
              <w:rPr>
                <w:rFonts w:ascii="Times New Roman" w:hAnsi="Times New Roman"/>
                <w:bCs/>
                <w:sz w:val="24"/>
                <w:szCs w:val="24"/>
                <w:lang w:val="lv-LV"/>
              </w:rPr>
              <w:t>rojekta „Veselības pakalpojumu eksportspējas novērtējums un rekomendāciju izstrāde” gala ziņojumu „Veselības aprūpes pakalpojumu eksportspēj</w:t>
            </w:r>
            <w:r w:rsidR="00C06C83" w:rsidRPr="00267BCC">
              <w:rPr>
                <w:rFonts w:ascii="Times New Roman" w:hAnsi="Times New Roman"/>
                <w:bCs/>
                <w:sz w:val="24"/>
                <w:szCs w:val="24"/>
                <w:lang w:val="lv-LV"/>
              </w:rPr>
              <w:t>as paaugstināšanas novērtējums”</w:t>
            </w:r>
            <w:r w:rsidRPr="00267BCC">
              <w:rPr>
                <w:rFonts w:ascii="Times New Roman" w:hAnsi="Times New Roman"/>
                <w:bCs/>
                <w:sz w:val="24"/>
                <w:szCs w:val="24"/>
                <w:lang w:val="lv-LV"/>
              </w:rPr>
              <w:t xml:space="preserve"> </w:t>
            </w:r>
            <w:r w:rsidRPr="00267BCC">
              <w:rPr>
                <w:rFonts w:ascii="Times New Roman" w:hAnsi="Times New Roman"/>
                <w:sz w:val="24"/>
                <w:szCs w:val="24"/>
                <w:lang w:val="lv-LV"/>
              </w:rPr>
              <w:t>Latvijas stiprās puses ir:</w:t>
            </w:r>
          </w:p>
          <w:p w14:paraId="49640C0B" w14:textId="77777777" w:rsidR="00B3022B" w:rsidRPr="00267BCC" w:rsidRDefault="00B3022B" w:rsidP="00267BCC">
            <w:pPr>
              <w:pStyle w:val="ListParagraph"/>
              <w:numPr>
                <w:ilvl w:val="0"/>
                <w:numId w:val="2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attīstītākā avio satiksme Baltijas valstīs, kas nodrošina potenciālo ārvalstu pacientu mobilitāti un iespējas ierastie</w:t>
            </w:r>
            <w:r w:rsidR="00BF01F9" w:rsidRPr="00267BCC">
              <w:rPr>
                <w:rFonts w:ascii="Times New Roman" w:hAnsi="Times New Roman"/>
                <w:sz w:val="24"/>
                <w:szCs w:val="24"/>
                <w:lang w:val="lv-LV"/>
              </w:rPr>
              <w:t>s no ģeogrāfiski attālām vietām;</w:t>
            </w:r>
          </w:p>
          <w:p w14:paraId="49640C0C" w14:textId="77777777" w:rsidR="00B3022B" w:rsidRPr="00267BCC" w:rsidRDefault="00E22B25" w:rsidP="00267BCC">
            <w:pPr>
              <w:pStyle w:val="ListParagraph"/>
              <w:numPr>
                <w:ilvl w:val="0"/>
                <w:numId w:val="2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l</w:t>
            </w:r>
            <w:r w:rsidR="00B3022B" w:rsidRPr="00267BCC">
              <w:rPr>
                <w:rFonts w:ascii="Times New Roman" w:hAnsi="Times New Roman"/>
                <w:sz w:val="24"/>
                <w:szCs w:val="24"/>
                <w:lang w:val="lv-LV"/>
              </w:rPr>
              <w:t xml:space="preserve">ielākais privāto ambulatoro iestāžu skaits Baltijas valstu vidū, kas sniedz iespēju potenciāli piesaistīt lielāku ambulatoro pakalpojumu saņēmēju skaitu un veicināt iestāžu savstarpējo konkurenci, tādā veidā uzlabojot pakalpojumu sniegšanas kvalitātes rādītājus </w:t>
            </w:r>
            <w:r w:rsidR="00BF01F9" w:rsidRPr="00267BCC">
              <w:rPr>
                <w:rFonts w:ascii="Times New Roman" w:hAnsi="Times New Roman"/>
                <w:sz w:val="24"/>
                <w:szCs w:val="24"/>
                <w:lang w:val="lv-LV"/>
              </w:rPr>
              <w:t>un arī veicināt cenu konkurenci;</w:t>
            </w:r>
          </w:p>
          <w:p w14:paraId="49640C0D" w14:textId="77777777" w:rsidR="00E931CC" w:rsidRPr="00267BCC" w:rsidRDefault="00E22B25" w:rsidP="00267BCC">
            <w:pPr>
              <w:pStyle w:val="ListParagraph"/>
              <w:numPr>
                <w:ilvl w:val="0"/>
                <w:numId w:val="2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a</w:t>
            </w:r>
            <w:r w:rsidR="00E931CC" w:rsidRPr="00267BCC">
              <w:rPr>
                <w:rFonts w:ascii="Times New Roman" w:hAnsi="Times New Roman"/>
                <w:sz w:val="24"/>
                <w:szCs w:val="24"/>
                <w:lang w:val="lv-LV"/>
              </w:rPr>
              <w:t>ugsts šo pakalpojumu pieprasījums prioritārajos ārvalstu mēr</w:t>
            </w:r>
            <w:r w:rsidRPr="00267BCC">
              <w:rPr>
                <w:rFonts w:ascii="Times New Roman" w:hAnsi="Times New Roman"/>
                <w:sz w:val="24"/>
                <w:szCs w:val="24"/>
                <w:lang w:val="lv-LV"/>
              </w:rPr>
              <w:t>ķ</w:t>
            </w:r>
            <w:r w:rsidR="009F4C12" w:rsidRPr="00267BCC">
              <w:rPr>
                <w:rFonts w:ascii="Times New Roman" w:hAnsi="Times New Roman"/>
                <w:sz w:val="24"/>
                <w:szCs w:val="24"/>
                <w:lang w:val="lv-LV"/>
              </w:rPr>
              <w:t xml:space="preserve">a </w:t>
            </w:r>
            <w:r w:rsidR="00E931CC" w:rsidRPr="00267BCC">
              <w:rPr>
                <w:rFonts w:ascii="Times New Roman" w:hAnsi="Times New Roman"/>
                <w:sz w:val="24"/>
                <w:szCs w:val="24"/>
                <w:lang w:val="lv-LV"/>
              </w:rPr>
              <w:t>tirgos (Norvēģija, Somija, Zviedrija u.c. – t.sk. vērtējot Igaunijas u.c. pieredzi, panākumus šo tirgu piesaistē).</w:t>
            </w:r>
          </w:p>
        </w:tc>
      </w:tr>
      <w:tr w:rsidR="00783831" w:rsidRPr="00B71CEA" w14:paraId="49640C23" w14:textId="77777777" w:rsidTr="00663C1A">
        <w:tc>
          <w:tcPr>
            <w:tcW w:w="5000" w:type="pct"/>
          </w:tcPr>
          <w:p w14:paraId="49640C0F" w14:textId="77777777" w:rsidR="00B77F79" w:rsidRDefault="00B77F79" w:rsidP="00267BCC">
            <w:pPr>
              <w:jc w:val="both"/>
              <w:rPr>
                <w:b/>
                <w:i/>
                <w:iCs/>
                <w:u w:val="single"/>
                <w:lang w:val="lv-LV"/>
              </w:rPr>
            </w:pPr>
            <w:bookmarkStart w:id="25" w:name="_Toc256412835"/>
          </w:p>
          <w:p w14:paraId="49640C10" w14:textId="77777777" w:rsidR="00783831" w:rsidRPr="00267BCC" w:rsidRDefault="00783831" w:rsidP="00267BCC">
            <w:pPr>
              <w:jc w:val="both"/>
              <w:rPr>
                <w:b/>
                <w:i/>
                <w:iCs/>
                <w:u w:val="single"/>
                <w:lang w:val="lv-LV"/>
              </w:rPr>
            </w:pPr>
            <w:r w:rsidRPr="00267BCC">
              <w:rPr>
                <w:b/>
                <w:i/>
                <w:iCs/>
                <w:u w:val="single"/>
                <w:lang w:val="lv-LV"/>
              </w:rPr>
              <w:t>Dabas tūrisms</w:t>
            </w:r>
            <w:bookmarkEnd w:id="25"/>
          </w:p>
          <w:p w14:paraId="49640C11" w14:textId="77777777" w:rsidR="008D3671" w:rsidRPr="00267BCC" w:rsidRDefault="008D3671" w:rsidP="00267BCC">
            <w:pPr>
              <w:jc w:val="both"/>
              <w:rPr>
                <w:b/>
                <w:i/>
                <w:iCs/>
                <w:u w:val="single"/>
                <w:lang w:val="lv-LV"/>
              </w:rPr>
            </w:pPr>
          </w:p>
          <w:p w14:paraId="49640C12" w14:textId="77777777" w:rsidR="00A012D6" w:rsidRPr="00267BCC" w:rsidRDefault="00A012D6" w:rsidP="00267BCC">
            <w:pPr>
              <w:jc w:val="both"/>
              <w:rPr>
                <w:i/>
                <w:lang w:val="lv-LV"/>
              </w:rPr>
            </w:pPr>
            <w:r w:rsidRPr="00267BCC">
              <w:rPr>
                <w:i/>
                <w:lang w:val="lv-LV"/>
              </w:rPr>
              <w:lastRenderedPageBreak/>
              <w:t>Klimata izmaiņas, dabas piesārņojums, pieaugošais sociālās atbildības līmenis un ilg</w:t>
            </w:r>
            <w:r w:rsidR="00F116FC" w:rsidRPr="00267BCC">
              <w:rPr>
                <w:i/>
                <w:lang w:val="lv-LV"/>
              </w:rPr>
              <w:t>tspējības vērtību</w:t>
            </w:r>
            <w:r w:rsidRPr="00267BCC">
              <w:rPr>
                <w:i/>
                <w:lang w:val="lv-LV"/>
              </w:rPr>
              <w:t xml:space="preserve"> nostiprināšanās Eiropā rada arvien </w:t>
            </w:r>
            <w:r w:rsidR="00E001FB" w:rsidRPr="00267BCC">
              <w:rPr>
                <w:i/>
                <w:lang w:val="lv-LV"/>
              </w:rPr>
              <w:t>pie</w:t>
            </w:r>
            <w:r w:rsidRPr="00267BCC">
              <w:rPr>
                <w:i/>
                <w:lang w:val="lv-LV"/>
              </w:rPr>
              <w:t xml:space="preserve">augošu pieprasījumu pēc ekoloģiska, videi draudzīga un ilgtspējīga tūrisma piedāvājuma – tūrisma </w:t>
            </w:r>
            <w:r w:rsidR="00784711" w:rsidRPr="00267BCC">
              <w:rPr>
                <w:i/>
                <w:lang w:val="lv-LV"/>
              </w:rPr>
              <w:t>galamērķa</w:t>
            </w:r>
            <w:r w:rsidRPr="00267BCC">
              <w:rPr>
                <w:i/>
                <w:lang w:val="lv-LV"/>
              </w:rPr>
              <w:t>, kas veidos videi draudzīgus</w:t>
            </w:r>
            <w:r w:rsidR="00784711" w:rsidRPr="00267BCC">
              <w:rPr>
                <w:i/>
                <w:lang w:val="lv-LV"/>
              </w:rPr>
              <w:t>,</w:t>
            </w:r>
            <w:r w:rsidRPr="00267BCC">
              <w:rPr>
                <w:i/>
                <w:lang w:val="lv-LV"/>
              </w:rPr>
              <w:t xml:space="preserve"> ilgtspējīgus tūris</w:t>
            </w:r>
            <w:r w:rsidR="00784711" w:rsidRPr="00267BCC">
              <w:rPr>
                <w:i/>
                <w:lang w:val="lv-LV"/>
              </w:rPr>
              <w:t>ma produktus un</w:t>
            </w:r>
            <w:r w:rsidRPr="00267BCC">
              <w:rPr>
                <w:i/>
                <w:lang w:val="lv-LV"/>
              </w:rPr>
              <w:t xml:space="preserve"> iegūs jaunu konkurētspējīgu priekšrocību.</w:t>
            </w:r>
          </w:p>
          <w:p w14:paraId="49640C13" w14:textId="77777777" w:rsidR="00A012D6" w:rsidRPr="00267BCC" w:rsidRDefault="00A57078" w:rsidP="00267BCC">
            <w:pPr>
              <w:jc w:val="both"/>
              <w:rPr>
                <w:i/>
                <w:lang w:val="lv-LV"/>
              </w:rPr>
            </w:pPr>
            <w:r w:rsidRPr="00267BCC">
              <w:rPr>
                <w:i/>
                <w:lang w:val="lv-LV"/>
              </w:rPr>
              <w:t>Saskaņā ar vides snieguma indeksu (Enviro</w:t>
            </w:r>
            <w:r w:rsidR="00F116FC" w:rsidRPr="00267BCC">
              <w:rPr>
                <w:i/>
                <w:lang w:val="lv-LV"/>
              </w:rPr>
              <w:t>nmental Performance I</w:t>
            </w:r>
            <w:r w:rsidRPr="00267BCC">
              <w:rPr>
                <w:i/>
                <w:lang w:val="lv-LV"/>
              </w:rPr>
              <w:t>ndex) Latvija tiek ierindota kā otra zaļākā valsts pasaulē, galvenokārt pa</w:t>
            </w:r>
            <w:r w:rsidR="00784711" w:rsidRPr="00267BCC">
              <w:rPr>
                <w:i/>
                <w:lang w:val="lv-LV"/>
              </w:rPr>
              <w:t>teicoties dabas resursiem – mežu</w:t>
            </w:r>
            <w:r w:rsidRPr="00267BCC">
              <w:rPr>
                <w:i/>
                <w:lang w:val="lv-LV"/>
              </w:rPr>
              <w:t xml:space="preserve"> teritorijām, jūrai, upēm, pļavām, kā arī aramzemei un kopējai gaisa kvalitātei. </w:t>
            </w:r>
            <w:r w:rsidR="00784711" w:rsidRPr="00267BCC">
              <w:rPr>
                <w:i/>
                <w:lang w:val="lv-LV"/>
              </w:rPr>
              <w:t>Š</w:t>
            </w:r>
            <w:r w:rsidRPr="00267BCC">
              <w:rPr>
                <w:i/>
                <w:lang w:val="lv-LV"/>
              </w:rPr>
              <w:t xml:space="preserve">o resursu </w:t>
            </w:r>
            <w:r w:rsidR="00784711" w:rsidRPr="00267BCC">
              <w:rPr>
                <w:i/>
                <w:lang w:val="lv-LV"/>
              </w:rPr>
              <w:t xml:space="preserve">laba </w:t>
            </w:r>
            <w:r w:rsidRPr="00267BCC">
              <w:rPr>
                <w:i/>
                <w:lang w:val="lv-LV"/>
              </w:rPr>
              <w:t>pārvaldība</w:t>
            </w:r>
            <w:r w:rsidR="00A012D6" w:rsidRPr="00267BCC">
              <w:rPr>
                <w:i/>
                <w:lang w:val="lv-LV"/>
              </w:rPr>
              <w:t xml:space="preserve"> un attīstība</w:t>
            </w:r>
            <w:r w:rsidRPr="00267BCC">
              <w:rPr>
                <w:i/>
                <w:lang w:val="lv-LV"/>
              </w:rPr>
              <w:t xml:space="preserve"> ir iespēja gūt labumu uz </w:t>
            </w:r>
            <w:r w:rsidR="00784711" w:rsidRPr="00267BCC">
              <w:rPr>
                <w:i/>
                <w:lang w:val="lv-LV"/>
              </w:rPr>
              <w:t>pie</w:t>
            </w:r>
            <w:r w:rsidRPr="00267BCC">
              <w:rPr>
                <w:i/>
                <w:lang w:val="lv-LV"/>
              </w:rPr>
              <w:t>augošās zaļā/dabas tūrisma popul</w:t>
            </w:r>
            <w:r w:rsidR="00784711" w:rsidRPr="00267BCC">
              <w:rPr>
                <w:i/>
                <w:lang w:val="lv-LV"/>
              </w:rPr>
              <w:t>aritātes.</w:t>
            </w:r>
          </w:p>
          <w:p w14:paraId="49640C14" w14:textId="77777777" w:rsidR="00873A73" w:rsidRPr="00267BCC" w:rsidRDefault="00873A73" w:rsidP="00267BCC">
            <w:pPr>
              <w:jc w:val="both"/>
              <w:rPr>
                <w:i/>
                <w:lang w:val="lv-LV"/>
              </w:rPr>
            </w:pPr>
            <w:r w:rsidRPr="00267BCC">
              <w:rPr>
                <w:lang w:val="lv-LV"/>
              </w:rPr>
              <w:t>Kā parāda TAVA veiktas ārvalstu tūristu aptaujas, tūristus, kuri apmeklē visas Baltijas valstis, piesaista autentisks kultūras mantojums, neskarta daba un nepiesārņota vide. Nozīmīgs faktors ir tas, ka Baltijas valstīs nav daudz tūristu (masu tūrisma) un ir droši.</w:t>
            </w:r>
          </w:p>
          <w:p w14:paraId="49640C15" w14:textId="77777777" w:rsidR="004014B7" w:rsidRPr="00267BCC" w:rsidRDefault="00E66ED5" w:rsidP="00267BCC">
            <w:pPr>
              <w:jc w:val="both"/>
              <w:rPr>
                <w:b/>
                <w:lang w:val="lv-LV"/>
              </w:rPr>
            </w:pPr>
            <w:r w:rsidRPr="00267BCC">
              <w:rPr>
                <w:b/>
                <w:lang w:val="lv-LV"/>
              </w:rPr>
              <w:t>R</w:t>
            </w:r>
            <w:r w:rsidR="004014B7" w:rsidRPr="00267BCC">
              <w:rPr>
                <w:b/>
                <w:lang w:val="lv-LV"/>
              </w:rPr>
              <w:t>esursi:</w:t>
            </w:r>
          </w:p>
          <w:p w14:paraId="49640C16" w14:textId="77777777" w:rsidR="00BE1A9F" w:rsidRPr="00267BCC" w:rsidRDefault="00BE1A9F"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nepārblīvētā dzīves telpa;</w:t>
            </w:r>
          </w:p>
          <w:p w14:paraId="49640C17" w14:textId="77777777" w:rsidR="004014B7" w:rsidRPr="00267BCC" w:rsidRDefault="00561216"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l</w:t>
            </w:r>
            <w:r w:rsidR="004014B7" w:rsidRPr="00267BCC">
              <w:rPr>
                <w:rFonts w:ascii="Times New Roman" w:hAnsi="Times New Roman"/>
                <w:bCs/>
                <w:sz w:val="24"/>
                <w:szCs w:val="24"/>
                <w:lang w:val="lv-LV"/>
              </w:rPr>
              <w:t>abvēlīgi klimatiskie apstākļi</w:t>
            </w:r>
            <w:r w:rsidRPr="00267BCC">
              <w:rPr>
                <w:rFonts w:ascii="Times New Roman" w:hAnsi="Times New Roman"/>
                <w:bCs/>
                <w:sz w:val="24"/>
                <w:szCs w:val="24"/>
                <w:lang w:val="lv-LV"/>
              </w:rPr>
              <w:t>,</w:t>
            </w:r>
            <w:r w:rsidR="00BE1A9F" w:rsidRPr="00267BCC">
              <w:rPr>
                <w:rFonts w:ascii="Times New Roman" w:hAnsi="Times New Roman"/>
                <w:sz w:val="24"/>
                <w:szCs w:val="24"/>
                <w:lang w:val="lv-LV"/>
              </w:rPr>
              <w:t xml:space="preserve"> mērenais klimats</w:t>
            </w:r>
            <w:r w:rsidR="00BE1A9F" w:rsidRPr="00267BCC">
              <w:rPr>
                <w:rFonts w:ascii="Times New Roman" w:hAnsi="Times New Roman"/>
                <w:bCs/>
                <w:sz w:val="24"/>
                <w:szCs w:val="24"/>
                <w:lang w:val="lv-LV"/>
              </w:rPr>
              <w:t>;</w:t>
            </w:r>
          </w:p>
          <w:p w14:paraId="49640C18" w14:textId="77777777" w:rsidR="004014B7"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Baltijas jūras un Rīgas līča piekraste un ar tiem saistītie biotopi un teritorijas;</w:t>
            </w:r>
          </w:p>
          <w:p w14:paraId="49640C19" w14:textId="77777777" w:rsidR="004014B7"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iekšējie ūdeņi</w:t>
            </w:r>
            <w:r w:rsidRPr="00267BCC">
              <w:rPr>
                <w:rFonts w:ascii="Times New Roman" w:hAnsi="Times New Roman"/>
                <w:sz w:val="24"/>
                <w:szCs w:val="24"/>
                <w:lang w:val="lv-LV"/>
              </w:rPr>
              <w:t xml:space="preserve"> – upes un ezeri un to krasti;</w:t>
            </w:r>
          </w:p>
          <w:p w14:paraId="49640C1A" w14:textId="77777777" w:rsidR="004014B7"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meži, purvi, pļavas, mitrāji</w:t>
            </w:r>
            <w:r w:rsidRPr="00267BCC">
              <w:rPr>
                <w:rFonts w:ascii="Times New Roman" w:hAnsi="Times New Roman"/>
                <w:sz w:val="24"/>
                <w:szCs w:val="24"/>
                <w:lang w:val="lv-LV"/>
              </w:rPr>
              <w:t>, a</w:t>
            </w:r>
            <w:r w:rsidRPr="00267BCC">
              <w:rPr>
                <w:rFonts w:ascii="Times New Roman" w:hAnsi="Times New Roman"/>
                <w:bCs/>
                <w:sz w:val="24"/>
                <w:szCs w:val="24"/>
                <w:lang w:val="lv-LV"/>
              </w:rPr>
              <w:t>inavas, pamatiežu atsegumi, kraujas un jūras abrāzijas stāvkrastu atsegumi</w:t>
            </w:r>
            <w:r w:rsidRPr="00267BCC">
              <w:rPr>
                <w:rFonts w:ascii="Times New Roman" w:hAnsi="Times New Roman"/>
                <w:sz w:val="24"/>
                <w:szCs w:val="24"/>
                <w:lang w:val="lv-LV"/>
              </w:rPr>
              <w:t>, d</w:t>
            </w:r>
            <w:r w:rsidRPr="00267BCC">
              <w:rPr>
                <w:rFonts w:ascii="Times New Roman" w:hAnsi="Times New Roman"/>
                <w:bCs/>
                <w:sz w:val="24"/>
                <w:szCs w:val="24"/>
                <w:lang w:val="lv-LV"/>
              </w:rPr>
              <w:t>ažādas ledāja veidotās reljefa mikro – megaformas;</w:t>
            </w:r>
          </w:p>
          <w:p w14:paraId="49640C1B" w14:textId="77777777" w:rsidR="004014B7"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dabas pieminekļi un atsevišķi dabas objekti;</w:t>
            </w:r>
            <w:r w:rsidRPr="00267BCC">
              <w:rPr>
                <w:rFonts w:ascii="Times New Roman" w:hAnsi="Times New Roman"/>
                <w:bCs/>
                <w:sz w:val="24"/>
                <w:szCs w:val="24"/>
                <w:lang w:val="lv-LV"/>
              </w:rPr>
              <w:t xml:space="preserve"> </w:t>
            </w:r>
          </w:p>
          <w:p w14:paraId="49640C1C" w14:textId="77777777" w:rsidR="004014B7"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 xml:space="preserve">bioloģiskā daudzveidība un atsevišķas sugas vai dzīvnieku sistemātiskās grupas - </w:t>
            </w:r>
            <w:r w:rsidRPr="00267BCC">
              <w:rPr>
                <w:rFonts w:ascii="Times New Roman" w:hAnsi="Times New Roman"/>
                <w:sz w:val="24"/>
                <w:szCs w:val="24"/>
                <w:lang w:val="lv-LV"/>
              </w:rPr>
              <w:t xml:space="preserve">Latvijas bioloģiskai daudzveidībai tūrisma kontekstā ir vēl maz izmantots potenciāls. Kaives un Rīgzemju ozoli ir vieni no Eiropā </w:t>
            </w:r>
            <w:r w:rsidR="00060CB0" w:rsidRPr="00267BCC">
              <w:rPr>
                <w:rFonts w:ascii="Times New Roman" w:hAnsi="Times New Roman"/>
                <w:sz w:val="24"/>
                <w:szCs w:val="24"/>
                <w:lang w:val="lv-LV"/>
              </w:rPr>
              <w:t>dižākajiem</w:t>
            </w:r>
            <w:r w:rsidRPr="00267BCC">
              <w:rPr>
                <w:rFonts w:ascii="Times New Roman" w:hAnsi="Times New Roman"/>
                <w:sz w:val="24"/>
                <w:szCs w:val="24"/>
                <w:lang w:val="lv-LV"/>
              </w:rPr>
              <w:t xml:space="preserve">, šajā grupā ietilpst arī </w:t>
            </w:r>
            <w:r w:rsidRPr="00267BCC">
              <w:rPr>
                <w:rFonts w:ascii="Times New Roman" w:hAnsi="Times New Roman"/>
                <w:bCs/>
                <w:sz w:val="24"/>
                <w:szCs w:val="24"/>
                <w:lang w:val="lv-LV"/>
              </w:rPr>
              <w:t>dižakmeņi, ūdenskritumi, avoti, īpatnējas formas koki, dendroloģiskie stādījumi u.c.;</w:t>
            </w:r>
          </w:p>
          <w:p w14:paraId="49640C1D" w14:textId="77777777" w:rsidR="00F2117A" w:rsidRPr="00F2117A" w:rsidRDefault="00F2117A" w:rsidP="00F2117A">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F2117A">
              <w:rPr>
                <w:rFonts w:ascii="Times New Roman" w:hAnsi="Times New Roman"/>
                <w:bCs/>
                <w:sz w:val="24"/>
                <w:szCs w:val="24"/>
                <w:lang w:val="lv-LV"/>
              </w:rPr>
              <w:t xml:space="preserve">īpaši aizsargājamās dabas un </w:t>
            </w:r>
            <w:r w:rsidRPr="00F2117A">
              <w:rPr>
                <w:rFonts w:ascii="Times New Roman" w:hAnsi="Times New Roman"/>
                <w:bCs/>
                <w:i/>
                <w:sz w:val="24"/>
                <w:szCs w:val="24"/>
                <w:lang w:val="lv-LV"/>
              </w:rPr>
              <w:t>Natura 2000</w:t>
            </w:r>
            <w:r w:rsidRPr="00F2117A">
              <w:rPr>
                <w:rFonts w:ascii="Times New Roman" w:hAnsi="Times New Roman"/>
                <w:bCs/>
                <w:sz w:val="24"/>
                <w:szCs w:val="24"/>
                <w:lang w:val="lv-LV"/>
              </w:rPr>
              <w:t xml:space="preserve"> teritorijas</w:t>
            </w:r>
            <w:r w:rsidRPr="00F2117A">
              <w:rPr>
                <w:rFonts w:ascii="Times New Roman" w:hAnsi="Times New Roman"/>
                <w:sz w:val="24"/>
                <w:szCs w:val="24"/>
                <w:lang w:val="lv-LV"/>
              </w:rPr>
              <w:t xml:space="preserve"> - Latvijā ir 681 īpaši aizsargājamā dabas un 333 </w:t>
            </w:r>
            <w:r w:rsidRPr="00F2117A">
              <w:rPr>
                <w:rFonts w:ascii="Times New Roman" w:hAnsi="Times New Roman"/>
                <w:i/>
                <w:sz w:val="24"/>
                <w:szCs w:val="24"/>
                <w:lang w:val="lv-LV"/>
              </w:rPr>
              <w:t>Natura 2000</w:t>
            </w:r>
            <w:r w:rsidRPr="00F2117A">
              <w:rPr>
                <w:rFonts w:ascii="Times New Roman" w:hAnsi="Times New Roman"/>
                <w:sz w:val="24"/>
                <w:szCs w:val="24"/>
                <w:lang w:val="lv-LV"/>
              </w:rPr>
              <w:t xml:space="preserve"> teritorijas, kuru kopējā platība ir ~17% no valsts sauszemes teritorijas un 15% no Latvijai piederošās jūras teritorijas;</w:t>
            </w:r>
          </w:p>
          <w:p w14:paraId="49640C1E" w14:textId="77777777" w:rsidR="00F2117A" w:rsidRPr="00F2117A" w:rsidRDefault="00F2117A" w:rsidP="00F2117A">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F2117A">
              <w:rPr>
                <w:rFonts w:ascii="Times New Roman" w:hAnsi="Times New Roman"/>
                <w:sz w:val="24"/>
                <w:szCs w:val="24"/>
                <w:lang w:val="lv-LV"/>
              </w:rPr>
              <w:t>Latvijas nacionālie parki, vairums dabas parku, aizsargājamo ainavu apvidi un arī daļa dabas liegumu jau šobrīd ir tūristu iecienītas teritorijas. Daudzās no tām teritoriju apskates nolūkos ir izveidotas dabas takas, dabas informācijas centri, novērošanas torņi, informatīvie stendi uz vietām u.c.;</w:t>
            </w:r>
          </w:p>
          <w:p w14:paraId="49640C1F" w14:textId="77777777" w:rsidR="00A57078" w:rsidRPr="00267BCC" w:rsidRDefault="004014B7" w:rsidP="00267BCC">
            <w:pPr>
              <w:pStyle w:val="ListParagraph"/>
              <w:numPr>
                <w:ilvl w:val="0"/>
                <w:numId w:val="32"/>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Cs/>
                <w:sz w:val="24"/>
                <w:szCs w:val="24"/>
                <w:lang w:val="lv-LV"/>
              </w:rPr>
              <w:t>dzīvnieku dārzi un to kolekcijas, botāniskie dārzi, brīvdabas ekspozīcijas, dzīvei savvaļā pielāgotie mājlopi u.c.</w:t>
            </w:r>
          </w:p>
          <w:p w14:paraId="49640C20" w14:textId="77777777" w:rsidR="006B45B5" w:rsidRPr="005C766A" w:rsidRDefault="006B45B5" w:rsidP="00267BCC">
            <w:pPr>
              <w:ind w:firstLine="720"/>
              <w:jc w:val="both"/>
              <w:rPr>
                <w:lang w:val="lv-LV"/>
              </w:rPr>
            </w:pPr>
            <w:r w:rsidRPr="005C766A">
              <w:rPr>
                <w:lang w:val="lv-LV"/>
              </w:rPr>
              <w:t xml:space="preserve">Papildus, dabas tūrismu, kā arī kultūras tūrismu ir būtiski attīstīt integrācijā/kopsakarā ar ekotūrismu   atbilstoši šī tūrisma veida ANO akceptētajai (ANO Starptautiskais ekotūrisma gads 2002) Starptautiskās Ekotūrisma apvienības izstrādātajai ekotūrisma definīcijai    „ekotūrisms ir atbildīgs ceļojums dabā, kas saistīts ar vides aizsardzību un uzlabo vietējo iedzīvotāju labklājību” un principiem. </w:t>
            </w:r>
          </w:p>
          <w:p w14:paraId="49640C21" w14:textId="77777777" w:rsidR="006B45B5" w:rsidRPr="005C766A" w:rsidRDefault="006B45B5" w:rsidP="00267BCC">
            <w:pPr>
              <w:ind w:firstLine="720"/>
              <w:jc w:val="both"/>
              <w:rPr>
                <w:lang w:val="lv-LV"/>
              </w:rPr>
            </w:pPr>
            <w:r w:rsidRPr="005C766A">
              <w:rPr>
                <w:lang w:val="lv-LV"/>
              </w:rPr>
              <w:t>Ekotūrisma, kas ietver sevī kā dabas, tā arī kultūrvides resursus, veicina intelektuālo komunikāciju, obligāti pieprasa ieguldījumus vides aizsardzībā un pašvaldību attīstībā,  plānošanā un realizēšanā būtiska ir videi draudzīgo tehnoloģiju un pieeju integrēšana: atjaunojamo energoresursu izmantošana, notekūdeņu un citu emisiju samazināšana, energoefektivitāte, atkritumu šķirošana, bioloģisko produktu aprites veicināšana, ekociematu iesaistīšana, ekobūvniecība, videi draudzīga mobilitāte, kā arī vides zinātnes un izglītības ieguldījums padziļinātas informatīvās bāzes izstrādāšanā. Tāpat būtiska ir ekotūrisma loma pašvaldību attīstībā veicinot nodarbinātību un tūrismā radīto ieņēmumu iepludināšanu. Šobrīd ekotūrisms salīdzinājumā ar citiem tūrisma veidiem ir integrēts tikai atsevišķos nacionālā un pašvaldību līmeņa politikas plānošanas dokumentos. Latvijā profesionālas izglītības iespējas ekotūrisma jomā ir nelielas, darbojas tikai viena studiju programma ekotūrisma speciālistu sagatavošanā. Taču Latvijā ir visi priekšnosacījumi ekotūrisma studiju programmas izveidošanai universitātēs un augstskolās – akadēmiskais personāls, unikāli dabas un kultūras</w:t>
            </w:r>
            <w:r w:rsidRPr="00267BCC">
              <w:rPr>
                <w:u w:val="single"/>
                <w:lang w:val="lv-LV"/>
              </w:rPr>
              <w:t xml:space="preserve"> </w:t>
            </w:r>
            <w:r w:rsidRPr="005C766A">
              <w:rPr>
                <w:lang w:val="lv-LV"/>
              </w:rPr>
              <w:lastRenderedPageBreak/>
              <w:t xml:space="preserve">resursi, pašvaldību ieinteresētība šo resursu ilgtspējīgā apsaimniekošanā.  Ekotūrisma kvalitātes pilnveidošanai nepieciešams izstrādāt atbilstošu sertifikācijas sistēmu kā kritērijus ieviest ekotūrisma ieguldījuma rādītājus vides aizsardzībā un vietējo iedzīvotāju labklājībā. Izstrādājot uz dabas un kultūrvides resursiem bāzētus kvalitatīvus produktus, nepieciešams pamatoties uz vides zinātni un fundamentālu vēsturisko izpēti informācijas nodrošināšanai un identitātes stiprināšanai. </w:t>
            </w:r>
          </w:p>
          <w:p w14:paraId="49640C22" w14:textId="77777777" w:rsidR="00F418BA" w:rsidRPr="00267BCC" w:rsidRDefault="006B45B5" w:rsidP="00267BCC">
            <w:pPr>
              <w:ind w:firstLine="720"/>
              <w:jc w:val="both"/>
              <w:rPr>
                <w:u w:val="single"/>
                <w:lang w:val="lv-LV"/>
              </w:rPr>
            </w:pPr>
            <w:r w:rsidRPr="005C766A">
              <w:rPr>
                <w:lang w:val="lv-LV"/>
              </w:rPr>
              <w:t>Atbilstoši realizēts ekotūrisms, kas ir uzskatāms par novitāti un kura aktualitāte pasaulē arvien pieaug, Latvijā nodrošinās tūristiem pievilcīgus, konkurētspējīgus, videi draudzīgus tūrisma produktus un pakalpojumus, sniegs nozīmīgu ieguldījumu visas nozares pilnveidošanā par ilgtspējīgu uzņēmējdarbību, tādējādi papildinot Latvijas kā zaļās valsts tēlu un mūsu valsts atraktīvu tūrisma produktu piedāvājumu spektru.</w:t>
            </w:r>
          </w:p>
        </w:tc>
      </w:tr>
      <w:tr w:rsidR="00783831" w:rsidRPr="00B71CEA" w14:paraId="49640C38" w14:textId="77777777" w:rsidTr="00663C1A">
        <w:tc>
          <w:tcPr>
            <w:tcW w:w="5000" w:type="pct"/>
          </w:tcPr>
          <w:p w14:paraId="49640C24" w14:textId="77777777" w:rsidR="00B77F79" w:rsidRDefault="00B77F79" w:rsidP="00267BCC">
            <w:pPr>
              <w:jc w:val="both"/>
              <w:rPr>
                <w:rFonts w:eastAsia="Calibri"/>
                <w:b/>
                <w:i/>
                <w:u w:val="single"/>
                <w:lang w:val="lv-LV" w:eastAsia="en-US"/>
              </w:rPr>
            </w:pPr>
          </w:p>
          <w:p w14:paraId="49640C25" w14:textId="77777777" w:rsidR="00783831" w:rsidRPr="00267BCC" w:rsidRDefault="00783831" w:rsidP="00267BCC">
            <w:pPr>
              <w:jc w:val="both"/>
              <w:rPr>
                <w:rFonts w:eastAsia="Calibri"/>
                <w:b/>
                <w:i/>
                <w:u w:val="single"/>
                <w:lang w:val="lv-LV" w:eastAsia="en-US"/>
              </w:rPr>
            </w:pPr>
            <w:r w:rsidRPr="00267BCC">
              <w:rPr>
                <w:rFonts w:eastAsia="Calibri"/>
                <w:b/>
                <w:i/>
                <w:u w:val="single"/>
                <w:lang w:val="lv-LV" w:eastAsia="en-US"/>
              </w:rPr>
              <w:t>Kultūras tūrisms</w:t>
            </w:r>
            <w:r w:rsidR="009F4C12" w:rsidRPr="00267BCC">
              <w:rPr>
                <w:rFonts w:eastAsia="Calibri"/>
                <w:b/>
                <w:i/>
                <w:u w:val="single"/>
                <w:lang w:val="lv-LV" w:eastAsia="en-US"/>
              </w:rPr>
              <w:t xml:space="preserve"> un radošās industrijas </w:t>
            </w:r>
          </w:p>
          <w:p w14:paraId="49640C26" w14:textId="77777777" w:rsidR="008D3671" w:rsidRPr="00267BCC" w:rsidRDefault="008D3671" w:rsidP="00267BCC">
            <w:pPr>
              <w:jc w:val="both"/>
              <w:rPr>
                <w:rFonts w:eastAsia="Calibri"/>
                <w:b/>
                <w:i/>
                <w:u w:val="single"/>
                <w:lang w:val="lv-LV" w:eastAsia="en-US"/>
              </w:rPr>
            </w:pPr>
          </w:p>
          <w:p w14:paraId="49640C27" w14:textId="77777777" w:rsidR="004014B7" w:rsidRPr="00267BCC" w:rsidRDefault="007C2A22" w:rsidP="00267BCC">
            <w:pPr>
              <w:jc w:val="both"/>
              <w:rPr>
                <w:rFonts w:eastAsia="Calibri"/>
                <w:i/>
                <w:lang w:val="lv-LV" w:eastAsia="en-US"/>
              </w:rPr>
            </w:pPr>
            <w:r w:rsidRPr="00267BCC">
              <w:rPr>
                <w:rFonts w:eastAsia="Calibri"/>
                <w:i/>
                <w:lang w:val="lv-LV" w:eastAsia="en-US"/>
              </w:rPr>
              <w:t xml:space="preserve">Saskaņā ar Eiropas tūrisma un atpūtas asociācijas (ATLAS) datiem, ap 30% no visiem ceļotājiem ceļo ar mērķi iepazīt citas valsts kultūrvidi. Saskaņā ar ATLAS aptauju, kas veikta 2008.gadā, Rīga ieņem 8.vietu starp 33 Eiropas pilsētām, kur Eiropas iedzīvotāji </w:t>
            </w:r>
            <w:r w:rsidR="00523645" w:rsidRPr="00267BCC">
              <w:rPr>
                <w:rFonts w:eastAsia="Calibri"/>
                <w:i/>
                <w:lang w:val="lv-LV" w:eastAsia="en-US"/>
              </w:rPr>
              <w:t>vēlētos</w:t>
            </w:r>
            <w:r w:rsidRPr="00267BCC">
              <w:rPr>
                <w:rFonts w:eastAsia="Calibri"/>
                <w:i/>
                <w:lang w:val="lv-LV" w:eastAsia="en-US"/>
              </w:rPr>
              <w:t xml:space="preserve"> pavadīt kultūras brīvdienas (aiz Parīzes, Romas, Londonas, </w:t>
            </w:r>
            <w:r w:rsidR="00B865D4" w:rsidRPr="00267BCC">
              <w:rPr>
                <w:rFonts w:eastAsia="Calibri"/>
                <w:i/>
                <w:lang w:val="lv-LV" w:eastAsia="en-US"/>
              </w:rPr>
              <w:t>Venēcijas, Prāgas, Vīnes, Atēnām, apsteidzot Berlīni, Florenci, Barselonu, Madridi, Maskavu, Amsterdamu, Stambulu, Stokholmu, Helsinkus u.c.</w:t>
            </w:r>
            <w:r w:rsidR="00B865D4" w:rsidRPr="00267BCC">
              <w:rPr>
                <w:rFonts w:eastAsia="Calibri"/>
                <w:i/>
                <w:vanish/>
                <w:lang w:val="lv-LV" w:eastAsia="en-US"/>
              </w:rPr>
              <w:t>leHe</w:t>
            </w:r>
            <w:r w:rsidR="00B865D4" w:rsidRPr="00267BCC">
              <w:rPr>
                <w:rFonts w:eastAsia="Calibri"/>
                <w:i/>
                <w:lang w:val="lv-LV" w:eastAsia="en-US"/>
              </w:rPr>
              <w:t>). Savukārt starp Baltijas valstu galvaspilsētām Rīga ieņem stabilu pirmo vietu – 46% aptaujāto vēlētos pavadīt kultūras brīvdienas Rīgā, Tallinā attiecīgi 36%, bet Viļņā – 24%.</w:t>
            </w:r>
          </w:p>
          <w:p w14:paraId="49640C28" w14:textId="77777777" w:rsidR="007713B2" w:rsidRPr="00267BCC" w:rsidRDefault="00A4090F" w:rsidP="00267BCC">
            <w:pPr>
              <w:jc w:val="both"/>
              <w:rPr>
                <w:rFonts w:eastAsia="Calibri"/>
                <w:i/>
                <w:lang w:val="lv-LV" w:eastAsia="en-US"/>
              </w:rPr>
            </w:pPr>
            <w:r w:rsidRPr="00267BCC">
              <w:rPr>
                <w:i/>
                <w:lang w:val="lv-LV"/>
              </w:rPr>
              <w:t>Saskaņā ar ATLAS 2010.gada pētījumu, k</w:t>
            </w:r>
            <w:r w:rsidR="007D44D5" w:rsidRPr="00267BCC">
              <w:rPr>
                <w:i/>
                <w:lang w:val="lv-LV"/>
              </w:rPr>
              <w:t xml:space="preserve">ultūras tūrists ir viens no vidēji </w:t>
            </w:r>
            <w:r w:rsidR="00AF5831" w:rsidRPr="00267BCC">
              <w:rPr>
                <w:i/>
                <w:lang w:val="lv-LV"/>
              </w:rPr>
              <w:t>vis</w:t>
            </w:r>
            <w:r w:rsidR="007D44D5" w:rsidRPr="00267BCC">
              <w:rPr>
                <w:i/>
                <w:lang w:val="lv-LV"/>
              </w:rPr>
              <w:t>vair</w:t>
            </w:r>
            <w:r w:rsidRPr="00267BCC">
              <w:rPr>
                <w:i/>
                <w:lang w:val="lv-LV"/>
              </w:rPr>
              <w:t>āk naudu tērējošajiem</w:t>
            </w:r>
            <w:r w:rsidR="00AF5831" w:rsidRPr="00267BCC">
              <w:rPr>
                <w:i/>
                <w:lang w:val="lv-LV"/>
              </w:rPr>
              <w:t xml:space="preserve"> tūristiem</w:t>
            </w:r>
            <w:r w:rsidR="007D44D5" w:rsidRPr="00267BCC">
              <w:rPr>
                <w:i/>
                <w:lang w:val="lv-LV"/>
              </w:rPr>
              <w:t>.</w:t>
            </w:r>
          </w:p>
          <w:p w14:paraId="49640C29" w14:textId="77777777" w:rsidR="007713B2" w:rsidRPr="005C766A" w:rsidRDefault="007713B2"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Kultūras un </w:t>
            </w:r>
            <w:r w:rsidR="00784711" w:rsidRPr="005C766A">
              <w:rPr>
                <w:rFonts w:ascii="Times New Roman" w:hAnsi="Times New Roman"/>
                <w:sz w:val="24"/>
                <w:szCs w:val="24"/>
                <w:lang w:val="lv-LV"/>
              </w:rPr>
              <w:t>r</w:t>
            </w:r>
            <w:r w:rsidRPr="005C766A">
              <w:rPr>
                <w:rFonts w:ascii="Times New Roman" w:hAnsi="Times New Roman"/>
                <w:sz w:val="24"/>
                <w:szCs w:val="24"/>
                <w:lang w:val="lv-LV"/>
              </w:rPr>
              <w:t>adošās industrijas balstās uz individuālo vai kolektīvo radoš</w:t>
            </w:r>
            <w:r w:rsidR="00784711" w:rsidRPr="005C766A">
              <w:rPr>
                <w:rFonts w:ascii="Times New Roman" w:hAnsi="Times New Roman"/>
                <w:sz w:val="24"/>
                <w:szCs w:val="24"/>
                <w:lang w:val="lv-LV"/>
              </w:rPr>
              <w:t>umu, prasmēm un talantu, kas</w:t>
            </w:r>
            <w:r w:rsidRPr="005C766A">
              <w:rPr>
                <w:rFonts w:ascii="Times New Roman" w:hAnsi="Times New Roman"/>
                <w:sz w:val="24"/>
                <w:szCs w:val="24"/>
                <w:lang w:val="lv-LV"/>
              </w:rPr>
              <w:t>, izveidojot un izmantojot intelektuālo īpašumu, spēj celt labklājību un radīt darba vietas. Kultūras un radošās industrijas balstās kultūras dimensij</w:t>
            </w:r>
            <w:r w:rsidR="00784711" w:rsidRPr="005C766A">
              <w:rPr>
                <w:rFonts w:ascii="Times New Roman" w:hAnsi="Times New Roman"/>
                <w:sz w:val="24"/>
                <w:szCs w:val="24"/>
                <w:lang w:val="lv-LV"/>
              </w:rPr>
              <w:t xml:space="preserve">ā, un šo industriju  sniegums </w:t>
            </w:r>
            <w:r w:rsidRPr="005C766A">
              <w:rPr>
                <w:rFonts w:ascii="Times New Roman" w:hAnsi="Times New Roman"/>
                <w:sz w:val="24"/>
                <w:szCs w:val="24"/>
                <w:lang w:val="lv-LV"/>
              </w:rPr>
              <w:t xml:space="preserve">lielākoties ir funkcionāls. Tās rada, attīsta, ražo produktus un pakalpojumus, kam piemīt ekonomiska, kultūras un/vai izklaides vērtība. Kultūras un  radošās industrijas Latvijā pārstāv šādas </w:t>
            </w:r>
            <w:r w:rsidR="00784711" w:rsidRPr="005C766A">
              <w:rPr>
                <w:rFonts w:ascii="Times New Roman" w:hAnsi="Times New Roman"/>
                <w:sz w:val="24"/>
                <w:szCs w:val="24"/>
                <w:lang w:val="lv-LV"/>
              </w:rPr>
              <w:t>nozares: arhitektūra, dizains (</w:t>
            </w:r>
            <w:r w:rsidRPr="005C766A">
              <w:rPr>
                <w:rFonts w:ascii="Times New Roman" w:hAnsi="Times New Roman"/>
                <w:sz w:val="24"/>
                <w:szCs w:val="24"/>
                <w:lang w:val="lv-LV"/>
              </w:rPr>
              <w:t>produktu, pakalpojumu un procesu dizains, ietverot dažādas dizaina disciplīnas</w:t>
            </w:r>
            <w:r w:rsidR="00523645" w:rsidRPr="005C766A">
              <w:rPr>
                <w:rFonts w:ascii="Times New Roman" w:hAnsi="Times New Roman"/>
                <w:sz w:val="24"/>
                <w:szCs w:val="24"/>
                <w:lang w:val="lv-LV"/>
              </w:rPr>
              <w:t xml:space="preserve"> </w:t>
            </w:r>
            <w:r w:rsidRPr="005C766A">
              <w:rPr>
                <w:rFonts w:ascii="Times New Roman" w:hAnsi="Times New Roman"/>
                <w:sz w:val="24"/>
                <w:szCs w:val="24"/>
                <w:lang w:val="lv-LV"/>
              </w:rPr>
              <w:t>– grafiskais dizains, interjera dizains, mēbeļu dizains, industriālais dizains, vides dizains, modes un aksesuāru dizains u.c.), filmu industrija, interaktīvās spēles, interaktīvās programmatūras, multimediju produkti, mūzika un skaņu ierakstu industrija, deja, vizuālā māksla (izstāžu zāļu, galeriju darbība),</w:t>
            </w:r>
            <w:r w:rsidRPr="005C766A">
              <w:rPr>
                <w:rFonts w:ascii="Times New Roman" w:eastAsia="Times New Roman" w:hAnsi="Times New Roman"/>
                <w:sz w:val="24"/>
                <w:szCs w:val="24"/>
                <w:lang w:val="lv-LV" w:eastAsia="lv-LV"/>
              </w:rPr>
              <w:t xml:space="preserve"> </w:t>
            </w:r>
            <w:r w:rsidRPr="005C766A">
              <w:rPr>
                <w:rFonts w:ascii="Times New Roman" w:hAnsi="Times New Roman"/>
                <w:sz w:val="24"/>
                <w:szCs w:val="24"/>
                <w:lang w:val="lv-LV"/>
              </w:rPr>
              <w:t>skatuves māksla, izdevējdarbība (preses izdevumi, grāmatas), reklāma, komunikācijas, mārketinga komunikācijas, izklaides industrija, plašsaziņas līdzekļi (TV, radio, interneta portāli). A</w:t>
            </w:r>
            <w:r w:rsidR="00784711" w:rsidRPr="005C766A">
              <w:rPr>
                <w:rFonts w:ascii="Times New Roman" w:hAnsi="Times New Roman"/>
                <w:sz w:val="24"/>
                <w:szCs w:val="24"/>
                <w:lang w:val="lv-LV"/>
              </w:rPr>
              <w:t>rī a</w:t>
            </w:r>
            <w:r w:rsidRPr="005C766A">
              <w:rPr>
                <w:rFonts w:ascii="Times New Roman" w:hAnsi="Times New Roman"/>
                <w:sz w:val="24"/>
                <w:szCs w:val="24"/>
                <w:lang w:val="lv-LV"/>
              </w:rPr>
              <w:t>matniecība tiek uzskatīta kā nozīmīga radošo industriju atbalstošā nozare.</w:t>
            </w:r>
          </w:p>
          <w:p w14:paraId="49640C2A" w14:textId="77777777" w:rsidR="001E22A4" w:rsidRPr="00267BCC" w:rsidRDefault="001E22A4"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Šobrīd radošā</w:t>
            </w:r>
            <w:r w:rsidR="00AF5831" w:rsidRPr="00267BCC">
              <w:rPr>
                <w:rFonts w:ascii="Times New Roman" w:hAnsi="Times New Roman"/>
                <w:sz w:val="24"/>
                <w:szCs w:val="24"/>
                <w:lang w:val="lv-LV"/>
              </w:rPr>
              <w:t>s</w:t>
            </w:r>
            <w:r w:rsidRPr="00267BCC">
              <w:rPr>
                <w:rFonts w:ascii="Times New Roman" w:hAnsi="Times New Roman"/>
                <w:sz w:val="24"/>
                <w:szCs w:val="24"/>
                <w:lang w:val="lv-LV"/>
              </w:rPr>
              <w:t xml:space="preserve"> industrija</w:t>
            </w:r>
            <w:r w:rsidR="00AF5831" w:rsidRPr="00267BCC">
              <w:rPr>
                <w:rFonts w:ascii="Times New Roman" w:hAnsi="Times New Roman"/>
                <w:sz w:val="24"/>
                <w:szCs w:val="24"/>
                <w:lang w:val="lv-LV"/>
              </w:rPr>
              <w:t>s</w:t>
            </w:r>
            <w:r w:rsidRPr="00267BCC">
              <w:rPr>
                <w:rFonts w:ascii="Times New Roman" w:hAnsi="Times New Roman"/>
                <w:sz w:val="24"/>
                <w:szCs w:val="24"/>
                <w:lang w:val="lv-LV"/>
              </w:rPr>
              <w:t xml:space="preserve"> izvirzās par vienu no visstraujāk augošajām ekonomikas nozarēm pasaulē, kurā apvienojas </w:t>
            </w:r>
            <w:r w:rsidRPr="00267BCC">
              <w:rPr>
                <w:rStyle w:val="Strong"/>
                <w:rFonts w:ascii="Times New Roman" w:hAnsi="Times New Roman"/>
                <w:b w:val="0"/>
                <w:sz w:val="24"/>
                <w:szCs w:val="24"/>
                <w:lang w:val="lv-LV"/>
              </w:rPr>
              <w:t>kultūras</w:t>
            </w:r>
            <w:r w:rsidRPr="00267BCC">
              <w:rPr>
                <w:rFonts w:ascii="Times New Roman" w:hAnsi="Times New Roman"/>
                <w:b/>
                <w:sz w:val="24"/>
                <w:szCs w:val="24"/>
                <w:lang w:val="lv-LV"/>
              </w:rPr>
              <w:t xml:space="preserve"> </w:t>
            </w:r>
            <w:r w:rsidRPr="00267BCC">
              <w:rPr>
                <w:rFonts w:ascii="Times New Roman" w:hAnsi="Times New Roman"/>
                <w:sz w:val="24"/>
                <w:szCs w:val="24"/>
                <w:lang w:val="lv-LV"/>
              </w:rPr>
              <w:t>un</w:t>
            </w:r>
            <w:r w:rsidRPr="00267BCC">
              <w:rPr>
                <w:rFonts w:ascii="Times New Roman" w:hAnsi="Times New Roman"/>
                <w:b/>
                <w:i/>
                <w:sz w:val="24"/>
                <w:szCs w:val="24"/>
                <w:lang w:val="lv-LV"/>
              </w:rPr>
              <w:t xml:space="preserve"> </w:t>
            </w:r>
            <w:r w:rsidRPr="00267BCC">
              <w:rPr>
                <w:rStyle w:val="Strong"/>
                <w:rFonts w:ascii="Times New Roman" w:hAnsi="Times New Roman"/>
                <w:b w:val="0"/>
                <w:sz w:val="24"/>
                <w:szCs w:val="24"/>
                <w:lang w:val="lv-LV"/>
              </w:rPr>
              <w:t>uzņēmējdarbības potenciāls</w:t>
            </w:r>
            <w:r w:rsidRPr="00267BCC">
              <w:rPr>
                <w:rFonts w:ascii="Times New Roman" w:hAnsi="Times New Roman"/>
                <w:b/>
                <w:sz w:val="24"/>
                <w:szCs w:val="24"/>
                <w:lang w:val="lv-LV"/>
              </w:rPr>
              <w:t xml:space="preserve"> </w:t>
            </w:r>
            <w:r w:rsidRPr="00267BCC">
              <w:rPr>
                <w:rFonts w:ascii="Times New Roman" w:hAnsi="Times New Roman"/>
                <w:sz w:val="24"/>
                <w:szCs w:val="24"/>
                <w:lang w:val="lv-LV"/>
              </w:rPr>
              <w:t>un tiek radīti</w:t>
            </w:r>
            <w:r w:rsidRPr="00267BCC">
              <w:rPr>
                <w:rFonts w:ascii="Times New Roman" w:hAnsi="Times New Roman"/>
                <w:b/>
                <w:sz w:val="24"/>
                <w:szCs w:val="24"/>
                <w:lang w:val="lv-LV"/>
              </w:rPr>
              <w:t xml:space="preserve"> </w:t>
            </w:r>
            <w:r w:rsidRPr="00267BCC">
              <w:rPr>
                <w:rStyle w:val="Strong"/>
                <w:rFonts w:ascii="Times New Roman" w:hAnsi="Times New Roman"/>
                <w:b w:val="0"/>
                <w:sz w:val="24"/>
                <w:szCs w:val="24"/>
                <w:lang w:val="lv-LV"/>
              </w:rPr>
              <w:t>produkti un pakalpojumi ar augstu pievienoto vērtību</w:t>
            </w:r>
            <w:r w:rsidR="00784711" w:rsidRPr="00267BCC">
              <w:rPr>
                <w:rFonts w:ascii="Times New Roman" w:hAnsi="Times New Roman"/>
                <w:sz w:val="24"/>
                <w:szCs w:val="24"/>
                <w:lang w:val="lv-LV"/>
              </w:rPr>
              <w:t>. Radošajām industrijām</w:t>
            </w:r>
            <w:r w:rsidRPr="00267BCC">
              <w:rPr>
                <w:rFonts w:ascii="Times New Roman" w:hAnsi="Times New Roman"/>
                <w:sz w:val="24"/>
                <w:szCs w:val="24"/>
                <w:lang w:val="lv-LV"/>
              </w:rPr>
              <w:t xml:space="preserve"> ir būtiska loma inovāciju un jauno tehnoloģiju attīstībā.</w:t>
            </w:r>
          </w:p>
          <w:p w14:paraId="49640C2B" w14:textId="77777777" w:rsidR="00FB0972" w:rsidRPr="005C766A" w:rsidRDefault="00E66ED5"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Latvijā atrodas bagāts un starptautiski atzīts materiālais un nemateriālais kultūras mantojums, kā arī sastopamas augstvērtīgas tradicionālās un mūsdienu kultūras izpausmes, saglabāta vietējā kultūras daudzveidība un identitāte. Kultūras mantojums ir nozīmīgs </w:t>
            </w:r>
            <w:r w:rsidRPr="005C766A">
              <w:rPr>
                <w:rFonts w:ascii="Times New Roman" w:hAnsi="Times New Roman"/>
                <w:sz w:val="24"/>
                <w:szCs w:val="24"/>
                <w:lang w:val="lv-LV"/>
              </w:rPr>
              <w:t xml:space="preserve">resurss </w:t>
            </w:r>
            <w:r w:rsidR="0051753C" w:rsidRPr="005C766A">
              <w:rPr>
                <w:rFonts w:ascii="Times New Roman" w:hAnsi="Times New Roman"/>
                <w:sz w:val="24"/>
                <w:szCs w:val="24"/>
                <w:lang w:val="lv-LV"/>
              </w:rPr>
              <w:t>tūrisma galamērķu</w:t>
            </w:r>
            <w:r w:rsidRPr="005C766A">
              <w:rPr>
                <w:rFonts w:ascii="Times New Roman" w:hAnsi="Times New Roman"/>
                <w:sz w:val="24"/>
                <w:szCs w:val="24"/>
                <w:lang w:val="lv-LV"/>
              </w:rPr>
              <w:t xml:space="preserve"> attīstībā un kultūras tūrisma sekmēšanā.</w:t>
            </w:r>
            <w:r w:rsidR="00FA18E3" w:rsidRPr="005C766A">
              <w:rPr>
                <w:sz w:val="24"/>
                <w:szCs w:val="24"/>
                <w:lang w:val="lv-LV"/>
              </w:rPr>
              <w:t xml:space="preserve"> </w:t>
            </w:r>
          </w:p>
          <w:p w14:paraId="49640C2C" w14:textId="77777777" w:rsidR="00FB0972" w:rsidRPr="005C766A" w:rsidRDefault="00FB0972"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Saskaņā ar 2009.gada </w:t>
            </w:r>
            <w:r w:rsidR="00784711" w:rsidRPr="005C766A">
              <w:rPr>
                <w:rFonts w:ascii="Times New Roman" w:hAnsi="Times New Roman"/>
                <w:i/>
                <w:sz w:val="24"/>
                <w:szCs w:val="24"/>
                <w:lang w:val="lv-LV"/>
              </w:rPr>
              <w:t>Eurobarometer</w:t>
            </w:r>
            <w:r w:rsidRPr="005C766A">
              <w:rPr>
                <w:rFonts w:ascii="Times New Roman" w:hAnsi="Times New Roman"/>
                <w:sz w:val="24"/>
                <w:szCs w:val="24"/>
                <w:lang w:val="lv-LV"/>
              </w:rPr>
              <w:t xml:space="preserve"> pētījumu </w:t>
            </w:r>
            <w:r w:rsidR="00784711" w:rsidRPr="005C766A">
              <w:rPr>
                <w:rFonts w:ascii="Times New Roman" w:hAnsi="Times New Roman"/>
                <w:sz w:val="24"/>
                <w:szCs w:val="24"/>
                <w:lang w:val="lv-LV"/>
              </w:rPr>
              <w:t xml:space="preserve">eiropiešiem </w:t>
            </w:r>
            <w:r w:rsidRPr="005C766A">
              <w:rPr>
                <w:rFonts w:ascii="Times New Roman" w:hAnsi="Times New Roman"/>
                <w:sz w:val="24"/>
                <w:szCs w:val="24"/>
                <w:lang w:val="lv-LV"/>
              </w:rPr>
              <w:t xml:space="preserve">kultūra </w:t>
            </w:r>
            <w:r w:rsidR="00784711" w:rsidRPr="005C766A">
              <w:rPr>
                <w:rFonts w:ascii="Times New Roman" w:hAnsi="Times New Roman"/>
                <w:sz w:val="24"/>
                <w:szCs w:val="24"/>
                <w:lang w:val="lv-LV"/>
              </w:rPr>
              <w:t xml:space="preserve">ir otrs svarīgākais motivējošais faktors, </w:t>
            </w:r>
            <w:r w:rsidRPr="005C766A">
              <w:rPr>
                <w:rFonts w:ascii="Times New Roman" w:hAnsi="Times New Roman"/>
                <w:sz w:val="24"/>
                <w:szCs w:val="24"/>
                <w:lang w:val="lv-LV"/>
              </w:rPr>
              <w:t>izvēloties brīvdienu galamērķi. Tāpat pētījums norāda, ja Eiropas</w:t>
            </w:r>
            <w:r w:rsidRPr="00267BCC">
              <w:rPr>
                <w:rFonts w:ascii="Times New Roman" w:hAnsi="Times New Roman"/>
                <w:sz w:val="24"/>
                <w:szCs w:val="24"/>
                <w:u w:val="single"/>
                <w:lang w:val="lv-LV"/>
              </w:rPr>
              <w:t xml:space="preserve"> </w:t>
            </w:r>
            <w:r w:rsidRPr="005C766A">
              <w:rPr>
                <w:rFonts w:ascii="Times New Roman" w:hAnsi="Times New Roman"/>
                <w:sz w:val="24"/>
                <w:szCs w:val="24"/>
                <w:lang w:val="lv-LV"/>
              </w:rPr>
              <w:lastRenderedPageBreak/>
              <w:t xml:space="preserve">tūristam ir jāsamazina ceļojuma laikā izdevumi, tad primārais tiks samazināti restorānu un iepirkšanās izmaksas un tikai retos gadījumos – </w:t>
            </w:r>
            <w:r w:rsidR="00784711" w:rsidRPr="005C766A">
              <w:rPr>
                <w:rFonts w:ascii="Times New Roman" w:hAnsi="Times New Roman"/>
                <w:sz w:val="24"/>
                <w:szCs w:val="24"/>
                <w:lang w:val="lv-LV"/>
              </w:rPr>
              <w:t xml:space="preserve">izdevumi </w:t>
            </w:r>
            <w:r w:rsidRPr="005C766A">
              <w:rPr>
                <w:rFonts w:ascii="Times New Roman" w:hAnsi="Times New Roman"/>
                <w:sz w:val="24"/>
                <w:szCs w:val="24"/>
                <w:lang w:val="lv-LV"/>
              </w:rPr>
              <w:t>kultūrai un izklaidei</w:t>
            </w:r>
            <w:r w:rsidR="00795943" w:rsidRPr="005C766A">
              <w:rPr>
                <w:rStyle w:val="FootnoteReference"/>
                <w:rFonts w:ascii="Times New Roman" w:hAnsi="Times New Roman"/>
                <w:sz w:val="24"/>
                <w:szCs w:val="24"/>
                <w:lang w:val="lv-LV"/>
              </w:rPr>
              <w:footnoteReference w:id="48"/>
            </w:r>
            <w:r w:rsidRPr="005C766A">
              <w:rPr>
                <w:rFonts w:ascii="Times New Roman" w:hAnsi="Times New Roman"/>
                <w:sz w:val="24"/>
                <w:szCs w:val="24"/>
                <w:lang w:val="lv-LV"/>
              </w:rPr>
              <w:t>.</w:t>
            </w:r>
          </w:p>
          <w:p w14:paraId="49640C2D" w14:textId="77777777" w:rsidR="00FB0972" w:rsidRPr="005C766A" w:rsidRDefault="00FB0972"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Saskaņā ar Rīgas tūrisma koordinācijas un informācijas centra 2009.gada aptauju 48%  tūristu ceļošanas galamērķis bija pilsētas apskate, 27% - kultūrvēsturisko vietu un objektu apskate, savukārt 7% </w:t>
            </w:r>
            <w:r w:rsidR="00784711" w:rsidRPr="005C766A">
              <w:rPr>
                <w:rFonts w:ascii="Times New Roman" w:hAnsi="Times New Roman"/>
                <w:sz w:val="24"/>
                <w:szCs w:val="24"/>
                <w:lang w:val="lv-LV"/>
              </w:rPr>
              <w:t xml:space="preserve">- kultūras un sporta pasākumi. </w:t>
            </w:r>
            <w:r w:rsidRPr="005C766A">
              <w:rPr>
                <w:rFonts w:ascii="Times New Roman" w:hAnsi="Times New Roman"/>
                <w:sz w:val="24"/>
                <w:szCs w:val="24"/>
                <w:lang w:val="lv-LV"/>
              </w:rPr>
              <w:t>Būtībā kultūrvēsturisko vietu un objektu apskate ir līdzvērtīga pilsētas apskatei. Tūristu aptauja parāda, ka kultūr</w:t>
            </w:r>
            <w:r w:rsidR="00523645" w:rsidRPr="005C766A">
              <w:rPr>
                <w:rFonts w:ascii="Times New Roman" w:hAnsi="Times New Roman"/>
                <w:sz w:val="24"/>
                <w:szCs w:val="24"/>
                <w:lang w:val="lv-LV"/>
              </w:rPr>
              <w:t xml:space="preserve">as </w:t>
            </w:r>
            <w:r w:rsidRPr="005C766A">
              <w:rPr>
                <w:rFonts w:ascii="Times New Roman" w:hAnsi="Times New Roman"/>
                <w:sz w:val="24"/>
                <w:szCs w:val="24"/>
                <w:lang w:val="lv-LV"/>
              </w:rPr>
              <w:t>tūrisms ir nozīmīgs tūrisma segments</w:t>
            </w:r>
            <w:r w:rsidR="00784711" w:rsidRPr="005C766A">
              <w:rPr>
                <w:rFonts w:ascii="Times New Roman" w:hAnsi="Times New Roman"/>
                <w:sz w:val="24"/>
                <w:szCs w:val="24"/>
                <w:lang w:val="lv-LV"/>
              </w:rPr>
              <w:t>,</w:t>
            </w:r>
            <w:r w:rsidRPr="005C766A">
              <w:rPr>
                <w:rFonts w:ascii="Times New Roman" w:hAnsi="Times New Roman"/>
                <w:sz w:val="24"/>
                <w:szCs w:val="24"/>
                <w:lang w:val="lv-LV"/>
              </w:rPr>
              <w:t xml:space="preserve"> īpaši pilsētās. </w:t>
            </w:r>
          </w:p>
          <w:p w14:paraId="49640C2E" w14:textId="77777777" w:rsidR="00FB0972" w:rsidRPr="005C766A" w:rsidRDefault="00FB0972" w:rsidP="00267BCC">
            <w:pPr>
              <w:pStyle w:val="ListParagraph"/>
              <w:numPr>
                <w:ilvl w:val="0"/>
                <w:numId w:val="33"/>
              </w:numPr>
              <w:spacing w:line="240" w:lineRule="auto"/>
              <w:ind w:left="284"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Saskaņā ar Latvijas digitālo kultūras karti strauji pieaug ārvalstu apmeklējums muzejos. Ja 2010.gadā apmeklētāji - ārzemnieki grupās valsts</w:t>
            </w:r>
            <w:r w:rsidR="00523645" w:rsidRPr="005C766A">
              <w:rPr>
                <w:rFonts w:ascii="Times New Roman" w:hAnsi="Times New Roman"/>
                <w:sz w:val="24"/>
                <w:szCs w:val="24"/>
                <w:lang w:val="lv-LV"/>
              </w:rPr>
              <w:t xml:space="preserve"> un pašvaldību muzejos bija 137,</w:t>
            </w:r>
            <w:r w:rsidRPr="005C766A">
              <w:rPr>
                <w:rFonts w:ascii="Times New Roman" w:hAnsi="Times New Roman"/>
                <w:sz w:val="24"/>
                <w:szCs w:val="24"/>
                <w:lang w:val="lv-LV"/>
              </w:rPr>
              <w:t xml:space="preserve">7 </w:t>
            </w:r>
            <w:r w:rsidR="00523645" w:rsidRPr="005C766A">
              <w:rPr>
                <w:rFonts w:ascii="Times New Roman" w:hAnsi="Times New Roman"/>
                <w:sz w:val="24"/>
                <w:szCs w:val="24"/>
                <w:lang w:val="lv-LV"/>
              </w:rPr>
              <w:t>tūkst., tad 2012.gadā jau 188,</w:t>
            </w:r>
            <w:r w:rsidRPr="005C766A">
              <w:rPr>
                <w:rFonts w:ascii="Times New Roman" w:hAnsi="Times New Roman"/>
                <w:sz w:val="24"/>
                <w:szCs w:val="24"/>
                <w:lang w:val="lv-LV"/>
              </w:rPr>
              <w:t>4 tūkst. Kopējais valsts un pašvaldību akreditēto muzej</w:t>
            </w:r>
            <w:r w:rsidR="00523645" w:rsidRPr="005C766A">
              <w:rPr>
                <w:rFonts w:ascii="Times New Roman" w:hAnsi="Times New Roman"/>
                <w:sz w:val="24"/>
                <w:szCs w:val="24"/>
                <w:lang w:val="lv-LV"/>
              </w:rPr>
              <w:t>u apmeklējumus 2012.gadā bija 2,</w:t>
            </w:r>
            <w:r w:rsidRPr="005C766A">
              <w:rPr>
                <w:rFonts w:ascii="Times New Roman" w:hAnsi="Times New Roman"/>
                <w:sz w:val="24"/>
                <w:szCs w:val="24"/>
                <w:lang w:val="lv-LV"/>
              </w:rPr>
              <w:t>27 milj.</w:t>
            </w:r>
          </w:p>
          <w:p w14:paraId="49640C2F" w14:textId="77777777" w:rsidR="00B77F79" w:rsidRPr="005C766A" w:rsidRDefault="00B77F79" w:rsidP="00267BCC">
            <w:pPr>
              <w:pStyle w:val="ListParagraph"/>
              <w:spacing w:line="240" w:lineRule="auto"/>
              <w:ind w:left="284"/>
              <w:contextualSpacing w:val="0"/>
              <w:jc w:val="right"/>
              <w:rPr>
                <w:rFonts w:ascii="Times New Roman" w:hAnsi="Times New Roman"/>
                <w:sz w:val="24"/>
                <w:szCs w:val="24"/>
                <w:lang w:val="lv-LV"/>
              </w:rPr>
            </w:pPr>
          </w:p>
          <w:p w14:paraId="49640C30" w14:textId="77777777" w:rsidR="00B77F79" w:rsidRDefault="00B77F79" w:rsidP="00267BCC">
            <w:pPr>
              <w:pStyle w:val="ListParagraph"/>
              <w:spacing w:line="240" w:lineRule="auto"/>
              <w:ind w:left="284"/>
              <w:contextualSpacing w:val="0"/>
              <w:jc w:val="right"/>
              <w:rPr>
                <w:rFonts w:ascii="Times New Roman" w:hAnsi="Times New Roman"/>
                <w:sz w:val="24"/>
                <w:szCs w:val="24"/>
                <w:u w:val="single"/>
                <w:lang w:val="lv-LV"/>
              </w:rPr>
            </w:pPr>
          </w:p>
          <w:p w14:paraId="49640C31" w14:textId="77777777" w:rsidR="00B77F79" w:rsidRDefault="00B77F79" w:rsidP="00267BCC">
            <w:pPr>
              <w:pStyle w:val="ListParagraph"/>
              <w:spacing w:line="240" w:lineRule="auto"/>
              <w:ind w:left="284"/>
              <w:contextualSpacing w:val="0"/>
              <w:jc w:val="right"/>
              <w:rPr>
                <w:rFonts w:ascii="Times New Roman" w:hAnsi="Times New Roman"/>
                <w:sz w:val="24"/>
                <w:szCs w:val="24"/>
                <w:u w:val="single"/>
                <w:lang w:val="lv-LV"/>
              </w:rPr>
            </w:pPr>
          </w:p>
          <w:p w14:paraId="49640C32" w14:textId="77777777" w:rsidR="00B77F79" w:rsidRDefault="00B77F79" w:rsidP="00267BCC">
            <w:pPr>
              <w:pStyle w:val="ListParagraph"/>
              <w:spacing w:line="240" w:lineRule="auto"/>
              <w:ind w:left="284"/>
              <w:contextualSpacing w:val="0"/>
              <w:jc w:val="right"/>
              <w:rPr>
                <w:rFonts w:ascii="Times New Roman" w:hAnsi="Times New Roman"/>
                <w:sz w:val="24"/>
                <w:szCs w:val="24"/>
                <w:u w:val="single"/>
                <w:lang w:val="lv-LV"/>
              </w:rPr>
            </w:pPr>
          </w:p>
          <w:p w14:paraId="49640C33" w14:textId="77777777" w:rsidR="007C7A12" w:rsidRPr="00267BCC" w:rsidRDefault="007C7A12" w:rsidP="00267BCC">
            <w:pPr>
              <w:pStyle w:val="ListParagraph"/>
              <w:spacing w:line="240" w:lineRule="auto"/>
              <w:ind w:left="284"/>
              <w:contextualSpacing w:val="0"/>
              <w:jc w:val="right"/>
              <w:rPr>
                <w:rFonts w:ascii="Times New Roman" w:hAnsi="Times New Roman"/>
                <w:sz w:val="24"/>
                <w:szCs w:val="24"/>
                <w:u w:val="single"/>
                <w:lang w:val="lv-LV"/>
              </w:rPr>
            </w:pPr>
            <w:r w:rsidRPr="00267BCC">
              <w:rPr>
                <w:rFonts w:ascii="Times New Roman" w:hAnsi="Times New Roman"/>
                <w:sz w:val="24"/>
                <w:szCs w:val="24"/>
                <w:u w:val="single"/>
                <w:lang w:val="lv-LV"/>
              </w:rPr>
              <w:t>8.attēls</w:t>
            </w:r>
          </w:p>
          <w:p w14:paraId="49640C34" w14:textId="77777777" w:rsidR="00FB0972" w:rsidRPr="00267BCC" w:rsidRDefault="00FB0972" w:rsidP="00267BCC">
            <w:pPr>
              <w:jc w:val="center"/>
              <w:rPr>
                <w:b/>
                <w:u w:val="single"/>
                <w:lang w:val="lv-LV"/>
              </w:rPr>
            </w:pPr>
            <w:r w:rsidRPr="00267BCC">
              <w:rPr>
                <w:b/>
                <w:u w:val="single"/>
                <w:lang w:val="lv-LV"/>
              </w:rPr>
              <w:t>Apmeklētāji - ārzemnieki grupās valsts un pašvaldību muzejos</w:t>
            </w:r>
            <w:r w:rsidR="007C7A12" w:rsidRPr="00267BCC">
              <w:rPr>
                <w:b/>
                <w:u w:val="single"/>
                <w:lang w:val="lv-LV"/>
              </w:rPr>
              <w:t xml:space="preserve"> </w:t>
            </w:r>
            <w:r w:rsidRPr="00267BCC">
              <w:rPr>
                <w:b/>
                <w:u w:val="single"/>
                <w:lang w:val="lv-LV"/>
              </w:rPr>
              <w:t>(tūkst.)</w:t>
            </w:r>
          </w:p>
          <w:p w14:paraId="49640C35" w14:textId="77777777" w:rsidR="00FB0972" w:rsidRPr="00267BCC" w:rsidRDefault="00FB0972" w:rsidP="00267BCC">
            <w:pPr>
              <w:jc w:val="center"/>
              <w:rPr>
                <w:lang w:val="lv-LV"/>
              </w:rPr>
            </w:pPr>
            <w:r w:rsidRPr="00267BCC">
              <w:rPr>
                <w:noProof/>
                <w:lang w:val="lv-LV"/>
              </w:rPr>
              <w:drawing>
                <wp:inline distT="0" distB="0" distL="0" distR="0" wp14:anchorId="49640ECE" wp14:editId="49640ECF">
                  <wp:extent cx="5274310" cy="2657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640C36" w14:textId="77777777" w:rsidR="00E66ED5" w:rsidRPr="00267BCC" w:rsidRDefault="00FA18E3" w:rsidP="00267BCC">
            <w:pPr>
              <w:pStyle w:val="ListParagraph"/>
              <w:numPr>
                <w:ilvl w:val="0"/>
                <w:numId w:val="34"/>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Nozīmīga esošo un potenciālo kultūras tūrisma produktu daļa ir kultūrvēsturiskā mantojuma objekti. Kultūras tūrisms pagaidām neizma</w:t>
            </w:r>
            <w:r w:rsidR="00784711" w:rsidRPr="00267BCC">
              <w:rPr>
                <w:rFonts w:ascii="Times New Roman" w:hAnsi="Times New Roman"/>
                <w:sz w:val="24"/>
                <w:szCs w:val="24"/>
                <w:lang w:val="lv-LV"/>
              </w:rPr>
              <w:t>n</w:t>
            </w:r>
            <w:r w:rsidRPr="00267BCC">
              <w:rPr>
                <w:rFonts w:ascii="Times New Roman" w:hAnsi="Times New Roman"/>
                <w:sz w:val="24"/>
                <w:szCs w:val="24"/>
                <w:lang w:val="lv-LV"/>
              </w:rPr>
              <w:t>to savu potenciālu pakalpojumu sniegšanā un nenes to iespējamo peļņu, ko varētu gūt, ja tiktu veikti ieguldījumi ne tikai kultūras un vēstures pieminekļu restaurēšanā un saglabāšanā, bet arī to mērķtiecīgā izmantošanā tūrisma produkta un pakalpojumu veidošanā.</w:t>
            </w:r>
          </w:p>
          <w:p w14:paraId="49640C37" w14:textId="77777777" w:rsidR="00D027E6" w:rsidRPr="00267BCC" w:rsidRDefault="00E66ED5" w:rsidP="00267BCC">
            <w:pPr>
              <w:pStyle w:val="ListParagraph"/>
              <w:numPr>
                <w:ilvl w:val="0"/>
                <w:numId w:val="34"/>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b/>
                <w:sz w:val="24"/>
                <w:szCs w:val="24"/>
                <w:lang w:val="lv-LV"/>
              </w:rPr>
              <w:t>R</w:t>
            </w:r>
            <w:r w:rsidR="00E22B25" w:rsidRPr="00267BCC">
              <w:rPr>
                <w:rFonts w:ascii="Times New Roman" w:hAnsi="Times New Roman"/>
                <w:b/>
                <w:sz w:val="24"/>
                <w:szCs w:val="24"/>
                <w:lang w:val="lv-LV"/>
              </w:rPr>
              <w:t>esursi:</w:t>
            </w:r>
            <w:r w:rsidR="00E22B25" w:rsidRPr="00267BCC">
              <w:rPr>
                <w:rFonts w:ascii="Times New Roman" w:hAnsi="Times New Roman"/>
                <w:sz w:val="24"/>
                <w:szCs w:val="24"/>
                <w:lang w:val="lv-LV"/>
              </w:rPr>
              <w:t xml:space="preserve"> festivāli, </w:t>
            </w:r>
            <w:r w:rsidR="004014B7" w:rsidRPr="00267BCC">
              <w:rPr>
                <w:rFonts w:ascii="Times New Roman" w:hAnsi="Times New Roman"/>
                <w:sz w:val="24"/>
                <w:szCs w:val="24"/>
                <w:lang w:val="lv-LV"/>
              </w:rPr>
              <w:t>arhitektūra (kok</w:t>
            </w:r>
            <w:r w:rsidR="00784711" w:rsidRPr="00267BCC">
              <w:rPr>
                <w:rFonts w:ascii="Times New Roman" w:hAnsi="Times New Roman"/>
                <w:sz w:val="24"/>
                <w:szCs w:val="24"/>
                <w:lang w:val="lv-LV"/>
              </w:rPr>
              <w:t>a arhitektūra, j</w:t>
            </w:r>
            <w:r w:rsidR="004014B7" w:rsidRPr="00267BCC">
              <w:rPr>
                <w:rFonts w:ascii="Times New Roman" w:hAnsi="Times New Roman"/>
                <w:sz w:val="24"/>
                <w:szCs w:val="24"/>
                <w:lang w:val="lv-LV"/>
              </w:rPr>
              <w:t>ūgendstils, pilis un muižas, pilsētu vēsturiskie centri, sakrālas ēkas u.c.)</w:t>
            </w:r>
            <w:r w:rsidR="00E22B25" w:rsidRPr="00267BCC">
              <w:rPr>
                <w:rFonts w:ascii="Times New Roman" w:hAnsi="Times New Roman"/>
                <w:sz w:val="24"/>
                <w:szCs w:val="24"/>
                <w:lang w:val="lv-LV"/>
              </w:rPr>
              <w:t>,</w:t>
            </w:r>
            <w:r w:rsidR="004014B7" w:rsidRPr="00267BCC">
              <w:rPr>
                <w:rFonts w:ascii="Times New Roman" w:hAnsi="Times New Roman"/>
                <w:sz w:val="24"/>
                <w:szCs w:val="24"/>
                <w:lang w:val="lv-LV"/>
              </w:rPr>
              <w:t xml:space="preserve"> </w:t>
            </w:r>
            <w:r w:rsidR="00154C14" w:rsidRPr="00267BCC">
              <w:rPr>
                <w:rFonts w:ascii="Times New Roman" w:hAnsi="Times New Roman"/>
                <w:sz w:val="24"/>
                <w:szCs w:val="24"/>
                <w:lang w:val="lv-LV"/>
              </w:rPr>
              <w:t xml:space="preserve">Latvijas kultūras kanonā iekļautās vērtības gastronomija, </w:t>
            </w:r>
            <w:r w:rsidR="004014B7" w:rsidRPr="00267BCC">
              <w:rPr>
                <w:rFonts w:ascii="Times New Roman" w:hAnsi="Times New Roman"/>
                <w:sz w:val="24"/>
                <w:szCs w:val="24"/>
                <w:lang w:val="lv-LV"/>
              </w:rPr>
              <w:t xml:space="preserve">ar </w:t>
            </w:r>
            <w:r w:rsidR="00784711" w:rsidRPr="00267BCC">
              <w:rPr>
                <w:rFonts w:ascii="Times New Roman" w:hAnsi="Times New Roman"/>
                <w:sz w:val="24"/>
                <w:szCs w:val="24"/>
                <w:lang w:val="lv-LV"/>
              </w:rPr>
              <w:t xml:space="preserve">militāro mantojumu (īpaša interese </w:t>
            </w:r>
            <w:r w:rsidR="00060CB0" w:rsidRPr="00267BCC">
              <w:rPr>
                <w:rFonts w:ascii="Times New Roman" w:hAnsi="Times New Roman"/>
                <w:sz w:val="24"/>
                <w:szCs w:val="24"/>
                <w:lang w:val="lv-LV"/>
              </w:rPr>
              <w:t xml:space="preserve">par PSRS periodu) </w:t>
            </w:r>
            <w:r w:rsidR="00E22B25" w:rsidRPr="00267BCC">
              <w:rPr>
                <w:rFonts w:ascii="Times New Roman" w:hAnsi="Times New Roman"/>
                <w:sz w:val="24"/>
                <w:szCs w:val="24"/>
                <w:lang w:val="lv-LV"/>
              </w:rPr>
              <w:t xml:space="preserve">saistītas vietas, </w:t>
            </w:r>
            <w:r w:rsidR="004014B7" w:rsidRPr="00267BCC">
              <w:rPr>
                <w:rFonts w:ascii="Times New Roman" w:hAnsi="Times New Roman"/>
                <w:sz w:val="24"/>
                <w:szCs w:val="24"/>
                <w:lang w:val="lv-LV"/>
              </w:rPr>
              <w:t>nemateriālais kultūras mantojums (amatu prasmes, rituāli, tautas medicīna)</w:t>
            </w:r>
            <w:r w:rsidR="00E22B25" w:rsidRPr="00267BCC">
              <w:rPr>
                <w:rFonts w:ascii="Times New Roman" w:hAnsi="Times New Roman"/>
                <w:sz w:val="24"/>
                <w:szCs w:val="24"/>
                <w:lang w:val="lv-LV"/>
              </w:rPr>
              <w:t xml:space="preserve">, </w:t>
            </w:r>
            <w:r w:rsidR="004014B7" w:rsidRPr="00267BCC">
              <w:rPr>
                <w:rFonts w:ascii="Times New Roman" w:hAnsi="Times New Roman"/>
                <w:sz w:val="24"/>
                <w:szCs w:val="24"/>
                <w:lang w:val="lv-LV"/>
              </w:rPr>
              <w:t>dizains, radošie kvartāli un mūsdienu kultūras centri</w:t>
            </w:r>
            <w:r w:rsidR="00E22B25" w:rsidRPr="00267BCC">
              <w:rPr>
                <w:rFonts w:ascii="Times New Roman" w:hAnsi="Times New Roman"/>
                <w:sz w:val="24"/>
                <w:szCs w:val="24"/>
                <w:lang w:val="lv-LV"/>
              </w:rPr>
              <w:t xml:space="preserve">, </w:t>
            </w:r>
            <w:r w:rsidR="004014B7" w:rsidRPr="00267BCC">
              <w:rPr>
                <w:rFonts w:ascii="Times New Roman" w:hAnsi="Times New Roman"/>
                <w:sz w:val="24"/>
                <w:szCs w:val="24"/>
                <w:lang w:val="lv-LV"/>
              </w:rPr>
              <w:t>muzeji</w:t>
            </w:r>
            <w:r w:rsidR="00E22B25" w:rsidRPr="00267BCC">
              <w:rPr>
                <w:rFonts w:ascii="Times New Roman" w:hAnsi="Times New Roman"/>
                <w:sz w:val="24"/>
                <w:szCs w:val="24"/>
                <w:lang w:val="lv-LV"/>
              </w:rPr>
              <w:t xml:space="preserve">, </w:t>
            </w:r>
            <w:r w:rsidR="004014B7" w:rsidRPr="00267BCC">
              <w:rPr>
                <w:rFonts w:ascii="Times New Roman" w:hAnsi="Times New Roman"/>
                <w:sz w:val="24"/>
                <w:szCs w:val="24"/>
                <w:lang w:val="lv-LV"/>
              </w:rPr>
              <w:t>tematiski parki</w:t>
            </w:r>
            <w:r w:rsidR="00E22B25" w:rsidRPr="00267BCC">
              <w:rPr>
                <w:rFonts w:ascii="Times New Roman" w:hAnsi="Times New Roman"/>
                <w:sz w:val="24"/>
                <w:szCs w:val="24"/>
                <w:lang w:val="lv-LV"/>
              </w:rPr>
              <w:t>,</w:t>
            </w:r>
            <w:r w:rsidR="004014B7" w:rsidRPr="00267BCC">
              <w:rPr>
                <w:rFonts w:ascii="Times New Roman" w:hAnsi="Times New Roman"/>
                <w:sz w:val="24"/>
                <w:szCs w:val="24"/>
                <w:lang w:val="lv-LV"/>
              </w:rPr>
              <w:t xml:space="preserve"> radošās pilsētvides</w:t>
            </w:r>
            <w:r w:rsidR="00E22B25" w:rsidRPr="00267BCC">
              <w:rPr>
                <w:rFonts w:ascii="Times New Roman" w:hAnsi="Times New Roman"/>
                <w:sz w:val="24"/>
                <w:szCs w:val="24"/>
                <w:lang w:val="lv-LV"/>
              </w:rPr>
              <w:t xml:space="preserve">, </w:t>
            </w:r>
            <w:r w:rsidR="004014B7" w:rsidRPr="00267BCC">
              <w:rPr>
                <w:rFonts w:ascii="Times New Roman" w:hAnsi="Times New Roman"/>
                <w:sz w:val="24"/>
                <w:szCs w:val="24"/>
                <w:lang w:val="lv-LV"/>
              </w:rPr>
              <w:t xml:space="preserve">kultūrtelpas, ko vietējie iedzīvotāji un tūristi atzīst </w:t>
            </w:r>
            <w:r w:rsidR="00E22B25" w:rsidRPr="00267BCC">
              <w:rPr>
                <w:rFonts w:ascii="Times New Roman" w:hAnsi="Times New Roman"/>
                <w:sz w:val="24"/>
                <w:szCs w:val="24"/>
                <w:lang w:val="lv-LV"/>
              </w:rPr>
              <w:t>par savdabīgām un īpaš</w:t>
            </w:r>
            <w:r w:rsidR="00784711" w:rsidRPr="00267BCC">
              <w:rPr>
                <w:rFonts w:ascii="Times New Roman" w:hAnsi="Times New Roman"/>
                <w:sz w:val="24"/>
                <w:szCs w:val="24"/>
                <w:lang w:val="lv-LV"/>
              </w:rPr>
              <w:t xml:space="preserve">ām </w:t>
            </w:r>
            <w:r w:rsidR="004014B7" w:rsidRPr="00267BCC">
              <w:rPr>
                <w:rFonts w:ascii="Times New Roman" w:hAnsi="Times New Roman"/>
                <w:sz w:val="24"/>
                <w:szCs w:val="24"/>
                <w:lang w:val="lv-LV"/>
              </w:rPr>
              <w:t>dzīves stila vērtī</w:t>
            </w:r>
            <w:r w:rsidR="00784711" w:rsidRPr="00267BCC">
              <w:rPr>
                <w:rFonts w:ascii="Times New Roman" w:hAnsi="Times New Roman"/>
                <w:sz w:val="24"/>
                <w:szCs w:val="24"/>
                <w:lang w:val="lv-LV"/>
              </w:rPr>
              <w:t>bām, tradīcijas, pasākumi</w:t>
            </w:r>
            <w:r w:rsidR="004014B7" w:rsidRPr="00267BCC">
              <w:rPr>
                <w:rFonts w:ascii="Times New Roman" w:hAnsi="Times New Roman"/>
                <w:sz w:val="24"/>
                <w:szCs w:val="24"/>
                <w:lang w:val="lv-LV"/>
              </w:rPr>
              <w:t>, izklaides piedāvājums.</w:t>
            </w:r>
          </w:p>
        </w:tc>
      </w:tr>
    </w:tbl>
    <w:p w14:paraId="49640C39" w14:textId="77777777" w:rsidR="00AF5831" w:rsidRPr="00267BCC" w:rsidRDefault="00AF5831" w:rsidP="00267BCC">
      <w:pPr>
        <w:rPr>
          <w:lang w:val="lv-LV"/>
        </w:rPr>
      </w:pPr>
    </w:p>
    <w:p w14:paraId="49640C3A" w14:textId="77777777" w:rsidR="00783831" w:rsidRPr="00267BCC" w:rsidRDefault="00783831" w:rsidP="00267BCC">
      <w:pPr>
        <w:pStyle w:val="Heading2"/>
        <w:numPr>
          <w:ilvl w:val="1"/>
          <w:numId w:val="24"/>
        </w:numPr>
        <w:rPr>
          <w:lang w:val="lv-LV"/>
        </w:rPr>
      </w:pPr>
      <w:bookmarkStart w:id="26" w:name="_Toc381256662"/>
      <w:r w:rsidRPr="00267BCC">
        <w:rPr>
          <w:lang w:val="lv-LV"/>
        </w:rPr>
        <w:t>Reģionālais novērtējums</w:t>
      </w:r>
      <w:bookmarkEnd w:id="26"/>
    </w:p>
    <w:p w14:paraId="49640C3B" w14:textId="77777777" w:rsidR="00AF5831" w:rsidRPr="00267BCC" w:rsidRDefault="00AF5831" w:rsidP="00267BCC">
      <w:pPr>
        <w:ind w:firstLine="567"/>
        <w:jc w:val="both"/>
        <w:rPr>
          <w:lang w:val="lv-LV"/>
        </w:rPr>
      </w:pPr>
    </w:p>
    <w:p w14:paraId="49640C3C" w14:textId="0C2C3BAC" w:rsidR="000647C9" w:rsidRPr="00267BCC" w:rsidRDefault="000647C9" w:rsidP="00267BCC">
      <w:pPr>
        <w:ind w:firstLine="720"/>
        <w:jc w:val="both"/>
        <w:rPr>
          <w:lang w:val="lv-LV"/>
        </w:rPr>
      </w:pPr>
      <w:r w:rsidRPr="00267BCC">
        <w:rPr>
          <w:lang w:val="lv-LV"/>
        </w:rPr>
        <w:lastRenderedPageBreak/>
        <w:t xml:space="preserve">Dažus mēnešus pēc administratīvi teritoriālās reformas īstenošanas 2009.gadā 75% jauno novadu oficiālajās tīmekļa vietnēs jau </w:t>
      </w:r>
      <w:r w:rsidR="00F45785" w:rsidRPr="00267BCC">
        <w:rPr>
          <w:lang w:val="lv-LV"/>
        </w:rPr>
        <w:t>bija</w:t>
      </w:r>
      <w:r w:rsidRPr="00267BCC">
        <w:rPr>
          <w:lang w:val="lv-LV"/>
        </w:rPr>
        <w:t xml:space="preserve"> tū</w:t>
      </w:r>
      <w:r w:rsidR="007F4A48">
        <w:rPr>
          <w:lang w:val="lv-LV"/>
        </w:rPr>
        <w:t>risma sadaļa (82 novadiem no 110</w:t>
      </w:r>
      <w:bookmarkStart w:id="27" w:name="_GoBack"/>
      <w:bookmarkEnd w:id="27"/>
      <w:r w:rsidRPr="00267BCC">
        <w:rPr>
          <w:lang w:val="lv-LV"/>
        </w:rPr>
        <w:t xml:space="preserve">). Pēc diviem gadiem – </w:t>
      </w:r>
      <w:r w:rsidR="00F45785" w:rsidRPr="00267BCC">
        <w:rPr>
          <w:lang w:val="lv-LV"/>
        </w:rPr>
        <w:t>atlikuši</w:t>
      </w:r>
      <w:r w:rsidRPr="00267BCC">
        <w:rPr>
          <w:lang w:val="lv-LV"/>
        </w:rPr>
        <w:t xml:space="preserve"> tikai </w:t>
      </w:r>
      <w:r w:rsidR="00F45785" w:rsidRPr="00267BCC">
        <w:rPr>
          <w:lang w:val="lv-LV"/>
        </w:rPr>
        <w:t>atsevišķi</w:t>
      </w:r>
      <w:r w:rsidRPr="00267BCC">
        <w:rPr>
          <w:lang w:val="lv-LV"/>
        </w:rPr>
        <w:t xml:space="preserve"> novadi, kas tūrisma nozari nav centušies izcelt kā būtisku. 2009.gadā 44% novadu </w:t>
      </w:r>
      <w:r w:rsidR="00F45785" w:rsidRPr="00267BCC">
        <w:rPr>
          <w:lang w:val="lv-LV"/>
        </w:rPr>
        <w:t>nebija</w:t>
      </w:r>
      <w:r w:rsidRPr="00267BCC">
        <w:rPr>
          <w:lang w:val="lv-LV"/>
        </w:rPr>
        <w:t xml:space="preserve"> organizētu tūrisma informācijas sniedzēju, bet četriem novadiem </w:t>
      </w:r>
      <w:r w:rsidR="00F45785" w:rsidRPr="00267BCC">
        <w:rPr>
          <w:lang w:val="lv-LV"/>
        </w:rPr>
        <w:t>bija</w:t>
      </w:r>
      <w:r w:rsidRPr="00267BCC">
        <w:rPr>
          <w:lang w:val="lv-LV"/>
        </w:rPr>
        <w:t xml:space="preserve"> divi vai vairāki </w:t>
      </w:r>
      <w:r w:rsidR="00F45785" w:rsidRPr="00267BCC">
        <w:rPr>
          <w:lang w:val="lv-LV"/>
        </w:rPr>
        <w:t>TIC</w:t>
      </w:r>
      <w:r w:rsidRPr="00267BCC">
        <w:rPr>
          <w:lang w:val="lv-LV"/>
        </w:rPr>
        <w:t xml:space="preserve">. </w:t>
      </w:r>
      <w:r w:rsidR="00F45785" w:rsidRPr="00267BCC">
        <w:rPr>
          <w:lang w:val="lv-LV"/>
        </w:rPr>
        <w:t>Šāda situācija izveidojās 26 rajonu reorganizēšanas dēļ</w:t>
      </w:r>
      <w:r w:rsidRPr="00267BCC">
        <w:rPr>
          <w:lang w:val="lv-LV"/>
        </w:rPr>
        <w:t>, jo tad TIC teritoriālās pārstāvniecības lauks bija plašāks, aptverot visus bijušo rajonu pagastus</w:t>
      </w:r>
      <w:r w:rsidR="00F45785" w:rsidRPr="00267BCC">
        <w:rPr>
          <w:lang w:val="lv-LV"/>
        </w:rPr>
        <w:t xml:space="preserve">, </w:t>
      </w:r>
      <w:r w:rsidRPr="00267BCC">
        <w:rPr>
          <w:lang w:val="lv-LV"/>
        </w:rPr>
        <w:t>atsevišķiem TIC esot pārstāvētiem vien citās rajonu pilsētās.</w:t>
      </w:r>
    </w:p>
    <w:p w14:paraId="49640C3D" w14:textId="77777777" w:rsidR="00EA2806" w:rsidRDefault="000647C9" w:rsidP="00267BCC">
      <w:pPr>
        <w:ind w:firstLine="720"/>
        <w:jc w:val="both"/>
        <w:rPr>
          <w:lang w:val="lv-LV"/>
        </w:rPr>
      </w:pPr>
      <w:r w:rsidRPr="00267BCC">
        <w:rPr>
          <w:bCs/>
          <w:lang w:val="lv-LV"/>
        </w:rPr>
        <w:t>Pārskatot 2013.gadā aktuālās</w:t>
      </w:r>
      <w:r w:rsidRPr="00267BCC">
        <w:rPr>
          <w:b/>
          <w:bCs/>
          <w:lang w:val="lv-LV"/>
        </w:rPr>
        <w:t xml:space="preserve"> </w:t>
      </w:r>
      <w:r w:rsidRPr="00267BCC">
        <w:rPr>
          <w:bCs/>
          <w:lang w:val="lv-LV"/>
        </w:rPr>
        <w:t>novadu izstrādātās attīstības programmas (vai izstrādes darba versijā esošās) (n</w:t>
      </w:r>
      <w:r w:rsidRPr="00267BCC">
        <w:rPr>
          <w:b/>
          <w:bCs/>
          <w:lang w:val="lv-LV"/>
        </w:rPr>
        <w:t>=</w:t>
      </w:r>
      <w:r w:rsidRPr="00267BCC">
        <w:rPr>
          <w:lang w:val="lv-LV"/>
        </w:rPr>
        <w:t xml:space="preserve">71), 35 novadu attīstības dokumentos tūrisms identificēts kā novadam prioritāra nozare, visbiežāk akcentējot kultūras tūrisma virzību. Trešajai daļai no šiem novadiem attīstības programmā iestrādāta atsevišķa „tūrisma sadaļa”. Nozīmīgākajiem galamērķiem ir pat vairākas dažādu līmeņu stratēģijas, kas ir savstarpēji papildinošas. </w:t>
      </w:r>
      <w:r w:rsidR="00EA2806" w:rsidRPr="00267BCC">
        <w:rPr>
          <w:lang w:val="lv-LV"/>
        </w:rPr>
        <w:t>Ņemot vērā, ka TOP objekti ir stratēģiski izvēlēti noteiktu jomu vai reģionu reprezentējoši enkurobjekti, tad arī turpmāk nepieciešama precīza un padziļināta to apmeklētāju monitorēšana, kas sniegtu indikatīvus rādītājus pārējiem tūrisma pakalpojumu sniedzējiem.</w:t>
      </w:r>
    </w:p>
    <w:p w14:paraId="49640C3E" w14:textId="77777777" w:rsidR="00361788" w:rsidRPr="00267BCC" w:rsidRDefault="00361788" w:rsidP="00267BCC">
      <w:pPr>
        <w:ind w:firstLine="720"/>
        <w:jc w:val="both"/>
        <w:rPr>
          <w:lang w:val="lv-LV"/>
        </w:rPr>
      </w:pPr>
    </w:p>
    <w:p w14:paraId="49640C3F" w14:textId="77777777" w:rsidR="005F49DC" w:rsidRPr="00267BCC" w:rsidRDefault="005F49DC" w:rsidP="00267BCC">
      <w:pPr>
        <w:rPr>
          <w:bCs/>
          <w:lang w:val="lv-LV"/>
        </w:rPr>
      </w:pPr>
    </w:p>
    <w:p w14:paraId="49640C40" w14:textId="77777777" w:rsidR="005F49DC" w:rsidRPr="00267BCC" w:rsidRDefault="005F49DC" w:rsidP="00267BCC">
      <w:pPr>
        <w:pStyle w:val="Heading3"/>
        <w:numPr>
          <w:ilvl w:val="2"/>
          <w:numId w:val="24"/>
        </w:numPr>
        <w:rPr>
          <w:lang w:val="lv-LV"/>
        </w:rPr>
      </w:pPr>
      <w:bookmarkStart w:id="28" w:name="_Toc381256663"/>
      <w:r w:rsidRPr="00267BCC">
        <w:rPr>
          <w:lang w:val="lv-LV"/>
        </w:rPr>
        <w:t>Apmeklējumu skaita un rakstura izvērtējums galvenajās (TOP 50) tūristu piesaistes vietās Latvijā, tūrisma reģioni</w:t>
      </w:r>
      <w:bookmarkEnd w:id="28"/>
    </w:p>
    <w:p w14:paraId="49640C41" w14:textId="77777777" w:rsidR="005F49DC" w:rsidRPr="00267BCC" w:rsidRDefault="005F49DC" w:rsidP="00267BCC">
      <w:pPr>
        <w:ind w:firstLine="720"/>
        <w:jc w:val="both"/>
        <w:rPr>
          <w:lang w:val="lv-LV"/>
        </w:rPr>
      </w:pPr>
    </w:p>
    <w:p w14:paraId="49640C42" w14:textId="77777777" w:rsidR="005F49DC" w:rsidRPr="005C766A" w:rsidRDefault="00A0639D" w:rsidP="00267BCC">
      <w:pPr>
        <w:ind w:firstLine="720"/>
        <w:jc w:val="both"/>
        <w:rPr>
          <w:lang w:val="lv-LV"/>
        </w:rPr>
      </w:pPr>
      <w:r w:rsidRPr="00267BCC">
        <w:rPr>
          <w:lang w:val="lv-LV"/>
        </w:rPr>
        <w:t xml:space="preserve">Lai, izmantojot nediferencētā mārketinga pieeju, būtu vieglāk komunicēt </w:t>
      </w:r>
      <w:r w:rsidR="00C15661" w:rsidRPr="00267BCC">
        <w:rPr>
          <w:lang w:val="lv-LV"/>
        </w:rPr>
        <w:t>ar</w:t>
      </w:r>
      <w:r w:rsidR="005F49DC" w:rsidRPr="00267BCC">
        <w:rPr>
          <w:lang w:val="lv-LV"/>
        </w:rPr>
        <w:t xml:space="preserve"> iespējami plašu</w:t>
      </w:r>
      <w:r w:rsidR="00C15661" w:rsidRPr="00267BCC">
        <w:rPr>
          <w:lang w:val="lv-LV"/>
        </w:rPr>
        <w:t xml:space="preserve"> </w:t>
      </w:r>
      <w:r w:rsidR="0051753C" w:rsidRPr="00267BCC">
        <w:rPr>
          <w:u w:val="single"/>
          <w:lang w:val="lv-LV"/>
        </w:rPr>
        <w:t>ārvalstu</w:t>
      </w:r>
      <w:r w:rsidR="0051753C" w:rsidRPr="00267BCC">
        <w:rPr>
          <w:lang w:val="lv-LV"/>
        </w:rPr>
        <w:t xml:space="preserve"> </w:t>
      </w:r>
      <w:r w:rsidR="00C15661" w:rsidRPr="00267BCC">
        <w:rPr>
          <w:lang w:val="lv-LV"/>
        </w:rPr>
        <w:t>mērķauditoriju, jau kopš 2011.</w:t>
      </w:r>
      <w:r w:rsidR="005F49DC" w:rsidRPr="00267BCC">
        <w:rPr>
          <w:lang w:val="lv-LV"/>
        </w:rPr>
        <w:t xml:space="preserve">gada TAVA sadarbībā ar reģionālajām tūrisma asociācijām izveidojusi </w:t>
      </w:r>
      <w:r w:rsidR="005F49DC" w:rsidRPr="005C766A">
        <w:rPr>
          <w:lang w:val="lv-LV"/>
        </w:rPr>
        <w:t xml:space="preserve">TOP10 </w:t>
      </w:r>
      <w:r w:rsidRPr="005C766A">
        <w:rPr>
          <w:lang w:val="lv-LV"/>
        </w:rPr>
        <w:t xml:space="preserve">tūristu piesaistes vietas </w:t>
      </w:r>
      <w:r w:rsidR="005F49DC" w:rsidRPr="005C766A">
        <w:rPr>
          <w:lang w:val="lv-LV"/>
        </w:rPr>
        <w:t xml:space="preserve">katram </w:t>
      </w:r>
      <w:r w:rsidR="0051753C" w:rsidRPr="005C766A">
        <w:rPr>
          <w:lang w:val="lv-LV"/>
        </w:rPr>
        <w:t xml:space="preserve">plānošanas </w:t>
      </w:r>
      <w:r w:rsidR="005F49DC" w:rsidRPr="005C766A">
        <w:rPr>
          <w:lang w:val="lv-LV"/>
        </w:rPr>
        <w:t xml:space="preserve">reģionam. Tas tiek popularizēts Latvijas tūrisma kartes veidā – </w:t>
      </w:r>
      <w:r w:rsidR="00C15661" w:rsidRPr="005C766A">
        <w:rPr>
          <w:lang w:val="lv-LV"/>
        </w:rPr>
        <w:t xml:space="preserve">drukātā un </w:t>
      </w:r>
      <w:r w:rsidR="0051753C" w:rsidRPr="005C766A">
        <w:rPr>
          <w:lang w:val="lv-LV"/>
        </w:rPr>
        <w:t>digitālā</w:t>
      </w:r>
      <w:r w:rsidR="00C15661" w:rsidRPr="005C766A">
        <w:rPr>
          <w:lang w:val="lv-LV"/>
        </w:rPr>
        <w:t xml:space="preserve"> formātā. Šī </w:t>
      </w:r>
      <w:r w:rsidR="005F49DC" w:rsidRPr="005C766A">
        <w:rPr>
          <w:lang w:val="lv-LV"/>
        </w:rPr>
        <w:t>pieeja uzskatāma par reģionālo tūrismu atbalstošu praksi</w:t>
      </w:r>
      <w:r w:rsidR="00C15661" w:rsidRPr="005C766A">
        <w:rPr>
          <w:lang w:val="lv-LV"/>
        </w:rPr>
        <w:t xml:space="preserve">, ļaujot </w:t>
      </w:r>
      <w:r w:rsidR="0051753C" w:rsidRPr="005C766A">
        <w:rPr>
          <w:lang w:val="lv-LV"/>
        </w:rPr>
        <w:t xml:space="preserve">ārpus Rīgas </w:t>
      </w:r>
      <w:r w:rsidRPr="005C766A">
        <w:rPr>
          <w:lang w:val="lv-LV"/>
        </w:rPr>
        <w:t xml:space="preserve">esošajiem </w:t>
      </w:r>
      <w:r w:rsidR="0051753C" w:rsidRPr="005C766A">
        <w:rPr>
          <w:lang w:val="lv-LV"/>
        </w:rPr>
        <w:t>galamērķiem</w:t>
      </w:r>
      <w:r w:rsidR="00C15661" w:rsidRPr="005C766A">
        <w:rPr>
          <w:lang w:val="lv-LV"/>
        </w:rPr>
        <w:t xml:space="preserve"> būt līdzvērtīgākiem </w:t>
      </w:r>
      <w:r w:rsidR="0051753C" w:rsidRPr="005C766A">
        <w:rPr>
          <w:lang w:val="lv-LV"/>
        </w:rPr>
        <w:t>galvaspilsētas</w:t>
      </w:r>
      <w:r w:rsidR="00C15661" w:rsidRPr="005C766A">
        <w:rPr>
          <w:lang w:val="lv-LV"/>
        </w:rPr>
        <w:t xml:space="preserve"> dominancei</w:t>
      </w:r>
      <w:r w:rsidR="0051753C" w:rsidRPr="005C766A">
        <w:rPr>
          <w:lang w:val="lv-LV"/>
        </w:rPr>
        <w:t xml:space="preserve"> tūrisma eksporta jomā. Līdzīgs princips tiek ievērots dažādu izdevniecību izdotajos ceļvežos par Latviju vai Baltiju, tajos iekļaujot </w:t>
      </w:r>
      <w:r w:rsidRPr="005C766A">
        <w:rPr>
          <w:lang w:val="lv-LV"/>
        </w:rPr>
        <w:t>obligāti</w:t>
      </w:r>
      <w:r w:rsidR="0051753C" w:rsidRPr="005C766A">
        <w:rPr>
          <w:lang w:val="lv-LV"/>
        </w:rPr>
        <w:t xml:space="preserve"> apmeklējamos galamērķus un autoru </w:t>
      </w:r>
      <w:r w:rsidRPr="005C766A">
        <w:rPr>
          <w:lang w:val="lv-LV"/>
        </w:rPr>
        <w:t>iz</w:t>
      </w:r>
      <w:r w:rsidR="0051753C" w:rsidRPr="005C766A">
        <w:rPr>
          <w:lang w:val="lv-LV"/>
        </w:rPr>
        <w:t xml:space="preserve">veidotu </w:t>
      </w:r>
      <w:r w:rsidRPr="005C766A">
        <w:rPr>
          <w:lang w:val="lv-LV"/>
        </w:rPr>
        <w:t>vietu, objektu vai pasākumu izlasi.</w:t>
      </w:r>
    </w:p>
    <w:p w14:paraId="49640C43" w14:textId="77777777" w:rsidR="005F49DC" w:rsidRPr="00267BCC" w:rsidRDefault="005F49DC" w:rsidP="00267BCC">
      <w:pPr>
        <w:ind w:firstLine="720"/>
        <w:jc w:val="both"/>
        <w:rPr>
          <w:lang w:val="lv-LV"/>
        </w:rPr>
      </w:pPr>
      <w:r w:rsidRPr="005C766A">
        <w:rPr>
          <w:lang w:val="lv-LV"/>
        </w:rPr>
        <w:t>Pieeja TOP veidoš</w:t>
      </w:r>
      <w:r w:rsidR="0051753C" w:rsidRPr="005C766A">
        <w:rPr>
          <w:lang w:val="lv-LV"/>
        </w:rPr>
        <w:t>anā ir bijusi koleģiāla – katrai</w:t>
      </w:r>
      <w:r w:rsidRPr="005C766A">
        <w:rPr>
          <w:lang w:val="lv-LV"/>
        </w:rPr>
        <w:t xml:space="preserve"> </w:t>
      </w:r>
      <w:r w:rsidR="0051753C" w:rsidRPr="005C766A">
        <w:rPr>
          <w:lang w:val="lv-LV"/>
        </w:rPr>
        <w:t>reģionālajai asociācijai</w:t>
      </w:r>
      <w:r w:rsidRPr="00267BCC">
        <w:rPr>
          <w:lang w:val="lv-LV"/>
        </w:rPr>
        <w:t xml:space="preserve"> nosakot 10 populārākos tūrisma objektus, Rīgai un Jūrmalai – 12. Reģionu atšķirīgais lielums un pieeja</w:t>
      </w:r>
      <w:r w:rsidR="00E677FE" w:rsidRPr="00267BCC">
        <w:rPr>
          <w:lang w:val="lv-LV"/>
        </w:rPr>
        <w:t>mie resursi netika ņemti vērā, p</w:t>
      </w:r>
      <w:r w:rsidRPr="00267BCC">
        <w:rPr>
          <w:lang w:val="lv-LV"/>
        </w:rPr>
        <w:t xml:space="preserve">iemēram, </w:t>
      </w:r>
      <w:r w:rsidR="00E677FE" w:rsidRPr="00267BCC">
        <w:rPr>
          <w:lang w:val="lv-LV"/>
        </w:rPr>
        <w:t xml:space="preserve">trīs </w:t>
      </w:r>
      <w:r w:rsidRPr="00267BCC">
        <w:rPr>
          <w:lang w:val="lv-LV"/>
        </w:rPr>
        <w:t>Zemgales objekti atrodas Daugavas labajā krastā, kas attiecībā uz tūrisma reģioniem vairāk atbilst Vidzemei</w:t>
      </w:r>
      <w:r w:rsidR="00676C56" w:rsidRPr="00267BCC">
        <w:rPr>
          <w:lang w:val="lv-LV"/>
        </w:rPr>
        <w:t xml:space="preserve"> (3.pielikums)</w:t>
      </w:r>
      <w:r w:rsidRPr="00267BCC">
        <w:rPr>
          <w:lang w:val="lv-LV"/>
        </w:rPr>
        <w:t>.</w:t>
      </w:r>
    </w:p>
    <w:p w14:paraId="49640C44" w14:textId="77777777" w:rsidR="005F49DC" w:rsidRPr="005C766A" w:rsidRDefault="0051753C" w:rsidP="00267BCC">
      <w:pPr>
        <w:ind w:firstLine="720"/>
        <w:jc w:val="both"/>
        <w:rPr>
          <w:lang w:val="lv-LV"/>
        </w:rPr>
      </w:pPr>
      <w:r w:rsidRPr="005C766A">
        <w:rPr>
          <w:lang w:val="lv-LV"/>
        </w:rPr>
        <w:t>Reģionālās tūrisma</w:t>
      </w:r>
      <w:r w:rsidR="005F49DC" w:rsidRPr="005C766A">
        <w:rPr>
          <w:lang w:val="lv-LV"/>
        </w:rPr>
        <w:t xml:space="preserve"> asociācijas centušās noteikt ne tikai populārākos, </w:t>
      </w:r>
      <w:r w:rsidR="00C46D02" w:rsidRPr="005C766A">
        <w:rPr>
          <w:lang w:val="lv-LV"/>
        </w:rPr>
        <w:t>bet</w:t>
      </w:r>
      <w:r w:rsidR="005F49DC" w:rsidRPr="005C766A">
        <w:rPr>
          <w:lang w:val="lv-LV"/>
        </w:rPr>
        <w:t xml:space="preserve"> arī stratēģiski </w:t>
      </w:r>
      <w:r w:rsidR="00C46D02" w:rsidRPr="005C766A">
        <w:rPr>
          <w:lang w:val="lv-LV"/>
        </w:rPr>
        <w:t>svarīgos objektus</w:t>
      </w:r>
      <w:r w:rsidR="005F49DC" w:rsidRPr="005C766A">
        <w:rPr>
          <w:lang w:val="lv-LV"/>
        </w:rPr>
        <w:t xml:space="preserve"> kādā noteiktā reģiona daļā </w:t>
      </w:r>
      <w:r w:rsidR="00C15661" w:rsidRPr="005C766A">
        <w:rPr>
          <w:lang w:val="lv-LV"/>
        </w:rPr>
        <w:t>(</w:t>
      </w:r>
      <w:r w:rsidR="00676C56" w:rsidRPr="005C766A">
        <w:rPr>
          <w:lang w:val="lv-LV"/>
        </w:rPr>
        <w:t>3</w:t>
      </w:r>
      <w:r w:rsidR="0046569C" w:rsidRPr="005C766A">
        <w:rPr>
          <w:lang w:val="lv-LV"/>
        </w:rPr>
        <w:t>.pielikums</w:t>
      </w:r>
      <w:r w:rsidR="005F49DC" w:rsidRPr="005C766A">
        <w:rPr>
          <w:lang w:val="lv-LV"/>
        </w:rPr>
        <w:t>). Tas reizēm rada lielas amplitūdas starp pašiem TOP objektiem – to apmeklētība svārstās no diviem tūkstošiem līdz vairākiem miljoniem g</w:t>
      </w:r>
      <w:r w:rsidR="00934CF1" w:rsidRPr="005C766A">
        <w:rPr>
          <w:lang w:val="lv-LV"/>
        </w:rPr>
        <w:t>adā. Tāpat arī, kā to liecina LURSOFT dati, lielā amplitūdā</w:t>
      </w:r>
      <w:r w:rsidR="00DA10E6" w:rsidRPr="005C766A">
        <w:rPr>
          <w:lang w:val="lv-LV"/>
        </w:rPr>
        <w:t xml:space="preserve"> svārstās šo objektu apgrozījumi</w:t>
      </w:r>
      <w:r w:rsidR="005F49DC" w:rsidRPr="005C766A">
        <w:rPr>
          <w:lang w:val="lv-LV"/>
        </w:rPr>
        <w:t xml:space="preserve">. </w:t>
      </w:r>
      <w:r w:rsidR="00934CF1" w:rsidRPr="005C766A">
        <w:rPr>
          <w:lang w:val="lv-LV"/>
        </w:rPr>
        <w:t xml:space="preserve">Vienlaicīgi jānorāda uz atšķirīgo </w:t>
      </w:r>
      <w:r w:rsidR="005F49DC" w:rsidRPr="005C766A">
        <w:rPr>
          <w:lang w:val="lv-LV"/>
        </w:rPr>
        <w:t xml:space="preserve">izpratni par </w:t>
      </w:r>
      <w:r w:rsidR="00934CF1" w:rsidRPr="005C766A">
        <w:rPr>
          <w:lang w:val="lv-LV"/>
        </w:rPr>
        <w:t>terminu „tūrisma objekts</w:t>
      </w:r>
      <w:r w:rsidR="005F49DC" w:rsidRPr="005C766A">
        <w:rPr>
          <w:lang w:val="lv-LV"/>
        </w:rPr>
        <w:t>” – dažkārt tās ir populāras vietas (</w:t>
      </w:r>
      <w:r w:rsidR="00934CF1" w:rsidRPr="005C766A">
        <w:rPr>
          <w:lang w:val="lv-LV"/>
        </w:rPr>
        <w:t xml:space="preserve">piemēram, </w:t>
      </w:r>
      <w:r w:rsidR="005F49DC" w:rsidRPr="005C766A">
        <w:rPr>
          <w:lang w:val="lv-LV"/>
        </w:rPr>
        <w:t>Vecrīga, Kuldīgas vec</w:t>
      </w:r>
      <w:r w:rsidR="00C46D02" w:rsidRPr="005C766A">
        <w:rPr>
          <w:lang w:val="lv-LV"/>
        </w:rPr>
        <w:t xml:space="preserve">pilsēta), dažkārt </w:t>
      </w:r>
      <w:r w:rsidR="00F2117A" w:rsidRPr="005C766A">
        <w:rPr>
          <w:lang w:val="lv-LV"/>
        </w:rPr>
        <w:t xml:space="preserve">dabas </w:t>
      </w:r>
      <w:r w:rsidR="00C46D02" w:rsidRPr="005C766A">
        <w:rPr>
          <w:lang w:val="lv-LV"/>
        </w:rPr>
        <w:t>objekti (piemēram</w:t>
      </w:r>
      <w:r w:rsidR="005F49DC" w:rsidRPr="005C766A">
        <w:rPr>
          <w:lang w:val="lv-LV"/>
        </w:rPr>
        <w:t>, Teirumnieku purva taka) vai maršruti (</w:t>
      </w:r>
      <w:r w:rsidR="00934CF1" w:rsidRPr="005C766A">
        <w:rPr>
          <w:lang w:val="lv-LV"/>
        </w:rPr>
        <w:t xml:space="preserve">piemēram, </w:t>
      </w:r>
      <w:r w:rsidR="00C46D02" w:rsidRPr="005C766A">
        <w:rPr>
          <w:lang w:val="lv-LV"/>
        </w:rPr>
        <w:t>„</w:t>
      </w:r>
      <w:r w:rsidR="005F49DC" w:rsidRPr="005C766A">
        <w:rPr>
          <w:lang w:val="lv-LV"/>
        </w:rPr>
        <w:t>Liepāja kā pa notīm</w:t>
      </w:r>
      <w:r w:rsidR="00C46D02" w:rsidRPr="005C766A">
        <w:rPr>
          <w:lang w:val="lv-LV"/>
        </w:rPr>
        <w:t>”</w:t>
      </w:r>
      <w:r w:rsidR="005F49DC" w:rsidRPr="005C766A">
        <w:rPr>
          <w:lang w:val="lv-LV"/>
        </w:rPr>
        <w:t>).</w:t>
      </w:r>
    </w:p>
    <w:p w14:paraId="49640C45" w14:textId="77777777" w:rsidR="005F49DC" w:rsidRPr="00267BCC" w:rsidRDefault="005F49DC" w:rsidP="00267BCC">
      <w:pPr>
        <w:ind w:firstLine="720"/>
        <w:jc w:val="both"/>
        <w:rPr>
          <w:lang w:val="lv-LV"/>
        </w:rPr>
      </w:pPr>
      <w:r w:rsidRPr="00267BCC">
        <w:rPr>
          <w:lang w:val="lv-LV"/>
        </w:rPr>
        <w:t xml:space="preserve">Objekti ir izvēlēti no </w:t>
      </w:r>
      <w:r w:rsidR="00934CF1" w:rsidRPr="00267BCC">
        <w:rPr>
          <w:lang w:val="lv-LV"/>
        </w:rPr>
        <w:t>potenciālā patērētāja viedokļa,</w:t>
      </w:r>
      <w:r w:rsidRPr="00267BCC">
        <w:rPr>
          <w:lang w:val="lv-LV"/>
        </w:rPr>
        <w:t xml:space="preserve"> kas varētu patikt iespējami plašai mērķgrupai – pamatā ar kultūras tūrisma </w:t>
      </w:r>
      <w:r w:rsidR="00C46D02" w:rsidRPr="00267BCC">
        <w:rPr>
          <w:lang w:val="lv-LV"/>
        </w:rPr>
        <w:t xml:space="preserve">(n=44), </w:t>
      </w:r>
      <w:r w:rsidR="0051753C" w:rsidRPr="00267BCC">
        <w:rPr>
          <w:u w:val="single"/>
          <w:lang w:val="lv-LV"/>
        </w:rPr>
        <w:t>mazāk</w:t>
      </w:r>
      <w:r w:rsidR="0051753C" w:rsidRPr="00267BCC">
        <w:rPr>
          <w:lang w:val="lv-LV"/>
        </w:rPr>
        <w:t xml:space="preserve"> </w:t>
      </w:r>
      <w:r w:rsidR="00C46D02" w:rsidRPr="00267BCC">
        <w:rPr>
          <w:lang w:val="lv-LV"/>
        </w:rPr>
        <w:t>dabas tūrisma (n=4) vai piedzīvojumu tūrisma</w:t>
      </w:r>
      <w:r w:rsidRPr="00267BCC">
        <w:rPr>
          <w:lang w:val="lv-LV"/>
        </w:rPr>
        <w:t xml:space="preserve"> (n=4)</w:t>
      </w:r>
      <w:r w:rsidR="00C46D02" w:rsidRPr="00267BCC">
        <w:rPr>
          <w:lang w:val="lv-LV"/>
        </w:rPr>
        <w:t xml:space="preserve"> motivāciju</w:t>
      </w:r>
      <w:r w:rsidRPr="00267BCC">
        <w:rPr>
          <w:lang w:val="lv-LV"/>
        </w:rPr>
        <w:t>. Starp kultūras tūrisma objektiem ir liela daudzveidība, iekļaujot gastronomisko, industriālo, reliģisko u.c. motīvus. Pēc piederības statusa vai to apsaimniekošanas TOP objekti izvēlēti dažādi (</w:t>
      </w:r>
      <w:r w:rsidR="00392A45" w:rsidRPr="00267BCC">
        <w:rPr>
          <w:lang w:val="lv-LV"/>
        </w:rPr>
        <w:t>9</w:t>
      </w:r>
      <w:r w:rsidR="00E4247A" w:rsidRPr="00267BCC">
        <w:rPr>
          <w:lang w:val="lv-LV"/>
        </w:rPr>
        <w:t>.attēls</w:t>
      </w:r>
      <w:r w:rsidRPr="00267BCC">
        <w:rPr>
          <w:lang w:val="lv-LV"/>
        </w:rPr>
        <w:t>), aptuveni vienādā skaitā iekļaujot privāto, pašvaldību vai valsts sektoru.</w:t>
      </w:r>
    </w:p>
    <w:p w14:paraId="49640C46" w14:textId="77777777" w:rsidR="003F2144" w:rsidRPr="00267BCC" w:rsidRDefault="003F2144" w:rsidP="00267BCC">
      <w:pPr>
        <w:rPr>
          <w:lang w:val="lv-LV"/>
        </w:rPr>
      </w:pPr>
    </w:p>
    <w:p w14:paraId="49640C47" w14:textId="77777777" w:rsidR="00277685" w:rsidRDefault="00277685" w:rsidP="00267BCC">
      <w:pPr>
        <w:jc w:val="right"/>
        <w:rPr>
          <w:lang w:val="lv-LV"/>
        </w:rPr>
      </w:pPr>
    </w:p>
    <w:p w14:paraId="49640C48" w14:textId="77777777" w:rsidR="00277685" w:rsidRDefault="00277685" w:rsidP="00267BCC">
      <w:pPr>
        <w:jc w:val="right"/>
        <w:rPr>
          <w:lang w:val="lv-LV"/>
        </w:rPr>
      </w:pPr>
    </w:p>
    <w:p w14:paraId="49640C49" w14:textId="77777777" w:rsidR="00277685" w:rsidRDefault="00277685" w:rsidP="00267BCC">
      <w:pPr>
        <w:jc w:val="right"/>
        <w:rPr>
          <w:lang w:val="lv-LV"/>
        </w:rPr>
      </w:pPr>
    </w:p>
    <w:p w14:paraId="49640C4A" w14:textId="77777777" w:rsidR="00277685" w:rsidRDefault="00277685" w:rsidP="00267BCC">
      <w:pPr>
        <w:jc w:val="right"/>
        <w:rPr>
          <w:lang w:val="lv-LV"/>
        </w:rPr>
      </w:pPr>
    </w:p>
    <w:p w14:paraId="49640C4B" w14:textId="77777777" w:rsidR="00277685" w:rsidRDefault="00277685" w:rsidP="00267BCC">
      <w:pPr>
        <w:jc w:val="right"/>
        <w:rPr>
          <w:lang w:val="lv-LV"/>
        </w:rPr>
      </w:pPr>
    </w:p>
    <w:p w14:paraId="49640C4C" w14:textId="77777777" w:rsidR="005F49DC" w:rsidRPr="00267BCC" w:rsidRDefault="00795943" w:rsidP="00267BCC">
      <w:pPr>
        <w:jc w:val="right"/>
        <w:rPr>
          <w:lang w:val="lv-LV"/>
        </w:rPr>
      </w:pPr>
      <w:r w:rsidRPr="00267BCC">
        <w:rPr>
          <w:lang w:val="lv-LV"/>
        </w:rPr>
        <w:lastRenderedPageBreak/>
        <w:t>9</w:t>
      </w:r>
      <w:r w:rsidR="005F49DC" w:rsidRPr="00267BCC">
        <w:rPr>
          <w:lang w:val="lv-LV"/>
        </w:rPr>
        <w:t>.attēls</w:t>
      </w:r>
    </w:p>
    <w:p w14:paraId="49640C4D" w14:textId="77777777" w:rsidR="005F49DC" w:rsidRPr="00267BCC" w:rsidRDefault="005F49DC" w:rsidP="00267BCC">
      <w:pPr>
        <w:jc w:val="center"/>
        <w:rPr>
          <w:b/>
          <w:lang w:val="lv-LV"/>
        </w:rPr>
      </w:pPr>
      <w:r w:rsidRPr="00267BCC">
        <w:rPr>
          <w:b/>
          <w:lang w:val="lv-LV"/>
        </w:rPr>
        <w:t>Latvijas TOP tūrisma objektu sadalījums pēc to piederības statusa</w:t>
      </w:r>
    </w:p>
    <w:p w14:paraId="49640C4E" w14:textId="77777777" w:rsidR="005F49DC" w:rsidRPr="00267BCC" w:rsidRDefault="005F49DC" w:rsidP="00267BCC">
      <w:pPr>
        <w:jc w:val="center"/>
        <w:rPr>
          <w:lang w:val="lv-LV"/>
        </w:rPr>
      </w:pPr>
      <w:r w:rsidRPr="00267BCC">
        <w:rPr>
          <w:noProof/>
          <w:lang w:val="lv-LV"/>
        </w:rPr>
        <w:drawing>
          <wp:inline distT="0" distB="0" distL="0" distR="0" wp14:anchorId="49640ED0" wp14:editId="49640ED1">
            <wp:extent cx="3085106" cy="1391478"/>
            <wp:effectExtent l="19050" t="0" r="994" b="0"/>
            <wp:docPr id="2"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640C4F" w14:textId="77777777" w:rsidR="00C46D02" w:rsidRPr="00267BCC" w:rsidRDefault="00C46D02" w:rsidP="00267BCC">
      <w:pPr>
        <w:ind w:firstLine="720"/>
        <w:jc w:val="both"/>
        <w:rPr>
          <w:lang w:val="lv-LV"/>
        </w:rPr>
      </w:pPr>
    </w:p>
    <w:p w14:paraId="49640C50" w14:textId="77777777" w:rsidR="005F49DC" w:rsidRPr="00267BCC" w:rsidRDefault="005F49DC" w:rsidP="00267BCC">
      <w:pPr>
        <w:ind w:firstLine="720"/>
        <w:jc w:val="both"/>
        <w:rPr>
          <w:lang w:val="lv-LV"/>
        </w:rPr>
      </w:pPr>
      <w:r w:rsidRPr="00267BCC">
        <w:rPr>
          <w:lang w:val="lv-LV"/>
        </w:rPr>
        <w:t>Analizējot apmeklētības datus par pēdējo četru gadu posmu, lielāka</w:t>
      </w:r>
      <w:r w:rsidR="00C46D02" w:rsidRPr="00267BCC">
        <w:rPr>
          <w:lang w:val="lv-LV"/>
        </w:rPr>
        <w:t>ja</w:t>
      </w:r>
      <w:r w:rsidRPr="00267BCC">
        <w:rPr>
          <w:lang w:val="lv-LV"/>
        </w:rPr>
        <w:t>i daļai (n=32) vērojams apmeklētības pieaugums, daļai (n=6) darbības rādītāji bijuši līdzīgā līmenī – stabili, bet vairākiem (n=8) a</w:t>
      </w:r>
      <w:r w:rsidR="00DA10E6">
        <w:rPr>
          <w:lang w:val="lv-LV"/>
        </w:rPr>
        <w:t>pmeklētības rādītāji kopš 2009.</w:t>
      </w:r>
      <w:r w:rsidRPr="00267BCC">
        <w:rPr>
          <w:lang w:val="lv-LV"/>
        </w:rPr>
        <w:t>gada sarukuši. Iemesli skaidrojami individuāli katram objektam.</w:t>
      </w:r>
    </w:p>
    <w:p w14:paraId="49640C51" w14:textId="77777777" w:rsidR="005F49DC" w:rsidRPr="00267BCC" w:rsidRDefault="005F49DC" w:rsidP="00267BCC">
      <w:pPr>
        <w:ind w:firstLine="720"/>
        <w:jc w:val="both"/>
        <w:rPr>
          <w:lang w:val="lv-LV"/>
        </w:rPr>
      </w:pPr>
      <w:r w:rsidRPr="00267BCC">
        <w:rPr>
          <w:lang w:val="lv-LV"/>
        </w:rPr>
        <w:t xml:space="preserve">Nediferencētā pieeja (īpaši resursu ieguldījumā materiālu tulkošanai, izdošanai) ne vienmēr attaisnojusies attiecībā uz šo objektu eksportspēju. Vērtējot vidējo ārvalstnieku apmeklētību šajos objektos </w:t>
      </w:r>
      <w:r w:rsidR="00606223" w:rsidRPr="00267BCC">
        <w:rPr>
          <w:lang w:val="lv-LV"/>
        </w:rPr>
        <w:t>laika posmā no 2009. līdz 2012.</w:t>
      </w:r>
      <w:r w:rsidRPr="00267BCC">
        <w:rPr>
          <w:lang w:val="lv-LV"/>
        </w:rPr>
        <w:t>gadam, tā svārstās no nepilna procenta līdz 58%. Vidēji tie ir 20%. Šādi rezultāti liecina par nepieciešamību atšķirīgai pieejai komunikācijai eksporta un vietējā tirgū.</w:t>
      </w:r>
    </w:p>
    <w:p w14:paraId="49640C52" w14:textId="77777777" w:rsidR="005F49DC" w:rsidRPr="00267BCC" w:rsidRDefault="00606223" w:rsidP="00267BCC">
      <w:pPr>
        <w:ind w:firstLine="720"/>
        <w:jc w:val="both"/>
        <w:rPr>
          <w:lang w:val="lv-LV"/>
        </w:rPr>
      </w:pPr>
      <w:r w:rsidRPr="00267BCC">
        <w:rPr>
          <w:lang w:val="lv-LV"/>
        </w:rPr>
        <w:t>Starp</w:t>
      </w:r>
      <w:r w:rsidR="005F49DC" w:rsidRPr="00267BCC">
        <w:rPr>
          <w:lang w:val="lv-LV"/>
        </w:rPr>
        <w:t xml:space="preserve"> galvenajām valstīm, no kurienes ierodas apmeklētāji TOP objektos, dominē Latvijas prioritārie ārvalstu mērķa tirgi: visbiežāk Lietuva, Krievija, tad Igaunija un Vācija, mazāk,</w:t>
      </w:r>
      <w:r w:rsidRPr="00267BCC">
        <w:rPr>
          <w:lang w:val="lv-LV"/>
        </w:rPr>
        <w:t xml:space="preserve"> Skandināvija (tostarp, </w:t>
      </w:r>
      <w:r w:rsidR="005F49DC" w:rsidRPr="00267BCC">
        <w:rPr>
          <w:lang w:val="lv-LV"/>
        </w:rPr>
        <w:t>Somija). Seko plašs uzskaitījums ar citām valstīm – dažiem objektiem precīzi uzskaitītas valsti</w:t>
      </w:r>
      <w:r w:rsidR="00E4247A" w:rsidRPr="00267BCC">
        <w:rPr>
          <w:lang w:val="lv-LV"/>
        </w:rPr>
        <w:t>s – to ir vairāk nekā 50. Dažos objektos</w:t>
      </w:r>
      <w:r w:rsidR="005F49DC" w:rsidRPr="00267BCC">
        <w:rPr>
          <w:lang w:val="lv-LV"/>
        </w:rPr>
        <w:t xml:space="preserve"> 99% apmeklētāju ir vietējie</w:t>
      </w:r>
      <w:r w:rsidRPr="00267BCC">
        <w:rPr>
          <w:lang w:val="lv-LV"/>
        </w:rPr>
        <w:t xml:space="preserve"> ceļotāji.</w:t>
      </w:r>
    </w:p>
    <w:p w14:paraId="49640C53" w14:textId="77777777" w:rsidR="005F49DC" w:rsidRPr="00267BCC" w:rsidRDefault="005F49DC" w:rsidP="00267BCC">
      <w:pPr>
        <w:ind w:firstLine="720"/>
        <w:jc w:val="both"/>
        <w:rPr>
          <w:lang w:val="lv-LV"/>
        </w:rPr>
      </w:pPr>
      <w:r w:rsidRPr="00267BCC">
        <w:rPr>
          <w:lang w:val="lv-LV"/>
        </w:rPr>
        <w:t xml:space="preserve">Ja salīdzina ar TOP 50 pēc apmeklējumu skaita, tad ārpus Rīgas no esošajiem TOP objektiem ar </w:t>
      </w:r>
      <w:r w:rsidR="00606223" w:rsidRPr="00267BCC">
        <w:rPr>
          <w:lang w:val="lv-LV"/>
        </w:rPr>
        <w:t>visvairāk apmeklētajām</w:t>
      </w:r>
      <w:r w:rsidR="00E4247A" w:rsidRPr="00267BCC">
        <w:rPr>
          <w:lang w:val="lv-LV"/>
        </w:rPr>
        <w:t xml:space="preserve"> tūristu piesaistes vietām</w:t>
      </w:r>
      <w:r w:rsidRPr="00267BCC">
        <w:rPr>
          <w:lang w:val="lv-LV"/>
        </w:rPr>
        <w:t xml:space="preserve"> sakrīt aptuveni puse. Tomēr </w:t>
      </w:r>
      <w:r w:rsidR="00606223" w:rsidRPr="00267BCC">
        <w:rPr>
          <w:lang w:val="lv-LV"/>
        </w:rPr>
        <w:t>visbiežāk apmeklēto</w:t>
      </w:r>
      <w:r w:rsidRPr="00267BCC">
        <w:rPr>
          <w:lang w:val="lv-LV"/>
        </w:rPr>
        <w:t xml:space="preserve"> objektu izvietojums ir koncentrēts vairāk attīstītajās teritorijās, nav tik izkliedēts, kāds TOP ir šobrīd.</w:t>
      </w:r>
    </w:p>
    <w:p w14:paraId="49640C54" w14:textId="77777777" w:rsidR="005C5543" w:rsidRPr="005C766A" w:rsidRDefault="005C5543" w:rsidP="00267BCC">
      <w:pPr>
        <w:ind w:firstLine="720"/>
        <w:jc w:val="both"/>
        <w:rPr>
          <w:lang w:val="lv-LV"/>
        </w:rPr>
      </w:pPr>
      <w:r w:rsidRPr="005C766A">
        <w:rPr>
          <w:lang w:val="lv-LV"/>
        </w:rPr>
        <w:t xml:space="preserve">Tūrisma objektu TOP nodrošina vienkāršotas komunikācijas pieeju par Latvijas tūrisma piedāvājumu. Galvenie apsvērumi Latvijas tūrisma TOP izveidei: </w:t>
      </w:r>
    </w:p>
    <w:p w14:paraId="49640C55" w14:textId="77777777" w:rsidR="005C5543" w:rsidRPr="005C766A" w:rsidRDefault="00E4247A" w:rsidP="00267BCC">
      <w:pPr>
        <w:numPr>
          <w:ilvl w:val="0"/>
          <w:numId w:val="26"/>
        </w:numPr>
        <w:jc w:val="both"/>
        <w:rPr>
          <w:lang w:val="lv-LV"/>
        </w:rPr>
      </w:pPr>
      <w:r w:rsidRPr="005C766A">
        <w:rPr>
          <w:lang w:val="lv-LV"/>
        </w:rPr>
        <w:t>veicināt</w:t>
      </w:r>
      <w:r w:rsidR="005C5543" w:rsidRPr="005C766A">
        <w:rPr>
          <w:lang w:val="lv-LV"/>
        </w:rPr>
        <w:t xml:space="preserve"> </w:t>
      </w:r>
      <w:r w:rsidR="005C5543" w:rsidRPr="005C766A">
        <w:rPr>
          <w:bCs/>
          <w:lang w:val="lv-LV"/>
        </w:rPr>
        <w:t>ikgadēju tūrisma pakalpojumu eksporta pieaugumu, p</w:t>
      </w:r>
      <w:r w:rsidR="005C5543" w:rsidRPr="005C766A">
        <w:rPr>
          <w:lang w:val="lv-LV"/>
        </w:rPr>
        <w:t>recīzāk nošķirt komunicējamo tūrisma TOP saturu ārvalstu tūrisma tirgum un vietējam tirgum;</w:t>
      </w:r>
    </w:p>
    <w:p w14:paraId="49640C56" w14:textId="77777777" w:rsidR="005C5543" w:rsidRPr="005C766A" w:rsidRDefault="00E4247A" w:rsidP="00267BCC">
      <w:pPr>
        <w:numPr>
          <w:ilvl w:val="0"/>
          <w:numId w:val="26"/>
        </w:numPr>
        <w:jc w:val="both"/>
        <w:rPr>
          <w:lang w:val="lv-LV"/>
        </w:rPr>
      </w:pPr>
      <w:r w:rsidRPr="005C766A">
        <w:rPr>
          <w:lang w:val="lv-LV"/>
        </w:rPr>
        <w:t>veicināt</w:t>
      </w:r>
      <w:r w:rsidR="005C5543" w:rsidRPr="005C766A">
        <w:rPr>
          <w:lang w:val="lv-LV"/>
        </w:rPr>
        <w:t xml:space="preserve"> vairākdienu ceļotāju skaita </w:t>
      </w:r>
      <w:r w:rsidR="005C5543" w:rsidRPr="005C766A">
        <w:rPr>
          <w:bCs/>
          <w:lang w:val="lv-LV"/>
        </w:rPr>
        <w:t>palielināšanos</w:t>
      </w:r>
      <w:r w:rsidR="005C5543" w:rsidRPr="005C766A">
        <w:rPr>
          <w:lang w:val="lv-LV"/>
        </w:rPr>
        <w:t>:</w:t>
      </w:r>
    </w:p>
    <w:p w14:paraId="49640C57" w14:textId="77777777" w:rsidR="005C5543" w:rsidRPr="005C766A" w:rsidRDefault="005C5543" w:rsidP="00267BCC">
      <w:pPr>
        <w:ind w:left="993" w:hanging="273"/>
        <w:jc w:val="both"/>
        <w:rPr>
          <w:lang w:val="lv-LV"/>
        </w:rPr>
      </w:pPr>
      <w:r w:rsidRPr="005C766A">
        <w:rPr>
          <w:lang w:val="lv-LV"/>
        </w:rPr>
        <w:t>a) no objektiem virzīties uz eksportspējīgāko galamērķu TOP (tas veicinātu arī lielāku resursu koncentrāciju – pudurošanās efektu);</w:t>
      </w:r>
    </w:p>
    <w:p w14:paraId="49640C58" w14:textId="77777777" w:rsidR="005C5543" w:rsidRPr="005C766A" w:rsidRDefault="005C5543" w:rsidP="00267BCC">
      <w:pPr>
        <w:ind w:firstLine="720"/>
        <w:jc w:val="both"/>
        <w:rPr>
          <w:lang w:val="lv-LV"/>
        </w:rPr>
      </w:pPr>
      <w:r w:rsidRPr="005C766A">
        <w:rPr>
          <w:lang w:val="lv-LV"/>
        </w:rPr>
        <w:t>b) iekļaut arī attālākas vietas ārpus dominējošā eksporta galamērķa Rīgas;</w:t>
      </w:r>
    </w:p>
    <w:p w14:paraId="49640C59" w14:textId="77777777" w:rsidR="005C5543" w:rsidRPr="005C766A" w:rsidRDefault="00E4247A" w:rsidP="00267BCC">
      <w:pPr>
        <w:numPr>
          <w:ilvl w:val="0"/>
          <w:numId w:val="26"/>
        </w:numPr>
        <w:jc w:val="both"/>
        <w:rPr>
          <w:lang w:val="lv-LV"/>
        </w:rPr>
      </w:pPr>
      <w:r w:rsidRPr="005C766A">
        <w:rPr>
          <w:bCs/>
          <w:lang w:val="lv-LV"/>
        </w:rPr>
        <w:t>mazināt</w:t>
      </w:r>
      <w:r w:rsidR="005C5543" w:rsidRPr="005C766A">
        <w:rPr>
          <w:bCs/>
          <w:lang w:val="lv-LV"/>
        </w:rPr>
        <w:t xml:space="preserve"> sezonalitātes efektu, palielinot tūristu </w:t>
      </w:r>
      <w:r w:rsidR="005C5543" w:rsidRPr="005C766A">
        <w:rPr>
          <w:lang w:val="lv-LV"/>
        </w:rPr>
        <w:t>mītņu noslodzi</w:t>
      </w:r>
      <w:r w:rsidR="005C5543" w:rsidRPr="005C766A">
        <w:rPr>
          <w:bCs/>
          <w:lang w:val="lv-LV"/>
        </w:rPr>
        <w:t xml:space="preserve"> ārpus </w:t>
      </w:r>
      <w:r w:rsidRPr="005C766A">
        <w:rPr>
          <w:lang w:val="lv-LV"/>
        </w:rPr>
        <w:t>noslogotākās vasaras sezonas;</w:t>
      </w:r>
      <w:r w:rsidR="005C5543" w:rsidRPr="005C766A">
        <w:rPr>
          <w:lang w:val="lv-LV"/>
        </w:rPr>
        <w:t xml:space="preserve"> kā </w:t>
      </w:r>
      <w:r w:rsidRPr="005C766A">
        <w:rPr>
          <w:lang w:val="lv-LV"/>
        </w:rPr>
        <w:t>alternatīvu TOP objektiem</w:t>
      </w:r>
      <w:r w:rsidR="005C5543" w:rsidRPr="005C766A">
        <w:rPr>
          <w:lang w:val="lv-LV"/>
        </w:rPr>
        <w:t xml:space="preserve"> veidot TOP pasākumus, notikumus, kas ir tikpat būtisks instruments apmeklētāju piesaistei, kā statiski objekti vai vietas, īpaši </w:t>
      </w:r>
      <w:r w:rsidRPr="005C766A">
        <w:rPr>
          <w:lang w:val="lv-LV"/>
        </w:rPr>
        <w:t xml:space="preserve">nozīmīgākos pasākumus </w:t>
      </w:r>
      <w:r w:rsidR="005C5543" w:rsidRPr="005C766A">
        <w:rPr>
          <w:lang w:val="lv-LV"/>
        </w:rPr>
        <w:t xml:space="preserve">ārpus </w:t>
      </w:r>
      <w:r w:rsidRPr="005C766A">
        <w:rPr>
          <w:lang w:val="lv-LV"/>
        </w:rPr>
        <w:t>vasaras</w:t>
      </w:r>
      <w:r w:rsidR="005C5543" w:rsidRPr="005C766A">
        <w:rPr>
          <w:lang w:val="lv-LV"/>
        </w:rPr>
        <w:t xml:space="preserve"> sezonas;</w:t>
      </w:r>
    </w:p>
    <w:p w14:paraId="49640C5A" w14:textId="77777777" w:rsidR="005C5543" w:rsidRPr="005C766A" w:rsidRDefault="00E4247A" w:rsidP="00267BCC">
      <w:pPr>
        <w:numPr>
          <w:ilvl w:val="0"/>
          <w:numId w:val="26"/>
        </w:numPr>
        <w:jc w:val="both"/>
        <w:rPr>
          <w:lang w:val="lv-LV"/>
        </w:rPr>
      </w:pPr>
      <w:r w:rsidRPr="005C766A">
        <w:rPr>
          <w:lang w:val="lv-LV"/>
        </w:rPr>
        <w:t>nodrošināt</w:t>
      </w:r>
      <w:r w:rsidR="005C5543" w:rsidRPr="005C766A">
        <w:rPr>
          <w:lang w:val="lv-LV"/>
        </w:rPr>
        <w:t xml:space="preserve"> tūrisma ienesīguma pieaugumu</w:t>
      </w:r>
      <w:r w:rsidRPr="005C766A">
        <w:rPr>
          <w:lang w:val="lv-LV"/>
        </w:rPr>
        <w:t>, par būtisku kritēriju uzskatot</w:t>
      </w:r>
      <w:r w:rsidR="005C5543" w:rsidRPr="005C766A">
        <w:rPr>
          <w:lang w:val="lv-LV"/>
        </w:rPr>
        <w:t xml:space="preserve"> TOP objekta komerciālo raksturu – tai skaitā tūrisma </w:t>
      </w:r>
      <w:r w:rsidRPr="005C766A">
        <w:rPr>
          <w:lang w:val="lv-LV"/>
        </w:rPr>
        <w:t>pakalpojumu pieejamību</w:t>
      </w:r>
      <w:r w:rsidR="005C5543" w:rsidRPr="005C766A">
        <w:rPr>
          <w:lang w:val="lv-LV"/>
        </w:rPr>
        <w:t>;</w:t>
      </w:r>
    </w:p>
    <w:p w14:paraId="49640C5B" w14:textId="77777777" w:rsidR="005C5543" w:rsidRPr="005C766A" w:rsidRDefault="005C5543" w:rsidP="00267BCC">
      <w:pPr>
        <w:numPr>
          <w:ilvl w:val="0"/>
          <w:numId w:val="26"/>
        </w:numPr>
        <w:jc w:val="both"/>
        <w:rPr>
          <w:lang w:val="lv-LV"/>
        </w:rPr>
      </w:pPr>
      <w:r w:rsidRPr="005C766A">
        <w:rPr>
          <w:lang w:val="lv-LV"/>
        </w:rPr>
        <w:t xml:space="preserve">gūt apstiprinājumu par mērķu piepildījumu, </w:t>
      </w:r>
      <w:r w:rsidR="00E4247A" w:rsidRPr="005C766A">
        <w:rPr>
          <w:lang w:val="lv-LV"/>
        </w:rPr>
        <w:t xml:space="preserve">tādēļ </w:t>
      </w:r>
      <w:r w:rsidRPr="005C766A">
        <w:rPr>
          <w:lang w:val="lv-LV"/>
        </w:rPr>
        <w:t>ikvienam TOP objektam j</w:t>
      </w:r>
      <w:r w:rsidR="00E4247A" w:rsidRPr="005C766A">
        <w:rPr>
          <w:lang w:val="lv-LV"/>
        </w:rPr>
        <w:t>āspēj izmērīt apmeklētāju skaitu, komerciālo</w:t>
      </w:r>
      <w:r w:rsidRPr="005C766A">
        <w:rPr>
          <w:lang w:val="lv-LV"/>
        </w:rPr>
        <w:t xml:space="preserve"> atdev</w:t>
      </w:r>
      <w:r w:rsidR="00E4247A" w:rsidRPr="005C766A">
        <w:rPr>
          <w:lang w:val="lv-LV"/>
        </w:rPr>
        <w:t>i un mērķgrupu sadalījumu.</w:t>
      </w:r>
    </w:p>
    <w:p w14:paraId="49640C5C" w14:textId="77777777" w:rsidR="005C5543" w:rsidRPr="005C766A" w:rsidRDefault="005C5543" w:rsidP="00267BCC">
      <w:pPr>
        <w:ind w:firstLine="720"/>
        <w:jc w:val="both"/>
        <w:rPr>
          <w:b/>
          <w:lang w:val="lv-LV"/>
        </w:rPr>
      </w:pPr>
      <w:r w:rsidRPr="005C766A">
        <w:rPr>
          <w:b/>
          <w:lang w:val="lv-LV"/>
        </w:rPr>
        <w:t>TOP 7 galamērķi</w:t>
      </w:r>
      <w:r w:rsidR="00E4247A" w:rsidRPr="005C766A">
        <w:rPr>
          <w:lang w:val="lv-LV"/>
        </w:rPr>
        <w:t xml:space="preserve">, kas atlasīti, ievērojot </w:t>
      </w:r>
      <w:r w:rsidRPr="005C766A">
        <w:rPr>
          <w:lang w:val="lv-LV"/>
        </w:rPr>
        <w:t>to eksporta tirgus daļ</w:t>
      </w:r>
      <w:r w:rsidR="00E4247A" w:rsidRPr="005C766A">
        <w:rPr>
          <w:lang w:val="lv-LV"/>
        </w:rPr>
        <w:t>u pēc apkalpoto ārvalstu nakšņojumu skaita 2012.gadā</w:t>
      </w:r>
      <w:r w:rsidRPr="005C766A">
        <w:rPr>
          <w:lang w:val="lv-LV"/>
        </w:rPr>
        <w:t xml:space="preserve"> (</w:t>
      </w:r>
      <w:r w:rsidR="00E4247A" w:rsidRPr="005C766A">
        <w:rPr>
          <w:lang w:val="lv-LV"/>
        </w:rPr>
        <w:t xml:space="preserve">10.attēls un </w:t>
      </w:r>
      <w:r w:rsidRPr="005C766A">
        <w:rPr>
          <w:lang w:val="lv-LV"/>
        </w:rPr>
        <w:t>3.pielikums – apvienojumā ar līdzšinējiem tūrisma TOP 50 objektiem):</w:t>
      </w:r>
    </w:p>
    <w:p w14:paraId="49640C5D" w14:textId="77777777" w:rsidR="005C5543" w:rsidRPr="005C766A" w:rsidRDefault="005C5543" w:rsidP="00267BCC">
      <w:pPr>
        <w:numPr>
          <w:ilvl w:val="0"/>
          <w:numId w:val="27"/>
        </w:numPr>
        <w:jc w:val="both"/>
        <w:rPr>
          <w:lang w:val="lv-LV"/>
        </w:rPr>
      </w:pPr>
      <w:r w:rsidRPr="005C766A">
        <w:rPr>
          <w:lang w:val="lv-LV"/>
        </w:rPr>
        <w:t>Rīga;</w:t>
      </w:r>
    </w:p>
    <w:p w14:paraId="49640C5E" w14:textId="77777777" w:rsidR="005C5543" w:rsidRPr="005C766A" w:rsidRDefault="005C5543" w:rsidP="00267BCC">
      <w:pPr>
        <w:numPr>
          <w:ilvl w:val="0"/>
          <w:numId w:val="27"/>
        </w:numPr>
        <w:jc w:val="both"/>
        <w:rPr>
          <w:lang w:val="lv-LV"/>
        </w:rPr>
      </w:pPr>
      <w:r w:rsidRPr="005C766A">
        <w:rPr>
          <w:lang w:val="lv-LV"/>
        </w:rPr>
        <w:t>Jūrmala un Rīgas jūras līča Kurz</w:t>
      </w:r>
      <w:r w:rsidR="00E63258" w:rsidRPr="005C766A">
        <w:rPr>
          <w:lang w:val="lv-LV"/>
        </w:rPr>
        <w:t>emes piekraste</w:t>
      </w:r>
      <w:r w:rsidRPr="005C766A">
        <w:rPr>
          <w:lang w:val="lv-LV"/>
        </w:rPr>
        <w:t>;</w:t>
      </w:r>
    </w:p>
    <w:p w14:paraId="49640C5F" w14:textId="77777777" w:rsidR="005C5543" w:rsidRPr="005C766A" w:rsidRDefault="005C5543" w:rsidP="00267BCC">
      <w:pPr>
        <w:numPr>
          <w:ilvl w:val="0"/>
          <w:numId w:val="27"/>
        </w:numPr>
        <w:jc w:val="both"/>
        <w:rPr>
          <w:lang w:val="lv-LV"/>
        </w:rPr>
      </w:pPr>
      <w:r w:rsidRPr="005C766A">
        <w:rPr>
          <w:lang w:val="lv-LV"/>
        </w:rPr>
        <w:t>Gaujas nacionālais parks;</w:t>
      </w:r>
    </w:p>
    <w:p w14:paraId="49640C60" w14:textId="77777777" w:rsidR="005C5543" w:rsidRPr="005C766A" w:rsidRDefault="005C5543" w:rsidP="00267BCC">
      <w:pPr>
        <w:numPr>
          <w:ilvl w:val="0"/>
          <w:numId w:val="27"/>
        </w:numPr>
        <w:jc w:val="both"/>
        <w:rPr>
          <w:lang w:val="lv-LV"/>
        </w:rPr>
      </w:pPr>
      <w:r w:rsidRPr="005C766A">
        <w:rPr>
          <w:lang w:val="lv-LV"/>
        </w:rPr>
        <w:lastRenderedPageBreak/>
        <w:t>Ventspils, Ventspils novads, Kolka;</w:t>
      </w:r>
    </w:p>
    <w:p w14:paraId="49640C61" w14:textId="77777777" w:rsidR="005C5543" w:rsidRPr="005C766A" w:rsidRDefault="005C5543" w:rsidP="00267BCC">
      <w:pPr>
        <w:numPr>
          <w:ilvl w:val="0"/>
          <w:numId w:val="27"/>
        </w:numPr>
        <w:jc w:val="both"/>
        <w:rPr>
          <w:lang w:val="lv-LV"/>
        </w:rPr>
      </w:pPr>
      <w:r w:rsidRPr="005C766A">
        <w:rPr>
          <w:lang w:val="lv-LV"/>
        </w:rPr>
        <w:t>Liepāja un īpaši piekrastes daļa uz dienvidiem un ziemeļiem;</w:t>
      </w:r>
    </w:p>
    <w:p w14:paraId="49640C62" w14:textId="77777777" w:rsidR="005C5543" w:rsidRPr="005C766A" w:rsidRDefault="005C5543" w:rsidP="00267BCC">
      <w:pPr>
        <w:numPr>
          <w:ilvl w:val="0"/>
          <w:numId w:val="27"/>
        </w:numPr>
        <w:jc w:val="both"/>
        <w:rPr>
          <w:lang w:val="lv-LV"/>
        </w:rPr>
      </w:pPr>
      <w:r w:rsidRPr="005C766A">
        <w:rPr>
          <w:lang w:val="lv-LV"/>
        </w:rPr>
        <w:t xml:space="preserve">Daugavpils, Daugavas loki; </w:t>
      </w:r>
    </w:p>
    <w:p w14:paraId="49640C63" w14:textId="77777777" w:rsidR="005C5543" w:rsidRPr="005C766A" w:rsidRDefault="005C5543" w:rsidP="00267BCC">
      <w:pPr>
        <w:numPr>
          <w:ilvl w:val="0"/>
          <w:numId w:val="27"/>
        </w:numPr>
        <w:jc w:val="both"/>
        <w:rPr>
          <w:lang w:val="lv-LV"/>
        </w:rPr>
      </w:pPr>
      <w:r w:rsidRPr="005C766A">
        <w:rPr>
          <w:lang w:val="lv-LV"/>
        </w:rPr>
        <w:t>Vidzemes jūrmalas piekraste.</w:t>
      </w:r>
    </w:p>
    <w:p w14:paraId="49640C64" w14:textId="77777777" w:rsidR="00D30110" w:rsidRPr="005C766A" w:rsidRDefault="00D30110" w:rsidP="00BE1154">
      <w:pPr>
        <w:ind w:firstLine="360"/>
        <w:jc w:val="both"/>
        <w:rPr>
          <w:lang w:val="lv-LV"/>
        </w:rPr>
      </w:pPr>
      <w:r w:rsidRPr="005C766A">
        <w:rPr>
          <w:lang w:val="lv-LV"/>
        </w:rPr>
        <w:t>Pamatnostādņu darbības ietvaros tūrisma attīstību Latvijā galvenokārt plānots koncentrēt tūrisma eksportam konkurētspējīgākajās teritorijās, t.i. teritorijās, kas norādītas</w:t>
      </w:r>
      <w:r w:rsidR="00277685" w:rsidRPr="005C766A">
        <w:rPr>
          <w:lang w:val="lv-LV"/>
        </w:rPr>
        <w:t xml:space="preserve"> 3.pielikuma pirmajā kartē</w:t>
      </w:r>
      <w:r w:rsidRPr="005C766A">
        <w:rPr>
          <w:lang w:val="lv-LV"/>
        </w:rPr>
        <w:t xml:space="preserve"> ar apzīmējumu „Tūrisma eksportam konkurētspējīgākās teritorijas"</w:t>
      </w:r>
      <w:r w:rsidR="00BE1154" w:rsidRPr="005C766A">
        <w:rPr>
          <w:lang w:val="lv-LV"/>
        </w:rPr>
        <w:t xml:space="preserve"> (skat. arī 3.6.3.sadaļu)</w:t>
      </w:r>
      <w:r w:rsidRPr="005C766A">
        <w:rPr>
          <w:lang w:val="lv-LV"/>
        </w:rPr>
        <w:t>.</w:t>
      </w:r>
    </w:p>
    <w:p w14:paraId="49640C65" w14:textId="77777777" w:rsidR="005C5543" w:rsidRPr="00267BCC" w:rsidRDefault="005C5543" w:rsidP="00267BCC">
      <w:pPr>
        <w:ind w:left="720"/>
        <w:jc w:val="both"/>
        <w:rPr>
          <w:u w:val="single"/>
          <w:lang w:val="lv-LV"/>
        </w:rPr>
      </w:pPr>
    </w:p>
    <w:p w14:paraId="49640C66" w14:textId="77777777" w:rsidR="005F49DC" w:rsidRPr="00267BCC" w:rsidRDefault="006B78FF" w:rsidP="00267BCC">
      <w:pPr>
        <w:pStyle w:val="Heading3"/>
        <w:numPr>
          <w:ilvl w:val="2"/>
          <w:numId w:val="24"/>
        </w:numPr>
        <w:rPr>
          <w:lang w:val="lv-LV"/>
        </w:rPr>
      </w:pPr>
      <w:bookmarkStart w:id="29" w:name="_Toc381256664"/>
      <w:r w:rsidRPr="00267BCC">
        <w:rPr>
          <w:lang w:val="lv-LV"/>
        </w:rPr>
        <w:t>T</w:t>
      </w:r>
      <w:r w:rsidR="005F49DC" w:rsidRPr="00267BCC">
        <w:rPr>
          <w:lang w:val="lv-LV"/>
        </w:rPr>
        <w:t>ūristu mīt</w:t>
      </w:r>
      <w:r w:rsidRPr="00267BCC">
        <w:rPr>
          <w:lang w:val="lv-LV"/>
        </w:rPr>
        <w:t xml:space="preserve">ņu darbības radītāji </w:t>
      </w:r>
      <w:r w:rsidR="005F49DC" w:rsidRPr="00267BCC">
        <w:rPr>
          <w:lang w:val="lv-LV"/>
        </w:rPr>
        <w:t>reģionos</w:t>
      </w:r>
      <w:bookmarkEnd w:id="29"/>
    </w:p>
    <w:p w14:paraId="49640C67" w14:textId="77777777" w:rsidR="005F49DC" w:rsidRPr="00267BCC" w:rsidRDefault="005F49DC" w:rsidP="00267BCC">
      <w:pPr>
        <w:jc w:val="both"/>
        <w:rPr>
          <w:lang w:val="lv-LV"/>
        </w:rPr>
      </w:pPr>
    </w:p>
    <w:p w14:paraId="49640C68" w14:textId="77777777" w:rsidR="005F49DC" w:rsidRPr="005C766A" w:rsidRDefault="005C5543" w:rsidP="00267BCC">
      <w:pPr>
        <w:ind w:firstLine="720"/>
        <w:jc w:val="both"/>
        <w:rPr>
          <w:lang w:val="lv-LV"/>
        </w:rPr>
      </w:pPr>
      <w:r w:rsidRPr="005C766A">
        <w:rPr>
          <w:lang w:val="lv-LV"/>
        </w:rPr>
        <w:t>T</w:t>
      </w:r>
      <w:r w:rsidR="00B054BA" w:rsidRPr="005C766A">
        <w:rPr>
          <w:lang w:val="lv-LV"/>
        </w:rPr>
        <w:t>ūrisma</w:t>
      </w:r>
      <w:r w:rsidR="005F49DC" w:rsidRPr="005C766A">
        <w:rPr>
          <w:lang w:val="lv-LV"/>
        </w:rPr>
        <w:t xml:space="preserve"> piedāvājumā joprojām dominē vidēji liels gultu skaits uz vienu numuru. </w:t>
      </w:r>
      <w:r w:rsidR="009C6289" w:rsidRPr="005C766A">
        <w:rPr>
          <w:lang w:val="lv-LV"/>
        </w:rPr>
        <w:t xml:space="preserve">Vērtējot </w:t>
      </w:r>
      <w:r w:rsidR="005F49DC" w:rsidRPr="005C766A">
        <w:rPr>
          <w:lang w:val="lv-LV"/>
        </w:rPr>
        <w:t xml:space="preserve">novadu TIC </w:t>
      </w:r>
      <w:r w:rsidR="009C6289" w:rsidRPr="005C766A">
        <w:rPr>
          <w:lang w:val="lv-LV"/>
        </w:rPr>
        <w:t>publikācijas un tūristu mītņu individuālās mājas lapas</w:t>
      </w:r>
      <w:r w:rsidR="005F49DC" w:rsidRPr="005C766A">
        <w:rPr>
          <w:lang w:val="lv-LV"/>
        </w:rPr>
        <w:t>, vidējais gultu skaits</w:t>
      </w:r>
      <w:r w:rsidR="0043194D" w:rsidRPr="005C766A">
        <w:rPr>
          <w:lang w:val="lv-LV"/>
        </w:rPr>
        <w:t xml:space="preserve"> Latvijā uz vienu numuru ir 3,8</w:t>
      </w:r>
      <w:r w:rsidR="005F49DC" w:rsidRPr="005C766A">
        <w:rPr>
          <w:lang w:val="lv-LV"/>
        </w:rPr>
        <w:t xml:space="preserve">. Tūristu vai paaugstinātas klases standartam </w:t>
      </w:r>
      <w:r w:rsidRPr="005C766A">
        <w:rPr>
          <w:lang w:val="lv-LV"/>
        </w:rPr>
        <w:t xml:space="preserve">atbilstošs tūristu mītņu skaits, </w:t>
      </w:r>
      <w:r w:rsidR="00F0364E" w:rsidRPr="005C766A">
        <w:rPr>
          <w:lang w:val="lv-LV"/>
        </w:rPr>
        <w:t>neskaitot</w:t>
      </w:r>
      <w:r w:rsidRPr="005C766A">
        <w:rPr>
          <w:lang w:val="lv-LV"/>
        </w:rPr>
        <w:t xml:space="preserve"> galvaspilsētā un Jūrmalā esošās, </w:t>
      </w:r>
      <w:r w:rsidR="005F49DC" w:rsidRPr="005C766A">
        <w:rPr>
          <w:lang w:val="lv-LV"/>
        </w:rPr>
        <w:t xml:space="preserve">ir nevienmērīgs. Lielākā daļa </w:t>
      </w:r>
      <w:r w:rsidR="009C6289" w:rsidRPr="005C766A">
        <w:rPr>
          <w:lang w:val="lv-LV"/>
        </w:rPr>
        <w:t>šādu mītņu atrodas</w:t>
      </w:r>
      <w:r w:rsidR="005F49DC" w:rsidRPr="005C766A">
        <w:rPr>
          <w:lang w:val="lv-LV"/>
        </w:rPr>
        <w:t xml:space="preserve"> </w:t>
      </w:r>
      <w:r w:rsidRPr="005C766A">
        <w:rPr>
          <w:lang w:val="lv-LV"/>
        </w:rPr>
        <w:t>liel</w:t>
      </w:r>
      <w:r w:rsidR="0043194D" w:rsidRPr="005C766A">
        <w:rPr>
          <w:lang w:val="lv-LV"/>
        </w:rPr>
        <w:t xml:space="preserve">ajās </w:t>
      </w:r>
      <w:r w:rsidRPr="005C766A">
        <w:rPr>
          <w:lang w:val="lv-LV"/>
        </w:rPr>
        <w:t>republikas nozīmes</w:t>
      </w:r>
      <w:r w:rsidR="009C6289" w:rsidRPr="005C766A">
        <w:rPr>
          <w:lang w:val="lv-LV"/>
        </w:rPr>
        <w:t xml:space="preserve"> pilsētās</w:t>
      </w:r>
      <w:r w:rsidRPr="005C766A">
        <w:rPr>
          <w:lang w:val="lv-LV"/>
        </w:rPr>
        <w:t xml:space="preserve"> </w:t>
      </w:r>
      <w:r w:rsidR="00F0364E" w:rsidRPr="005C766A">
        <w:rPr>
          <w:lang w:val="lv-LV"/>
        </w:rPr>
        <w:t>(3.pielikums</w:t>
      </w:r>
      <w:r w:rsidRPr="005C766A">
        <w:rPr>
          <w:lang w:val="lv-LV"/>
        </w:rPr>
        <w:t>)</w:t>
      </w:r>
      <w:r w:rsidR="005F49DC" w:rsidRPr="005C766A">
        <w:rPr>
          <w:lang w:val="lv-LV"/>
        </w:rPr>
        <w:t>.</w:t>
      </w:r>
    </w:p>
    <w:p w14:paraId="49640C69" w14:textId="77777777" w:rsidR="005F49DC" w:rsidRPr="005C766A" w:rsidRDefault="005F49DC" w:rsidP="00267BCC">
      <w:pPr>
        <w:ind w:firstLine="720"/>
        <w:jc w:val="both"/>
        <w:rPr>
          <w:lang w:val="lv-LV"/>
        </w:rPr>
      </w:pPr>
      <w:r w:rsidRPr="005C766A">
        <w:rPr>
          <w:lang w:val="lv-LV"/>
        </w:rPr>
        <w:t xml:space="preserve">Tūristu mītņu kvalitātes ziņā nav izteiktu atšķirību starp </w:t>
      </w:r>
      <w:r w:rsidR="00AF076B" w:rsidRPr="005C766A">
        <w:rPr>
          <w:lang w:val="lv-LV"/>
        </w:rPr>
        <w:t xml:space="preserve">statistikas </w:t>
      </w:r>
      <w:r w:rsidRPr="005C766A">
        <w:rPr>
          <w:lang w:val="lv-LV"/>
        </w:rPr>
        <w:t>reģioniem (</w:t>
      </w:r>
      <w:r w:rsidR="00761D43" w:rsidRPr="005C766A">
        <w:rPr>
          <w:lang w:val="lv-LV"/>
        </w:rPr>
        <w:t>sk</w:t>
      </w:r>
      <w:r w:rsidRPr="005C766A">
        <w:rPr>
          <w:lang w:val="lv-LV"/>
        </w:rPr>
        <w:t xml:space="preserve">atīt tabulu </w:t>
      </w:r>
      <w:r w:rsidR="00676C56" w:rsidRPr="005C766A">
        <w:rPr>
          <w:lang w:val="lv-LV"/>
        </w:rPr>
        <w:t>5</w:t>
      </w:r>
      <w:r w:rsidR="00761D43" w:rsidRPr="005C766A">
        <w:rPr>
          <w:lang w:val="lv-LV"/>
        </w:rPr>
        <w:t>.</w:t>
      </w:r>
      <w:r w:rsidRPr="005C766A">
        <w:rPr>
          <w:lang w:val="lv-LV"/>
        </w:rPr>
        <w:t xml:space="preserve">pielikumā). </w:t>
      </w:r>
      <w:r w:rsidR="009B20C6" w:rsidRPr="005C766A">
        <w:rPr>
          <w:lang w:val="lv-LV"/>
        </w:rPr>
        <w:t>K</w:t>
      </w:r>
      <w:r w:rsidRPr="005C766A">
        <w:rPr>
          <w:lang w:val="lv-LV"/>
        </w:rPr>
        <w:t xml:space="preserve">opējais kvalitātes līmenis vērtējams kā ļoti labs – ar vidējo valsts rādītāju 7,9 balles. Tomēr </w:t>
      </w:r>
      <w:r w:rsidR="009B20C6" w:rsidRPr="005C766A">
        <w:rPr>
          <w:lang w:val="lv-LV"/>
        </w:rPr>
        <w:t xml:space="preserve">kvalitāte pakalpojumu sfērā nav vienreiz sasniedzams statisks lielums un </w:t>
      </w:r>
      <w:r w:rsidRPr="005C766A">
        <w:rPr>
          <w:lang w:val="lv-LV"/>
        </w:rPr>
        <w:t xml:space="preserve">tūristu mītnēm </w:t>
      </w:r>
      <w:r w:rsidR="009B20C6" w:rsidRPr="005C766A">
        <w:rPr>
          <w:lang w:val="lv-LV"/>
        </w:rPr>
        <w:t xml:space="preserve">jātiecas noturēt un sasniegt </w:t>
      </w:r>
      <w:r w:rsidRPr="005C766A">
        <w:rPr>
          <w:lang w:val="lv-LV"/>
        </w:rPr>
        <w:t>augstāku</w:t>
      </w:r>
      <w:r w:rsidR="00F0364E" w:rsidRPr="005C766A">
        <w:rPr>
          <w:lang w:val="lv-LV"/>
        </w:rPr>
        <w:t xml:space="preserve"> rādītāju – š</w:t>
      </w:r>
      <w:r w:rsidRPr="005C766A">
        <w:rPr>
          <w:lang w:val="lv-LV"/>
        </w:rPr>
        <w:t xml:space="preserve">ajā </w:t>
      </w:r>
      <w:r w:rsidR="00F0364E" w:rsidRPr="005C766A">
        <w:rPr>
          <w:lang w:val="lv-LV"/>
        </w:rPr>
        <w:t>gadījumā</w:t>
      </w:r>
      <w:r w:rsidRPr="005C766A">
        <w:rPr>
          <w:lang w:val="lv-LV"/>
        </w:rPr>
        <w:t xml:space="preserve"> galvenais ir atbilstība cenai un piedāvājumam. Galvenajās rezervēšanas sistēmās dominē Rīga un Pierīga, </w:t>
      </w:r>
      <w:r w:rsidR="00F0364E" w:rsidRPr="005C766A">
        <w:rPr>
          <w:lang w:val="lv-LV"/>
        </w:rPr>
        <w:t>kā arī Kurzeme, kur pieejams liels skaits tūristu mītņu</w:t>
      </w:r>
      <w:r w:rsidRPr="005C766A">
        <w:rPr>
          <w:lang w:val="lv-LV"/>
        </w:rPr>
        <w:t>. Daļa no Pierīgas</w:t>
      </w:r>
      <w:r w:rsidR="00AF076B" w:rsidRPr="005C766A">
        <w:rPr>
          <w:lang w:val="lv-LV"/>
        </w:rPr>
        <w:t xml:space="preserve"> statistikas reģiona</w:t>
      </w:r>
      <w:r w:rsidRPr="005C766A">
        <w:rPr>
          <w:lang w:val="lv-LV"/>
        </w:rPr>
        <w:t xml:space="preserve"> vietām </w:t>
      </w:r>
      <w:r w:rsidR="002C137A" w:rsidRPr="005C766A">
        <w:rPr>
          <w:lang w:val="lv-LV"/>
        </w:rPr>
        <w:t>tūrisma veicināšanas materiālos un vietu stratēģijās</w:t>
      </w:r>
      <w:r w:rsidR="00F0364E" w:rsidRPr="005C766A">
        <w:rPr>
          <w:lang w:val="lv-LV"/>
        </w:rPr>
        <w:t xml:space="preserve"> tiek pozicionētas</w:t>
      </w:r>
      <w:r w:rsidR="0059446A" w:rsidRPr="005C766A">
        <w:rPr>
          <w:lang w:val="lv-LV"/>
        </w:rPr>
        <w:t xml:space="preserve"> kā  Vidzemes, Zemgales vai arī Kurzemes</w:t>
      </w:r>
      <w:r w:rsidRPr="005C766A">
        <w:rPr>
          <w:lang w:val="lv-LV"/>
        </w:rPr>
        <w:t xml:space="preserve"> </w:t>
      </w:r>
      <w:r w:rsidR="0059446A" w:rsidRPr="005C766A">
        <w:rPr>
          <w:lang w:val="lv-LV"/>
        </w:rPr>
        <w:t xml:space="preserve">tūrisma </w:t>
      </w:r>
      <w:r w:rsidRPr="005C766A">
        <w:rPr>
          <w:lang w:val="lv-LV"/>
        </w:rPr>
        <w:t>reģioniem</w:t>
      </w:r>
      <w:r w:rsidR="0059446A" w:rsidRPr="005C766A">
        <w:rPr>
          <w:lang w:val="lv-LV"/>
        </w:rPr>
        <w:t xml:space="preserve"> piederīgas</w:t>
      </w:r>
      <w:r w:rsidRPr="005C766A">
        <w:rPr>
          <w:lang w:val="lv-LV"/>
        </w:rPr>
        <w:t>. Nosacīti zemāks vidējais vērtējums ir Zemgales un Latgales</w:t>
      </w:r>
      <w:r w:rsidR="0059446A" w:rsidRPr="005C766A">
        <w:rPr>
          <w:lang w:val="lv-LV"/>
        </w:rPr>
        <w:t xml:space="preserve"> plānošanas reģionu</w:t>
      </w:r>
      <w:r w:rsidRPr="005C766A">
        <w:rPr>
          <w:lang w:val="lv-LV"/>
        </w:rPr>
        <w:t xml:space="preserve"> naktsmītnēm.</w:t>
      </w:r>
    </w:p>
    <w:p w14:paraId="49640C6A" w14:textId="77777777" w:rsidR="005F49DC" w:rsidRPr="005C766A" w:rsidRDefault="005F49DC" w:rsidP="00267BCC">
      <w:pPr>
        <w:ind w:firstLine="720"/>
        <w:jc w:val="both"/>
        <w:rPr>
          <w:lang w:val="lv-LV"/>
        </w:rPr>
      </w:pPr>
      <w:r w:rsidRPr="005C766A">
        <w:rPr>
          <w:lang w:val="lv-LV"/>
        </w:rPr>
        <w:t xml:space="preserve">Kā kvalitatīvākie piemēri (pēc </w:t>
      </w:r>
      <w:r w:rsidRPr="005C766A">
        <w:rPr>
          <w:i/>
          <w:lang w:val="lv-LV"/>
        </w:rPr>
        <w:t>Booking.com</w:t>
      </w:r>
      <w:r w:rsidRPr="005C766A">
        <w:rPr>
          <w:lang w:val="lv-LV"/>
        </w:rPr>
        <w:t xml:space="preserve">) izceļamas tūristu mītnes ar noturīgi augstāko vērtējumu un vienlaicīgi lielo novērtējumu skaitu: </w:t>
      </w:r>
      <w:r w:rsidRPr="005C766A">
        <w:rPr>
          <w:i/>
          <w:lang w:val="lv-LV"/>
        </w:rPr>
        <w:t>Dome Hotel &amp; Spa, Neiburgs Hotel, Grand Palace Hotel</w:t>
      </w:r>
      <w:r w:rsidRPr="005C766A">
        <w:rPr>
          <w:lang w:val="lv-LV"/>
        </w:rPr>
        <w:t xml:space="preserve"> (Rīga); </w:t>
      </w:r>
      <w:r w:rsidRPr="005C766A">
        <w:rPr>
          <w:i/>
          <w:lang w:val="lv-LV"/>
        </w:rPr>
        <w:t>Jurmala Holidays</w:t>
      </w:r>
      <w:r w:rsidRPr="005C766A">
        <w:rPr>
          <w:lang w:val="lv-LV"/>
        </w:rPr>
        <w:t xml:space="preserve"> (Jūrmala), </w:t>
      </w:r>
      <w:r w:rsidRPr="005C766A">
        <w:rPr>
          <w:i/>
          <w:lang w:val="lv-LV"/>
        </w:rPr>
        <w:t>Karlamuiza Country Hotel</w:t>
      </w:r>
      <w:r w:rsidRPr="005C766A">
        <w:rPr>
          <w:lang w:val="lv-LV"/>
        </w:rPr>
        <w:t xml:space="preserve"> (Vidzeme), </w:t>
      </w:r>
      <w:r w:rsidRPr="005C766A">
        <w:rPr>
          <w:i/>
          <w:lang w:val="lv-LV"/>
        </w:rPr>
        <w:t>Hotel Vilhelmine</w:t>
      </w:r>
      <w:r w:rsidRPr="005C766A">
        <w:rPr>
          <w:lang w:val="lv-LV"/>
        </w:rPr>
        <w:t xml:space="preserve"> (Kurzeme); </w:t>
      </w:r>
      <w:r w:rsidRPr="005C766A">
        <w:rPr>
          <w:i/>
          <w:lang w:val="lv-LV"/>
        </w:rPr>
        <w:t>Sventes muiža</w:t>
      </w:r>
      <w:r w:rsidRPr="005C766A">
        <w:rPr>
          <w:lang w:val="lv-LV"/>
        </w:rPr>
        <w:t xml:space="preserve"> (Latgale) un </w:t>
      </w:r>
      <w:r w:rsidRPr="005C766A">
        <w:rPr>
          <w:i/>
          <w:lang w:val="lv-LV"/>
        </w:rPr>
        <w:t>Hotel Rundāle</w:t>
      </w:r>
      <w:r w:rsidR="00F0364E" w:rsidRPr="005C766A">
        <w:rPr>
          <w:lang w:val="lv-LV"/>
        </w:rPr>
        <w:t xml:space="preserve"> (Zemgale).</w:t>
      </w:r>
    </w:p>
    <w:p w14:paraId="49640C6B" w14:textId="77777777" w:rsidR="005F49DC" w:rsidRPr="005C766A" w:rsidRDefault="00F0364E" w:rsidP="00267BCC">
      <w:pPr>
        <w:ind w:firstLine="720"/>
        <w:jc w:val="both"/>
        <w:rPr>
          <w:lang w:val="lv-LV"/>
        </w:rPr>
      </w:pPr>
      <w:r w:rsidRPr="005C766A">
        <w:rPr>
          <w:lang w:val="lv-LV"/>
        </w:rPr>
        <w:t>Salīdzinot</w:t>
      </w:r>
      <w:r w:rsidR="005F49DC" w:rsidRPr="005C766A">
        <w:rPr>
          <w:lang w:val="lv-LV"/>
        </w:rPr>
        <w:t xml:space="preserve"> tūristu mītņu reģionālo izvietojumu (</w:t>
      </w:r>
      <w:r w:rsidR="00676C56" w:rsidRPr="005C766A">
        <w:rPr>
          <w:lang w:val="lv-LV"/>
        </w:rPr>
        <w:t>3</w:t>
      </w:r>
      <w:r w:rsidR="00761D43" w:rsidRPr="005C766A">
        <w:rPr>
          <w:lang w:val="lv-LV"/>
        </w:rPr>
        <w:t>.pielikums</w:t>
      </w:r>
      <w:r w:rsidR="005F49DC" w:rsidRPr="005C766A">
        <w:rPr>
          <w:lang w:val="lv-LV"/>
        </w:rPr>
        <w:t>) un atsevišķu novadu eksportspēju, manāmas lielākas atšķirības. Tūristu mītnes izteikti koncentrējas Rīgā un tuvākajā apkārtnē, g</w:t>
      </w:r>
      <w:r w:rsidRPr="005C766A">
        <w:rPr>
          <w:lang w:val="lv-LV"/>
        </w:rPr>
        <w:t xml:space="preserve">ar </w:t>
      </w:r>
      <w:r w:rsidR="005F49DC" w:rsidRPr="005C766A">
        <w:rPr>
          <w:lang w:val="lv-LV"/>
        </w:rPr>
        <w:t>pie</w:t>
      </w:r>
      <w:r w:rsidRPr="005C766A">
        <w:rPr>
          <w:lang w:val="lv-LV"/>
        </w:rPr>
        <w:t xml:space="preserve">krasti, gar Daugavu, gar Gauju un </w:t>
      </w:r>
      <w:r w:rsidR="005F49DC" w:rsidRPr="005C766A">
        <w:rPr>
          <w:lang w:val="lv-LV"/>
        </w:rPr>
        <w:t xml:space="preserve">gar diviem galvenajiem </w:t>
      </w:r>
      <w:r w:rsidRPr="005C766A">
        <w:rPr>
          <w:i/>
          <w:lang w:val="lv-LV"/>
        </w:rPr>
        <w:t>Panb</w:t>
      </w:r>
      <w:r w:rsidR="005F49DC" w:rsidRPr="005C766A">
        <w:rPr>
          <w:i/>
          <w:lang w:val="lv-LV"/>
        </w:rPr>
        <w:t>altica</w:t>
      </w:r>
      <w:r w:rsidR="005F49DC" w:rsidRPr="005C766A">
        <w:rPr>
          <w:lang w:val="lv-LV"/>
        </w:rPr>
        <w:t xml:space="preserve"> tūrisma ceļiem (</w:t>
      </w:r>
      <w:r w:rsidR="005F49DC" w:rsidRPr="005C766A">
        <w:rPr>
          <w:i/>
          <w:lang w:val="lv-LV"/>
        </w:rPr>
        <w:t xml:space="preserve">Via Baltica </w:t>
      </w:r>
      <w:r w:rsidR="005F49DC" w:rsidRPr="005C766A">
        <w:rPr>
          <w:lang w:val="lv-LV"/>
        </w:rPr>
        <w:t xml:space="preserve">un </w:t>
      </w:r>
      <w:r w:rsidR="005F49DC" w:rsidRPr="005C766A">
        <w:rPr>
          <w:i/>
          <w:lang w:val="lv-LV"/>
        </w:rPr>
        <w:t>Via Hanseatica</w:t>
      </w:r>
      <w:r w:rsidR="005F49DC" w:rsidRPr="005C766A">
        <w:rPr>
          <w:lang w:val="lv-LV"/>
        </w:rPr>
        <w:t xml:space="preserve">). Lauku tūrisma mītņu piedāvājums ir izteikti saistīts ar ūdens tuvumu, </w:t>
      </w:r>
      <w:r w:rsidR="0069767C" w:rsidRPr="005C766A">
        <w:rPr>
          <w:lang w:val="lv-LV"/>
        </w:rPr>
        <w:t xml:space="preserve">kā arī </w:t>
      </w:r>
      <w:r w:rsidR="005F49DC" w:rsidRPr="005C766A">
        <w:rPr>
          <w:lang w:val="lv-LV"/>
        </w:rPr>
        <w:t>ainaviski skaistākām vietām.</w:t>
      </w:r>
    </w:p>
    <w:p w14:paraId="49640C6C" w14:textId="77777777" w:rsidR="00361788" w:rsidRPr="005C766A" w:rsidRDefault="00361788" w:rsidP="00361788">
      <w:pPr>
        <w:ind w:firstLine="720"/>
        <w:jc w:val="both"/>
        <w:rPr>
          <w:lang w:val="lv-LV"/>
        </w:rPr>
      </w:pPr>
      <w:r w:rsidRPr="005C766A">
        <w:rPr>
          <w:lang w:val="lv-LV"/>
        </w:rPr>
        <w:t>Daudzas lauku tūrisma mītnes ir ieguvušas Vides aizsardzības un reģionālās attīstības un Zemkopības ministrijas ekosertifikātus par videi draudzīgo pieeju ieviešanu lauku tūrismā. Šāda tendence ir uzskatāma par pozitīvu tendenci pievienotās zaļās vērtības radīšanai tūrisma produktiem un infrastruktūrai kopumā.</w:t>
      </w:r>
    </w:p>
    <w:p w14:paraId="49640C6D" w14:textId="77777777" w:rsidR="005F038E" w:rsidRPr="005C766A" w:rsidRDefault="00361788" w:rsidP="00361788">
      <w:pPr>
        <w:ind w:firstLine="720"/>
        <w:jc w:val="both"/>
        <w:rPr>
          <w:lang w:val="lv-LV"/>
        </w:rPr>
      </w:pPr>
      <w:r w:rsidRPr="005C766A">
        <w:rPr>
          <w:lang w:val="lv-LV"/>
        </w:rPr>
        <w:t xml:space="preserve">Eksportspējas ziņā bez Rīgas izceļamas lielākās pilsētas: Jūrmala, Liepāja, Ventspils, Valmiera, Jelgava, Kuldīga, Jēkabpils, Rēzekne, Daugavpils, kā arī vairāki novadi: Engures, īpaši Engures ekoreģions, Siguldas, Ķekavas, Bauskas un Cēsu. </w:t>
      </w:r>
      <w:r w:rsidR="005F49DC" w:rsidRPr="005C766A">
        <w:rPr>
          <w:lang w:val="lv-LV"/>
        </w:rPr>
        <w:t xml:space="preserve">Attiecīgi tajos </w:t>
      </w:r>
      <w:r w:rsidR="00F0364E" w:rsidRPr="005C766A">
        <w:rPr>
          <w:lang w:val="lv-LV"/>
        </w:rPr>
        <w:t xml:space="preserve">tūrisma </w:t>
      </w:r>
      <w:r w:rsidR="005F49DC" w:rsidRPr="005C766A">
        <w:rPr>
          <w:lang w:val="lv-LV"/>
        </w:rPr>
        <w:t xml:space="preserve">eksporta īpatsvars pēdējos četros gados vidēji pārsniedz 40% no visiem nakšņojumiem. </w:t>
      </w:r>
      <w:r w:rsidR="005F038E" w:rsidRPr="005C766A">
        <w:rPr>
          <w:lang w:val="lv-LV"/>
        </w:rPr>
        <w:t xml:space="preserve">Ir izteiktākas zonas, kur ārvalstu nakšņotāju skaita ietekme nav noteicoša. Attiecībā uz eksportu reģionos </w:t>
      </w:r>
      <w:r w:rsidR="007F075D" w:rsidRPr="005C766A">
        <w:rPr>
          <w:lang w:val="lv-LV"/>
        </w:rPr>
        <w:t xml:space="preserve">pierobežas apvidos </w:t>
      </w:r>
      <w:r w:rsidR="005F038E" w:rsidRPr="005C766A">
        <w:rPr>
          <w:lang w:val="lv-LV"/>
        </w:rPr>
        <w:t xml:space="preserve">augstāk vērtējams </w:t>
      </w:r>
      <w:r w:rsidR="007F075D" w:rsidRPr="005C766A">
        <w:rPr>
          <w:lang w:val="lv-LV"/>
        </w:rPr>
        <w:t>tieši kaimiņvalstu tūrisma plūsmu</w:t>
      </w:r>
      <w:r w:rsidR="005F038E" w:rsidRPr="005C766A">
        <w:rPr>
          <w:lang w:val="lv-LV"/>
        </w:rPr>
        <w:t xml:space="preserve"> potenciāls (Igaunija, </w:t>
      </w:r>
      <w:r w:rsidR="007F075D" w:rsidRPr="005C766A">
        <w:rPr>
          <w:lang w:val="lv-LV"/>
        </w:rPr>
        <w:t>Lietuva</w:t>
      </w:r>
      <w:r w:rsidR="005F038E" w:rsidRPr="005C766A">
        <w:rPr>
          <w:lang w:val="lv-LV"/>
        </w:rPr>
        <w:t>, Baltkrievija un Krievija).</w:t>
      </w:r>
    </w:p>
    <w:p w14:paraId="49640C6E" w14:textId="77777777" w:rsidR="0043194D" w:rsidRPr="00267BCC" w:rsidRDefault="00F0364E" w:rsidP="00267BCC">
      <w:pPr>
        <w:ind w:firstLine="720"/>
        <w:jc w:val="both"/>
        <w:rPr>
          <w:bCs/>
          <w:lang w:val="lv-LV"/>
        </w:rPr>
      </w:pPr>
      <w:r w:rsidRPr="005C766A">
        <w:rPr>
          <w:bCs/>
          <w:lang w:val="lv-LV"/>
        </w:rPr>
        <w:t>P</w:t>
      </w:r>
      <w:r w:rsidR="0043194D" w:rsidRPr="005C766A">
        <w:rPr>
          <w:bCs/>
          <w:lang w:val="lv-LV"/>
        </w:rPr>
        <w:t xml:space="preserve">ēc nakšņojumu īpatsvara </w:t>
      </w:r>
      <w:r w:rsidRPr="005C766A">
        <w:rPr>
          <w:bCs/>
          <w:lang w:val="lv-LV"/>
        </w:rPr>
        <w:t xml:space="preserve">tūrisma eksportspēja starp statistikas reģioniem </w:t>
      </w:r>
      <w:r w:rsidR="0043194D" w:rsidRPr="005C766A">
        <w:rPr>
          <w:bCs/>
          <w:lang w:val="lv-LV"/>
        </w:rPr>
        <w:t>ir</w:t>
      </w:r>
      <w:r w:rsidR="0043194D" w:rsidRPr="00267BCC">
        <w:rPr>
          <w:bCs/>
          <w:u w:val="single"/>
          <w:lang w:val="lv-LV"/>
        </w:rPr>
        <w:t xml:space="preserve"> </w:t>
      </w:r>
      <w:r w:rsidR="0043194D" w:rsidRPr="005C766A">
        <w:rPr>
          <w:bCs/>
          <w:lang w:val="lv-LV"/>
        </w:rPr>
        <w:t>salīdzinoši vienmērīga</w:t>
      </w:r>
      <w:r w:rsidR="002C137A" w:rsidRPr="005C766A">
        <w:rPr>
          <w:bCs/>
          <w:lang w:val="lv-LV"/>
        </w:rPr>
        <w:t>.</w:t>
      </w:r>
      <w:r w:rsidR="002C137A" w:rsidRPr="00267BCC">
        <w:rPr>
          <w:bCs/>
          <w:lang w:val="lv-LV"/>
        </w:rPr>
        <w:t xml:space="preserve"> Ā</w:t>
      </w:r>
      <w:r w:rsidR="0043194D" w:rsidRPr="00267BCC">
        <w:rPr>
          <w:bCs/>
          <w:lang w:val="lv-LV"/>
        </w:rPr>
        <w:t xml:space="preserve">rvalstnieku nakšņojumi ir aptuveni </w:t>
      </w:r>
      <w:r w:rsidR="0069767C" w:rsidRPr="00267BCC">
        <w:rPr>
          <w:bCs/>
          <w:lang w:val="lv-LV"/>
        </w:rPr>
        <w:t>viena trešā daļa</w:t>
      </w:r>
      <w:r w:rsidR="0043194D" w:rsidRPr="00267BCC">
        <w:rPr>
          <w:bCs/>
          <w:lang w:val="lv-LV"/>
        </w:rPr>
        <w:t xml:space="preserve"> no kopējā nakšņojumu apjoma. Izteiktas atšķirības ir Rīgā, kur </w:t>
      </w:r>
      <w:r w:rsidR="0069767C" w:rsidRPr="00267BCC">
        <w:rPr>
          <w:bCs/>
          <w:lang w:val="lv-LV"/>
        </w:rPr>
        <w:t xml:space="preserve">dominē </w:t>
      </w:r>
      <w:r w:rsidR="0043194D" w:rsidRPr="00267BCC">
        <w:rPr>
          <w:bCs/>
          <w:lang w:val="lv-LV"/>
        </w:rPr>
        <w:t xml:space="preserve">ārvalstnieki </w:t>
      </w:r>
      <w:r w:rsidR="0069767C" w:rsidRPr="00267BCC">
        <w:rPr>
          <w:bCs/>
          <w:lang w:val="lv-LV"/>
        </w:rPr>
        <w:t>(83%), vairāk nekā puse</w:t>
      </w:r>
      <w:r w:rsidR="0043194D" w:rsidRPr="00267BCC">
        <w:rPr>
          <w:bCs/>
          <w:lang w:val="lv-LV"/>
        </w:rPr>
        <w:t xml:space="preserve"> (58%) to ir arī Pierīgā, īpaši Jūrmalā, Gaujas </w:t>
      </w:r>
      <w:r w:rsidR="0069767C" w:rsidRPr="00267BCC">
        <w:rPr>
          <w:bCs/>
          <w:lang w:val="lv-LV"/>
        </w:rPr>
        <w:t>nacionālajā parkā</w:t>
      </w:r>
      <w:r w:rsidR="0043194D" w:rsidRPr="00267BCC">
        <w:rPr>
          <w:bCs/>
          <w:lang w:val="lv-LV"/>
        </w:rPr>
        <w:t xml:space="preserve"> (Siguldā u.c.). Taču </w:t>
      </w:r>
      <w:r w:rsidR="0069767C" w:rsidRPr="00267BCC">
        <w:rPr>
          <w:bCs/>
          <w:lang w:val="lv-LV"/>
        </w:rPr>
        <w:lastRenderedPageBreak/>
        <w:t>salīdzinājumā</w:t>
      </w:r>
      <w:r w:rsidR="0043194D" w:rsidRPr="00267BCC">
        <w:rPr>
          <w:bCs/>
          <w:lang w:val="lv-LV"/>
        </w:rPr>
        <w:t xml:space="preserve"> pa </w:t>
      </w:r>
      <w:r w:rsidR="00BE0C6E" w:rsidRPr="00267BCC">
        <w:rPr>
          <w:bCs/>
          <w:lang w:val="lv-LV"/>
        </w:rPr>
        <w:t>novadiem</w:t>
      </w:r>
      <w:r w:rsidR="0043194D" w:rsidRPr="00267BCC">
        <w:rPr>
          <w:bCs/>
          <w:lang w:val="lv-LV"/>
        </w:rPr>
        <w:t xml:space="preserve"> arī reģionālās atšķirības ir lielākas – starp perifērijas un lielo pilsētu, </w:t>
      </w:r>
      <w:r w:rsidR="0069767C" w:rsidRPr="00267BCC">
        <w:rPr>
          <w:bCs/>
          <w:lang w:val="lv-LV"/>
        </w:rPr>
        <w:t>kā arī piejūras un iekšzemes reģioniem</w:t>
      </w:r>
      <w:r w:rsidR="0043194D" w:rsidRPr="00267BCC">
        <w:rPr>
          <w:bCs/>
          <w:lang w:val="lv-LV"/>
        </w:rPr>
        <w:t>.</w:t>
      </w:r>
    </w:p>
    <w:p w14:paraId="49640C6F" w14:textId="77777777" w:rsidR="005F038E" w:rsidRPr="00267BCC" w:rsidRDefault="005F038E" w:rsidP="00267BCC">
      <w:pPr>
        <w:rPr>
          <w:lang w:val="lv-LV"/>
        </w:rPr>
      </w:pPr>
    </w:p>
    <w:p w14:paraId="49640C70" w14:textId="77777777" w:rsidR="005F038E" w:rsidRPr="00267BCC" w:rsidRDefault="005F038E" w:rsidP="00267BCC">
      <w:pPr>
        <w:pStyle w:val="Heading3"/>
        <w:numPr>
          <w:ilvl w:val="2"/>
          <w:numId w:val="24"/>
        </w:numPr>
        <w:rPr>
          <w:lang w:val="lv-LV"/>
        </w:rPr>
      </w:pPr>
      <w:bookmarkStart w:id="30" w:name="_Toc381256665"/>
      <w:r w:rsidRPr="00267BCC">
        <w:rPr>
          <w:lang w:val="lv-LV"/>
        </w:rPr>
        <w:t>Tūristu piesaiste reģionos</w:t>
      </w:r>
      <w:r w:rsidR="00700FFC" w:rsidRPr="00267BCC">
        <w:rPr>
          <w:lang w:val="lv-LV"/>
        </w:rPr>
        <w:t>, konkurētspējīgākie objekti</w:t>
      </w:r>
      <w:r w:rsidR="002C137A" w:rsidRPr="00267BCC">
        <w:rPr>
          <w:lang w:val="lv-LV"/>
        </w:rPr>
        <w:t xml:space="preserve"> un galamērķi</w:t>
      </w:r>
      <w:bookmarkEnd w:id="30"/>
    </w:p>
    <w:p w14:paraId="49640C71" w14:textId="77777777" w:rsidR="005F038E" w:rsidRPr="00267BCC" w:rsidRDefault="005F038E" w:rsidP="00267BCC">
      <w:pPr>
        <w:jc w:val="both"/>
        <w:rPr>
          <w:lang w:val="lv-LV"/>
        </w:rPr>
      </w:pPr>
    </w:p>
    <w:p w14:paraId="49640C72" w14:textId="77777777" w:rsidR="005F038E" w:rsidRPr="00267BCC" w:rsidRDefault="005F038E" w:rsidP="00267BCC">
      <w:pPr>
        <w:ind w:firstLine="720"/>
        <w:jc w:val="both"/>
        <w:rPr>
          <w:lang w:val="lv-LV"/>
        </w:rPr>
      </w:pPr>
      <w:r w:rsidRPr="00267BCC">
        <w:rPr>
          <w:lang w:val="lv-LV"/>
        </w:rPr>
        <w:t xml:space="preserve">Tūristu piesaistes un to apmeklētība </w:t>
      </w:r>
      <w:r w:rsidR="00700FFC" w:rsidRPr="00267BCC">
        <w:rPr>
          <w:lang w:val="lv-LV"/>
        </w:rPr>
        <w:t xml:space="preserve">tika </w:t>
      </w:r>
      <w:r w:rsidRPr="00267BCC">
        <w:rPr>
          <w:lang w:val="lv-LV"/>
        </w:rPr>
        <w:t xml:space="preserve">monitorēta </w:t>
      </w:r>
      <w:r w:rsidR="004F1834" w:rsidRPr="00267BCC">
        <w:rPr>
          <w:lang w:val="lv-LV"/>
        </w:rPr>
        <w:t>saskaņā ar</w:t>
      </w:r>
      <w:r w:rsidRPr="00267BCC">
        <w:rPr>
          <w:lang w:val="lv-LV"/>
        </w:rPr>
        <w:t xml:space="preserve"> datiem, kas iegūti no </w:t>
      </w:r>
      <w:r w:rsidR="00700FFC" w:rsidRPr="00267BCC">
        <w:rPr>
          <w:lang w:val="lv-LV"/>
        </w:rPr>
        <w:t>TIC</w:t>
      </w:r>
      <w:r w:rsidRPr="00267BCC">
        <w:rPr>
          <w:lang w:val="lv-LV"/>
        </w:rPr>
        <w:t xml:space="preserve">, </w:t>
      </w:r>
      <w:r w:rsidR="004F1834" w:rsidRPr="00267BCC">
        <w:rPr>
          <w:lang w:val="lv-LV"/>
        </w:rPr>
        <w:t xml:space="preserve">pašu objektu apsaimniekotājiem un </w:t>
      </w:r>
      <w:r w:rsidRPr="00267BCC">
        <w:rPr>
          <w:lang w:val="lv-LV"/>
        </w:rPr>
        <w:t xml:space="preserve">mediju ziņām. </w:t>
      </w:r>
      <w:r w:rsidR="00700FFC" w:rsidRPr="00267BCC">
        <w:rPr>
          <w:lang w:val="lv-LV"/>
        </w:rPr>
        <w:t>D</w:t>
      </w:r>
      <w:r w:rsidRPr="00267BCC">
        <w:rPr>
          <w:lang w:val="lv-LV"/>
        </w:rPr>
        <w:t xml:space="preserve">ati balstīti </w:t>
      </w:r>
      <w:r w:rsidR="00F0364E" w:rsidRPr="00267BCC">
        <w:rPr>
          <w:lang w:val="lv-LV"/>
        </w:rPr>
        <w:t>gan</w:t>
      </w:r>
      <w:r w:rsidR="00700FFC" w:rsidRPr="00267BCC">
        <w:rPr>
          <w:lang w:val="lv-LV"/>
        </w:rPr>
        <w:t xml:space="preserve"> </w:t>
      </w:r>
      <w:r w:rsidRPr="00267BCC">
        <w:rPr>
          <w:lang w:val="lv-LV"/>
        </w:rPr>
        <w:t xml:space="preserve">uz precīzu uzskaiti – ar ieejas biļetēm, automatizētām skaitīšanas ierīcēm, </w:t>
      </w:r>
      <w:r w:rsidR="00F0364E" w:rsidRPr="00267BCC">
        <w:rPr>
          <w:lang w:val="lv-LV"/>
        </w:rPr>
        <w:t>gan dažkārt tikai uz vērtējumu vai aplēsēm</w:t>
      </w:r>
      <w:r w:rsidRPr="00267BCC">
        <w:rPr>
          <w:lang w:val="lv-LV"/>
        </w:rPr>
        <w:t xml:space="preserve"> par apmeklētāju skaitu (kā pilsētas svētkos, pludmales apmeklētāju skaita ziņā utt.). Apmeklējumu ziņā nav </w:t>
      </w:r>
      <w:r w:rsidR="00700FFC" w:rsidRPr="00267BCC">
        <w:rPr>
          <w:lang w:val="lv-LV"/>
        </w:rPr>
        <w:t>iespējams</w:t>
      </w:r>
      <w:r w:rsidRPr="00267BCC">
        <w:rPr>
          <w:lang w:val="lv-LV"/>
        </w:rPr>
        <w:t xml:space="preserve"> nošķirt tūristu apmeklējumus</w:t>
      </w:r>
      <w:r w:rsidR="004F1834" w:rsidRPr="00267BCC">
        <w:rPr>
          <w:lang w:val="lv-LV"/>
        </w:rPr>
        <w:t>, vienas dienas</w:t>
      </w:r>
      <w:r w:rsidRPr="00267BCC">
        <w:rPr>
          <w:lang w:val="lv-LV"/>
        </w:rPr>
        <w:t xml:space="preserve"> ceļotāju</w:t>
      </w:r>
      <w:r w:rsidR="004F1834" w:rsidRPr="00267BCC">
        <w:rPr>
          <w:lang w:val="lv-LV"/>
        </w:rPr>
        <w:t>s</w:t>
      </w:r>
      <w:r w:rsidRPr="00267BCC">
        <w:rPr>
          <w:lang w:val="lv-LV"/>
        </w:rPr>
        <w:t xml:space="preserve">, </w:t>
      </w:r>
      <w:r w:rsidR="004F1834" w:rsidRPr="00267BCC">
        <w:rPr>
          <w:lang w:val="lv-LV"/>
        </w:rPr>
        <w:t xml:space="preserve">kā arī </w:t>
      </w:r>
      <w:r w:rsidRPr="00267BCC">
        <w:rPr>
          <w:lang w:val="lv-LV"/>
        </w:rPr>
        <w:t>vietējo iedzīvotāju apmeklējumus. Taču tāpēc kā uzskaites vietas izmanto</w:t>
      </w:r>
      <w:r w:rsidR="00F0364E" w:rsidRPr="00267BCC">
        <w:rPr>
          <w:lang w:val="lv-LV"/>
        </w:rPr>
        <w:t>ti ap 1000 ar tūristu piesaistes vietām</w:t>
      </w:r>
      <w:r w:rsidRPr="00267BCC">
        <w:rPr>
          <w:lang w:val="lv-LV"/>
        </w:rPr>
        <w:t xml:space="preserve"> asociējami objekti vai pasākumi, kur tūristu vai </w:t>
      </w:r>
      <w:r w:rsidR="004F1834" w:rsidRPr="00267BCC">
        <w:rPr>
          <w:lang w:val="lv-LV"/>
        </w:rPr>
        <w:t>vienas dienas</w:t>
      </w:r>
      <w:r w:rsidRPr="00267BCC">
        <w:rPr>
          <w:lang w:val="lv-LV"/>
        </w:rPr>
        <w:t xml:space="preserve"> ceļotāju klātbūtne ir reāla.</w:t>
      </w:r>
    </w:p>
    <w:p w14:paraId="49640C73" w14:textId="77777777" w:rsidR="005F038E" w:rsidRPr="005C766A" w:rsidRDefault="005F038E" w:rsidP="00267BCC">
      <w:pPr>
        <w:ind w:firstLine="720"/>
        <w:jc w:val="both"/>
        <w:rPr>
          <w:lang w:val="lv-LV"/>
        </w:rPr>
      </w:pPr>
      <w:r w:rsidRPr="00267BCC">
        <w:rPr>
          <w:lang w:val="lv-LV"/>
        </w:rPr>
        <w:t xml:space="preserve">Populārākās tūristu piesaistes </w:t>
      </w:r>
      <w:r w:rsidR="00F0364E" w:rsidRPr="00267BCC">
        <w:rPr>
          <w:lang w:val="lv-LV"/>
        </w:rPr>
        <w:t xml:space="preserve">vietas </w:t>
      </w:r>
      <w:r w:rsidRPr="00267BCC">
        <w:rPr>
          <w:lang w:val="lv-LV"/>
        </w:rPr>
        <w:t xml:space="preserve">savas līderpozīcijas </w:t>
      </w:r>
      <w:r w:rsidR="00F0364E" w:rsidRPr="00267BCC">
        <w:rPr>
          <w:lang w:val="lv-LV"/>
        </w:rPr>
        <w:t xml:space="preserve">saglabā </w:t>
      </w:r>
      <w:r w:rsidRPr="00267BCC">
        <w:rPr>
          <w:lang w:val="lv-LV"/>
        </w:rPr>
        <w:t xml:space="preserve">ilgākā </w:t>
      </w:r>
      <w:r w:rsidR="00D67A0E" w:rsidRPr="00267BCC">
        <w:rPr>
          <w:lang w:val="lv-LV"/>
        </w:rPr>
        <w:t>laika posmā. Starp populārākajiem</w:t>
      </w:r>
      <w:r w:rsidR="002C137A" w:rsidRPr="00267BCC">
        <w:rPr>
          <w:lang w:val="lv-LV"/>
        </w:rPr>
        <w:t xml:space="preserve"> ārpus galvaspilsētas</w:t>
      </w:r>
      <w:r w:rsidRPr="00267BCC">
        <w:rPr>
          <w:lang w:val="lv-LV"/>
        </w:rPr>
        <w:t xml:space="preserve"> </w:t>
      </w:r>
      <w:r w:rsidR="00D67A0E" w:rsidRPr="00267BCC">
        <w:rPr>
          <w:lang w:val="lv-LV"/>
        </w:rPr>
        <w:t>esošajiem galamērķiem</w:t>
      </w:r>
      <w:r w:rsidRPr="00267BCC">
        <w:rPr>
          <w:lang w:val="lv-LV"/>
        </w:rPr>
        <w:t xml:space="preserve"> jopro</w:t>
      </w:r>
      <w:r w:rsidR="00D67A0E" w:rsidRPr="00267BCC">
        <w:rPr>
          <w:lang w:val="lv-LV"/>
        </w:rPr>
        <w:t xml:space="preserve">jām ir Turaidas muzejrezervāts un </w:t>
      </w:r>
      <w:r w:rsidRPr="00267BCC">
        <w:rPr>
          <w:lang w:val="lv-LV"/>
        </w:rPr>
        <w:t xml:space="preserve">Rundāles pils, kurai tieši pēdējos gados izdevies lielāks apmeklētāju skaita kāpinājums. </w:t>
      </w:r>
      <w:r w:rsidR="004F1834" w:rsidRPr="00267BCC">
        <w:rPr>
          <w:lang w:val="lv-LV"/>
        </w:rPr>
        <w:t>Tāpat</w:t>
      </w:r>
      <w:r w:rsidRPr="00267BCC">
        <w:rPr>
          <w:lang w:val="lv-LV"/>
        </w:rPr>
        <w:t xml:space="preserve"> arī Tērvetes dabas parkam, </w:t>
      </w:r>
      <w:r w:rsidR="00D67A0E" w:rsidRPr="00267BCC">
        <w:rPr>
          <w:lang w:val="lv-LV"/>
        </w:rPr>
        <w:t>kam</w:t>
      </w:r>
      <w:r w:rsidRPr="00267BCC">
        <w:rPr>
          <w:lang w:val="lv-LV"/>
        </w:rPr>
        <w:t xml:space="preserve"> attiecībā pret iepriekšējo gadu (2012</w:t>
      </w:r>
      <w:r w:rsidR="005820F7" w:rsidRPr="00267BCC">
        <w:rPr>
          <w:lang w:val="lv-LV"/>
        </w:rPr>
        <w:t>.</w:t>
      </w:r>
      <w:r w:rsidRPr="00267BCC">
        <w:rPr>
          <w:lang w:val="lv-LV"/>
        </w:rPr>
        <w:t>/2011</w:t>
      </w:r>
      <w:r w:rsidR="004F1834" w:rsidRPr="00267BCC">
        <w:rPr>
          <w:lang w:val="lv-LV"/>
        </w:rPr>
        <w:t>.gadā</w:t>
      </w:r>
      <w:r w:rsidRPr="00267BCC">
        <w:rPr>
          <w:lang w:val="lv-LV"/>
        </w:rPr>
        <w:t xml:space="preserve">) reģistrēts viens no lielākajiem izaugsmes </w:t>
      </w:r>
      <w:r w:rsidR="004F1834" w:rsidRPr="00267BCC">
        <w:rPr>
          <w:lang w:val="lv-LV"/>
        </w:rPr>
        <w:t>kāpumiem</w:t>
      </w:r>
      <w:r w:rsidR="00D67A0E" w:rsidRPr="00267BCC">
        <w:rPr>
          <w:lang w:val="lv-LV"/>
        </w:rPr>
        <w:t xml:space="preserve">, līdzīga situācijas attīstība vērojama arī </w:t>
      </w:r>
      <w:r w:rsidRPr="00267BCC">
        <w:rPr>
          <w:lang w:val="lv-LV"/>
        </w:rPr>
        <w:t>Miniatū</w:t>
      </w:r>
      <w:r w:rsidR="00D67A0E" w:rsidRPr="00267BCC">
        <w:rPr>
          <w:lang w:val="lv-LV"/>
        </w:rPr>
        <w:t>rajā karaļvalstī un L</w:t>
      </w:r>
      <w:r w:rsidR="004F1834" w:rsidRPr="00267BCC">
        <w:rPr>
          <w:lang w:val="lv-LV"/>
        </w:rPr>
        <w:t xml:space="preserve">eļļu </w:t>
      </w:r>
      <w:r w:rsidR="00D67A0E" w:rsidRPr="00267BCC">
        <w:rPr>
          <w:lang w:val="lv-LV"/>
        </w:rPr>
        <w:t>muzejs</w:t>
      </w:r>
      <w:r w:rsidRPr="00267BCC">
        <w:rPr>
          <w:lang w:val="lv-LV"/>
        </w:rPr>
        <w:t xml:space="preserve"> Preiļos.</w:t>
      </w:r>
      <w:r w:rsidR="00973D68" w:rsidRPr="00267BCC">
        <w:rPr>
          <w:lang w:val="lv-LV"/>
        </w:rPr>
        <w:t xml:space="preserve"> </w:t>
      </w:r>
      <w:r w:rsidR="00721203" w:rsidRPr="00CB19B5">
        <w:rPr>
          <w:lang w:val="lv-LV"/>
        </w:rPr>
        <w:t>Kultūras tūrisma</w:t>
      </w:r>
      <w:r w:rsidR="00721203" w:rsidRPr="00721203">
        <w:rPr>
          <w:u w:val="single"/>
          <w:lang w:val="lv-LV"/>
        </w:rPr>
        <w:t xml:space="preserve"> </w:t>
      </w:r>
      <w:r w:rsidR="00721203" w:rsidRPr="005C766A">
        <w:rPr>
          <w:lang w:val="lv-LV"/>
        </w:rPr>
        <w:t>specializācijas attīstības potenciāls piemīt arī Cēsīm, Rēzeknei, Kuldīgai, kā arī Vecpiebalgas un Piebalgas novadiem, jo minētajās pilsētās un novados ir augsta kultūras aktivitāšu un institūciju koncentrācija.</w:t>
      </w:r>
      <w:r w:rsidR="00D5399B" w:rsidRPr="005C766A">
        <w:rPr>
          <w:lang w:val="lv-LV"/>
        </w:rPr>
        <w:t xml:space="preserve"> Aktīvās atpūtas specializācijas attīstības potenciāls gan ziemā</w:t>
      </w:r>
      <w:r w:rsidR="00E8235C" w:rsidRPr="005C766A">
        <w:rPr>
          <w:lang w:val="lv-LV"/>
        </w:rPr>
        <w:t xml:space="preserve"> (slēpošanas tras</w:t>
      </w:r>
      <w:r w:rsidR="0083785A" w:rsidRPr="005C766A">
        <w:rPr>
          <w:lang w:val="lv-LV"/>
        </w:rPr>
        <w:t>es</w:t>
      </w:r>
      <w:r w:rsidR="00E8235C" w:rsidRPr="005C766A">
        <w:rPr>
          <w:lang w:val="lv-LV"/>
        </w:rPr>
        <w:t>)</w:t>
      </w:r>
      <w:r w:rsidR="00D5399B" w:rsidRPr="005C766A">
        <w:rPr>
          <w:lang w:val="lv-LV"/>
        </w:rPr>
        <w:t>, gan vasarā</w:t>
      </w:r>
      <w:r w:rsidR="00E8235C" w:rsidRPr="005C766A">
        <w:rPr>
          <w:lang w:val="lv-LV"/>
        </w:rPr>
        <w:t xml:space="preserve"> (orientēšanās, velo noma, dabas takas)</w:t>
      </w:r>
      <w:r w:rsidR="00D5399B" w:rsidRPr="005C766A">
        <w:rPr>
          <w:lang w:val="lv-LV"/>
        </w:rPr>
        <w:t xml:space="preserve"> piemīt Baldonei</w:t>
      </w:r>
      <w:r w:rsidR="00E8235C" w:rsidRPr="005C766A">
        <w:rPr>
          <w:lang w:val="lv-LV"/>
        </w:rPr>
        <w:t xml:space="preserve">, Cēsīm, </w:t>
      </w:r>
      <w:r w:rsidR="00D856AE" w:rsidRPr="005C766A">
        <w:rPr>
          <w:lang w:val="lv-LV"/>
        </w:rPr>
        <w:t xml:space="preserve">Tukumam, </w:t>
      </w:r>
      <w:r w:rsidR="00E8235C" w:rsidRPr="005C766A">
        <w:rPr>
          <w:lang w:val="lv-LV"/>
        </w:rPr>
        <w:t>Valmierai,</w:t>
      </w:r>
      <w:r w:rsidR="0083785A" w:rsidRPr="005C766A">
        <w:rPr>
          <w:lang w:val="lv-LV"/>
        </w:rPr>
        <w:t xml:space="preserve"> Ventspilij, Siguldai. </w:t>
      </w:r>
      <w:r w:rsidR="002C137A" w:rsidRPr="005C766A">
        <w:rPr>
          <w:lang w:val="lv-LV"/>
        </w:rPr>
        <w:t>Pieprasītākie</w:t>
      </w:r>
      <w:r w:rsidRPr="005C766A">
        <w:rPr>
          <w:lang w:val="lv-LV"/>
        </w:rPr>
        <w:t xml:space="preserve"> enkurobjekti </w:t>
      </w:r>
      <w:r w:rsidR="002C137A" w:rsidRPr="005C766A">
        <w:rPr>
          <w:lang w:val="lv-LV"/>
        </w:rPr>
        <w:t xml:space="preserve">ar izteiktu apmeklējumu plūsmu </w:t>
      </w:r>
      <w:r w:rsidRPr="005C766A">
        <w:rPr>
          <w:lang w:val="lv-LV"/>
        </w:rPr>
        <w:t>attīstījuši ap sevi virkni citu aktivitāšu</w:t>
      </w:r>
      <w:r w:rsidR="00D32E1C" w:rsidRPr="005C766A">
        <w:rPr>
          <w:lang w:val="lv-LV"/>
        </w:rPr>
        <w:t xml:space="preserve"> un</w:t>
      </w:r>
      <w:r w:rsidR="002C137A" w:rsidRPr="005C766A">
        <w:rPr>
          <w:lang w:val="lv-LV"/>
        </w:rPr>
        <w:t xml:space="preserve"> pakalpojumu</w:t>
      </w:r>
      <w:r w:rsidRPr="005C766A">
        <w:rPr>
          <w:lang w:val="lv-LV"/>
        </w:rPr>
        <w:t>.</w:t>
      </w:r>
    </w:p>
    <w:p w14:paraId="49640C74" w14:textId="77777777" w:rsidR="005F038E" w:rsidRPr="00267BCC" w:rsidRDefault="004F1834" w:rsidP="00267BCC">
      <w:pPr>
        <w:ind w:firstLine="720"/>
        <w:jc w:val="both"/>
        <w:rPr>
          <w:lang w:val="lv-LV"/>
        </w:rPr>
      </w:pPr>
      <w:r w:rsidRPr="00267BCC">
        <w:rPr>
          <w:lang w:val="lv-LV"/>
        </w:rPr>
        <w:t>Tūristu piesaiste</w:t>
      </w:r>
      <w:r w:rsidR="005820F7" w:rsidRPr="00267BCC">
        <w:rPr>
          <w:lang w:val="lv-LV"/>
        </w:rPr>
        <w:t xml:space="preserve"> ir izteikta</w:t>
      </w:r>
      <w:r w:rsidR="005F038E" w:rsidRPr="00267BCC">
        <w:rPr>
          <w:lang w:val="lv-LV"/>
        </w:rPr>
        <w:t xml:space="preserve"> divās galvenajās kategorijās – tūrisma objekti un tūrisma pasākumi. Arvien pieaugoša nozīme ir pasākumiem, īpaši uzsverot starptautiskus pasākumus. To spēja ietekmēt </w:t>
      </w:r>
      <w:r w:rsidRPr="00267BCC">
        <w:rPr>
          <w:lang w:val="lv-LV"/>
        </w:rPr>
        <w:t>tūrisma plūsmu ir daudz lielāka</w:t>
      </w:r>
      <w:r w:rsidR="005F038E" w:rsidRPr="00267BCC">
        <w:rPr>
          <w:lang w:val="lv-LV"/>
        </w:rPr>
        <w:t xml:space="preserve"> nekā objektiem, kuru darbība savukārt vērtējama kā stabilāka un vienmērīgāka gada garumā. Pasākumu ziņā dominē lielākās pilsētas un galvenās pasākumu rīkošanas vietas. Pasākumi ir viens no instrumentiem, kas var pozitīvi ietekmēt galamērķa dzīves ciklu, </w:t>
      </w:r>
      <w:r w:rsidRPr="00267BCC">
        <w:rPr>
          <w:lang w:val="lv-LV"/>
        </w:rPr>
        <w:t>mazinot sezonalitātes ietekmi</w:t>
      </w:r>
      <w:r w:rsidR="005F038E" w:rsidRPr="00267BCC">
        <w:rPr>
          <w:lang w:val="lv-LV"/>
        </w:rPr>
        <w:t>.</w:t>
      </w:r>
    </w:p>
    <w:p w14:paraId="49640C75" w14:textId="77777777" w:rsidR="005F038E" w:rsidRPr="005C766A" w:rsidRDefault="002C137A" w:rsidP="00267BCC">
      <w:pPr>
        <w:ind w:firstLine="720"/>
        <w:jc w:val="both"/>
        <w:rPr>
          <w:lang w:val="lv-LV"/>
        </w:rPr>
      </w:pPr>
      <w:r w:rsidRPr="005C766A">
        <w:rPr>
          <w:lang w:val="lv-LV"/>
        </w:rPr>
        <w:t>Telpiski</w:t>
      </w:r>
      <w:r w:rsidR="005F038E" w:rsidRPr="005C766A">
        <w:rPr>
          <w:lang w:val="lv-LV"/>
        </w:rPr>
        <w:t xml:space="preserve"> ieskicējas vairākas koncentrācijas zonas (</w:t>
      </w:r>
      <w:r w:rsidR="00DD5EDA" w:rsidRPr="005C766A">
        <w:rPr>
          <w:lang w:val="lv-LV"/>
        </w:rPr>
        <w:t>3</w:t>
      </w:r>
      <w:r w:rsidR="005F038E" w:rsidRPr="005C766A">
        <w:rPr>
          <w:lang w:val="lv-LV"/>
        </w:rPr>
        <w:t>.pielikum</w:t>
      </w:r>
      <w:r w:rsidR="00BE0C6E" w:rsidRPr="005C766A">
        <w:rPr>
          <w:lang w:val="lv-LV"/>
        </w:rPr>
        <w:t>s</w:t>
      </w:r>
      <w:r w:rsidR="005F038E" w:rsidRPr="005C766A">
        <w:rPr>
          <w:lang w:val="lv-LV"/>
        </w:rPr>
        <w:t xml:space="preserve">), kas veido vienu no </w:t>
      </w:r>
      <w:r w:rsidR="00027A5C" w:rsidRPr="005C766A">
        <w:rPr>
          <w:lang w:val="lv-LV"/>
        </w:rPr>
        <w:t>būtiskākajiem</w:t>
      </w:r>
      <w:r w:rsidR="005F038E" w:rsidRPr="005C766A">
        <w:rPr>
          <w:lang w:val="lv-LV"/>
        </w:rPr>
        <w:t xml:space="preserve"> pamatiem turpmākai vienotu galamērķu veidošanai – savstarpējai novadu un</w:t>
      </w:r>
      <w:r w:rsidR="00D32E1C" w:rsidRPr="005C766A">
        <w:rPr>
          <w:lang w:val="lv-LV"/>
        </w:rPr>
        <w:t xml:space="preserve"> pilsētu sadarbībai. L</w:t>
      </w:r>
      <w:r w:rsidR="005F038E" w:rsidRPr="005C766A">
        <w:rPr>
          <w:lang w:val="lv-LV"/>
        </w:rPr>
        <w:t xml:space="preserve">ai veidotu lielāku specializāciju, </w:t>
      </w:r>
      <w:r w:rsidR="00D67A0E" w:rsidRPr="005C766A">
        <w:rPr>
          <w:lang w:val="lv-LV"/>
        </w:rPr>
        <w:t xml:space="preserve">ir </w:t>
      </w:r>
      <w:r w:rsidR="00D32E1C" w:rsidRPr="005C766A">
        <w:rPr>
          <w:lang w:val="lv-LV"/>
        </w:rPr>
        <w:t xml:space="preserve">nozīmīgi </w:t>
      </w:r>
      <w:r w:rsidR="005F038E" w:rsidRPr="005C766A">
        <w:rPr>
          <w:lang w:val="lv-LV"/>
        </w:rPr>
        <w:t xml:space="preserve">meklēt tematisku kopību un specifiskus resursus, kas ļauj izcelt galvenās </w:t>
      </w:r>
      <w:r w:rsidR="00027A5C" w:rsidRPr="005C766A">
        <w:rPr>
          <w:lang w:val="lv-LV"/>
        </w:rPr>
        <w:t>visvairāk apmeklēto</w:t>
      </w:r>
      <w:r w:rsidRPr="005C766A">
        <w:rPr>
          <w:lang w:val="lv-LV"/>
        </w:rPr>
        <w:t xml:space="preserve"> vietu koncentrācijas zonas. Citādi t</w:t>
      </w:r>
      <w:r w:rsidR="005F038E" w:rsidRPr="005C766A">
        <w:rPr>
          <w:lang w:val="lv-LV"/>
        </w:rPr>
        <w:t xml:space="preserve">ūrisma piedāvājums </w:t>
      </w:r>
      <w:r w:rsidR="00C13E72" w:rsidRPr="005C766A">
        <w:rPr>
          <w:lang w:val="lv-LV"/>
        </w:rPr>
        <w:t>reģionos</w:t>
      </w:r>
      <w:r w:rsidR="005F038E" w:rsidRPr="005C766A">
        <w:rPr>
          <w:lang w:val="lv-LV"/>
        </w:rPr>
        <w:t xml:space="preserve"> ir līdzīgs, dominējot dabas un kultūras resursiem</w:t>
      </w:r>
      <w:r w:rsidR="00027A5C" w:rsidRPr="005C766A">
        <w:rPr>
          <w:lang w:val="lv-LV"/>
        </w:rPr>
        <w:t>.</w:t>
      </w:r>
      <w:r w:rsidRPr="005C766A">
        <w:rPr>
          <w:lang w:val="lv-LV"/>
        </w:rPr>
        <w:t xml:space="preserve"> </w:t>
      </w:r>
      <w:r w:rsidR="00027A5C" w:rsidRPr="005C766A">
        <w:rPr>
          <w:lang w:val="lv-LV"/>
        </w:rPr>
        <w:t xml:space="preserve"> Taču tā pieprasījums atšķiras</w:t>
      </w:r>
      <w:r w:rsidR="00B35B9B" w:rsidRPr="005C766A">
        <w:rPr>
          <w:lang w:val="lv-LV"/>
        </w:rPr>
        <w:t xml:space="preserve"> – </w:t>
      </w:r>
      <w:r w:rsidR="00C13E72" w:rsidRPr="005C766A">
        <w:rPr>
          <w:lang w:val="lv-LV"/>
        </w:rPr>
        <w:t>lielākā daļa objektu</w:t>
      </w:r>
      <w:r w:rsidR="005F038E" w:rsidRPr="005C766A">
        <w:rPr>
          <w:lang w:val="lv-LV"/>
        </w:rPr>
        <w:t>, ka</w:t>
      </w:r>
      <w:r w:rsidR="00027A5C" w:rsidRPr="005C766A">
        <w:rPr>
          <w:lang w:val="lv-LV"/>
        </w:rPr>
        <w:t xml:space="preserve">s tiek izcelti TIC mājas lapās vai </w:t>
      </w:r>
      <w:r w:rsidR="005F038E" w:rsidRPr="005C766A">
        <w:rPr>
          <w:lang w:val="lv-LV"/>
        </w:rPr>
        <w:t xml:space="preserve">drukātajos izdevumos, ir mazapmeklēti. No vairāk nekā 7000 reklamētajiem tūrisma </w:t>
      </w:r>
      <w:r w:rsidR="00C13E72" w:rsidRPr="005C766A">
        <w:rPr>
          <w:lang w:val="lv-LV"/>
        </w:rPr>
        <w:t>objektiem reģionos</w:t>
      </w:r>
      <w:r w:rsidR="005F038E" w:rsidRPr="005C766A">
        <w:rPr>
          <w:lang w:val="lv-LV"/>
        </w:rPr>
        <w:t xml:space="preserve"> tikai aptuveni </w:t>
      </w:r>
      <w:r w:rsidR="00D32E1C" w:rsidRPr="005C766A">
        <w:rPr>
          <w:lang w:val="lv-LV"/>
        </w:rPr>
        <w:t xml:space="preserve">vienai </w:t>
      </w:r>
      <w:r w:rsidR="005F038E" w:rsidRPr="005C766A">
        <w:rPr>
          <w:lang w:val="lv-LV"/>
        </w:rPr>
        <w:t xml:space="preserve">septītajai daļai ir izdevies piesaistīt </w:t>
      </w:r>
      <w:r w:rsidR="005820F7" w:rsidRPr="005C766A">
        <w:rPr>
          <w:lang w:val="lv-LV"/>
        </w:rPr>
        <w:t>vismaz dažus simtus apmeklē</w:t>
      </w:r>
      <w:r w:rsidR="00B35B9B" w:rsidRPr="005C766A">
        <w:rPr>
          <w:lang w:val="lv-LV"/>
        </w:rPr>
        <w:t>jumu</w:t>
      </w:r>
      <w:r w:rsidR="005F038E" w:rsidRPr="005C766A">
        <w:rPr>
          <w:lang w:val="lv-LV"/>
        </w:rPr>
        <w:t xml:space="preserve"> gada laikā. Šajā kontekstā aktualizējas tūrisma koncentrācijas zonas un vietu k</w:t>
      </w:r>
      <w:r w:rsidR="00027A5C" w:rsidRPr="005C766A">
        <w:rPr>
          <w:lang w:val="lv-LV"/>
        </w:rPr>
        <w:t xml:space="preserve">onkurētspēja un </w:t>
      </w:r>
      <w:r w:rsidR="005F038E" w:rsidRPr="005C766A">
        <w:rPr>
          <w:lang w:val="lv-LV"/>
        </w:rPr>
        <w:t>vietas mārketinga iespējas.</w:t>
      </w:r>
    </w:p>
    <w:p w14:paraId="49640C76" w14:textId="77777777" w:rsidR="00522636" w:rsidRPr="00812A29" w:rsidRDefault="00812A29" w:rsidP="00812A29">
      <w:pPr>
        <w:ind w:firstLine="720"/>
        <w:jc w:val="both"/>
        <w:rPr>
          <w:u w:val="single"/>
          <w:lang w:val="lv-LV"/>
        </w:rPr>
      </w:pPr>
      <w:r w:rsidRPr="005C766A">
        <w:rPr>
          <w:lang w:val="lv-LV"/>
        </w:rPr>
        <w:t>Vietām, kuras nav spējušas piesaistīt nozīmīgu tūrisma plūsmu iepriekšējos gados, bez radikālākiem risinājumiem to būs grūti sasniegt arī nākamajos gados. D</w:t>
      </w:r>
      <w:r w:rsidR="00B35B9B" w:rsidRPr="005C766A">
        <w:rPr>
          <w:lang w:val="lv-LV"/>
        </w:rPr>
        <w:t>aļēji</w:t>
      </w:r>
      <w:r w:rsidR="000E07E7" w:rsidRPr="005C766A">
        <w:rPr>
          <w:lang w:val="lv-LV"/>
        </w:rPr>
        <w:t xml:space="preserve"> tādēļ, ka</w:t>
      </w:r>
      <w:r w:rsidR="00B35B9B" w:rsidRPr="005C766A">
        <w:rPr>
          <w:lang w:val="lv-LV"/>
        </w:rPr>
        <w:t xml:space="preserve"> pieaugs jau </w:t>
      </w:r>
      <w:r w:rsidR="00D32E1C" w:rsidRPr="005C766A">
        <w:rPr>
          <w:lang w:val="lv-LV"/>
        </w:rPr>
        <w:t>visvairāk apmeklēto</w:t>
      </w:r>
      <w:r w:rsidR="00B35B9B" w:rsidRPr="005C766A">
        <w:rPr>
          <w:lang w:val="lv-LV"/>
        </w:rPr>
        <w:t xml:space="preserve"> </w:t>
      </w:r>
      <w:r w:rsidR="00D67A0E" w:rsidRPr="005C766A">
        <w:rPr>
          <w:lang w:val="lv-LV"/>
        </w:rPr>
        <w:t>tūrisma vietu mārketinga spēks, un</w:t>
      </w:r>
      <w:r w:rsidR="000E07E7" w:rsidRPr="005C766A">
        <w:rPr>
          <w:lang w:val="lv-LV"/>
        </w:rPr>
        <w:t xml:space="preserve"> </w:t>
      </w:r>
      <w:r w:rsidR="00B35B9B" w:rsidRPr="005C766A">
        <w:rPr>
          <w:lang w:val="lv-LV"/>
        </w:rPr>
        <w:t>daļēji saistībā ar trūkstošo finansējumu. Iekļaujoties koncentrētākā sadarbības tīklojumā</w:t>
      </w:r>
      <w:r w:rsidR="005F038E" w:rsidRPr="005C766A">
        <w:rPr>
          <w:lang w:val="lv-LV"/>
        </w:rPr>
        <w:t xml:space="preserve"> </w:t>
      </w:r>
      <w:r w:rsidR="00B35B9B" w:rsidRPr="005C766A">
        <w:rPr>
          <w:lang w:val="lv-LV"/>
        </w:rPr>
        <w:t>pēc</w:t>
      </w:r>
      <w:r w:rsidR="005F038E" w:rsidRPr="005C766A">
        <w:rPr>
          <w:lang w:val="lv-LV"/>
        </w:rPr>
        <w:t xml:space="preserve"> tūrisma puduru </w:t>
      </w:r>
      <w:r w:rsidR="00B35B9B" w:rsidRPr="005C766A">
        <w:rPr>
          <w:lang w:val="lv-LV"/>
        </w:rPr>
        <w:t>principa</w:t>
      </w:r>
      <w:r w:rsidR="005F038E" w:rsidRPr="005C766A">
        <w:rPr>
          <w:lang w:val="lv-LV"/>
        </w:rPr>
        <w:t xml:space="preserve"> </w:t>
      </w:r>
      <w:r w:rsidR="00B35B9B" w:rsidRPr="005C766A">
        <w:rPr>
          <w:lang w:val="lv-LV"/>
        </w:rPr>
        <w:t xml:space="preserve">pieaugtu arī </w:t>
      </w:r>
      <w:r w:rsidR="005F038E" w:rsidRPr="005C766A">
        <w:rPr>
          <w:lang w:val="lv-LV"/>
        </w:rPr>
        <w:t xml:space="preserve">šo vietu </w:t>
      </w:r>
      <w:r w:rsidR="00B35B9B" w:rsidRPr="005C766A">
        <w:rPr>
          <w:lang w:val="lv-LV"/>
        </w:rPr>
        <w:t>konkurētspēja</w:t>
      </w:r>
      <w:r w:rsidR="00027A5C" w:rsidRPr="005C766A">
        <w:rPr>
          <w:lang w:val="lv-LV"/>
        </w:rPr>
        <w:t>. Tomēr tūrisma ziņā mazāk attīstītām</w:t>
      </w:r>
      <w:r w:rsidR="005F038E" w:rsidRPr="005C766A">
        <w:rPr>
          <w:lang w:val="lv-LV"/>
        </w:rPr>
        <w:t xml:space="preserve"> vietām tūrisms ir skatāms plašākā kontekstā – nevis kā ražojoša ekonomiska nozare, bet gan kā </w:t>
      </w:r>
      <w:r w:rsidR="00B35B9B" w:rsidRPr="005C766A">
        <w:rPr>
          <w:lang w:val="lv-LV"/>
        </w:rPr>
        <w:t>līdzeklis</w:t>
      </w:r>
      <w:r w:rsidR="005F038E" w:rsidRPr="005C766A">
        <w:rPr>
          <w:lang w:val="lv-LV"/>
        </w:rPr>
        <w:t xml:space="preserve"> vietas izaugsme</w:t>
      </w:r>
      <w:r w:rsidR="00B35B9B" w:rsidRPr="005C766A">
        <w:rPr>
          <w:lang w:val="lv-LV"/>
        </w:rPr>
        <w:t>i</w:t>
      </w:r>
      <w:r w:rsidR="005F038E" w:rsidRPr="005C766A">
        <w:rPr>
          <w:lang w:val="lv-LV"/>
        </w:rPr>
        <w:t xml:space="preserve"> un</w:t>
      </w:r>
      <w:r w:rsidR="00B35B9B" w:rsidRPr="005C766A">
        <w:rPr>
          <w:lang w:val="lv-LV"/>
        </w:rPr>
        <w:t xml:space="preserve"> pievilcības veicināšanai</w:t>
      </w:r>
      <w:r w:rsidR="005F038E" w:rsidRPr="005C766A">
        <w:rPr>
          <w:lang w:val="lv-LV"/>
        </w:rPr>
        <w:t>. Tūrisma aktivitātes palielina vietas pievilcību, attīsta pakalpojumus un infrastruktūru – tas darbojas kā cilvēku pie</w:t>
      </w:r>
      <w:r w:rsidR="00027A5C" w:rsidRPr="005C766A">
        <w:rPr>
          <w:lang w:val="lv-LV"/>
        </w:rPr>
        <w:t>saistes un noturēšanas magnēts.</w:t>
      </w:r>
      <w:r w:rsidR="00027A5C" w:rsidRPr="00267BCC">
        <w:rPr>
          <w:lang w:val="lv-LV"/>
        </w:rPr>
        <w:t xml:space="preserve"> </w:t>
      </w:r>
      <w:r w:rsidR="00027A5C" w:rsidRPr="005C766A">
        <w:rPr>
          <w:lang w:val="lv-LV"/>
        </w:rPr>
        <w:t xml:space="preserve">Īpašumu iegāde, </w:t>
      </w:r>
      <w:r w:rsidR="00B35B9B" w:rsidRPr="005C766A">
        <w:rPr>
          <w:lang w:val="lv-LV"/>
        </w:rPr>
        <w:t xml:space="preserve">perspektīvā arvien vairāk </w:t>
      </w:r>
      <w:r w:rsidR="00027A5C" w:rsidRPr="005C766A">
        <w:rPr>
          <w:lang w:val="lv-LV"/>
        </w:rPr>
        <w:t>vasaras mājas</w:t>
      </w:r>
      <w:r w:rsidR="00B35B9B" w:rsidRPr="005C766A">
        <w:rPr>
          <w:lang w:val="lv-LV"/>
        </w:rPr>
        <w:t xml:space="preserve"> laukos</w:t>
      </w:r>
      <w:r w:rsidR="00027A5C" w:rsidRPr="005C766A">
        <w:rPr>
          <w:lang w:val="lv-LV"/>
        </w:rPr>
        <w:t xml:space="preserve"> vai citu uzņēmējdarbības</w:t>
      </w:r>
      <w:r w:rsidR="00027A5C" w:rsidRPr="00267BCC">
        <w:rPr>
          <w:lang w:val="lv-LV"/>
        </w:rPr>
        <w:t xml:space="preserve"> </w:t>
      </w:r>
      <w:r w:rsidR="00027A5C" w:rsidRPr="00267BCC">
        <w:rPr>
          <w:lang w:val="lv-LV"/>
        </w:rPr>
        <w:lastRenderedPageBreak/>
        <w:t xml:space="preserve">veidu </w:t>
      </w:r>
      <w:r w:rsidR="005F038E" w:rsidRPr="00267BCC">
        <w:rPr>
          <w:lang w:val="lv-LV"/>
        </w:rPr>
        <w:t>attīstība var būt cieši saistīta ar tūrisma aktivitātēm. Visi vietējās nozīmes galamērķi nav izceļami kā eksportam nozīmīgi.</w:t>
      </w:r>
    </w:p>
    <w:p w14:paraId="49640C77" w14:textId="77777777" w:rsidR="005F038E" w:rsidRPr="00267BCC" w:rsidRDefault="00795943" w:rsidP="00336F1E">
      <w:pPr>
        <w:spacing w:after="120"/>
        <w:ind w:firstLine="720"/>
        <w:jc w:val="right"/>
        <w:rPr>
          <w:lang w:val="lv-LV"/>
        </w:rPr>
      </w:pPr>
      <w:r w:rsidRPr="00267BCC">
        <w:rPr>
          <w:lang w:val="lv-LV"/>
        </w:rPr>
        <w:t>10</w:t>
      </w:r>
      <w:r w:rsidR="005F038E" w:rsidRPr="00267BCC">
        <w:rPr>
          <w:lang w:val="lv-LV"/>
        </w:rPr>
        <w:t>.attēls</w:t>
      </w:r>
    </w:p>
    <w:p w14:paraId="49640C78" w14:textId="77777777" w:rsidR="005F038E" w:rsidRPr="00267BCC" w:rsidRDefault="005F038E" w:rsidP="00267BCC">
      <w:pPr>
        <w:jc w:val="center"/>
        <w:rPr>
          <w:b/>
          <w:lang w:val="lv-LV"/>
        </w:rPr>
      </w:pPr>
      <w:r w:rsidRPr="00267BCC">
        <w:rPr>
          <w:b/>
          <w:lang w:val="lv-LV"/>
        </w:rPr>
        <w:t>Konkurētspēja eksporta tirgū 2012. gadā (pēc apkalpoto ārvalstu nakšņotāju skaita)</w:t>
      </w:r>
    </w:p>
    <w:p w14:paraId="49640C79" w14:textId="77777777" w:rsidR="00AC555B" w:rsidRPr="00267BCC" w:rsidRDefault="005F038E" w:rsidP="00267BCC">
      <w:pPr>
        <w:jc w:val="center"/>
        <w:rPr>
          <w:sz w:val="20"/>
          <w:szCs w:val="20"/>
          <w:lang w:val="lv-LV"/>
        </w:rPr>
      </w:pPr>
      <w:r w:rsidRPr="00267BCC">
        <w:rPr>
          <w:b/>
          <w:noProof/>
          <w:sz w:val="28"/>
          <w:lang w:val="lv-LV"/>
        </w:rPr>
        <w:drawing>
          <wp:inline distT="0" distB="0" distL="0" distR="0" wp14:anchorId="49640ED2" wp14:editId="49640ED3">
            <wp:extent cx="4572000" cy="2067339"/>
            <wp:effectExtent l="19050" t="0" r="0" b="0"/>
            <wp:docPr id="20"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640C7A" w14:textId="77777777" w:rsidR="005F038E" w:rsidRPr="00267BCC" w:rsidRDefault="005F038E" w:rsidP="00267BCC">
      <w:pPr>
        <w:rPr>
          <w:sz w:val="20"/>
          <w:szCs w:val="20"/>
          <w:lang w:val="lv-LV"/>
        </w:rPr>
      </w:pPr>
      <w:r w:rsidRPr="00267BCC">
        <w:rPr>
          <w:sz w:val="20"/>
          <w:szCs w:val="20"/>
          <w:lang w:val="lv-LV"/>
        </w:rPr>
        <w:t>Datu avots: CSP</w:t>
      </w:r>
    </w:p>
    <w:p w14:paraId="49640C7B" w14:textId="77777777" w:rsidR="005F038E" w:rsidRPr="00267BCC" w:rsidRDefault="005F038E" w:rsidP="00267BCC">
      <w:pPr>
        <w:jc w:val="both"/>
        <w:rPr>
          <w:lang w:val="lv-LV"/>
        </w:rPr>
      </w:pPr>
    </w:p>
    <w:p w14:paraId="49640C7C" w14:textId="77777777" w:rsidR="005F038E" w:rsidRPr="00267BCC" w:rsidRDefault="00D67A0E" w:rsidP="00267BCC">
      <w:pPr>
        <w:ind w:firstLine="720"/>
        <w:jc w:val="both"/>
        <w:rPr>
          <w:lang w:val="lv-LV"/>
        </w:rPr>
      </w:pPr>
      <w:r w:rsidRPr="00267BCC">
        <w:rPr>
          <w:lang w:val="lv-LV"/>
        </w:rPr>
        <w:t>Analizējot</w:t>
      </w:r>
      <w:r w:rsidR="00EB196E" w:rsidRPr="00267BCC">
        <w:rPr>
          <w:lang w:val="lv-LV"/>
        </w:rPr>
        <w:t xml:space="preserve"> eksporta </w:t>
      </w:r>
      <w:r w:rsidRPr="00267BCC">
        <w:rPr>
          <w:lang w:val="lv-LV"/>
        </w:rPr>
        <w:t>datus,</w:t>
      </w:r>
      <w:r w:rsidR="005F038E" w:rsidRPr="00267BCC">
        <w:rPr>
          <w:lang w:val="lv-LV"/>
        </w:rPr>
        <w:t xml:space="preserve"> ieskicējas vairākas eksporta koncentrācijas zonas – jau esošā</w:t>
      </w:r>
      <w:r w:rsidR="00EB196E" w:rsidRPr="00267BCC">
        <w:rPr>
          <w:lang w:val="lv-LV"/>
        </w:rPr>
        <w:t xml:space="preserve">s tūrisma klasteru iniciatīvas: </w:t>
      </w:r>
      <w:r w:rsidR="005F038E" w:rsidRPr="00267BCC">
        <w:rPr>
          <w:lang w:val="lv-LV"/>
        </w:rPr>
        <w:t xml:space="preserve">Rīga ar korporatīvā tūrisma specializācijas attīstības potenciālu, Jūrmala un daļa no Engures novada, </w:t>
      </w:r>
      <w:r w:rsidRPr="00267BCC">
        <w:rPr>
          <w:lang w:val="lv-LV"/>
        </w:rPr>
        <w:t xml:space="preserve">kā arī tuvākās apkārtnes </w:t>
      </w:r>
      <w:r w:rsidR="005F038E" w:rsidRPr="00267BCC">
        <w:rPr>
          <w:lang w:val="lv-LV"/>
        </w:rPr>
        <w:t xml:space="preserve">ar </w:t>
      </w:r>
      <w:r w:rsidRPr="00267BCC">
        <w:rPr>
          <w:lang w:val="lv-LV"/>
        </w:rPr>
        <w:t xml:space="preserve">specializāciju – </w:t>
      </w:r>
      <w:r w:rsidR="005F038E" w:rsidRPr="00267BCC">
        <w:rPr>
          <w:lang w:val="lv-LV"/>
        </w:rPr>
        <w:t>veselības tū</w:t>
      </w:r>
      <w:r w:rsidRPr="00267BCC">
        <w:rPr>
          <w:lang w:val="lv-LV"/>
        </w:rPr>
        <w:t>risma attīstība,</w:t>
      </w:r>
      <w:r w:rsidR="005F038E" w:rsidRPr="00267BCC">
        <w:rPr>
          <w:lang w:val="lv-LV"/>
        </w:rPr>
        <w:t xml:space="preserve"> Gaujas </w:t>
      </w:r>
      <w:r w:rsidR="006D7366" w:rsidRPr="00267BCC">
        <w:rPr>
          <w:lang w:val="lv-LV"/>
        </w:rPr>
        <w:t>nacionālais parks</w:t>
      </w:r>
      <w:r w:rsidR="005F038E" w:rsidRPr="00267BCC">
        <w:rPr>
          <w:lang w:val="lv-LV"/>
        </w:rPr>
        <w:t xml:space="preserve"> ar specializāciju – piedzīvojumu un kultūras tūrisms leģendām apvītā ainaviskā dabas vidē. Iespējam</w:t>
      </w:r>
      <w:r w:rsidR="00004582" w:rsidRPr="00267BCC">
        <w:rPr>
          <w:lang w:val="lv-LV"/>
        </w:rPr>
        <w:t>a</w:t>
      </w:r>
      <w:r w:rsidR="005F038E" w:rsidRPr="00267BCC">
        <w:rPr>
          <w:lang w:val="lv-LV"/>
        </w:rPr>
        <w:t>s klastera iniciatīvas saistībā ar Rundāle</w:t>
      </w:r>
      <w:r w:rsidR="00EB196E" w:rsidRPr="00267BCC">
        <w:rPr>
          <w:lang w:val="lv-LV"/>
        </w:rPr>
        <w:t xml:space="preserve">s </w:t>
      </w:r>
      <w:r w:rsidR="005F038E" w:rsidRPr="00267BCC">
        <w:rPr>
          <w:lang w:val="lv-LV"/>
        </w:rPr>
        <w:t>pils un Tērvetes salīdzinošo tuvumu, taču abām aktīvajām vietām ir atšķirīgas specializācijas.</w:t>
      </w:r>
      <w:r w:rsidR="00C116EE">
        <w:rPr>
          <w:lang w:val="lv-LV"/>
        </w:rPr>
        <w:t xml:space="preserve"> Carnikavas, Saulkrastu, Limbažu, Salacgrīvas un Alojas novada pašvaldības izveidojušas klasteri „Saviļņojošā Vidzeme”.</w:t>
      </w:r>
    </w:p>
    <w:p w14:paraId="49640C7D" w14:textId="77777777" w:rsidR="005F038E" w:rsidRPr="005C766A" w:rsidRDefault="005F038E" w:rsidP="00267BCC">
      <w:pPr>
        <w:ind w:firstLine="720"/>
        <w:jc w:val="both"/>
        <w:rPr>
          <w:lang w:val="lv-LV"/>
        </w:rPr>
      </w:pPr>
      <w:r w:rsidRPr="005C766A">
        <w:rPr>
          <w:lang w:val="lv-LV"/>
        </w:rPr>
        <w:t xml:space="preserve">Vietās ar aktīvu pieprasījumu un </w:t>
      </w:r>
      <w:r w:rsidR="00C13E72" w:rsidRPr="005C766A">
        <w:rPr>
          <w:lang w:val="lv-LV"/>
        </w:rPr>
        <w:t>tematisku</w:t>
      </w:r>
      <w:r w:rsidRPr="005C766A">
        <w:rPr>
          <w:lang w:val="lv-LV"/>
        </w:rPr>
        <w:t xml:space="preserve"> specializāciju, taču salīdzinoši nelielu uzņēmējdarbības koncentrāciju</w:t>
      </w:r>
      <w:r w:rsidR="00D67A0E" w:rsidRPr="005C766A">
        <w:rPr>
          <w:lang w:val="lv-LV"/>
        </w:rPr>
        <w:t>, piemēram Aglona, Kuldīga, Lubāna ezers u.c.</w:t>
      </w:r>
      <w:r w:rsidR="00EE6F57" w:rsidRPr="005C766A">
        <w:rPr>
          <w:lang w:val="lv-LV"/>
        </w:rPr>
        <w:t>,</w:t>
      </w:r>
      <w:r w:rsidRPr="005C766A">
        <w:rPr>
          <w:lang w:val="lv-LV"/>
        </w:rPr>
        <w:t xml:space="preserve"> iespējams attīs</w:t>
      </w:r>
      <w:r w:rsidR="00D67A0E" w:rsidRPr="005C766A">
        <w:rPr>
          <w:lang w:val="lv-LV"/>
        </w:rPr>
        <w:t>tīt mikroklasteru stratēģijas.</w:t>
      </w:r>
    </w:p>
    <w:p w14:paraId="49640C7E" w14:textId="77777777" w:rsidR="005F038E" w:rsidRPr="005C766A" w:rsidRDefault="005F038E" w:rsidP="00267BCC">
      <w:pPr>
        <w:ind w:firstLine="720"/>
        <w:jc w:val="both"/>
        <w:rPr>
          <w:lang w:val="lv-LV"/>
        </w:rPr>
      </w:pPr>
      <w:r w:rsidRPr="005C766A">
        <w:rPr>
          <w:lang w:val="lv-LV"/>
        </w:rPr>
        <w:t xml:space="preserve">Ārpus </w:t>
      </w:r>
      <w:r w:rsidR="00EE6F57" w:rsidRPr="005C766A">
        <w:rPr>
          <w:lang w:val="lv-LV"/>
        </w:rPr>
        <w:t>lielākajām</w:t>
      </w:r>
      <w:r w:rsidRPr="005C766A">
        <w:rPr>
          <w:lang w:val="lv-LV"/>
        </w:rPr>
        <w:t xml:space="preserve"> uzņēmumu un pieprasījuma koncentrācijas zonām ieskicējas aktīvi augšanas poli – pamatā lielās pilsēta</w:t>
      </w:r>
      <w:r w:rsidR="00EB196E" w:rsidRPr="005C766A">
        <w:rPr>
          <w:lang w:val="lv-LV"/>
        </w:rPr>
        <w:t xml:space="preserve">s </w:t>
      </w:r>
      <w:r w:rsidRPr="005C766A">
        <w:rPr>
          <w:lang w:val="lv-LV"/>
        </w:rPr>
        <w:t xml:space="preserve">un to tuvākā apkārtne – Ventspils, Liepāja, Daugavpils, Jelgava, perspektīvā arī Jēkabpils un Rēzekne. Eksporta ziņā ar fokusu uz lietuviešu segmentu </w:t>
      </w:r>
      <w:r w:rsidR="00EB196E" w:rsidRPr="005C766A">
        <w:rPr>
          <w:lang w:val="lv-LV"/>
        </w:rPr>
        <w:t>aktivizējas</w:t>
      </w:r>
      <w:r w:rsidRPr="005C766A">
        <w:rPr>
          <w:lang w:val="lv-LV"/>
        </w:rPr>
        <w:t xml:space="preserve"> Z</w:t>
      </w:r>
      <w:r w:rsidR="00EB196E" w:rsidRPr="005C766A">
        <w:rPr>
          <w:lang w:val="lv-LV"/>
        </w:rPr>
        <w:t>iemeļk</w:t>
      </w:r>
      <w:r w:rsidRPr="005C766A">
        <w:rPr>
          <w:lang w:val="lv-LV"/>
        </w:rPr>
        <w:t>urzeme un ieskicējas piejūras attīstības zona plašākā teritorijā (Vidzemes jūrmala, Rī</w:t>
      </w:r>
      <w:r w:rsidR="001F08B9" w:rsidRPr="005C766A">
        <w:rPr>
          <w:lang w:val="lv-LV"/>
        </w:rPr>
        <w:t>gas</w:t>
      </w:r>
      <w:r w:rsidR="00793B8C" w:rsidRPr="005C766A">
        <w:rPr>
          <w:lang w:val="lv-LV"/>
        </w:rPr>
        <w:t xml:space="preserve"> </w:t>
      </w:r>
      <w:r w:rsidR="00EE6F57" w:rsidRPr="005C766A">
        <w:rPr>
          <w:lang w:val="lv-LV"/>
        </w:rPr>
        <w:t xml:space="preserve">jūras </w:t>
      </w:r>
      <w:r w:rsidR="00793B8C" w:rsidRPr="005C766A">
        <w:rPr>
          <w:lang w:val="lv-LV"/>
        </w:rPr>
        <w:t>līča</w:t>
      </w:r>
      <w:r w:rsidR="001F08B9" w:rsidRPr="005C766A">
        <w:rPr>
          <w:lang w:val="lv-LV"/>
        </w:rPr>
        <w:t xml:space="preserve"> rietumu</w:t>
      </w:r>
      <w:r w:rsidRPr="005C766A">
        <w:rPr>
          <w:lang w:val="lv-LV"/>
        </w:rPr>
        <w:t xml:space="preserve"> piekraste</w:t>
      </w:r>
      <w:r w:rsidR="000E07E7" w:rsidRPr="005C766A">
        <w:rPr>
          <w:lang w:val="lv-LV"/>
        </w:rPr>
        <w:t>, piejūras teritorijas Rietumk</w:t>
      </w:r>
      <w:r w:rsidR="00B35B9B" w:rsidRPr="005C766A">
        <w:rPr>
          <w:lang w:val="lv-LV"/>
        </w:rPr>
        <w:t>urzemē, taču īpaši Liepājas un Ventspils tuvumā</w:t>
      </w:r>
      <w:r w:rsidRPr="005C766A">
        <w:rPr>
          <w:lang w:val="lv-LV"/>
        </w:rPr>
        <w:t>).</w:t>
      </w:r>
    </w:p>
    <w:p w14:paraId="49640C7F" w14:textId="77777777" w:rsidR="00FC4ACE" w:rsidRPr="005C766A" w:rsidRDefault="00FC4ACE" w:rsidP="00267BCC">
      <w:pPr>
        <w:ind w:firstLine="720"/>
        <w:jc w:val="both"/>
        <w:rPr>
          <w:lang w:val="lv-LV"/>
        </w:rPr>
      </w:pPr>
      <w:r w:rsidRPr="005C766A">
        <w:rPr>
          <w:lang w:val="lv-LV"/>
        </w:rPr>
        <w:t xml:space="preserve">Rezumējot </w:t>
      </w:r>
      <w:r w:rsidR="006B4A5F" w:rsidRPr="005C766A">
        <w:rPr>
          <w:lang w:val="lv-LV"/>
        </w:rPr>
        <w:t>augstāk minēto</w:t>
      </w:r>
      <w:r w:rsidRPr="005C766A">
        <w:rPr>
          <w:lang w:val="lv-LV"/>
        </w:rPr>
        <w:t xml:space="preserve"> informāciju, </w:t>
      </w:r>
      <w:r w:rsidR="006B4A5F" w:rsidRPr="005C766A">
        <w:rPr>
          <w:lang w:val="lv-LV"/>
        </w:rPr>
        <w:t>secināms</w:t>
      </w:r>
      <w:r w:rsidRPr="005C766A">
        <w:rPr>
          <w:lang w:val="lv-LV"/>
        </w:rPr>
        <w:t xml:space="preserve">, ka </w:t>
      </w:r>
      <w:r w:rsidR="006B4A5F" w:rsidRPr="005C766A">
        <w:rPr>
          <w:lang w:val="lv-LV"/>
        </w:rPr>
        <w:t xml:space="preserve">reģionos </w:t>
      </w:r>
      <w:r w:rsidRPr="005C766A">
        <w:rPr>
          <w:lang w:val="lv-LV"/>
        </w:rPr>
        <w:t xml:space="preserve">pastāv </w:t>
      </w:r>
      <w:r w:rsidR="006B4A5F" w:rsidRPr="005C766A">
        <w:rPr>
          <w:lang w:val="lv-LV"/>
        </w:rPr>
        <w:t>izteiktas</w:t>
      </w:r>
      <w:r w:rsidRPr="005C766A">
        <w:rPr>
          <w:lang w:val="lv-LV"/>
        </w:rPr>
        <w:t xml:space="preserve"> atšķirības starp ārvalstu tūristu pieprasītākajiem tūrisma galamērķiem, atsevišķām tūrist</w:t>
      </w:r>
      <w:r w:rsidR="006B4A5F" w:rsidRPr="005C766A">
        <w:rPr>
          <w:lang w:val="lv-LV"/>
        </w:rPr>
        <w:t>u piesaistēm un piedāvājumu, kas vērsts</w:t>
      </w:r>
      <w:r w:rsidRPr="005C766A">
        <w:rPr>
          <w:lang w:val="lv-LV"/>
        </w:rPr>
        <w:t xml:space="preserve"> uz eksporta tirgu piesaisti. Resursu koncentrācija eksporta veicināšanai ir nozīmīga vairāku novadu ietvaros un starp ārvalstu tūristu pieprasītajiem galamērķiem. </w:t>
      </w:r>
      <w:r w:rsidR="0005453F" w:rsidRPr="005C766A">
        <w:rPr>
          <w:lang w:val="lv-LV"/>
        </w:rPr>
        <w:t>Vienlaicīgi</w:t>
      </w:r>
      <w:r w:rsidRPr="005C766A">
        <w:rPr>
          <w:lang w:val="lv-LV"/>
        </w:rPr>
        <w:t xml:space="preserve"> reģionālajā kontekstā tūrisms ir viena no komponentēm vietu pievilcības palielināšanai, veselīga dzīves veida atbalstam, infrastruktūras attīstībai, dzīves kvalitātes celšana</w:t>
      </w:r>
      <w:r w:rsidR="0005453F" w:rsidRPr="005C766A">
        <w:rPr>
          <w:lang w:val="lv-LV"/>
        </w:rPr>
        <w:t>i, kā arī papildu stimuls lauku dzīves</w:t>
      </w:r>
      <w:r w:rsidRPr="005C766A">
        <w:rPr>
          <w:lang w:val="lv-LV"/>
        </w:rPr>
        <w:t>veida un uzņēmējdarbības veicināšanai, sniedz</w:t>
      </w:r>
      <w:r w:rsidR="0005453F" w:rsidRPr="005C766A">
        <w:rPr>
          <w:lang w:val="lv-LV"/>
        </w:rPr>
        <w:t>ot</w:t>
      </w:r>
      <w:r w:rsidRPr="005C766A">
        <w:rPr>
          <w:lang w:val="lv-LV"/>
        </w:rPr>
        <w:t xml:space="preserve"> virkni sociālu labumu vietējai sabiedrībai. Tajā pašā laikā pieaugošās </w:t>
      </w:r>
      <w:r w:rsidR="0005453F" w:rsidRPr="005C766A">
        <w:rPr>
          <w:lang w:val="lv-LV"/>
        </w:rPr>
        <w:t>klasteru</w:t>
      </w:r>
      <w:r w:rsidR="00DE75A9" w:rsidRPr="005C766A">
        <w:rPr>
          <w:lang w:val="lv-LV"/>
        </w:rPr>
        <w:t xml:space="preserve"> iniciatīvas un </w:t>
      </w:r>
      <w:r w:rsidRPr="005C766A">
        <w:rPr>
          <w:lang w:val="lv-LV"/>
        </w:rPr>
        <w:t>precīzākas mārketinga stratēģijas</w:t>
      </w:r>
      <w:r w:rsidR="00DE75A9" w:rsidRPr="005C766A">
        <w:rPr>
          <w:lang w:val="lv-LV"/>
        </w:rPr>
        <w:t xml:space="preserve"> </w:t>
      </w:r>
      <w:r w:rsidRPr="005C766A">
        <w:rPr>
          <w:lang w:val="lv-LV"/>
        </w:rPr>
        <w:t xml:space="preserve">norāda uz iezīmēm, ka jau vidējā termiņā pieaugs pozitīva konkurence starp eksporta galamērķiem reģionos un arvien vairāk ārvalstu ceļotāju ceļos un nakšņos arī ārpus galvaspilsētas, </w:t>
      </w:r>
      <w:r w:rsidR="00DE75A9" w:rsidRPr="005C766A">
        <w:rPr>
          <w:lang w:val="lv-LV"/>
        </w:rPr>
        <w:t>tādējādi apliecinot ceļošanas ilguma pieauguma un pieredzes kvalitātes nozīmīgumu</w:t>
      </w:r>
      <w:r w:rsidRPr="005C766A">
        <w:rPr>
          <w:lang w:val="lv-LV"/>
        </w:rPr>
        <w:t>.</w:t>
      </w:r>
    </w:p>
    <w:p w14:paraId="49640C80" w14:textId="77777777" w:rsidR="002B4335" w:rsidRPr="005C766A" w:rsidRDefault="002B4335" w:rsidP="00267BCC">
      <w:pPr>
        <w:ind w:firstLine="720"/>
        <w:jc w:val="both"/>
        <w:rPr>
          <w:lang w:val="lv-LV"/>
        </w:rPr>
      </w:pPr>
      <w:r w:rsidRPr="005C766A">
        <w:rPr>
          <w:lang w:val="lv-LV"/>
        </w:rPr>
        <w:t>Pamatojumu Latvijas tūrisma eksporta konkurētspējīgāko teritoriju identificēšanai rada s</w:t>
      </w:r>
      <w:r w:rsidR="00DE75A9" w:rsidRPr="005C766A">
        <w:rPr>
          <w:lang w:val="lv-LV"/>
        </w:rPr>
        <w:t>ituācija, ka ārvalstu tūristu</w:t>
      </w:r>
      <w:r w:rsidRPr="005C766A">
        <w:rPr>
          <w:lang w:val="lv-LV"/>
        </w:rPr>
        <w:t xml:space="preserve"> plūsma nav vienmērīga visā valsts teritorijā. </w:t>
      </w:r>
      <w:r w:rsidR="00DE75A9" w:rsidRPr="005C766A">
        <w:rPr>
          <w:lang w:val="lv-LV"/>
        </w:rPr>
        <w:t>Atšķirīga ir d</w:t>
      </w:r>
      <w:r w:rsidRPr="005C766A">
        <w:rPr>
          <w:lang w:val="lv-LV"/>
        </w:rPr>
        <w:t>ažādu vietu pievilcī</w:t>
      </w:r>
      <w:r w:rsidR="00DE75A9" w:rsidRPr="005C766A">
        <w:rPr>
          <w:lang w:val="lv-LV"/>
        </w:rPr>
        <w:t xml:space="preserve">ba tūrisma ziņā, kā arī </w:t>
      </w:r>
      <w:r w:rsidRPr="005C766A">
        <w:rPr>
          <w:lang w:val="lv-LV"/>
        </w:rPr>
        <w:t xml:space="preserve">ieguldīto investīciju atdeve eksporta </w:t>
      </w:r>
      <w:r w:rsidR="00DE75A9" w:rsidRPr="005C766A">
        <w:rPr>
          <w:lang w:val="lv-LV"/>
        </w:rPr>
        <w:t>plūsmas piesaistei</w:t>
      </w:r>
      <w:r w:rsidRPr="005C766A">
        <w:rPr>
          <w:lang w:val="lv-LV"/>
        </w:rPr>
        <w:t>.</w:t>
      </w:r>
    </w:p>
    <w:p w14:paraId="49640C81" w14:textId="77777777" w:rsidR="002B4335" w:rsidRPr="005C766A" w:rsidRDefault="002B4335" w:rsidP="00267BCC">
      <w:pPr>
        <w:ind w:firstLine="720"/>
        <w:jc w:val="both"/>
        <w:rPr>
          <w:lang w:val="lv-LV"/>
        </w:rPr>
      </w:pPr>
      <w:r w:rsidRPr="005C766A">
        <w:rPr>
          <w:lang w:val="lv-LV"/>
        </w:rPr>
        <w:lastRenderedPageBreak/>
        <w:t>Konkurētspējīgākās tūrisma eksporta teritorijas atlasītas pēc vairākiem sav</w:t>
      </w:r>
      <w:r w:rsidR="000E07E7" w:rsidRPr="005C766A">
        <w:rPr>
          <w:lang w:val="lv-LV"/>
        </w:rPr>
        <w:t xml:space="preserve">starpēji saistītiem datiem (skatīt 3.pielikumā esošo </w:t>
      </w:r>
      <w:r w:rsidRPr="005C766A">
        <w:rPr>
          <w:lang w:val="lv-LV"/>
        </w:rPr>
        <w:t>Latvijas tūrisma eksporta konku</w:t>
      </w:r>
      <w:r w:rsidR="008A70DD" w:rsidRPr="005C766A">
        <w:rPr>
          <w:lang w:val="lv-LV"/>
        </w:rPr>
        <w:t>rētspējīgākās teritorijas karti)</w:t>
      </w:r>
      <w:r w:rsidRPr="005C766A">
        <w:rPr>
          <w:lang w:val="lv-LV"/>
        </w:rPr>
        <w:t>:</w:t>
      </w:r>
    </w:p>
    <w:p w14:paraId="49640C82" w14:textId="77777777" w:rsidR="002B4335" w:rsidRPr="005C766A" w:rsidRDefault="00DE75A9"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vidējais</w:t>
      </w:r>
      <w:r w:rsidR="002B4335" w:rsidRPr="005C766A">
        <w:rPr>
          <w:rFonts w:ascii="Times New Roman" w:hAnsi="Times New Roman"/>
          <w:sz w:val="24"/>
          <w:szCs w:val="24"/>
          <w:lang w:val="lv-LV"/>
        </w:rPr>
        <w:t xml:space="preserve"> ārvalstu tūristu nakšņojumu skait</w:t>
      </w:r>
      <w:r w:rsidRPr="005C766A">
        <w:rPr>
          <w:rFonts w:ascii="Times New Roman" w:hAnsi="Times New Roman"/>
          <w:sz w:val="24"/>
          <w:szCs w:val="24"/>
          <w:lang w:val="lv-LV"/>
        </w:rPr>
        <w:t>s</w:t>
      </w:r>
      <w:r w:rsidR="002B4335" w:rsidRPr="005C766A">
        <w:rPr>
          <w:rFonts w:ascii="Times New Roman" w:hAnsi="Times New Roman"/>
          <w:sz w:val="24"/>
          <w:szCs w:val="24"/>
          <w:lang w:val="lv-LV"/>
        </w:rPr>
        <w:t xml:space="preserve"> pēdējo četru gadu periodā (2009-2012.</w:t>
      </w:r>
      <w:r w:rsidRPr="005C766A">
        <w:rPr>
          <w:rFonts w:ascii="Times New Roman" w:hAnsi="Times New Roman"/>
          <w:sz w:val="24"/>
          <w:szCs w:val="24"/>
          <w:lang w:val="lv-LV"/>
        </w:rPr>
        <w:t>gads</w:t>
      </w:r>
      <w:r w:rsidR="002B4335" w:rsidRPr="005C766A">
        <w:rPr>
          <w:rFonts w:ascii="Times New Roman" w:hAnsi="Times New Roman"/>
          <w:sz w:val="24"/>
          <w:szCs w:val="24"/>
          <w:lang w:val="lv-LV"/>
        </w:rPr>
        <w:t xml:space="preserve">), kas ir viens no nozīmīgākajiem rādītājiem, jo </w:t>
      </w:r>
      <w:r w:rsidRPr="005C766A">
        <w:rPr>
          <w:rFonts w:ascii="Times New Roman" w:hAnsi="Times New Roman"/>
          <w:sz w:val="24"/>
          <w:szCs w:val="24"/>
          <w:lang w:val="lv-LV"/>
        </w:rPr>
        <w:t>raksturo arī</w:t>
      </w:r>
      <w:r w:rsidR="002B4335" w:rsidRPr="005C766A">
        <w:rPr>
          <w:rFonts w:ascii="Times New Roman" w:hAnsi="Times New Roman"/>
          <w:sz w:val="24"/>
          <w:szCs w:val="24"/>
          <w:lang w:val="lv-LV"/>
        </w:rPr>
        <w:t xml:space="preserve"> tūristu uzturēšanās ilgumu;</w:t>
      </w:r>
    </w:p>
    <w:p w14:paraId="49640C83" w14:textId="77777777" w:rsidR="002B4335" w:rsidRPr="005C766A" w:rsidRDefault="00DE75A9"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visvairāk apmeklētie tūrisma objekti</w:t>
      </w:r>
      <w:r w:rsidR="002B4335" w:rsidRPr="005C766A">
        <w:rPr>
          <w:rFonts w:ascii="Times New Roman" w:hAnsi="Times New Roman"/>
          <w:sz w:val="24"/>
          <w:szCs w:val="24"/>
          <w:lang w:val="lv-LV"/>
        </w:rPr>
        <w:t>, kuros vidējais apmeklējumu skaits pēdējos četros gados (2009.-2012</w:t>
      </w:r>
      <w:r w:rsidRPr="005C766A">
        <w:rPr>
          <w:rFonts w:ascii="Times New Roman" w:hAnsi="Times New Roman"/>
          <w:sz w:val="24"/>
          <w:szCs w:val="24"/>
          <w:lang w:val="lv-LV"/>
        </w:rPr>
        <w:t>.gads</w:t>
      </w:r>
      <w:r w:rsidR="002B4335" w:rsidRPr="005C766A">
        <w:rPr>
          <w:rFonts w:ascii="Times New Roman" w:hAnsi="Times New Roman"/>
          <w:sz w:val="24"/>
          <w:szCs w:val="24"/>
          <w:lang w:val="lv-LV"/>
        </w:rPr>
        <w:t>) pārsniedz 30</w:t>
      </w:r>
      <w:r w:rsidR="000E07E7" w:rsidRPr="005C766A">
        <w:rPr>
          <w:rFonts w:ascii="Times New Roman" w:hAnsi="Times New Roman"/>
          <w:sz w:val="24"/>
          <w:szCs w:val="24"/>
          <w:lang w:val="lv-LV"/>
        </w:rPr>
        <w:t xml:space="preserve"> </w:t>
      </w:r>
      <w:r w:rsidR="002B4335" w:rsidRPr="005C766A">
        <w:rPr>
          <w:rFonts w:ascii="Times New Roman" w:hAnsi="Times New Roman"/>
          <w:sz w:val="24"/>
          <w:szCs w:val="24"/>
          <w:lang w:val="lv-LV"/>
        </w:rPr>
        <w:t xml:space="preserve">000 apmeklējumus un </w:t>
      </w:r>
      <w:r w:rsidRPr="005C766A">
        <w:rPr>
          <w:rFonts w:ascii="Times New Roman" w:hAnsi="Times New Roman"/>
          <w:sz w:val="24"/>
          <w:szCs w:val="24"/>
          <w:lang w:val="lv-LV"/>
        </w:rPr>
        <w:t>kuros</w:t>
      </w:r>
      <w:r w:rsidR="002B4335" w:rsidRPr="005C766A">
        <w:rPr>
          <w:rFonts w:ascii="Times New Roman" w:hAnsi="Times New Roman"/>
          <w:sz w:val="24"/>
          <w:szCs w:val="24"/>
          <w:lang w:val="lv-LV"/>
        </w:rPr>
        <w:t xml:space="preserve"> ir nozīmīga ārvalstu tūristu proporcija (vismaz 10% no kopējās plūsmas). Tas nepieciešams situācijās, kad apmeklējumam var būt vienas dienas raksturs un ceļotāji n</w:t>
      </w:r>
      <w:r w:rsidRPr="005C766A">
        <w:rPr>
          <w:rFonts w:ascii="Times New Roman" w:hAnsi="Times New Roman"/>
          <w:sz w:val="24"/>
          <w:szCs w:val="24"/>
          <w:lang w:val="lv-LV"/>
        </w:rPr>
        <w:t>enakšņo galamērķi, kuru apmeklē;</w:t>
      </w:r>
    </w:p>
    <w:p w14:paraId="49640C84" w14:textId="77777777" w:rsidR="002B4335" w:rsidRPr="005C766A" w:rsidRDefault="002B4335"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reģionālais princips, lai izceltu </w:t>
      </w:r>
      <w:r w:rsidR="00DE75A9" w:rsidRPr="005C766A">
        <w:rPr>
          <w:rFonts w:ascii="Times New Roman" w:hAnsi="Times New Roman"/>
          <w:sz w:val="24"/>
          <w:szCs w:val="24"/>
          <w:lang w:val="lv-LV"/>
        </w:rPr>
        <w:t>5</w:t>
      </w:r>
      <w:r w:rsidRPr="005C766A">
        <w:rPr>
          <w:rFonts w:ascii="Times New Roman" w:hAnsi="Times New Roman"/>
          <w:sz w:val="24"/>
          <w:szCs w:val="24"/>
          <w:lang w:val="lv-LV"/>
        </w:rPr>
        <w:t xml:space="preserve"> </w:t>
      </w:r>
      <w:r w:rsidR="00DE75A9" w:rsidRPr="005C766A">
        <w:rPr>
          <w:rFonts w:ascii="Times New Roman" w:hAnsi="Times New Roman"/>
          <w:sz w:val="24"/>
          <w:szCs w:val="24"/>
          <w:lang w:val="lv-LV"/>
        </w:rPr>
        <w:t>visvairāk apmeklētos</w:t>
      </w:r>
      <w:r w:rsidRPr="005C766A">
        <w:rPr>
          <w:rFonts w:ascii="Times New Roman" w:hAnsi="Times New Roman"/>
          <w:sz w:val="24"/>
          <w:szCs w:val="24"/>
          <w:lang w:val="lv-LV"/>
        </w:rPr>
        <w:t xml:space="preserve"> objektus katrā statist</w:t>
      </w:r>
      <w:r w:rsidR="00DE75A9" w:rsidRPr="005C766A">
        <w:rPr>
          <w:rFonts w:ascii="Times New Roman" w:hAnsi="Times New Roman"/>
          <w:sz w:val="24"/>
          <w:szCs w:val="24"/>
          <w:lang w:val="lv-LV"/>
        </w:rPr>
        <w:t xml:space="preserve">ikas reģionā, </w:t>
      </w:r>
      <w:r w:rsidRPr="005C766A">
        <w:rPr>
          <w:rFonts w:ascii="Times New Roman" w:hAnsi="Times New Roman"/>
          <w:sz w:val="24"/>
          <w:szCs w:val="24"/>
          <w:lang w:val="lv-LV"/>
        </w:rPr>
        <w:t>ar nosacījumu, ka katrā pašvaldībā nav vairāk par vienu šādu objektu. Tādējādi tiek identificēti galvenie enkurobjekti vai eksportam pi</w:t>
      </w:r>
      <w:r w:rsidR="00DE75A9" w:rsidRPr="005C766A">
        <w:rPr>
          <w:rFonts w:ascii="Times New Roman" w:hAnsi="Times New Roman"/>
          <w:sz w:val="24"/>
          <w:szCs w:val="24"/>
          <w:lang w:val="lv-LV"/>
        </w:rPr>
        <w:t>evilcīgākās vietas plašākā zonā;</w:t>
      </w:r>
    </w:p>
    <w:p w14:paraId="49640C85" w14:textId="77777777" w:rsidR="002B4335" w:rsidRPr="005C766A" w:rsidRDefault="002B4335"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divi galvenie ārvalstu tūristu sauszemes tranzīta ceļi – Via Baltica un Via Hanseatica</w:t>
      </w:r>
      <w:r w:rsidR="00DE75A9" w:rsidRPr="005C766A">
        <w:rPr>
          <w:rFonts w:ascii="Times New Roman" w:hAnsi="Times New Roman"/>
          <w:sz w:val="24"/>
          <w:szCs w:val="24"/>
          <w:lang w:val="lv-LV"/>
        </w:rPr>
        <w:t xml:space="preserve"> ar visintensīvāko tūristu plūsmu;</w:t>
      </w:r>
    </w:p>
    <w:p w14:paraId="49640C86" w14:textId="77777777" w:rsidR="002B4335" w:rsidRPr="005C766A" w:rsidRDefault="002B4335"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sasaiste ar galvenajiem </w:t>
      </w:r>
      <w:r w:rsidR="00DE75A9" w:rsidRPr="005C766A">
        <w:rPr>
          <w:rFonts w:ascii="Times New Roman" w:hAnsi="Times New Roman"/>
          <w:sz w:val="24"/>
          <w:szCs w:val="24"/>
          <w:lang w:val="lv-LV"/>
        </w:rPr>
        <w:t xml:space="preserve">tūrisma </w:t>
      </w:r>
      <w:r w:rsidRPr="005C766A">
        <w:rPr>
          <w:rFonts w:ascii="Times New Roman" w:hAnsi="Times New Roman"/>
          <w:sz w:val="24"/>
          <w:szCs w:val="24"/>
          <w:lang w:val="lv-LV"/>
        </w:rPr>
        <w:t>eksporta plūsmas vārtiem –</w:t>
      </w:r>
      <w:r w:rsidR="00DE75A9" w:rsidRPr="005C766A">
        <w:rPr>
          <w:rFonts w:ascii="Times New Roman" w:hAnsi="Times New Roman"/>
          <w:sz w:val="24"/>
          <w:szCs w:val="24"/>
          <w:lang w:val="lv-LV"/>
        </w:rPr>
        <w:t xml:space="preserve"> starptautisko </w:t>
      </w:r>
      <w:r w:rsidRPr="005C766A">
        <w:rPr>
          <w:rFonts w:ascii="Times New Roman" w:hAnsi="Times New Roman"/>
          <w:sz w:val="24"/>
          <w:szCs w:val="24"/>
          <w:lang w:val="lv-LV"/>
        </w:rPr>
        <w:t>lidostu</w:t>
      </w:r>
      <w:r w:rsidR="00DE75A9" w:rsidRPr="005C766A">
        <w:rPr>
          <w:rFonts w:ascii="Times New Roman" w:hAnsi="Times New Roman"/>
          <w:sz w:val="24"/>
          <w:szCs w:val="24"/>
          <w:lang w:val="lv-LV"/>
        </w:rPr>
        <w:t xml:space="preserve"> „Rīga”</w:t>
      </w:r>
      <w:r w:rsidRPr="005C766A">
        <w:rPr>
          <w:rFonts w:ascii="Times New Roman" w:hAnsi="Times New Roman"/>
          <w:sz w:val="24"/>
          <w:szCs w:val="24"/>
          <w:lang w:val="lv-LV"/>
        </w:rPr>
        <w:t xml:space="preserve">, </w:t>
      </w:r>
      <w:r w:rsidR="00BC05BB" w:rsidRPr="005C766A">
        <w:rPr>
          <w:rFonts w:ascii="Times New Roman" w:hAnsi="Times New Roman"/>
          <w:sz w:val="24"/>
          <w:szCs w:val="24"/>
          <w:lang w:val="lv-LV"/>
        </w:rPr>
        <w:t>starptautiskām prāmju līnijām, ostām un nozīmīgākajām dzelzceļa stacijām;</w:t>
      </w:r>
    </w:p>
    <w:p w14:paraId="49640C87" w14:textId="77777777" w:rsidR="002B4335" w:rsidRPr="005C766A" w:rsidRDefault="002B4335" w:rsidP="00267BCC">
      <w:pPr>
        <w:pStyle w:val="ListParagraph"/>
        <w:numPr>
          <w:ilvl w:val="0"/>
          <w:numId w:val="36"/>
        </w:numPr>
        <w:spacing w:line="240" w:lineRule="auto"/>
        <w:ind w:left="714"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galvenie pakalpojumu centri, kas </w:t>
      </w:r>
      <w:r w:rsidR="00BC05BB" w:rsidRPr="005C766A">
        <w:rPr>
          <w:rFonts w:ascii="Times New Roman" w:hAnsi="Times New Roman"/>
          <w:sz w:val="24"/>
          <w:szCs w:val="24"/>
          <w:lang w:val="lv-LV"/>
        </w:rPr>
        <w:t>saistīti ar republikas nozīmes pilsētām</w:t>
      </w:r>
      <w:r w:rsidRPr="005C766A">
        <w:rPr>
          <w:rFonts w:ascii="Times New Roman" w:hAnsi="Times New Roman"/>
          <w:sz w:val="24"/>
          <w:szCs w:val="24"/>
          <w:lang w:val="lv-LV"/>
        </w:rPr>
        <w:t>. Tas pamatojams ar plašāku ēdināšanas, izmitināšanas, tūrismu atbalstošo pakalpojumu (bankomāti, tirdzniecība, galvenie vietējā transporta mezgli, taksometru pakalpojumi u.c.) piekļuvi.</w:t>
      </w:r>
    </w:p>
    <w:p w14:paraId="49640C88" w14:textId="77777777" w:rsidR="002B4335" w:rsidRPr="005C766A" w:rsidRDefault="002B4335" w:rsidP="00267BCC">
      <w:pPr>
        <w:ind w:firstLine="720"/>
        <w:jc w:val="both"/>
        <w:rPr>
          <w:lang w:val="lv-LV"/>
        </w:rPr>
      </w:pPr>
      <w:r w:rsidRPr="005C766A">
        <w:rPr>
          <w:lang w:val="lv-LV"/>
        </w:rPr>
        <w:t xml:space="preserve">Lai pārbaudītu </w:t>
      </w:r>
      <w:r w:rsidR="00BC05BB" w:rsidRPr="005C766A">
        <w:rPr>
          <w:lang w:val="lv-LV"/>
        </w:rPr>
        <w:t>minēto</w:t>
      </w:r>
      <w:r w:rsidRPr="005C766A">
        <w:rPr>
          <w:lang w:val="lv-LV"/>
        </w:rPr>
        <w:t xml:space="preserve"> datu precizitāti, pievienots lielo sertificēto viesnīcu telpiskais izvietojums, kas norāda uz tūrisma galamērķa lielāku konkurētspēju – fokusēšanos uz lielāku tirgus apjomu. Viesnīcu atrašanās vietai jāsakrīt ar eksportspējīgākajām teritorijām, ja to nozīmīga klientu daļa ir ārvalstu tūristi vai jābūt tiešā tuvumā nozīmīgākajiem enkurobjektiem. Situācijās, kur tas nesakrīt, viesnīcu klienti lielākoties ir saistīti ar vietējo tūrismu, vietējā mēroga atpūtas un izklaides pieprasījumu, kas šajā kartē nav atsevišķi uzsvērts.</w:t>
      </w:r>
    </w:p>
    <w:p w14:paraId="49640C89" w14:textId="77777777" w:rsidR="002B4335" w:rsidRPr="005C766A" w:rsidRDefault="00BC05BB" w:rsidP="00267BCC">
      <w:pPr>
        <w:ind w:firstLine="720"/>
        <w:jc w:val="both"/>
        <w:rPr>
          <w:lang w:val="lv-LV"/>
        </w:rPr>
      </w:pPr>
      <w:r w:rsidRPr="005C766A">
        <w:rPr>
          <w:lang w:val="lv-LV"/>
        </w:rPr>
        <w:t>Eksportspējīgāko teritoriju</w:t>
      </w:r>
      <w:r w:rsidR="002B4335" w:rsidRPr="005C766A">
        <w:rPr>
          <w:lang w:val="lv-LV"/>
        </w:rPr>
        <w:t xml:space="preserve"> tuvumā veidojas augstāka potenciāla zo</w:t>
      </w:r>
      <w:r w:rsidRPr="005C766A">
        <w:rPr>
          <w:lang w:val="lv-LV"/>
        </w:rPr>
        <w:t>na ārvalstu tūristu piesaistei ne</w:t>
      </w:r>
      <w:r w:rsidR="002B4335" w:rsidRPr="005C766A">
        <w:rPr>
          <w:lang w:val="lv-LV"/>
        </w:rPr>
        <w:t>kā vietās, kur nav identificēts ne</w:t>
      </w:r>
      <w:r w:rsidRPr="005C766A">
        <w:rPr>
          <w:lang w:val="lv-LV"/>
        </w:rPr>
        <w:t>viens konkurētspēju ietekmējošs elements</w:t>
      </w:r>
      <w:r w:rsidR="002B4335" w:rsidRPr="005C766A">
        <w:rPr>
          <w:lang w:val="lv-LV"/>
        </w:rPr>
        <w:t xml:space="preserve">. </w:t>
      </w:r>
      <w:r w:rsidR="008613BB" w:rsidRPr="005C766A">
        <w:rPr>
          <w:lang w:val="lv-LV"/>
        </w:rPr>
        <w:t xml:space="preserve">Lai gan pašlaik tūrisma slodze piekrastē, tostarp ārvalstu apmeklētāju sektorā, ir nevienmērīga, vienota plānošanas pieeja, ceļu infrastruktūra un starptautiskā velomaršruta EuroVelo 13 trasējums cauri visām piekrastes pašvaldībām ir pamats piekrastes konkurētspējas palielināšanai, pozicionējot to kā kopīgu, nepārtrauktu un nefragmentētu tūrisma eksporta galamērķi un produktu, kas vienlaikus ietver gan lielu pakalpojumu centrus, gan nišu produktu vietas. </w:t>
      </w:r>
      <w:r w:rsidR="002B4335" w:rsidRPr="005C766A">
        <w:rPr>
          <w:lang w:val="lv-LV"/>
        </w:rPr>
        <w:t xml:space="preserve">Šajā tūrisma eksportam konkurētspējīgāko teritoriju izvērtējumā nav atsevišķi uzrādīta lielo starptautisko pasākumu tūrisma plūsmas </w:t>
      </w:r>
      <w:r w:rsidRPr="005C766A">
        <w:rPr>
          <w:lang w:val="lv-LV"/>
        </w:rPr>
        <w:t>ietekmes</w:t>
      </w:r>
      <w:r w:rsidR="002B4335" w:rsidRPr="005C766A">
        <w:rPr>
          <w:lang w:val="lv-LV"/>
        </w:rPr>
        <w:t xml:space="preserve"> spēja, kas būtu vērtējama līdzvērtīgi objektiem. Taču tas lielā mērā ir saistīts ar lielākajiem pakalpojumu centriem un atbilstošu infrastruktūru. Tas neizslēdz iespēju atsevišķām vietām būt konkurētspējīgām tematiski specializētas nišas tirgus eksporta plūsmas piesaistē. Līdzīgs potenciāls, kas nav identif</w:t>
      </w:r>
      <w:r w:rsidRPr="005C766A">
        <w:rPr>
          <w:lang w:val="lv-LV"/>
        </w:rPr>
        <w:t>icēts starp konkurētspējīgākajiem</w:t>
      </w:r>
      <w:r w:rsidR="002B4335" w:rsidRPr="005C766A">
        <w:rPr>
          <w:lang w:val="lv-LV"/>
        </w:rPr>
        <w:t>, saistās ar tiešo pierobežas tuvumu un iespējami augstāku kaimiņvalstu ceļotāju iesaisti pierobežas tūrisma pakalpojumu izmantošanā.</w:t>
      </w:r>
    </w:p>
    <w:p w14:paraId="49640C8A" w14:textId="77777777" w:rsidR="002B4335" w:rsidRPr="005C766A" w:rsidRDefault="002B4335" w:rsidP="00267BCC">
      <w:pPr>
        <w:ind w:firstLine="720"/>
        <w:jc w:val="both"/>
        <w:rPr>
          <w:lang w:val="lv-LV"/>
        </w:rPr>
      </w:pPr>
      <w:r w:rsidRPr="005C766A">
        <w:rPr>
          <w:lang w:val="lv-LV"/>
        </w:rPr>
        <w:t>Pārējā valsts daļā izteiktāka ir vietē</w:t>
      </w:r>
      <w:r w:rsidR="00BC05BB" w:rsidRPr="005C766A">
        <w:rPr>
          <w:lang w:val="lv-LV"/>
        </w:rPr>
        <w:t>jā tūrisma nozīme, kas mija</w:t>
      </w:r>
      <w:r w:rsidRPr="005C766A">
        <w:rPr>
          <w:lang w:val="lv-LV"/>
        </w:rPr>
        <w:t xml:space="preserve">s ar ārvalstu tūristu plūsmu, taču tās apjoms un proporcija nav tik būtiska valsts mērogā. Šajos tūrisma galamērķos vietējais tūrisms prioritāri vērtējams no investīciju ieguldījuma atdeves un saiknes ar citiem vietas izaugsmes mērķiem (iedzīvotāju un uzņēmējdarbības piesaisti). </w:t>
      </w:r>
      <w:r w:rsidR="00BC05BB" w:rsidRPr="005C766A">
        <w:rPr>
          <w:lang w:val="lv-LV"/>
        </w:rPr>
        <w:t>Šādā kontekstā vietējas nozīmes t</w:t>
      </w:r>
      <w:r w:rsidRPr="005C766A">
        <w:rPr>
          <w:lang w:val="lv-LV"/>
        </w:rPr>
        <w:t xml:space="preserve">ūrisms </w:t>
      </w:r>
      <w:r w:rsidR="00BC05BB" w:rsidRPr="005C766A">
        <w:rPr>
          <w:lang w:val="lv-LV"/>
        </w:rPr>
        <w:t xml:space="preserve">ir atbalstāms, jo tā ir </w:t>
      </w:r>
      <w:r w:rsidRPr="005C766A">
        <w:rPr>
          <w:lang w:val="lv-LV"/>
        </w:rPr>
        <w:t>ekonomiska darbība, kas palīdz</w:t>
      </w:r>
      <w:r w:rsidR="00BC05BB" w:rsidRPr="005C766A">
        <w:rPr>
          <w:lang w:val="lv-LV"/>
        </w:rPr>
        <w:t xml:space="preserve"> nodrošināt tradicionālo lauku dzīvesveidu un </w:t>
      </w:r>
      <w:r w:rsidRPr="005C766A">
        <w:rPr>
          <w:lang w:val="lv-LV"/>
        </w:rPr>
        <w:t>risina arī sociālus jautājumus.</w:t>
      </w:r>
    </w:p>
    <w:p w14:paraId="49640C8B" w14:textId="77777777" w:rsidR="00795943" w:rsidRPr="00267BCC" w:rsidRDefault="00795943" w:rsidP="00267BCC">
      <w:pPr>
        <w:ind w:firstLine="720"/>
        <w:jc w:val="both"/>
        <w:rPr>
          <w:u w:val="single"/>
          <w:lang w:val="lv-LV"/>
        </w:rPr>
      </w:pPr>
    </w:p>
    <w:p w14:paraId="49640C8C" w14:textId="77777777" w:rsidR="00D67A0E" w:rsidRPr="00267BCC" w:rsidRDefault="00D67A0E" w:rsidP="00267BCC">
      <w:pPr>
        <w:rPr>
          <w:u w:val="single"/>
          <w:lang w:val="lv-LV"/>
        </w:rPr>
      </w:pPr>
      <w:r w:rsidRPr="00267BCC">
        <w:rPr>
          <w:u w:val="single"/>
          <w:lang w:val="lv-LV"/>
        </w:rPr>
        <w:br w:type="page"/>
      </w:r>
    </w:p>
    <w:p w14:paraId="49640C8D" w14:textId="77777777" w:rsidR="001F08B9" w:rsidRPr="00267BCC" w:rsidRDefault="00A4090F" w:rsidP="00267BCC">
      <w:pPr>
        <w:pStyle w:val="Heading1"/>
        <w:numPr>
          <w:ilvl w:val="0"/>
          <w:numId w:val="24"/>
        </w:numPr>
      </w:pPr>
      <w:bookmarkStart w:id="31" w:name="_Toc381256666"/>
      <w:bookmarkStart w:id="32" w:name="_Toc321225382"/>
      <w:r w:rsidRPr="00267BCC">
        <w:lastRenderedPageBreak/>
        <w:t xml:space="preserve">Stratēģiskie tūrisma </w:t>
      </w:r>
      <w:r w:rsidR="001F08B9" w:rsidRPr="00267BCC">
        <w:t>veidi un teritorijas</w:t>
      </w:r>
      <w:bookmarkEnd w:id="31"/>
    </w:p>
    <w:p w14:paraId="49640C8E" w14:textId="77777777" w:rsidR="001F08B9" w:rsidRPr="00267BCC" w:rsidRDefault="001F08B9" w:rsidP="00267BCC">
      <w:pPr>
        <w:ind w:firstLine="720"/>
        <w:jc w:val="both"/>
        <w:rPr>
          <w:lang w:val="lv-LV"/>
        </w:rPr>
      </w:pPr>
    </w:p>
    <w:p w14:paraId="49640C8F" w14:textId="77777777" w:rsidR="001F08B9" w:rsidRPr="00267BCC" w:rsidRDefault="001F08B9" w:rsidP="00267BCC">
      <w:pPr>
        <w:jc w:val="both"/>
        <w:rPr>
          <w:rFonts w:eastAsia="Calibri"/>
          <w:lang w:val="lv-LV"/>
        </w:rPr>
      </w:pPr>
      <w:r w:rsidRPr="00267BCC">
        <w:rPr>
          <w:rFonts w:eastAsia="Calibri"/>
          <w:b/>
          <w:i/>
          <w:lang w:val="lv-LV"/>
        </w:rPr>
        <w:t>Problēma:</w:t>
      </w:r>
      <w:r w:rsidRPr="00267BCC">
        <w:rPr>
          <w:rFonts w:eastAsia="Calibri"/>
          <w:lang w:val="lv-LV"/>
        </w:rPr>
        <w:t xml:space="preserve"> </w:t>
      </w:r>
      <w:r w:rsidRPr="00267BCC">
        <w:rPr>
          <w:rFonts w:eastAsia="Calibri"/>
          <w:i/>
          <w:lang w:val="lv-LV"/>
        </w:rPr>
        <w:t>Latvijas tūrisma produkts šobrīd ir sadrumstalots, vairāk koncentrēts Rīgā un tās apkārtnē. Esošais tūrisma piedāvājums neveicina uzturēšanās laika palielināšanos Latvijā, līdz ar to netiek pilnībā izmantots potenciāls palielināt ieguvumus no</w:t>
      </w:r>
      <w:r w:rsidR="00D67A0E" w:rsidRPr="00267BCC">
        <w:rPr>
          <w:rFonts w:eastAsia="Calibri"/>
          <w:i/>
          <w:lang w:val="lv-LV"/>
        </w:rPr>
        <w:t xml:space="preserve"> ārvalstu ceļotājiem. T</w:t>
      </w:r>
      <w:r w:rsidRPr="00267BCC">
        <w:rPr>
          <w:rFonts w:eastAsia="Calibri"/>
          <w:i/>
          <w:lang w:val="lv-LV"/>
        </w:rPr>
        <w:t xml:space="preserve">ūrisms ir viens no </w:t>
      </w:r>
      <w:r w:rsidR="00EA0B06" w:rsidRPr="00267BCC">
        <w:rPr>
          <w:rFonts w:eastAsia="Calibri"/>
          <w:i/>
          <w:lang w:val="lv-LV"/>
        </w:rPr>
        <w:t>perspektīvajiem</w:t>
      </w:r>
      <w:r w:rsidRPr="00267BCC">
        <w:rPr>
          <w:rFonts w:eastAsia="Calibri"/>
          <w:i/>
          <w:lang w:val="lv-LV"/>
        </w:rPr>
        <w:t xml:space="preserve"> uzņēmējdarbības veidiem</w:t>
      </w:r>
      <w:r w:rsidR="00D67A0E" w:rsidRPr="00267BCC">
        <w:rPr>
          <w:rFonts w:eastAsia="Calibri"/>
          <w:i/>
          <w:lang w:val="lv-LV"/>
        </w:rPr>
        <w:t xml:space="preserve"> reģionos</w:t>
      </w:r>
      <w:r w:rsidRPr="00267BCC">
        <w:rPr>
          <w:rFonts w:eastAsia="Calibri"/>
          <w:i/>
          <w:lang w:val="lv-LV"/>
        </w:rPr>
        <w:t xml:space="preserve">, tomēr </w:t>
      </w:r>
      <w:r w:rsidR="00D67A0E" w:rsidRPr="005C766A">
        <w:rPr>
          <w:rFonts w:eastAsia="Calibri"/>
          <w:i/>
          <w:lang w:val="lv-LV"/>
        </w:rPr>
        <w:t>vairākās</w:t>
      </w:r>
      <w:r w:rsidR="00AD2798" w:rsidRPr="005C766A">
        <w:rPr>
          <w:rFonts w:eastAsia="Calibri"/>
          <w:i/>
          <w:lang w:val="lv-LV"/>
        </w:rPr>
        <w:t xml:space="preserve"> situācijās </w:t>
      </w:r>
      <w:r w:rsidR="00D67A0E" w:rsidRPr="005C766A">
        <w:rPr>
          <w:rFonts w:eastAsia="Calibri"/>
          <w:i/>
          <w:lang w:val="lv-LV"/>
        </w:rPr>
        <w:t xml:space="preserve">produkts </w:t>
      </w:r>
      <w:r w:rsidRPr="005C766A">
        <w:rPr>
          <w:rFonts w:eastAsia="Calibri"/>
          <w:i/>
          <w:lang w:val="lv-LV"/>
        </w:rPr>
        <w:t>netiek veidots saskaņoti, balstoties uz tirgus izvērtējumu un potenciālo</w:t>
      </w:r>
      <w:r w:rsidRPr="00267BCC">
        <w:rPr>
          <w:rFonts w:eastAsia="Calibri"/>
          <w:i/>
          <w:lang w:val="lv-LV"/>
        </w:rPr>
        <w:t xml:space="preserve"> ceļotāju interesēm.</w:t>
      </w:r>
    </w:p>
    <w:p w14:paraId="49640C90" w14:textId="77777777" w:rsidR="001F08B9" w:rsidRPr="00267BCC" w:rsidRDefault="001F08B9" w:rsidP="00267BCC">
      <w:pPr>
        <w:rPr>
          <w:rFonts w:eastAsia="Calibri"/>
          <w:lang w:val="lv-LV"/>
        </w:rPr>
      </w:pPr>
    </w:p>
    <w:p w14:paraId="49640C91" w14:textId="77777777" w:rsidR="001F08B9" w:rsidRPr="00267BCC" w:rsidRDefault="001F08B9" w:rsidP="00267BCC">
      <w:pPr>
        <w:pStyle w:val="Heading2"/>
        <w:numPr>
          <w:ilvl w:val="1"/>
          <w:numId w:val="24"/>
        </w:numPr>
        <w:rPr>
          <w:rFonts w:eastAsia="Calibri"/>
          <w:lang w:val="lv-LV"/>
        </w:rPr>
      </w:pPr>
      <w:bookmarkStart w:id="33" w:name="_Toc321225371"/>
      <w:bookmarkStart w:id="34" w:name="_Toc381256667"/>
      <w:r w:rsidRPr="00267BCC">
        <w:rPr>
          <w:rFonts w:eastAsia="Calibri"/>
          <w:lang w:val="lv-LV"/>
        </w:rPr>
        <w:t>Tūrisma produktu attīstība</w:t>
      </w:r>
      <w:bookmarkEnd w:id="33"/>
      <w:r w:rsidRPr="00267BCC">
        <w:rPr>
          <w:rFonts w:eastAsia="Calibri"/>
          <w:lang w:val="lv-LV"/>
        </w:rPr>
        <w:t>s pamatprincipi</w:t>
      </w:r>
      <w:bookmarkEnd w:id="34"/>
    </w:p>
    <w:p w14:paraId="49640C92" w14:textId="77777777" w:rsidR="001F08B9" w:rsidRPr="00267BCC" w:rsidRDefault="001F08B9" w:rsidP="00267BCC">
      <w:pPr>
        <w:rPr>
          <w:rFonts w:eastAsia="Calibri"/>
          <w:lang w:val="lv-LV"/>
        </w:rPr>
      </w:pPr>
    </w:p>
    <w:p w14:paraId="49640C93" w14:textId="77777777" w:rsidR="001F08B9" w:rsidRPr="00267BCC" w:rsidRDefault="001F08B9" w:rsidP="00267BCC">
      <w:pPr>
        <w:ind w:firstLine="720"/>
        <w:jc w:val="both"/>
        <w:rPr>
          <w:lang w:val="lv-LV"/>
        </w:rPr>
      </w:pPr>
      <w:r w:rsidRPr="00267BCC">
        <w:rPr>
          <w:lang w:val="lv-LV"/>
        </w:rPr>
        <w:t>Latvija ar tās nepārblīvēto dzīves telpu, mēreno klimatu, bagā</w:t>
      </w:r>
      <w:r w:rsidR="00EA0B06" w:rsidRPr="00267BCC">
        <w:rPr>
          <w:lang w:val="lv-LV"/>
        </w:rPr>
        <w:t>to dabas un kultūras mantojumu</w:t>
      </w:r>
      <w:r w:rsidRPr="00267BCC">
        <w:rPr>
          <w:lang w:val="lv-LV"/>
        </w:rPr>
        <w:t>, kūrortu tradīcijām, augsti kvalif</w:t>
      </w:r>
      <w:r w:rsidR="002F0A7A" w:rsidRPr="00267BCC">
        <w:rPr>
          <w:lang w:val="lv-LV"/>
        </w:rPr>
        <w:t xml:space="preserve">icētiem un profesionāliem </w:t>
      </w:r>
      <w:r w:rsidR="002F0A7A" w:rsidRPr="005C766A">
        <w:rPr>
          <w:lang w:val="lv-LV"/>
        </w:rPr>
        <w:t>Latvijas tūrisma</w:t>
      </w:r>
      <w:r w:rsidRPr="005C766A">
        <w:rPr>
          <w:lang w:val="lv-LV"/>
        </w:rPr>
        <w:t xml:space="preserve"> nozaru </w:t>
      </w:r>
      <w:r w:rsidR="00D67A0E" w:rsidRPr="005C766A">
        <w:rPr>
          <w:lang w:val="lv-LV"/>
        </w:rPr>
        <w:t xml:space="preserve">vadošajiem </w:t>
      </w:r>
      <w:r w:rsidRPr="005C766A">
        <w:rPr>
          <w:lang w:val="lv-LV"/>
        </w:rPr>
        <w:t>speciālistiem ir spējīga radīt jaunus tūrisma produktu</w:t>
      </w:r>
      <w:r w:rsidR="00AD2798" w:rsidRPr="005C766A">
        <w:rPr>
          <w:lang w:val="lv-LV"/>
        </w:rPr>
        <w:t>s</w:t>
      </w:r>
      <w:r w:rsidRPr="005C766A">
        <w:rPr>
          <w:lang w:val="lv-LV"/>
        </w:rPr>
        <w:t>, kā</w:t>
      </w:r>
      <w:r w:rsidRPr="00267BCC">
        <w:rPr>
          <w:lang w:val="lv-LV"/>
        </w:rPr>
        <w:t xml:space="preserve"> arī palielināt esošo produktu konkurētspēju. Svarīgi ir nodro</w:t>
      </w:r>
      <w:r w:rsidR="00323D22">
        <w:rPr>
          <w:lang w:val="lv-LV"/>
        </w:rPr>
        <w:t>šināt stratēģisku tūrisma produktu</w:t>
      </w:r>
      <w:r w:rsidRPr="00267BCC">
        <w:rPr>
          <w:lang w:val="lv-LV"/>
        </w:rPr>
        <w:t xml:space="preserve"> attīstību, kas rada nozarei papildus izaugsmes </w:t>
      </w:r>
      <w:r w:rsidR="00323D22">
        <w:rPr>
          <w:lang w:val="lv-LV"/>
        </w:rPr>
        <w:t>iespējas. Latvijas stratēģiskajiem tūrisma produktie</w:t>
      </w:r>
      <w:r w:rsidRPr="00267BCC">
        <w:rPr>
          <w:lang w:val="lv-LV"/>
        </w:rPr>
        <w:t>m ir jābūt tādam, kas vispilnīgāk spēj izmantot Latvijas tūrisma resursus, nodrošinot to racionālu izmantošanu un ilgtspējīgu attīst</w:t>
      </w:r>
      <w:r w:rsidR="00D67A0E" w:rsidRPr="00267BCC">
        <w:rPr>
          <w:lang w:val="lv-LV"/>
        </w:rPr>
        <w:t>ību. Paralēli šiem nosacījumiem</w:t>
      </w:r>
      <w:r w:rsidRPr="00267BCC">
        <w:rPr>
          <w:lang w:val="lv-LV"/>
        </w:rPr>
        <w:t xml:space="preserve"> jāizmanto stratēģiskās priekšrocības, piemēram, Latvijas ģeogrāfiskais novietojums nozīmīgu tūrisma </w:t>
      </w:r>
      <w:r w:rsidR="00AD2798" w:rsidRPr="005C766A">
        <w:rPr>
          <w:lang w:val="lv-LV"/>
        </w:rPr>
        <w:t>galamērķu</w:t>
      </w:r>
      <w:r w:rsidRPr="005C766A">
        <w:rPr>
          <w:lang w:val="lv-LV"/>
        </w:rPr>
        <w:t xml:space="preserve"> </w:t>
      </w:r>
      <w:r w:rsidRPr="00267BCC">
        <w:rPr>
          <w:lang w:val="lv-LV"/>
        </w:rPr>
        <w:t>tuvumā. Latvijas tūrisma produktu attīstībai ir jābalstās uz se</w:t>
      </w:r>
      <w:r w:rsidR="00DC4940" w:rsidRPr="00267BCC">
        <w:rPr>
          <w:lang w:val="lv-LV"/>
        </w:rPr>
        <w:t>ptiņām</w:t>
      </w:r>
      <w:r w:rsidRPr="00267BCC">
        <w:rPr>
          <w:lang w:val="lv-LV"/>
        </w:rPr>
        <w:t xml:space="preserve"> pamatvērtībām – kvalitāte, ilgtspējība, inovācija, eksportspē</w:t>
      </w:r>
      <w:r w:rsidR="00323D22">
        <w:rPr>
          <w:lang w:val="lv-LV"/>
        </w:rPr>
        <w:t>ja, augsta pievienotā vērtība,</w:t>
      </w:r>
      <w:r w:rsidRPr="00267BCC">
        <w:rPr>
          <w:lang w:val="lv-LV"/>
        </w:rPr>
        <w:t xml:space="preserve"> tūristu iesaiste/piere</w:t>
      </w:r>
      <w:r w:rsidR="00323D22">
        <w:rPr>
          <w:lang w:val="lv-LV"/>
        </w:rPr>
        <w:t>dzes gūšana (individualizācija) un</w:t>
      </w:r>
      <w:r w:rsidRPr="00267BCC">
        <w:rPr>
          <w:lang w:val="lv-LV"/>
        </w:rPr>
        <w:t xml:space="preserve"> sadarbība konkur</w:t>
      </w:r>
      <w:r w:rsidR="00DC4940" w:rsidRPr="00267BCC">
        <w:rPr>
          <w:lang w:val="lv-LV"/>
        </w:rPr>
        <w:t>ētspējas nodrošināšanai</w:t>
      </w:r>
      <w:r w:rsidRPr="00267BCC">
        <w:rPr>
          <w:lang w:val="lv-LV"/>
        </w:rPr>
        <w:t>.</w:t>
      </w:r>
    </w:p>
    <w:p w14:paraId="49640C94" w14:textId="77777777" w:rsidR="0059514D" w:rsidRPr="00267BCC" w:rsidRDefault="0059514D" w:rsidP="00267BCC">
      <w:pPr>
        <w:ind w:firstLine="720"/>
        <w:jc w:val="both"/>
        <w:rPr>
          <w:lang w:val="lv-LV"/>
        </w:rPr>
      </w:pPr>
    </w:p>
    <w:p w14:paraId="49640C95" w14:textId="77777777" w:rsidR="001F08B9" w:rsidRPr="00267BCC" w:rsidRDefault="00256525" w:rsidP="00267BCC">
      <w:pPr>
        <w:ind w:firstLine="720"/>
        <w:jc w:val="right"/>
        <w:rPr>
          <w:lang w:val="lv-LV"/>
        </w:rPr>
      </w:pPr>
      <w:r w:rsidRPr="00267BCC">
        <w:rPr>
          <w:lang w:val="lv-LV"/>
        </w:rPr>
        <w:t>9.tabula</w:t>
      </w:r>
    </w:p>
    <w:p w14:paraId="49640C96" w14:textId="77777777" w:rsidR="00256525" w:rsidRPr="00267BCC" w:rsidRDefault="00256525" w:rsidP="00267BCC">
      <w:pPr>
        <w:ind w:firstLine="720"/>
        <w:jc w:val="right"/>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337"/>
      </w:tblGrid>
      <w:tr w:rsidR="001F08B9" w:rsidRPr="00B71CEA" w14:paraId="49640C9B" w14:textId="77777777" w:rsidTr="00EA0B06">
        <w:tc>
          <w:tcPr>
            <w:tcW w:w="1050" w:type="pct"/>
          </w:tcPr>
          <w:p w14:paraId="49640C97" w14:textId="77777777" w:rsidR="001F08B9" w:rsidRPr="00267BCC" w:rsidRDefault="001F08B9" w:rsidP="00267BCC">
            <w:pPr>
              <w:widowControl w:val="0"/>
              <w:tabs>
                <w:tab w:val="left" w:pos="284"/>
                <w:tab w:val="left" w:pos="709"/>
              </w:tabs>
              <w:autoSpaceDE w:val="0"/>
              <w:autoSpaceDN w:val="0"/>
              <w:adjustRightInd w:val="0"/>
              <w:ind w:right="51"/>
              <w:rPr>
                <w:b/>
                <w:i/>
                <w:lang w:val="lv-LV"/>
              </w:rPr>
            </w:pPr>
            <w:r w:rsidRPr="00267BCC">
              <w:rPr>
                <w:b/>
                <w:i/>
                <w:lang w:val="lv-LV"/>
              </w:rPr>
              <w:t>Kvalitāte</w:t>
            </w:r>
          </w:p>
          <w:p w14:paraId="49640C98" w14:textId="77777777" w:rsidR="001F08B9" w:rsidRPr="00267BCC" w:rsidRDefault="001F08B9" w:rsidP="00267BCC">
            <w:pPr>
              <w:widowControl w:val="0"/>
              <w:tabs>
                <w:tab w:val="left" w:pos="34"/>
                <w:tab w:val="left" w:pos="284"/>
              </w:tabs>
              <w:autoSpaceDE w:val="0"/>
              <w:autoSpaceDN w:val="0"/>
              <w:adjustRightInd w:val="0"/>
              <w:ind w:left="34" w:right="51"/>
              <w:rPr>
                <w:b/>
                <w:lang w:val="lv-LV"/>
              </w:rPr>
            </w:pPr>
          </w:p>
          <w:p w14:paraId="49640C99" w14:textId="77777777" w:rsidR="001F08B9" w:rsidRPr="00267BCC" w:rsidRDefault="001F08B9" w:rsidP="00267BCC">
            <w:pPr>
              <w:widowControl w:val="0"/>
              <w:tabs>
                <w:tab w:val="left" w:pos="34"/>
                <w:tab w:val="left" w:pos="284"/>
              </w:tabs>
              <w:autoSpaceDE w:val="0"/>
              <w:autoSpaceDN w:val="0"/>
              <w:adjustRightInd w:val="0"/>
              <w:ind w:left="34" w:right="51"/>
              <w:rPr>
                <w:b/>
                <w:i/>
                <w:lang w:val="lv-LV"/>
              </w:rPr>
            </w:pPr>
          </w:p>
        </w:tc>
        <w:tc>
          <w:tcPr>
            <w:tcW w:w="3950" w:type="pct"/>
          </w:tcPr>
          <w:p w14:paraId="49640C9A" w14:textId="77777777" w:rsidR="001F08B9" w:rsidRPr="00267BCC" w:rsidRDefault="001F08B9" w:rsidP="00267BCC">
            <w:pPr>
              <w:widowControl w:val="0"/>
              <w:tabs>
                <w:tab w:val="left" w:pos="34"/>
                <w:tab w:val="left" w:pos="284"/>
              </w:tabs>
              <w:autoSpaceDE w:val="0"/>
              <w:autoSpaceDN w:val="0"/>
              <w:adjustRightInd w:val="0"/>
              <w:ind w:left="34" w:right="51"/>
              <w:jc w:val="both"/>
              <w:rPr>
                <w:b/>
                <w:i/>
                <w:lang w:val="lv-LV"/>
              </w:rPr>
            </w:pPr>
            <w:r w:rsidRPr="00267BCC">
              <w:rPr>
                <w:lang w:val="lv-LV"/>
              </w:rPr>
              <w:t>Tūrisma objekts tiek veidots saskaņā ar patērētāju vajadzībām, uzņēmums paredz kontrolēt un uzraudzīt sniegtā pakalpojuma kvalitāti visos pakalpojuma sniegšanas posmos, nodrošināt atbilstošu servisa līmeni, apmācīt darbiniekus</w:t>
            </w:r>
            <w:r w:rsidRPr="00267BCC">
              <w:rPr>
                <w:iCs/>
                <w:lang w:val="lv-LV"/>
              </w:rPr>
              <w:t xml:space="preserve">. </w:t>
            </w:r>
          </w:p>
        </w:tc>
      </w:tr>
      <w:tr w:rsidR="001F08B9" w:rsidRPr="00B71CEA" w14:paraId="49640C9E" w14:textId="77777777" w:rsidTr="00EA0B06">
        <w:tc>
          <w:tcPr>
            <w:tcW w:w="1050" w:type="pct"/>
          </w:tcPr>
          <w:p w14:paraId="49640C9C" w14:textId="77777777" w:rsidR="001F08B9" w:rsidRPr="00267BCC" w:rsidRDefault="001F08B9" w:rsidP="00267BCC">
            <w:pPr>
              <w:widowControl w:val="0"/>
              <w:tabs>
                <w:tab w:val="left" w:pos="284"/>
                <w:tab w:val="left" w:pos="709"/>
              </w:tabs>
              <w:autoSpaceDE w:val="0"/>
              <w:autoSpaceDN w:val="0"/>
              <w:adjustRightInd w:val="0"/>
              <w:ind w:right="51"/>
              <w:rPr>
                <w:b/>
                <w:i/>
                <w:lang w:val="lv-LV"/>
              </w:rPr>
            </w:pPr>
            <w:r w:rsidRPr="00267BCC">
              <w:rPr>
                <w:b/>
                <w:i/>
                <w:lang w:val="lv-LV"/>
              </w:rPr>
              <w:t>Ilgtspējība</w:t>
            </w:r>
          </w:p>
        </w:tc>
        <w:tc>
          <w:tcPr>
            <w:tcW w:w="3950" w:type="pct"/>
          </w:tcPr>
          <w:p w14:paraId="49640C9D" w14:textId="77777777" w:rsidR="001F08B9" w:rsidRPr="00267BCC" w:rsidRDefault="001F08B9" w:rsidP="00267BCC">
            <w:pPr>
              <w:pStyle w:val="NormalWeb"/>
              <w:tabs>
                <w:tab w:val="left" w:pos="176"/>
              </w:tabs>
              <w:spacing w:before="0" w:beforeAutospacing="0" w:after="0" w:afterAutospacing="0"/>
              <w:ind w:left="34"/>
              <w:jc w:val="both"/>
            </w:pPr>
            <w:r w:rsidRPr="00267BCC">
              <w:rPr>
                <w:iCs/>
              </w:rPr>
              <w:t>Tūrisma produkts tiek veidots</w:t>
            </w:r>
            <w:r w:rsidR="00D67A0E" w:rsidRPr="00267BCC">
              <w:rPr>
                <w:iCs/>
              </w:rPr>
              <w:t xml:space="preserve">, saglabājot vietējos resursus un </w:t>
            </w:r>
            <w:r w:rsidRPr="00267BCC">
              <w:rPr>
                <w:iCs/>
              </w:rPr>
              <w:t>nodrošinot ilglaicīgu attīstību. Produkts tiek attīstīts ņemot vērā vietējos kultūras, dabas, veselības, sociālos un ekonomiskos faktorus. Veidojot objektu, notiek sadarbība ar citiem apkārtnes uzņēmumiem. Tūrisma objekts paredz risināt esošās sezonalitātes problēmas un/vai nodrošin</w:t>
            </w:r>
            <w:r w:rsidR="00D67A0E" w:rsidRPr="00267BCC">
              <w:rPr>
                <w:iCs/>
              </w:rPr>
              <w:t xml:space="preserve">āt objekta darbību visu gadu.  </w:t>
            </w:r>
          </w:p>
        </w:tc>
      </w:tr>
      <w:tr w:rsidR="001F08B9" w:rsidRPr="00B71CEA" w14:paraId="49640CA1" w14:textId="77777777" w:rsidTr="00EA0B06">
        <w:tc>
          <w:tcPr>
            <w:tcW w:w="1050" w:type="pct"/>
          </w:tcPr>
          <w:p w14:paraId="49640C9F" w14:textId="77777777" w:rsidR="001F08B9" w:rsidRPr="00267BCC" w:rsidRDefault="001F08B9" w:rsidP="00267BCC">
            <w:pPr>
              <w:widowControl w:val="0"/>
              <w:tabs>
                <w:tab w:val="left" w:pos="284"/>
                <w:tab w:val="left" w:pos="709"/>
              </w:tabs>
              <w:autoSpaceDE w:val="0"/>
              <w:autoSpaceDN w:val="0"/>
              <w:adjustRightInd w:val="0"/>
              <w:ind w:right="51"/>
              <w:rPr>
                <w:b/>
                <w:i/>
                <w:lang w:val="lv-LV"/>
              </w:rPr>
            </w:pPr>
            <w:r w:rsidRPr="00267BCC">
              <w:rPr>
                <w:b/>
                <w:i/>
                <w:lang w:val="lv-LV"/>
              </w:rPr>
              <w:t>Inovācija</w:t>
            </w:r>
          </w:p>
        </w:tc>
        <w:tc>
          <w:tcPr>
            <w:tcW w:w="3950" w:type="pct"/>
          </w:tcPr>
          <w:p w14:paraId="49640CA0" w14:textId="77777777" w:rsidR="001F08B9" w:rsidRPr="00267BCC" w:rsidRDefault="001F08B9" w:rsidP="00267BCC">
            <w:pPr>
              <w:widowControl w:val="0"/>
              <w:tabs>
                <w:tab w:val="left" w:pos="34"/>
                <w:tab w:val="left" w:pos="284"/>
              </w:tabs>
              <w:autoSpaceDE w:val="0"/>
              <w:autoSpaceDN w:val="0"/>
              <w:adjustRightInd w:val="0"/>
              <w:ind w:left="34" w:right="51"/>
              <w:jc w:val="both"/>
              <w:rPr>
                <w:b/>
                <w:i/>
                <w:lang w:val="lv-LV"/>
              </w:rPr>
            </w:pPr>
            <w:r w:rsidRPr="00267BCC">
              <w:rPr>
                <w:lang w:val="lv-LV"/>
              </w:rPr>
              <w:t xml:space="preserve">Salīdzinājumā ar jau tirgū esošajiem piedāvājumiem tiek piedāvāts jauns pakalpojums, jauns esoša pakalpojuma paveids, efektīvs tehnoloģiskais process, ražošanas paņēmiens, jauns vai uzlabots produkta pasniegšanas veids u.tml., kas palīdz uzņēmumam saglabāt un nostiprināt savu stāvokli tirgū, nodrošina konkurētspēju, pagarina tūrisma sezonu, palielina apgrozījumu, kā arī rada citas priekšrocības. </w:t>
            </w:r>
          </w:p>
        </w:tc>
      </w:tr>
      <w:tr w:rsidR="001F08B9" w:rsidRPr="00B71CEA" w14:paraId="49640CA5" w14:textId="77777777" w:rsidTr="00EA0B06">
        <w:tc>
          <w:tcPr>
            <w:tcW w:w="1050" w:type="pct"/>
          </w:tcPr>
          <w:p w14:paraId="49640CA2" w14:textId="77777777" w:rsidR="001F08B9" w:rsidRPr="00267BCC" w:rsidRDefault="001F08B9" w:rsidP="00267BCC">
            <w:pPr>
              <w:widowControl w:val="0"/>
              <w:tabs>
                <w:tab w:val="left" w:pos="284"/>
                <w:tab w:val="left" w:pos="709"/>
              </w:tabs>
              <w:autoSpaceDE w:val="0"/>
              <w:autoSpaceDN w:val="0"/>
              <w:adjustRightInd w:val="0"/>
              <w:ind w:right="51"/>
              <w:rPr>
                <w:b/>
                <w:i/>
                <w:lang w:val="lv-LV"/>
              </w:rPr>
            </w:pPr>
            <w:r w:rsidRPr="00267BCC">
              <w:rPr>
                <w:b/>
                <w:i/>
                <w:lang w:val="lv-LV"/>
              </w:rPr>
              <w:t>Eksportspēja</w:t>
            </w:r>
          </w:p>
          <w:p w14:paraId="49640CA3" w14:textId="77777777" w:rsidR="001F08B9" w:rsidRPr="00267BCC" w:rsidRDefault="001F08B9" w:rsidP="00267BCC">
            <w:pPr>
              <w:widowControl w:val="0"/>
              <w:tabs>
                <w:tab w:val="left" w:pos="34"/>
                <w:tab w:val="left" w:pos="284"/>
              </w:tabs>
              <w:autoSpaceDE w:val="0"/>
              <w:autoSpaceDN w:val="0"/>
              <w:adjustRightInd w:val="0"/>
              <w:ind w:right="51"/>
              <w:rPr>
                <w:b/>
                <w:lang w:val="lv-LV"/>
              </w:rPr>
            </w:pPr>
          </w:p>
        </w:tc>
        <w:tc>
          <w:tcPr>
            <w:tcW w:w="3950" w:type="pct"/>
          </w:tcPr>
          <w:p w14:paraId="49640CA4" w14:textId="77777777" w:rsidR="001F08B9" w:rsidRPr="00267BCC" w:rsidRDefault="001F08B9" w:rsidP="00267BCC">
            <w:pPr>
              <w:widowControl w:val="0"/>
              <w:tabs>
                <w:tab w:val="left" w:pos="284"/>
                <w:tab w:val="left" w:pos="709"/>
              </w:tabs>
              <w:autoSpaceDE w:val="0"/>
              <w:autoSpaceDN w:val="0"/>
              <w:adjustRightInd w:val="0"/>
              <w:ind w:right="51"/>
              <w:jc w:val="both"/>
              <w:rPr>
                <w:b/>
                <w:i/>
                <w:lang w:val="lv-LV"/>
              </w:rPr>
            </w:pPr>
            <w:r w:rsidRPr="00267BCC">
              <w:rPr>
                <w:lang w:val="lv-LV"/>
              </w:rPr>
              <w:t>Tūrisma objekts ir piemērots ārvalstu tūristu vajadzībām, un tā izmantošanā pastāv pēc iespējas mazāk barjeru</w:t>
            </w:r>
            <w:r w:rsidR="0091257D" w:rsidRPr="00267BCC">
              <w:rPr>
                <w:lang w:val="lv-LV"/>
              </w:rPr>
              <w:t>,</w:t>
            </w:r>
            <w:r w:rsidRPr="00267BCC">
              <w:rPr>
                <w:lang w:val="lv-LV"/>
              </w:rPr>
              <w:t xml:space="preserve"> t.sk. valodas un informācijas pieejamības barjera (informācija par produktu pieejama vairākās valodās, dažādos informācijas kanālos</w:t>
            </w:r>
            <w:r w:rsidR="0091257D" w:rsidRPr="00267BCC">
              <w:rPr>
                <w:lang w:val="lv-LV"/>
              </w:rPr>
              <w:t>,</w:t>
            </w:r>
            <w:r w:rsidRPr="00267BCC">
              <w:rPr>
                <w:lang w:val="lv-LV"/>
              </w:rPr>
              <w:t xml:space="preserve"> t.sk. interneta vidē (sava mājas lapa, sociālie tīkli u.tml.)), produkts ir piemērots attiecīgā tirgus mērķauditorijas vajadzībām. Tūr</w:t>
            </w:r>
            <w:r w:rsidR="00EA0B06" w:rsidRPr="00267BCC">
              <w:rPr>
                <w:lang w:val="lv-LV"/>
              </w:rPr>
              <w:t xml:space="preserve">isma produkts atbilst Latvijas </w:t>
            </w:r>
            <w:r w:rsidR="000B7105" w:rsidRPr="00267BCC">
              <w:rPr>
                <w:lang w:val="lv-LV"/>
              </w:rPr>
              <w:t>t</w:t>
            </w:r>
            <w:r w:rsidR="00EA0B06" w:rsidRPr="00267BCC">
              <w:rPr>
                <w:lang w:val="lv-LV"/>
              </w:rPr>
              <w:t>ūrisma mārketinga stratēģijā</w:t>
            </w:r>
            <w:r w:rsidRPr="00267BCC">
              <w:rPr>
                <w:lang w:val="lv-LV"/>
              </w:rPr>
              <w:t xml:space="preserve"> </w:t>
            </w:r>
            <w:r w:rsidR="0091257D" w:rsidRPr="00267BCC">
              <w:rPr>
                <w:lang w:val="lv-LV"/>
              </w:rPr>
              <w:t xml:space="preserve">2010.-2015.gadam </w:t>
            </w:r>
            <w:r w:rsidRPr="00267BCC">
              <w:rPr>
                <w:lang w:val="lv-LV"/>
              </w:rPr>
              <w:t>noteiktajiem mērķa tirgiem un mērķa auditorijām.</w:t>
            </w:r>
          </w:p>
        </w:tc>
      </w:tr>
      <w:tr w:rsidR="001F08B9" w:rsidRPr="00B71CEA" w14:paraId="49640CA9" w14:textId="77777777" w:rsidTr="00EA0B06">
        <w:trPr>
          <w:trHeight w:val="880"/>
        </w:trPr>
        <w:tc>
          <w:tcPr>
            <w:tcW w:w="1050" w:type="pct"/>
          </w:tcPr>
          <w:p w14:paraId="49640CA6" w14:textId="77777777" w:rsidR="001F08B9" w:rsidRPr="00267BCC" w:rsidRDefault="001F08B9" w:rsidP="00267BCC">
            <w:pPr>
              <w:widowControl w:val="0"/>
              <w:tabs>
                <w:tab w:val="left" w:pos="34"/>
                <w:tab w:val="left" w:pos="284"/>
              </w:tabs>
              <w:autoSpaceDE w:val="0"/>
              <w:autoSpaceDN w:val="0"/>
              <w:adjustRightInd w:val="0"/>
              <w:ind w:right="51"/>
              <w:rPr>
                <w:b/>
                <w:i/>
                <w:lang w:val="lv-LV"/>
              </w:rPr>
            </w:pPr>
            <w:r w:rsidRPr="00267BCC">
              <w:rPr>
                <w:b/>
                <w:i/>
                <w:lang w:val="lv-LV"/>
              </w:rPr>
              <w:lastRenderedPageBreak/>
              <w:t xml:space="preserve">Augsta pievienotā vērtība </w:t>
            </w:r>
          </w:p>
          <w:p w14:paraId="49640CA7" w14:textId="77777777" w:rsidR="001F08B9" w:rsidRPr="00267BCC" w:rsidRDefault="001F08B9" w:rsidP="00267BCC">
            <w:pPr>
              <w:widowControl w:val="0"/>
              <w:tabs>
                <w:tab w:val="left" w:pos="0"/>
                <w:tab w:val="left" w:pos="34"/>
                <w:tab w:val="left" w:pos="263"/>
              </w:tabs>
              <w:autoSpaceDE w:val="0"/>
              <w:autoSpaceDN w:val="0"/>
              <w:adjustRightInd w:val="0"/>
              <w:ind w:right="51"/>
              <w:rPr>
                <w:b/>
                <w:i/>
                <w:lang w:val="lv-LV"/>
              </w:rPr>
            </w:pPr>
          </w:p>
        </w:tc>
        <w:tc>
          <w:tcPr>
            <w:tcW w:w="3950" w:type="pct"/>
          </w:tcPr>
          <w:p w14:paraId="49640CA8" w14:textId="77777777" w:rsidR="001F08B9" w:rsidRPr="00267BCC" w:rsidRDefault="001F08B9" w:rsidP="00267BCC">
            <w:pPr>
              <w:widowControl w:val="0"/>
              <w:tabs>
                <w:tab w:val="left" w:pos="34"/>
                <w:tab w:val="left" w:pos="284"/>
              </w:tabs>
              <w:autoSpaceDE w:val="0"/>
              <w:autoSpaceDN w:val="0"/>
              <w:adjustRightInd w:val="0"/>
              <w:ind w:right="51"/>
              <w:jc w:val="both"/>
              <w:rPr>
                <w:b/>
                <w:i/>
                <w:lang w:val="lv-LV"/>
              </w:rPr>
            </w:pPr>
            <w:r w:rsidRPr="00267BCC">
              <w:rPr>
                <w:lang w:val="lv-LV"/>
              </w:rPr>
              <w:t>Vērtība, ko uzņēmums pievienojis resursiem pakalpojumu veikšanas laikā, izmantojot vietējo iedzīvotāju zināšanas un profesionalitāti, efektīvi izmantojot resursus un to potenciālu.</w:t>
            </w:r>
          </w:p>
        </w:tc>
      </w:tr>
      <w:tr w:rsidR="001F08B9" w:rsidRPr="00B71CEA" w14:paraId="49640CAC" w14:textId="77777777" w:rsidTr="00EA0B06">
        <w:tc>
          <w:tcPr>
            <w:tcW w:w="1050" w:type="pct"/>
          </w:tcPr>
          <w:p w14:paraId="49640CAA" w14:textId="77777777" w:rsidR="001F08B9" w:rsidRPr="00267BCC" w:rsidRDefault="001F08B9" w:rsidP="00267BCC">
            <w:pPr>
              <w:widowControl w:val="0"/>
              <w:tabs>
                <w:tab w:val="left" w:pos="34"/>
                <w:tab w:val="left" w:pos="284"/>
              </w:tabs>
              <w:autoSpaceDE w:val="0"/>
              <w:autoSpaceDN w:val="0"/>
              <w:adjustRightInd w:val="0"/>
              <w:ind w:right="51"/>
              <w:rPr>
                <w:b/>
                <w:i/>
                <w:lang w:val="lv-LV"/>
              </w:rPr>
            </w:pPr>
            <w:r w:rsidRPr="00267BCC">
              <w:rPr>
                <w:b/>
                <w:i/>
                <w:lang w:val="lv-LV"/>
              </w:rPr>
              <w:t>Tūristu iesaiste un pieredzes gūšana, individualizācija</w:t>
            </w:r>
          </w:p>
        </w:tc>
        <w:tc>
          <w:tcPr>
            <w:tcW w:w="3950" w:type="pct"/>
          </w:tcPr>
          <w:p w14:paraId="49640CAB" w14:textId="77777777" w:rsidR="001F08B9" w:rsidRPr="00267BCC" w:rsidRDefault="001F08B9" w:rsidP="00267BCC">
            <w:pPr>
              <w:widowControl w:val="0"/>
              <w:tabs>
                <w:tab w:val="left" w:pos="34"/>
                <w:tab w:val="left" w:pos="284"/>
              </w:tabs>
              <w:autoSpaceDE w:val="0"/>
              <w:autoSpaceDN w:val="0"/>
              <w:adjustRightInd w:val="0"/>
              <w:ind w:left="34" w:right="51"/>
              <w:jc w:val="both"/>
              <w:rPr>
                <w:lang w:val="lv-LV"/>
              </w:rPr>
            </w:pPr>
            <w:r w:rsidRPr="00267BCC">
              <w:rPr>
                <w:lang w:val="lv-LV"/>
              </w:rPr>
              <w:t>Klientiem ir paredzēta iespēja līdzdarboties, iesaistīties un piedzīvot emocijas, gūstot jaunu pieredzi un kvalitatīvi ai</w:t>
            </w:r>
            <w:r w:rsidR="00EA0B06" w:rsidRPr="00267BCC">
              <w:rPr>
                <w:lang w:val="lv-LV"/>
              </w:rPr>
              <w:t>zpildot laiku. Tūrisma objektam/</w:t>
            </w:r>
            <w:r w:rsidRPr="00267BCC">
              <w:rPr>
                <w:lang w:val="lv-LV"/>
              </w:rPr>
              <w:t>pakalpojumam jābūt izveidotām tā, lai katrs tūrists justu, ka tas veidots īpaši viņam.</w:t>
            </w:r>
          </w:p>
        </w:tc>
      </w:tr>
      <w:tr w:rsidR="001F08B9" w:rsidRPr="00B71CEA" w14:paraId="49640CAF" w14:textId="77777777" w:rsidTr="00EA0B06">
        <w:tc>
          <w:tcPr>
            <w:tcW w:w="1050" w:type="pct"/>
          </w:tcPr>
          <w:p w14:paraId="49640CAD" w14:textId="77777777" w:rsidR="001F08B9" w:rsidRPr="00267BCC" w:rsidRDefault="001F08B9" w:rsidP="00267BCC">
            <w:pPr>
              <w:widowControl w:val="0"/>
              <w:tabs>
                <w:tab w:val="left" w:pos="34"/>
                <w:tab w:val="left" w:pos="284"/>
              </w:tabs>
              <w:autoSpaceDE w:val="0"/>
              <w:autoSpaceDN w:val="0"/>
              <w:adjustRightInd w:val="0"/>
              <w:ind w:right="51"/>
              <w:rPr>
                <w:b/>
                <w:i/>
                <w:lang w:val="lv-LV"/>
              </w:rPr>
            </w:pPr>
            <w:r w:rsidRPr="00267BCC">
              <w:rPr>
                <w:b/>
                <w:i/>
                <w:lang w:val="lv-LV"/>
              </w:rPr>
              <w:t>Sadarbība konkurences apstākļos</w:t>
            </w:r>
          </w:p>
        </w:tc>
        <w:tc>
          <w:tcPr>
            <w:tcW w:w="3950" w:type="pct"/>
          </w:tcPr>
          <w:p w14:paraId="49640CAE" w14:textId="77777777" w:rsidR="001F08B9" w:rsidRPr="00267BCC" w:rsidRDefault="001F08B9" w:rsidP="00267BCC">
            <w:pPr>
              <w:widowControl w:val="0"/>
              <w:tabs>
                <w:tab w:val="left" w:pos="34"/>
                <w:tab w:val="left" w:pos="284"/>
              </w:tabs>
              <w:autoSpaceDE w:val="0"/>
              <w:autoSpaceDN w:val="0"/>
              <w:adjustRightInd w:val="0"/>
              <w:ind w:left="34" w:right="51"/>
              <w:jc w:val="both"/>
              <w:rPr>
                <w:lang w:val="lv-LV"/>
              </w:rPr>
            </w:pPr>
            <w:r w:rsidRPr="00267BCC">
              <w:rPr>
                <w:lang w:val="lv-LV"/>
              </w:rPr>
              <w:t xml:space="preserve">Tīklveida stratēģijas, kas vērstas uz pudurošanos, klastera iniciatīvu attīstīšanu. Precīzu konkurences izpratni un spēju rast sadarbību konkurences apstākļos vienotu mērķu efektīvākai sasniegšanai. Kāpinot kopīgo un visa galamērķa konkurētspēju, </w:t>
            </w:r>
            <w:r w:rsidR="0091257D" w:rsidRPr="00267BCC">
              <w:rPr>
                <w:lang w:val="lv-LV"/>
              </w:rPr>
              <w:t>pastāv</w:t>
            </w:r>
            <w:r w:rsidRPr="00267BCC">
              <w:rPr>
                <w:lang w:val="lv-LV"/>
              </w:rPr>
              <w:t xml:space="preserve"> iespēja attīstīt savas individuālās stratēģijas un īstenot precīzāku pozicionējumu.</w:t>
            </w:r>
          </w:p>
        </w:tc>
      </w:tr>
    </w:tbl>
    <w:p w14:paraId="49640CB0" w14:textId="77777777" w:rsidR="001F08B9" w:rsidRPr="00267BCC" w:rsidRDefault="001F08B9" w:rsidP="00267BCC">
      <w:pPr>
        <w:ind w:firstLine="720"/>
        <w:jc w:val="both"/>
        <w:rPr>
          <w:lang w:val="lv-LV"/>
        </w:rPr>
      </w:pPr>
    </w:p>
    <w:p w14:paraId="49640CB1" w14:textId="77777777" w:rsidR="001F08B9" w:rsidRPr="00267BCC" w:rsidRDefault="001F08B9" w:rsidP="00267BCC">
      <w:pPr>
        <w:ind w:firstLine="720"/>
        <w:jc w:val="both"/>
        <w:rPr>
          <w:lang w:val="lv-LV"/>
        </w:rPr>
      </w:pPr>
      <w:r w:rsidRPr="00267BCC">
        <w:rPr>
          <w:lang w:val="lv-LV"/>
        </w:rPr>
        <w:t>Lai nodrošinātu pilnvērtīgu tūrisma piedāvājuma izmantošanu, nepieciešams īstenot pas</w:t>
      </w:r>
      <w:r w:rsidR="0091257D" w:rsidRPr="00267BCC">
        <w:rPr>
          <w:lang w:val="lv-LV"/>
        </w:rPr>
        <w:t>ākumus Latvijas kā starptautiska</w:t>
      </w:r>
      <w:r w:rsidRPr="00267BCC">
        <w:rPr>
          <w:lang w:val="lv-LV"/>
        </w:rPr>
        <w:t xml:space="preserve"> tūrisma galamērķa atpazīstamības veicināšanai prioritārajos tūrisma tirgos, stratēģiski virzot tādus tūrisma pakalpojumus, kas mazina sezonalitāti un palielina vairākdienu ceļotāju skaitu.</w:t>
      </w:r>
    </w:p>
    <w:p w14:paraId="49640CB2" w14:textId="77777777" w:rsidR="001F08B9" w:rsidRPr="00267BCC" w:rsidRDefault="001F08B9" w:rsidP="00267BCC">
      <w:pPr>
        <w:autoSpaceDE w:val="0"/>
        <w:autoSpaceDN w:val="0"/>
        <w:adjustRightInd w:val="0"/>
        <w:ind w:firstLine="720"/>
        <w:jc w:val="both"/>
        <w:rPr>
          <w:lang w:val="lv-LV"/>
        </w:rPr>
      </w:pPr>
      <w:r w:rsidRPr="00267BCC">
        <w:rPr>
          <w:lang w:val="lv-LV"/>
        </w:rPr>
        <w:t xml:space="preserve">Sezonalitātes negatīvās ietekmes mazināšana pamatā saistīta ar trīs galvenajiem virzieniem: </w:t>
      </w:r>
    </w:p>
    <w:p w14:paraId="49640CB3" w14:textId="77777777" w:rsidR="001F08B9" w:rsidRPr="00267BCC" w:rsidRDefault="001F08B9" w:rsidP="00267BCC">
      <w:pPr>
        <w:pStyle w:val="ListParagraph"/>
        <w:numPr>
          <w:ilvl w:val="0"/>
          <w:numId w:val="21"/>
        </w:numPr>
        <w:autoSpaceDE w:val="0"/>
        <w:autoSpaceDN w:val="0"/>
        <w:adjustRightInd w:val="0"/>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specifiskā sezonā pieprasītu un precīzi fokusētu nišas produktu attīstīšana (ziemas piedzīvojumu tūrisma piedāvājums, laivu braukšana </w:t>
      </w:r>
      <w:r w:rsidR="0091257D" w:rsidRPr="00267BCC">
        <w:rPr>
          <w:rFonts w:ascii="Times New Roman" w:hAnsi="Times New Roman"/>
          <w:sz w:val="24"/>
          <w:szCs w:val="24"/>
          <w:lang w:val="lv-LV"/>
        </w:rPr>
        <w:t>pavasara palu laikā</w:t>
      </w:r>
      <w:r w:rsidRPr="00267BCC">
        <w:rPr>
          <w:rFonts w:ascii="Times New Roman" w:hAnsi="Times New Roman"/>
          <w:sz w:val="24"/>
          <w:szCs w:val="24"/>
          <w:lang w:val="lv-LV"/>
        </w:rPr>
        <w:t xml:space="preserve">, putnu </w:t>
      </w:r>
      <w:r w:rsidR="0091257D" w:rsidRPr="00267BCC">
        <w:rPr>
          <w:rFonts w:ascii="Times New Roman" w:hAnsi="Times New Roman"/>
          <w:sz w:val="24"/>
          <w:szCs w:val="24"/>
          <w:lang w:val="lv-LV"/>
        </w:rPr>
        <w:t xml:space="preserve">migrācijas </w:t>
      </w:r>
      <w:r w:rsidRPr="00267BCC">
        <w:rPr>
          <w:rFonts w:ascii="Times New Roman" w:hAnsi="Times New Roman"/>
          <w:sz w:val="24"/>
          <w:szCs w:val="24"/>
          <w:lang w:val="lv-LV"/>
        </w:rPr>
        <w:t xml:space="preserve">vērošana pavasara un rudens </w:t>
      </w:r>
      <w:r w:rsidR="0091257D" w:rsidRPr="00267BCC">
        <w:rPr>
          <w:rFonts w:ascii="Times New Roman" w:hAnsi="Times New Roman"/>
          <w:sz w:val="24"/>
          <w:szCs w:val="24"/>
          <w:lang w:val="lv-LV"/>
        </w:rPr>
        <w:t>sezonā</w:t>
      </w:r>
      <w:r w:rsidRPr="00267BCC">
        <w:rPr>
          <w:rFonts w:ascii="Times New Roman" w:hAnsi="Times New Roman"/>
          <w:sz w:val="24"/>
          <w:szCs w:val="24"/>
          <w:lang w:val="lv-LV"/>
        </w:rPr>
        <w:t xml:space="preserve"> u.c.). Latvijā no tūrisma komerciālā viedokļa nav izteiktu četru sezonu tūrisma piedāvājuma</w:t>
      </w:r>
      <w:r w:rsidR="00AD2798" w:rsidRPr="00267BCC">
        <w:rPr>
          <w:rFonts w:ascii="Times New Roman" w:hAnsi="Times New Roman"/>
          <w:sz w:val="24"/>
          <w:szCs w:val="24"/>
          <w:lang w:val="lv-LV"/>
        </w:rPr>
        <w:t xml:space="preserve"> (ar vairākiem izņēmumiem) </w:t>
      </w:r>
      <w:r w:rsidRPr="00267BCC">
        <w:rPr>
          <w:rFonts w:ascii="Times New Roman" w:hAnsi="Times New Roman"/>
          <w:sz w:val="24"/>
          <w:szCs w:val="24"/>
          <w:lang w:val="lv-LV"/>
        </w:rPr>
        <w:t>– tādi pamatā tomēr ir divi – garākā pavasara-vasaras-r</w:t>
      </w:r>
      <w:r w:rsidR="00AD2798" w:rsidRPr="00267BCC">
        <w:rPr>
          <w:rFonts w:ascii="Times New Roman" w:hAnsi="Times New Roman"/>
          <w:sz w:val="24"/>
          <w:szCs w:val="24"/>
          <w:lang w:val="lv-LV"/>
        </w:rPr>
        <w:t>udens sezona un ziemas sezona</w:t>
      </w:r>
      <w:r w:rsidRPr="00267BCC">
        <w:rPr>
          <w:rFonts w:ascii="Times New Roman" w:hAnsi="Times New Roman"/>
          <w:sz w:val="24"/>
          <w:szCs w:val="24"/>
          <w:lang w:val="lv-LV"/>
        </w:rPr>
        <w:t>;</w:t>
      </w:r>
    </w:p>
    <w:p w14:paraId="49640CB4" w14:textId="77777777" w:rsidR="001F08B9" w:rsidRPr="00267BCC" w:rsidRDefault="001F08B9" w:rsidP="00267BCC">
      <w:pPr>
        <w:pStyle w:val="ListParagraph"/>
        <w:numPr>
          <w:ilvl w:val="0"/>
          <w:numId w:val="21"/>
        </w:numPr>
        <w:autoSpaceDE w:val="0"/>
        <w:autoSpaceDN w:val="0"/>
        <w:adjustRightInd w:val="0"/>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pasākumu organizēšana, kas mērķtiecīgi tiek sasaistīta ar aktuālo laiku ārpus galvenās tūrisma sezonas (starptautiska mēroga – sporta, kultūras u.c.);</w:t>
      </w:r>
    </w:p>
    <w:p w14:paraId="49640CB5" w14:textId="77777777" w:rsidR="00EA0B06" w:rsidRPr="00267BCC" w:rsidRDefault="001F08B9" w:rsidP="00267BCC">
      <w:pPr>
        <w:pStyle w:val="ListParagraph"/>
        <w:numPr>
          <w:ilvl w:val="0"/>
          <w:numId w:val="21"/>
        </w:numPr>
        <w:autoSpaceDE w:val="0"/>
        <w:autoSpaceDN w:val="0"/>
        <w:adjustRightInd w:val="0"/>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reģionālajā tūrismā ārpus galvenās sezonas būtiska nozīme ir vietējam tūrismam (atšķirībā no galvaspilsētas, kur</w:t>
      </w:r>
      <w:r w:rsidR="00EA0B06" w:rsidRPr="00267BCC">
        <w:rPr>
          <w:rFonts w:ascii="Times New Roman" w:hAnsi="Times New Roman"/>
          <w:sz w:val="24"/>
          <w:szCs w:val="24"/>
          <w:lang w:val="lv-LV"/>
        </w:rPr>
        <w:t xml:space="preserve"> alternatīva ir MICE pasākumi).</w:t>
      </w:r>
    </w:p>
    <w:p w14:paraId="49640CB6" w14:textId="77777777" w:rsidR="00EA0B06" w:rsidRPr="00267BCC" w:rsidRDefault="00EA0B06" w:rsidP="00267BCC">
      <w:pPr>
        <w:autoSpaceDE w:val="0"/>
        <w:autoSpaceDN w:val="0"/>
        <w:adjustRightInd w:val="0"/>
        <w:jc w:val="both"/>
        <w:rPr>
          <w:b/>
          <w:lang w:val="lv-LV"/>
        </w:rPr>
      </w:pPr>
    </w:p>
    <w:p w14:paraId="49640CB7" w14:textId="77777777" w:rsidR="001F08B9" w:rsidRPr="00267BCC" w:rsidRDefault="001F08B9" w:rsidP="00267BCC">
      <w:pPr>
        <w:autoSpaceDE w:val="0"/>
        <w:autoSpaceDN w:val="0"/>
        <w:adjustRightInd w:val="0"/>
        <w:ind w:firstLine="720"/>
        <w:jc w:val="both"/>
        <w:rPr>
          <w:lang w:val="lv-LV"/>
        </w:rPr>
      </w:pPr>
      <w:r w:rsidRPr="00267BCC">
        <w:rPr>
          <w:b/>
          <w:lang w:val="lv-LV"/>
        </w:rPr>
        <w:t>Tūrisma eksporta attīstības veicināšanā jāņem vērā šādi aspekti:</w:t>
      </w:r>
    </w:p>
    <w:p w14:paraId="49640CB8" w14:textId="77777777" w:rsidR="001F08B9" w:rsidRPr="00267BCC" w:rsidRDefault="001F08B9" w:rsidP="00267BCC">
      <w:pPr>
        <w:pStyle w:val="ListParagraph"/>
        <w:numPr>
          <w:ilvl w:val="0"/>
          <w:numId w:val="20"/>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Baltijas jūras reģiona un Baltijas </w:t>
      </w:r>
      <w:r w:rsidR="00EA0B06" w:rsidRPr="00267BCC">
        <w:rPr>
          <w:rFonts w:ascii="Times New Roman" w:hAnsi="Times New Roman"/>
          <w:sz w:val="24"/>
          <w:szCs w:val="24"/>
          <w:lang w:val="lv-LV"/>
        </w:rPr>
        <w:t>mērogs ar Latvijas pozicionējumu</w:t>
      </w:r>
      <w:r w:rsidRPr="00267BCC">
        <w:rPr>
          <w:rFonts w:ascii="Times New Roman" w:hAnsi="Times New Roman"/>
          <w:sz w:val="24"/>
          <w:szCs w:val="24"/>
          <w:lang w:val="lv-LV"/>
        </w:rPr>
        <w:t>;</w:t>
      </w:r>
    </w:p>
    <w:p w14:paraId="49640CB9" w14:textId="77777777" w:rsidR="001F08B9" w:rsidRPr="00267BCC" w:rsidRDefault="0091257D" w:rsidP="00267BCC">
      <w:pPr>
        <w:pStyle w:val="ListParagraph"/>
        <w:numPr>
          <w:ilvl w:val="0"/>
          <w:numId w:val="20"/>
        </w:numPr>
        <w:spacing w:line="240" w:lineRule="auto"/>
        <w:contextualSpacing w:val="0"/>
        <w:jc w:val="both"/>
        <w:rPr>
          <w:rFonts w:ascii="Times New Roman" w:hAnsi="Times New Roman"/>
          <w:sz w:val="24"/>
          <w:szCs w:val="24"/>
          <w:lang w:val="lv-LV"/>
        </w:rPr>
      </w:pPr>
      <w:r w:rsidRPr="00267BCC">
        <w:rPr>
          <w:rFonts w:ascii="Times New Roman" w:hAnsi="Times New Roman"/>
          <w:i/>
          <w:sz w:val="24"/>
          <w:szCs w:val="24"/>
          <w:lang w:val="lv-LV"/>
        </w:rPr>
        <w:t xml:space="preserve">„Latvia. </w:t>
      </w:r>
      <w:r w:rsidR="001F08B9" w:rsidRPr="00267BCC">
        <w:rPr>
          <w:rFonts w:ascii="Times New Roman" w:hAnsi="Times New Roman"/>
          <w:i/>
          <w:sz w:val="24"/>
          <w:szCs w:val="24"/>
          <w:lang w:val="lv-LV"/>
        </w:rPr>
        <w:t>Best enjoy</w:t>
      </w:r>
      <w:r w:rsidR="00303D60" w:rsidRPr="00267BCC">
        <w:rPr>
          <w:rFonts w:ascii="Times New Roman" w:hAnsi="Times New Roman"/>
          <w:i/>
          <w:sz w:val="24"/>
          <w:szCs w:val="24"/>
          <w:lang w:val="lv-LV"/>
        </w:rPr>
        <w:t>ed</w:t>
      </w:r>
      <w:r w:rsidR="001F08B9" w:rsidRPr="00267BCC">
        <w:rPr>
          <w:rFonts w:ascii="Times New Roman" w:hAnsi="Times New Roman"/>
          <w:i/>
          <w:sz w:val="24"/>
          <w:szCs w:val="24"/>
          <w:lang w:val="lv-LV"/>
        </w:rPr>
        <w:t xml:space="preserve"> slowly</w:t>
      </w:r>
      <w:r w:rsidRPr="00267BCC">
        <w:rPr>
          <w:rFonts w:ascii="Times New Roman" w:hAnsi="Times New Roman"/>
          <w:i/>
          <w:sz w:val="24"/>
          <w:szCs w:val="24"/>
          <w:lang w:val="lv-LV"/>
        </w:rPr>
        <w:t>”</w:t>
      </w:r>
      <w:r w:rsidR="001F08B9" w:rsidRPr="00267BCC">
        <w:rPr>
          <w:rFonts w:ascii="Times New Roman" w:hAnsi="Times New Roman"/>
          <w:sz w:val="24"/>
          <w:szCs w:val="24"/>
          <w:lang w:val="lv-LV"/>
        </w:rPr>
        <w:t xml:space="preserve"> un LIVE RIGA zī</w:t>
      </w:r>
      <w:r w:rsidRPr="00267BCC">
        <w:rPr>
          <w:rFonts w:ascii="Times New Roman" w:hAnsi="Times New Roman"/>
          <w:sz w:val="24"/>
          <w:szCs w:val="24"/>
          <w:lang w:val="lv-LV"/>
        </w:rPr>
        <w:t>molu kā divu galveno komunikācijas platformu līdzās pastāvēšana</w:t>
      </w:r>
      <w:r w:rsidR="001F08B9" w:rsidRPr="00267BCC">
        <w:rPr>
          <w:rFonts w:ascii="Times New Roman" w:hAnsi="Times New Roman"/>
          <w:sz w:val="24"/>
          <w:szCs w:val="24"/>
          <w:lang w:val="lv-LV"/>
        </w:rPr>
        <w:t>;</w:t>
      </w:r>
    </w:p>
    <w:p w14:paraId="49640CBA" w14:textId="77777777" w:rsidR="001F08B9" w:rsidRPr="005C766A" w:rsidRDefault="0091257D" w:rsidP="00267BCC">
      <w:pPr>
        <w:pStyle w:val="ListParagraph"/>
        <w:numPr>
          <w:ilvl w:val="0"/>
          <w:numId w:val="20"/>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eksportspējīgākajiem</w:t>
      </w:r>
      <w:r w:rsidR="001F08B9" w:rsidRPr="00267BCC">
        <w:rPr>
          <w:rFonts w:ascii="Times New Roman" w:hAnsi="Times New Roman"/>
          <w:sz w:val="24"/>
          <w:szCs w:val="24"/>
          <w:lang w:val="lv-LV"/>
        </w:rPr>
        <w:t xml:space="preserve"> galamērķi</w:t>
      </w:r>
      <w:r w:rsidRPr="00267BCC">
        <w:rPr>
          <w:rFonts w:ascii="Times New Roman" w:hAnsi="Times New Roman"/>
          <w:sz w:val="24"/>
          <w:szCs w:val="24"/>
          <w:lang w:val="lv-LV"/>
        </w:rPr>
        <w:t>em, kuros</w:t>
      </w:r>
      <w:r w:rsidR="001F08B9" w:rsidRPr="00267BCC">
        <w:rPr>
          <w:rFonts w:ascii="Times New Roman" w:hAnsi="Times New Roman"/>
          <w:sz w:val="24"/>
          <w:szCs w:val="24"/>
          <w:lang w:val="lv-LV"/>
        </w:rPr>
        <w:t xml:space="preserve"> ir liela nozares resursu koncentrācija, raksturīgs augsts eksporta pieprasījums un potenc</w:t>
      </w:r>
      <w:r w:rsidRPr="00267BCC">
        <w:rPr>
          <w:rFonts w:ascii="Times New Roman" w:hAnsi="Times New Roman"/>
          <w:sz w:val="24"/>
          <w:szCs w:val="24"/>
          <w:lang w:val="lv-LV"/>
        </w:rPr>
        <w:t xml:space="preserve">iāls noteiktai specializācijai. Tāpat arī </w:t>
      </w:r>
      <w:r w:rsidR="001F08B9" w:rsidRPr="00267BCC">
        <w:rPr>
          <w:rFonts w:ascii="Times New Roman" w:hAnsi="Times New Roman"/>
          <w:sz w:val="24"/>
          <w:szCs w:val="24"/>
          <w:lang w:val="lv-LV"/>
        </w:rPr>
        <w:t>pastāv inovāciju attīstības potenciāls – iespējas attīstīt klasteru stratēģijas</w:t>
      </w:r>
      <w:r w:rsidR="00EA0B06" w:rsidRPr="00267BCC">
        <w:rPr>
          <w:rFonts w:ascii="Times New Roman" w:hAnsi="Times New Roman"/>
          <w:sz w:val="24"/>
          <w:szCs w:val="24"/>
          <w:lang w:val="lv-LV"/>
        </w:rPr>
        <w:t>. Šeit minamas</w:t>
      </w:r>
      <w:r w:rsidR="001F08B9" w:rsidRPr="00267BCC">
        <w:rPr>
          <w:rFonts w:ascii="Times New Roman" w:hAnsi="Times New Roman"/>
          <w:sz w:val="24"/>
          <w:szCs w:val="24"/>
          <w:lang w:val="lv-LV"/>
        </w:rPr>
        <w:t xml:space="preserve"> arī esošo </w:t>
      </w:r>
      <w:r w:rsidR="00AD2798" w:rsidRPr="005C766A">
        <w:rPr>
          <w:rFonts w:ascii="Times New Roman" w:hAnsi="Times New Roman"/>
          <w:sz w:val="24"/>
          <w:szCs w:val="24"/>
          <w:lang w:val="lv-LV"/>
        </w:rPr>
        <w:t xml:space="preserve">tūrisma </w:t>
      </w:r>
      <w:r w:rsidR="001F08B9" w:rsidRPr="005C766A">
        <w:rPr>
          <w:rFonts w:ascii="Times New Roman" w:hAnsi="Times New Roman"/>
          <w:sz w:val="24"/>
          <w:szCs w:val="24"/>
          <w:lang w:val="lv-LV"/>
        </w:rPr>
        <w:t xml:space="preserve">reģionālo asociāciju iniciatīvas eksporta tirgos, taču </w:t>
      </w:r>
      <w:r w:rsidRPr="005C766A">
        <w:rPr>
          <w:rFonts w:ascii="Times New Roman" w:hAnsi="Times New Roman"/>
          <w:sz w:val="24"/>
          <w:szCs w:val="24"/>
          <w:lang w:val="lv-LV"/>
        </w:rPr>
        <w:t xml:space="preserve">tām jābūt daudz diferencētākām un vairāk </w:t>
      </w:r>
      <w:r w:rsidR="001F08B9" w:rsidRPr="005C766A">
        <w:rPr>
          <w:rFonts w:ascii="Times New Roman" w:hAnsi="Times New Roman"/>
          <w:sz w:val="24"/>
          <w:szCs w:val="24"/>
          <w:lang w:val="lv-LV"/>
        </w:rPr>
        <w:t xml:space="preserve">pielāgotām </w:t>
      </w:r>
      <w:r w:rsidR="00AD2798" w:rsidRPr="005C766A">
        <w:rPr>
          <w:rFonts w:ascii="Times New Roman" w:hAnsi="Times New Roman"/>
          <w:sz w:val="24"/>
          <w:szCs w:val="24"/>
          <w:lang w:val="lv-LV"/>
        </w:rPr>
        <w:t>attiecīgā reģiona specifi</w:t>
      </w:r>
      <w:r w:rsidR="001F08B9" w:rsidRPr="005C766A">
        <w:rPr>
          <w:rFonts w:ascii="Times New Roman" w:hAnsi="Times New Roman"/>
          <w:sz w:val="24"/>
          <w:szCs w:val="24"/>
          <w:lang w:val="lv-LV"/>
        </w:rPr>
        <w:t>kai;</w:t>
      </w:r>
    </w:p>
    <w:p w14:paraId="49640CBB" w14:textId="77777777" w:rsidR="001F08B9" w:rsidRPr="00267BCC" w:rsidRDefault="001F08B9" w:rsidP="00267BCC">
      <w:pPr>
        <w:pStyle w:val="ListParagraph"/>
        <w:numPr>
          <w:ilvl w:val="0"/>
          <w:numId w:val="20"/>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pastāv mazāk pieprasīti </w:t>
      </w:r>
      <w:r w:rsidR="005C08CF" w:rsidRPr="005C766A">
        <w:rPr>
          <w:rFonts w:ascii="Times New Roman" w:hAnsi="Times New Roman"/>
          <w:sz w:val="24"/>
          <w:szCs w:val="24"/>
          <w:lang w:val="lv-LV"/>
        </w:rPr>
        <w:t>galamērķi</w:t>
      </w:r>
      <w:r w:rsidRPr="005C766A">
        <w:rPr>
          <w:rFonts w:ascii="Times New Roman" w:hAnsi="Times New Roman"/>
          <w:sz w:val="24"/>
          <w:szCs w:val="24"/>
          <w:lang w:val="lv-LV"/>
        </w:rPr>
        <w:t xml:space="preserve"> plašākiem</w:t>
      </w:r>
      <w:r w:rsidRPr="00267BCC">
        <w:rPr>
          <w:rFonts w:ascii="Times New Roman" w:hAnsi="Times New Roman"/>
          <w:sz w:val="24"/>
          <w:szCs w:val="24"/>
          <w:lang w:val="lv-LV"/>
        </w:rPr>
        <w:t xml:space="preserve"> eksporta tirgiem, taču ar augstāku eksporta potenciālu tuvāko kaimiņvalstu tirgū;</w:t>
      </w:r>
    </w:p>
    <w:p w14:paraId="49640CBC" w14:textId="77777777" w:rsidR="001F08B9" w:rsidRPr="00267BCC" w:rsidRDefault="001F08B9" w:rsidP="00267BCC">
      <w:pPr>
        <w:pStyle w:val="ListParagraph"/>
        <w:numPr>
          <w:ilvl w:val="0"/>
          <w:numId w:val="20"/>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pastāv atsevišķas nelielas tūrisma koncentrācijas zonas ar izteiktu nišas stratēģiju vai augstu pieprasījumu noteiktā sezonā – pastāv iespēja attīstīt mikro-klastera stratēģijas (puduru principu) plašākai savstarpējai piedāvājuma papildināšanai, sadarbības tīklojuma stratēģiskai stiprināšanai;</w:t>
      </w:r>
    </w:p>
    <w:p w14:paraId="49640CBD" w14:textId="77777777" w:rsidR="003F2144" w:rsidRPr="00267BCC" w:rsidRDefault="001F08B9" w:rsidP="00267BCC">
      <w:pPr>
        <w:pStyle w:val="ListParagraph"/>
        <w:numPr>
          <w:ilvl w:val="0"/>
          <w:numId w:val="20"/>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komersantu līmenī nav reglamentācijas attiecībā uz individuālām mārketinga stratēģijām un taktiku, taču būtisks ir kopējais tūrisma sistēmas konteksts un uzņēmuma pakalpojumu atrašanās kopējā tūrisma plūsmā</w:t>
      </w:r>
      <w:r w:rsidR="00EA0B06" w:rsidRPr="00267BCC">
        <w:rPr>
          <w:rFonts w:ascii="Times New Roman" w:hAnsi="Times New Roman"/>
          <w:sz w:val="24"/>
          <w:szCs w:val="24"/>
          <w:lang w:val="lv-LV"/>
        </w:rPr>
        <w:t xml:space="preserve"> – galamērķu līmenī. (skatīt </w:t>
      </w:r>
      <w:r w:rsidR="00A4090F" w:rsidRPr="00267BCC">
        <w:rPr>
          <w:rFonts w:ascii="Times New Roman" w:hAnsi="Times New Roman"/>
          <w:sz w:val="24"/>
          <w:szCs w:val="24"/>
          <w:lang w:val="lv-LV"/>
        </w:rPr>
        <w:t>11</w:t>
      </w:r>
      <w:r w:rsidR="00EA0B06" w:rsidRPr="00267BCC">
        <w:rPr>
          <w:rFonts w:ascii="Times New Roman" w:hAnsi="Times New Roman"/>
          <w:sz w:val="24"/>
          <w:szCs w:val="24"/>
          <w:lang w:val="lv-LV"/>
        </w:rPr>
        <w:t>.</w:t>
      </w:r>
      <w:r w:rsidRPr="00267BCC">
        <w:rPr>
          <w:rFonts w:ascii="Times New Roman" w:hAnsi="Times New Roman"/>
          <w:sz w:val="24"/>
          <w:szCs w:val="24"/>
          <w:lang w:val="lv-LV"/>
        </w:rPr>
        <w:t>attēlu</w:t>
      </w:r>
      <w:r w:rsidR="00595D0D" w:rsidRPr="00267BCC">
        <w:rPr>
          <w:rFonts w:ascii="Times New Roman" w:hAnsi="Times New Roman"/>
          <w:sz w:val="24"/>
          <w:szCs w:val="24"/>
          <w:lang w:val="lv-LV"/>
        </w:rPr>
        <w:t xml:space="preserve"> Mārketinga mēroga nozīme</w:t>
      </w:r>
      <w:r w:rsidRPr="00267BCC">
        <w:rPr>
          <w:rFonts w:ascii="Times New Roman" w:hAnsi="Times New Roman"/>
          <w:sz w:val="24"/>
          <w:szCs w:val="24"/>
          <w:lang w:val="lv-LV"/>
        </w:rPr>
        <w:t>)</w:t>
      </w:r>
      <w:r w:rsidR="00CE7943" w:rsidRPr="00267BCC">
        <w:rPr>
          <w:rFonts w:ascii="Times New Roman" w:hAnsi="Times New Roman"/>
          <w:sz w:val="24"/>
          <w:szCs w:val="24"/>
          <w:lang w:val="lv-LV"/>
        </w:rPr>
        <w:t>.</w:t>
      </w:r>
    </w:p>
    <w:p w14:paraId="49640CBE" w14:textId="77777777" w:rsidR="00CE7943" w:rsidRPr="00267BCC" w:rsidRDefault="00CE7943" w:rsidP="00267BCC">
      <w:pPr>
        <w:pStyle w:val="ListParagraph"/>
        <w:spacing w:line="240" w:lineRule="auto"/>
        <w:contextualSpacing w:val="0"/>
        <w:jc w:val="both"/>
        <w:rPr>
          <w:rFonts w:ascii="Times New Roman" w:hAnsi="Times New Roman"/>
          <w:sz w:val="24"/>
          <w:szCs w:val="24"/>
          <w:lang w:val="lv-LV"/>
        </w:rPr>
      </w:pPr>
    </w:p>
    <w:p w14:paraId="49640CBF" w14:textId="77777777" w:rsidR="00FF550B" w:rsidRPr="00267BCC" w:rsidRDefault="00FF550B" w:rsidP="00267BCC">
      <w:pPr>
        <w:pStyle w:val="ListParagraph"/>
        <w:spacing w:line="240" w:lineRule="auto"/>
        <w:contextualSpacing w:val="0"/>
        <w:jc w:val="both"/>
        <w:rPr>
          <w:rFonts w:ascii="Times New Roman" w:hAnsi="Times New Roman"/>
          <w:sz w:val="24"/>
          <w:szCs w:val="24"/>
          <w:lang w:val="lv-LV"/>
        </w:rPr>
      </w:pPr>
    </w:p>
    <w:p w14:paraId="49640CC0" w14:textId="77777777" w:rsidR="001F08B9" w:rsidRPr="00267BCC" w:rsidRDefault="00795943" w:rsidP="00267BCC">
      <w:pPr>
        <w:pStyle w:val="ListParagraph"/>
        <w:spacing w:line="240" w:lineRule="auto"/>
        <w:contextualSpacing w:val="0"/>
        <w:jc w:val="right"/>
        <w:rPr>
          <w:rFonts w:ascii="Times New Roman" w:hAnsi="Times New Roman"/>
          <w:sz w:val="24"/>
          <w:szCs w:val="24"/>
          <w:lang w:val="lv-LV"/>
        </w:rPr>
      </w:pPr>
      <w:r w:rsidRPr="00267BCC">
        <w:rPr>
          <w:rFonts w:ascii="Times New Roman" w:hAnsi="Times New Roman"/>
          <w:sz w:val="24"/>
          <w:szCs w:val="24"/>
          <w:lang w:val="lv-LV"/>
        </w:rPr>
        <w:lastRenderedPageBreak/>
        <w:t>11</w:t>
      </w:r>
      <w:r w:rsidR="001F08B9" w:rsidRPr="00267BCC">
        <w:rPr>
          <w:rFonts w:ascii="Times New Roman" w:hAnsi="Times New Roman"/>
          <w:sz w:val="24"/>
          <w:szCs w:val="24"/>
          <w:lang w:val="lv-LV"/>
        </w:rPr>
        <w:t>.attēls</w:t>
      </w:r>
    </w:p>
    <w:p w14:paraId="49640CC1" w14:textId="77777777" w:rsidR="001F08B9" w:rsidRPr="00267BCC" w:rsidRDefault="00595D0D" w:rsidP="00267BCC">
      <w:pPr>
        <w:jc w:val="center"/>
        <w:rPr>
          <w:lang w:val="lv-LV"/>
        </w:rPr>
      </w:pPr>
      <w:r w:rsidRPr="00267BCC">
        <w:rPr>
          <w:noProof/>
          <w:lang w:val="lv-LV"/>
        </w:rPr>
        <w:drawing>
          <wp:inline distT="0" distB="0" distL="0" distR="0" wp14:anchorId="49640ED4" wp14:editId="49640ED5">
            <wp:extent cx="5029200" cy="3819525"/>
            <wp:effectExtent l="0" t="0" r="0" b="9525"/>
            <wp:docPr id="14" name="Picture 14" descr="C:\Documents and Settings\PankovaM\Desktop\te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nkovaM\Desktop\tels.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819525"/>
                    </a:xfrm>
                    <a:prstGeom prst="rect">
                      <a:avLst/>
                    </a:prstGeom>
                    <a:noFill/>
                    <a:ln>
                      <a:noFill/>
                    </a:ln>
                  </pic:spPr>
                </pic:pic>
              </a:graphicData>
            </a:graphic>
          </wp:inline>
        </w:drawing>
      </w:r>
    </w:p>
    <w:p w14:paraId="49640CC2" w14:textId="77777777" w:rsidR="00F7591A" w:rsidRPr="00267BCC" w:rsidRDefault="00F7591A" w:rsidP="00267BCC">
      <w:pPr>
        <w:ind w:firstLine="720"/>
        <w:jc w:val="both"/>
        <w:rPr>
          <w:lang w:val="lv-LV"/>
        </w:rPr>
      </w:pPr>
      <w:r w:rsidRPr="00267BCC">
        <w:rPr>
          <w:lang w:val="lv-LV"/>
        </w:rPr>
        <w:t>Latvijas tūrisma zīmolam jākalpo par vienojošu ideju un kopīgu elementu publiskā un privātā sektora mārketinga un tūrisma produktu veidošanas aktivitātēs, lai sekmētu saskaņotu Latvijas komunikāciju ārvalstīs.</w:t>
      </w:r>
    </w:p>
    <w:p w14:paraId="49640CC3" w14:textId="77777777" w:rsidR="001F08B9" w:rsidRPr="00267BCC" w:rsidRDefault="001F08B9" w:rsidP="00267BCC">
      <w:pPr>
        <w:ind w:firstLine="720"/>
        <w:jc w:val="both"/>
        <w:rPr>
          <w:rFonts w:eastAsia="Calibri"/>
          <w:lang w:val="lv-LV"/>
        </w:rPr>
      </w:pPr>
      <w:r w:rsidRPr="00267BCC">
        <w:rPr>
          <w:lang w:val="lv-LV"/>
        </w:rPr>
        <w:t>Tūri</w:t>
      </w:r>
      <w:r w:rsidR="00FC5EC8" w:rsidRPr="00267BCC">
        <w:rPr>
          <w:lang w:val="lv-LV"/>
        </w:rPr>
        <w:t>smu tā starpnozaru rakstura dēļ</w:t>
      </w:r>
      <w:r w:rsidRPr="00267BCC">
        <w:rPr>
          <w:lang w:val="lv-LV"/>
        </w:rPr>
        <w:t xml:space="preserve"> būtiski ietekmē citas nozares, līdz ar to </w:t>
      </w:r>
      <w:r w:rsidR="0091257D" w:rsidRPr="00267BCC">
        <w:rPr>
          <w:lang w:val="lv-LV"/>
        </w:rPr>
        <w:t xml:space="preserve">tā </w:t>
      </w:r>
      <w:r w:rsidRPr="00267BCC">
        <w:rPr>
          <w:lang w:val="lv-LV"/>
        </w:rPr>
        <w:t xml:space="preserve">veiksmīgai attīstībai nepieciešama visu atbildīgo valsts </w:t>
      </w:r>
      <w:r w:rsidR="00FC5EC8" w:rsidRPr="00267BCC">
        <w:rPr>
          <w:lang w:val="lv-LV"/>
        </w:rPr>
        <w:t xml:space="preserve">un pašvaldību </w:t>
      </w:r>
      <w:r w:rsidRPr="00267BCC">
        <w:rPr>
          <w:lang w:val="lv-LV"/>
        </w:rPr>
        <w:t>institūciju iesaiste.</w:t>
      </w:r>
    </w:p>
    <w:p w14:paraId="49640CC4" w14:textId="77777777" w:rsidR="007F6993" w:rsidRPr="00267BCC" w:rsidRDefault="007F6993" w:rsidP="00267BCC">
      <w:pPr>
        <w:jc w:val="both"/>
        <w:rPr>
          <w:lang w:val="lv-LV"/>
        </w:rPr>
      </w:pPr>
    </w:p>
    <w:p w14:paraId="49640CC5" w14:textId="77777777" w:rsidR="001F08B9" w:rsidRPr="00267BCC" w:rsidRDefault="001F08B9" w:rsidP="00267BCC">
      <w:pPr>
        <w:pStyle w:val="Heading2"/>
        <w:numPr>
          <w:ilvl w:val="1"/>
          <w:numId w:val="24"/>
        </w:numPr>
        <w:rPr>
          <w:lang w:val="lv-LV"/>
        </w:rPr>
      </w:pPr>
      <w:bookmarkStart w:id="35" w:name="_Toc381256668"/>
      <w:r w:rsidRPr="00267BCC">
        <w:rPr>
          <w:lang w:val="lv-LV"/>
        </w:rPr>
        <w:t>Stratēģiskie tūrisma veidi</w:t>
      </w:r>
      <w:bookmarkEnd w:id="35"/>
    </w:p>
    <w:p w14:paraId="49640CC6" w14:textId="77777777" w:rsidR="001F08B9" w:rsidRPr="00267BCC" w:rsidRDefault="001F08B9" w:rsidP="00267BCC">
      <w:pPr>
        <w:rPr>
          <w:lang w:val="lv-LV"/>
        </w:rPr>
      </w:pPr>
    </w:p>
    <w:p w14:paraId="49640CC7" w14:textId="77777777" w:rsidR="001F08B9" w:rsidRPr="00267BCC" w:rsidRDefault="001F08B9" w:rsidP="00267BCC">
      <w:pPr>
        <w:ind w:firstLine="720"/>
        <w:jc w:val="both"/>
        <w:rPr>
          <w:rFonts w:eastAsia="Calibri"/>
          <w:lang w:val="lv-LV"/>
        </w:rPr>
      </w:pPr>
      <w:r w:rsidRPr="00267BCC">
        <w:rPr>
          <w:rFonts w:eastAsia="Calibri"/>
          <w:lang w:val="lv-LV"/>
        </w:rPr>
        <w:t>Izvērtējot esošo situāciju un izaicinājumus tūrisma jomā, viena no būtiskākajām problēmām ir ierobežotie resursi un nespēja sagatavot mūsdienu tirgus prasībām atbilstošu tūrisma produktu un pakalpojumu piedāvājumu un nodrošināt tā pārdomātu un fokusētu virzīšanu tirgū. Tādēļ nepieciešams veicināt investīciju veikšanu tūrisma objektu un piedāvājuma attīstībā, ņemot vērā Latvijas teritoriju iekšējo potenciālu un esošos tūrisma attīstības rādītājus, atbalstot objektu veidošanu tādās teritorijās, kur jau ir priekšnoteikumi turpmākai tūrisma attīstībai, piemēram, atpazīstamība, esoš</w:t>
      </w:r>
      <w:r w:rsidR="00937743" w:rsidRPr="00267BCC">
        <w:rPr>
          <w:rFonts w:eastAsia="Calibri"/>
          <w:lang w:val="lv-LV"/>
        </w:rPr>
        <w:t>ā</w:t>
      </w:r>
      <w:r w:rsidRPr="00267BCC">
        <w:rPr>
          <w:rFonts w:eastAsia="Calibri"/>
          <w:lang w:val="lv-LV"/>
        </w:rPr>
        <w:t xml:space="preserve"> tūristu plūsma, papildus pakalpojumi (naktsmītnes, ēdināšana, tūristu piesaistes objekti,</w:t>
      </w:r>
      <w:r w:rsidRPr="00267BCC">
        <w:rPr>
          <w:lang w:val="lv-LV"/>
        </w:rPr>
        <w:t xml:space="preserve"> </w:t>
      </w:r>
      <w:r w:rsidRPr="00267BCC">
        <w:rPr>
          <w:rFonts w:eastAsia="Calibri"/>
          <w:lang w:val="lv-LV"/>
        </w:rPr>
        <w:t>veselības sniegšanas pakalpojumi, kūrortu infrastruktūra un dabas dziednieciskie resursi).</w:t>
      </w:r>
    </w:p>
    <w:p w14:paraId="49640CC8" w14:textId="77777777" w:rsidR="001F08B9" w:rsidRPr="005C766A" w:rsidRDefault="001F08B9" w:rsidP="00267BCC">
      <w:pPr>
        <w:autoSpaceDE w:val="0"/>
        <w:autoSpaceDN w:val="0"/>
        <w:adjustRightInd w:val="0"/>
        <w:ind w:firstLine="720"/>
        <w:jc w:val="both"/>
        <w:rPr>
          <w:lang w:val="lv-LV"/>
        </w:rPr>
      </w:pPr>
      <w:r w:rsidRPr="00267BCC">
        <w:rPr>
          <w:lang w:val="lv-LV"/>
        </w:rPr>
        <w:t>Latvij</w:t>
      </w:r>
      <w:r w:rsidR="00937743" w:rsidRPr="00267BCC">
        <w:rPr>
          <w:lang w:val="lv-LV"/>
        </w:rPr>
        <w:t>as kā pievilcīga</w:t>
      </w:r>
      <w:r w:rsidRPr="00267BCC">
        <w:rPr>
          <w:lang w:val="lv-LV"/>
        </w:rPr>
        <w:t xml:space="preserve"> tūrisma galamērķa attīstībai ir svarīgi nodrošināt konkurētspējīgu tūrisma produktu attīstību. Ņemot vērā vairākus kritērijus (Eiropas ceļotāja profila izmaiņas (novecošana, pastiprinātas prasības pret autentiskumu, vidi u.c.), pieprasījuma dinamika,</w:t>
      </w:r>
      <w:r w:rsidR="0091257D" w:rsidRPr="00267BCC">
        <w:rPr>
          <w:lang w:val="lv-LV"/>
        </w:rPr>
        <w:t xml:space="preserve"> ārpussezonas raksturs, lielāk</w:t>
      </w:r>
      <w:r w:rsidRPr="00267BCC">
        <w:rPr>
          <w:lang w:val="lv-LV"/>
        </w:rPr>
        <w:t>s ienesīgums, ilgāk</w:t>
      </w:r>
      <w:r w:rsidR="0091257D" w:rsidRPr="00267BCC">
        <w:rPr>
          <w:lang w:val="lv-LV"/>
        </w:rPr>
        <w:t>a</w:t>
      </w:r>
      <w:r w:rsidRPr="00267BCC">
        <w:rPr>
          <w:lang w:val="lv-LV"/>
        </w:rPr>
        <w:t xml:space="preserve"> uzturēšanās, esošie resursi), Latvijas tūrisma konkurētspējas attīstībai definēto mērķu sasniegšanai visefektīvākais ir attīstīt MICE (darījumu</w:t>
      </w:r>
      <w:r w:rsidR="00FE4842">
        <w:rPr>
          <w:lang w:val="lv-LV"/>
        </w:rPr>
        <w:t xml:space="preserve"> un pasākumu</w:t>
      </w:r>
      <w:r w:rsidRPr="00267BCC">
        <w:rPr>
          <w:lang w:val="lv-LV"/>
        </w:rPr>
        <w:t>) un veselības tūrismu. Pēc iegādāto tūrisma pakalpojumu apjoma minēto tūrisma veidu ceļotāji ir ienesīgākie, tāpēc ieguldītais finansējums atmaksāsies īsākā laikā. Ņemot vērā pieejamos resursu</w:t>
      </w:r>
      <w:r w:rsidR="0091257D" w:rsidRPr="00267BCC">
        <w:rPr>
          <w:lang w:val="lv-LV"/>
        </w:rPr>
        <w:t>s</w:t>
      </w:r>
      <w:r w:rsidRPr="00267BCC">
        <w:rPr>
          <w:lang w:val="lv-LV"/>
        </w:rPr>
        <w:t xml:space="preserve">, kā arī Eiropas ceļošanas tendences, ir lietderīgi turpināt arī kultūras un dabas tūrisma attīstību. </w:t>
      </w:r>
      <w:r w:rsidR="00323D22">
        <w:rPr>
          <w:lang w:val="lv-LV"/>
        </w:rPr>
        <w:t xml:space="preserve">Līdz ar to, </w:t>
      </w:r>
      <w:r w:rsidR="00323D22" w:rsidRPr="00267BCC">
        <w:rPr>
          <w:b/>
          <w:lang w:val="lv-LV"/>
        </w:rPr>
        <w:t xml:space="preserve">kā </w:t>
      </w:r>
      <w:r w:rsidR="00323D22" w:rsidRPr="005C766A">
        <w:rPr>
          <w:b/>
          <w:lang w:val="lv-LV"/>
        </w:rPr>
        <w:t>stratēģiskie</w:t>
      </w:r>
      <w:r w:rsidRPr="005C766A">
        <w:rPr>
          <w:lang w:val="lv-LV"/>
        </w:rPr>
        <w:t xml:space="preserve"> </w:t>
      </w:r>
      <w:r w:rsidRPr="005C766A">
        <w:rPr>
          <w:b/>
          <w:lang w:val="lv-LV"/>
        </w:rPr>
        <w:t xml:space="preserve">tūrisma </w:t>
      </w:r>
      <w:r w:rsidR="00323D22" w:rsidRPr="005C766A">
        <w:rPr>
          <w:b/>
          <w:lang w:val="lv-LV"/>
        </w:rPr>
        <w:t>Latvijā veidi tiek</w:t>
      </w:r>
      <w:r w:rsidRPr="005C766A">
        <w:rPr>
          <w:b/>
          <w:lang w:val="lv-LV"/>
        </w:rPr>
        <w:t xml:space="preserve"> definēti </w:t>
      </w:r>
      <w:r w:rsidR="00323D22" w:rsidRPr="005C766A">
        <w:rPr>
          <w:lang w:val="lv-LV"/>
        </w:rPr>
        <w:t>(1)</w:t>
      </w:r>
      <w:r w:rsidR="00323D22" w:rsidRPr="005C766A">
        <w:rPr>
          <w:b/>
          <w:lang w:val="lv-LV"/>
        </w:rPr>
        <w:t xml:space="preserve"> </w:t>
      </w:r>
      <w:r w:rsidRPr="005C766A">
        <w:rPr>
          <w:lang w:val="lv-LV"/>
        </w:rPr>
        <w:t>MICE (darījumu</w:t>
      </w:r>
      <w:r w:rsidR="0091257D" w:rsidRPr="005C766A">
        <w:rPr>
          <w:lang w:val="lv-LV"/>
        </w:rPr>
        <w:t xml:space="preserve"> un pasākumu</w:t>
      </w:r>
      <w:r w:rsidRPr="005C766A">
        <w:rPr>
          <w:lang w:val="lv-LV"/>
        </w:rPr>
        <w:t>)</w:t>
      </w:r>
      <w:r w:rsidR="00504486" w:rsidRPr="005C766A">
        <w:rPr>
          <w:lang w:val="lv-LV"/>
        </w:rPr>
        <w:t xml:space="preserve"> tūrisms</w:t>
      </w:r>
      <w:r w:rsidRPr="005C766A">
        <w:rPr>
          <w:lang w:val="lv-LV"/>
        </w:rPr>
        <w:t xml:space="preserve">, </w:t>
      </w:r>
      <w:r w:rsidR="00504486" w:rsidRPr="005C766A">
        <w:rPr>
          <w:lang w:val="lv-LV"/>
        </w:rPr>
        <w:t xml:space="preserve">(2) </w:t>
      </w:r>
      <w:r w:rsidRPr="005C766A">
        <w:rPr>
          <w:lang w:val="lv-LV"/>
        </w:rPr>
        <w:t>veselības</w:t>
      </w:r>
      <w:r w:rsidR="00504486" w:rsidRPr="005C766A">
        <w:rPr>
          <w:lang w:val="lv-LV"/>
        </w:rPr>
        <w:t xml:space="preserve"> tūrisms</w:t>
      </w:r>
      <w:r w:rsidRPr="005C766A">
        <w:rPr>
          <w:lang w:val="lv-LV"/>
        </w:rPr>
        <w:t xml:space="preserve">, </w:t>
      </w:r>
      <w:r w:rsidR="00504486" w:rsidRPr="005C766A">
        <w:rPr>
          <w:lang w:val="lv-LV"/>
        </w:rPr>
        <w:t xml:space="preserve">(3) </w:t>
      </w:r>
      <w:r w:rsidRPr="005C766A">
        <w:rPr>
          <w:lang w:val="lv-LV"/>
        </w:rPr>
        <w:t>dabas</w:t>
      </w:r>
      <w:r w:rsidR="00504486" w:rsidRPr="005C766A">
        <w:rPr>
          <w:lang w:val="lv-LV"/>
        </w:rPr>
        <w:t xml:space="preserve"> tūrisms</w:t>
      </w:r>
      <w:r w:rsidRPr="005C766A">
        <w:rPr>
          <w:lang w:val="lv-LV"/>
        </w:rPr>
        <w:t xml:space="preserve">, </w:t>
      </w:r>
      <w:r w:rsidR="00504486" w:rsidRPr="005C766A">
        <w:rPr>
          <w:lang w:val="lv-LV"/>
        </w:rPr>
        <w:t xml:space="preserve">(4) </w:t>
      </w:r>
      <w:r w:rsidRPr="005C766A">
        <w:rPr>
          <w:lang w:val="lv-LV"/>
        </w:rPr>
        <w:t xml:space="preserve">kultūras </w:t>
      </w:r>
      <w:r w:rsidR="00FF550B" w:rsidRPr="005C766A">
        <w:rPr>
          <w:lang w:val="lv-LV"/>
        </w:rPr>
        <w:t>tūrisms un radošās industrijas.</w:t>
      </w:r>
    </w:p>
    <w:p w14:paraId="49640CC9" w14:textId="77777777" w:rsidR="00256525" w:rsidRPr="00267BCC" w:rsidRDefault="00256525" w:rsidP="00267BCC">
      <w:pPr>
        <w:autoSpaceDE w:val="0"/>
        <w:autoSpaceDN w:val="0"/>
        <w:adjustRightInd w:val="0"/>
        <w:ind w:firstLine="720"/>
        <w:jc w:val="right"/>
        <w:rPr>
          <w:lang w:val="lv-LV"/>
        </w:rPr>
      </w:pPr>
      <w:r w:rsidRPr="00267BCC">
        <w:rPr>
          <w:lang w:val="lv-LV"/>
        </w:rPr>
        <w:lastRenderedPageBreak/>
        <w:t>10.tabula</w:t>
      </w:r>
    </w:p>
    <w:p w14:paraId="49640CCA" w14:textId="77777777" w:rsidR="001F08B9" w:rsidRPr="00267BCC" w:rsidRDefault="001F08B9" w:rsidP="00267BCC">
      <w:pPr>
        <w:ind w:firstLine="720"/>
        <w:jc w:val="both"/>
        <w:rPr>
          <w:b/>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934"/>
      </w:tblGrid>
      <w:tr w:rsidR="001F08B9" w:rsidRPr="00267BCC" w14:paraId="49640CCD" w14:textId="77777777" w:rsidTr="001623F2">
        <w:tc>
          <w:tcPr>
            <w:tcW w:w="2882" w:type="pct"/>
            <w:vAlign w:val="center"/>
          </w:tcPr>
          <w:p w14:paraId="49640CCB" w14:textId="77777777" w:rsidR="001F08B9" w:rsidRPr="00267BCC" w:rsidRDefault="001F08B9" w:rsidP="00267BCC">
            <w:pPr>
              <w:jc w:val="center"/>
              <w:rPr>
                <w:b/>
                <w:bCs/>
                <w:iCs/>
                <w:lang w:val="lv-LV"/>
              </w:rPr>
            </w:pPr>
            <w:r w:rsidRPr="00267BCC">
              <w:rPr>
                <w:b/>
                <w:bCs/>
                <w:iCs/>
                <w:lang w:val="lv-LV"/>
              </w:rPr>
              <w:t>Ieteikumi resursu izmantošanai, veidojot konkurētspējīgus tūrisma produktus</w:t>
            </w:r>
          </w:p>
        </w:tc>
        <w:tc>
          <w:tcPr>
            <w:tcW w:w="2118" w:type="pct"/>
            <w:vAlign w:val="center"/>
          </w:tcPr>
          <w:p w14:paraId="49640CCC" w14:textId="77777777" w:rsidR="001F08B9" w:rsidRPr="00267BCC" w:rsidRDefault="001F08B9" w:rsidP="00267BCC">
            <w:pPr>
              <w:jc w:val="center"/>
              <w:rPr>
                <w:b/>
                <w:bCs/>
                <w:iCs/>
                <w:lang w:val="lv-LV"/>
              </w:rPr>
            </w:pPr>
            <w:r w:rsidRPr="00267BCC">
              <w:rPr>
                <w:b/>
                <w:lang w:val="lv-LV"/>
              </w:rPr>
              <w:t>Piemēri atbalstāmiem projektiem</w:t>
            </w:r>
          </w:p>
        </w:tc>
      </w:tr>
      <w:tr w:rsidR="001F08B9" w:rsidRPr="00B71CEA" w14:paraId="49640CCF" w14:textId="77777777" w:rsidTr="001F08B9">
        <w:tc>
          <w:tcPr>
            <w:tcW w:w="5000" w:type="pct"/>
            <w:gridSpan w:val="2"/>
            <w:vAlign w:val="center"/>
          </w:tcPr>
          <w:p w14:paraId="49640CCE" w14:textId="77777777" w:rsidR="001F08B9" w:rsidRPr="00267BCC" w:rsidRDefault="001F08B9" w:rsidP="00267BCC">
            <w:pPr>
              <w:jc w:val="center"/>
              <w:rPr>
                <w:b/>
                <w:lang w:val="lv-LV"/>
              </w:rPr>
            </w:pPr>
            <w:r w:rsidRPr="00267BCC">
              <w:rPr>
                <w:b/>
                <w:lang w:val="lv-LV"/>
              </w:rPr>
              <w:t>MICE (darījumu</w:t>
            </w:r>
            <w:r w:rsidR="002E10AB" w:rsidRPr="00267BCC">
              <w:rPr>
                <w:b/>
                <w:lang w:val="lv-LV"/>
              </w:rPr>
              <w:t xml:space="preserve"> un pasākumu</w:t>
            </w:r>
            <w:r w:rsidRPr="00267BCC">
              <w:rPr>
                <w:b/>
                <w:lang w:val="lv-LV"/>
              </w:rPr>
              <w:t>) tūrisms</w:t>
            </w:r>
          </w:p>
        </w:tc>
      </w:tr>
      <w:tr w:rsidR="001F08B9" w:rsidRPr="00B71CEA" w14:paraId="49640CD6" w14:textId="77777777" w:rsidTr="001F08B9">
        <w:tc>
          <w:tcPr>
            <w:tcW w:w="2882" w:type="pct"/>
          </w:tcPr>
          <w:p w14:paraId="49640CD0" w14:textId="77777777" w:rsidR="001F08B9" w:rsidRPr="00267BCC" w:rsidRDefault="008D3671" w:rsidP="00267BCC">
            <w:pPr>
              <w:jc w:val="both"/>
              <w:rPr>
                <w:lang w:val="lv-LV"/>
              </w:rPr>
            </w:pPr>
            <w:r w:rsidRPr="00267BCC">
              <w:rPr>
                <w:lang w:val="lv-LV"/>
              </w:rPr>
              <w:t xml:space="preserve">- </w:t>
            </w:r>
            <w:r w:rsidR="001F08B9" w:rsidRPr="00267BCC">
              <w:rPr>
                <w:lang w:val="lv-LV"/>
              </w:rPr>
              <w:t>attīstīt kompleksus piedāvājumus, sadarbojoties dažādiem pakalpojumu sniedzējiem, lai pasākumu apmeklētāji būtu ieinteresēti uzturēties ilgāk.</w:t>
            </w:r>
          </w:p>
          <w:p w14:paraId="49640CD1" w14:textId="77777777" w:rsidR="008D3671" w:rsidRPr="00267BCC" w:rsidRDefault="008D3671" w:rsidP="00267BCC">
            <w:pPr>
              <w:jc w:val="both"/>
              <w:rPr>
                <w:lang w:val="lv-LV"/>
              </w:rPr>
            </w:pPr>
            <w:r w:rsidRPr="00267BCC">
              <w:rPr>
                <w:lang w:val="lv-LV"/>
              </w:rPr>
              <w:t xml:space="preserve">- </w:t>
            </w:r>
            <w:r w:rsidR="001F08B9" w:rsidRPr="00267BCC">
              <w:rPr>
                <w:lang w:val="lv-LV"/>
              </w:rPr>
              <w:t>piesaistīt lielu sporta pasākumu, čempionātu</w:t>
            </w:r>
            <w:r w:rsidR="00C0660D" w:rsidRPr="00267BCC">
              <w:rPr>
                <w:lang w:val="lv-LV"/>
              </w:rPr>
              <w:t xml:space="preserve">, </w:t>
            </w:r>
            <w:r w:rsidR="001F08B9" w:rsidRPr="00267BCC">
              <w:rPr>
                <w:lang w:val="lv-LV"/>
              </w:rPr>
              <w:t xml:space="preserve"> </w:t>
            </w:r>
            <w:r w:rsidR="00C0660D" w:rsidRPr="00267BCC">
              <w:rPr>
                <w:lang w:val="lv-LV"/>
              </w:rPr>
              <w:t xml:space="preserve">festivālu, izstāžu un konferenču </w:t>
            </w:r>
            <w:r w:rsidR="001F08B9" w:rsidRPr="00267BCC">
              <w:rPr>
                <w:lang w:val="lv-LV"/>
              </w:rPr>
              <w:t>organizatorus</w:t>
            </w:r>
            <w:r w:rsidR="002E10AB" w:rsidRPr="00267BCC">
              <w:rPr>
                <w:lang w:val="lv-LV"/>
              </w:rPr>
              <w:t xml:space="preserve"> </w:t>
            </w:r>
            <w:r w:rsidR="00C0660D" w:rsidRPr="00267BCC">
              <w:rPr>
                <w:lang w:val="lv-LV"/>
              </w:rPr>
              <w:t xml:space="preserve">šo </w:t>
            </w:r>
            <w:r w:rsidR="002E10AB" w:rsidRPr="00267BCC">
              <w:rPr>
                <w:lang w:val="lv-LV"/>
              </w:rPr>
              <w:t>pasākumu organizēšanai</w:t>
            </w:r>
          </w:p>
          <w:p w14:paraId="49640CD2" w14:textId="77777777" w:rsidR="008D3671" w:rsidRPr="00267BCC" w:rsidRDefault="008D3671" w:rsidP="00267BCC">
            <w:pPr>
              <w:jc w:val="both"/>
              <w:rPr>
                <w:lang w:val="lv-LV"/>
              </w:rPr>
            </w:pPr>
            <w:r w:rsidRPr="00267BCC">
              <w:rPr>
                <w:lang w:val="lv-LV"/>
              </w:rPr>
              <w:t xml:space="preserve">- </w:t>
            </w:r>
            <w:r w:rsidR="001623F2" w:rsidRPr="00267BCC">
              <w:rPr>
                <w:lang w:val="lv-LV"/>
              </w:rPr>
              <w:t>LIVE RIGA</w:t>
            </w:r>
            <w:r w:rsidR="001F08B9" w:rsidRPr="00267BCC">
              <w:rPr>
                <w:lang w:val="lv-LV"/>
              </w:rPr>
              <w:t xml:space="preserve"> un Ilgtspējīga tūrisma klastera aktivitāšu saskaņošana.</w:t>
            </w:r>
          </w:p>
          <w:p w14:paraId="49640CD3" w14:textId="77777777" w:rsidR="001F08B9" w:rsidRPr="00267BCC" w:rsidRDefault="001F08B9" w:rsidP="00267BCC">
            <w:pPr>
              <w:jc w:val="both"/>
              <w:rPr>
                <w:lang w:val="lv-LV"/>
              </w:rPr>
            </w:pPr>
          </w:p>
        </w:tc>
        <w:tc>
          <w:tcPr>
            <w:tcW w:w="2118" w:type="pct"/>
          </w:tcPr>
          <w:p w14:paraId="49640CD4" w14:textId="77777777" w:rsidR="001F08B9" w:rsidRPr="00267BCC" w:rsidRDefault="008D3671" w:rsidP="00267BCC">
            <w:pPr>
              <w:jc w:val="both"/>
              <w:rPr>
                <w:lang w:val="lv-LV"/>
              </w:rPr>
            </w:pPr>
            <w:r w:rsidRPr="00267BCC">
              <w:rPr>
                <w:lang w:val="lv-LV"/>
              </w:rPr>
              <w:t xml:space="preserve">- </w:t>
            </w:r>
            <w:r w:rsidR="001F08B9" w:rsidRPr="00267BCC">
              <w:rPr>
                <w:lang w:val="lv-LV"/>
              </w:rPr>
              <w:t>Darīj</w:t>
            </w:r>
            <w:r w:rsidRPr="00267BCC">
              <w:rPr>
                <w:lang w:val="lv-LV"/>
              </w:rPr>
              <w:t xml:space="preserve">umu, konferenču centra izveide </w:t>
            </w:r>
            <w:r w:rsidR="001F08B9" w:rsidRPr="00267BCC">
              <w:rPr>
                <w:lang w:val="lv-LV"/>
              </w:rPr>
              <w:t xml:space="preserve"> ļautu Rīgai iekļauties pasaules konkurences ķēdēs konferenču organizēšanas pasūtījumu piesaistē.</w:t>
            </w:r>
          </w:p>
          <w:p w14:paraId="49640CD5" w14:textId="77777777" w:rsidR="001F08B9" w:rsidRPr="00267BCC" w:rsidRDefault="008D3671" w:rsidP="00267BCC">
            <w:pPr>
              <w:jc w:val="both"/>
              <w:rPr>
                <w:lang w:val="lv-LV"/>
              </w:rPr>
            </w:pPr>
            <w:r w:rsidRPr="00267BCC">
              <w:rPr>
                <w:lang w:val="lv-LV"/>
              </w:rPr>
              <w:t xml:space="preserve">- </w:t>
            </w:r>
            <w:r w:rsidR="001F08B9" w:rsidRPr="00267BCC">
              <w:rPr>
                <w:lang w:val="lv-LV"/>
              </w:rPr>
              <w:t>Esošās sporta infrastruktūras pielāgošana sporta tūristu vajadzībām, pasākumu rīkošanai, uzturēšanās ilguma palielināšanai.</w:t>
            </w:r>
          </w:p>
        </w:tc>
      </w:tr>
      <w:tr w:rsidR="001F08B9" w:rsidRPr="00267BCC" w14:paraId="49640CD8" w14:textId="77777777" w:rsidTr="001F08B9">
        <w:tc>
          <w:tcPr>
            <w:tcW w:w="5000" w:type="pct"/>
            <w:gridSpan w:val="2"/>
          </w:tcPr>
          <w:p w14:paraId="49640CD7" w14:textId="77777777" w:rsidR="001F08B9" w:rsidRPr="00267BCC" w:rsidRDefault="001F08B9" w:rsidP="00267BCC">
            <w:pPr>
              <w:jc w:val="center"/>
              <w:rPr>
                <w:b/>
                <w:lang w:val="lv-LV"/>
              </w:rPr>
            </w:pPr>
            <w:r w:rsidRPr="00267BCC">
              <w:rPr>
                <w:b/>
                <w:lang w:val="lv-LV"/>
              </w:rPr>
              <w:t>Veselības tūrisms</w:t>
            </w:r>
          </w:p>
        </w:tc>
      </w:tr>
      <w:tr w:rsidR="001F08B9" w:rsidRPr="00B71CEA" w14:paraId="49640CDE" w14:textId="77777777" w:rsidTr="001F08B9">
        <w:tc>
          <w:tcPr>
            <w:tcW w:w="2882" w:type="pct"/>
          </w:tcPr>
          <w:p w14:paraId="49640CD9" w14:textId="77777777" w:rsidR="00985FDE" w:rsidRPr="00267BCC" w:rsidRDefault="008D3671" w:rsidP="00267BCC">
            <w:pPr>
              <w:jc w:val="both"/>
              <w:rPr>
                <w:lang w:val="lv-LV"/>
              </w:rPr>
            </w:pPr>
            <w:r w:rsidRPr="00267BCC">
              <w:rPr>
                <w:lang w:val="lv-LV"/>
              </w:rPr>
              <w:t xml:space="preserve">- </w:t>
            </w:r>
            <w:r w:rsidR="001F08B9" w:rsidRPr="00267BCC">
              <w:rPr>
                <w:lang w:val="lv-LV"/>
              </w:rPr>
              <w:t>jāattīsta augstas kvalitātes kompleksi veselības un SPA piedā</w:t>
            </w:r>
            <w:r w:rsidR="00985FDE" w:rsidRPr="00267BCC">
              <w:rPr>
                <w:lang w:val="lv-LV"/>
              </w:rPr>
              <w:t>vājumi ar konkurētspējīgu cenu.</w:t>
            </w:r>
          </w:p>
          <w:p w14:paraId="49640CDA" w14:textId="77777777" w:rsidR="00985FDE" w:rsidRPr="00267BCC" w:rsidRDefault="00985FDE" w:rsidP="00267BCC">
            <w:pPr>
              <w:jc w:val="both"/>
              <w:rPr>
                <w:lang w:val="lv-LV"/>
              </w:rPr>
            </w:pPr>
            <w:r w:rsidRPr="00267BCC">
              <w:rPr>
                <w:lang w:val="lv-LV"/>
              </w:rPr>
              <w:t xml:space="preserve">- </w:t>
            </w:r>
            <w:r w:rsidR="001F08B9" w:rsidRPr="00267BCC">
              <w:rPr>
                <w:lang w:val="lv-LV"/>
              </w:rPr>
              <w:t>izmantot EK direktīvas par Brīvo pacientu kustību (pilnā apjomā sāk darboties 2013.gada 25.oktobrī) sniegtās iespējas, kas var pozitīvi ietekmēt veselības tūristu skaita pieaugumu.</w:t>
            </w:r>
          </w:p>
          <w:p w14:paraId="49640CDB" w14:textId="77777777" w:rsidR="00985FDE" w:rsidRPr="00267BCC" w:rsidRDefault="00985FDE" w:rsidP="00267BCC">
            <w:pPr>
              <w:jc w:val="both"/>
              <w:rPr>
                <w:lang w:val="lv-LV"/>
              </w:rPr>
            </w:pPr>
            <w:r w:rsidRPr="00267BCC">
              <w:rPr>
                <w:lang w:val="lv-LV"/>
              </w:rPr>
              <w:t xml:space="preserve">- </w:t>
            </w:r>
            <w:r w:rsidR="001F08B9" w:rsidRPr="00267BCC">
              <w:rPr>
                <w:lang w:val="lv-LV"/>
              </w:rPr>
              <w:t>pilnvērtīgāk izmantot un popularizēt dabas dziednieciskos resursus.</w:t>
            </w:r>
          </w:p>
          <w:p w14:paraId="49640CDC" w14:textId="77777777" w:rsidR="001F08B9" w:rsidRPr="00267BCC" w:rsidRDefault="00985FDE" w:rsidP="00267BCC">
            <w:pPr>
              <w:jc w:val="both"/>
              <w:rPr>
                <w:lang w:val="lv-LV"/>
              </w:rPr>
            </w:pPr>
            <w:r w:rsidRPr="00267BCC">
              <w:rPr>
                <w:lang w:val="lv-LV"/>
              </w:rPr>
              <w:t xml:space="preserve">- </w:t>
            </w:r>
            <w:r w:rsidR="001F08B9" w:rsidRPr="00267BCC">
              <w:rPr>
                <w:lang w:val="lv-LV"/>
              </w:rPr>
              <w:t xml:space="preserve">veicināt Latvijas veselības tūrisma klastera iniciatīvu tālāku attīstību – aktivizēt pilnvērtīgu klastera izpausmi (saikne ar </w:t>
            </w:r>
            <w:r w:rsidR="0010215C" w:rsidRPr="00CB19B5">
              <w:rPr>
                <w:lang w:val="lv-LV"/>
              </w:rPr>
              <w:t>pētniecības un attīstības</w:t>
            </w:r>
            <w:r w:rsidR="001F08B9" w:rsidRPr="00CB19B5">
              <w:rPr>
                <w:lang w:val="lv-LV"/>
              </w:rPr>
              <w:t xml:space="preserve"> sektoru, inovāciju).</w:t>
            </w:r>
          </w:p>
        </w:tc>
        <w:tc>
          <w:tcPr>
            <w:tcW w:w="2118" w:type="pct"/>
          </w:tcPr>
          <w:p w14:paraId="49640CDD" w14:textId="77777777" w:rsidR="001F08B9" w:rsidRPr="00267BCC" w:rsidRDefault="001F08B9" w:rsidP="00267BCC">
            <w:pPr>
              <w:jc w:val="both"/>
              <w:rPr>
                <w:lang w:val="lv-LV"/>
              </w:rPr>
            </w:pPr>
            <w:r w:rsidRPr="00267BCC">
              <w:rPr>
                <w:lang w:val="lv-LV"/>
              </w:rPr>
              <w:t xml:space="preserve">Kūrortu </w:t>
            </w:r>
            <w:r w:rsidR="002706BB" w:rsidRPr="005C766A">
              <w:rPr>
                <w:lang w:val="lv-LV"/>
              </w:rPr>
              <w:t>ārstniecības iestāžu</w:t>
            </w:r>
            <w:r w:rsidR="002706BB">
              <w:rPr>
                <w:lang w:val="lv-LV"/>
              </w:rPr>
              <w:t xml:space="preserve"> </w:t>
            </w:r>
            <w:r w:rsidRPr="00267BCC">
              <w:rPr>
                <w:lang w:val="lv-LV"/>
              </w:rPr>
              <w:t>un medicīniskās rehabilitācijas centru infrastruktūras rekonstrukcijas un uzlabošanas projekti, lai nodrošinātu starptautiskā līmenī konkurētspējīga piedāvājuma veidošanu.</w:t>
            </w:r>
          </w:p>
        </w:tc>
      </w:tr>
      <w:tr w:rsidR="001F08B9" w:rsidRPr="00267BCC" w14:paraId="49640CE0" w14:textId="77777777" w:rsidTr="001F08B9">
        <w:tc>
          <w:tcPr>
            <w:tcW w:w="5000" w:type="pct"/>
            <w:gridSpan w:val="2"/>
          </w:tcPr>
          <w:p w14:paraId="49640CDF" w14:textId="77777777" w:rsidR="001F08B9" w:rsidRPr="00267BCC" w:rsidRDefault="001F08B9" w:rsidP="00267BCC">
            <w:pPr>
              <w:jc w:val="center"/>
              <w:rPr>
                <w:b/>
                <w:iCs/>
                <w:lang w:val="lv-LV"/>
              </w:rPr>
            </w:pPr>
            <w:r w:rsidRPr="00267BCC">
              <w:rPr>
                <w:b/>
                <w:iCs/>
                <w:lang w:val="lv-LV"/>
              </w:rPr>
              <w:t>Dabas tūrisms</w:t>
            </w:r>
          </w:p>
        </w:tc>
      </w:tr>
      <w:tr w:rsidR="001F08B9" w:rsidRPr="00B71CEA" w14:paraId="49640CEC" w14:textId="77777777" w:rsidTr="001F08B9">
        <w:tc>
          <w:tcPr>
            <w:tcW w:w="2882" w:type="pct"/>
          </w:tcPr>
          <w:p w14:paraId="49640CE1" w14:textId="77777777" w:rsidR="001F08B9" w:rsidRPr="00267BCC" w:rsidRDefault="00985FDE" w:rsidP="00267BCC">
            <w:pPr>
              <w:jc w:val="both"/>
              <w:rPr>
                <w:lang w:val="lv-LV"/>
              </w:rPr>
            </w:pPr>
            <w:r w:rsidRPr="00267BCC">
              <w:rPr>
                <w:lang w:val="lv-LV"/>
              </w:rPr>
              <w:t xml:space="preserve">- </w:t>
            </w:r>
            <w:r w:rsidR="0091257D" w:rsidRPr="00267BCC">
              <w:rPr>
                <w:lang w:val="lv-LV"/>
              </w:rPr>
              <w:t>attīstīt nacionāla</w:t>
            </w:r>
            <w:r w:rsidR="001F08B9" w:rsidRPr="00267BCC">
              <w:rPr>
                <w:lang w:val="lv-LV"/>
              </w:rPr>
              <w:t xml:space="preserve"> līmeņa dabas un aktīvā tūrisma produktus, t.sk. izmantojot ~500 km gar</w:t>
            </w:r>
            <w:r w:rsidR="0091257D" w:rsidRPr="00267BCC">
              <w:rPr>
                <w:lang w:val="lv-LV"/>
              </w:rPr>
              <w:t>o piekrastes joslu – ekskluzīvu</w:t>
            </w:r>
            <w:r w:rsidR="001F08B9" w:rsidRPr="00267BCC">
              <w:rPr>
                <w:lang w:val="lv-LV"/>
              </w:rPr>
              <w:t xml:space="preserve"> Latvijas dabas resursu;</w:t>
            </w:r>
          </w:p>
          <w:p w14:paraId="49640CE2" w14:textId="77777777" w:rsidR="001F08B9" w:rsidRPr="00267BCC" w:rsidRDefault="00985FDE" w:rsidP="00267BCC">
            <w:pPr>
              <w:jc w:val="both"/>
              <w:rPr>
                <w:lang w:val="lv-LV"/>
              </w:rPr>
            </w:pPr>
            <w:r w:rsidRPr="00267BCC">
              <w:rPr>
                <w:lang w:val="lv-LV"/>
              </w:rPr>
              <w:t xml:space="preserve">- </w:t>
            </w:r>
            <w:r w:rsidR="001F08B9" w:rsidRPr="00267BCC">
              <w:rPr>
                <w:lang w:val="lv-LV"/>
              </w:rPr>
              <w:t xml:space="preserve">veidot jaunus </w:t>
            </w:r>
            <w:r w:rsidRPr="00267BCC">
              <w:rPr>
                <w:lang w:val="lv-LV"/>
              </w:rPr>
              <w:t>dabas tūrisma</w:t>
            </w:r>
            <w:r w:rsidR="001F08B9" w:rsidRPr="00267BCC">
              <w:rPr>
                <w:lang w:val="lv-LV"/>
              </w:rPr>
              <w:t xml:space="preserve"> produktus:</w:t>
            </w:r>
          </w:p>
          <w:p w14:paraId="49640CE3" w14:textId="77777777" w:rsidR="001F08B9" w:rsidRPr="00267BCC" w:rsidRDefault="001F08B9"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 xml:space="preserve">apvienojot vairākus (piemēram, dabas un kultūras) tūrisma pakalpojumus; </w:t>
            </w:r>
          </w:p>
          <w:p w14:paraId="49640CE4" w14:textId="77777777" w:rsidR="001F08B9" w:rsidRPr="00267BCC" w:rsidRDefault="001F08B9"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 xml:space="preserve">attīstot produktus, kas balstīti uz dabas izziņu (piemēram, putnu vērošana, purva biotopu izziņa, rasenes barošanās procesa vērošana u.c.), kas būtu nozīmīgi papildus piesaistes elementi kādam citam pamatproduktam; </w:t>
            </w:r>
          </w:p>
          <w:p w14:paraId="49640CE5" w14:textId="77777777" w:rsidR="001F08B9" w:rsidRPr="00267BCC" w:rsidRDefault="001F08B9"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izcelt piedzīvojuma tūrismu kā mērķtiecīgu produktu ar augstāku pievienoto vērtību dabas vidē</w:t>
            </w:r>
            <w:r w:rsidR="002E10AB" w:rsidRPr="00267BCC">
              <w:rPr>
                <w:rFonts w:ascii="Times New Roman" w:hAnsi="Times New Roman"/>
                <w:sz w:val="24"/>
                <w:szCs w:val="24"/>
                <w:lang w:val="lv-LV"/>
              </w:rPr>
              <w:t>;</w:t>
            </w:r>
          </w:p>
          <w:p w14:paraId="49640CE6" w14:textId="77777777" w:rsidR="002E10AB" w:rsidRPr="00267BCC" w:rsidRDefault="002E10AB"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veicin</w:t>
            </w:r>
            <w:r w:rsidR="00C0660D" w:rsidRPr="00267BCC">
              <w:rPr>
                <w:rFonts w:ascii="Times New Roman" w:hAnsi="Times New Roman"/>
                <w:sz w:val="24"/>
                <w:szCs w:val="24"/>
                <w:lang w:val="lv-LV"/>
              </w:rPr>
              <w:t>o</w:t>
            </w:r>
            <w:r w:rsidRPr="00267BCC">
              <w:rPr>
                <w:rFonts w:ascii="Times New Roman" w:hAnsi="Times New Roman"/>
                <w:sz w:val="24"/>
                <w:szCs w:val="24"/>
                <w:lang w:val="lv-LV"/>
              </w:rPr>
              <w:t xml:space="preserve">t </w:t>
            </w:r>
            <w:r w:rsidR="00C0660D" w:rsidRPr="00267BCC">
              <w:rPr>
                <w:rFonts w:ascii="Times New Roman" w:hAnsi="Times New Roman"/>
                <w:sz w:val="24"/>
                <w:szCs w:val="24"/>
                <w:lang w:val="lv-LV"/>
              </w:rPr>
              <w:t xml:space="preserve">zaļā tūrisma, </w:t>
            </w:r>
            <w:r w:rsidRPr="00267BCC">
              <w:rPr>
                <w:rFonts w:ascii="Times New Roman" w:hAnsi="Times New Roman"/>
                <w:sz w:val="24"/>
                <w:szCs w:val="24"/>
                <w:lang w:val="lv-LV"/>
              </w:rPr>
              <w:t>ekotūrism</w:t>
            </w:r>
            <w:r w:rsidR="00C0660D" w:rsidRPr="00267BCC">
              <w:rPr>
                <w:rFonts w:ascii="Times New Roman" w:hAnsi="Times New Roman"/>
                <w:sz w:val="24"/>
                <w:szCs w:val="24"/>
                <w:lang w:val="lv-LV"/>
              </w:rPr>
              <w:t xml:space="preserve">a, </w:t>
            </w:r>
            <w:r w:rsidR="00C0660D" w:rsidRPr="00267BCC">
              <w:rPr>
                <w:rFonts w:ascii="Times New Roman" w:hAnsi="Times New Roman"/>
                <w:i/>
                <w:sz w:val="24"/>
                <w:szCs w:val="24"/>
                <w:lang w:val="lv-LV"/>
              </w:rPr>
              <w:t>greenways</w:t>
            </w:r>
            <w:r w:rsidR="00C0660D" w:rsidRPr="00267BCC">
              <w:rPr>
                <w:rFonts w:ascii="Times New Roman" w:hAnsi="Times New Roman"/>
                <w:sz w:val="24"/>
                <w:szCs w:val="24"/>
                <w:lang w:val="lv-LV"/>
              </w:rPr>
              <w:t>, gastronomiskā tūrisma produktu attīstību</w:t>
            </w:r>
            <w:r w:rsidRPr="00267BCC">
              <w:rPr>
                <w:rFonts w:ascii="Times New Roman" w:hAnsi="Times New Roman"/>
                <w:sz w:val="24"/>
                <w:szCs w:val="24"/>
                <w:lang w:val="lv-LV"/>
              </w:rPr>
              <w:t>;</w:t>
            </w:r>
          </w:p>
          <w:p w14:paraId="49640CE7" w14:textId="77777777" w:rsidR="001F08B9" w:rsidRPr="00267BCC" w:rsidRDefault="001F08B9"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 xml:space="preserve">attīstot produktus specifiski katram gadalaikam, taču īpaši akcentējot divu sezonu regulāru piedāvājumu – ziema un pārējais laiks; </w:t>
            </w:r>
          </w:p>
          <w:p w14:paraId="49640CE8" w14:textId="77777777" w:rsidR="001F08B9" w:rsidRPr="00267BCC" w:rsidRDefault="001F08B9" w:rsidP="00267BCC">
            <w:pPr>
              <w:pStyle w:val="ListParagraph"/>
              <w:numPr>
                <w:ilvl w:val="0"/>
                <w:numId w:val="19"/>
              </w:numPr>
              <w:spacing w:line="240" w:lineRule="auto"/>
              <w:contextualSpacing w:val="0"/>
              <w:jc w:val="both"/>
              <w:rPr>
                <w:rFonts w:ascii="Times New Roman" w:hAnsi="Times New Roman"/>
                <w:b/>
                <w:i/>
                <w:sz w:val="24"/>
                <w:szCs w:val="24"/>
                <w:lang w:val="lv-LV"/>
              </w:rPr>
            </w:pPr>
            <w:r w:rsidRPr="00267BCC">
              <w:rPr>
                <w:rFonts w:ascii="Times New Roman" w:hAnsi="Times New Roman"/>
                <w:sz w:val="24"/>
                <w:szCs w:val="24"/>
                <w:lang w:val="lv-LV"/>
              </w:rPr>
              <w:t>aktīvāk iekļaujot vietējiem iedzīvotājiem raksturīgas nodarbes kā ogošana, sēņošana u.c.;</w:t>
            </w:r>
          </w:p>
          <w:p w14:paraId="49640CE9" w14:textId="77777777" w:rsidR="001F08B9" w:rsidRPr="00267BCC" w:rsidRDefault="001F08B9" w:rsidP="00267BCC">
            <w:pPr>
              <w:pStyle w:val="ListParagraph"/>
              <w:numPr>
                <w:ilvl w:val="0"/>
                <w:numId w:val="19"/>
              </w:numPr>
              <w:spacing w:line="240" w:lineRule="auto"/>
              <w:ind w:left="748" w:hanging="357"/>
              <w:contextualSpacing w:val="0"/>
              <w:jc w:val="both"/>
              <w:rPr>
                <w:rFonts w:ascii="Times New Roman" w:hAnsi="Times New Roman"/>
                <w:b/>
                <w:i/>
                <w:sz w:val="24"/>
                <w:szCs w:val="24"/>
                <w:lang w:val="lv-LV"/>
              </w:rPr>
            </w:pPr>
            <w:r w:rsidRPr="00267BCC">
              <w:rPr>
                <w:rFonts w:ascii="Times New Roman" w:hAnsi="Times New Roman"/>
                <w:sz w:val="24"/>
                <w:szCs w:val="24"/>
                <w:lang w:val="lv-LV"/>
              </w:rPr>
              <w:lastRenderedPageBreak/>
              <w:t>organizējot pasākumus, piesaistot vietējos uzņēmējus – pakalpojumu sniedzējus un padarot šos pasākumus atraktīvākus.</w:t>
            </w:r>
          </w:p>
        </w:tc>
        <w:tc>
          <w:tcPr>
            <w:tcW w:w="2118" w:type="pct"/>
          </w:tcPr>
          <w:p w14:paraId="49640CEA" w14:textId="77777777" w:rsidR="00814378" w:rsidRPr="005C766A" w:rsidRDefault="001F08B9" w:rsidP="00267BCC">
            <w:pPr>
              <w:jc w:val="both"/>
              <w:rPr>
                <w:lang w:val="lv-LV"/>
              </w:rPr>
            </w:pPr>
            <w:r w:rsidRPr="00267BCC">
              <w:rPr>
                <w:lang w:val="lv-LV"/>
              </w:rPr>
              <w:lastRenderedPageBreak/>
              <w:t>Dabas izziņas centri dabas izzināšanai, Latvijas dabas vērtību iepazīšanai, izglītošanai apmeklētājiem saistošā un interesantā veidā, pielietojot inovatīvas i</w:t>
            </w:r>
            <w:r w:rsidR="00814378" w:rsidRPr="00267BCC">
              <w:rPr>
                <w:lang w:val="lv-LV"/>
              </w:rPr>
              <w:t xml:space="preserve">nformācijas pasniegšanas veidus </w:t>
            </w:r>
            <w:r w:rsidR="00814378" w:rsidRPr="00267BCC">
              <w:rPr>
                <w:u w:val="single"/>
                <w:lang w:val="lv-LV"/>
              </w:rPr>
              <w:t xml:space="preserve">un </w:t>
            </w:r>
            <w:r w:rsidR="00814378" w:rsidRPr="005C766A">
              <w:rPr>
                <w:lang w:val="lv-LV"/>
              </w:rPr>
              <w:t>publiskā infrastruktūra, kas uzlabo objektu sasniedzamību, piekļuvi un pievilcību:</w:t>
            </w:r>
          </w:p>
          <w:p w14:paraId="49640CEB" w14:textId="77777777" w:rsidR="001F08B9" w:rsidRPr="00267BCC" w:rsidRDefault="00814378" w:rsidP="00267BCC">
            <w:pPr>
              <w:jc w:val="both"/>
              <w:rPr>
                <w:lang w:val="lv-LV"/>
              </w:rPr>
            </w:pPr>
            <w:r w:rsidRPr="005C766A">
              <w:rPr>
                <w:lang w:val="lv-LV"/>
              </w:rPr>
              <w:t>pašvaldību ceļu posmi, kuros jāuzlabo ceļa kvalitāte, veloceliņi, marķēti velomaršruti, jauni un paplašināmi autostāvlaukumi, piebraucamie ceļi pludmalei un apgriešanās vietas, t.sk. lielizmēra sporta inventāra transportēšanai, nobrauktuves operatīvajam transportam, pieejas pludmalei personām ar funkcionāliem traucējumiem, gājēju celiņi uz pludmali, peldvietas (drošība, labiekārtojums), peldrīku, tostarp jahtu, piestātnes.</w:t>
            </w:r>
          </w:p>
        </w:tc>
      </w:tr>
      <w:tr w:rsidR="001F08B9" w:rsidRPr="00B71CEA" w14:paraId="49640CEE" w14:textId="77777777" w:rsidTr="001F08B9">
        <w:tc>
          <w:tcPr>
            <w:tcW w:w="5000" w:type="pct"/>
            <w:gridSpan w:val="2"/>
          </w:tcPr>
          <w:p w14:paraId="49640CED" w14:textId="77777777" w:rsidR="001F08B9" w:rsidRPr="00267BCC" w:rsidRDefault="001F08B9" w:rsidP="00267BCC">
            <w:pPr>
              <w:jc w:val="center"/>
              <w:rPr>
                <w:rFonts w:eastAsia="Calibri"/>
                <w:b/>
                <w:lang w:val="lv-LV" w:eastAsia="en-US"/>
              </w:rPr>
            </w:pPr>
            <w:r w:rsidRPr="00267BCC">
              <w:rPr>
                <w:rFonts w:eastAsia="Calibri"/>
                <w:b/>
                <w:lang w:val="lv-LV" w:eastAsia="en-US"/>
              </w:rPr>
              <w:lastRenderedPageBreak/>
              <w:t xml:space="preserve">Kultūras tūrisms un radošās industrijas </w:t>
            </w:r>
          </w:p>
        </w:tc>
      </w:tr>
      <w:tr w:rsidR="001F08B9" w:rsidRPr="00085EAA" w14:paraId="49640CF9" w14:textId="77777777" w:rsidTr="001F08B9">
        <w:tc>
          <w:tcPr>
            <w:tcW w:w="2882" w:type="pct"/>
          </w:tcPr>
          <w:p w14:paraId="49640CEF" w14:textId="77777777" w:rsidR="0091257D" w:rsidRPr="00267BCC" w:rsidRDefault="00985FDE" w:rsidP="00267BCC">
            <w:pPr>
              <w:jc w:val="both"/>
              <w:rPr>
                <w:lang w:val="lv-LV"/>
              </w:rPr>
            </w:pPr>
            <w:r w:rsidRPr="00267BCC">
              <w:rPr>
                <w:lang w:val="lv-LV"/>
              </w:rPr>
              <w:t xml:space="preserve">- </w:t>
            </w:r>
            <w:r w:rsidR="001F08B9" w:rsidRPr="00267BCC">
              <w:rPr>
                <w:lang w:val="lv-LV"/>
              </w:rPr>
              <w:t>attīstīt kompleksos tūrisma pakalpojumus (lidojums, naktsmītne, festivāls)</w:t>
            </w:r>
            <w:r w:rsidR="0091257D" w:rsidRPr="00267BCC">
              <w:rPr>
                <w:lang w:val="lv-LV"/>
              </w:rPr>
              <w:t>;</w:t>
            </w:r>
          </w:p>
          <w:p w14:paraId="49640CF0" w14:textId="77777777" w:rsidR="001F08B9" w:rsidRPr="00267BCC" w:rsidRDefault="0091257D" w:rsidP="00267BCC">
            <w:pPr>
              <w:jc w:val="both"/>
              <w:rPr>
                <w:lang w:val="lv-LV"/>
              </w:rPr>
            </w:pPr>
            <w:r w:rsidRPr="00267BCC">
              <w:rPr>
                <w:lang w:val="lv-LV"/>
              </w:rPr>
              <w:t xml:space="preserve">- </w:t>
            </w:r>
            <w:r w:rsidR="00C0660D" w:rsidRPr="00267BCC">
              <w:rPr>
                <w:lang w:val="lv-LV"/>
              </w:rPr>
              <w:t>organizēt specializētus pasākumus (izstādes);</w:t>
            </w:r>
          </w:p>
          <w:p w14:paraId="49640CF1" w14:textId="77777777" w:rsidR="001F08B9" w:rsidRPr="00267BCC" w:rsidRDefault="00985FDE" w:rsidP="00267BCC">
            <w:pPr>
              <w:jc w:val="both"/>
              <w:rPr>
                <w:lang w:val="lv-LV"/>
              </w:rPr>
            </w:pPr>
            <w:r w:rsidRPr="00267BCC">
              <w:rPr>
                <w:lang w:val="lv-LV"/>
              </w:rPr>
              <w:t xml:space="preserve">- </w:t>
            </w:r>
            <w:r w:rsidR="001F08B9" w:rsidRPr="00267BCC">
              <w:rPr>
                <w:lang w:val="lv-LV"/>
              </w:rPr>
              <w:t>veicināt starptautiska mēroga pasākumu organizēšanu, īpaši akcentējot tos pasākumus, kas vērsti uz sezonalitātes negatīvā efekta mazināšanu</w:t>
            </w:r>
            <w:r w:rsidR="00C0660D" w:rsidRPr="00267BCC">
              <w:rPr>
                <w:lang w:val="lv-LV"/>
              </w:rPr>
              <w:t>;</w:t>
            </w:r>
            <w:r w:rsidR="001F08B9" w:rsidRPr="00267BCC">
              <w:rPr>
                <w:lang w:val="lv-LV"/>
              </w:rPr>
              <w:t xml:space="preserve"> </w:t>
            </w:r>
          </w:p>
          <w:p w14:paraId="49640CF2" w14:textId="77777777" w:rsidR="001F08B9" w:rsidRPr="00267BCC" w:rsidRDefault="00985FDE" w:rsidP="00267BCC">
            <w:pPr>
              <w:jc w:val="both"/>
              <w:rPr>
                <w:lang w:val="lv-LV"/>
              </w:rPr>
            </w:pPr>
            <w:r w:rsidRPr="00267BCC">
              <w:rPr>
                <w:lang w:val="lv-LV"/>
              </w:rPr>
              <w:t xml:space="preserve">- </w:t>
            </w:r>
            <w:r w:rsidR="00C0660D" w:rsidRPr="00267BCC">
              <w:rPr>
                <w:lang w:val="lv-LV"/>
              </w:rPr>
              <w:t>v</w:t>
            </w:r>
            <w:r w:rsidR="001F08B9" w:rsidRPr="00267BCC">
              <w:rPr>
                <w:lang w:val="lv-LV"/>
              </w:rPr>
              <w:t>eicināt jaunu tūrisma produktu veidošanu muzejos, piemērot informāciju ārvalstu tūristu vajadzībām (informācija svešvalodās, viegla un ērta komunikācija), sadarboties muzejiem ar citiem tūrisma pakalpojumu sniedzējiem, savlaicīgi izplatīt informāciju par aktivitātēm;</w:t>
            </w:r>
          </w:p>
          <w:p w14:paraId="49640CF3" w14:textId="77777777" w:rsidR="001F08B9" w:rsidRPr="00267BCC" w:rsidRDefault="00985FDE" w:rsidP="00267BCC">
            <w:pPr>
              <w:jc w:val="both"/>
              <w:rPr>
                <w:lang w:val="lv-LV"/>
              </w:rPr>
            </w:pPr>
            <w:r w:rsidRPr="00267BCC">
              <w:rPr>
                <w:lang w:val="lv-LV"/>
              </w:rPr>
              <w:t xml:space="preserve">- </w:t>
            </w:r>
            <w:r w:rsidR="001F08B9" w:rsidRPr="00267BCC">
              <w:rPr>
                <w:lang w:val="lv-LV"/>
              </w:rPr>
              <w:t>iesa</w:t>
            </w:r>
            <w:r w:rsidR="00F12E63" w:rsidRPr="00267BCC">
              <w:rPr>
                <w:lang w:val="lv-LV"/>
              </w:rPr>
              <w:t>istīt tūristus, nodrošināt iesaisti/līdzdalību</w:t>
            </w:r>
            <w:r w:rsidR="001F08B9" w:rsidRPr="00267BCC">
              <w:rPr>
                <w:lang w:val="lv-LV"/>
              </w:rPr>
              <w:t>;</w:t>
            </w:r>
          </w:p>
          <w:p w14:paraId="49640CF4" w14:textId="77777777" w:rsidR="001F08B9" w:rsidRPr="00267BCC" w:rsidRDefault="00985FDE" w:rsidP="00267BCC">
            <w:pPr>
              <w:jc w:val="both"/>
              <w:rPr>
                <w:lang w:val="lv-LV"/>
              </w:rPr>
            </w:pPr>
            <w:r w:rsidRPr="00267BCC">
              <w:rPr>
                <w:lang w:val="lv-LV"/>
              </w:rPr>
              <w:t xml:space="preserve">- </w:t>
            </w:r>
            <w:r w:rsidR="001F08B9" w:rsidRPr="00267BCC">
              <w:rPr>
                <w:lang w:val="lv-LV"/>
              </w:rPr>
              <w:t>veicināt sadarbību produkt</w:t>
            </w:r>
            <w:r w:rsidR="00F12E63" w:rsidRPr="00267BCC">
              <w:rPr>
                <w:lang w:val="lv-LV"/>
              </w:rPr>
              <w:t>u veidošanā, veidot pudurus (kla</w:t>
            </w:r>
            <w:r w:rsidR="001F08B9" w:rsidRPr="00267BCC">
              <w:rPr>
                <w:lang w:val="lv-LV"/>
              </w:rPr>
              <w:t>sterus), attīstīt radošo tūrismu;</w:t>
            </w:r>
          </w:p>
          <w:p w14:paraId="49640CF5" w14:textId="77777777" w:rsidR="001F08B9" w:rsidRPr="00267BCC" w:rsidRDefault="00985FDE" w:rsidP="00267BCC">
            <w:pPr>
              <w:jc w:val="both"/>
              <w:rPr>
                <w:lang w:val="lv-LV"/>
              </w:rPr>
            </w:pPr>
            <w:r w:rsidRPr="00267BCC">
              <w:rPr>
                <w:lang w:val="lv-LV"/>
              </w:rPr>
              <w:t xml:space="preserve">- </w:t>
            </w:r>
            <w:r w:rsidR="001F08B9" w:rsidRPr="00267BCC">
              <w:rPr>
                <w:lang w:val="lv-LV"/>
              </w:rPr>
              <w:t xml:space="preserve">iekļaut kultūras tūrisma produktu piedāvājumā kā vienu no galvenajiem piesaistes objektiem, nodrošināt kvalitatīvu interpretāciju, kas ietver gan pareizus faktus, gan ir saistoša, interesanta un izglītojoša; </w:t>
            </w:r>
          </w:p>
          <w:p w14:paraId="49640CF6" w14:textId="77777777" w:rsidR="001F08B9" w:rsidRPr="00267BCC" w:rsidRDefault="00985FDE" w:rsidP="00267BCC">
            <w:pPr>
              <w:jc w:val="both"/>
              <w:rPr>
                <w:lang w:val="lv-LV"/>
              </w:rPr>
            </w:pPr>
            <w:r w:rsidRPr="00267BCC">
              <w:rPr>
                <w:lang w:val="lv-LV"/>
              </w:rPr>
              <w:t xml:space="preserve">- </w:t>
            </w:r>
            <w:r w:rsidR="001F08B9" w:rsidRPr="00267BCC">
              <w:rPr>
                <w:lang w:val="lv-LV"/>
              </w:rPr>
              <w:t>attīstīt „slow food” kustību, gardēžu tūrismu, inovatīvo gastronomiju, veicināt nacionālo ēdienu gatavošanu un pasniegšanu mūsdienīgā, tūristiem pievilcīgā veidā.</w:t>
            </w:r>
          </w:p>
        </w:tc>
        <w:tc>
          <w:tcPr>
            <w:tcW w:w="2118" w:type="pct"/>
          </w:tcPr>
          <w:p w14:paraId="49640CF7" w14:textId="77777777" w:rsidR="001F08B9" w:rsidRPr="00504486" w:rsidRDefault="001F08B9" w:rsidP="00504486">
            <w:pPr>
              <w:pStyle w:val="ListParagraph"/>
              <w:numPr>
                <w:ilvl w:val="0"/>
                <w:numId w:val="22"/>
              </w:numPr>
              <w:spacing w:line="240" w:lineRule="auto"/>
              <w:ind w:left="176" w:hanging="142"/>
              <w:contextualSpacing w:val="0"/>
              <w:jc w:val="both"/>
              <w:rPr>
                <w:rFonts w:ascii="Times New Roman" w:hAnsi="Times New Roman"/>
                <w:sz w:val="24"/>
                <w:szCs w:val="24"/>
                <w:lang w:val="lv-LV"/>
              </w:rPr>
            </w:pPr>
            <w:r w:rsidRPr="00267BCC">
              <w:rPr>
                <w:rFonts w:ascii="Times New Roman" w:hAnsi="Times New Roman"/>
                <w:sz w:val="24"/>
                <w:szCs w:val="24"/>
                <w:lang w:val="lv-LV"/>
              </w:rPr>
              <w:t>Kultūras izziņas centri Latvijas kultūras vides - kultūrvēsturiskā mantojuma, tradīciju un dzīvesveida, kultūras un mākslas norišu iepazīšanai un izglītošanai apmeklētājiem saistošā un interesantā veidā, pielietojot inovatīvas informācijas pasniegšanas veidus – attīstība.</w:t>
            </w:r>
          </w:p>
          <w:p w14:paraId="49640CF8" w14:textId="77777777" w:rsidR="001F08B9" w:rsidRPr="00267BCC" w:rsidRDefault="001F08B9" w:rsidP="00267BCC">
            <w:pPr>
              <w:pStyle w:val="ListParagraph"/>
              <w:numPr>
                <w:ilvl w:val="0"/>
                <w:numId w:val="22"/>
              </w:numPr>
              <w:spacing w:line="240" w:lineRule="auto"/>
              <w:ind w:left="176" w:hanging="142"/>
              <w:contextualSpacing w:val="0"/>
              <w:jc w:val="both"/>
              <w:rPr>
                <w:lang w:val="lv-LV"/>
              </w:rPr>
            </w:pPr>
            <w:r w:rsidRPr="00267BCC">
              <w:rPr>
                <w:rFonts w:ascii="Times New Roman" w:hAnsi="Times New Roman"/>
                <w:sz w:val="24"/>
                <w:szCs w:val="24"/>
                <w:lang w:val="lv-LV"/>
              </w:rPr>
              <w:t>Atbalsta programmas izstrāde radošo industriju projektu piesaistei.</w:t>
            </w:r>
          </w:p>
        </w:tc>
      </w:tr>
    </w:tbl>
    <w:p w14:paraId="49640CFA" w14:textId="77777777" w:rsidR="00F7591A" w:rsidRPr="005C766A" w:rsidRDefault="00F7591A" w:rsidP="00B457FA">
      <w:pPr>
        <w:spacing w:before="120"/>
        <w:ind w:firstLine="720"/>
        <w:jc w:val="both"/>
        <w:rPr>
          <w:lang w:val="lv-LV"/>
        </w:rPr>
      </w:pPr>
      <w:r w:rsidRPr="005C766A">
        <w:rPr>
          <w:lang w:val="lv-LV"/>
        </w:rPr>
        <w:t>Visiem stratēģiskajiem tūrisma veidiem iespēju robežās jāņem vērā un jāatspoguļo Latvijas tūrisma zīmola idej</w:t>
      </w:r>
      <w:r w:rsidR="00BE3B5E" w:rsidRPr="005C766A">
        <w:rPr>
          <w:lang w:val="lv-LV"/>
        </w:rPr>
        <w:t xml:space="preserve">as un pamatvērtības, kā arī jānodrošina personām ar invaliditāti vienlīdzīgas iespējas izmantot tūrisma pakalpojumus Latvijā. </w:t>
      </w:r>
    </w:p>
    <w:p w14:paraId="49640CFB" w14:textId="77777777" w:rsidR="003F2144" w:rsidRPr="00267BCC" w:rsidRDefault="003F2144" w:rsidP="00267BCC">
      <w:pPr>
        <w:jc w:val="both"/>
        <w:rPr>
          <w:lang w:val="lv-LV"/>
        </w:rPr>
      </w:pPr>
    </w:p>
    <w:p w14:paraId="49640CFC" w14:textId="77777777" w:rsidR="001F08B9" w:rsidRPr="00267BCC" w:rsidRDefault="001F08B9" w:rsidP="00267BCC">
      <w:pPr>
        <w:pStyle w:val="Heading2"/>
        <w:numPr>
          <w:ilvl w:val="1"/>
          <w:numId w:val="24"/>
        </w:numPr>
        <w:rPr>
          <w:rFonts w:eastAsia="Calibri"/>
          <w:lang w:val="lv-LV"/>
        </w:rPr>
      </w:pPr>
      <w:bookmarkStart w:id="36" w:name="_Toc381256669"/>
      <w:r w:rsidRPr="00267BCC">
        <w:rPr>
          <w:rFonts w:eastAsia="Calibri"/>
          <w:lang w:val="lv-LV"/>
        </w:rPr>
        <w:t>Atbalstāmās tūrisma teritorijas</w:t>
      </w:r>
      <w:bookmarkEnd w:id="36"/>
    </w:p>
    <w:p w14:paraId="49640CFD" w14:textId="77777777" w:rsidR="001F08B9" w:rsidRPr="00300FE7" w:rsidRDefault="001F08B9" w:rsidP="00267BCC">
      <w:pPr>
        <w:jc w:val="both"/>
        <w:rPr>
          <w:rFonts w:eastAsia="Calibri"/>
          <w:u w:val="single"/>
          <w:lang w:val="lv-LV"/>
        </w:rPr>
      </w:pPr>
    </w:p>
    <w:p w14:paraId="49640CFE" w14:textId="77777777" w:rsidR="001F08B9" w:rsidRPr="005C766A" w:rsidRDefault="00300FE7" w:rsidP="00267BCC">
      <w:pPr>
        <w:ind w:firstLine="720"/>
        <w:jc w:val="both"/>
        <w:rPr>
          <w:rFonts w:eastAsia="Calibri"/>
          <w:lang w:val="lv-LV"/>
        </w:rPr>
      </w:pPr>
      <w:r w:rsidRPr="005C766A">
        <w:rPr>
          <w:rFonts w:eastAsia="Calibri"/>
          <w:lang w:val="lv-LV"/>
        </w:rPr>
        <w:t>Atbalstāmo tūrisma teritoriju principi noteikti ņemot vērā</w:t>
      </w:r>
      <w:r w:rsidR="001F08B9" w:rsidRPr="005C766A">
        <w:rPr>
          <w:rFonts w:eastAsia="Calibri"/>
          <w:lang w:val="lv-LV"/>
        </w:rPr>
        <w:t xml:space="preserve"> esošo Latvijas tūrisma pie</w:t>
      </w:r>
      <w:r w:rsidRPr="005C766A">
        <w:rPr>
          <w:rFonts w:eastAsia="Calibri"/>
          <w:lang w:val="lv-LV"/>
        </w:rPr>
        <w:t>saistes objektu koncentrāciju,</w:t>
      </w:r>
      <w:r w:rsidR="001F08B9" w:rsidRPr="005C766A">
        <w:rPr>
          <w:rFonts w:eastAsia="Calibri"/>
          <w:lang w:val="lv-LV"/>
        </w:rPr>
        <w:t xml:space="preserve"> teritoriju potenciālu</w:t>
      </w:r>
      <w:r w:rsidR="00BE1154" w:rsidRPr="005C766A">
        <w:rPr>
          <w:rFonts w:eastAsia="Calibri"/>
          <w:lang w:val="lv-LV"/>
        </w:rPr>
        <w:t xml:space="preserve"> un tūristu plūsmas</w:t>
      </w:r>
      <w:r w:rsidR="001F08B9" w:rsidRPr="005C766A">
        <w:rPr>
          <w:rFonts w:eastAsia="Calibri"/>
          <w:lang w:val="lv-LV"/>
        </w:rPr>
        <w:t xml:space="preserve">, </w:t>
      </w:r>
      <w:r w:rsidRPr="005C766A">
        <w:rPr>
          <w:rFonts w:eastAsia="Calibri"/>
          <w:lang w:val="lv-LV"/>
        </w:rPr>
        <w:t xml:space="preserve">tādējādi </w:t>
      </w:r>
      <w:r w:rsidR="001F08B9" w:rsidRPr="005C766A">
        <w:rPr>
          <w:rFonts w:eastAsia="Calibri"/>
          <w:lang w:val="lv-LV"/>
        </w:rPr>
        <w:t>indikatīv</w:t>
      </w:r>
      <w:r w:rsidRPr="005C766A">
        <w:rPr>
          <w:rFonts w:eastAsia="Calibri"/>
          <w:lang w:val="lv-LV"/>
        </w:rPr>
        <w:t>i iespējams identificēt galvenās</w:t>
      </w:r>
      <w:r w:rsidR="001F08B9" w:rsidRPr="005C766A">
        <w:rPr>
          <w:rFonts w:eastAsia="Calibri"/>
          <w:lang w:val="lv-LV"/>
        </w:rPr>
        <w:t xml:space="preserve"> teritorijas, kurās </w:t>
      </w:r>
      <w:r w:rsidR="00895037" w:rsidRPr="005C766A">
        <w:rPr>
          <w:rFonts w:eastAsia="Calibri"/>
          <w:lang w:val="lv-LV"/>
        </w:rPr>
        <w:t xml:space="preserve">būtu </w:t>
      </w:r>
      <w:r w:rsidR="001F08B9" w:rsidRPr="005C766A">
        <w:rPr>
          <w:rFonts w:eastAsia="Calibri"/>
          <w:lang w:val="lv-LV"/>
        </w:rPr>
        <w:t>lietderīgi koncentrēt ieguldījumus tūrisma piedāvājuma attīstībai.</w:t>
      </w:r>
    </w:p>
    <w:p w14:paraId="49640CFF" w14:textId="77777777" w:rsidR="001623F2" w:rsidRPr="005C766A" w:rsidRDefault="001623F2" w:rsidP="00267BCC">
      <w:pPr>
        <w:rPr>
          <w:lang w:val="lv-LV"/>
        </w:rPr>
      </w:pPr>
    </w:p>
    <w:p w14:paraId="49640D00" w14:textId="77777777" w:rsidR="00256525" w:rsidRPr="00267BCC" w:rsidRDefault="00256525" w:rsidP="00267BCC">
      <w:pPr>
        <w:jc w:val="right"/>
        <w:rPr>
          <w:lang w:val="lv-LV"/>
        </w:rPr>
      </w:pPr>
      <w:r w:rsidRPr="00267BCC">
        <w:rPr>
          <w:lang w:val="lv-LV"/>
        </w:rPr>
        <w:t>11.tabula</w:t>
      </w:r>
    </w:p>
    <w:p w14:paraId="49640D01" w14:textId="77777777" w:rsidR="001F08B9" w:rsidRPr="00267BCC" w:rsidRDefault="001F08B9" w:rsidP="00267BCC">
      <w:pPr>
        <w:ind w:firstLine="720"/>
        <w:rPr>
          <w:b/>
          <w:lang w:val="lv-LV"/>
        </w:rPr>
      </w:pPr>
      <w:r w:rsidRPr="00267BCC">
        <w:rPr>
          <w:b/>
          <w:lang w:val="lv-LV"/>
        </w:rPr>
        <w:t>K</w:t>
      </w:r>
      <w:r w:rsidR="003240F2" w:rsidRPr="00267BCC">
        <w:rPr>
          <w:b/>
          <w:lang w:val="lv-LV"/>
        </w:rPr>
        <w:t>ritēriji teritorijām, kurās var</w:t>
      </w:r>
      <w:r w:rsidRPr="00267BCC">
        <w:rPr>
          <w:b/>
          <w:lang w:val="lv-LV"/>
        </w:rPr>
        <w:t xml:space="preserve"> tikt atbalstīta tūrisma objekta attīstība </w:t>
      </w:r>
    </w:p>
    <w:tbl>
      <w:tblPr>
        <w:tblStyle w:val="TableGrid1"/>
        <w:tblW w:w="5000" w:type="pct"/>
        <w:tblLook w:val="04A0" w:firstRow="1" w:lastRow="0" w:firstColumn="1" w:lastColumn="0" w:noHBand="0" w:noVBand="1"/>
      </w:tblPr>
      <w:tblGrid>
        <w:gridCol w:w="3369"/>
        <w:gridCol w:w="5918"/>
      </w:tblGrid>
      <w:tr w:rsidR="001F08B9" w:rsidRPr="00267BCC" w14:paraId="49640D04" w14:textId="77777777" w:rsidTr="001F08B9">
        <w:trPr>
          <w:trHeight w:val="385"/>
        </w:trPr>
        <w:tc>
          <w:tcPr>
            <w:tcW w:w="1814" w:type="pct"/>
            <w:vAlign w:val="center"/>
          </w:tcPr>
          <w:p w14:paraId="49640D02" w14:textId="77777777" w:rsidR="001F08B9" w:rsidRPr="00267BCC" w:rsidRDefault="001F08B9" w:rsidP="00267BCC">
            <w:pPr>
              <w:jc w:val="center"/>
              <w:rPr>
                <w:b/>
                <w:lang w:val="lv-LV"/>
              </w:rPr>
            </w:pPr>
            <w:r w:rsidRPr="00267BCC">
              <w:rPr>
                <w:b/>
                <w:lang w:val="lv-LV"/>
              </w:rPr>
              <w:t>Kritērijs</w:t>
            </w:r>
          </w:p>
        </w:tc>
        <w:tc>
          <w:tcPr>
            <w:tcW w:w="3186" w:type="pct"/>
            <w:vAlign w:val="center"/>
          </w:tcPr>
          <w:p w14:paraId="49640D03" w14:textId="77777777" w:rsidR="001F08B9" w:rsidRPr="00267BCC" w:rsidRDefault="001F08B9" w:rsidP="00267BCC">
            <w:pPr>
              <w:jc w:val="center"/>
              <w:rPr>
                <w:b/>
                <w:lang w:val="lv-LV"/>
              </w:rPr>
            </w:pPr>
            <w:r w:rsidRPr="00267BCC">
              <w:rPr>
                <w:b/>
                <w:lang w:val="lv-LV"/>
              </w:rPr>
              <w:t>Raksturojums</w:t>
            </w:r>
          </w:p>
        </w:tc>
      </w:tr>
      <w:tr w:rsidR="001F08B9" w:rsidRPr="00085EAA" w14:paraId="49640D07" w14:textId="77777777" w:rsidTr="00221114">
        <w:tc>
          <w:tcPr>
            <w:tcW w:w="1814" w:type="pct"/>
            <w:vAlign w:val="center"/>
          </w:tcPr>
          <w:p w14:paraId="49640D05" w14:textId="77777777" w:rsidR="001F08B9" w:rsidRPr="00267BCC" w:rsidRDefault="001F08B9" w:rsidP="00267BCC">
            <w:pPr>
              <w:rPr>
                <w:b/>
                <w:lang w:val="lv-LV"/>
              </w:rPr>
            </w:pPr>
            <w:r w:rsidRPr="00267BCC">
              <w:rPr>
                <w:b/>
                <w:lang w:val="lv-LV"/>
              </w:rPr>
              <w:t xml:space="preserve">Atrašanās vieta un piekļūšana </w:t>
            </w:r>
          </w:p>
        </w:tc>
        <w:tc>
          <w:tcPr>
            <w:tcW w:w="3186" w:type="pct"/>
            <w:vAlign w:val="center"/>
          </w:tcPr>
          <w:p w14:paraId="49640D06" w14:textId="77777777" w:rsidR="001F08B9" w:rsidRPr="00267BCC" w:rsidRDefault="001F08B9" w:rsidP="00267BCC">
            <w:pPr>
              <w:jc w:val="both"/>
              <w:rPr>
                <w:lang w:val="lv-LV"/>
              </w:rPr>
            </w:pPr>
            <w:r w:rsidRPr="00267BCC">
              <w:rPr>
                <w:lang w:val="lv-LV"/>
              </w:rPr>
              <w:t>Transporta savienojumi, ceļi, ceļu kvalitāte, sabiedriskā tra</w:t>
            </w:r>
            <w:r w:rsidR="003240F2" w:rsidRPr="00267BCC">
              <w:rPr>
                <w:lang w:val="lv-LV"/>
              </w:rPr>
              <w:t>nsporta tīkls</w:t>
            </w:r>
          </w:p>
        </w:tc>
      </w:tr>
      <w:tr w:rsidR="001F08B9" w:rsidRPr="00085EAA" w14:paraId="49640D0A" w14:textId="77777777" w:rsidTr="00221114">
        <w:tc>
          <w:tcPr>
            <w:tcW w:w="1814" w:type="pct"/>
            <w:vAlign w:val="center"/>
          </w:tcPr>
          <w:p w14:paraId="49640D08" w14:textId="77777777" w:rsidR="001F08B9" w:rsidRPr="00267BCC" w:rsidRDefault="001F08B9" w:rsidP="00267BCC">
            <w:pPr>
              <w:rPr>
                <w:b/>
                <w:lang w:val="lv-LV"/>
              </w:rPr>
            </w:pPr>
            <w:r w:rsidRPr="00267BCC">
              <w:rPr>
                <w:b/>
                <w:lang w:val="lv-LV"/>
              </w:rPr>
              <w:t>Esošās tūristu plūsmas raksturojums</w:t>
            </w:r>
          </w:p>
        </w:tc>
        <w:tc>
          <w:tcPr>
            <w:tcW w:w="3186" w:type="pct"/>
            <w:vAlign w:val="center"/>
          </w:tcPr>
          <w:p w14:paraId="49640D09" w14:textId="77777777" w:rsidR="001F08B9" w:rsidRPr="00267BCC" w:rsidRDefault="001F08B9" w:rsidP="00267BCC">
            <w:pPr>
              <w:jc w:val="both"/>
              <w:rPr>
                <w:lang w:val="lv-LV"/>
              </w:rPr>
            </w:pPr>
            <w:r w:rsidRPr="00267BCC">
              <w:rPr>
                <w:lang w:val="lv-LV"/>
              </w:rPr>
              <w:t>Esošā tūristu plūsma (vietējie, ārvalstu, tirgi, mērķa grupas, sezonalitāte)</w:t>
            </w:r>
          </w:p>
        </w:tc>
      </w:tr>
      <w:tr w:rsidR="001F08B9" w:rsidRPr="00085EAA" w14:paraId="49640D0D" w14:textId="77777777" w:rsidTr="00221114">
        <w:tc>
          <w:tcPr>
            <w:tcW w:w="1814" w:type="pct"/>
            <w:vAlign w:val="center"/>
          </w:tcPr>
          <w:p w14:paraId="49640D0B" w14:textId="77777777" w:rsidR="001F08B9" w:rsidRPr="00267BCC" w:rsidRDefault="001F08B9" w:rsidP="00267BCC">
            <w:pPr>
              <w:rPr>
                <w:b/>
                <w:lang w:val="lv-LV"/>
              </w:rPr>
            </w:pPr>
            <w:r w:rsidRPr="00267BCC">
              <w:rPr>
                <w:b/>
                <w:lang w:val="lv-LV"/>
              </w:rPr>
              <w:t xml:space="preserve">Esošais tūristu skaits </w:t>
            </w:r>
          </w:p>
        </w:tc>
        <w:tc>
          <w:tcPr>
            <w:tcW w:w="3186" w:type="pct"/>
            <w:vAlign w:val="center"/>
          </w:tcPr>
          <w:p w14:paraId="49640D0C" w14:textId="77777777" w:rsidR="001F08B9" w:rsidRPr="00267BCC" w:rsidRDefault="001F08B9" w:rsidP="00267BCC">
            <w:pPr>
              <w:jc w:val="both"/>
              <w:rPr>
                <w:lang w:val="lv-LV"/>
              </w:rPr>
            </w:pPr>
            <w:r w:rsidRPr="00267BCC">
              <w:rPr>
                <w:lang w:val="lv-LV"/>
              </w:rPr>
              <w:t>Tūristu un apmeklētāju skaits objektos, naktsmītnēs, pasākumos</w:t>
            </w:r>
          </w:p>
        </w:tc>
      </w:tr>
      <w:tr w:rsidR="001F08B9" w:rsidRPr="00085EAA" w14:paraId="49640D10" w14:textId="77777777" w:rsidTr="00221114">
        <w:tc>
          <w:tcPr>
            <w:tcW w:w="1814" w:type="pct"/>
            <w:vAlign w:val="center"/>
          </w:tcPr>
          <w:p w14:paraId="49640D0E" w14:textId="77777777" w:rsidR="001F08B9" w:rsidRPr="00267BCC" w:rsidRDefault="001F08B9" w:rsidP="00267BCC">
            <w:pPr>
              <w:rPr>
                <w:b/>
                <w:lang w:val="lv-LV"/>
              </w:rPr>
            </w:pPr>
            <w:r w:rsidRPr="00267BCC">
              <w:rPr>
                <w:b/>
                <w:lang w:val="lv-LV"/>
              </w:rPr>
              <w:t xml:space="preserve">Esošā tūrisma infrastruktūra, tūrisma pakalpojumu </w:t>
            </w:r>
            <w:r w:rsidRPr="00267BCC">
              <w:rPr>
                <w:b/>
                <w:lang w:val="lv-LV"/>
              </w:rPr>
              <w:lastRenderedPageBreak/>
              <w:t>sniedzēju skaits un veidi</w:t>
            </w:r>
          </w:p>
        </w:tc>
        <w:tc>
          <w:tcPr>
            <w:tcW w:w="3186" w:type="pct"/>
            <w:vAlign w:val="center"/>
          </w:tcPr>
          <w:p w14:paraId="49640D0F" w14:textId="77777777" w:rsidR="001F08B9" w:rsidRPr="00267BCC" w:rsidRDefault="001F08B9" w:rsidP="00267BCC">
            <w:pPr>
              <w:jc w:val="both"/>
              <w:rPr>
                <w:lang w:val="lv-LV"/>
              </w:rPr>
            </w:pPr>
            <w:r w:rsidRPr="00267BCC">
              <w:rPr>
                <w:lang w:val="lv-LV"/>
              </w:rPr>
              <w:lastRenderedPageBreak/>
              <w:t xml:space="preserve">Tūrisma nozares un ar to saistīto citu nozaru (transporta, tirdzniecības, sakaru, kultūras, veselības aizsardzības </w:t>
            </w:r>
            <w:r w:rsidRPr="00267BCC">
              <w:rPr>
                <w:lang w:val="lv-LV"/>
              </w:rPr>
              <w:lastRenderedPageBreak/>
              <w:t>u.tml.) pakalpojumu kopums, kas nodrošina tūrisma nozares darbību. Objekta apkārtnē esošie tūrisma nozares pakalpojumu sniedzēji – ēdināšana, naktsmītnes, pasākumi, tūristu piesaistes vietas, apskates objekti u.c.</w:t>
            </w:r>
          </w:p>
        </w:tc>
      </w:tr>
      <w:tr w:rsidR="001F08B9" w:rsidRPr="00085EAA" w14:paraId="49640D13" w14:textId="77777777" w:rsidTr="00221114">
        <w:tc>
          <w:tcPr>
            <w:tcW w:w="1814" w:type="pct"/>
            <w:vAlign w:val="center"/>
          </w:tcPr>
          <w:p w14:paraId="49640D11" w14:textId="77777777" w:rsidR="001F08B9" w:rsidRPr="00267BCC" w:rsidRDefault="001F08B9" w:rsidP="00267BCC">
            <w:pPr>
              <w:rPr>
                <w:b/>
                <w:lang w:val="lv-LV"/>
              </w:rPr>
            </w:pPr>
            <w:r w:rsidRPr="00267BCC">
              <w:rPr>
                <w:b/>
                <w:lang w:val="lv-LV"/>
              </w:rPr>
              <w:lastRenderedPageBreak/>
              <w:t>Vietas atpazīstamība, mārketings</w:t>
            </w:r>
          </w:p>
        </w:tc>
        <w:tc>
          <w:tcPr>
            <w:tcW w:w="3186" w:type="pct"/>
            <w:vAlign w:val="center"/>
          </w:tcPr>
          <w:p w14:paraId="49640D12" w14:textId="77777777" w:rsidR="001F08B9" w:rsidRPr="00267BCC" w:rsidRDefault="001F08B9" w:rsidP="00267BCC">
            <w:pPr>
              <w:jc w:val="both"/>
              <w:rPr>
                <w:lang w:val="lv-LV"/>
              </w:rPr>
            </w:pPr>
            <w:r w:rsidRPr="00267BCC">
              <w:rPr>
                <w:lang w:val="lv-LV"/>
              </w:rPr>
              <w:t>Vietas īstenotie mārketinga pasākumi starptautiskajā un vietējā tirgū, vietas atpazīstamība</w:t>
            </w:r>
          </w:p>
        </w:tc>
      </w:tr>
      <w:tr w:rsidR="001F08B9" w:rsidRPr="00085EAA" w14:paraId="49640D16" w14:textId="77777777" w:rsidTr="00221114">
        <w:tc>
          <w:tcPr>
            <w:tcW w:w="1814" w:type="pct"/>
            <w:vAlign w:val="center"/>
          </w:tcPr>
          <w:p w14:paraId="49640D14" w14:textId="77777777" w:rsidR="001F08B9" w:rsidRPr="00267BCC" w:rsidRDefault="001F08B9" w:rsidP="00267BCC">
            <w:pPr>
              <w:rPr>
                <w:b/>
                <w:lang w:val="lv-LV"/>
              </w:rPr>
            </w:pPr>
            <w:r w:rsidRPr="00267BCC">
              <w:rPr>
                <w:b/>
                <w:lang w:val="lv-LV"/>
              </w:rPr>
              <w:t>Tūrisma plānošanas un attīstības dokumenti</w:t>
            </w:r>
          </w:p>
        </w:tc>
        <w:tc>
          <w:tcPr>
            <w:tcW w:w="3186" w:type="pct"/>
            <w:vAlign w:val="center"/>
          </w:tcPr>
          <w:p w14:paraId="49640D15" w14:textId="77777777" w:rsidR="001F08B9" w:rsidRPr="00267BCC" w:rsidRDefault="001F08B9" w:rsidP="00267BCC">
            <w:pPr>
              <w:jc w:val="both"/>
              <w:rPr>
                <w:lang w:val="lv-LV"/>
              </w:rPr>
            </w:pPr>
            <w:r w:rsidRPr="00267BCC">
              <w:rPr>
                <w:lang w:val="lv-LV"/>
              </w:rPr>
              <w:t>Tūrisma nozares attīstība ir paredzēta vietas attīstības plānošanas dokumentos.</w:t>
            </w:r>
          </w:p>
        </w:tc>
      </w:tr>
      <w:tr w:rsidR="001F08B9" w:rsidRPr="00085EAA" w14:paraId="49640D19" w14:textId="77777777" w:rsidTr="00221114">
        <w:tc>
          <w:tcPr>
            <w:tcW w:w="1814" w:type="pct"/>
            <w:vAlign w:val="center"/>
          </w:tcPr>
          <w:p w14:paraId="49640D17" w14:textId="77777777" w:rsidR="001F08B9" w:rsidRPr="00267BCC" w:rsidRDefault="001F08B9" w:rsidP="00267BCC">
            <w:pPr>
              <w:rPr>
                <w:b/>
                <w:lang w:val="lv-LV"/>
              </w:rPr>
            </w:pPr>
            <w:r w:rsidRPr="00267BCC">
              <w:rPr>
                <w:b/>
                <w:lang w:val="lv-LV"/>
              </w:rPr>
              <w:t>Tūrisma veicināšanas organizācijas</w:t>
            </w:r>
          </w:p>
        </w:tc>
        <w:tc>
          <w:tcPr>
            <w:tcW w:w="3186" w:type="pct"/>
            <w:vAlign w:val="center"/>
          </w:tcPr>
          <w:p w14:paraId="49640D18" w14:textId="77777777" w:rsidR="001F08B9" w:rsidRPr="00267BCC" w:rsidRDefault="001F08B9" w:rsidP="00267BCC">
            <w:pPr>
              <w:jc w:val="both"/>
              <w:rPr>
                <w:lang w:val="lv-LV"/>
              </w:rPr>
            </w:pPr>
            <w:r w:rsidRPr="00267BCC">
              <w:rPr>
                <w:lang w:val="lv-LV"/>
              </w:rPr>
              <w:t xml:space="preserve">Tūrisma vietā darbojas tūrisma veicināšanas organizācijas. </w:t>
            </w:r>
          </w:p>
        </w:tc>
      </w:tr>
      <w:tr w:rsidR="00305983" w:rsidRPr="00085EAA" w14:paraId="49640D1C" w14:textId="77777777" w:rsidTr="00221114">
        <w:tc>
          <w:tcPr>
            <w:tcW w:w="1814" w:type="pct"/>
            <w:vAlign w:val="center"/>
          </w:tcPr>
          <w:p w14:paraId="49640D1A" w14:textId="77777777" w:rsidR="00305983" w:rsidRPr="005C766A" w:rsidRDefault="00305983" w:rsidP="00267BCC">
            <w:pPr>
              <w:rPr>
                <w:b/>
                <w:lang w:val="lv-LV"/>
              </w:rPr>
            </w:pPr>
            <w:r w:rsidRPr="005C766A">
              <w:rPr>
                <w:b/>
                <w:lang w:val="lv-LV"/>
              </w:rPr>
              <w:t>Tūrisma eksportam konkurētspējīga teritorija</w:t>
            </w:r>
          </w:p>
        </w:tc>
        <w:tc>
          <w:tcPr>
            <w:tcW w:w="3186" w:type="pct"/>
            <w:vAlign w:val="center"/>
          </w:tcPr>
          <w:p w14:paraId="49640D1B" w14:textId="77777777" w:rsidR="00305983" w:rsidRPr="005C766A" w:rsidRDefault="009152F1" w:rsidP="00267BCC">
            <w:pPr>
              <w:jc w:val="both"/>
              <w:rPr>
                <w:lang w:val="lv-LV"/>
              </w:rPr>
            </w:pPr>
            <w:r w:rsidRPr="005C766A">
              <w:rPr>
                <w:lang w:val="lv-LV"/>
              </w:rPr>
              <w:t xml:space="preserve">Teritorijas, kas iezīmētas </w:t>
            </w:r>
            <w:r w:rsidR="00F33727" w:rsidRPr="005C766A">
              <w:rPr>
                <w:lang w:val="lv-LV"/>
              </w:rPr>
              <w:t>3</w:t>
            </w:r>
            <w:r w:rsidR="00C9302F" w:rsidRPr="005C766A">
              <w:rPr>
                <w:lang w:val="lv-LV"/>
              </w:rPr>
              <w:t>.pielikuma pirmajā kartē</w:t>
            </w:r>
            <w:r w:rsidRPr="005C766A">
              <w:rPr>
                <w:lang w:val="lv-LV"/>
              </w:rPr>
              <w:t xml:space="preserve"> ar apzīmējumu</w:t>
            </w:r>
            <w:r w:rsidR="00305983" w:rsidRPr="005C766A">
              <w:rPr>
                <w:lang w:val="lv-LV"/>
              </w:rPr>
              <w:t xml:space="preserve"> „T</w:t>
            </w:r>
            <w:r w:rsidR="00B64150" w:rsidRPr="005C766A">
              <w:rPr>
                <w:lang w:val="lv-LV"/>
              </w:rPr>
              <w:t>ūrisma eksportam konkurētspējīgākās</w:t>
            </w:r>
            <w:r w:rsidR="00305983" w:rsidRPr="005C766A">
              <w:rPr>
                <w:lang w:val="lv-LV"/>
              </w:rPr>
              <w:t xml:space="preserve"> teritorijas"</w:t>
            </w:r>
            <w:r w:rsidRPr="005C766A">
              <w:rPr>
                <w:lang w:val="lv-LV"/>
              </w:rPr>
              <w:t>.</w:t>
            </w:r>
          </w:p>
        </w:tc>
      </w:tr>
      <w:tr w:rsidR="0010306D" w:rsidRPr="00085EAA" w14:paraId="49640D1F" w14:textId="77777777" w:rsidTr="00221114">
        <w:tc>
          <w:tcPr>
            <w:tcW w:w="1814" w:type="pct"/>
            <w:vAlign w:val="center"/>
          </w:tcPr>
          <w:p w14:paraId="49640D1D" w14:textId="77777777" w:rsidR="0010306D" w:rsidRPr="005C766A" w:rsidRDefault="0010306D" w:rsidP="00267BCC">
            <w:pPr>
              <w:rPr>
                <w:b/>
                <w:lang w:val="lv-LV"/>
              </w:rPr>
            </w:pPr>
            <w:r w:rsidRPr="005C766A">
              <w:rPr>
                <w:b/>
                <w:lang w:val="lv-LV"/>
              </w:rPr>
              <w:t>Plānoto investīciju sasaiste ar citām publiskajām un privātajām investīcijām kompleksai vietas attīstībai</w:t>
            </w:r>
          </w:p>
        </w:tc>
        <w:tc>
          <w:tcPr>
            <w:tcW w:w="3186" w:type="pct"/>
            <w:vAlign w:val="center"/>
          </w:tcPr>
          <w:p w14:paraId="49640D1E" w14:textId="77777777" w:rsidR="0010306D" w:rsidRPr="005C766A" w:rsidRDefault="0010306D" w:rsidP="00267BCC">
            <w:pPr>
              <w:jc w:val="both"/>
              <w:rPr>
                <w:lang w:val="lv-LV"/>
              </w:rPr>
            </w:pPr>
            <w:r w:rsidRPr="005C766A">
              <w:rPr>
                <w:lang w:val="lv-LV"/>
              </w:rPr>
              <w:t>Teritorijā plānotās investīcijas papildinoši sasaistās ar citām publiskajām un privātajām investīcijām.</w:t>
            </w:r>
          </w:p>
        </w:tc>
      </w:tr>
    </w:tbl>
    <w:p w14:paraId="49640D20" w14:textId="77777777" w:rsidR="003F2144" w:rsidRPr="00267BCC" w:rsidRDefault="003F2144" w:rsidP="00267BCC">
      <w:pPr>
        <w:pStyle w:val="Heading1"/>
        <w:ind w:left="360"/>
        <w:rPr>
          <w:rFonts w:eastAsia="Calibri"/>
        </w:rPr>
      </w:pPr>
      <w:bookmarkStart w:id="37" w:name="_Toc321225370"/>
    </w:p>
    <w:p w14:paraId="49640D21" w14:textId="77777777" w:rsidR="003F2144" w:rsidRPr="00267BCC" w:rsidRDefault="003F2144" w:rsidP="00267BCC">
      <w:pPr>
        <w:rPr>
          <w:rFonts w:eastAsia="Calibri"/>
          <w:b/>
          <w:sz w:val="32"/>
          <w:lang w:val="lv-LV" w:eastAsia="en-US"/>
        </w:rPr>
      </w:pPr>
      <w:r w:rsidRPr="00267BCC">
        <w:rPr>
          <w:rFonts w:eastAsia="Calibri"/>
          <w:lang w:val="lv-LV"/>
        </w:rPr>
        <w:br w:type="page"/>
      </w:r>
    </w:p>
    <w:p w14:paraId="49640D22" w14:textId="77777777" w:rsidR="001F08B9" w:rsidRPr="00267BCC" w:rsidRDefault="001F08B9" w:rsidP="00267BCC">
      <w:pPr>
        <w:pStyle w:val="Heading1"/>
        <w:numPr>
          <w:ilvl w:val="0"/>
          <w:numId w:val="24"/>
        </w:numPr>
        <w:rPr>
          <w:rFonts w:eastAsia="Calibri"/>
        </w:rPr>
      </w:pPr>
      <w:bookmarkStart w:id="38" w:name="_Toc381256670"/>
      <w:r w:rsidRPr="00267BCC">
        <w:rPr>
          <w:rFonts w:eastAsia="Calibri"/>
        </w:rPr>
        <w:lastRenderedPageBreak/>
        <w:t>Rīcības virzieni un uzdevumi politikas mērķu sasniegšanai</w:t>
      </w:r>
      <w:bookmarkEnd w:id="37"/>
      <w:bookmarkEnd w:id="38"/>
    </w:p>
    <w:p w14:paraId="49640D23" w14:textId="77777777" w:rsidR="001F08B9" w:rsidRPr="00267BCC" w:rsidRDefault="001F08B9" w:rsidP="00267BCC">
      <w:pPr>
        <w:rPr>
          <w:rFonts w:eastAsia="Calibri"/>
          <w:lang w:val="lv-LV"/>
        </w:rPr>
      </w:pPr>
    </w:p>
    <w:p w14:paraId="49640D24" w14:textId="77777777" w:rsidR="001F08B9" w:rsidRPr="00267BCC" w:rsidRDefault="001F08B9" w:rsidP="00267BCC">
      <w:pPr>
        <w:pStyle w:val="Heading2"/>
        <w:numPr>
          <w:ilvl w:val="1"/>
          <w:numId w:val="24"/>
        </w:numPr>
        <w:rPr>
          <w:lang w:val="lv-LV"/>
        </w:rPr>
      </w:pPr>
      <w:bookmarkStart w:id="39" w:name="_Toc381256671"/>
      <w:r w:rsidRPr="00267BCC">
        <w:rPr>
          <w:lang w:val="lv-LV"/>
        </w:rPr>
        <w:t>Infrastruktūras attīstība tūrisma izaugsmei</w:t>
      </w:r>
      <w:bookmarkEnd w:id="39"/>
    </w:p>
    <w:p w14:paraId="49640D25" w14:textId="77777777" w:rsidR="001F08B9" w:rsidRPr="00267BCC" w:rsidRDefault="001F08B9" w:rsidP="00267BCC">
      <w:pPr>
        <w:jc w:val="both"/>
        <w:rPr>
          <w:rFonts w:eastAsia="Calibri"/>
          <w:lang w:val="lv-LV"/>
        </w:rPr>
      </w:pPr>
    </w:p>
    <w:p w14:paraId="49640D26" w14:textId="77777777" w:rsidR="001915B2" w:rsidRPr="00267BCC" w:rsidRDefault="00517376" w:rsidP="00267BCC">
      <w:pPr>
        <w:ind w:firstLine="720"/>
        <w:jc w:val="both"/>
        <w:rPr>
          <w:rFonts w:eastAsia="Calibri"/>
          <w:lang w:val="lv-LV"/>
        </w:rPr>
      </w:pPr>
      <w:r w:rsidRPr="00267BCC">
        <w:rPr>
          <w:lang w:val="lv-LV"/>
        </w:rPr>
        <w:t>T</w:t>
      </w:r>
      <w:r w:rsidR="001F08B9" w:rsidRPr="00267BCC">
        <w:rPr>
          <w:lang w:val="lv-LV"/>
        </w:rPr>
        <w:t xml:space="preserve">ūrisma infrastruktūras </w:t>
      </w:r>
      <w:r w:rsidRPr="00267BCC">
        <w:rPr>
          <w:lang w:val="lv-LV"/>
        </w:rPr>
        <w:t>nepietiekamība</w:t>
      </w:r>
      <w:r w:rsidR="001F08B9" w:rsidRPr="00267BCC">
        <w:rPr>
          <w:lang w:val="lv-LV"/>
        </w:rPr>
        <w:t xml:space="preserve"> rada draudus pozitīvai tūris</w:t>
      </w:r>
      <w:r w:rsidR="001915B2" w:rsidRPr="00267BCC">
        <w:rPr>
          <w:lang w:val="lv-LV"/>
        </w:rPr>
        <w:t>ma nozares attīstībai nākotnē, tādēļ j</w:t>
      </w:r>
      <w:r w:rsidR="00913E6E" w:rsidRPr="00267BCC">
        <w:rPr>
          <w:rFonts w:eastAsia="Calibri"/>
          <w:lang w:val="lv-LV"/>
        </w:rPr>
        <w:t>āizmanto</w:t>
      </w:r>
      <w:r w:rsidR="00504486">
        <w:rPr>
          <w:rFonts w:eastAsia="Calibri"/>
          <w:lang w:val="lv-LV"/>
        </w:rPr>
        <w:t xml:space="preserve"> un </w:t>
      </w:r>
      <w:r w:rsidR="00504486" w:rsidRPr="005C766A">
        <w:rPr>
          <w:rFonts w:eastAsia="Calibri"/>
          <w:lang w:val="lv-LV"/>
        </w:rPr>
        <w:t>jāturpina attīstīt</w:t>
      </w:r>
      <w:r w:rsidR="00913E6E" w:rsidRPr="005C766A">
        <w:rPr>
          <w:rFonts w:eastAsia="Calibri"/>
          <w:lang w:val="lv-LV"/>
        </w:rPr>
        <w:t xml:space="preserve"> stratēģiskās priekšrocības, piemēram, ģeogrāfiskais novietojums nozīmīgu tūrisma </w:t>
      </w:r>
      <w:r w:rsidR="005C08CF" w:rsidRPr="005C766A">
        <w:rPr>
          <w:rFonts w:eastAsia="Calibri"/>
          <w:lang w:val="lv-LV"/>
        </w:rPr>
        <w:t>galamērķu</w:t>
      </w:r>
      <w:r w:rsidR="00913E6E" w:rsidRPr="00267BCC">
        <w:rPr>
          <w:rFonts w:eastAsia="Calibri"/>
          <w:lang w:val="lv-LV"/>
        </w:rPr>
        <w:t xml:space="preserve"> tuvumā, bagātais dabas un kultūras mantojums, kūrortu tradīcijas, augsti kvalificēti un profesio</w:t>
      </w:r>
      <w:r w:rsidR="001915B2" w:rsidRPr="00267BCC">
        <w:rPr>
          <w:rFonts w:eastAsia="Calibri"/>
          <w:lang w:val="lv-LV"/>
        </w:rPr>
        <w:t>nāli dažādu nozaru speciālisti.</w:t>
      </w:r>
    </w:p>
    <w:p w14:paraId="49640D27" w14:textId="77777777" w:rsidR="00913E6E" w:rsidRPr="00267BCC" w:rsidRDefault="00913E6E" w:rsidP="00267BCC">
      <w:pPr>
        <w:ind w:firstLine="720"/>
        <w:jc w:val="both"/>
        <w:rPr>
          <w:lang w:val="lv-LV"/>
        </w:rPr>
      </w:pPr>
      <w:r w:rsidRPr="00267BCC">
        <w:rPr>
          <w:rFonts w:eastAsia="Calibri"/>
          <w:lang w:val="lv-LV"/>
        </w:rPr>
        <w:t>Galamērķa sasniedzamība ir viens no būtiskākajiem priekšnoteikumiem</w:t>
      </w:r>
      <w:r w:rsidR="001915B2" w:rsidRPr="00267BCC">
        <w:rPr>
          <w:rFonts w:eastAsia="Calibri"/>
          <w:lang w:val="lv-LV"/>
        </w:rPr>
        <w:t xml:space="preserve"> tūristu piesaistei</w:t>
      </w:r>
      <w:r w:rsidRPr="00267BCC">
        <w:rPr>
          <w:rFonts w:eastAsia="Calibri"/>
          <w:lang w:val="lv-LV"/>
        </w:rPr>
        <w:t>, īpaši izšķiroši tas ir MICE (da</w:t>
      </w:r>
      <w:r w:rsidR="001915B2" w:rsidRPr="00267BCC">
        <w:rPr>
          <w:rFonts w:eastAsia="Calibri"/>
          <w:lang w:val="lv-LV"/>
        </w:rPr>
        <w:t>rījumu un pasākumu</w:t>
      </w:r>
      <w:r w:rsidRPr="00267BCC">
        <w:rPr>
          <w:rFonts w:eastAsia="Calibri"/>
          <w:lang w:val="lv-LV"/>
        </w:rPr>
        <w:t xml:space="preserve">) tūrisma attīstībai. </w:t>
      </w:r>
      <w:r w:rsidR="001915B2" w:rsidRPr="00267BCC">
        <w:rPr>
          <w:rFonts w:eastAsia="Calibri"/>
          <w:lang w:val="lv-LV"/>
        </w:rPr>
        <w:t xml:space="preserve">Šobrīd ceļotāji </w:t>
      </w:r>
      <w:r w:rsidR="00DD3819" w:rsidRPr="00267BCC">
        <w:rPr>
          <w:rFonts w:eastAsia="Calibri"/>
          <w:lang w:val="lv-LV"/>
        </w:rPr>
        <w:t>Latvijā</w:t>
      </w:r>
      <w:r w:rsidRPr="00267BCC">
        <w:rPr>
          <w:rFonts w:eastAsia="Calibri"/>
          <w:lang w:val="lv-LV"/>
        </w:rPr>
        <w:t xml:space="preserve"> visvairāk </w:t>
      </w:r>
      <w:r w:rsidR="001915B2" w:rsidRPr="00267BCC">
        <w:rPr>
          <w:rFonts w:eastAsia="Calibri"/>
          <w:lang w:val="lv-LV"/>
        </w:rPr>
        <w:t>ierodas</w:t>
      </w:r>
      <w:r w:rsidR="00C766C7" w:rsidRPr="00267BCC">
        <w:rPr>
          <w:rFonts w:eastAsia="Calibri"/>
          <w:lang w:val="lv-LV"/>
        </w:rPr>
        <w:t>,</w:t>
      </w:r>
      <w:r w:rsidRPr="00267BCC">
        <w:rPr>
          <w:rFonts w:eastAsia="Calibri"/>
          <w:lang w:val="lv-LV"/>
        </w:rPr>
        <w:t xml:space="preserve"> izmantojot gaisa transportu un autotransportu, tomēr ievērojama daļa </w:t>
      </w:r>
      <w:r w:rsidR="00C766C7" w:rsidRPr="00267BCC">
        <w:rPr>
          <w:rFonts w:eastAsia="Calibri"/>
          <w:lang w:val="lv-LV"/>
        </w:rPr>
        <w:t xml:space="preserve">dod priekšroku </w:t>
      </w:r>
      <w:r w:rsidRPr="00267BCC">
        <w:rPr>
          <w:rFonts w:eastAsia="Calibri"/>
          <w:lang w:val="lv-LV"/>
        </w:rPr>
        <w:t>arī jū</w:t>
      </w:r>
      <w:r w:rsidR="00C766C7" w:rsidRPr="00267BCC">
        <w:rPr>
          <w:rFonts w:eastAsia="Calibri"/>
          <w:lang w:val="lv-LV"/>
        </w:rPr>
        <w:t>ras un dzelzceļa transportam. L</w:t>
      </w:r>
      <w:r w:rsidRPr="00267BCC">
        <w:rPr>
          <w:rFonts w:eastAsia="Calibri"/>
          <w:lang w:val="lv-LV"/>
        </w:rPr>
        <w:t>ai nodrošinātu altern</w:t>
      </w:r>
      <w:r w:rsidR="00C766C7" w:rsidRPr="00267BCC">
        <w:rPr>
          <w:rFonts w:eastAsia="Calibri"/>
          <w:lang w:val="lv-LV"/>
        </w:rPr>
        <w:t>atīvas galamērķa sasniegšanai, nepieciešams attīstīt visas sasniedzamības iespējas.</w:t>
      </w:r>
    </w:p>
    <w:p w14:paraId="49640D28" w14:textId="77777777" w:rsidR="00DE4035" w:rsidRPr="00267BCC" w:rsidRDefault="00DE4035" w:rsidP="00267BCC">
      <w:pPr>
        <w:ind w:firstLine="720"/>
        <w:jc w:val="both"/>
        <w:rPr>
          <w:lang w:val="lv-LV"/>
        </w:rPr>
      </w:pPr>
      <w:r w:rsidRPr="00267BCC">
        <w:rPr>
          <w:lang w:val="lv-LV"/>
        </w:rPr>
        <w:t xml:space="preserve">Viena no </w:t>
      </w:r>
      <w:r w:rsidR="001915B2" w:rsidRPr="00267BCC">
        <w:rPr>
          <w:lang w:val="lv-LV"/>
        </w:rPr>
        <w:t>iespējamām aktivitātēm: vienotas</w:t>
      </w:r>
      <w:r w:rsidRPr="00267BCC">
        <w:rPr>
          <w:lang w:val="lv-LV"/>
        </w:rPr>
        <w:t xml:space="preserve"> transporta biļetes un ieejas kartes tūrisma objektos attīstība (līdzīgi kā </w:t>
      </w:r>
      <w:r w:rsidRPr="00267BCC">
        <w:rPr>
          <w:i/>
          <w:lang w:val="lv-LV"/>
        </w:rPr>
        <w:t>Swiss Pass</w:t>
      </w:r>
      <w:r w:rsidRPr="00267BCC">
        <w:rPr>
          <w:lang w:val="lv-LV"/>
        </w:rPr>
        <w:t>), kas veicina tūristu plūsmu uz noteiktām teritorijām vai objektiem.</w:t>
      </w:r>
    </w:p>
    <w:p w14:paraId="49640D29" w14:textId="77777777" w:rsidR="001F08B9" w:rsidRPr="00267BCC" w:rsidRDefault="001F08B9" w:rsidP="00267BCC">
      <w:pPr>
        <w:ind w:firstLine="720"/>
        <w:jc w:val="both"/>
        <w:rPr>
          <w:rFonts w:eastAsia="Calibri"/>
          <w:lang w:val="lv-LV"/>
        </w:rPr>
      </w:pPr>
      <w:r w:rsidRPr="00267BCC">
        <w:rPr>
          <w:rFonts w:eastAsia="Calibri"/>
          <w:lang w:val="lv-LV"/>
        </w:rPr>
        <w:t>Plānojot infrastruktūr</w:t>
      </w:r>
      <w:r w:rsidR="00517376" w:rsidRPr="00267BCC">
        <w:rPr>
          <w:rFonts w:eastAsia="Calibri"/>
          <w:lang w:val="lv-LV"/>
        </w:rPr>
        <w:t>as attīstību</w:t>
      </w:r>
      <w:r w:rsidRPr="00267BCC">
        <w:rPr>
          <w:rFonts w:eastAsia="Calibri"/>
          <w:lang w:val="lv-LV"/>
        </w:rPr>
        <w:t xml:space="preserve"> tūrisma </w:t>
      </w:r>
      <w:r w:rsidR="00517376" w:rsidRPr="00267BCC">
        <w:rPr>
          <w:rFonts w:eastAsia="Calibri"/>
          <w:lang w:val="lv-LV"/>
        </w:rPr>
        <w:t xml:space="preserve">vajadzībām </w:t>
      </w:r>
      <w:r w:rsidRPr="00267BCC">
        <w:rPr>
          <w:rFonts w:eastAsia="Calibri"/>
          <w:lang w:val="lv-LV"/>
        </w:rPr>
        <w:t xml:space="preserve">atbilstoši definētajiem mērķiem un rezultatīvajiem rādītājiem, būtiski atzīmēt tās darbības, kur atbildības sadalītas </w:t>
      </w:r>
      <w:r w:rsidR="00C766C7" w:rsidRPr="00267BCC">
        <w:rPr>
          <w:rFonts w:eastAsia="Calibri"/>
          <w:lang w:val="lv-LV"/>
        </w:rPr>
        <w:t xml:space="preserve">starp </w:t>
      </w:r>
      <w:r w:rsidRPr="00267BCC">
        <w:rPr>
          <w:rFonts w:eastAsia="Calibri"/>
          <w:lang w:val="lv-LV"/>
        </w:rPr>
        <w:t xml:space="preserve">vairākām </w:t>
      </w:r>
      <w:r w:rsidR="00C766C7" w:rsidRPr="00267BCC">
        <w:rPr>
          <w:rFonts w:eastAsia="Calibri"/>
          <w:lang w:val="lv-LV"/>
        </w:rPr>
        <w:t xml:space="preserve">Latvijas </w:t>
      </w:r>
      <w:r w:rsidRPr="00267BCC">
        <w:rPr>
          <w:rFonts w:eastAsia="Calibri"/>
          <w:lang w:val="lv-LV"/>
        </w:rPr>
        <w:t xml:space="preserve">ministrijām. Šo ministriju mērķtiecīgi ieguldījumi spēj dot nepieciešamo pienesumu Latvijas tūrisma nozares konkurētspējas nodrošināšanai. </w:t>
      </w:r>
      <w:r w:rsidR="008F588D" w:rsidRPr="00267BCC">
        <w:rPr>
          <w:rFonts w:eastAsia="Calibri"/>
          <w:lang w:val="lv-LV"/>
        </w:rPr>
        <w:t>1</w:t>
      </w:r>
      <w:r w:rsidR="00BE0C6E" w:rsidRPr="00267BCC">
        <w:rPr>
          <w:rFonts w:eastAsia="Calibri"/>
          <w:lang w:val="lv-LV"/>
        </w:rPr>
        <w:t>.p</w:t>
      </w:r>
      <w:r w:rsidRPr="00267BCC">
        <w:rPr>
          <w:rFonts w:eastAsia="Calibri"/>
          <w:lang w:val="lv-LV"/>
        </w:rPr>
        <w:t xml:space="preserve">ielikumā norādīti galvenie rīcības virzieni un darbības, kas </w:t>
      </w:r>
      <w:r w:rsidR="0074617D" w:rsidRPr="00267BCC">
        <w:rPr>
          <w:rFonts w:eastAsia="Calibri"/>
          <w:lang w:val="lv-LV"/>
        </w:rPr>
        <w:t>sekmēs</w:t>
      </w:r>
      <w:r w:rsidRPr="00267BCC">
        <w:rPr>
          <w:rFonts w:eastAsia="Calibri"/>
          <w:lang w:val="lv-LV"/>
        </w:rPr>
        <w:t xml:space="preserve"> tūrisma nozares attīstību un ir noteikt</w:t>
      </w:r>
      <w:r w:rsidR="0074617D" w:rsidRPr="00267BCC">
        <w:rPr>
          <w:rFonts w:eastAsia="Calibri"/>
          <w:lang w:val="lv-LV"/>
        </w:rPr>
        <w:t>as</w:t>
      </w:r>
      <w:r w:rsidRPr="00267BCC">
        <w:rPr>
          <w:rFonts w:eastAsia="Calibri"/>
          <w:lang w:val="lv-LV"/>
        </w:rPr>
        <w:t xml:space="preserve"> </w:t>
      </w:r>
      <w:r w:rsidRPr="005C766A">
        <w:rPr>
          <w:rFonts w:eastAsia="Calibri"/>
          <w:lang w:val="lv-LV"/>
        </w:rPr>
        <w:t>Nacionālajā attīstības plānā 2014.-20120.gadam.</w:t>
      </w:r>
      <w:r w:rsidRPr="00267BCC">
        <w:rPr>
          <w:rFonts w:eastAsia="Calibri"/>
          <w:lang w:val="lv-LV"/>
        </w:rPr>
        <w:t xml:space="preserve"> Īstenojot </w:t>
      </w:r>
      <w:r w:rsidR="008F588D" w:rsidRPr="00267BCC">
        <w:rPr>
          <w:rFonts w:eastAsia="Calibri"/>
          <w:lang w:val="lv-LV"/>
        </w:rPr>
        <w:t>1</w:t>
      </w:r>
      <w:r w:rsidR="00BE0C6E" w:rsidRPr="00267BCC">
        <w:rPr>
          <w:rFonts w:eastAsia="Calibri"/>
          <w:lang w:val="lv-LV"/>
        </w:rPr>
        <w:t>.pielikumā</w:t>
      </w:r>
      <w:r w:rsidRPr="00267BCC">
        <w:rPr>
          <w:rFonts w:eastAsia="Calibri"/>
          <w:lang w:val="lv-LV"/>
        </w:rPr>
        <w:t xml:space="preserve"> norādītos rīcības virzienus, ir būtiski ņemt vērā tūrisma veicinošo komponenti, nodrošinot ieguldījumu plašāku izmantošanu un ekon</w:t>
      </w:r>
      <w:r w:rsidR="00C766C7" w:rsidRPr="00267BCC">
        <w:rPr>
          <w:rFonts w:eastAsia="Calibri"/>
          <w:lang w:val="lv-LV"/>
        </w:rPr>
        <w:t>omiskās atdeves palielināšanu</w:t>
      </w:r>
      <w:r w:rsidR="00A3790A">
        <w:rPr>
          <w:rFonts w:eastAsia="Calibri"/>
          <w:lang w:val="lv-LV"/>
        </w:rPr>
        <w:t>.</w:t>
      </w:r>
    </w:p>
    <w:p w14:paraId="49640D2A" w14:textId="77777777" w:rsidR="00C766C7" w:rsidRPr="00267BCC" w:rsidRDefault="00C766C7" w:rsidP="00267BCC">
      <w:pPr>
        <w:jc w:val="both"/>
        <w:rPr>
          <w:rFonts w:eastAsia="Calibri"/>
          <w:lang w:val="lv-LV"/>
        </w:rPr>
      </w:pPr>
    </w:p>
    <w:p w14:paraId="49640D2B" w14:textId="77777777" w:rsidR="00256525" w:rsidRPr="00267BCC" w:rsidRDefault="00256525" w:rsidP="00267BCC">
      <w:pPr>
        <w:jc w:val="right"/>
        <w:rPr>
          <w:rFonts w:eastAsia="Calibri"/>
          <w:lang w:val="lv-LV"/>
        </w:rPr>
      </w:pPr>
      <w:r w:rsidRPr="00267BCC">
        <w:rPr>
          <w:rFonts w:eastAsia="Calibri"/>
          <w:lang w:val="lv-LV"/>
        </w:rPr>
        <w:t>12.tabula</w:t>
      </w:r>
    </w:p>
    <w:p w14:paraId="49640D2C" w14:textId="77777777" w:rsidR="001F08B9" w:rsidRPr="00267BCC" w:rsidRDefault="00620827" w:rsidP="00267BCC">
      <w:pPr>
        <w:ind w:firstLine="720"/>
        <w:jc w:val="center"/>
        <w:rPr>
          <w:rFonts w:eastAsia="Calibri"/>
          <w:b/>
          <w:lang w:val="lv-LV"/>
        </w:rPr>
      </w:pPr>
      <w:r w:rsidRPr="00267BCC">
        <w:rPr>
          <w:rFonts w:eastAsia="Calibri"/>
          <w:b/>
          <w:lang w:val="lv-LV"/>
        </w:rPr>
        <w:t>Stratēģisko tūrisma produktu infrastruktūras vajadzības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F08B9" w:rsidRPr="00085EAA" w14:paraId="49640D2E" w14:textId="77777777" w:rsidTr="001F08B9">
        <w:tc>
          <w:tcPr>
            <w:tcW w:w="5000" w:type="pct"/>
            <w:vAlign w:val="center"/>
          </w:tcPr>
          <w:p w14:paraId="49640D2D" w14:textId="77777777" w:rsidR="001F08B9" w:rsidRPr="00267BCC" w:rsidRDefault="001F08B9" w:rsidP="00267BCC">
            <w:pPr>
              <w:jc w:val="center"/>
              <w:rPr>
                <w:b/>
                <w:lang w:val="lv-LV"/>
              </w:rPr>
            </w:pPr>
            <w:r w:rsidRPr="00267BCC">
              <w:rPr>
                <w:b/>
                <w:lang w:val="lv-LV"/>
              </w:rPr>
              <w:t>MICE (darījumu</w:t>
            </w:r>
            <w:r w:rsidR="0037102B" w:rsidRPr="00267BCC">
              <w:rPr>
                <w:b/>
                <w:lang w:val="lv-LV"/>
              </w:rPr>
              <w:t xml:space="preserve"> un pasākumu</w:t>
            </w:r>
            <w:r w:rsidRPr="00267BCC">
              <w:rPr>
                <w:b/>
                <w:lang w:val="lv-LV"/>
              </w:rPr>
              <w:t>) tūrisms</w:t>
            </w:r>
          </w:p>
        </w:tc>
      </w:tr>
      <w:tr w:rsidR="001F08B9" w:rsidRPr="00085EAA" w14:paraId="49640D31" w14:textId="77777777" w:rsidTr="001F08B9">
        <w:tc>
          <w:tcPr>
            <w:tcW w:w="5000" w:type="pct"/>
          </w:tcPr>
          <w:p w14:paraId="49640D2F" w14:textId="77777777" w:rsidR="005936AD" w:rsidRPr="00267BCC" w:rsidRDefault="005936AD"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Atbalsta programma konferenču organizēšanai, kas veicinātu tūristu skaita pieaugumu šajā tūrisma veidā.</w:t>
            </w:r>
          </w:p>
          <w:p w14:paraId="49640D30" w14:textId="77777777" w:rsidR="00DE4035" w:rsidRPr="00267BCC" w:rsidRDefault="00BF365E" w:rsidP="009611F8">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Nacionāla mēroga kultūras, sporta un darījumu tūrisma (MICE) infrastruktūras izveide. Šādas infrastruktūras izbūve</w:t>
            </w:r>
            <w:r w:rsidR="001F08B9" w:rsidRPr="00267BCC">
              <w:rPr>
                <w:rFonts w:ascii="Times New Roman" w:hAnsi="Times New Roman"/>
                <w:sz w:val="24"/>
                <w:szCs w:val="24"/>
                <w:lang w:val="lv-LV"/>
              </w:rPr>
              <w:t xml:space="preserve"> veicinātu </w:t>
            </w:r>
            <w:r w:rsidR="00F7591A" w:rsidRPr="00267BCC">
              <w:rPr>
                <w:rFonts w:ascii="Times New Roman" w:hAnsi="Times New Roman"/>
                <w:sz w:val="24"/>
                <w:szCs w:val="24"/>
                <w:lang w:val="lv-LV"/>
              </w:rPr>
              <w:t xml:space="preserve">Latvijas </w:t>
            </w:r>
            <w:r w:rsidR="001F08B9" w:rsidRPr="00267BCC">
              <w:rPr>
                <w:rFonts w:ascii="Times New Roman" w:hAnsi="Times New Roman"/>
                <w:sz w:val="24"/>
                <w:szCs w:val="24"/>
                <w:lang w:val="lv-LV"/>
              </w:rPr>
              <w:t xml:space="preserve">kā MICE tūrisma galamērķa attīstību un spēju konkurēt ar Skandināvijas un Centrāleiropas MICE tūrisma galamērķiem. </w:t>
            </w:r>
          </w:p>
        </w:tc>
      </w:tr>
      <w:tr w:rsidR="001F08B9" w:rsidRPr="00267BCC" w14:paraId="49640D33" w14:textId="77777777" w:rsidTr="001F08B9">
        <w:tc>
          <w:tcPr>
            <w:tcW w:w="5000" w:type="pct"/>
          </w:tcPr>
          <w:p w14:paraId="49640D32" w14:textId="77777777" w:rsidR="001F08B9" w:rsidRPr="00267BCC" w:rsidRDefault="001F08B9" w:rsidP="00267BCC">
            <w:pPr>
              <w:jc w:val="center"/>
              <w:rPr>
                <w:b/>
                <w:lang w:val="lv-LV"/>
              </w:rPr>
            </w:pPr>
            <w:r w:rsidRPr="00267BCC">
              <w:rPr>
                <w:b/>
                <w:lang w:val="lv-LV"/>
              </w:rPr>
              <w:t>Veselības tūrisms</w:t>
            </w:r>
          </w:p>
        </w:tc>
      </w:tr>
      <w:tr w:rsidR="001F08B9" w:rsidRPr="00085EAA" w14:paraId="49640D39" w14:textId="77777777" w:rsidTr="001F08B9">
        <w:tc>
          <w:tcPr>
            <w:tcW w:w="5000" w:type="pct"/>
          </w:tcPr>
          <w:p w14:paraId="49640D34" w14:textId="77777777" w:rsidR="00595D0D" w:rsidRPr="005C766A" w:rsidRDefault="00DE4035"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A</w:t>
            </w:r>
            <w:r w:rsidR="001F08B9" w:rsidRPr="00267BCC">
              <w:rPr>
                <w:rFonts w:ascii="Times New Roman" w:hAnsi="Times New Roman"/>
                <w:sz w:val="24"/>
                <w:szCs w:val="24"/>
                <w:lang w:val="lv-LV"/>
              </w:rPr>
              <w:t xml:space="preserve">tbalsta programmas izstrāde </w:t>
            </w:r>
            <w:r w:rsidRPr="00267BCC">
              <w:rPr>
                <w:rFonts w:ascii="Times New Roman" w:hAnsi="Times New Roman"/>
                <w:sz w:val="24"/>
                <w:szCs w:val="24"/>
                <w:lang w:val="lv-LV"/>
              </w:rPr>
              <w:t xml:space="preserve">kūrorta ārstniecības iestāžu, medicīniskās rehabilitācijas </w:t>
            </w:r>
            <w:r w:rsidR="001F08B9" w:rsidRPr="00267BCC">
              <w:rPr>
                <w:rFonts w:ascii="Times New Roman" w:hAnsi="Times New Roman"/>
                <w:sz w:val="24"/>
                <w:szCs w:val="24"/>
                <w:lang w:val="lv-LV"/>
              </w:rPr>
              <w:t xml:space="preserve">centru </w:t>
            </w:r>
            <w:r w:rsidRPr="00267BCC">
              <w:rPr>
                <w:rFonts w:ascii="Times New Roman" w:hAnsi="Times New Roman"/>
                <w:sz w:val="24"/>
                <w:szCs w:val="24"/>
                <w:lang w:val="lv-LV"/>
              </w:rPr>
              <w:t xml:space="preserve">(izmitināšanas, </w:t>
            </w:r>
            <w:r w:rsidR="00595D0D" w:rsidRPr="00267BCC">
              <w:rPr>
                <w:rFonts w:ascii="Times New Roman" w:hAnsi="Times New Roman"/>
                <w:sz w:val="24"/>
                <w:szCs w:val="24"/>
                <w:lang w:val="lv-LV"/>
              </w:rPr>
              <w:t xml:space="preserve">procedūru telpu iekārtu, </w:t>
            </w:r>
            <w:r w:rsidRPr="00267BCC">
              <w:rPr>
                <w:rFonts w:ascii="Times New Roman" w:hAnsi="Times New Roman"/>
                <w:sz w:val="24"/>
                <w:szCs w:val="24"/>
                <w:lang w:val="lv-LV"/>
              </w:rPr>
              <w:t xml:space="preserve">ēdināšanas un citu koplietošanas telpu) </w:t>
            </w:r>
            <w:r w:rsidR="00595D0D" w:rsidRPr="00267BCC">
              <w:rPr>
                <w:rFonts w:ascii="Times New Roman" w:hAnsi="Times New Roman"/>
                <w:sz w:val="24"/>
                <w:szCs w:val="24"/>
                <w:lang w:val="lv-LV"/>
              </w:rPr>
              <w:t>attīstībai</w:t>
            </w:r>
            <w:r w:rsidR="00595D0D" w:rsidRPr="005C766A">
              <w:rPr>
                <w:rFonts w:ascii="Times New Roman" w:hAnsi="Times New Roman"/>
                <w:sz w:val="24"/>
                <w:szCs w:val="24"/>
                <w:lang w:val="lv-LV"/>
              </w:rPr>
              <w:t xml:space="preserve">.  </w:t>
            </w:r>
            <w:r w:rsidR="00FF27BB" w:rsidRPr="005C766A">
              <w:rPr>
                <w:rFonts w:ascii="Times New Roman" w:hAnsi="Times New Roman"/>
                <w:sz w:val="24"/>
                <w:szCs w:val="24"/>
                <w:lang w:val="lv-LV"/>
              </w:rPr>
              <w:t xml:space="preserve">Kūrorta ārstniecības infrastruktūras rekonstrukcija un jaunas izbūve.  </w:t>
            </w:r>
          </w:p>
          <w:p w14:paraId="49640D35" w14:textId="77777777" w:rsidR="00595D0D" w:rsidRPr="005C766A" w:rsidRDefault="00595D0D" w:rsidP="00267BCC">
            <w:pPr>
              <w:pStyle w:val="ListParagraph"/>
              <w:numPr>
                <w:ilvl w:val="0"/>
                <w:numId w:val="10"/>
              </w:numPr>
              <w:spacing w:line="240" w:lineRule="auto"/>
              <w:ind w:left="284" w:hanging="284"/>
              <w:contextualSpacing w:val="0"/>
              <w:jc w:val="both"/>
              <w:rPr>
                <w:lang w:val="lv-LV"/>
              </w:rPr>
            </w:pPr>
            <w:r w:rsidRPr="005C766A">
              <w:rPr>
                <w:rFonts w:ascii="Times New Roman" w:hAnsi="Times New Roman"/>
                <w:sz w:val="24"/>
                <w:szCs w:val="24"/>
                <w:lang w:val="lv-LV"/>
              </w:rPr>
              <w:t>Dabas dziedniecisko resursu atražošanas (pārstrādes un atjaunošanas) infrastruktūra, lai nodrošinātu to ilgtspējīgu apsaimniekošanu un attīstību.</w:t>
            </w:r>
            <w:r w:rsidR="006145AA" w:rsidRPr="005C766A">
              <w:rPr>
                <w:rFonts w:ascii="Times New Roman" w:hAnsi="Times New Roman"/>
                <w:sz w:val="24"/>
                <w:szCs w:val="24"/>
                <w:lang w:val="lv-LV" w:eastAsia="lv-LV"/>
              </w:rPr>
              <w:t xml:space="preserve"> </w:t>
            </w:r>
            <w:r w:rsidR="006145AA" w:rsidRPr="005C766A">
              <w:rPr>
                <w:rFonts w:ascii="Times New Roman" w:hAnsi="Times New Roman"/>
                <w:sz w:val="24"/>
                <w:szCs w:val="24"/>
                <w:lang w:val="lv-LV"/>
              </w:rPr>
              <w:t>Dabas dziedniecisko dūņu reģenerācijas lauku rekonstrukcija un izbūve.</w:t>
            </w:r>
          </w:p>
          <w:p w14:paraId="49640D36" w14:textId="77777777" w:rsidR="001F08B9" w:rsidRPr="00267BCC" w:rsidRDefault="00517376" w:rsidP="00267BCC">
            <w:pPr>
              <w:ind w:left="360"/>
              <w:jc w:val="both"/>
              <w:rPr>
                <w:lang w:val="lv-LV"/>
              </w:rPr>
            </w:pPr>
            <w:r w:rsidRPr="00267BCC">
              <w:rPr>
                <w:lang w:val="lv-LV"/>
              </w:rPr>
              <w:t>K</w:t>
            </w:r>
            <w:r w:rsidR="001F08B9" w:rsidRPr="00267BCC">
              <w:rPr>
                <w:lang w:val="lv-LV"/>
              </w:rPr>
              <w:t>ūrortu laboratorija/izpētes centr</w:t>
            </w:r>
            <w:r w:rsidRPr="00267BCC">
              <w:rPr>
                <w:lang w:val="lv-LV"/>
              </w:rPr>
              <w:t>s</w:t>
            </w:r>
            <w:r w:rsidR="001F08B9" w:rsidRPr="00267BCC">
              <w:rPr>
                <w:lang w:val="lv-LV"/>
              </w:rPr>
              <w:t>:</w:t>
            </w:r>
          </w:p>
          <w:p w14:paraId="49640D37" w14:textId="77777777" w:rsidR="001F08B9" w:rsidRPr="00267BCC" w:rsidRDefault="006751E6" w:rsidP="00267BCC">
            <w:pPr>
              <w:pStyle w:val="ListParagraph"/>
              <w:numPr>
                <w:ilvl w:val="1"/>
                <w:numId w:val="10"/>
              </w:numPr>
              <w:spacing w:line="240" w:lineRule="auto"/>
              <w:ind w:left="709" w:hanging="283"/>
              <w:contextualSpacing w:val="0"/>
              <w:jc w:val="both"/>
              <w:rPr>
                <w:rFonts w:ascii="Times New Roman" w:hAnsi="Times New Roman"/>
                <w:sz w:val="24"/>
                <w:szCs w:val="24"/>
                <w:lang w:val="lv-LV"/>
              </w:rPr>
            </w:pPr>
            <w:r w:rsidRPr="00267BCC">
              <w:rPr>
                <w:rFonts w:ascii="Times New Roman" w:hAnsi="Times New Roman"/>
                <w:sz w:val="24"/>
                <w:szCs w:val="24"/>
                <w:lang w:val="lv-LV"/>
              </w:rPr>
              <w:t>j</w:t>
            </w:r>
            <w:r w:rsidR="001F08B9" w:rsidRPr="00267BCC">
              <w:rPr>
                <w:rFonts w:ascii="Times New Roman" w:hAnsi="Times New Roman"/>
                <w:sz w:val="24"/>
                <w:szCs w:val="24"/>
                <w:lang w:val="lv-LV"/>
              </w:rPr>
              <w:t xml:space="preserve">ārisina jautājums par dabas dziedniecisko resursu izpēti – institūcijas, kas sniegtu atzinumu par to kvalitāti un apliecinātu to dziednieciskās īpašības. </w:t>
            </w:r>
          </w:p>
          <w:p w14:paraId="49640D38" w14:textId="77777777" w:rsidR="001F08B9" w:rsidRPr="008613BB" w:rsidRDefault="006751E6" w:rsidP="008613BB">
            <w:pPr>
              <w:pStyle w:val="ListParagraph"/>
              <w:numPr>
                <w:ilvl w:val="1"/>
                <w:numId w:val="10"/>
              </w:numPr>
              <w:spacing w:line="240" w:lineRule="auto"/>
              <w:ind w:left="709" w:hanging="283"/>
              <w:contextualSpacing w:val="0"/>
              <w:jc w:val="both"/>
              <w:rPr>
                <w:rFonts w:ascii="Times New Roman" w:hAnsi="Times New Roman"/>
                <w:sz w:val="24"/>
                <w:szCs w:val="24"/>
                <w:lang w:val="lv-LV"/>
              </w:rPr>
            </w:pPr>
            <w:r w:rsidRPr="00267BCC">
              <w:rPr>
                <w:rFonts w:ascii="Times New Roman" w:hAnsi="Times New Roman"/>
                <w:sz w:val="24"/>
                <w:szCs w:val="24"/>
                <w:lang w:val="lv-LV"/>
              </w:rPr>
              <w:t>t</w:t>
            </w:r>
            <w:r w:rsidR="001F08B9" w:rsidRPr="00267BCC">
              <w:rPr>
                <w:rFonts w:ascii="Times New Roman" w:hAnsi="Times New Roman"/>
                <w:sz w:val="24"/>
                <w:szCs w:val="24"/>
                <w:lang w:val="lv-LV"/>
              </w:rPr>
              <w:t>rūkst vienota standarta dabas dziedniecisko resursu iegūšanai un praktiskai izmantošanai, jo nereti atšķiras resursu pielietojums, kas var negatīvi ietekmēt kūrortu pakalpojumu kvalitāti. Kopumā nepieciešams strādāt pie dūņu sertificēšanas, izskatot variantu, vai nevar tikt piemēroti citu ES valstu standarti. T</w:t>
            </w:r>
            <w:r w:rsidR="00DE4035" w:rsidRPr="00267BCC">
              <w:rPr>
                <w:rFonts w:ascii="Times New Roman" w:hAnsi="Times New Roman"/>
                <w:sz w:val="24"/>
                <w:szCs w:val="24"/>
                <w:lang w:val="lv-LV"/>
              </w:rPr>
              <w:t>r</w:t>
            </w:r>
            <w:r w:rsidRPr="00267BCC">
              <w:rPr>
                <w:rFonts w:ascii="Times New Roman" w:hAnsi="Times New Roman"/>
                <w:sz w:val="24"/>
                <w:szCs w:val="24"/>
                <w:lang w:val="lv-LV"/>
              </w:rPr>
              <w:t>ūkst atbilstošu</w:t>
            </w:r>
            <w:r w:rsidR="001F08B9" w:rsidRPr="00267BCC">
              <w:rPr>
                <w:rFonts w:ascii="Times New Roman" w:hAnsi="Times New Roman"/>
                <w:sz w:val="24"/>
                <w:szCs w:val="24"/>
                <w:lang w:val="lv-LV"/>
              </w:rPr>
              <w:t xml:space="preserve"> ES standartiem veiktu pētījumu, kas pierādītu Latvijā pieejamo resursu efektivitāti</w:t>
            </w:r>
            <w:r w:rsidR="00595D0D" w:rsidRPr="00267BCC">
              <w:rPr>
                <w:rFonts w:ascii="Times New Roman" w:hAnsi="Times New Roman"/>
                <w:sz w:val="24"/>
                <w:szCs w:val="24"/>
                <w:lang w:val="lv-LV"/>
              </w:rPr>
              <w:t>.</w:t>
            </w:r>
          </w:p>
        </w:tc>
      </w:tr>
      <w:tr w:rsidR="001F08B9" w:rsidRPr="00267BCC" w14:paraId="49640D3B" w14:textId="77777777" w:rsidTr="001F08B9">
        <w:tc>
          <w:tcPr>
            <w:tcW w:w="5000" w:type="pct"/>
          </w:tcPr>
          <w:p w14:paraId="49640D3A" w14:textId="77777777" w:rsidR="001F08B9" w:rsidRPr="00267BCC" w:rsidRDefault="001F08B9" w:rsidP="00267BCC">
            <w:pPr>
              <w:jc w:val="center"/>
              <w:rPr>
                <w:b/>
                <w:iCs/>
                <w:lang w:val="lv-LV"/>
              </w:rPr>
            </w:pPr>
            <w:r w:rsidRPr="00267BCC">
              <w:rPr>
                <w:b/>
                <w:iCs/>
                <w:lang w:val="lv-LV"/>
              </w:rPr>
              <w:t>Dabas tūrisms</w:t>
            </w:r>
          </w:p>
        </w:tc>
      </w:tr>
      <w:tr w:rsidR="001F08B9" w:rsidRPr="00085EAA" w14:paraId="49640D3F" w14:textId="77777777" w:rsidTr="001F08B9">
        <w:tc>
          <w:tcPr>
            <w:tcW w:w="5000" w:type="pct"/>
          </w:tcPr>
          <w:p w14:paraId="49640D3C" w14:textId="77777777" w:rsidR="001F08B9" w:rsidRPr="008613BB" w:rsidRDefault="008613BB" w:rsidP="008613BB">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Starptautiska un nacionāla līmeņa velomaršrutu</w:t>
            </w:r>
            <w:r>
              <w:rPr>
                <w:rFonts w:ascii="Times New Roman" w:hAnsi="Times New Roman"/>
                <w:sz w:val="24"/>
                <w:szCs w:val="24"/>
                <w:lang w:val="lv-LV"/>
              </w:rPr>
              <w:t xml:space="preserve"> </w:t>
            </w:r>
            <w:r w:rsidRPr="00267BCC">
              <w:rPr>
                <w:rFonts w:ascii="Times New Roman" w:hAnsi="Times New Roman"/>
                <w:sz w:val="24"/>
                <w:szCs w:val="24"/>
                <w:lang w:val="lv-LV"/>
              </w:rPr>
              <w:t xml:space="preserve">izbūve un rekonstrukcija piekrastē, t.sk. </w:t>
            </w:r>
            <w:r w:rsidRPr="00267BCC">
              <w:rPr>
                <w:rFonts w:ascii="Times New Roman" w:hAnsi="Times New Roman"/>
                <w:sz w:val="24"/>
                <w:szCs w:val="24"/>
                <w:lang w:val="lv-LV"/>
              </w:rPr>
              <w:lastRenderedPageBreak/>
              <w:t xml:space="preserve">t.sk. </w:t>
            </w:r>
            <w:r w:rsidRPr="00267BCC">
              <w:rPr>
                <w:rFonts w:ascii="Times New Roman" w:hAnsi="Times New Roman"/>
                <w:i/>
                <w:sz w:val="24"/>
                <w:szCs w:val="24"/>
                <w:lang w:val="lv-LV"/>
              </w:rPr>
              <w:t>greenways</w:t>
            </w:r>
            <w:r w:rsidRPr="00267BCC">
              <w:rPr>
                <w:rFonts w:ascii="Times New Roman" w:hAnsi="Times New Roman"/>
                <w:sz w:val="24"/>
                <w:szCs w:val="24"/>
                <w:lang w:val="lv-LV"/>
              </w:rPr>
              <w:t xml:space="preserve"> </w:t>
            </w:r>
            <w:r>
              <w:rPr>
                <w:rFonts w:ascii="Times New Roman" w:hAnsi="Times New Roman"/>
                <w:sz w:val="24"/>
                <w:szCs w:val="24"/>
                <w:lang w:val="lv-LV"/>
              </w:rPr>
              <w:t xml:space="preserve">attīstība, </w:t>
            </w:r>
            <w:r w:rsidRPr="00267BCC">
              <w:rPr>
                <w:rFonts w:ascii="Times New Roman" w:hAnsi="Times New Roman"/>
                <w:sz w:val="24"/>
                <w:szCs w:val="24"/>
                <w:lang w:val="lv-LV"/>
              </w:rPr>
              <w:t>Euro Velo maršrutu tīkla attīstība un veloceliņu izbūve Latvijas teritorijā (EV13 „Iron Curtain Trail”, EV10). Dabas tūrisma veicināšanai paredzēta veloceliņa infrastruktūras (aptuveni 140 km) izbūve (EV13 „Iron Curtain Trail”, EV10 ceļš) kopējās izmaksas indikatīvi 28 714 850 EUR.</w:t>
            </w:r>
          </w:p>
          <w:p w14:paraId="49640D3D" w14:textId="77777777" w:rsidR="001F08B9" w:rsidRPr="00267BCC" w:rsidRDefault="001F08B9"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Nacionāla </w:t>
            </w:r>
            <w:r w:rsidR="0059514D" w:rsidRPr="00267BCC">
              <w:rPr>
                <w:rFonts w:ascii="Times New Roman" w:hAnsi="Times New Roman"/>
                <w:sz w:val="24"/>
                <w:szCs w:val="24"/>
                <w:lang w:val="lv-LV"/>
              </w:rPr>
              <w:t xml:space="preserve">un lokāla </w:t>
            </w:r>
            <w:r w:rsidRPr="00267BCC">
              <w:rPr>
                <w:rFonts w:ascii="Times New Roman" w:hAnsi="Times New Roman"/>
                <w:sz w:val="24"/>
                <w:szCs w:val="24"/>
                <w:lang w:val="lv-LV"/>
              </w:rPr>
              <w:t xml:space="preserve">līmeņa dabas tūrisma </w:t>
            </w:r>
            <w:r w:rsidR="00B074E1">
              <w:rPr>
                <w:rFonts w:ascii="Times New Roman" w:hAnsi="Times New Roman"/>
                <w:sz w:val="24"/>
                <w:szCs w:val="24"/>
                <w:lang w:val="lv-LV"/>
              </w:rPr>
              <w:t xml:space="preserve">infrastruktūras un </w:t>
            </w:r>
            <w:r w:rsidRPr="00267BCC">
              <w:rPr>
                <w:rFonts w:ascii="Times New Roman" w:hAnsi="Times New Roman"/>
                <w:sz w:val="24"/>
                <w:szCs w:val="24"/>
                <w:lang w:val="lv-LV"/>
              </w:rPr>
              <w:t>produktu attīstība, kas balstās uz se</w:t>
            </w:r>
            <w:r w:rsidR="00DC4940" w:rsidRPr="00267BCC">
              <w:rPr>
                <w:rFonts w:ascii="Times New Roman" w:hAnsi="Times New Roman"/>
                <w:sz w:val="24"/>
                <w:szCs w:val="24"/>
                <w:lang w:val="lv-LV"/>
              </w:rPr>
              <w:t>ptiņām</w:t>
            </w:r>
            <w:r w:rsidRPr="00267BCC">
              <w:rPr>
                <w:rFonts w:ascii="Times New Roman" w:hAnsi="Times New Roman"/>
                <w:sz w:val="24"/>
                <w:szCs w:val="24"/>
                <w:lang w:val="lv-LV"/>
              </w:rPr>
              <w:t xml:space="preserve"> pamatvērtībām – kvalitāte, ilgtspējība, inovācija, eksportspēja, augsta pievienotā vērtība</w:t>
            </w:r>
            <w:r w:rsidR="00DC4940" w:rsidRPr="00267BCC">
              <w:rPr>
                <w:rFonts w:ascii="Times New Roman" w:hAnsi="Times New Roman"/>
                <w:sz w:val="24"/>
                <w:szCs w:val="24"/>
                <w:lang w:val="lv-LV"/>
              </w:rPr>
              <w:t xml:space="preserve">, </w:t>
            </w:r>
            <w:r w:rsidRPr="00267BCC">
              <w:rPr>
                <w:rFonts w:ascii="Times New Roman" w:hAnsi="Times New Roman"/>
                <w:sz w:val="24"/>
                <w:szCs w:val="24"/>
                <w:lang w:val="lv-LV"/>
              </w:rPr>
              <w:t>tūristu iesaiste/piere</w:t>
            </w:r>
            <w:r w:rsidR="00DE4035" w:rsidRPr="00267BCC">
              <w:rPr>
                <w:rFonts w:ascii="Times New Roman" w:hAnsi="Times New Roman"/>
                <w:sz w:val="24"/>
                <w:szCs w:val="24"/>
                <w:lang w:val="lv-LV"/>
              </w:rPr>
              <w:t>dzes gūšana (individualizācija)</w:t>
            </w:r>
            <w:r w:rsidR="00DC4940" w:rsidRPr="00267BCC">
              <w:rPr>
                <w:rFonts w:ascii="Times New Roman" w:hAnsi="Times New Roman"/>
                <w:sz w:val="24"/>
                <w:szCs w:val="24"/>
                <w:lang w:val="lv-LV"/>
              </w:rPr>
              <w:t>, sadarbība konkurētspējas nodrošināšanai</w:t>
            </w:r>
            <w:r w:rsidR="00D32D27" w:rsidRPr="00267BCC">
              <w:rPr>
                <w:rFonts w:ascii="Times New Roman" w:hAnsi="Times New Roman"/>
                <w:sz w:val="24"/>
                <w:szCs w:val="24"/>
                <w:lang w:val="lv-LV"/>
              </w:rPr>
              <w:t xml:space="preserve"> un atbilst</w:t>
            </w:r>
            <w:r w:rsidR="0059514D" w:rsidRPr="00267BCC">
              <w:rPr>
                <w:rFonts w:ascii="Times New Roman" w:hAnsi="Times New Roman"/>
                <w:sz w:val="24"/>
                <w:szCs w:val="24"/>
                <w:lang w:val="lv-LV"/>
              </w:rPr>
              <w:t xml:space="preserve"> Pamatnostādņu 4.3.punktā „</w:t>
            </w:r>
            <w:r w:rsidR="00D32D27" w:rsidRPr="00267BCC">
              <w:rPr>
                <w:rFonts w:ascii="Times New Roman" w:hAnsi="Times New Roman"/>
                <w:sz w:val="24"/>
                <w:szCs w:val="24"/>
                <w:lang w:val="lv-LV"/>
              </w:rPr>
              <w:t>Atbalstāmās</w:t>
            </w:r>
            <w:r w:rsidR="0059514D" w:rsidRPr="00267BCC">
              <w:rPr>
                <w:rFonts w:ascii="Times New Roman" w:hAnsi="Times New Roman"/>
                <w:sz w:val="24"/>
                <w:szCs w:val="24"/>
                <w:lang w:val="lv-LV"/>
              </w:rPr>
              <w:t xml:space="preserve"> tūrisma teritorijas” noteiktajiem principiem.</w:t>
            </w:r>
            <w:r w:rsidR="00F7591A" w:rsidRPr="00267BCC">
              <w:rPr>
                <w:rFonts w:ascii="Times New Roman" w:hAnsi="Times New Roman"/>
                <w:sz w:val="24"/>
                <w:szCs w:val="24"/>
                <w:lang w:val="lv-LV"/>
              </w:rPr>
              <w:t xml:space="preserve"> Lokāla līmeņa objektiem būtu jāveido sasaiste ar nacionāla līmeņa objektiem un starptautiskajiem tīkliem.</w:t>
            </w:r>
          </w:p>
          <w:p w14:paraId="49640D3E" w14:textId="77777777" w:rsidR="001F08B9" w:rsidRPr="00267BCC" w:rsidRDefault="001F08B9"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Nišu tūrisma produktu attīstība (piemēram, gastronomiskais tūrisms, </w:t>
            </w:r>
            <w:r w:rsidR="0059514D" w:rsidRPr="00267BCC">
              <w:rPr>
                <w:rFonts w:ascii="Times New Roman" w:hAnsi="Times New Roman"/>
                <w:sz w:val="24"/>
                <w:szCs w:val="24"/>
                <w:lang w:val="lv-LV"/>
              </w:rPr>
              <w:t xml:space="preserve">ekotūrisms, </w:t>
            </w:r>
            <w:r w:rsidRPr="00267BCC">
              <w:rPr>
                <w:rFonts w:ascii="Times New Roman" w:hAnsi="Times New Roman"/>
                <w:sz w:val="24"/>
                <w:szCs w:val="24"/>
                <w:lang w:val="lv-LV"/>
              </w:rPr>
              <w:t>putnu vērošana, tūrisma izziņas centru izveide – populārā un interaktīvā veidā stāstot par dabu, mežu, kultūru, vēsturi, saimniecību), ar nosacījumu, ka atbilst tūrisma produ</w:t>
            </w:r>
            <w:r w:rsidR="00DE4035" w:rsidRPr="00267BCC">
              <w:rPr>
                <w:rFonts w:ascii="Times New Roman" w:hAnsi="Times New Roman"/>
                <w:sz w:val="24"/>
                <w:szCs w:val="24"/>
                <w:lang w:val="lv-LV"/>
              </w:rPr>
              <w:t>ktu attīstības pamatkritērijiem.</w:t>
            </w:r>
          </w:p>
        </w:tc>
      </w:tr>
      <w:tr w:rsidR="001F08B9" w:rsidRPr="00085EAA" w14:paraId="49640D41" w14:textId="77777777" w:rsidTr="001F08B9">
        <w:tc>
          <w:tcPr>
            <w:tcW w:w="5000" w:type="pct"/>
          </w:tcPr>
          <w:p w14:paraId="49640D40" w14:textId="77777777" w:rsidR="001F08B9" w:rsidRPr="00267BCC" w:rsidRDefault="001F08B9" w:rsidP="00267BCC">
            <w:pPr>
              <w:jc w:val="center"/>
              <w:rPr>
                <w:rFonts w:eastAsia="Calibri"/>
                <w:b/>
                <w:lang w:val="lv-LV" w:eastAsia="en-US"/>
              </w:rPr>
            </w:pPr>
            <w:r w:rsidRPr="00267BCC">
              <w:rPr>
                <w:rFonts w:eastAsia="Calibri"/>
                <w:b/>
                <w:lang w:val="lv-LV" w:eastAsia="en-US"/>
              </w:rPr>
              <w:lastRenderedPageBreak/>
              <w:t>Kultūras tūrisms un radošās industrijas</w:t>
            </w:r>
          </w:p>
        </w:tc>
      </w:tr>
      <w:tr w:rsidR="001F08B9" w:rsidRPr="00085EAA" w14:paraId="49640D48" w14:textId="77777777" w:rsidTr="001F08B9">
        <w:tc>
          <w:tcPr>
            <w:tcW w:w="5000" w:type="pct"/>
          </w:tcPr>
          <w:p w14:paraId="49640D42" w14:textId="77777777" w:rsidR="00F7591A" w:rsidRPr="00267BCC" w:rsidRDefault="00F7591A"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Nacionāla un lokāla līmeņa kultūras tūrisma produktu attīstība, kas balstās uz septiņām pamatvērtībām – kvalitāte, ilgtspējība, inovācija, eksportspēja, augsta pievienotā vērtība, tūristu iesaiste/pieredzes gūšana (individualizācija), sadarbība konkurētspējas nodrošināšanai un atbilstu Pamatnostādņu 4.3.punktā „</w:t>
            </w:r>
            <w:r w:rsidR="00D32D27" w:rsidRPr="00267BCC">
              <w:rPr>
                <w:rFonts w:ascii="Times New Roman" w:hAnsi="Times New Roman"/>
                <w:sz w:val="24"/>
                <w:szCs w:val="24"/>
                <w:lang w:val="lv-LV"/>
              </w:rPr>
              <w:t>Atbalstāmās</w:t>
            </w:r>
            <w:r w:rsidRPr="00267BCC">
              <w:rPr>
                <w:rFonts w:ascii="Times New Roman" w:hAnsi="Times New Roman"/>
                <w:sz w:val="24"/>
                <w:szCs w:val="24"/>
                <w:lang w:val="lv-LV"/>
              </w:rPr>
              <w:t xml:space="preserve"> tūrisma terit</w:t>
            </w:r>
            <w:r w:rsidR="00365F14" w:rsidRPr="00267BCC">
              <w:rPr>
                <w:rFonts w:ascii="Times New Roman" w:hAnsi="Times New Roman"/>
                <w:sz w:val="24"/>
                <w:szCs w:val="24"/>
                <w:lang w:val="lv-LV"/>
              </w:rPr>
              <w:t>orijas” noteiktajiem principiem;</w:t>
            </w:r>
          </w:p>
          <w:p w14:paraId="49640D43" w14:textId="77777777" w:rsidR="00365F14" w:rsidRPr="00CB19B5" w:rsidRDefault="00365F14"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Kultūras izziņas centru </w:t>
            </w:r>
            <w:r w:rsidRPr="00CB19B5">
              <w:rPr>
                <w:rFonts w:ascii="Times New Roman" w:hAnsi="Times New Roman"/>
                <w:sz w:val="24"/>
                <w:szCs w:val="24"/>
                <w:lang w:val="lv-LV"/>
              </w:rPr>
              <w:t>attīstība</w:t>
            </w:r>
            <w:r w:rsidR="00F50098" w:rsidRPr="00CB19B5">
              <w:rPr>
                <w:rFonts w:ascii="Times New Roman" w:hAnsi="Times New Roman"/>
                <w:sz w:val="24"/>
                <w:szCs w:val="24"/>
                <w:lang w:val="lv-LV"/>
              </w:rPr>
              <w:t xml:space="preserve"> uz esošo kultūras institūciju (īpaši muzeju) bāzes</w:t>
            </w:r>
            <w:r w:rsidRPr="00CB19B5">
              <w:rPr>
                <w:rFonts w:ascii="Times New Roman" w:hAnsi="Times New Roman"/>
                <w:sz w:val="24"/>
                <w:szCs w:val="24"/>
                <w:lang w:val="lv-LV"/>
              </w:rPr>
              <w:t>;</w:t>
            </w:r>
          </w:p>
          <w:p w14:paraId="49640D44" w14:textId="77777777" w:rsidR="001F08B9" w:rsidRPr="00267BCC" w:rsidRDefault="001F08B9"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Kultūras pieminekļu attīstīšana un atjaunošana, dabas objektu aizsardzības un apskates infrastruktūras attīstība;</w:t>
            </w:r>
          </w:p>
          <w:p w14:paraId="49640D45" w14:textId="77777777" w:rsidR="00BF365E" w:rsidRPr="00267BCC" w:rsidRDefault="001F08B9"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Atbalsts kultūras iestāžu pakalpojumiem (muzeji u.c.)</w:t>
            </w:r>
            <w:r w:rsidR="00BF365E" w:rsidRPr="00267BCC">
              <w:rPr>
                <w:rFonts w:ascii="Times New Roman" w:hAnsi="Times New Roman"/>
                <w:sz w:val="24"/>
                <w:szCs w:val="24"/>
                <w:lang w:val="lv-LV"/>
              </w:rPr>
              <w:t>, uzlabojot konkurētspēju;</w:t>
            </w:r>
          </w:p>
          <w:p w14:paraId="49640D46" w14:textId="77777777" w:rsidR="009611F8" w:rsidRDefault="00BF365E"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sidRPr="00267BCC">
              <w:rPr>
                <w:rFonts w:ascii="Times New Roman" w:hAnsi="Times New Roman"/>
                <w:sz w:val="24"/>
                <w:szCs w:val="24"/>
                <w:lang w:val="lv-LV"/>
              </w:rPr>
              <w:t>Atbalsta sniegšana radošo industriju pasākumu veicināšanai</w:t>
            </w:r>
            <w:r w:rsidR="009611F8">
              <w:rPr>
                <w:rFonts w:ascii="Times New Roman" w:hAnsi="Times New Roman"/>
                <w:sz w:val="24"/>
                <w:szCs w:val="24"/>
                <w:lang w:val="lv-LV"/>
              </w:rPr>
              <w:t>;</w:t>
            </w:r>
          </w:p>
          <w:p w14:paraId="49640D47" w14:textId="77777777" w:rsidR="001F08B9" w:rsidRPr="00267BCC" w:rsidRDefault="009611F8" w:rsidP="00267BCC">
            <w:pPr>
              <w:pStyle w:val="ListParagraph"/>
              <w:numPr>
                <w:ilvl w:val="0"/>
                <w:numId w:val="10"/>
              </w:numPr>
              <w:spacing w:line="240" w:lineRule="auto"/>
              <w:ind w:left="284" w:hanging="284"/>
              <w:contextualSpacing w:val="0"/>
              <w:jc w:val="both"/>
              <w:rPr>
                <w:rFonts w:ascii="Times New Roman" w:hAnsi="Times New Roman"/>
                <w:sz w:val="24"/>
                <w:szCs w:val="24"/>
                <w:lang w:val="lv-LV"/>
              </w:rPr>
            </w:pPr>
            <w:r>
              <w:rPr>
                <w:rFonts w:ascii="Times New Roman" w:hAnsi="Times New Roman"/>
                <w:sz w:val="24"/>
                <w:szCs w:val="24"/>
                <w:lang w:val="lv-LV"/>
              </w:rPr>
              <w:t>Radošo industriju centru izveide un attīstība</w:t>
            </w:r>
            <w:r w:rsidR="00EA5612">
              <w:rPr>
                <w:rFonts w:ascii="Times New Roman" w:hAnsi="Times New Roman"/>
                <w:sz w:val="24"/>
                <w:szCs w:val="24"/>
                <w:lang w:val="lv-LV"/>
              </w:rPr>
              <w:t>.</w:t>
            </w:r>
            <w:r w:rsidR="001F08B9" w:rsidRPr="00267BCC">
              <w:rPr>
                <w:rFonts w:ascii="Times New Roman" w:hAnsi="Times New Roman"/>
                <w:sz w:val="24"/>
                <w:szCs w:val="24"/>
                <w:lang w:val="lv-LV"/>
              </w:rPr>
              <w:t xml:space="preserve"> </w:t>
            </w:r>
          </w:p>
        </w:tc>
      </w:tr>
    </w:tbl>
    <w:p w14:paraId="49640D49" w14:textId="77777777" w:rsidR="001F08B9" w:rsidRPr="00267BCC" w:rsidRDefault="001F08B9" w:rsidP="00267BCC">
      <w:pPr>
        <w:jc w:val="both"/>
        <w:rPr>
          <w:rFonts w:eastAsia="Calibri"/>
          <w:b/>
          <w:lang w:val="lv-LV"/>
        </w:rPr>
      </w:pPr>
    </w:p>
    <w:p w14:paraId="49640D4A" w14:textId="77777777" w:rsidR="001F08B9" w:rsidRPr="00267BCC" w:rsidRDefault="001F08B9" w:rsidP="00267BCC">
      <w:pPr>
        <w:jc w:val="both"/>
        <w:rPr>
          <w:rFonts w:eastAsia="Calibri"/>
          <w:lang w:val="lv-LV"/>
        </w:rPr>
      </w:pPr>
      <w:bookmarkStart w:id="40" w:name="_Toc321225373"/>
      <w:r w:rsidRPr="00267BCC">
        <w:rPr>
          <w:rFonts w:eastAsia="Calibri"/>
          <w:b/>
          <w:i/>
          <w:lang w:val="lv-LV"/>
        </w:rPr>
        <w:t>Būtiskākie uzdevumi</w:t>
      </w:r>
      <w:r w:rsidRPr="00267BCC">
        <w:rPr>
          <w:rFonts w:eastAsia="Calibri"/>
          <w:lang w:val="lv-LV"/>
        </w:rPr>
        <w:t>:</w:t>
      </w:r>
    </w:p>
    <w:p w14:paraId="49640D4B" w14:textId="77777777" w:rsidR="00DB192B" w:rsidRPr="00267BCC" w:rsidRDefault="001F08B9" w:rsidP="00267BCC">
      <w:pPr>
        <w:pStyle w:val="ListParagraph"/>
        <w:numPr>
          <w:ilvl w:val="0"/>
          <w:numId w:val="1"/>
        </w:numPr>
        <w:spacing w:line="240" w:lineRule="auto"/>
        <w:ind w:left="426"/>
        <w:contextualSpacing w:val="0"/>
        <w:jc w:val="both"/>
        <w:rPr>
          <w:rFonts w:ascii="Times New Roman" w:hAnsi="Times New Roman"/>
          <w:sz w:val="24"/>
          <w:szCs w:val="24"/>
          <w:lang w:val="lv-LV" w:eastAsia="lv-LV"/>
        </w:rPr>
      </w:pPr>
      <w:r w:rsidRPr="00267BCC">
        <w:rPr>
          <w:rFonts w:ascii="Times New Roman" w:hAnsi="Times New Roman"/>
          <w:sz w:val="24"/>
          <w:szCs w:val="24"/>
          <w:lang w:val="lv-LV" w:eastAsia="lv-LV"/>
        </w:rPr>
        <w:t>Atbalsta aktivitāšu īstenošana tūrisma produktu ar augstu pievienoto vērtību attīstī</w:t>
      </w:r>
      <w:r w:rsidR="00DE4035" w:rsidRPr="00267BCC">
        <w:rPr>
          <w:rFonts w:ascii="Times New Roman" w:hAnsi="Times New Roman"/>
          <w:sz w:val="24"/>
          <w:szCs w:val="24"/>
          <w:lang w:val="lv-LV" w:eastAsia="lv-LV"/>
        </w:rPr>
        <w:t>bai</w:t>
      </w:r>
      <w:r w:rsidRPr="00267BCC">
        <w:rPr>
          <w:rFonts w:ascii="Times New Roman" w:hAnsi="Times New Roman"/>
          <w:sz w:val="24"/>
          <w:szCs w:val="24"/>
          <w:lang w:val="lv-LV" w:eastAsia="lv-LV"/>
        </w:rPr>
        <w:t>:</w:t>
      </w:r>
    </w:p>
    <w:p w14:paraId="49640D4C" w14:textId="77777777" w:rsidR="00D4608C" w:rsidRPr="005C766A" w:rsidRDefault="00DE4035" w:rsidP="00267BCC">
      <w:pPr>
        <w:pStyle w:val="ListParagraph"/>
        <w:numPr>
          <w:ilvl w:val="0"/>
          <w:numId w:val="29"/>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a</w:t>
      </w:r>
      <w:r w:rsidR="004102B2" w:rsidRPr="00267BCC">
        <w:rPr>
          <w:rFonts w:ascii="Times New Roman" w:hAnsi="Times New Roman"/>
          <w:sz w:val="24"/>
          <w:szCs w:val="24"/>
          <w:lang w:val="lv-LV"/>
        </w:rPr>
        <w:t>tbalsta programmas</w:t>
      </w:r>
      <w:r w:rsidR="001F08B9" w:rsidRPr="00267BCC">
        <w:rPr>
          <w:rFonts w:ascii="Times New Roman" w:hAnsi="Times New Roman"/>
          <w:sz w:val="24"/>
          <w:szCs w:val="24"/>
          <w:lang w:val="lv-LV"/>
        </w:rPr>
        <w:t xml:space="preserve"> izveide MICE</w:t>
      </w:r>
      <w:r w:rsidR="004102B2" w:rsidRPr="00267BCC">
        <w:rPr>
          <w:rFonts w:ascii="Times New Roman" w:hAnsi="Times New Roman"/>
          <w:sz w:val="24"/>
          <w:szCs w:val="24"/>
          <w:lang w:val="lv-LV"/>
        </w:rPr>
        <w:t xml:space="preserve"> (darījumu un</w:t>
      </w:r>
      <w:r w:rsidR="001F08B9" w:rsidRPr="00267BCC">
        <w:rPr>
          <w:rFonts w:ascii="Times New Roman" w:hAnsi="Times New Roman"/>
          <w:sz w:val="24"/>
          <w:szCs w:val="24"/>
          <w:lang w:val="lv-LV"/>
        </w:rPr>
        <w:t xml:space="preserve"> pasākumu) </w:t>
      </w:r>
      <w:r w:rsidR="004102B2" w:rsidRPr="00267BCC">
        <w:rPr>
          <w:rFonts w:ascii="Times New Roman" w:hAnsi="Times New Roman"/>
          <w:sz w:val="24"/>
          <w:szCs w:val="24"/>
          <w:lang w:val="lv-LV"/>
        </w:rPr>
        <w:t xml:space="preserve">tūrisma objektu attīstībai un pasākumu </w:t>
      </w:r>
      <w:r w:rsidR="004102B2" w:rsidRPr="005C766A">
        <w:rPr>
          <w:rFonts w:ascii="Times New Roman" w:hAnsi="Times New Roman"/>
          <w:sz w:val="24"/>
          <w:szCs w:val="24"/>
          <w:lang w:val="lv-LV"/>
        </w:rPr>
        <w:t>piesaistei</w:t>
      </w:r>
      <w:r w:rsidR="00FF5ABA" w:rsidRPr="005C766A">
        <w:rPr>
          <w:rFonts w:ascii="Times New Roman" w:hAnsi="Times New Roman"/>
          <w:sz w:val="24"/>
          <w:szCs w:val="24"/>
          <w:lang w:val="lv-LV"/>
        </w:rPr>
        <w:t xml:space="preserve"> (</w:t>
      </w:r>
      <w:r w:rsidR="00FF5ABA" w:rsidRPr="005C766A">
        <w:rPr>
          <w:rFonts w:ascii="Times New Roman" w:hAnsi="Times New Roman"/>
          <w:color w:val="000000" w:themeColor="text1"/>
          <w:sz w:val="24"/>
          <w:szCs w:val="24"/>
          <w:lang w:val="lv-LV"/>
        </w:rPr>
        <w:t>1.pielikuma 5.1.aktivitāte)</w:t>
      </w:r>
      <w:r w:rsidR="001F08B9" w:rsidRPr="005C766A">
        <w:rPr>
          <w:rFonts w:ascii="Times New Roman" w:hAnsi="Times New Roman"/>
          <w:sz w:val="24"/>
          <w:szCs w:val="24"/>
          <w:lang w:val="lv-LV"/>
        </w:rPr>
        <w:t>;</w:t>
      </w:r>
    </w:p>
    <w:p w14:paraId="49640D4D" w14:textId="77777777" w:rsidR="00D4608C" w:rsidRPr="005C766A" w:rsidRDefault="004102B2" w:rsidP="00267BCC">
      <w:pPr>
        <w:pStyle w:val="ListParagraph"/>
        <w:numPr>
          <w:ilvl w:val="0"/>
          <w:numId w:val="29"/>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eastAsia="lv-LV"/>
        </w:rPr>
        <w:t>atbalsts dabas dziedniecisko resursu izpētei un ilgtspējīg</w:t>
      </w:r>
      <w:r w:rsidR="00721B70" w:rsidRPr="005C766A">
        <w:rPr>
          <w:rFonts w:ascii="Times New Roman" w:hAnsi="Times New Roman"/>
          <w:sz w:val="24"/>
          <w:szCs w:val="24"/>
          <w:lang w:val="lv-LV" w:eastAsia="lv-LV"/>
        </w:rPr>
        <w:t>as izmantošanas nodrošināšanai</w:t>
      </w:r>
      <w:r w:rsidR="00FF5ABA" w:rsidRPr="005C766A">
        <w:rPr>
          <w:rFonts w:ascii="Times New Roman" w:hAnsi="Times New Roman"/>
          <w:sz w:val="24"/>
          <w:szCs w:val="24"/>
          <w:lang w:val="lv-LV" w:eastAsia="lv-LV"/>
        </w:rPr>
        <w:t xml:space="preserve"> (1.pielikuma 1.4.aktivitāte)</w:t>
      </w:r>
      <w:r w:rsidR="0020771F" w:rsidRPr="005C766A">
        <w:rPr>
          <w:rFonts w:ascii="Times New Roman" w:hAnsi="Times New Roman"/>
          <w:sz w:val="24"/>
          <w:szCs w:val="24"/>
          <w:lang w:val="lv-LV" w:eastAsia="lv-LV"/>
        </w:rPr>
        <w:t>.</w:t>
      </w:r>
    </w:p>
    <w:p w14:paraId="49640D4E" w14:textId="77777777" w:rsidR="003D1392" w:rsidRPr="005C766A" w:rsidRDefault="003D1392" w:rsidP="00FF5ABA">
      <w:pPr>
        <w:pStyle w:val="ListParagraph"/>
        <w:spacing w:line="240" w:lineRule="auto"/>
        <w:contextualSpacing w:val="0"/>
        <w:jc w:val="both"/>
        <w:rPr>
          <w:rFonts w:ascii="Times New Roman" w:hAnsi="Times New Roman"/>
          <w:sz w:val="24"/>
          <w:szCs w:val="24"/>
          <w:lang w:val="lv-LV"/>
        </w:rPr>
      </w:pPr>
    </w:p>
    <w:p w14:paraId="49640D4F" w14:textId="77777777" w:rsidR="001F08B9" w:rsidRPr="005C766A" w:rsidRDefault="001F08B9" w:rsidP="00267BCC">
      <w:pPr>
        <w:pStyle w:val="ListParagraph"/>
        <w:numPr>
          <w:ilvl w:val="0"/>
          <w:numId w:val="1"/>
        </w:numPr>
        <w:spacing w:line="240" w:lineRule="auto"/>
        <w:ind w:left="426" w:hanging="284"/>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Atbalsta aktivitātes </w:t>
      </w:r>
      <w:r w:rsidR="003D1392" w:rsidRPr="005C766A">
        <w:rPr>
          <w:rFonts w:ascii="Times New Roman" w:hAnsi="Times New Roman"/>
          <w:sz w:val="24"/>
          <w:szCs w:val="24"/>
          <w:lang w:val="lv-LV"/>
        </w:rPr>
        <w:t xml:space="preserve">ilgtspējīgu </w:t>
      </w:r>
      <w:r w:rsidRPr="005C766A">
        <w:rPr>
          <w:rFonts w:ascii="Times New Roman" w:hAnsi="Times New Roman"/>
          <w:sz w:val="24"/>
          <w:szCs w:val="24"/>
          <w:lang w:val="lv-LV"/>
        </w:rPr>
        <w:t>tūrisma produktu attīstībai</w:t>
      </w:r>
      <w:r w:rsidR="003D1392" w:rsidRPr="005C766A">
        <w:rPr>
          <w:rFonts w:ascii="Times New Roman" w:hAnsi="Times New Roman"/>
          <w:sz w:val="24"/>
          <w:szCs w:val="24"/>
          <w:lang w:val="lv-LV"/>
        </w:rPr>
        <w:t>, kas saistīti ar materiālā un nemateriālā kultūras un dabas mantojuma efektīvu izmantošanu (1.pielikuma 1.1. un 1.2.aktivitāte)</w:t>
      </w:r>
      <w:r w:rsidRPr="005C766A">
        <w:rPr>
          <w:rFonts w:ascii="Times New Roman" w:hAnsi="Times New Roman"/>
          <w:sz w:val="24"/>
          <w:szCs w:val="24"/>
          <w:lang w:val="lv-LV"/>
        </w:rPr>
        <w:t>:</w:t>
      </w:r>
    </w:p>
    <w:p w14:paraId="49640D50" w14:textId="77777777" w:rsidR="00A553CE" w:rsidRPr="005C766A" w:rsidRDefault="00A553CE" w:rsidP="00A553CE">
      <w:pPr>
        <w:pStyle w:val="ListParagraph"/>
        <w:numPr>
          <w:ilvl w:val="0"/>
          <w:numId w:val="44"/>
        </w:numPr>
        <w:spacing w:line="240" w:lineRule="auto"/>
        <w:jc w:val="both"/>
        <w:rPr>
          <w:rFonts w:ascii="Times New Roman" w:hAnsi="Times New Roman"/>
          <w:sz w:val="24"/>
          <w:szCs w:val="24"/>
          <w:lang w:val="lv-LV"/>
        </w:rPr>
      </w:pPr>
      <w:r w:rsidRPr="005C766A">
        <w:rPr>
          <w:rFonts w:ascii="Times New Roman" w:hAnsi="Times New Roman"/>
          <w:sz w:val="24"/>
          <w:szCs w:val="24"/>
          <w:lang w:val="lv-LV"/>
        </w:rPr>
        <w:t>publiskās infrastruktūras attīstība, lai uzlabotu dabas un kultūras mantojuma objektu un teritoriju sasniedzamību, tostarp velomaršrutu tīkla attīstība Latvijas teritorijā, tajā integrējot starptautiskā,  reģionālā un vietējā līmeņa velomaršrutus;</w:t>
      </w:r>
    </w:p>
    <w:p w14:paraId="49640D51" w14:textId="77777777" w:rsidR="00FF5ABA" w:rsidRPr="005C766A" w:rsidRDefault="00FF5ABA" w:rsidP="00FF5ABA">
      <w:pPr>
        <w:pStyle w:val="ListParagraph"/>
        <w:numPr>
          <w:ilvl w:val="0"/>
          <w:numId w:val="28"/>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sporta un rekreatīvo aktivitāšu integrēšana dabas takās;</w:t>
      </w:r>
    </w:p>
    <w:p w14:paraId="49640D52" w14:textId="77777777" w:rsidR="00FF5ABA" w:rsidRPr="005C766A" w:rsidRDefault="00FF5ABA" w:rsidP="00FF5ABA">
      <w:pPr>
        <w:pStyle w:val="ListParagraph"/>
        <w:numPr>
          <w:ilvl w:val="0"/>
          <w:numId w:val="28"/>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jaunu, inovatīvu, radošu un ekonomiski pamatotu tūrisma produktu izveide;</w:t>
      </w:r>
    </w:p>
    <w:p w14:paraId="49640D53" w14:textId="77777777" w:rsidR="00FF5ABA" w:rsidRPr="005C766A" w:rsidRDefault="003D1392" w:rsidP="00FF5ABA">
      <w:pPr>
        <w:pStyle w:val="ListParagraph"/>
        <w:numPr>
          <w:ilvl w:val="0"/>
          <w:numId w:val="28"/>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citu </w:t>
      </w:r>
      <w:r w:rsidR="00FF5ABA" w:rsidRPr="005C766A">
        <w:rPr>
          <w:rFonts w:ascii="Times New Roman" w:hAnsi="Times New Roman"/>
          <w:sz w:val="24"/>
          <w:szCs w:val="24"/>
          <w:lang w:val="lv-LV"/>
        </w:rPr>
        <w:t>starptautiska līmeņa dabas un kultūras tūrisma produktu attīstība.</w:t>
      </w:r>
    </w:p>
    <w:p w14:paraId="49640D54" w14:textId="77777777" w:rsidR="00FF5ABA" w:rsidRPr="005C766A" w:rsidRDefault="00FF5ABA" w:rsidP="00FF5ABA">
      <w:pPr>
        <w:pStyle w:val="ListParagraph"/>
        <w:spacing w:line="240" w:lineRule="auto"/>
        <w:ind w:left="426"/>
        <w:contextualSpacing w:val="0"/>
        <w:jc w:val="both"/>
        <w:rPr>
          <w:rFonts w:ascii="Times New Roman" w:hAnsi="Times New Roman"/>
          <w:sz w:val="24"/>
          <w:szCs w:val="24"/>
          <w:lang w:val="lv-LV"/>
        </w:rPr>
      </w:pPr>
    </w:p>
    <w:p w14:paraId="49640D55" w14:textId="77777777" w:rsidR="00DB192B" w:rsidRPr="005C766A" w:rsidRDefault="00FF5ABA" w:rsidP="00FF5ABA">
      <w:pPr>
        <w:pStyle w:val="ListParagraph"/>
        <w:numPr>
          <w:ilvl w:val="0"/>
          <w:numId w:val="1"/>
        </w:numPr>
        <w:spacing w:line="240" w:lineRule="auto"/>
        <w:ind w:left="426" w:hanging="284"/>
        <w:contextualSpacing w:val="0"/>
        <w:jc w:val="both"/>
        <w:rPr>
          <w:rFonts w:ascii="Times New Roman" w:hAnsi="Times New Roman"/>
          <w:sz w:val="24"/>
          <w:szCs w:val="24"/>
          <w:lang w:val="lv-LV"/>
        </w:rPr>
      </w:pPr>
      <w:r w:rsidRPr="00085EAA">
        <w:rPr>
          <w:rFonts w:ascii="Times New Roman" w:hAnsi="Times New Roman"/>
          <w:sz w:val="24"/>
          <w:szCs w:val="24"/>
          <w:lang w:val="lv-LV"/>
        </w:rPr>
        <w:t>Veicināt pilsētas revitalizāciju, vides kvalitātes uzlabošanos, investīciju piesaistīšanu, kā arī integrētus ieguldījumus infrastruktūras attīstībā, tai skaitā nacionālas nozīmes kultūras, darījumu tūrisma un sporta infrastruktūras attīstībā</w:t>
      </w:r>
      <w:r w:rsidRPr="005C766A">
        <w:rPr>
          <w:rFonts w:ascii="Times New Roman" w:hAnsi="Times New Roman"/>
          <w:sz w:val="24"/>
          <w:szCs w:val="24"/>
          <w:lang w:val="lv-LV"/>
        </w:rPr>
        <w:t xml:space="preserve"> (1.pielikuma 1.3.aktivitāte).</w:t>
      </w:r>
    </w:p>
    <w:p w14:paraId="49640D56" w14:textId="77777777" w:rsidR="00FF5ABA" w:rsidRPr="00FF5ABA" w:rsidRDefault="00FF5ABA" w:rsidP="00FF5ABA">
      <w:pPr>
        <w:ind w:left="360"/>
        <w:jc w:val="both"/>
        <w:rPr>
          <w:lang w:val="lv-LV"/>
        </w:rPr>
      </w:pPr>
    </w:p>
    <w:p w14:paraId="49640D57" w14:textId="77777777" w:rsidR="001F08B9" w:rsidRPr="005C766A" w:rsidRDefault="001F08B9" w:rsidP="00267BCC">
      <w:pPr>
        <w:pStyle w:val="ListParagraph"/>
        <w:numPr>
          <w:ilvl w:val="0"/>
          <w:numId w:val="1"/>
        </w:numPr>
        <w:spacing w:line="240" w:lineRule="auto"/>
        <w:ind w:left="426"/>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Pasākumu īstenošana Latvijas kā ceļotāju galamērķa sasniedzamības veicināšanai</w:t>
      </w:r>
      <w:r w:rsidR="00146BDF" w:rsidRPr="005C766A">
        <w:rPr>
          <w:rFonts w:ascii="Times New Roman" w:hAnsi="Times New Roman"/>
          <w:sz w:val="24"/>
          <w:szCs w:val="24"/>
          <w:lang w:val="lv-LV" w:eastAsia="lv-LV"/>
        </w:rPr>
        <w:t xml:space="preserve"> (atbilstoši Transporta attīstības pamatnostādnēs </w:t>
      </w:r>
      <w:r w:rsidR="007A3ECC" w:rsidRPr="005C766A">
        <w:rPr>
          <w:rFonts w:ascii="Times New Roman" w:hAnsi="Times New Roman"/>
          <w:sz w:val="24"/>
          <w:szCs w:val="24"/>
          <w:lang w:val="lv-LV" w:eastAsia="lv-LV"/>
        </w:rPr>
        <w:t xml:space="preserve">2014.-2020.gadam </w:t>
      </w:r>
      <w:r w:rsidR="00146BDF" w:rsidRPr="005C766A">
        <w:rPr>
          <w:rFonts w:ascii="Times New Roman" w:hAnsi="Times New Roman"/>
          <w:sz w:val="24"/>
          <w:szCs w:val="24"/>
          <w:lang w:val="lv-LV" w:eastAsia="lv-LV"/>
        </w:rPr>
        <w:t>paredzētajam)</w:t>
      </w:r>
      <w:r w:rsidRPr="005C766A">
        <w:rPr>
          <w:rFonts w:ascii="Times New Roman" w:hAnsi="Times New Roman"/>
          <w:sz w:val="24"/>
          <w:szCs w:val="24"/>
          <w:lang w:val="lv-LV" w:eastAsia="lv-LV"/>
        </w:rPr>
        <w:t>:</w:t>
      </w:r>
    </w:p>
    <w:p w14:paraId="49640D58" w14:textId="77777777" w:rsidR="001F08B9" w:rsidRPr="005C766A" w:rsidRDefault="002C369D" w:rsidP="00267BCC">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lastRenderedPageBreak/>
        <w:t>s</w:t>
      </w:r>
      <w:r w:rsidR="001F08B9" w:rsidRPr="005C766A">
        <w:rPr>
          <w:rFonts w:ascii="Times New Roman" w:hAnsi="Times New Roman"/>
          <w:sz w:val="24"/>
          <w:szCs w:val="24"/>
          <w:lang w:val="lv-LV" w:eastAsia="lv-LV"/>
        </w:rPr>
        <w:t>tarptautiskās lidostas „Rīga” un nacionālās lidsabiedrības turpmāka attīstība,</w:t>
      </w:r>
      <w:r w:rsidR="00273ED2" w:rsidRPr="005C766A">
        <w:rPr>
          <w:rFonts w:ascii="Times New Roman" w:hAnsi="Times New Roman"/>
          <w:sz w:val="24"/>
          <w:szCs w:val="24"/>
          <w:lang w:val="lv-LV" w:eastAsia="lv-LV"/>
        </w:rPr>
        <w:t xml:space="preserve"> </w:t>
      </w:r>
      <w:r w:rsidR="002B5B96" w:rsidRPr="005C766A">
        <w:rPr>
          <w:rFonts w:ascii="Times New Roman" w:hAnsi="Times New Roman"/>
          <w:sz w:val="24"/>
          <w:szCs w:val="24"/>
          <w:lang w:val="lv-LV" w:eastAsia="lv-LV"/>
        </w:rPr>
        <w:t xml:space="preserve">nostiprinot savu pozīciju starptautiskajā mērogā, izvērtējot iespēju nodrošināt jaunus lidojuma galamērķus uz EM ieteiktajiem reģioniem. </w:t>
      </w:r>
      <w:r w:rsidR="00D32D27" w:rsidRPr="005C766A">
        <w:rPr>
          <w:rFonts w:ascii="Times New Roman" w:hAnsi="Times New Roman"/>
          <w:sz w:val="24"/>
          <w:szCs w:val="24"/>
          <w:lang w:val="lv-LV" w:eastAsia="lv-LV"/>
        </w:rPr>
        <w:t>ES</w:t>
      </w:r>
      <w:r w:rsidR="002B5B96" w:rsidRPr="005C766A">
        <w:rPr>
          <w:rFonts w:ascii="Times New Roman" w:hAnsi="Times New Roman"/>
          <w:sz w:val="24"/>
          <w:szCs w:val="24"/>
          <w:lang w:val="lv-LV" w:eastAsia="lv-LV"/>
        </w:rPr>
        <w:t xml:space="preserve"> pieļaujamā valsts atbalsta ietvaros izskata jaunu lidojumu uzsākšanas atbalsta iespējas;</w:t>
      </w:r>
    </w:p>
    <w:p w14:paraId="49640D59" w14:textId="77777777" w:rsidR="001F08B9" w:rsidRPr="005C766A" w:rsidRDefault="001F08B9" w:rsidP="00321BCA">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rPr>
        <w:t>„Rail Baltica” dzelzceļa koridora izbūve;</w:t>
      </w:r>
    </w:p>
    <w:p w14:paraId="49640D5A" w14:textId="77777777" w:rsidR="001F08B9" w:rsidRPr="005C766A" w:rsidRDefault="002C369D" w:rsidP="00267BCC">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o</w:t>
      </w:r>
      <w:r w:rsidR="001F08B9" w:rsidRPr="005C766A">
        <w:rPr>
          <w:rFonts w:ascii="Times New Roman" w:hAnsi="Times New Roman"/>
          <w:sz w:val="24"/>
          <w:szCs w:val="24"/>
          <w:lang w:val="lv-LV" w:eastAsia="lv-LV"/>
        </w:rPr>
        <w:t>stu infrastruktūras attīstīšana, padarot tās pieejamākas ceļotājiem;</w:t>
      </w:r>
    </w:p>
    <w:p w14:paraId="49640D5B" w14:textId="77777777" w:rsidR="001F08B9" w:rsidRPr="005C766A" w:rsidRDefault="001F08B9" w:rsidP="00267BCC">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Latvijas – Krievijas, La</w:t>
      </w:r>
      <w:r w:rsidR="007F6993" w:rsidRPr="005C766A">
        <w:rPr>
          <w:rFonts w:ascii="Times New Roman" w:hAnsi="Times New Roman"/>
          <w:sz w:val="24"/>
          <w:szCs w:val="24"/>
          <w:lang w:val="lv-LV" w:eastAsia="lv-LV"/>
        </w:rPr>
        <w:t xml:space="preserve">tvijas - Lietuvas un Latvijas – </w:t>
      </w:r>
      <w:r w:rsidRPr="005C766A">
        <w:rPr>
          <w:rFonts w:ascii="Times New Roman" w:hAnsi="Times New Roman"/>
          <w:sz w:val="24"/>
          <w:szCs w:val="24"/>
          <w:lang w:val="lv-LV" w:eastAsia="lv-LV"/>
        </w:rPr>
        <w:t>Baltkrievijas robežu infrastruktū</w:t>
      </w:r>
      <w:r w:rsidR="00285504" w:rsidRPr="005C766A">
        <w:rPr>
          <w:rFonts w:ascii="Times New Roman" w:hAnsi="Times New Roman"/>
          <w:sz w:val="24"/>
          <w:szCs w:val="24"/>
          <w:lang w:val="lv-LV" w:eastAsia="lv-LV"/>
        </w:rPr>
        <w:t>ru uzlabošana un modernizācija;</w:t>
      </w:r>
    </w:p>
    <w:p w14:paraId="49640D5C" w14:textId="77777777" w:rsidR="000514C5" w:rsidRPr="005C766A" w:rsidRDefault="001F08B9" w:rsidP="00267BCC">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TEN-T</w:t>
      </w:r>
      <w:r w:rsidR="004102B2" w:rsidRPr="005C766A">
        <w:rPr>
          <w:rFonts w:ascii="Times New Roman" w:hAnsi="Times New Roman"/>
          <w:sz w:val="24"/>
          <w:szCs w:val="24"/>
          <w:lang w:val="lv-LV" w:eastAsia="lv-LV"/>
        </w:rPr>
        <w:t xml:space="preserve"> ceļu tīkla attīstība</w:t>
      </w:r>
      <w:r w:rsidR="000514C5" w:rsidRPr="005C766A">
        <w:rPr>
          <w:rFonts w:ascii="Times New Roman" w:hAnsi="Times New Roman"/>
          <w:sz w:val="24"/>
          <w:szCs w:val="24"/>
          <w:lang w:val="lv-LV" w:eastAsia="lv-LV"/>
        </w:rPr>
        <w:t>;</w:t>
      </w:r>
    </w:p>
    <w:p w14:paraId="49640D5D" w14:textId="77777777" w:rsidR="000514C5" w:rsidRPr="005C766A" w:rsidRDefault="00D32D27" w:rsidP="00267BCC">
      <w:pPr>
        <w:pStyle w:val="ListParagraph"/>
        <w:numPr>
          <w:ilvl w:val="1"/>
          <w:numId w:val="1"/>
        </w:numPr>
        <w:spacing w:line="240" w:lineRule="auto"/>
        <w:ind w:left="714" w:hanging="357"/>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p</w:t>
      </w:r>
      <w:r w:rsidR="000514C5" w:rsidRPr="005C766A">
        <w:rPr>
          <w:rFonts w:ascii="Times New Roman" w:hAnsi="Times New Roman"/>
          <w:sz w:val="24"/>
          <w:szCs w:val="24"/>
          <w:lang w:val="lv-LV" w:eastAsia="lv-LV"/>
        </w:rPr>
        <w:t xml:space="preserve">aredzētas aktivitātes </w:t>
      </w:r>
      <w:r w:rsidR="005568BC" w:rsidRPr="005C766A">
        <w:rPr>
          <w:rFonts w:ascii="Times New Roman" w:hAnsi="Times New Roman"/>
          <w:sz w:val="24"/>
          <w:szCs w:val="24"/>
          <w:lang w:val="lv-LV" w:eastAsia="lv-LV"/>
        </w:rPr>
        <w:t>infrastruktūras pielāgošanai, lai nodrošinātu personu ar invaliditāti vienlīdzīgas iespējas pie</w:t>
      </w:r>
      <w:r w:rsidRPr="005C766A">
        <w:rPr>
          <w:rFonts w:ascii="Times New Roman" w:hAnsi="Times New Roman"/>
          <w:sz w:val="24"/>
          <w:szCs w:val="24"/>
          <w:lang w:val="lv-LV" w:eastAsia="lv-LV"/>
        </w:rPr>
        <w:t>kļūt tūrisma objektiem;</w:t>
      </w:r>
    </w:p>
    <w:p w14:paraId="49640D5E" w14:textId="77777777" w:rsidR="007F6993" w:rsidRPr="00267BCC" w:rsidRDefault="007F6993" w:rsidP="00267BCC">
      <w:pPr>
        <w:rPr>
          <w:rFonts w:eastAsia="Calibri"/>
          <w:lang w:val="lv-LV"/>
        </w:rPr>
      </w:pPr>
    </w:p>
    <w:p w14:paraId="49640D5F" w14:textId="77777777" w:rsidR="001F08B9" w:rsidRPr="00267BCC" w:rsidRDefault="001F08B9" w:rsidP="00267BCC">
      <w:pPr>
        <w:pStyle w:val="Heading2"/>
        <w:numPr>
          <w:ilvl w:val="1"/>
          <w:numId w:val="24"/>
        </w:numPr>
        <w:rPr>
          <w:rFonts w:eastAsia="Calibri"/>
          <w:lang w:val="lv-LV"/>
        </w:rPr>
      </w:pPr>
      <w:bookmarkStart w:id="41" w:name="_Toc381256672"/>
      <w:r w:rsidRPr="00267BCC">
        <w:rPr>
          <w:rFonts w:eastAsia="Calibri"/>
          <w:lang w:val="lv-LV"/>
        </w:rPr>
        <w:t>Reģionālo tūrisma puduru veidošanas veicināšana</w:t>
      </w:r>
      <w:bookmarkEnd w:id="40"/>
      <w:bookmarkEnd w:id="41"/>
    </w:p>
    <w:p w14:paraId="49640D60" w14:textId="77777777" w:rsidR="001F08B9" w:rsidRPr="00267BCC" w:rsidRDefault="001F08B9" w:rsidP="00267BCC">
      <w:pPr>
        <w:rPr>
          <w:rFonts w:eastAsia="Calibri"/>
          <w:lang w:val="lv-LV"/>
        </w:rPr>
      </w:pPr>
    </w:p>
    <w:p w14:paraId="49640D61" w14:textId="77777777" w:rsidR="001F08B9" w:rsidRPr="00267BCC" w:rsidRDefault="001F08B9" w:rsidP="00267BCC">
      <w:pPr>
        <w:jc w:val="both"/>
        <w:rPr>
          <w:rFonts w:eastAsia="Calibri"/>
          <w:lang w:val="lv-LV"/>
        </w:rPr>
      </w:pPr>
      <w:r w:rsidRPr="00267BCC">
        <w:rPr>
          <w:rFonts w:eastAsia="Calibri"/>
          <w:lang w:val="lv-LV"/>
        </w:rPr>
        <w:tab/>
        <w:t xml:space="preserve">Vairāki pētījumi ir pierādījuši, ka Rīgai ir labāka atpazīstamība starptautiskā mērogā nekā Latvijai. Galvaspilsēta ir svarīgākais ceļotāju piesaistes elements Latvijai, galvenie ieceļošanas vārti. Taču, lai veicinātu tūristu uzturēšanās ilguma </w:t>
      </w:r>
      <w:r w:rsidR="000F4E3C" w:rsidRPr="00267BCC">
        <w:rPr>
          <w:rFonts w:eastAsia="Calibri"/>
          <w:lang w:val="lv-LV"/>
        </w:rPr>
        <w:t>pagarināšanos</w:t>
      </w:r>
      <w:r w:rsidRPr="00267BCC">
        <w:rPr>
          <w:rFonts w:eastAsia="Calibri"/>
          <w:lang w:val="lv-LV"/>
        </w:rPr>
        <w:t>, aktīvi jāstrādā pie instrumentiem, kas mudinātu ceļotājus doties ārpus Rīgas. Vien</w:t>
      </w:r>
      <w:r w:rsidR="00C73B16" w:rsidRPr="00267BCC">
        <w:rPr>
          <w:rFonts w:eastAsia="Calibri"/>
          <w:lang w:val="lv-LV"/>
        </w:rPr>
        <w:t>s</w:t>
      </w:r>
      <w:r w:rsidRPr="00267BCC">
        <w:rPr>
          <w:rFonts w:eastAsia="Calibri"/>
          <w:lang w:val="lv-LV"/>
        </w:rPr>
        <w:t xml:space="preserve"> no priekšnoteikumiem tūrisma attīstībai </w:t>
      </w:r>
      <w:r w:rsidRPr="005C766A">
        <w:rPr>
          <w:rFonts w:eastAsia="Calibri"/>
          <w:lang w:val="lv-LV"/>
        </w:rPr>
        <w:t>reģionos</w:t>
      </w:r>
      <w:r w:rsidR="009956EC" w:rsidRPr="005C766A">
        <w:rPr>
          <w:rFonts w:eastAsia="Calibri"/>
          <w:lang w:val="lv-LV"/>
        </w:rPr>
        <w:t xml:space="preserve"> (ārpus galvaspilsētas)</w:t>
      </w:r>
      <w:r w:rsidRPr="00267BCC">
        <w:rPr>
          <w:rFonts w:eastAsia="Calibri"/>
          <w:lang w:val="lv-LV"/>
        </w:rPr>
        <w:t xml:space="preserve"> ir tūrisma puduru jeb klasteru veidošana. Tūrisma puduris ir koncentrēta tūrisma pakalpojumu sniedzēju, atbalsta organizāciju, izpētes un attīstības institūciju grupa, kas efektīvi un koordinēti sadarbojas noteiktā ģeogrāfiskā vietā, attīstot kompleksu tūrisma piedāvājumu. Šādas sadarbības rezultātā tiek uzlabota grupas dalībnieku konkurētspēja, veicināta kvalitātes un produktivitātes uzlabošana, inovāciju ieviešana. </w:t>
      </w:r>
    </w:p>
    <w:p w14:paraId="49640D62" w14:textId="77777777" w:rsidR="001F08B9" w:rsidRPr="00267BCC" w:rsidRDefault="001F08B9" w:rsidP="00267BCC">
      <w:pPr>
        <w:jc w:val="both"/>
        <w:rPr>
          <w:lang w:val="lv-LV"/>
        </w:rPr>
      </w:pPr>
      <w:r w:rsidRPr="00267BCC">
        <w:rPr>
          <w:rFonts w:eastAsia="Calibri"/>
          <w:lang w:val="lv-LV"/>
        </w:rPr>
        <w:tab/>
        <w:t xml:space="preserve">Lai veicinātu tūrisma puduru veidošanos un attīstību reģionos, ir jārisina – kā speciālās tūrisma, tā arī vispārīgās infrastruktūras (galamērķu sasniedzamība) attīstības jautājumi. </w:t>
      </w:r>
      <w:r w:rsidRPr="00267BCC">
        <w:rPr>
          <w:lang w:val="lv-LV"/>
        </w:rPr>
        <w:t xml:space="preserve">Dažādu faktoru ietekmē, samazinoties pasažieru </w:t>
      </w:r>
      <w:r w:rsidR="000F4E3C" w:rsidRPr="00267BCC">
        <w:rPr>
          <w:lang w:val="lv-LV"/>
        </w:rPr>
        <w:t>starppilsētu</w:t>
      </w:r>
      <w:r w:rsidRPr="00267BCC">
        <w:rPr>
          <w:lang w:val="lv-LV"/>
        </w:rPr>
        <w:t xml:space="preserve"> pārvadājumiem (gan vilcienu, gan autobusu), tiek ietekmēta attīstība arī tūrisma nozares kontekstā. Tūrisma produktā/pakalpojumā ieguldītie resursi neatmaksāsies, ja tas nebūs viegli sasniedzams. Jautājums būtu jārisina kompleksi, ņemot vērā gan pārvadātāju, gan pakalpojuma izmantotāju, gan arī esošo un potenciālo komersantu intereses.</w:t>
      </w:r>
    </w:p>
    <w:p w14:paraId="49640D63" w14:textId="77777777" w:rsidR="001F08B9" w:rsidRPr="00267BCC" w:rsidRDefault="001F08B9" w:rsidP="00267BCC">
      <w:pPr>
        <w:ind w:firstLine="720"/>
        <w:jc w:val="both"/>
        <w:rPr>
          <w:lang w:val="lv-LV"/>
        </w:rPr>
      </w:pPr>
      <w:r w:rsidRPr="00267BCC">
        <w:rPr>
          <w:lang w:val="lv-LV"/>
        </w:rPr>
        <w:t>Būtisks faktors ceļotāju piesaistei ir informācijas pieejamī</w:t>
      </w:r>
      <w:r w:rsidR="00C73B16" w:rsidRPr="00267BCC">
        <w:rPr>
          <w:lang w:val="lv-LV"/>
        </w:rPr>
        <w:t>ba. Šobrīd nozares attīstībā ar</w:t>
      </w:r>
      <w:r w:rsidRPr="00267BCC">
        <w:rPr>
          <w:lang w:val="lv-LV"/>
        </w:rPr>
        <w:t xml:space="preserve">vien vairāk tiek runāts par jaunu tehnoloģiju </w:t>
      </w:r>
      <w:r w:rsidR="00C73B16" w:rsidRPr="00267BCC">
        <w:rPr>
          <w:lang w:val="lv-LV"/>
        </w:rPr>
        <w:t>izmantošanu, kas vienlaikus</w:t>
      </w:r>
      <w:r w:rsidRPr="00267BCC">
        <w:rPr>
          <w:lang w:val="lv-LV"/>
        </w:rPr>
        <w:t xml:space="preserve"> gan veicinātu informācijas pieejamību par tūrisma galamērķiem, apskates vietām un pieejamajiem pakalpojumiem, gan arī var</w:t>
      </w:r>
      <w:r w:rsidR="00C73B16" w:rsidRPr="00267BCC">
        <w:rPr>
          <w:lang w:val="lv-LV"/>
        </w:rPr>
        <w:t>ētu</w:t>
      </w:r>
      <w:r w:rsidRPr="00267BCC">
        <w:rPr>
          <w:lang w:val="lv-LV"/>
        </w:rPr>
        <w:t xml:space="preserve"> samazināt izmaksas mārketinga aktivitātēm ilgtermiņā. Tomēr, lai runātu par efektīvu jauno tehnoloģiju pielietošanu Latvijā, ir jāvērtē to izmantošanas iespējas. Viens no būtiskiem aspektiem ir interneta pi</w:t>
      </w:r>
      <w:r w:rsidR="00C73B16" w:rsidRPr="00267BCC">
        <w:rPr>
          <w:lang w:val="lv-LV"/>
        </w:rPr>
        <w:t>eejamība. Vienlaikus jāveido ar</w:t>
      </w:r>
      <w:r w:rsidRPr="00267BCC">
        <w:rPr>
          <w:lang w:val="lv-LV"/>
        </w:rPr>
        <w:t>vien koordinētāka informācijas apkopošana un pieejamība par tūrisma</w:t>
      </w:r>
      <w:r w:rsidR="00C73B16" w:rsidRPr="00267BCC">
        <w:rPr>
          <w:lang w:val="lv-LV"/>
        </w:rPr>
        <w:t xml:space="preserve"> galamērķiem, kur nozīmīga loma</w:t>
      </w:r>
      <w:r w:rsidRPr="00267BCC">
        <w:rPr>
          <w:lang w:val="lv-LV"/>
        </w:rPr>
        <w:t xml:space="preserve"> ir reģionālajām tūrisma organizācijām, informācijas centriem un jau šeit ieskicētajiem topošajiem puduriem – to koordinējošām organizācijām.</w:t>
      </w:r>
    </w:p>
    <w:p w14:paraId="49640D64" w14:textId="77777777" w:rsidR="001F08B9" w:rsidRPr="00267BCC" w:rsidRDefault="001F08B9" w:rsidP="00267BCC">
      <w:pPr>
        <w:jc w:val="both"/>
        <w:rPr>
          <w:rFonts w:eastAsia="Calibri"/>
          <w:lang w:val="lv-LV"/>
        </w:rPr>
      </w:pPr>
    </w:p>
    <w:p w14:paraId="49640D65" w14:textId="77777777" w:rsidR="001F08B9" w:rsidRPr="00267BCC" w:rsidRDefault="001F08B9" w:rsidP="00267BCC">
      <w:pPr>
        <w:jc w:val="both"/>
        <w:rPr>
          <w:rFonts w:eastAsia="Calibri"/>
          <w:lang w:val="lv-LV"/>
        </w:rPr>
      </w:pPr>
      <w:r w:rsidRPr="00267BCC">
        <w:rPr>
          <w:rFonts w:eastAsia="Calibri"/>
          <w:b/>
          <w:i/>
          <w:lang w:val="lv-LV"/>
        </w:rPr>
        <w:t>Būtiskākie uzdevumi:</w:t>
      </w:r>
    </w:p>
    <w:p w14:paraId="49640D66" w14:textId="77777777" w:rsidR="001E2F55" w:rsidRPr="005C766A" w:rsidRDefault="001E2F55" w:rsidP="00267BCC">
      <w:pPr>
        <w:pStyle w:val="ListParagraph"/>
        <w:numPr>
          <w:ilvl w:val="0"/>
          <w:numId w:val="2"/>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Atbalsta programmas izstrāde tūrisma puduru jeb kl</w:t>
      </w:r>
      <w:r w:rsidR="00D80E91" w:rsidRPr="005C766A">
        <w:rPr>
          <w:rFonts w:ascii="Times New Roman" w:hAnsi="Times New Roman"/>
          <w:sz w:val="24"/>
          <w:szCs w:val="24"/>
          <w:lang w:val="lv-LV"/>
        </w:rPr>
        <w:t>asteru attīstībai reģionos (1.pielikuma 2.1.aktivitāte);</w:t>
      </w:r>
    </w:p>
    <w:p w14:paraId="49640D67" w14:textId="77777777" w:rsidR="00D80E91" w:rsidRPr="005C766A" w:rsidRDefault="00D80E91" w:rsidP="00D80E91">
      <w:pPr>
        <w:pStyle w:val="naisf"/>
        <w:numPr>
          <w:ilvl w:val="0"/>
          <w:numId w:val="2"/>
        </w:numPr>
        <w:spacing w:before="0" w:after="0"/>
      </w:pPr>
      <w:r w:rsidRPr="005C766A">
        <w:t>Komersantu izglītošana par uzņēmējdarbības attīstīšanu un tūrisma puduru veidošanu (1.pielikuma 2.4.aktivitāte);</w:t>
      </w:r>
    </w:p>
    <w:p w14:paraId="49640D68" w14:textId="77777777" w:rsidR="00D80E91" w:rsidRPr="005C766A" w:rsidRDefault="00D80E91" w:rsidP="00D80E91">
      <w:pPr>
        <w:pStyle w:val="naisf"/>
        <w:numPr>
          <w:ilvl w:val="0"/>
          <w:numId w:val="2"/>
        </w:numPr>
        <w:spacing w:before="0" w:after="0"/>
      </w:pPr>
      <w:r w:rsidRPr="005C766A">
        <w:rPr>
          <w:rFonts w:eastAsia="Calibri"/>
        </w:rPr>
        <w:t>Tūrisma informācijas pieejamības veicināšana, t.sk.</w:t>
      </w:r>
      <w:r w:rsidRPr="005C766A">
        <w:t xml:space="preserve"> atbalsta nodrošināšana uzņēmumiem informācijas nodrošināšanai interneta vidē, informācijas stendu un norāžu nodrošināšanai pie tūrisma objektiem (1.pielikuma 2.3.aktivitāte); </w:t>
      </w:r>
    </w:p>
    <w:p w14:paraId="49640D69" w14:textId="77777777" w:rsidR="00146BDF" w:rsidRPr="005C766A" w:rsidRDefault="001F08B9" w:rsidP="00146BDF">
      <w:pPr>
        <w:pStyle w:val="naisf"/>
        <w:numPr>
          <w:ilvl w:val="0"/>
          <w:numId w:val="2"/>
        </w:numPr>
        <w:spacing w:before="0" w:after="0"/>
      </w:pPr>
      <w:r w:rsidRPr="005C766A">
        <w:rPr>
          <w:rFonts w:eastAsia="Calibri"/>
        </w:rPr>
        <w:t>Tūrisma komersantiem labvēlīgas uzņēmējdarbības vides nodrošināšana</w:t>
      </w:r>
      <w:r w:rsidR="00D80E91" w:rsidRPr="005C766A">
        <w:rPr>
          <w:rFonts w:eastAsia="Calibri"/>
        </w:rPr>
        <w:t xml:space="preserve"> (1.pielikuma 2.1.</w:t>
      </w:r>
      <w:r w:rsidR="0074137D" w:rsidRPr="005C766A">
        <w:rPr>
          <w:rFonts w:eastAsia="Calibri"/>
        </w:rPr>
        <w:t xml:space="preserve"> un 3.2.</w:t>
      </w:r>
      <w:r w:rsidR="00D80E91" w:rsidRPr="005C766A">
        <w:rPr>
          <w:rFonts w:eastAsia="Calibri"/>
        </w:rPr>
        <w:t>aktivitāte)</w:t>
      </w:r>
      <w:r w:rsidR="000F4E3C" w:rsidRPr="005C766A">
        <w:rPr>
          <w:rFonts w:eastAsia="Calibri"/>
        </w:rPr>
        <w:t>;</w:t>
      </w:r>
    </w:p>
    <w:p w14:paraId="49640D6A" w14:textId="77777777" w:rsidR="0072108F" w:rsidRPr="005C766A" w:rsidRDefault="0072108F" w:rsidP="00267BCC">
      <w:pPr>
        <w:pStyle w:val="naisf"/>
        <w:numPr>
          <w:ilvl w:val="0"/>
          <w:numId w:val="2"/>
        </w:numPr>
        <w:spacing w:before="0" w:after="0"/>
      </w:pPr>
      <w:r w:rsidRPr="005C766A">
        <w:lastRenderedPageBreak/>
        <w:t>Nodrošināt personām ar invaliditāti pieejamu vidi un vienlīdzīgas iespējas izmantot tūrisma pakalpojumus</w:t>
      </w:r>
      <w:r w:rsidR="00E541ED" w:rsidRPr="005C766A">
        <w:t xml:space="preserve"> (1.pielikuma 1.sadaļas ietvaros un 4.4.aktivitāte)</w:t>
      </w:r>
      <w:r w:rsidRPr="005C766A">
        <w:t>.</w:t>
      </w:r>
    </w:p>
    <w:p w14:paraId="49640D6B" w14:textId="77777777" w:rsidR="001F08B9" w:rsidRPr="00267BCC" w:rsidRDefault="001F08B9" w:rsidP="00267BCC">
      <w:pPr>
        <w:jc w:val="both"/>
        <w:rPr>
          <w:rFonts w:eastAsia="Calibri"/>
          <w:lang w:val="lv-LV"/>
        </w:rPr>
      </w:pPr>
    </w:p>
    <w:p w14:paraId="49640D6C" w14:textId="77777777" w:rsidR="001F08B9" w:rsidRPr="00267BCC" w:rsidRDefault="001F08B9" w:rsidP="00267BCC">
      <w:pPr>
        <w:pStyle w:val="Heading2"/>
        <w:numPr>
          <w:ilvl w:val="1"/>
          <w:numId w:val="24"/>
        </w:numPr>
        <w:rPr>
          <w:rFonts w:eastAsia="Calibri"/>
          <w:lang w:val="lv-LV"/>
        </w:rPr>
      </w:pPr>
      <w:bookmarkStart w:id="42" w:name="_Toc321225374"/>
      <w:bookmarkStart w:id="43" w:name="_Toc381256673"/>
      <w:r w:rsidRPr="00267BCC">
        <w:rPr>
          <w:rFonts w:eastAsia="Calibri"/>
          <w:lang w:val="lv-LV"/>
        </w:rPr>
        <w:t xml:space="preserve">Latvijas tūrisma produkta iekļaušana kopējā Baltijas </w:t>
      </w:r>
      <w:r w:rsidR="00C9752A" w:rsidRPr="00267BCC">
        <w:rPr>
          <w:rFonts w:eastAsia="Calibri"/>
          <w:lang w:val="lv-LV"/>
        </w:rPr>
        <w:t xml:space="preserve">jūras reģiona valstu </w:t>
      </w:r>
      <w:r w:rsidRPr="00267BCC">
        <w:rPr>
          <w:rFonts w:eastAsia="Calibri"/>
          <w:lang w:val="lv-LV"/>
        </w:rPr>
        <w:t>tūrisma piedāvājumā</w:t>
      </w:r>
      <w:bookmarkEnd w:id="42"/>
      <w:bookmarkEnd w:id="43"/>
    </w:p>
    <w:p w14:paraId="49640D6D" w14:textId="77777777" w:rsidR="001F08B9" w:rsidRPr="00267BCC" w:rsidRDefault="001F08B9" w:rsidP="00267BCC">
      <w:pPr>
        <w:rPr>
          <w:rFonts w:eastAsia="Calibri"/>
          <w:lang w:val="lv-LV"/>
        </w:rPr>
      </w:pPr>
    </w:p>
    <w:p w14:paraId="49640D6E" w14:textId="77777777" w:rsidR="001F08B9" w:rsidRPr="00267BCC" w:rsidRDefault="001F08B9" w:rsidP="00267BCC">
      <w:pPr>
        <w:jc w:val="both"/>
        <w:rPr>
          <w:rFonts w:eastAsia="Calibri"/>
          <w:lang w:val="lv-LV"/>
        </w:rPr>
      </w:pPr>
      <w:r w:rsidRPr="00267BCC">
        <w:rPr>
          <w:rFonts w:eastAsia="Calibri"/>
          <w:lang w:val="lv-LV"/>
        </w:rPr>
        <w:tab/>
        <w:t xml:space="preserve">Tūrisma produktu attīstībā svarīga nozīme ir tūrisma piedāvājuma un pieprasījuma savstarpējai attiecībai. Ir jāsaprot, kurus mērķa tirgus Latvijas piedāvājums uzrunā, un attiecīgi </w:t>
      </w:r>
      <w:r w:rsidR="008E0393" w:rsidRPr="00267BCC">
        <w:rPr>
          <w:rFonts w:eastAsia="Calibri"/>
          <w:lang w:val="lv-LV"/>
        </w:rPr>
        <w:t>jāpielāgo</w:t>
      </w:r>
      <w:r w:rsidRPr="00267BCC">
        <w:rPr>
          <w:rFonts w:eastAsia="Calibri"/>
          <w:lang w:val="lv-LV"/>
        </w:rPr>
        <w:t xml:space="preserve"> </w:t>
      </w:r>
      <w:r w:rsidR="000F4E3C" w:rsidRPr="00267BCC">
        <w:rPr>
          <w:rFonts w:eastAsia="Calibri"/>
          <w:lang w:val="lv-LV"/>
        </w:rPr>
        <w:t>konkrētajam</w:t>
      </w:r>
      <w:r w:rsidRPr="00267BCC">
        <w:rPr>
          <w:rFonts w:eastAsia="Calibri"/>
          <w:lang w:val="lv-LV"/>
        </w:rPr>
        <w:t xml:space="preserve"> tirgum </w:t>
      </w:r>
      <w:r w:rsidR="000F4E3C" w:rsidRPr="00267BCC">
        <w:rPr>
          <w:rFonts w:eastAsia="Calibri"/>
          <w:lang w:val="lv-LV"/>
        </w:rPr>
        <w:t>atbilstoši</w:t>
      </w:r>
      <w:r w:rsidRPr="00267BCC">
        <w:rPr>
          <w:rFonts w:eastAsia="Calibri"/>
          <w:lang w:val="lv-LV"/>
        </w:rPr>
        <w:t xml:space="preserve"> tūrisma produkti. Va</w:t>
      </w:r>
      <w:r w:rsidR="008E0393" w:rsidRPr="00267BCC">
        <w:rPr>
          <w:rFonts w:eastAsia="Calibri"/>
          <w:lang w:val="lv-LV"/>
        </w:rPr>
        <w:t>irākās valstīs (īpaši t.s. tālajos tirgos</w:t>
      </w:r>
      <w:r w:rsidRPr="00267BCC">
        <w:rPr>
          <w:rFonts w:eastAsia="Calibri"/>
          <w:lang w:val="lv-LV"/>
        </w:rPr>
        <w:t xml:space="preserve">) visas trīs Baltijas valstis vai pat Baltijas </w:t>
      </w:r>
      <w:r w:rsidR="00BD2242" w:rsidRPr="00267BCC">
        <w:rPr>
          <w:rFonts w:eastAsia="Calibri"/>
          <w:lang w:val="lv-LV"/>
        </w:rPr>
        <w:t xml:space="preserve">jūras reģiona valstis, t.sk. </w:t>
      </w:r>
      <w:r w:rsidRPr="00267BCC">
        <w:rPr>
          <w:rFonts w:eastAsia="Calibri"/>
          <w:lang w:val="lv-LV"/>
        </w:rPr>
        <w:t>Krievija vai Skandināvija</w:t>
      </w:r>
      <w:r w:rsidR="000F4E3C" w:rsidRPr="00267BCC">
        <w:rPr>
          <w:rFonts w:eastAsia="Calibri"/>
          <w:lang w:val="lv-LV"/>
        </w:rPr>
        <w:t xml:space="preserve"> tiek uztvertas kā vienots galamērķis</w:t>
      </w:r>
      <w:r w:rsidRPr="00267BCC">
        <w:rPr>
          <w:rFonts w:eastAsia="Calibri"/>
          <w:lang w:val="lv-LV"/>
        </w:rPr>
        <w:t xml:space="preserve">. Perspektīvo tālo tirgu sarakstā tiek iekļautas šādas valstis – </w:t>
      </w:r>
      <w:r w:rsidR="008E0393" w:rsidRPr="00267BCC">
        <w:rPr>
          <w:rFonts w:eastAsia="Calibri"/>
          <w:lang w:val="lv-LV"/>
        </w:rPr>
        <w:t>ASV</w:t>
      </w:r>
      <w:r w:rsidRPr="00267BCC">
        <w:rPr>
          <w:rFonts w:eastAsia="Calibri"/>
          <w:lang w:val="lv-LV"/>
        </w:rPr>
        <w:t xml:space="preserve">, Ķīna, Japāna un Indija. Lai piesaistītu šos mērķu tirgus, kuri uz Eiropu skatās kā uz vienotu galamērķi, nepieciešams attīstīt vienotu Baltijas </w:t>
      </w:r>
      <w:r w:rsidR="00BD2242" w:rsidRPr="00267BCC">
        <w:rPr>
          <w:rFonts w:eastAsia="Calibri"/>
          <w:lang w:val="lv-LV"/>
        </w:rPr>
        <w:t xml:space="preserve">jūras reģiona valstu </w:t>
      </w:r>
      <w:r w:rsidRPr="00267BCC">
        <w:rPr>
          <w:rFonts w:eastAsia="Calibri"/>
          <w:lang w:val="lv-LV"/>
        </w:rPr>
        <w:t>tūrisma piedāvājumu. Vienlaikus ir jāvirzās no p</w:t>
      </w:r>
      <w:r w:rsidR="008E0393" w:rsidRPr="00267BCC">
        <w:rPr>
          <w:rFonts w:eastAsia="Calibri"/>
          <w:lang w:val="lv-LV"/>
        </w:rPr>
        <w:t>iedāvājuma, kur Latvija ir vien</w:t>
      </w:r>
      <w:r w:rsidRPr="00267BCC">
        <w:rPr>
          <w:rFonts w:eastAsia="Calibri"/>
          <w:lang w:val="lv-LV"/>
        </w:rPr>
        <w:t xml:space="preserve"> neliela produkta sastāvdaļa, uz piedāvājumu, kur Latvija ir galvenais </w:t>
      </w:r>
      <w:r w:rsidR="000F4E3C" w:rsidRPr="00267BCC">
        <w:rPr>
          <w:rFonts w:eastAsia="Calibri"/>
          <w:lang w:val="lv-LV"/>
        </w:rPr>
        <w:t xml:space="preserve">tūrisma </w:t>
      </w:r>
      <w:r w:rsidRPr="00267BCC">
        <w:rPr>
          <w:rFonts w:eastAsia="Calibri"/>
          <w:lang w:val="lv-LV"/>
        </w:rPr>
        <w:t>galamērķis</w:t>
      </w:r>
      <w:r w:rsidR="000F4E3C" w:rsidRPr="00267BCC">
        <w:rPr>
          <w:rFonts w:eastAsia="Calibri"/>
          <w:lang w:val="lv-LV"/>
        </w:rPr>
        <w:t xml:space="preserve">, kam </w:t>
      </w:r>
      <w:r w:rsidRPr="00267BCC">
        <w:rPr>
          <w:rFonts w:eastAsia="Calibri"/>
          <w:lang w:val="lv-LV"/>
        </w:rPr>
        <w:t>papildus tiek apceļota</w:t>
      </w:r>
      <w:r w:rsidR="000F4E3C" w:rsidRPr="00267BCC">
        <w:rPr>
          <w:rFonts w:eastAsia="Calibri"/>
          <w:lang w:val="lv-LV"/>
        </w:rPr>
        <w:t>s</w:t>
      </w:r>
      <w:r w:rsidRPr="00267BCC">
        <w:rPr>
          <w:rFonts w:eastAsia="Calibri"/>
          <w:lang w:val="lv-LV"/>
        </w:rPr>
        <w:t xml:space="preserve"> arī </w:t>
      </w:r>
      <w:r w:rsidR="00BD2242" w:rsidRPr="00267BCC">
        <w:rPr>
          <w:rFonts w:eastAsia="Calibri"/>
          <w:lang w:val="lv-LV"/>
        </w:rPr>
        <w:t>citas reģiona valstis</w:t>
      </w:r>
      <w:r w:rsidRPr="00267BCC">
        <w:rPr>
          <w:rFonts w:eastAsia="Calibri"/>
          <w:lang w:val="lv-LV"/>
        </w:rPr>
        <w:t xml:space="preserve"> vai arī piedāvājumu, </w:t>
      </w:r>
      <w:r w:rsidR="000F4E3C" w:rsidRPr="00267BCC">
        <w:rPr>
          <w:rFonts w:eastAsia="Calibri"/>
          <w:lang w:val="lv-LV"/>
        </w:rPr>
        <w:t>kas rada iespēju</w:t>
      </w:r>
      <w:r w:rsidRPr="00267BCC">
        <w:rPr>
          <w:rFonts w:eastAsia="Calibri"/>
          <w:lang w:val="lv-LV"/>
        </w:rPr>
        <w:t xml:space="preserve"> </w:t>
      </w:r>
      <w:r w:rsidR="000F4E3C" w:rsidRPr="00267BCC">
        <w:rPr>
          <w:rFonts w:eastAsia="Calibri"/>
          <w:lang w:val="lv-LV"/>
        </w:rPr>
        <w:t xml:space="preserve">Latvijā </w:t>
      </w:r>
      <w:r w:rsidRPr="00267BCC">
        <w:rPr>
          <w:rFonts w:eastAsia="Calibri"/>
          <w:lang w:val="lv-LV"/>
        </w:rPr>
        <w:t>uzturēties</w:t>
      </w:r>
      <w:r w:rsidR="00620827" w:rsidRPr="00267BCC">
        <w:rPr>
          <w:rFonts w:eastAsia="Calibri"/>
          <w:lang w:val="lv-LV"/>
        </w:rPr>
        <w:t xml:space="preserve"> ilgāk</w:t>
      </w:r>
      <w:r w:rsidRPr="00267BCC">
        <w:rPr>
          <w:rFonts w:eastAsia="Calibri"/>
          <w:lang w:val="lv-LV"/>
        </w:rPr>
        <w:t xml:space="preserve">. </w:t>
      </w:r>
      <w:r w:rsidR="000F4E3C" w:rsidRPr="00267BCC">
        <w:rPr>
          <w:rFonts w:eastAsia="Calibri"/>
          <w:lang w:val="lv-LV"/>
        </w:rPr>
        <w:t xml:space="preserve">Jāatceras ka </w:t>
      </w:r>
      <w:r w:rsidRPr="00267BCC">
        <w:rPr>
          <w:rFonts w:eastAsia="Calibri"/>
          <w:lang w:val="lv-LV"/>
        </w:rPr>
        <w:t xml:space="preserve">Latvijai ir priekšrocības kā ģeogrāfiski centrālai valstij, ja tiek apmeklētas divas no trijām </w:t>
      </w:r>
      <w:r w:rsidR="008E0393" w:rsidRPr="00267BCC">
        <w:rPr>
          <w:rFonts w:eastAsia="Calibri"/>
          <w:lang w:val="lv-LV"/>
        </w:rPr>
        <w:t xml:space="preserve">Baltijas </w:t>
      </w:r>
      <w:r w:rsidRPr="00267BCC">
        <w:rPr>
          <w:rFonts w:eastAsia="Calibri"/>
          <w:lang w:val="lv-LV"/>
        </w:rPr>
        <w:t>valstīm.</w:t>
      </w:r>
    </w:p>
    <w:p w14:paraId="49640D6F" w14:textId="77777777" w:rsidR="001F08B9" w:rsidRPr="00267BCC" w:rsidRDefault="001F08B9" w:rsidP="00267BCC">
      <w:pPr>
        <w:jc w:val="both"/>
        <w:rPr>
          <w:rFonts w:eastAsia="Calibri"/>
          <w:lang w:val="lv-LV"/>
        </w:rPr>
      </w:pPr>
      <w:r w:rsidRPr="00267BCC">
        <w:rPr>
          <w:rFonts w:eastAsia="Calibri"/>
          <w:lang w:val="lv-LV"/>
        </w:rPr>
        <w:tab/>
        <w:t xml:space="preserve">Šāda piedāvājuma attīstībā ir būtiski jau minētie infrastruktūras attīstības jautājumi, kā arī turpmāka sadarbības Baltijas </w:t>
      </w:r>
      <w:r w:rsidR="00BD2242" w:rsidRPr="00267BCC">
        <w:rPr>
          <w:rFonts w:eastAsia="Calibri"/>
          <w:lang w:val="lv-LV"/>
        </w:rPr>
        <w:t xml:space="preserve">jūras reģiona </w:t>
      </w:r>
      <w:r w:rsidRPr="00267BCC">
        <w:rPr>
          <w:rFonts w:eastAsia="Calibri"/>
          <w:lang w:val="lv-LV"/>
        </w:rPr>
        <w:t>valstu starpā, veicinot gan produktu veidošanu, gan arī galamērķu sasniedzamības pilnveidošanu.</w:t>
      </w:r>
    </w:p>
    <w:p w14:paraId="49640D70" w14:textId="77777777" w:rsidR="001F08B9" w:rsidRPr="00267BCC" w:rsidRDefault="001F08B9" w:rsidP="00267BCC">
      <w:pPr>
        <w:rPr>
          <w:rFonts w:eastAsia="Calibri"/>
          <w:lang w:val="lv-LV"/>
        </w:rPr>
      </w:pPr>
    </w:p>
    <w:p w14:paraId="49640D71" w14:textId="77777777" w:rsidR="001F08B9" w:rsidRPr="00267BCC" w:rsidRDefault="001F08B9" w:rsidP="00267BCC">
      <w:pPr>
        <w:rPr>
          <w:rFonts w:eastAsia="Calibri"/>
          <w:lang w:val="lv-LV"/>
        </w:rPr>
      </w:pPr>
      <w:r w:rsidRPr="00267BCC">
        <w:rPr>
          <w:rFonts w:eastAsia="Calibri"/>
          <w:b/>
          <w:i/>
          <w:lang w:val="lv-LV"/>
        </w:rPr>
        <w:t>Būtiskākie uzdevumi:</w:t>
      </w:r>
    </w:p>
    <w:p w14:paraId="49640D72" w14:textId="77777777" w:rsidR="00C9752A" w:rsidRPr="005C766A" w:rsidRDefault="001F08B9" w:rsidP="00267BCC">
      <w:pPr>
        <w:pStyle w:val="ListParagraph"/>
        <w:numPr>
          <w:ilvl w:val="0"/>
          <w:numId w:val="3"/>
        </w:numPr>
        <w:spacing w:line="240" w:lineRule="auto"/>
        <w:contextualSpacing w:val="0"/>
        <w:jc w:val="both"/>
        <w:rPr>
          <w:rFonts w:ascii="Times New Roman" w:hAnsi="Times New Roman"/>
          <w:sz w:val="24"/>
          <w:szCs w:val="24"/>
          <w:lang w:val="lv-LV" w:eastAsia="lv-LV"/>
        </w:rPr>
      </w:pPr>
      <w:r w:rsidRPr="00267BCC">
        <w:rPr>
          <w:rFonts w:ascii="Times New Roman" w:hAnsi="Times New Roman"/>
          <w:sz w:val="24"/>
          <w:szCs w:val="24"/>
          <w:lang w:val="lv-LV" w:eastAsia="lv-LV"/>
        </w:rPr>
        <w:t xml:space="preserve">Baltijas </w:t>
      </w:r>
      <w:r w:rsidR="00C9752A" w:rsidRPr="00267BCC">
        <w:rPr>
          <w:rFonts w:ascii="Times New Roman" w:hAnsi="Times New Roman"/>
          <w:sz w:val="24"/>
          <w:szCs w:val="24"/>
          <w:lang w:val="lv-LV" w:eastAsia="lv-LV"/>
        </w:rPr>
        <w:t xml:space="preserve">jūras reģiona </w:t>
      </w:r>
      <w:r w:rsidR="000F4E3C" w:rsidRPr="00267BCC">
        <w:rPr>
          <w:rFonts w:ascii="Times New Roman" w:hAnsi="Times New Roman"/>
          <w:sz w:val="24"/>
          <w:szCs w:val="24"/>
          <w:lang w:val="lv-LV" w:eastAsia="lv-LV"/>
        </w:rPr>
        <w:t>valstu turpmāka sadarbība</w:t>
      </w:r>
      <w:r w:rsidRPr="00267BCC">
        <w:rPr>
          <w:rFonts w:ascii="Times New Roman" w:hAnsi="Times New Roman"/>
          <w:sz w:val="24"/>
          <w:szCs w:val="24"/>
          <w:lang w:val="lv-LV" w:eastAsia="lv-LV"/>
        </w:rPr>
        <w:t xml:space="preserve"> gan kopīgu tūrisma produktu, gan arī mārketinga</w:t>
      </w:r>
      <w:r w:rsidR="00C9752A" w:rsidRPr="00267BCC">
        <w:rPr>
          <w:rFonts w:ascii="Times New Roman" w:hAnsi="Times New Roman"/>
          <w:sz w:val="24"/>
          <w:szCs w:val="24"/>
          <w:lang w:val="lv-LV" w:eastAsia="lv-LV"/>
        </w:rPr>
        <w:t xml:space="preserve"> un infrastruktūras </w:t>
      </w:r>
      <w:r w:rsidR="00C9752A" w:rsidRPr="005C766A">
        <w:rPr>
          <w:rFonts w:ascii="Times New Roman" w:hAnsi="Times New Roman"/>
          <w:sz w:val="24"/>
          <w:szCs w:val="24"/>
          <w:lang w:val="lv-LV" w:eastAsia="lv-LV"/>
        </w:rPr>
        <w:t>attīstīšanā</w:t>
      </w:r>
      <w:r w:rsidR="00044FA1" w:rsidRPr="005C766A">
        <w:rPr>
          <w:rFonts w:ascii="Times New Roman" w:hAnsi="Times New Roman"/>
          <w:sz w:val="24"/>
          <w:szCs w:val="24"/>
          <w:lang w:val="lv-LV" w:eastAsia="lv-LV"/>
        </w:rPr>
        <w:t xml:space="preserve"> (1.pielikuma 3.1.</w:t>
      </w:r>
      <w:r w:rsidR="00434FAA" w:rsidRPr="005C766A">
        <w:rPr>
          <w:rFonts w:ascii="Times New Roman" w:hAnsi="Times New Roman"/>
          <w:sz w:val="24"/>
          <w:szCs w:val="24"/>
          <w:lang w:val="lv-LV" w:eastAsia="lv-LV"/>
        </w:rPr>
        <w:t xml:space="preserve"> un 5.1.</w:t>
      </w:r>
      <w:r w:rsidR="00044FA1" w:rsidRPr="005C766A">
        <w:rPr>
          <w:rFonts w:ascii="Times New Roman" w:hAnsi="Times New Roman"/>
          <w:sz w:val="24"/>
          <w:szCs w:val="24"/>
          <w:lang w:val="lv-LV" w:eastAsia="lv-LV"/>
        </w:rPr>
        <w:t>aktivitāte)</w:t>
      </w:r>
      <w:r w:rsidR="00C9752A" w:rsidRPr="005C766A">
        <w:rPr>
          <w:rFonts w:ascii="Times New Roman" w:hAnsi="Times New Roman"/>
          <w:sz w:val="24"/>
          <w:szCs w:val="24"/>
          <w:lang w:val="lv-LV" w:eastAsia="lv-LV"/>
        </w:rPr>
        <w:t>;</w:t>
      </w:r>
    </w:p>
    <w:p w14:paraId="49640D73" w14:textId="77777777" w:rsidR="00522636" w:rsidRPr="005C766A" w:rsidRDefault="001F08B9" w:rsidP="00267BCC">
      <w:pPr>
        <w:pStyle w:val="ListParagraph"/>
        <w:numPr>
          <w:ilvl w:val="0"/>
          <w:numId w:val="3"/>
        </w:numPr>
        <w:spacing w:line="240" w:lineRule="auto"/>
        <w:contextualSpacing w:val="0"/>
        <w:jc w:val="both"/>
        <w:rPr>
          <w:rFonts w:ascii="Times New Roman" w:hAnsi="Times New Roman"/>
          <w:sz w:val="24"/>
          <w:szCs w:val="24"/>
          <w:lang w:val="lv-LV" w:eastAsia="lv-LV"/>
        </w:rPr>
      </w:pPr>
      <w:r w:rsidRPr="005C766A">
        <w:rPr>
          <w:rFonts w:ascii="Times New Roman" w:hAnsi="Times New Roman"/>
          <w:sz w:val="24"/>
          <w:szCs w:val="24"/>
          <w:lang w:val="lv-LV" w:eastAsia="lv-LV"/>
        </w:rPr>
        <w:t>Latvijas un Baltijas</w:t>
      </w:r>
      <w:r w:rsidR="00C9752A" w:rsidRPr="005C766A">
        <w:rPr>
          <w:rFonts w:ascii="Times New Roman" w:hAnsi="Times New Roman"/>
          <w:sz w:val="24"/>
          <w:szCs w:val="24"/>
          <w:lang w:val="lv-LV" w:eastAsia="lv-LV"/>
        </w:rPr>
        <w:t xml:space="preserve"> jūras reģiona valstu</w:t>
      </w:r>
      <w:r w:rsidRPr="005C766A">
        <w:rPr>
          <w:rFonts w:ascii="Times New Roman" w:hAnsi="Times New Roman"/>
          <w:sz w:val="24"/>
          <w:szCs w:val="24"/>
          <w:lang w:val="lv-LV" w:eastAsia="lv-LV"/>
        </w:rPr>
        <w:t xml:space="preserve"> pozicionēšana tūrisma tirgos, izmantojot starptautisko organizāciju resursus</w:t>
      </w:r>
      <w:r w:rsidR="00044FA1" w:rsidRPr="005C766A">
        <w:rPr>
          <w:rFonts w:ascii="Times New Roman" w:hAnsi="Times New Roman"/>
          <w:sz w:val="24"/>
          <w:szCs w:val="24"/>
          <w:lang w:val="lv-LV" w:eastAsia="lv-LV"/>
        </w:rPr>
        <w:t xml:space="preserve"> (1.pielikuma 3.3.aktivitāte)</w:t>
      </w:r>
      <w:r w:rsidRPr="005C766A">
        <w:rPr>
          <w:rFonts w:ascii="Times New Roman" w:hAnsi="Times New Roman"/>
          <w:sz w:val="24"/>
          <w:szCs w:val="24"/>
          <w:lang w:val="lv-LV" w:eastAsia="lv-LV"/>
        </w:rPr>
        <w:t>.</w:t>
      </w:r>
    </w:p>
    <w:p w14:paraId="49640D74" w14:textId="77777777" w:rsidR="008E0393" w:rsidRPr="00267BCC" w:rsidRDefault="008E0393" w:rsidP="00267BCC">
      <w:pPr>
        <w:jc w:val="both"/>
        <w:rPr>
          <w:lang w:val="lv-LV"/>
        </w:rPr>
      </w:pPr>
    </w:p>
    <w:p w14:paraId="49640D75" w14:textId="77777777" w:rsidR="001F08B9" w:rsidRPr="00267BCC" w:rsidRDefault="001F08B9" w:rsidP="00267BCC">
      <w:pPr>
        <w:pStyle w:val="Heading2"/>
        <w:numPr>
          <w:ilvl w:val="1"/>
          <w:numId w:val="24"/>
        </w:numPr>
        <w:rPr>
          <w:rFonts w:eastAsia="Calibri"/>
          <w:lang w:val="lv-LV"/>
        </w:rPr>
      </w:pPr>
      <w:bookmarkStart w:id="44" w:name="_Toc321225375"/>
      <w:bookmarkStart w:id="45" w:name="_Toc381256674"/>
      <w:r w:rsidRPr="00267BCC">
        <w:rPr>
          <w:rFonts w:eastAsia="Calibri"/>
          <w:lang w:val="lv-LV"/>
        </w:rPr>
        <w:t>Kvalitātes attīstība</w:t>
      </w:r>
      <w:bookmarkEnd w:id="44"/>
      <w:bookmarkEnd w:id="45"/>
    </w:p>
    <w:p w14:paraId="49640D76" w14:textId="77777777" w:rsidR="001F08B9" w:rsidRPr="00267BCC" w:rsidRDefault="001F08B9" w:rsidP="00267BCC">
      <w:pPr>
        <w:rPr>
          <w:rFonts w:eastAsia="Calibri"/>
          <w:lang w:val="lv-LV"/>
        </w:rPr>
      </w:pPr>
    </w:p>
    <w:p w14:paraId="49640D77" w14:textId="77777777" w:rsidR="001F08B9" w:rsidRPr="00267BCC" w:rsidRDefault="001F08B9" w:rsidP="00267BCC">
      <w:pPr>
        <w:jc w:val="both"/>
        <w:rPr>
          <w:lang w:val="lv-LV"/>
        </w:rPr>
      </w:pPr>
      <w:r w:rsidRPr="00267BCC">
        <w:rPr>
          <w:rFonts w:eastAsia="Calibri"/>
          <w:lang w:val="lv-LV"/>
        </w:rPr>
        <w:tab/>
      </w:r>
      <w:r w:rsidRPr="00267BCC">
        <w:rPr>
          <w:lang w:val="lv-LV"/>
        </w:rPr>
        <w:t>Paralēli Latvijas tūrisma piedāvāj</w:t>
      </w:r>
      <w:r w:rsidR="000F4E3C" w:rsidRPr="00267BCC">
        <w:rPr>
          <w:lang w:val="lv-LV"/>
        </w:rPr>
        <w:t>uma atpazīstamības veicināšanai</w:t>
      </w:r>
      <w:r w:rsidRPr="00267BCC">
        <w:rPr>
          <w:lang w:val="lv-LV"/>
        </w:rPr>
        <w:t xml:space="preserve"> būtiska ir katra individuālā ceļotāja pieredze, kas veidojas jau ceļojuma plānošanas procesā. </w:t>
      </w:r>
      <w:r w:rsidR="000F4E3C" w:rsidRPr="00267BCC">
        <w:rPr>
          <w:lang w:val="lv-LV"/>
        </w:rPr>
        <w:t>Tādēļ ir s</w:t>
      </w:r>
      <w:r w:rsidRPr="00267BCC">
        <w:rPr>
          <w:lang w:val="lv-LV"/>
        </w:rPr>
        <w:t xml:space="preserve">varīgi nodrošināt vispusīgas, aktuālas un precīzas informācijas pieejamību atbilstoši </w:t>
      </w:r>
      <w:r w:rsidR="008E0393" w:rsidRPr="00267BCC">
        <w:rPr>
          <w:lang w:val="lv-LV"/>
        </w:rPr>
        <w:t>potenciālā ceļotāja</w:t>
      </w:r>
      <w:r w:rsidRPr="00267BCC">
        <w:rPr>
          <w:lang w:val="lv-LV"/>
        </w:rPr>
        <w:t xml:space="preserve"> gaidām.</w:t>
      </w:r>
    </w:p>
    <w:p w14:paraId="49640D78" w14:textId="77777777" w:rsidR="001F08B9" w:rsidRPr="00267BCC" w:rsidRDefault="001F08B9" w:rsidP="00267BCC">
      <w:pPr>
        <w:jc w:val="both"/>
        <w:rPr>
          <w:lang w:val="lv-LV"/>
        </w:rPr>
      </w:pPr>
      <w:r w:rsidRPr="00267BCC">
        <w:rPr>
          <w:lang w:val="lv-LV"/>
        </w:rPr>
        <w:tab/>
        <w:t xml:space="preserve">Ierodoties Latvijā, nozīmīgu lomu spēlē gan vietējo iedzīvotāju attieksme, gan dažādu pakalpojumu, kas var nebūt tieši </w:t>
      </w:r>
      <w:r w:rsidR="000F4E3C" w:rsidRPr="00267BCC">
        <w:rPr>
          <w:lang w:val="lv-LV"/>
        </w:rPr>
        <w:t>ar tūrismu saistīti, kvalitāte, tādēļ i</w:t>
      </w:r>
      <w:r w:rsidRPr="00267BCC">
        <w:rPr>
          <w:lang w:val="lv-LV"/>
        </w:rPr>
        <w:t>r jāveicina pozitīvas attieksmes veidošan</w:t>
      </w:r>
      <w:r w:rsidR="000F4E3C" w:rsidRPr="00267BCC">
        <w:rPr>
          <w:lang w:val="lv-LV"/>
        </w:rPr>
        <w:t>ās</w:t>
      </w:r>
      <w:r w:rsidRPr="00267BCC">
        <w:rPr>
          <w:lang w:val="lv-LV"/>
        </w:rPr>
        <w:t xml:space="preserve"> pret ceļotājie</w:t>
      </w:r>
      <w:r w:rsidR="000F4E3C" w:rsidRPr="00267BCC">
        <w:rPr>
          <w:lang w:val="lv-LV"/>
        </w:rPr>
        <w:t xml:space="preserve">m kopumā, kā arī </w:t>
      </w:r>
      <w:r w:rsidRPr="00267BCC">
        <w:rPr>
          <w:lang w:val="lv-LV"/>
        </w:rPr>
        <w:t>kvali</w:t>
      </w:r>
      <w:r w:rsidR="000F4E3C" w:rsidRPr="00267BCC">
        <w:rPr>
          <w:lang w:val="lv-LV"/>
        </w:rPr>
        <w:t>ficēta tūrisma nozarē strādājošā</w:t>
      </w:r>
      <w:r w:rsidRPr="00267BCC">
        <w:rPr>
          <w:lang w:val="lv-LV"/>
        </w:rPr>
        <w:t xml:space="preserve"> </w:t>
      </w:r>
      <w:r w:rsidR="008E0393" w:rsidRPr="00267BCC">
        <w:rPr>
          <w:lang w:val="lv-LV"/>
        </w:rPr>
        <w:t>personāla</w:t>
      </w:r>
      <w:r w:rsidRPr="00267BCC">
        <w:rPr>
          <w:lang w:val="lv-LV"/>
        </w:rPr>
        <w:t xml:space="preserve"> pieejamība.</w:t>
      </w:r>
    </w:p>
    <w:p w14:paraId="49640D79" w14:textId="77777777" w:rsidR="001F08B9" w:rsidRPr="00267BCC" w:rsidRDefault="002026E0" w:rsidP="00267BCC">
      <w:pPr>
        <w:ind w:firstLine="720"/>
        <w:jc w:val="both"/>
        <w:rPr>
          <w:lang w:val="lv-LV"/>
        </w:rPr>
      </w:pPr>
      <w:r w:rsidRPr="00267BCC">
        <w:rPr>
          <w:lang w:val="lv-LV"/>
        </w:rPr>
        <w:t>Saskaņā ar</w:t>
      </w:r>
      <w:r w:rsidR="001F08B9" w:rsidRPr="00267BCC">
        <w:rPr>
          <w:lang w:val="lv-LV"/>
        </w:rPr>
        <w:t xml:space="preserve"> CSP datiem ceļotāji pakalpojumu kvalitāti pārsvarā </w:t>
      </w:r>
      <w:r w:rsidRPr="00267BCC">
        <w:rPr>
          <w:lang w:val="lv-LV"/>
        </w:rPr>
        <w:t xml:space="preserve">novērtē </w:t>
      </w:r>
      <w:r w:rsidR="001F08B9" w:rsidRPr="00267BCC">
        <w:rPr>
          <w:lang w:val="lv-LV"/>
        </w:rPr>
        <w:t>kā labu, tomēr</w:t>
      </w:r>
      <w:r w:rsidRPr="00267BCC">
        <w:rPr>
          <w:lang w:val="lv-LV"/>
        </w:rPr>
        <w:t>,</w:t>
      </w:r>
      <w:r w:rsidR="001F08B9" w:rsidRPr="00267BCC">
        <w:rPr>
          <w:lang w:val="lv-LV"/>
        </w:rPr>
        <w:t xml:space="preserve"> ja datus salīdzina ar preču/pakalpojumu cenas un kvalitātes savstarpējo atbilstību, var secināt, ka krietni vairāk ir ceļotāju, kas to vērtē</w:t>
      </w:r>
      <w:r w:rsidR="008E0393" w:rsidRPr="00267BCC">
        <w:rPr>
          <w:lang w:val="lv-LV"/>
        </w:rPr>
        <w:t xml:space="preserve"> kā apmierinošu vai pat sliktu.</w:t>
      </w:r>
    </w:p>
    <w:p w14:paraId="49640D7A" w14:textId="77777777" w:rsidR="001F08B9" w:rsidRPr="00267BCC" w:rsidRDefault="001F08B9" w:rsidP="00267BCC">
      <w:pPr>
        <w:ind w:firstLine="720"/>
        <w:jc w:val="both"/>
        <w:rPr>
          <w:lang w:val="lv-LV"/>
        </w:rPr>
      </w:pPr>
      <w:r w:rsidRPr="00267BCC">
        <w:rPr>
          <w:lang w:val="lv-LV"/>
        </w:rPr>
        <w:t xml:space="preserve">Pastāv dažādas kvalitātes novērtēšanas sistēmas, šobrīd Latvijā komersantu kompetencē ir izvēle, vai un atbilstoši kurai kvalitātes sistēmai </w:t>
      </w:r>
      <w:r w:rsidR="002026E0" w:rsidRPr="00267BCC">
        <w:rPr>
          <w:lang w:val="lv-LV"/>
        </w:rPr>
        <w:t xml:space="preserve">novērtēt </w:t>
      </w:r>
      <w:r w:rsidRPr="00267BCC">
        <w:rPr>
          <w:lang w:val="lv-LV"/>
        </w:rPr>
        <w:t>sava pakalpojuma kvalitātes atbilstību. Lai veicinātu kvalitatīvu tūrisma pakalpojumu sniegšanu Latvijā, TAVA ievieš kvalitātes zīmi „Q-Latvia”, ar kuru tiek vērtēta pakalpojuma snieg</w:t>
      </w:r>
      <w:r w:rsidR="00332C06" w:rsidRPr="00267BCC">
        <w:rPr>
          <w:lang w:val="lv-LV"/>
        </w:rPr>
        <w:t>šana no klienta viedokļa. Tāpat</w:t>
      </w:r>
      <w:r w:rsidRPr="00267BCC">
        <w:rPr>
          <w:lang w:val="lv-LV"/>
        </w:rPr>
        <w:t xml:space="preserve"> TAVA regulāri organizē apmācības tūrisma komersantiem reģionos par kvalitātes, p</w:t>
      </w:r>
      <w:r w:rsidR="00332C06" w:rsidRPr="00267BCC">
        <w:rPr>
          <w:lang w:val="lv-LV"/>
        </w:rPr>
        <w:t xml:space="preserve">roduktu/pakalpojumu attīstības un </w:t>
      </w:r>
      <w:r w:rsidRPr="00267BCC">
        <w:rPr>
          <w:lang w:val="lv-LV"/>
        </w:rPr>
        <w:t>viesmīlības jautājumiem.</w:t>
      </w:r>
    </w:p>
    <w:p w14:paraId="49640D7B" w14:textId="77777777" w:rsidR="0062241F" w:rsidRPr="005C766A" w:rsidRDefault="001F08B9" w:rsidP="00267BCC">
      <w:pPr>
        <w:ind w:firstLine="720"/>
        <w:jc w:val="both"/>
        <w:rPr>
          <w:lang w:val="lv-LV"/>
        </w:rPr>
      </w:pPr>
      <w:r w:rsidRPr="00267BCC">
        <w:rPr>
          <w:lang w:val="lv-LV"/>
        </w:rPr>
        <w:t>Arī turpmāk ir jāveicina Latvijas tūrisma pakalpojuma kvalitātes pilnveidošana un cenas un kvalitātes savstarpējā atbilstība. Ar kva</w:t>
      </w:r>
      <w:r w:rsidR="00332C06" w:rsidRPr="00267BCC">
        <w:rPr>
          <w:lang w:val="lv-LV"/>
        </w:rPr>
        <w:t>litāti jāsaprot ne tikai infrastruktūra, bet arī apkalpošana/serviss. Jāveicina ar</w:t>
      </w:r>
      <w:r w:rsidRPr="00267BCC">
        <w:rPr>
          <w:lang w:val="lv-LV"/>
        </w:rPr>
        <w:t xml:space="preserve">vien vairāk uz konkrētu tūristu grupu orientētu pakalpojumu sniegšana, kas pozitīvi ietekmētu ceļotāju lēmumu par došanos uz Latviju kā tūrisma </w:t>
      </w:r>
      <w:r w:rsidRPr="00267BCC">
        <w:rPr>
          <w:lang w:val="lv-LV"/>
        </w:rPr>
        <w:lastRenderedPageBreak/>
        <w:t>galamērķ</w:t>
      </w:r>
      <w:r w:rsidR="0062241F" w:rsidRPr="00267BCC">
        <w:rPr>
          <w:lang w:val="lv-LV"/>
        </w:rPr>
        <w:t>i, kā arī atkārtotu atgriešanos</w:t>
      </w:r>
      <w:r w:rsidR="0062241F" w:rsidRPr="005C766A">
        <w:rPr>
          <w:lang w:val="lv-LV"/>
        </w:rPr>
        <w:t>. Papildus nepieciešams veicināt pakalpojumu kvalitātes mērījumu veikšanu atbilstoši noteiktām iedzīvotāju grupām, tai skaitā, nosakot personu ar invaliditāti, ģimeņu ar bērniem, senioru apmierinātību par attiecīgā pakalpojuma saturu, pieejamību un kvalitāti, kas palīdzētu arī turpmāk plānot un attīstīt noteiktus tūrisma pakalpojumus un infrastruktūru.</w:t>
      </w:r>
    </w:p>
    <w:p w14:paraId="49640D7C" w14:textId="77777777" w:rsidR="00D5399B" w:rsidRPr="005C766A" w:rsidRDefault="00812A29" w:rsidP="00267BCC">
      <w:pPr>
        <w:ind w:firstLine="720"/>
        <w:jc w:val="both"/>
        <w:rPr>
          <w:lang w:val="lv-LV"/>
        </w:rPr>
      </w:pPr>
      <w:r w:rsidRPr="005C766A">
        <w:rPr>
          <w:lang w:val="lv-LV"/>
        </w:rPr>
        <w:t>Svarīg</w:t>
      </w:r>
      <w:r w:rsidR="00D5399B" w:rsidRPr="005C766A">
        <w:rPr>
          <w:lang w:val="lv-LV"/>
        </w:rPr>
        <w:t>s aspekts tūrisma produktu attīstībā ir pētījumi, kas saistīti ar jaunu un esošu produktu attīstības iespējām vietējā, valsts, kā arī starptautiskā līmenī, t.sk. universitāšu, augstskolu un koledžu izstrādātie pētījumi tūrisma nozarē.</w:t>
      </w:r>
    </w:p>
    <w:p w14:paraId="49640D7D" w14:textId="77777777" w:rsidR="0062241F" w:rsidRPr="005C766A" w:rsidRDefault="000E07E7" w:rsidP="00267BCC">
      <w:pPr>
        <w:ind w:firstLine="720"/>
        <w:jc w:val="both"/>
        <w:rPr>
          <w:lang w:val="lv-LV"/>
        </w:rPr>
      </w:pPr>
      <w:r w:rsidRPr="005C766A">
        <w:rPr>
          <w:lang w:val="lv-LV"/>
        </w:rPr>
        <w:t>Tāpat</w:t>
      </w:r>
      <w:r w:rsidR="0062241F" w:rsidRPr="005C766A">
        <w:rPr>
          <w:lang w:val="lv-LV"/>
        </w:rPr>
        <w:t xml:space="preserve"> Latvijas tūrisma piedāvājuma kvalitātes attī</w:t>
      </w:r>
      <w:r w:rsidR="00F8413F" w:rsidRPr="005C766A">
        <w:rPr>
          <w:lang w:val="lv-LV"/>
        </w:rPr>
        <w:t>stību pozitīvi ietekmē labvēlīga</w:t>
      </w:r>
      <w:r w:rsidR="0062241F" w:rsidRPr="005C766A">
        <w:rPr>
          <w:lang w:val="lv-LV"/>
        </w:rPr>
        <w:t xml:space="preserve"> uzņēmējdarbības vide, caurskatāms un sakārtots nozares tiesiskais regulējums gan tūrisma komersantiem, gan produktu patērētājiem. Piemēram, aktuāls jautājums ir Eiropas Padomes 1990.gada 13.jūnija direktīvas </w:t>
      </w:r>
      <w:hyperlink r:id="rId20" w:tgtFrame="_blank" w:history="1">
        <w:r w:rsidR="0062241F" w:rsidRPr="005C766A">
          <w:rPr>
            <w:rStyle w:val="Hyperlink"/>
            <w:color w:val="auto"/>
            <w:u w:val="none"/>
            <w:lang w:val="lv-LV"/>
          </w:rPr>
          <w:t>90/314/EEK</w:t>
        </w:r>
      </w:hyperlink>
      <w:r w:rsidR="0062241F" w:rsidRPr="005C766A">
        <w:rPr>
          <w:lang w:val="lv-LV"/>
        </w:rPr>
        <w:t xml:space="preserve"> par ceļojuma, atvaļinājuma un tūrisma braucienu kompleksiem pārskatīšana, lai aktualizētu komplekso ceļojumu tirdzniecības</w:t>
      </w:r>
      <w:r w:rsidR="002026E0" w:rsidRPr="005C766A">
        <w:rPr>
          <w:lang w:val="lv-LV"/>
        </w:rPr>
        <w:t xml:space="preserve"> nosacījumus atbilstoši aktuālajai</w:t>
      </w:r>
      <w:r w:rsidR="0062241F" w:rsidRPr="005C766A">
        <w:rPr>
          <w:lang w:val="lv-LV"/>
        </w:rPr>
        <w:t xml:space="preserve"> situācijai Eiropas tūrisma tirgū. EM pastāvīgi strādā pie šiem jautā</w:t>
      </w:r>
      <w:r w:rsidR="002026E0" w:rsidRPr="005C766A">
        <w:rPr>
          <w:lang w:val="lv-LV"/>
        </w:rPr>
        <w:t>jumiem, tāpēc šie uzdevumi netiek</w:t>
      </w:r>
      <w:r w:rsidR="0062241F" w:rsidRPr="005C766A">
        <w:rPr>
          <w:lang w:val="lv-LV"/>
        </w:rPr>
        <w:t xml:space="preserve"> izvirzīti p</w:t>
      </w:r>
      <w:r w:rsidR="00F8413F" w:rsidRPr="005C766A">
        <w:rPr>
          <w:lang w:val="lv-LV"/>
        </w:rPr>
        <w:t>ar atsevišķu darbības virzienu.</w:t>
      </w:r>
    </w:p>
    <w:p w14:paraId="49640D7E" w14:textId="77777777" w:rsidR="001F08B9" w:rsidRPr="00267BCC" w:rsidRDefault="001F08B9" w:rsidP="00267BCC">
      <w:pPr>
        <w:rPr>
          <w:rFonts w:eastAsia="Calibri"/>
          <w:lang w:val="lv-LV"/>
        </w:rPr>
      </w:pPr>
    </w:p>
    <w:p w14:paraId="49640D7F" w14:textId="77777777" w:rsidR="001F08B9" w:rsidRPr="00267BCC" w:rsidRDefault="001F08B9" w:rsidP="00267BCC">
      <w:pPr>
        <w:rPr>
          <w:rFonts w:eastAsia="Calibri"/>
          <w:lang w:val="lv-LV"/>
        </w:rPr>
      </w:pPr>
      <w:r w:rsidRPr="00267BCC">
        <w:rPr>
          <w:rFonts w:eastAsia="Calibri"/>
          <w:b/>
          <w:i/>
          <w:lang w:val="lv-LV"/>
        </w:rPr>
        <w:t>Būtiskākie uzdevumi:</w:t>
      </w:r>
    </w:p>
    <w:p w14:paraId="49640D80" w14:textId="77777777" w:rsidR="001F08B9" w:rsidRPr="005C766A" w:rsidRDefault="001F08B9" w:rsidP="00267BCC">
      <w:pPr>
        <w:pStyle w:val="ListParagraph"/>
        <w:numPr>
          <w:ilvl w:val="0"/>
          <w:numId w:val="4"/>
        </w:numPr>
        <w:spacing w:line="240" w:lineRule="auto"/>
        <w:contextualSpacing w:val="0"/>
        <w:jc w:val="both"/>
        <w:rPr>
          <w:rFonts w:ascii="Times New Roman" w:eastAsia="Times New Roman" w:hAnsi="Times New Roman"/>
          <w:sz w:val="24"/>
          <w:szCs w:val="24"/>
          <w:lang w:val="lv-LV" w:eastAsia="lv-LV"/>
        </w:rPr>
      </w:pPr>
      <w:r w:rsidRPr="00267BCC">
        <w:rPr>
          <w:rFonts w:ascii="Times New Roman" w:eastAsia="Times New Roman" w:hAnsi="Times New Roman"/>
          <w:sz w:val="24"/>
          <w:szCs w:val="24"/>
          <w:lang w:val="lv-LV" w:eastAsia="lv-LV"/>
        </w:rPr>
        <w:t>Uz klientu (t.sk. pastāvīgu) orientēta vīzu izsni</w:t>
      </w:r>
      <w:r w:rsidR="00980524" w:rsidRPr="00267BCC">
        <w:rPr>
          <w:rFonts w:ascii="Times New Roman" w:eastAsia="Times New Roman" w:hAnsi="Times New Roman"/>
          <w:sz w:val="24"/>
          <w:szCs w:val="24"/>
          <w:lang w:val="lv-LV" w:eastAsia="lv-LV"/>
        </w:rPr>
        <w:t>egšanas procedūru nodrošināšana</w:t>
      </w:r>
      <w:r w:rsidR="00EB5F7C">
        <w:rPr>
          <w:rFonts w:ascii="Times New Roman" w:eastAsia="Times New Roman" w:hAnsi="Times New Roman"/>
          <w:sz w:val="24"/>
          <w:szCs w:val="24"/>
          <w:lang w:val="lv-LV" w:eastAsia="lv-LV"/>
        </w:rPr>
        <w:t xml:space="preserve"> </w:t>
      </w:r>
      <w:r w:rsidR="00EB5F7C" w:rsidRPr="005C766A">
        <w:rPr>
          <w:rFonts w:ascii="Times New Roman" w:eastAsia="Times New Roman" w:hAnsi="Times New Roman"/>
          <w:sz w:val="24"/>
          <w:szCs w:val="24"/>
          <w:lang w:val="lv-LV" w:eastAsia="lv-LV"/>
        </w:rPr>
        <w:t>(1.pielikuma 4.1.aktivitāte)</w:t>
      </w:r>
      <w:r w:rsidR="00980524" w:rsidRPr="005C766A">
        <w:rPr>
          <w:rFonts w:ascii="Times New Roman" w:eastAsia="Times New Roman" w:hAnsi="Times New Roman"/>
          <w:sz w:val="24"/>
          <w:szCs w:val="24"/>
          <w:lang w:val="lv-LV" w:eastAsia="lv-LV"/>
        </w:rPr>
        <w:t>;</w:t>
      </w:r>
    </w:p>
    <w:p w14:paraId="49640D81" w14:textId="77777777" w:rsidR="001F08B9" w:rsidRPr="005C766A" w:rsidRDefault="001F08B9" w:rsidP="00267BCC">
      <w:pPr>
        <w:pStyle w:val="ListParagraph"/>
        <w:numPr>
          <w:ilvl w:val="0"/>
          <w:numId w:val="4"/>
        </w:numPr>
        <w:spacing w:line="240" w:lineRule="auto"/>
        <w:contextualSpacing w:val="0"/>
        <w:jc w:val="both"/>
        <w:rPr>
          <w:rFonts w:ascii="Times New Roman" w:eastAsia="Times New Roman" w:hAnsi="Times New Roman"/>
          <w:sz w:val="24"/>
          <w:szCs w:val="24"/>
          <w:lang w:val="lv-LV" w:eastAsia="lv-LV"/>
        </w:rPr>
      </w:pPr>
      <w:r w:rsidRPr="005C766A">
        <w:rPr>
          <w:rFonts w:ascii="Times New Roman" w:eastAsia="Times New Roman" w:hAnsi="Times New Roman"/>
          <w:sz w:val="24"/>
          <w:szCs w:val="24"/>
          <w:lang w:val="lv-LV" w:eastAsia="lv-LV"/>
        </w:rPr>
        <w:t>Kvalitātes nozīm</w:t>
      </w:r>
      <w:r w:rsidR="00620827" w:rsidRPr="005C766A">
        <w:rPr>
          <w:rFonts w:ascii="Times New Roman" w:eastAsia="Times New Roman" w:hAnsi="Times New Roman"/>
          <w:sz w:val="24"/>
          <w:szCs w:val="24"/>
          <w:lang w:val="lv-LV" w:eastAsia="lv-LV"/>
        </w:rPr>
        <w:t>es</w:t>
      </w:r>
      <w:r w:rsidRPr="005C766A">
        <w:rPr>
          <w:rFonts w:ascii="Times New Roman" w:eastAsia="Times New Roman" w:hAnsi="Times New Roman"/>
          <w:sz w:val="24"/>
          <w:szCs w:val="24"/>
          <w:lang w:val="lv-LV" w:eastAsia="lv-LV"/>
        </w:rPr>
        <w:t xml:space="preserve"> stiprināšana komersantu vidū</w:t>
      </w:r>
      <w:r w:rsidR="00EB5F7C" w:rsidRPr="005C766A">
        <w:rPr>
          <w:rFonts w:ascii="Times New Roman" w:eastAsia="Times New Roman" w:hAnsi="Times New Roman"/>
          <w:sz w:val="24"/>
          <w:szCs w:val="24"/>
          <w:lang w:val="lv-LV" w:eastAsia="lv-LV"/>
        </w:rPr>
        <w:t xml:space="preserve"> (1.pielikuma 4.2.aktivitāte)</w:t>
      </w:r>
      <w:r w:rsidRPr="005C766A">
        <w:rPr>
          <w:rFonts w:ascii="Times New Roman" w:eastAsia="Times New Roman" w:hAnsi="Times New Roman"/>
          <w:sz w:val="24"/>
          <w:szCs w:val="24"/>
          <w:lang w:val="lv-LV" w:eastAsia="lv-LV"/>
        </w:rPr>
        <w:t>:</w:t>
      </w:r>
    </w:p>
    <w:p w14:paraId="49640D82" w14:textId="77777777" w:rsidR="001F08B9" w:rsidRPr="005C766A" w:rsidRDefault="00620827" w:rsidP="00267BCC">
      <w:pPr>
        <w:pStyle w:val="ListParagraph"/>
        <w:numPr>
          <w:ilvl w:val="0"/>
          <w:numId w:val="37"/>
        </w:numPr>
        <w:spacing w:line="240" w:lineRule="auto"/>
        <w:contextualSpacing w:val="0"/>
        <w:rPr>
          <w:rFonts w:ascii="Times New Roman" w:hAnsi="Times New Roman"/>
          <w:sz w:val="24"/>
          <w:szCs w:val="24"/>
          <w:lang w:val="lv-LV"/>
        </w:rPr>
      </w:pPr>
      <w:r w:rsidRPr="005C766A">
        <w:rPr>
          <w:rFonts w:ascii="Times New Roman" w:hAnsi="Times New Roman"/>
          <w:sz w:val="24"/>
          <w:szCs w:val="24"/>
          <w:lang w:val="lv-LV"/>
        </w:rPr>
        <w:t>k</w:t>
      </w:r>
      <w:r w:rsidR="001F08B9" w:rsidRPr="005C766A">
        <w:rPr>
          <w:rFonts w:ascii="Times New Roman" w:hAnsi="Times New Roman"/>
          <w:sz w:val="24"/>
          <w:szCs w:val="24"/>
          <w:lang w:val="lv-LV"/>
        </w:rPr>
        <w:t>valitātes sistēmas “Q Latvija” attīstība par būtisku komersanta darbības kritēriju;</w:t>
      </w:r>
    </w:p>
    <w:p w14:paraId="49640D83" w14:textId="77777777" w:rsidR="001F08B9" w:rsidRPr="005C766A" w:rsidRDefault="00620827" w:rsidP="00267BCC">
      <w:pPr>
        <w:pStyle w:val="ListParagraph"/>
        <w:numPr>
          <w:ilvl w:val="0"/>
          <w:numId w:val="37"/>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k</w:t>
      </w:r>
      <w:r w:rsidR="001F08B9" w:rsidRPr="005C766A">
        <w:rPr>
          <w:rFonts w:ascii="Times New Roman" w:hAnsi="Times New Roman"/>
          <w:sz w:val="24"/>
          <w:szCs w:val="24"/>
          <w:lang w:val="lv-LV"/>
        </w:rPr>
        <w:t>valitātes standartiem atbilstoša pakalpojumu piedāvājuma veicināšana komercdarbībā (piemēram, apmācības, profesionālās konsultācijas, kursi komersantiem par kvalitātes, nišas produktu/pakalpojumu attīstī</w:t>
      </w:r>
      <w:r w:rsidR="00980524" w:rsidRPr="005C766A">
        <w:rPr>
          <w:rFonts w:ascii="Times New Roman" w:hAnsi="Times New Roman"/>
          <w:sz w:val="24"/>
          <w:szCs w:val="24"/>
          <w:lang w:val="lv-LV"/>
        </w:rPr>
        <w:t>bas jautājumiem);</w:t>
      </w:r>
    </w:p>
    <w:p w14:paraId="49640D84" w14:textId="77777777" w:rsidR="001F08B9" w:rsidRPr="005C766A" w:rsidRDefault="00495227" w:rsidP="00267BCC">
      <w:pPr>
        <w:pStyle w:val="ListParagraph"/>
        <w:numPr>
          <w:ilvl w:val="0"/>
          <w:numId w:val="4"/>
        </w:numPr>
        <w:spacing w:line="240" w:lineRule="auto"/>
        <w:contextualSpacing w:val="0"/>
        <w:jc w:val="both"/>
        <w:rPr>
          <w:rFonts w:ascii="Times New Roman" w:eastAsia="Times New Roman" w:hAnsi="Times New Roman"/>
          <w:sz w:val="24"/>
          <w:szCs w:val="24"/>
          <w:lang w:val="lv-LV" w:eastAsia="lv-LV"/>
        </w:rPr>
      </w:pPr>
      <w:r w:rsidRPr="005C766A">
        <w:rPr>
          <w:rFonts w:ascii="Times New Roman" w:eastAsia="Times New Roman" w:hAnsi="Times New Roman"/>
          <w:sz w:val="24"/>
          <w:szCs w:val="24"/>
          <w:lang w:val="lv-LV" w:eastAsia="lv-LV"/>
        </w:rPr>
        <w:t>Kvalificēta, tirgus prasībām atbilstoša</w:t>
      </w:r>
      <w:r w:rsidR="001F08B9" w:rsidRPr="005C766A">
        <w:rPr>
          <w:rFonts w:ascii="Times New Roman" w:eastAsia="Times New Roman" w:hAnsi="Times New Roman"/>
          <w:sz w:val="24"/>
          <w:szCs w:val="24"/>
          <w:lang w:val="lv-LV" w:eastAsia="lv-LV"/>
        </w:rPr>
        <w:t xml:space="preserve"> darbaspēka pieejamības nodrošināšana</w:t>
      </w:r>
      <w:r w:rsidR="00EB5F7C" w:rsidRPr="005C766A">
        <w:rPr>
          <w:rFonts w:ascii="Times New Roman" w:eastAsia="Times New Roman" w:hAnsi="Times New Roman"/>
          <w:sz w:val="24"/>
          <w:szCs w:val="24"/>
          <w:lang w:val="lv-LV" w:eastAsia="lv-LV"/>
        </w:rPr>
        <w:t xml:space="preserve"> (</w:t>
      </w:r>
      <w:r w:rsidR="000C149E" w:rsidRPr="005C766A">
        <w:rPr>
          <w:rFonts w:ascii="Times New Roman" w:eastAsia="Times New Roman" w:hAnsi="Times New Roman"/>
          <w:sz w:val="24"/>
          <w:szCs w:val="24"/>
          <w:lang w:val="lv-LV" w:eastAsia="lv-LV"/>
        </w:rPr>
        <w:t>a</w:t>
      </w:r>
      <w:r w:rsidR="00EB5F7C" w:rsidRPr="005C766A">
        <w:rPr>
          <w:rFonts w:ascii="Times New Roman" w:eastAsia="Times New Roman" w:hAnsi="Times New Roman"/>
          <w:sz w:val="24"/>
          <w:szCs w:val="24"/>
          <w:lang w:val="lv-LV" w:eastAsia="lv-LV"/>
        </w:rPr>
        <w:t>tbilstoši Izglītības attīstības pamatnostādnēm 2014.-2020.gadam)</w:t>
      </w:r>
      <w:r w:rsidR="001F08B9" w:rsidRPr="005C766A">
        <w:rPr>
          <w:rFonts w:ascii="Times New Roman" w:eastAsia="Times New Roman" w:hAnsi="Times New Roman"/>
          <w:sz w:val="24"/>
          <w:szCs w:val="24"/>
          <w:lang w:val="lv-LV" w:eastAsia="lv-LV"/>
        </w:rPr>
        <w:t>:</w:t>
      </w:r>
    </w:p>
    <w:p w14:paraId="49640D85" w14:textId="77777777" w:rsidR="001F08B9" w:rsidRPr="005C766A" w:rsidRDefault="00620827" w:rsidP="00267BCC">
      <w:pPr>
        <w:pStyle w:val="ListParagraph"/>
        <w:numPr>
          <w:ilvl w:val="0"/>
          <w:numId w:val="38"/>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i</w:t>
      </w:r>
      <w:r w:rsidR="001F08B9" w:rsidRPr="005C766A">
        <w:rPr>
          <w:rFonts w:ascii="Times New Roman" w:hAnsi="Times New Roman"/>
          <w:sz w:val="24"/>
          <w:szCs w:val="24"/>
          <w:lang w:val="lv-LV"/>
        </w:rPr>
        <w:t>zglītības iestāžu un darba devēju sadarbības veicināšana;</w:t>
      </w:r>
    </w:p>
    <w:p w14:paraId="49640D86" w14:textId="77777777" w:rsidR="001F08B9" w:rsidRPr="005C766A" w:rsidRDefault="002204FD" w:rsidP="00267BCC">
      <w:pPr>
        <w:pStyle w:val="ListParagraph"/>
        <w:numPr>
          <w:ilvl w:val="0"/>
          <w:numId w:val="38"/>
        </w:numPr>
        <w:spacing w:line="240" w:lineRule="auto"/>
        <w:contextualSpacing w:val="0"/>
        <w:jc w:val="both"/>
        <w:rPr>
          <w:rFonts w:ascii="Times New Roman" w:eastAsia="Times New Roman" w:hAnsi="Times New Roman"/>
          <w:sz w:val="24"/>
          <w:szCs w:val="24"/>
          <w:lang w:val="lv-LV" w:eastAsia="lv-LV"/>
        </w:rPr>
      </w:pPr>
      <w:r w:rsidRPr="005C766A">
        <w:rPr>
          <w:rFonts w:ascii="Times New Roman" w:hAnsi="Times New Roman"/>
          <w:sz w:val="24"/>
          <w:szCs w:val="24"/>
          <w:lang w:val="lv-LV"/>
        </w:rPr>
        <w:t>nozares vajadzībām atbilstošu profesionālās izglītības programmu un profesiju standartu izstrāde</w:t>
      </w:r>
      <w:r w:rsidR="00980524" w:rsidRPr="005C766A">
        <w:rPr>
          <w:rFonts w:ascii="Times New Roman" w:eastAsia="Times New Roman" w:hAnsi="Times New Roman"/>
          <w:sz w:val="24"/>
          <w:szCs w:val="24"/>
          <w:lang w:val="lv-LV" w:eastAsia="lv-LV"/>
        </w:rPr>
        <w:t>;</w:t>
      </w:r>
    </w:p>
    <w:p w14:paraId="49640D87" w14:textId="77777777" w:rsidR="006F337A" w:rsidRPr="005C766A" w:rsidRDefault="006F337A" w:rsidP="00267BCC">
      <w:pPr>
        <w:pStyle w:val="ListParagraph"/>
        <w:numPr>
          <w:ilvl w:val="0"/>
          <w:numId w:val="4"/>
        </w:numPr>
        <w:spacing w:line="240" w:lineRule="auto"/>
        <w:contextualSpacing w:val="0"/>
        <w:jc w:val="both"/>
        <w:rPr>
          <w:rFonts w:ascii="Times New Roman" w:hAnsi="Times New Roman"/>
          <w:sz w:val="24"/>
          <w:szCs w:val="24"/>
          <w:lang w:val="lv-LV"/>
        </w:rPr>
      </w:pPr>
      <w:r w:rsidRPr="005C766A">
        <w:rPr>
          <w:rFonts w:ascii="Times New Roman" w:hAnsi="Times New Roman"/>
          <w:sz w:val="24"/>
          <w:szCs w:val="24"/>
          <w:lang w:val="lv-LV"/>
        </w:rPr>
        <w:t>Pakalpojumu kvalitātes mērījumu veikšana atbilstoši noteiktām iedzīvotāju grupām, tai skaitā, nosakot personu ar invaliditāti, ģimeņu ar bērniem, senioru apmierinātību par attiecīgā pakalpojuma saturu, pieejamību un kvalitāti</w:t>
      </w:r>
      <w:r w:rsidR="00EB5F7C" w:rsidRPr="005C766A">
        <w:rPr>
          <w:rFonts w:ascii="Times New Roman" w:hAnsi="Times New Roman"/>
          <w:sz w:val="24"/>
          <w:szCs w:val="24"/>
          <w:lang w:val="lv-LV"/>
        </w:rPr>
        <w:t xml:space="preserve"> (1.pielikuma 4.4.aktivitāte)</w:t>
      </w:r>
      <w:r w:rsidRPr="005C766A">
        <w:rPr>
          <w:rFonts w:ascii="Times New Roman" w:hAnsi="Times New Roman"/>
          <w:sz w:val="24"/>
          <w:szCs w:val="24"/>
          <w:lang w:val="lv-LV"/>
        </w:rPr>
        <w:t>.</w:t>
      </w:r>
    </w:p>
    <w:p w14:paraId="49640D88" w14:textId="77777777" w:rsidR="00AB66B7" w:rsidRPr="00267BCC" w:rsidRDefault="00AB66B7" w:rsidP="00267BCC">
      <w:pPr>
        <w:rPr>
          <w:rFonts w:eastAsia="Calibri"/>
          <w:lang w:val="lv-LV"/>
        </w:rPr>
      </w:pPr>
    </w:p>
    <w:p w14:paraId="49640D89" w14:textId="77777777" w:rsidR="001F08B9" w:rsidRPr="00267BCC" w:rsidRDefault="001F08B9" w:rsidP="00267BCC">
      <w:pPr>
        <w:pStyle w:val="Heading2"/>
        <w:numPr>
          <w:ilvl w:val="1"/>
          <w:numId w:val="24"/>
        </w:numPr>
        <w:rPr>
          <w:rFonts w:eastAsia="Calibri"/>
          <w:lang w:val="lv-LV"/>
        </w:rPr>
      </w:pPr>
      <w:bookmarkStart w:id="46" w:name="_Toc381256675"/>
      <w:r w:rsidRPr="00267BCC">
        <w:rPr>
          <w:rFonts w:eastAsia="Calibri"/>
          <w:lang w:val="lv-LV"/>
        </w:rPr>
        <w:t>Atpazīstamības veicināšana</w:t>
      </w:r>
      <w:bookmarkEnd w:id="46"/>
    </w:p>
    <w:p w14:paraId="49640D8A" w14:textId="77777777" w:rsidR="001F08B9" w:rsidRPr="00267BCC" w:rsidRDefault="001F08B9" w:rsidP="00267BCC">
      <w:pPr>
        <w:jc w:val="both"/>
        <w:rPr>
          <w:rFonts w:eastAsia="Calibri"/>
          <w:lang w:val="lv-LV"/>
        </w:rPr>
      </w:pPr>
    </w:p>
    <w:p w14:paraId="49640D8B" w14:textId="77777777" w:rsidR="001F08B9" w:rsidRPr="00267BCC" w:rsidRDefault="001F08B9" w:rsidP="00267BCC">
      <w:pPr>
        <w:jc w:val="both"/>
        <w:rPr>
          <w:rFonts w:eastAsia="Calibri"/>
          <w:i/>
          <w:lang w:val="lv-LV"/>
        </w:rPr>
      </w:pPr>
      <w:r w:rsidRPr="00267BCC">
        <w:rPr>
          <w:rFonts w:eastAsia="Calibri"/>
          <w:b/>
          <w:i/>
          <w:lang w:val="lv-LV"/>
        </w:rPr>
        <w:t>Problēma:</w:t>
      </w:r>
      <w:r w:rsidRPr="00267BCC">
        <w:rPr>
          <w:rFonts w:eastAsia="Calibri"/>
          <w:i/>
          <w:lang w:val="lv-LV"/>
        </w:rPr>
        <w:t xml:space="preserve"> Latvijas kā tūrisma galamērķa atpazīstamība vēl joprojām ir salīdzinoši zema.</w:t>
      </w:r>
    </w:p>
    <w:p w14:paraId="49640D8C" w14:textId="77777777" w:rsidR="001F08B9" w:rsidRPr="00267BCC" w:rsidRDefault="001F08B9" w:rsidP="00267BCC">
      <w:pPr>
        <w:jc w:val="both"/>
        <w:rPr>
          <w:rFonts w:eastAsia="Calibri"/>
          <w:lang w:val="lv-LV"/>
        </w:rPr>
      </w:pPr>
    </w:p>
    <w:p w14:paraId="49640D8D" w14:textId="77777777" w:rsidR="001F08B9" w:rsidRPr="00267BCC" w:rsidRDefault="009A67E5" w:rsidP="00267BCC">
      <w:pPr>
        <w:ind w:firstLine="720"/>
        <w:jc w:val="both"/>
        <w:rPr>
          <w:lang w:val="lv-LV"/>
        </w:rPr>
      </w:pPr>
      <w:r w:rsidRPr="00267BCC">
        <w:rPr>
          <w:lang w:val="lv-LV"/>
        </w:rPr>
        <w:t>Esošos tūrisma produktus un pakalpojumus iespējams veiksmīgi virzīt tirgū un nodrošināt tūrisma plūsmas palielināšanos, īstenojot efektīvus tūrisma mārketinga pasākumus. P</w:t>
      </w:r>
      <w:r w:rsidR="001F08B9" w:rsidRPr="00267BCC">
        <w:rPr>
          <w:lang w:val="lv-LV"/>
        </w:rPr>
        <w:t xml:space="preserve">ar Latvijas kā tūrisma galamērķa atpazīstamības veicināšanu ārvalstīs </w:t>
      </w:r>
      <w:r w:rsidRPr="00267BCC">
        <w:rPr>
          <w:lang w:val="lv-LV"/>
        </w:rPr>
        <w:t xml:space="preserve">atbildīgā institūcija </w:t>
      </w:r>
      <w:r w:rsidR="001F08B9" w:rsidRPr="00267BCC">
        <w:rPr>
          <w:lang w:val="lv-LV"/>
        </w:rPr>
        <w:t xml:space="preserve">ir </w:t>
      </w:r>
      <w:r w:rsidR="00620827" w:rsidRPr="00267BCC">
        <w:rPr>
          <w:lang w:val="lv-LV"/>
        </w:rPr>
        <w:t>T</w:t>
      </w:r>
      <w:r w:rsidR="001F08B9" w:rsidRPr="00267BCC">
        <w:rPr>
          <w:lang w:val="lv-LV"/>
        </w:rPr>
        <w:t xml:space="preserve">AVA. Tomēr lielu ieguldījumu valsts atpazīstamības veidošanā veic valsts institūciju un komersantu pārstāvniecības ārvalstīs, pašvaldības, </w:t>
      </w:r>
      <w:r w:rsidR="00620827" w:rsidRPr="00267BCC">
        <w:rPr>
          <w:lang w:val="lv-LV"/>
        </w:rPr>
        <w:t xml:space="preserve">reģionālās un profesionālās </w:t>
      </w:r>
      <w:r w:rsidR="001F08B9" w:rsidRPr="00267BCC">
        <w:rPr>
          <w:lang w:val="lv-LV"/>
        </w:rPr>
        <w:t>tūrisma nozares asociācijas, informācijas centri</w:t>
      </w:r>
      <w:r w:rsidR="00C13BAB" w:rsidRPr="00267BCC">
        <w:rPr>
          <w:lang w:val="lv-LV"/>
        </w:rPr>
        <w:t xml:space="preserve">, </w:t>
      </w:r>
      <w:r w:rsidR="00C13BAB" w:rsidRPr="005C766A">
        <w:rPr>
          <w:lang w:val="lv-LV"/>
        </w:rPr>
        <w:t xml:space="preserve">plānošanas reģionu administrācijas </w:t>
      </w:r>
      <w:r w:rsidR="001F08B9" w:rsidRPr="005C766A">
        <w:rPr>
          <w:lang w:val="lv-LV"/>
        </w:rPr>
        <w:t>un</w:t>
      </w:r>
      <w:r w:rsidR="001F08B9" w:rsidRPr="00267BCC">
        <w:rPr>
          <w:lang w:val="lv-LV"/>
        </w:rPr>
        <w:t xml:space="preserve"> vietējie komersanti.</w:t>
      </w:r>
    </w:p>
    <w:p w14:paraId="49640D8E" w14:textId="77777777" w:rsidR="001F08B9" w:rsidRPr="00267BCC" w:rsidRDefault="001F08B9" w:rsidP="00267BCC">
      <w:pPr>
        <w:ind w:firstLine="720"/>
        <w:jc w:val="both"/>
        <w:rPr>
          <w:lang w:val="lv-LV"/>
        </w:rPr>
      </w:pPr>
      <w:r w:rsidRPr="00267BCC">
        <w:rPr>
          <w:lang w:val="lv-LV"/>
        </w:rPr>
        <w:t xml:space="preserve">Būtisks priekšnoteikums tūrisma eksporta apjoma palielināšanai un ekonomiskās aktivitātes veicināšanai ir vienota tūrisma produkta virzīšana tirgū. Ar pārdomātām un koordinētām mārketinga aktivitātēm interaktīvajā (izmantojot modernās informācijas un komunikāciju tehnoloģijas) un reālajā vidē var veicināt Latvijas tūrisma sezonalitātes mazināšanos un vairākdienu ceļotāju skaita pieaugumu. Mārketinga aktivitāšu īstenošanā nepieciešams ieviest jaunas valsts, nevalstiskā un privātā sektora sadarbības formas, ar kuru palīdzību tiek nodrošināta Latvijas atpazīstamības veicināšana un vienlaikus sekmēta reāla </w:t>
      </w:r>
      <w:r w:rsidRPr="00267BCC">
        <w:rPr>
          <w:lang w:val="lv-LV"/>
        </w:rPr>
        <w:lastRenderedPageBreak/>
        <w:t>tūristu plūsma (piemēram, sadarbība jaunu starptautisku transporta savienojumu piesaistē, starptautisku sporta, kultūras un darījumu pasākumu īstenošanā).</w:t>
      </w:r>
    </w:p>
    <w:p w14:paraId="49640D8F" w14:textId="77777777" w:rsidR="001F08B9" w:rsidRPr="00267BCC" w:rsidRDefault="001F08B9" w:rsidP="00267BCC">
      <w:pPr>
        <w:jc w:val="both"/>
        <w:rPr>
          <w:b/>
          <w:i/>
          <w:lang w:val="lv-LV"/>
        </w:rPr>
      </w:pPr>
    </w:p>
    <w:p w14:paraId="49640D90" w14:textId="77777777" w:rsidR="001F08B9" w:rsidRPr="00267BCC" w:rsidRDefault="001F08B9" w:rsidP="00267BCC">
      <w:pPr>
        <w:jc w:val="both"/>
        <w:rPr>
          <w:b/>
          <w:i/>
          <w:lang w:val="lv-LV"/>
        </w:rPr>
      </w:pPr>
      <w:r w:rsidRPr="00267BCC">
        <w:rPr>
          <w:b/>
          <w:i/>
          <w:lang w:val="lv-LV"/>
        </w:rPr>
        <w:t xml:space="preserve">Būtiskākie uzdevumi: </w:t>
      </w:r>
    </w:p>
    <w:p w14:paraId="49640D91" w14:textId="3AE9661F" w:rsidR="00BD2242" w:rsidRPr="005C766A" w:rsidRDefault="001F08B9" w:rsidP="000C149E">
      <w:pPr>
        <w:pStyle w:val="ListParagraph"/>
        <w:numPr>
          <w:ilvl w:val="0"/>
          <w:numId w:val="39"/>
        </w:numPr>
        <w:spacing w:line="240" w:lineRule="auto"/>
        <w:ind w:left="357" w:hanging="357"/>
        <w:contextualSpacing w:val="0"/>
        <w:jc w:val="both"/>
        <w:rPr>
          <w:rFonts w:ascii="Times New Roman" w:hAnsi="Times New Roman"/>
          <w:sz w:val="24"/>
          <w:szCs w:val="24"/>
          <w:lang w:val="lv-LV"/>
        </w:rPr>
      </w:pPr>
      <w:r w:rsidRPr="000C149E">
        <w:rPr>
          <w:rFonts w:ascii="Times New Roman" w:hAnsi="Times New Roman"/>
          <w:sz w:val="24"/>
          <w:szCs w:val="24"/>
          <w:lang w:val="lv-LV"/>
        </w:rPr>
        <w:t xml:space="preserve">Mārketinga aktivitāšu plāna īstenošana mērķa </w:t>
      </w:r>
      <w:r w:rsidRPr="005C766A">
        <w:rPr>
          <w:rFonts w:ascii="Times New Roman" w:hAnsi="Times New Roman"/>
          <w:sz w:val="24"/>
          <w:szCs w:val="24"/>
          <w:lang w:val="lv-LV"/>
        </w:rPr>
        <w:t>tirgos</w:t>
      </w:r>
      <w:r w:rsidR="000C149E" w:rsidRPr="005C766A">
        <w:rPr>
          <w:rFonts w:ascii="Times New Roman" w:hAnsi="Times New Roman"/>
          <w:sz w:val="24"/>
          <w:szCs w:val="24"/>
          <w:lang w:val="lv-LV"/>
        </w:rPr>
        <w:t xml:space="preserve"> (1.pielikuma </w:t>
      </w:r>
      <w:r w:rsidR="0020221B">
        <w:rPr>
          <w:rFonts w:ascii="Times New Roman" w:hAnsi="Times New Roman"/>
          <w:sz w:val="24"/>
          <w:szCs w:val="24"/>
          <w:lang w:val="lv-LV"/>
        </w:rPr>
        <w:t>5.1.</w:t>
      </w:r>
      <w:r w:rsidR="000C149E" w:rsidRPr="005C766A">
        <w:rPr>
          <w:rFonts w:ascii="Times New Roman" w:hAnsi="Times New Roman"/>
          <w:sz w:val="24"/>
          <w:szCs w:val="24"/>
          <w:lang w:val="lv-LV"/>
        </w:rPr>
        <w:t>aktivitāte)</w:t>
      </w:r>
      <w:r w:rsidR="00BD2242" w:rsidRPr="005C766A">
        <w:rPr>
          <w:rFonts w:ascii="Times New Roman" w:hAnsi="Times New Roman"/>
          <w:sz w:val="24"/>
          <w:szCs w:val="24"/>
          <w:lang w:val="lv-LV"/>
        </w:rPr>
        <w:t>;</w:t>
      </w:r>
    </w:p>
    <w:p w14:paraId="49640D92" w14:textId="7EDDF8AE" w:rsidR="00BD2242" w:rsidRPr="005C766A" w:rsidRDefault="00BD2242" w:rsidP="00267BCC">
      <w:pPr>
        <w:pStyle w:val="ListParagraph"/>
        <w:numPr>
          <w:ilvl w:val="0"/>
          <w:numId w:val="39"/>
        </w:numPr>
        <w:spacing w:line="240" w:lineRule="auto"/>
        <w:ind w:left="357"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Tūrisma nozarē</w:t>
      </w:r>
      <w:r w:rsidR="001F08B9" w:rsidRPr="005C766A">
        <w:rPr>
          <w:rFonts w:ascii="Times New Roman" w:hAnsi="Times New Roman"/>
          <w:sz w:val="24"/>
          <w:szCs w:val="24"/>
          <w:lang w:val="lv-LV"/>
        </w:rPr>
        <w:t xml:space="preserve"> iesaistīto pušu savstarpējās sadarbības un saskaņotu mārketinga projektu īstenošana Latvijas atpazīstamības veicināšanai un tūristu piesaistei – starptautiskā, starpinstitucionālā, publiskā un privātā sektora līmenī</w:t>
      </w:r>
      <w:r w:rsidR="000C149E" w:rsidRPr="005C766A">
        <w:rPr>
          <w:rFonts w:ascii="Times New Roman" w:hAnsi="Times New Roman"/>
          <w:sz w:val="24"/>
          <w:szCs w:val="24"/>
          <w:lang w:val="lv-LV"/>
        </w:rPr>
        <w:t xml:space="preserve"> (1.pielikuma </w:t>
      </w:r>
      <w:r w:rsidR="0020221B">
        <w:rPr>
          <w:rFonts w:ascii="Times New Roman" w:hAnsi="Times New Roman"/>
          <w:sz w:val="24"/>
          <w:szCs w:val="24"/>
          <w:lang w:val="lv-LV"/>
        </w:rPr>
        <w:t>5.1.</w:t>
      </w:r>
      <w:r w:rsidR="000C149E" w:rsidRPr="005C766A">
        <w:rPr>
          <w:rFonts w:ascii="Times New Roman" w:hAnsi="Times New Roman"/>
          <w:sz w:val="24"/>
          <w:szCs w:val="24"/>
          <w:lang w:val="lv-LV"/>
        </w:rPr>
        <w:t>aktivitāte)</w:t>
      </w:r>
      <w:r w:rsidRPr="005C766A">
        <w:rPr>
          <w:rFonts w:ascii="Times New Roman" w:hAnsi="Times New Roman"/>
          <w:sz w:val="24"/>
          <w:szCs w:val="24"/>
          <w:lang w:val="lv-LV"/>
        </w:rPr>
        <w:t>;</w:t>
      </w:r>
    </w:p>
    <w:p w14:paraId="49640D93" w14:textId="2395C743" w:rsidR="001F08B9" w:rsidRPr="005C766A" w:rsidRDefault="00692F68" w:rsidP="00FF5ABA">
      <w:pPr>
        <w:pStyle w:val="ListParagraph"/>
        <w:numPr>
          <w:ilvl w:val="0"/>
          <w:numId w:val="39"/>
        </w:numPr>
        <w:spacing w:line="240" w:lineRule="auto"/>
        <w:ind w:left="357"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Izvērtēt arī citus atpazīstamības veicināšanas veidus, piemēram, izvietojot tūrisma galamērķu reklāmas uz lidmašīnām un lidmašīnu salonos</w:t>
      </w:r>
      <w:r w:rsidR="0020221B">
        <w:rPr>
          <w:rFonts w:ascii="Times New Roman" w:hAnsi="Times New Roman"/>
          <w:sz w:val="24"/>
          <w:szCs w:val="24"/>
          <w:lang w:val="lv-LV"/>
        </w:rPr>
        <w:t xml:space="preserve"> (1.pielikuma 5.1</w:t>
      </w:r>
      <w:r w:rsidR="000C149E" w:rsidRPr="005C766A">
        <w:rPr>
          <w:rFonts w:ascii="Times New Roman" w:hAnsi="Times New Roman"/>
          <w:sz w:val="24"/>
          <w:szCs w:val="24"/>
          <w:lang w:val="lv-LV"/>
        </w:rPr>
        <w:t>.aktivitāte)</w:t>
      </w:r>
      <w:r w:rsidR="00FF5ABA" w:rsidRPr="005C766A">
        <w:rPr>
          <w:rFonts w:ascii="Times New Roman" w:hAnsi="Times New Roman"/>
          <w:sz w:val="24"/>
          <w:szCs w:val="24"/>
          <w:lang w:val="lv-LV"/>
        </w:rPr>
        <w:t>.</w:t>
      </w:r>
    </w:p>
    <w:p w14:paraId="49640D94" w14:textId="77777777" w:rsidR="001F08B9" w:rsidRPr="005C766A" w:rsidRDefault="001F08B9" w:rsidP="00267BCC">
      <w:pPr>
        <w:pStyle w:val="ListParagraph"/>
        <w:spacing w:line="240" w:lineRule="auto"/>
        <w:contextualSpacing w:val="0"/>
        <w:jc w:val="both"/>
        <w:rPr>
          <w:rFonts w:ascii="Times New Roman" w:hAnsi="Times New Roman"/>
          <w:sz w:val="24"/>
          <w:szCs w:val="24"/>
          <w:lang w:val="lv-LV"/>
        </w:rPr>
      </w:pPr>
    </w:p>
    <w:p w14:paraId="49640D95" w14:textId="77777777" w:rsidR="001F08B9" w:rsidRPr="00267BCC" w:rsidRDefault="001F08B9" w:rsidP="00267BCC">
      <w:pPr>
        <w:pStyle w:val="Heading3"/>
        <w:numPr>
          <w:ilvl w:val="2"/>
          <w:numId w:val="24"/>
        </w:numPr>
        <w:rPr>
          <w:rFonts w:eastAsia="Calibri"/>
          <w:lang w:val="lv-LV"/>
        </w:rPr>
      </w:pPr>
      <w:bookmarkStart w:id="47" w:name="_Toc381256676"/>
      <w:r w:rsidRPr="00267BCC">
        <w:rPr>
          <w:rFonts w:eastAsia="Calibri"/>
          <w:lang w:val="lv-LV"/>
        </w:rPr>
        <w:t>Latvijas tūrisma zīmols</w:t>
      </w:r>
      <w:bookmarkEnd w:id="47"/>
    </w:p>
    <w:p w14:paraId="49640D96" w14:textId="77777777" w:rsidR="001F08B9" w:rsidRPr="00267BCC" w:rsidRDefault="001F08B9" w:rsidP="00267BCC">
      <w:pPr>
        <w:ind w:firstLine="720"/>
        <w:jc w:val="both"/>
        <w:rPr>
          <w:lang w:val="lv-LV"/>
        </w:rPr>
      </w:pPr>
    </w:p>
    <w:p w14:paraId="49640D97" w14:textId="77777777" w:rsidR="001F08B9" w:rsidRPr="00267BCC" w:rsidRDefault="001F08B9" w:rsidP="00267BCC">
      <w:pPr>
        <w:ind w:firstLine="720"/>
        <w:jc w:val="both"/>
        <w:rPr>
          <w:lang w:val="lv-LV"/>
        </w:rPr>
      </w:pPr>
      <w:r w:rsidRPr="00267BCC">
        <w:rPr>
          <w:lang w:val="lv-LV"/>
        </w:rPr>
        <w:t>Eiropas tūrisma nozarē ir ievērojami pastiprinājusies konkurence, kas nosaka nepieciešamību veikt tūrisma produktu un pakalpojumu</w:t>
      </w:r>
      <w:r w:rsidRPr="00267BCC">
        <w:rPr>
          <w:b/>
          <w:bCs/>
          <w:lang w:val="lv-LV"/>
        </w:rPr>
        <w:t xml:space="preserve"> </w:t>
      </w:r>
      <w:r w:rsidRPr="00267BCC">
        <w:rPr>
          <w:lang w:val="lv-LV"/>
        </w:rPr>
        <w:t>diferenciāciju</w:t>
      </w:r>
      <w:r w:rsidRPr="00267BCC">
        <w:rPr>
          <w:b/>
          <w:bCs/>
          <w:lang w:val="lv-LV"/>
        </w:rPr>
        <w:t xml:space="preserve"> </w:t>
      </w:r>
      <w:r w:rsidRPr="00267BCC">
        <w:rPr>
          <w:lang w:val="lv-LV"/>
        </w:rPr>
        <w:t>un efektīvu ceļojuma galamērķa pozicionējumu tūrisma tirgū. Pozitīva Latvijas tūrisma tēla veidošana ārvalstīs ir viens no TAVA galvenajiem uzdevumiem. Tas ir komplicēts process, jo tūrisma galamērķa tēlu veido gan dažādi valstī notiekošie politiskie, ekonomiskie u.c. procesi, gan vietējie iedzīvotāji (</w:t>
      </w:r>
      <w:r w:rsidR="00DE1CF3" w:rsidRPr="00267BCC">
        <w:rPr>
          <w:lang w:val="lv-LV"/>
        </w:rPr>
        <w:t xml:space="preserve">piemēram, </w:t>
      </w:r>
      <w:r w:rsidRPr="00267BCC">
        <w:rPr>
          <w:lang w:val="lv-LV"/>
        </w:rPr>
        <w:t>tradīcijas, vērtīb</w:t>
      </w:r>
      <w:r w:rsidR="00DE1CF3" w:rsidRPr="00267BCC">
        <w:rPr>
          <w:lang w:val="lv-LV"/>
        </w:rPr>
        <w:t>as, izturēšanās, sasniegumi</w:t>
      </w:r>
      <w:r w:rsidRPr="00267BCC">
        <w:rPr>
          <w:lang w:val="lv-LV"/>
        </w:rPr>
        <w:t>), gan tūrisma piedāvājums (</w:t>
      </w:r>
      <w:r w:rsidR="00DE1CF3" w:rsidRPr="00267BCC">
        <w:rPr>
          <w:lang w:val="lv-LV"/>
        </w:rPr>
        <w:t xml:space="preserve">piemēram, </w:t>
      </w:r>
      <w:r w:rsidRPr="00267BCC">
        <w:rPr>
          <w:lang w:val="lv-LV"/>
        </w:rPr>
        <w:t>tūristu piesaistes objekti, tūrisma un vispārēj</w:t>
      </w:r>
      <w:r w:rsidR="00DE1CF3" w:rsidRPr="00267BCC">
        <w:rPr>
          <w:lang w:val="lv-LV"/>
        </w:rPr>
        <w:t>ā infrastruktūra, kvalitāte</w:t>
      </w:r>
      <w:r w:rsidRPr="00267BCC">
        <w:rPr>
          <w:lang w:val="lv-LV"/>
        </w:rPr>
        <w:t>), gan tūrisma vietas priekšrocības (</w:t>
      </w:r>
      <w:r w:rsidR="00DE1CF3" w:rsidRPr="00267BCC">
        <w:rPr>
          <w:lang w:val="lv-LV"/>
        </w:rPr>
        <w:t xml:space="preserve">piemēram, </w:t>
      </w:r>
      <w:r w:rsidRPr="00267BCC">
        <w:rPr>
          <w:lang w:val="lv-LV"/>
        </w:rPr>
        <w:t>ģeogrāfiskā atrašanās vieta, ainava, veselības tūrisms, kūrortu ārstniecība, dabas resursi, k</w:t>
      </w:r>
      <w:r w:rsidR="00DE1CF3" w:rsidRPr="00267BCC">
        <w:rPr>
          <w:lang w:val="lv-LV"/>
        </w:rPr>
        <w:t>ultūrvēsturiskais mantojums</w:t>
      </w:r>
      <w:r w:rsidRPr="00267BCC">
        <w:rPr>
          <w:lang w:val="lv-LV"/>
        </w:rPr>
        <w:t>) un vājās puses (pakalpojumu kvalitāte, infrastruktūra utt.) attiecībā p</w:t>
      </w:r>
      <w:r w:rsidR="00DE1CF3" w:rsidRPr="00267BCC">
        <w:rPr>
          <w:lang w:val="lv-LV"/>
        </w:rPr>
        <w:t>ret citiem tūrisma galamērķiem.</w:t>
      </w:r>
    </w:p>
    <w:p w14:paraId="49640D98" w14:textId="77777777" w:rsidR="001F08B9" w:rsidRPr="00267BCC" w:rsidRDefault="001F08B9" w:rsidP="00267BCC">
      <w:pPr>
        <w:ind w:firstLine="720"/>
        <w:jc w:val="both"/>
        <w:rPr>
          <w:lang w:val="lv-LV"/>
        </w:rPr>
      </w:pPr>
      <w:r w:rsidRPr="00267BCC">
        <w:rPr>
          <w:lang w:val="lv-LV"/>
        </w:rPr>
        <w:t xml:space="preserve">2010.gada sākumā TAVA izstrādāja Latvijas tūrisma zīmolu, kura galvenie mērķi ir: </w:t>
      </w:r>
    </w:p>
    <w:p w14:paraId="49640D99" w14:textId="77777777" w:rsidR="001F08B9" w:rsidRPr="00267BCC" w:rsidRDefault="009A67E5" w:rsidP="00267BCC">
      <w:pPr>
        <w:pStyle w:val="ListParagraph"/>
        <w:numPr>
          <w:ilvl w:val="0"/>
          <w:numId w:val="1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v</w:t>
      </w:r>
      <w:r w:rsidR="001F08B9" w:rsidRPr="00267BCC">
        <w:rPr>
          <w:rFonts w:ascii="Times New Roman" w:hAnsi="Times New Roman"/>
          <w:sz w:val="24"/>
          <w:szCs w:val="24"/>
          <w:lang w:val="lv-LV"/>
        </w:rPr>
        <w:t>eicināt Latvijas kā tūrisma galamērķa atpazīstamību starptautiskajā tirgū;</w:t>
      </w:r>
    </w:p>
    <w:p w14:paraId="49640D9A" w14:textId="77777777" w:rsidR="001F08B9" w:rsidRPr="00267BCC" w:rsidRDefault="009A67E5" w:rsidP="00267BCC">
      <w:pPr>
        <w:pStyle w:val="ListParagraph"/>
        <w:numPr>
          <w:ilvl w:val="0"/>
          <w:numId w:val="1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n</w:t>
      </w:r>
      <w:r w:rsidR="001F08B9" w:rsidRPr="00267BCC">
        <w:rPr>
          <w:rFonts w:ascii="Times New Roman" w:hAnsi="Times New Roman"/>
          <w:sz w:val="24"/>
          <w:szCs w:val="24"/>
          <w:lang w:val="lv-LV"/>
        </w:rPr>
        <w:t>odrošināt ilgtermiņa pamatu turpmākajām valsts tūrisma mārketinga aktivitātēm;</w:t>
      </w:r>
    </w:p>
    <w:p w14:paraId="49640D9B" w14:textId="77777777" w:rsidR="001F08B9" w:rsidRPr="00267BCC" w:rsidRDefault="009A67E5" w:rsidP="00267BCC">
      <w:pPr>
        <w:pStyle w:val="ListParagraph"/>
        <w:numPr>
          <w:ilvl w:val="0"/>
          <w:numId w:val="13"/>
        </w:numPr>
        <w:spacing w:line="240" w:lineRule="auto"/>
        <w:contextualSpacing w:val="0"/>
        <w:jc w:val="both"/>
        <w:rPr>
          <w:rFonts w:ascii="Times New Roman" w:hAnsi="Times New Roman"/>
          <w:sz w:val="24"/>
          <w:szCs w:val="24"/>
          <w:lang w:val="lv-LV"/>
        </w:rPr>
      </w:pPr>
      <w:r w:rsidRPr="00267BCC">
        <w:rPr>
          <w:rFonts w:ascii="Times New Roman" w:hAnsi="Times New Roman"/>
          <w:sz w:val="24"/>
          <w:szCs w:val="24"/>
          <w:lang w:val="lv-LV"/>
        </w:rPr>
        <w:t>v</w:t>
      </w:r>
      <w:r w:rsidR="001F08B9" w:rsidRPr="00267BCC">
        <w:rPr>
          <w:rFonts w:ascii="Times New Roman" w:hAnsi="Times New Roman"/>
          <w:sz w:val="24"/>
          <w:szCs w:val="24"/>
          <w:lang w:val="lv-LV"/>
        </w:rPr>
        <w:t xml:space="preserve">eidot vienotu valsts tūrisma </w:t>
      </w:r>
      <w:r w:rsidR="00980524" w:rsidRPr="00267BCC">
        <w:rPr>
          <w:rFonts w:ascii="Times New Roman" w:hAnsi="Times New Roman"/>
          <w:sz w:val="24"/>
          <w:szCs w:val="24"/>
          <w:lang w:val="lv-LV"/>
        </w:rPr>
        <w:t>tēlu</w:t>
      </w:r>
      <w:r w:rsidR="001F08B9" w:rsidRPr="00267BCC">
        <w:rPr>
          <w:rFonts w:ascii="Times New Roman" w:hAnsi="Times New Roman"/>
          <w:sz w:val="24"/>
          <w:szCs w:val="24"/>
          <w:lang w:val="lv-LV"/>
        </w:rPr>
        <w:t>, kas piesaista gan ārvalstu tūristu uzmanību, gan ir izprotams Latvijas iedzīvotājiem.</w:t>
      </w:r>
    </w:p>
    <w:p w14:paraId="49640D9C" w14:textId="77777777" w:rsidR="001F08B9" w:rsidRPr="00267BCC" w:rsidRDefault="001F08B9" w:rsidP="00267BCC">
      <w:pPr>
        <w:ind w:firstLine="720"/>
        <w:jc w:val="both"/>
        <w:rPr>
          <w:lang w:val="lv-LV"/>
        </w:rPr>
      </w:pPr>
      <w:r w:rsidRPr="00267BCC">
        <w:rPr>
          <w:lang w:val="lv-LV"/>
        </w:rPr>
        <w:t>Saskaņā ar Latvijas tūrisma tēla komunikācijas platformu, Latvijas tūrisma produktu komunikācijai tik izmantots logo un sauklis angļu valodā „</w:t>
      </w:r>
      <w:r w:rsidR="00980524" w:rsidRPr="00267BCC">
        <w:rPr>
          <w:i/>
          <w:lang w:val="lv-LV"/>
        </w:rPr>
        <w:t>Latvia</w:t>
      </w:r>
      <w:r w:rsidR="00980524" w:rsidRPr="00267BCC">
        <w:rPr>
          <w:lang w:val="lv-LV"/>
        </w:rPr>
        <w:t xml:space="preserve">. </w:t>
      </w:r>
      <w:r w:rsidRPr="00267BCC">
        <w:rPr>
          <w:i/>
          <w:lang w:val="lv-LV"/>
        </w:rPr>
        <w:t>Best Enjoyed Slowly</w:t>
      </w:r>
      <w:r w:rsidRPr="00267BCC">
        <w:rPr>
          <w:lang w:val="lv-LV"/>
        </w:rPr>
        <w:t>” (</w:t>
      </w:r>
      <w:r w:rsidR="00A4090F" w:rsidRPr="00267BCC">
        <w:rPr>
          <w:lang w:val="lv-LV"/>
        </w:rPr>
        <w:t>12.</w:t>
      </w:r>
      <w:r w:rsidRPr="00267BCC">
        <w:rPr>
          <w:lang w:val="lv-LV"/>
        </w:rPr>
        <w:t xml:space="preserve">attēls). Latvijas tūrisma sauklim ir izstrādātas adaptētas versijas </w:t>
      </w:r>
      <w:r w:rsidR="00980524" w:rsidRPr="00267BCC">
        <w:rPr>
          <w:lang w:val="lv-LV"/>
        </w:rPr>
        <w:t xml:space="preserve">arī </w:t>
      </w:r>
      <w:r w:rsidRPr="00267BCC">
        <w:rPr>
          <w:lang w:val="lv-LV"/>
        </w:rPr>
        <w:t>vācu un krievu valodā attiecīgi „</w:t>
      </w:r>
      <w:r w:rsidRPr="00267BCC">
        <w:rPr>
          <w:i/>
          <w:lang w:val="lv-LV"/>
        </w:rPr>
        <w:t>Nimm dir die Zeit</w:t>
      </w:r>
      <w:r w:rsidRPr="00267BCC">
        <w:rPr>
          <w:lang w:val="lv-LV"/>
        </w:rPr>
        <w:t>” un „</w:t>
      </w:r>
      <w:r w:rsidRPr="00267BCC">
        <w:rPr>
          <w:i/>
          <w:lang w:val="lv-LV"/>
        </w:rPr>
        <w:t>Отдохни без сует</w:t>
      </w:r>
      <w:r w:rsidR="009A67E5" w:rsidRPr="00267BCC">
        <w:rPr>
          <w:i/>
          <w:lang w:val="lv-LV"/>
        </w:rPr>
        <w:t>ы</w:t>
      </w:r>
      <w:r w:rsidRPr="00267BCC">
        <w:rPr>
          <w:lang w:val="lv-LV"/>
        </w:rPr>
        <w:t>”</w:t>
      </w:r>
      <w:r w:rsidR="00DE1CF3" w:rsidRPr="00267BCC">
        <w:rPr>
          <w:lang w:val="lv-LV"/>
        </w:rPr>
        <w:t>.</w:t>
      </w:r>
    </w:p>
    <w:p w14:paraId="49640D9D" w14:textId="77777777" w:rsidR="00522636" w:rsidRPr="00267BCC" w:rsidRDefault="00522636" w:rsidP="00267BCC">
      <w:pPr>
        <w:ind w:firstLine="720"/>
        <w:jc w:val="right"/>
        <w:rPr>
          <w:lang w:val="lv-LV"/>
        </w:rPr>
      </w:pPr>
    </w:p>
    <w:p w14:paraId="49640D9E" w14:textId="77777777" w:rsidR="00342692" w:rsidRPr="00267BCC" w:rsidRDefault="00342692" w:rsidP="00267BCC">
      <w:pPr>
        <w:ind w:firstLine="720"/>
        <w:jc w:val="right"/>
        <w:rPr>
          <w:lang w:val="lv-LV"/>
        </w:rPr>
      </w:pPr>
    </w:p>
    <w:p w14:paraId="49640D9F" w14:textId="77777777" w:rsidR="00342692" w:rsidRPr="00267BCC" w:rsidRDefault="00342692" w:rsidP="00267BCC">
      <w:pPr>
        <w:ind w:firstLine="720"/>
        <w:jc w:val="right"/>
        <w:rPr>
          <w:lang w:val="lv-LV"/>
        </w:rPr>
      </w:pPr>
    </w:p>
    <w:p w14:paraId="49640DA0" w14:textId="77777777" w:rsidR="001F08B9" w:rsidRPr="00267BCC" w:rsidRDefault="00795943" w:rsidP="00267BCC">
      <w:pPr>
        <w:ind w:firstLine="720"/>
        <w:jc w:val="right"/>
        <w:rPr>
          <w:lang w:val="lv-LV"/>
        </w:rPr>
      </w:pPr>
      <w:r w:rsidRPr="00267BCC">
        <w:rPr>
          <w:lang w:val="lv-LV"/>
        </w:rPr>
        <w:t>12</w:t>
      </w:r>
      <w:r w:rsidR="00A4090F" w:rsidRPr="00267BCC">
        <w:rPr>
          <w:lang w:val="lv-LV"/>
        </w:rPr>
        <w:t>.a</w:t>
      </w:r>
      <w:r w:rsidR="00793B8C" w:rsidRPr="00267BCC">
        <w:rPr>
          <w:lang w:val="lv-LV"/>
        </w:rPr>
        <w:t>ttēls</w:t>
      </w:r>
    </w:p>
    <w:p w14:paraId="49640DA1" w14:textId="77777777" w:rsidR="001F08B9" w:rsidRPr="00267BCC" w:rsidRDefault="001F08B9" w:rsidP="00267BCC">
      <w:pPr>
        <w:jc w:val="center"/>
        <w:rPr>
          <w:lang w:val="lv-LV"/>
        </w:rPr>
      </w:pPr>
      <w:r w:rsidRPr="00267BCC">
        <w:rPr>
          <w:noProof/>
          <w:lang w:val="lv-LV"/>
        </w:rPr>
        <w:drawing>
          <wp:inline distT="0" distB="0" distL="0" distR="0" wp14:anchorId="49640ED6" wp14:editId="49640ED7">
            <wp:extent cx="1304925" cy="2043441"/>
            <wp:effectExtent l="0" t="0" r="0" b="0"/>
            <wp:docPr id="12" name="Picture 2" descr="\\Tava\public\Jaunaistels_2010\Logotips\ENG\Latvijas turisma te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va\public\Jaunaistels_2010\Logotips\ENG\Latvijas turisma tela logo.jpg"/>
                    <pic:cNvPicPr>
                      <a:picLocks noChangeAspect="1" noChangeArrowheads="1"/>
                    </pic:cNvPicPr>
                  </pic:nvPicPr>
                  <pic:blipFill>
                    <a:blip r:embed="rId21" cstate="print"/>
                    <a:srcRect/>
                    <a:stretch>
                      <a:fillRect/>
                    </a:stretch>
                  </pic:blipFill>
                  <pic:spPr bwMode="auto">
                    <a:xfrm>
                      <a:off x="0" y="0"/>
                      <a:ext cx="1308871" cy="2049621"/>
                    </a:xfrm>
                    <a:prstGeom prst="rect">
                      <a:avLst/>
                    </a:prstGeom>
                    <a:noFill/>
                    <a:ln w="9525">
                      <a:noFill/>
                      <a:miter lim="800000"/>
                      <a:headEnd/>
                      <a:tailEnd/>
                    </a:ln>
                  </pic:spPr>
                </pic:pic>
              </a:graphicData>
            </a:graphic>
          </wp:inline>
        </w:drawing>
      </w:r>
    </w:p>
    <w:p w14:paraId="49640DA2" w14:textId="77777777" w:rsidR="001F08B9" w:rsidRPr="00267BCC" w:rsidRDefault="001F08B9" w:rsidP="00267BCC">
      <w:pPr>
        <w:ind w:firstLine="720"/>
        <w:jc w:val="both"/>
        <w:rPr>
          <w:lang w:val="lv-LV" w:eastAsia="en-US"/>
        </w:rPr>
      </w:pPr>
      <w:r w:rsidRPr="00267BCC">
        <w:rPr>
          <w:lang w:val="lv-LV" w:eastAsia="en-US"/>
        </w:rPr>
        <w:t xml:space="preserve">Ar Latvijas tūrisma zīmola palīdzību Latvija tiek popularizēta kā vieta, kur tūristam ir iespēja mainīt savas dzīves tempu un izbaudīt nesteidzīgu, niansētu atpūtu, kas ļauj rast jaunu pieredzi, harmoniju un atklāt patiesas vērtības. Veidojot Latvijas tūrisma zīmola koncepciju, </w:t>
      </w:r>
      <w:r w:rsidRPr="00267BCC">
        <w:rPr>
          <w:lang w:val="lv-LV" w:eastAsia="en-US"/>
        </w:rPr>
        <w:lastRenderedPageBreak/>
        <w:t>ir ņemts vērā fakts, ka Latvija nav un nekad nebūs masu tūrisma galamērķis, bet Latvijas tūrisma produktu</w:t>
      </w:r>
      <w:r w:rsidR="00A616D4" w:rsidRPr="00267BCC">
        <w:rPr>
          <w:lang w:val="lv-LV" w:eastAsia="en-US"/>
        </w:rPr>
        <w:t xml:space="preserve"> attīstība ir jābalsta uz se</w:t>
      </w:r>
      <w:r w:rsidR="00DC4940" w:rsidRPr="00267BCC">
        <w:rPr>
          <w:lang w:val="lv-LV" w:eastAsia="en-US"/>
        </w:rPr>
        <w:t>ptiņām</w:t>
      </w:r>
      <w:r w:rsidRPr="00267BCC">
        <w:rPr>
          <w:lang w:val="lv-LV" w:eastAsia="en-US"/>
        </w:rPr>
        <w:t xml:space="preserve"> pamatvērtībām – kvalitāti, ilgtspējību, individualizāciju, augstu pievienoto vērtību, tūri</w:t>
      </w:r>
      <w:r w:rsidR="009A67E5" w:rsidRPr="00267BCC">
        <w:rPr>
          <w:lang w:val="lv-LV" w:eastAsia="en-US"/>
        </w:rPr>
        <w:t>stu iesaisti un pieredzes gūšanu, sadarbību konkurētspējas nodrošināšanai</w:t>
      </w:r>
      <w:r w:rsidRPr="00267BCC">
        <w:rPr>
          <w:lang w:val="lv-LV" w:eastAsia="en-US"/>
        </w:rPr>
        <w:t>.</w:t>
      </w:r>
    </w:p>
    <w:p w14:paraId="49640DA3" w14:textId="77777777" w:rsidR="001F08B9" w:rsidRPr="00267BCC" w:rsidRDefault="001F08B9" w:rsidP="00267BCC">
      <w:pPr>
        <w:ind w:firstLine="720"/>
        <w:jc w:val="both"/>
        <w:rPr>
          <w:lang w:val="lv-LV" w:eastAsia="en-US"/>
        </w:rPr>
      </w:pPr>
      <w:r w:rsidRPr="00267BCC">
        <w:rPr>
          <w:lang w:val="lv-LV" w:eastAsia="en-US"/>
        </w:rPr>
        <w:t>Latvijas tūrisma zīmols kalpo kā vienojoša ideja un kopīgs elements publiskā un privātā sektora mārketinga un tūrisma produktu veidošanas aktivitātēm, lai sekmētu saskaņotu nozares komunikāciju Latvijas tūrisma mērķa tirgos ārvalstīs.</w:t>
      </w:r>
    </w:p>
    <w:p w14:paraId="49640DA4" w14:textId="77777777" w:rsidR="001F08B9" w:rsidRPr="00267BCC" w:rsidRDefault="001F08B9" w:rsidP="00267BCC">
      <w:pPr>
        <w:ind w:firstLine="720"/>
        <w:jc w:val="both"/>
        <w:rPr>
          <w:lang w:val="lv-LV" w:eastAsia="en-US"/>
        </w:rPr>
      </w:pPr>
      <w:r w:rsidRPr="00267BCC">
        <w:rPr>
          <w:lang w:val="lv-LV" w:eastAsia="en-US"/>
        </w:rPr>
        <w:t>Visaktīvāk jaunais Latvijas tūrisma zīmols tiek popularizēts augsti prioritārajos tūrisma mērķa tirgos –</w:t>
      </w:r>
      <w:r w:rsidR="0046569C" w:rsidRPr="00267BCC">
        <w:rPr>
          <w:lang w:val="lv-LV" w:eastAsia="en-US"/>
        </w:rPr>
        <w:t xml:space="preserve"> </w:t>
      </w:r>
      <w:r w:rsidRPr="00267BCC">
        <w:rPr>
          <w:lang w:val="lv-LV" w:eastAsia="en-US"/>
        </w:rPr>
        <w:t xml:space="preserve">Vācijā, Krievijā, Zviedrijā, Somijā, Lietuvā, Igaunijā. </w:t>
      </w:r>
    </w:p>
    <w:p w14:paraId="49640DA5" w14:textId="77777777" w:rsidR="001F08B9" w:rsidRPr="00267BCC" w:rsidRDefault="001F08B9" w:rsidP="00267BCC">
      <w:pPr>
        <w:ind w:firstLine="720"/>
        <w:jc w:val="both"/>
        <w:rPr>
          <w:lang w:val="lv-LV"/>
        </w:rPr>
      </w:pPr>
      <w:r w:rsidRPr="00267BCC">
        <w:rPr>
          <w:lang w:val="lv-LV"/>
        </w:rPr>
        <w:t>TAVA 2012.gadā veiktās ārvalstu tūristu aptaujas dati liecina, ka lielākā daļa aptaujāto piekrīt apgalvojumam, ka Latvijas tūrisma piedāvājums un viņu pieredze ceļojuma laikā atbilst tūrisma zīmola sauklim „</w:t>
      </w:r>
      <w:r w:rsidR="00980524" w:rsidRPr="00267BCC">
        <w:rPr>
          <w:i/>
          <w:lang w:val="lv-LV"/>
        </w:rPr>
        <w:t>Latvia</w:t>
      </w:r>
      <w:r w:rsidR="00980524" w:rsidRPr="00267BCC">
        <w:rPr>
          <w:lang w:val="lv-LV"/>
        </w:rPr>
        <w:t xml:space="preserve">. </w:t>
      </w:r>
      <w:r w:rsidR="00980524" w:rsidRPr="00267BCC">
        <w:rPr>
          <w:i/>
          <w:lang w:val="lv-LV"/>
        </w:rPr>
        <w:t>Best Enjoyed Slowly</w:t>
      </w:r>
      <w:r w:rsidRPr="00267BCC">
        <w:rPr>
          <w:lang w:val="lv-LV"/>
        </w:rPr>
        <w:t xml:space="preserve">” (skat </w:t>
      </w:r>
      <w:r w:rsidR="00A4090F" w:rsidRPr="00267BCC">
        <w:rPr>
          <w:lang w:val="lv-LV"/>
        </w:rPr>
        <w:t>13.</w:t>
      </w:r>
      <w:r w:rsidR="0046569C" w:rsidRPr="00267BCC">
        <w:rPr>
          <w:lang w:val="lv-LV"/>
        </w:rPr>
        <w:t xml:space="preserve"> attēlu).</w:t>
      </w:r>
    </w:p>
    <w:p w14:paraId="49640DA6" w14:textId="77777777" w:rsidR="0046569C" w:rsidRPr="00267BCC" w:rsidRDefault="0046569C" w:rsidP="00267BCC">
      <w:pPr>
        <w:ind w:firstLine="720"/>
        <w:jc w:val="both"/>
        <w:rPr>
          <w:lang w:val="lv-LV"/>
        </w:rPr>
      </w:pPr>
    </w:p>
    <w:p w14:paraId="49640DA7" w14:textId="77777777" w:rsidR="001F08B9" w:rsidRPr="00267BCC" w:rsidRDefault="00795943" w:rsidP="00267BCC">
      <w:pPr>
        <w:jc w:val="right"/>
        <w:rPr>
          <w:lang w:val="lv-LV"/>
        </w:rPr>
      </w:pPr>
      <w:r w:rsidRPr="00267BCC">
        <w:rPr>
          <w:lang w:val="lv-LV"/>
        </w:rPr>
        <w:t>13</w:t>
      </w:r>
      <w:r w:rsidR="00A4090F" w:rsidRPr="00267BCC">
        <w:rPr>
          <w:lang w:val="lv-LV"/>
        </w:rPr>
        <w:t>.</w:t>
      </w:r>
      <w:r w:rsidR="001F08B9" w:rsidRPr="00267BCC">
        <w:rPr>
          <w:lang w:val="lv-LV"/>
        </w:rPr>
        <w:t>attēls</w:t>
      </w:r>
    </w:p>
    <w:p w14:paraId="49640DA8" w14:textId="77777777" w:rsidR="001F08B9" w:rsidRPr="00267BCC" w:rsidRDefault="001F08B9" w:rsidP="00267BCC">
      <w:pPr>
        <w:jc w:val="center"/>
        <w:rPr>
          <w:lang w:val="lv-LV"/>
        </w:rPr>
      </w:pPr>
      <w:r w:rsidRPr="00267BCC">
        <w:rPr>
          <w:noProof/>
          <w:lang w:val="lv-LV"/>
        </w:rPr>
        <w:drawing>
          <wp:inline distT="0" distB="0" distL="0" distR="0" wp14:anchorId="49640ED8" wp14:editId="49640ED9">
            <wp:extent cx="4381500" cy="2266950"/>
            <wp:effectExtent l="0" t="0" r="0" b="0"/>
            <wp:docPr id="13" name="Picture 4"/>
            <wp:cNvGraphicFramePr/>
            <a:graphic xmlns:a="http://schemas.openxmlformats.org/drawingml/2006/main">
              <a:graphicData uri="http://schemas.openxmlformats.org/drawingml/2006/picture">
                <pic:pic xmlns:pic="http://schemas.openxmlformats.org/drawingml/2006/picture">
                  <pic:nvPicPr>
                    <pic:cNvPr id="268290" name="Picture 3"/>
                    <pic:cNvPicPr>
                      <a:picLocks noChangeAspect="1" noChangeArrowheads="1"/>
                    </pic:cNvPicPr>
                  </pic:nvPicPr>
                  <pic:blipFill>
                    <a:blip r:embed="rId22" cstate="print"/>
                    <a:srcRect/>
                    <a:stretch>
                      <a:fillRect/>
                    </a:stretch>
                  </pic:blipFill>
                  <pic:spPr bwMode="auto">
                    <a:xfrm>
                      <a:off x="0" y="0"/>
                      <a:ext cx="4397221" cy="2275084"/>
                    </a:xfrm>
                    <a:prstGeom prst="rect">
                      <a:avLst/>
                    </a:prstGeom>
                    <a:noFill/>
                    <a:ln w="9525">
                      <a:noFill/>
                      <a:miter lim="800000"/>
                      <a:headEnd/>
                      <a:tailEnd/>
                    </a:ln>
                  </pic:spPr>
                </pic:pic>
              </a:graphicData>
            </a:graphic>
          </wp:inline>
        </w:drawing>
      </w:r>
    </w:p>
    <w:p w14:paraId="49640DA9" w14:textId="77777777" w:rsidR="001F08B9" w:rsidRPr="00267BCC" w:rsidRDefault="001F08B9" w:rsidP="00267BCC">
      <w:pPr>
        <w:jc w:val="both"/>
        <w:rPr>
          <w:lang w:val="lv-LV"/>
        </w:rPr>
      </w:pPr>
    </w:p>
    <w:p w14:paraId="49640DAA" w14:textId="77777777" w:rsidR="001F08B9" w:rsidRPr="00267BCC" w:rsidRDefault="001F08B9" w:rsidP="00267BCC">
      <w:pPr>
        <w:ind w:firstLine="720"/>
        <w:jc w:val="both"/>
        <w:rPr>
          <w:lang w:val="lv-LV"/>
        </w:rPr>
      </w:pPr>
      <w:r w:rsidRPr="00267BCC">
        <w:rPr>
          <w:bCs/>
          <w:lang w:val="lv-LV"/>
        </w:rPr>
        <w:t>75,4% visu aptaujas dalībnieku lielākā vai mazākā mērā piekrīt, ka Latvijas tūris</w:t>
      </w:r>
      <w:r w:rsidR="00980524" w:rsidRPr="00267BCC">
        <w:rPr>
          <w:bCs/>
          <w:lang w:val="lv-LV"/>
        </w:rPr>
        <w:t>ma piedāvājums atbilst sauklim „</w:t>
      </w:r>
      <w:r w:rsidR="00980524" w:rsidRPr="00267BCC">
        <w:rPr>
          <w:i/>
          <w:lang w:val="lv-LV"/>
        </w:rPr>
        <w:t>Latvia</w:t>
      </w:r>
      <w:r w:rsidR="00980524" w:rsidRPr="00267BCC">
        <w:rPr>
          <w:lang w:val="lv-LV"/>
        </w:rPr>
        <w:t xml:space="preserve">. </w:t>
      </w:r>
      <w:r w:rsidR="00980524" w:rsidRPr="00267BCC">
        <w:rPr>
          <w:i/>
          <w:lang w:val="lv-LV"/>
        </w:rPr>
        <w:t>Best Enjoyed Slowly</w:t>
      </w:r>
      <w:r w:rsidRPr="00267BCC">
        <w:rPr>
          <w:bCs/>
          <w:lang w:val="lv-LV"/>
        </w:rPr>
        <w:t>”.</w:t>
      </w:r>
      <w:r w:rsidRPr="00267BCC">
        <w:rPr>
          <w:lang w:val="lv-LV"/>
        </w:rPr>
        <w:t xml:space="preserve"> </w:t>
      </w:r>
      <w:r w:rsidRPr="00267BCC">
        <w:rPr>
          <w:bCs/>
          <w:lang w:val="lv-LV"/>
        </w:rPr>
        <w:t>Visvairāk saukļa atbilstībai ceļošanai pa Latviju piekri</w:t>
      </w:r>
      <w:r w:rsidR="009A67E5" w:rsidRPr="00267BCC">
        <w:rPr>
          <w:bCs/>
          <w:lang w:val="lv-LV"/>
        </w:rPr>
        <w:t xml:space="preserve">ta vecāka gadagājuma tūristi; </w:t>
      </w:r>
      <w:r w:rsidRPr="00267BCC">
        <w:rPr>
          <w:bCs/>
          <w:lang w:val="lv-LV"/>
        </w:rPr>
        <w:t>tūristi, kas pavadījuši</w:t>
      </w:r>
      <w:r w:rsidR="009A67E5" w:rsidRPr="00267BCC">
        <w:rPr>
          <w:bCs/>
          <w:lang w:val="lv-LV"/>
        </w:rPr>
        <w:t xml:space="preserve"> Latvijā ilgāku ceļojuma laiku; </w:t>
      </w:r>
      <w:r w:rsidRPr="00267BCC">
        <w:rPr>
          <w:bCs/>
          <w:lang w:val="lv-LV"/>
        </w:rPr>
        <w:t>tūristi, kuriem Latvija iepatikusies vairāk nekā sākotnēji cerēts;</w:t>
      </w:r>
      <w:r w:rsidR="009A67E5" w:rsidRPr="00267BCC">
        <w:rPr>
          <w:bCs/>
          <w:lang w:val="lv-LV"/>
        </w:rPr>
        <w:t xml:space="preserve"> </w:t>
      </w:r>
      <w:r w:rsidRPr="00267BCC">
        <w:rPr>
          <w:bCs/>
          <w:lang w:val="lv-LV"/>
        </w:rPr>
        <w:t>tūristi no Krievijas un Vācijas.</w:t>
      </w:r>
      <w:r w:rsidR="009A67E5" w:rsidRPr="00267BCC">
        <w:rPr>
          <w:lang w:val="lv-LV"/>
        </w:rPr>
        <w:t xml:space="preserve"> </w:t>
      </w:r>
      <w:r w:rsidRPr="00267BCC">
        <w:rPr>
          <w:bCs/>
          <w:lang w:val="lv-LV"/>
        </w:rPr>
        <w:t xml:space="preserve">TAVA un tūrisma nozares pārstāvjiem jāturpina attīstīt produktus, kas veicina ilgāku tūristu uzturēšanos Latvijā, nodrošina kvalitatīvus pakalpojumus un pozitīvu pieredzi galamērķī, kā arī uzrunā atbilstošas mērķauditorijas prioritārajos tirgos. </w:t>
      </w:r>
    </w:p>
    <w:p w14:paraId="49640DAB" w14:textId="77777777" w:rsidR="001F08B9" w:rsidRPr="00267BCC" w:rsidRDefault="001F08B9" w:rsidP="00267BCC">
      <w:pPr>
        <w:jc w:val="both"/>
        <w:rPr>
          <w:lang w:val="lv-LV"/>
        </w:rPr>
      </w:pPr>
    </w:p>
    <w:p w14:paraId="49640DAC" w14:textId="77777777" w:rsidR="001F08B9" w:rsidRPr="00267BCC" w:rsidRDefault="001F08B9" w:rsidP="00267BCC">
      <w:pPr>
        <w:jc w:val="both"/>
        <w:rPr>
          <w:b/>
          <w:i/>
          <w:lang w:val="lv-LV" w:eastAsia="en-US"/>
        </w:rPr>
      </w:pPr>
      <w:r w:rsidRPr="00267BCC">
        <w:rPr>
          <w:b/>
          <w:i/>
          <w:lang w:val="lv-LV" w:eastAsia="en-US"/>
        </w:rPr>
        <w:t>Būtiskākie uzdevumi</w:t>
      </w:r>
      <w:r w:rsidR="00504486">
        <w:rPr>
          <w:b/>
          <w:i/>
          <w:lang w:val="lv-LV" w:eastAsia="en-US"/>
        </w:rPr>
        <w:t xml:space="preserve"> (1.pielikuma 5.1. un 5.2.aktivit</w:t>
      </w:r>
      <w:r w:rsidR="00236343">
        <w:rPr>
          <w:b/>
          <w:i/>
          <w:lang w:val="lv-LV" w:eastAsia="en-US"/>
        </w:rPr>
        <w:t>āte</w:t>
      </w:r>
      <w:r w:rsidR="00504486">
        <w:rPr>
          <w:b/>
          <w:i/>
          <w:lang w:val="lv-LV" w:eastAsia="en-US"/>
        </w:rPr>
        <w:t>)</w:t>
      </w:r>
      <w:r w:rsidRPr="00267BCC">
        <w:rPr>
          <w:b/>
          <w:i/>
          <w:lang w:val="lv-LV" w:eastAsia="en-US"/>
        </w:rPr>
        <w:t xml:space="preserve">: </w:t>
      </w:r>
    </w:p>
    <w:p w14:paraId="49640DAD"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Integrēt Latvijas tūrisma zīmolu Latvijas tūrisma </w:t>
      </w:r>
      <w:r w:rsidR="009A67E5" w:rsidRPr="00267BCC">
        <w:rPr>
          <w:rFonts w:ascii="Times New Roman" w:hAnsi="Times New Roman"/>
          <w:sz w:val="24"/>
          <w:szCs w:val="24"/>
          <w:lang w:val="lv-LV"/>
        </w:rPr>
        <w:t>nozares mārketinga kom</w:t>
      </w:r>
      <w:r w:rsidR="00A36085" w:rsidRPr="00267BCC">
        <w:rPr>
          <w:rFonts w:ascii="Times New Roman" w:hAnsi="Times New Roman"/>
          <w:sz w:val="24"/>
          <w:szCs w:val="24"/>
          <w:lang w:val="lv-LV"/>
        </w:rPr>
        <w:t>unikācijā;</w:t>
      </w:r>
    </w:p>
    <w:p w14:paraId="49640DAE"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Attīstot Latvijas tūrisma piedāvājumu, integrēt tajā Latvij</w:t>
      </w:r>
      <w:r w:rsidR="00A36085" w:rsidRPr="00267BCC">
        <w:rPr>
          <w:rFonts w:ascii="Times New Roman" w:hAnsi="Times New Roman"/>
          <w:sz w:val="24"/>
          <w:szCs w:val="24"/>
          <w:lang w:val="lv-LV"/>
        </w:rPr>
        <w:t>as tūrisma zīmola pamatvērtības;</w:t>
      </w:r>
    </w:p>
    <w:p w14:paraId="49640DAF"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Īstenojot komunikācijas stratēģiju ārējos tirgos, i</w:t>
      </w:r>
      <w:r w:rsidR="00A36085" w:rsidRPr="00267BCC">
        <w:rPr>
          <w:rFonts w:ascii="Times New Roman" w:hAnsi="Times New Roman"/>
          <w:sz w:val="24"/>
          <w:szCs w:val="24"/>
          <w:lang w:val="lv-LV"/>
        </w:rPr>
        <w:t>zmantot Latvijas tūrisma zīmolu;</w:t>
      </w:r>
    </w:p>
    <w:p w14:paraId="49640DB0"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Veikt Latvijas tūrisma zīmola pasākumu moni</w:t>
      </w:r>
      <w:r w:rsidR="00A36085" w:rsidRPr="00267BCC">
        <w:rPr>
          <w:rFonts w:ascii="Times New Roman" w:hAnsi="Times New Roman"/>
          <w:sz w:val="24"/>
          <w:szCs w:val="24"/>
          <w:lang w:val="lv-LV"/>
        </w:rPr>
        <w:t>toringu;</w:t>
      </w:r>
    </w:p>
    <w:p w14:paraId="49640DB1"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Veicināt Latvijas tūrisma zīmola pielietojamību arī citu ministriju/institūciju organizētajos  pasākumos (piemēram, </w:t>
      </w:r>
      <w:r w:rsidR="009A67E5" w:rsidRPr="00267BCC">
        <w:rPr>
          <w:rFonts w:ascii="Times New Roman" w:hAnsi="Times New Roman"/>
          <w:sz w:val="24"/>
          <w:szCs w:val="24"/>
          <w:lang w:val="lv-LV"/>
        </w:rPr>
        <w:t>sporta pasākumos</w:t>
      </w:r>
      <w:r w:rsidR="00A36085" w:rsidRPr="00267BCC">
        <w:rPr>
          <w:rFonts w:ascii="Times New Roman" w:hAnsi="Times New Roman"/>
          <w:sz w:val="24"/>
          <w:szCs w:val="24"/>
          <w:lang w:val="lv-LV"/>
        </w:rPr>
        <w:t>);</w:t>
      </w:r>
    </w:p>
    <w:p w14:paraId="49640DB2" w14:textId="77777777" w:rsidR="001F08B9" w:rsidRPr="00267BCC" w:rsidRDefault="001F08B9" w:rsidP="00267BCC">
      <w:pPr>
        <w:pStyle w:val="ListParagraph"/>
        <w:numPr>
          <w:ilvl w:val="0"/>
          <w:numId w:val="40"/>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Veicināt sadarbību ar LIVE RIGA zīmolu, veidot savstarpējo papildinātību.</w:t>
      </w:r>
    </w:p>
    <w:p w14:paraId="49640DB3" w14:textId="77777777" w:rsidR="001F08B9" w:rsidRPr="00267BCC" w:rsidRDefault="001F08B9" w:rsidP="00267BCC">
      <w:pPr>
        <w:rPr>
          <w:rFonts w:eastAsia="Calibri"/>
          <w:lang w:val="lv-LV"/>
        </w:rPr>
      </w:pPr>
    </w:p>
    <w:p w14:paraId="49640DB4" w14:textId="77777777" w:rsidR="001F08B9" w:rsidRPr="00267BCC" w:rsidRDefault="001F08B9" w:rsidP="00267BCC">
      <w:pPr>
        <w:pStyle w:val="Heading3"/>
        <w:numPr>
          <w:ilvl w:val="2"/>
          <w:numId w:val="24"/>
        </w:numPr>
        <w:rPr>
          <w:rFonts w:eastAsia="Calibri"/>
          <w:lang w:val="lv-LV"/>
        </w:rPr>
      </w:pPr>
      <w:bookmarkStart w:id="48" w:name="_Toc381256677"/>
      <w:r w:rsidRPr="00267BCC">
        <w:rPr>
          <w:rFonts w:eastAsia="Calibri"/>
          <w:lang w:val="lv-LV"/>
        </w:rPr>
        <w:t>Mārketinga pasākumu īstenošana</w:t>
      </w:r>
      <w:bookmarkEnd w:id="48"/>
    </w:p>
    <w:p w14:paraId="49640DB5" w14:textId="77777777" w:rsidR="001F08B9" w:rsidRPr="00267BCC" w:rsidRDefault="001F08B9" w:rsidP="00267BCC">
      <w:pPr>
        <w:rPr>
          <w:rFonts w:eastAsia="Calibri"/>
          <w:lang w:val="lv-LV"/>
        </w:rPr>
      </w:pPr>
    </w:p>
    <w:p w14:paraId="49640DB6" w14:textId="77777777" w:rsidR="001F08B9" w:rsidRPr="00267BCC" w:rsidRDefault="001F08B9" w:rsidP="00267BCC">
      <w:pPr>
        <w:ind w:firstLine="720"/>
        <w:jc w:val="both"/>
        <w:rPr>
          <w:rFonts w:eastAsia="Calibri"/>
          <w:lang w:val="lv-LV"/>
        </w:rPr>
      </w:pPr>
      <w:r w:rsidRPr="00267BCC">
        <w:rPr>
          <w:rFonts w:eastAsia="Calibri"/>
          <w:lang w:val="lv-LV"/>
        </w:rPr>
        <w:t xml:space="preserve">Mārketinga aktivitātes ir jāveic, efektīvi izmantojot pieejamos finanšu, institucionālos un cilvēkresursus. Pamatojoties uz statistikas datiem, monitoringa pētījumiem un ekspertu atzinumiem, ir periodiski jāizvērtē un nepieciešamības gadījumā jāpārskata Latvijas tūrisma mērķa tirgu prioritāte. Pieejamie resursi mārketinga pasākumu īstenošanai ir jāizmanto </w:t>
      </w:r>
      <w:r w:rsidRPr="00267BCC">
        <w:rPr>
          <w:rFonts w:eastAsia="Calibri"/>
          <w:lang w:val="lv-LV"/>
        </w:rPr>
        <w:lastRenderedPageBreak/>
        <w:t xml:space="preserve">atbilstoši mērķa tirgu noteiktajām prioritātēm, ņemot vērā stratēģiskos tūrisma produktus un attīstības procesus valstī kopumā, kā arī analizējot situāciju mērķa tirgos. </w:t>
      </w:r>
    </w:p>
    <w:p w14:paraId="49640DB7" w14:textId="77777777" w:rsidR="001F08B9" w:rsidRPr="00267BCC" w:rsidRDefault="001F08B9" w:rsidP="00267BCC">
      <w:pPr>
        <w:ind w:firstLine="720"/>
        <w:jc w:val="both"/>
        <w:rPr>
          <w:lang w:val="lv-LV"/>
        </w:rPr>
      </w:pPr>
      <w:r w:rsidRPr="00267BCC">
        <w:rPr>
          <w:rFonts w:eastAsia="Calibri"/>
          <w:lang w:val="lv-LV"/>
        </w:rPr>
        <w:t xml:space="preserve">Mārketinga aktivitāšu pilnvērtīgā īstenošanā svarīga iesaistīto pušu (valsts, nevalstiskā un privātā sektora) sadarbība, kas attiecas gan uz vienotas ziņas nodošanu potenciālajiem ceļotājiem, gan uz stratēģisku un saskaņotu pasākumu īstenošanu, gan arī uz finanšu </w:t>
      </w:r>
      <w:r w:rsidR="008E330D" w:rsidRPr="00267BCC">
        <w:rPr>
          <w:rFonts w:eastAsia="Calibri"/>
          <w:lang w:val="lv-LV"/>
        </w:rPr>
        <w:t>resursu efektīvu izmantošanu.</w:t>
      </w:r>
    </w:p>
    <w:p w14:paraId="49640DB8" w14:textId="77777777" w:rsidR="001F08B9" w:rsidRPr="00267BCC" w:rsidRDefault="001F08B9" w:rsidP="00267BCC">
      <w:pPr>
        <w:ind w:firstLine="720"/>
        <w:jc w:val="both"/>
        <w:rPr>
          <w:lang w:val="lv-LV"/>
        </w:rPr>
      </w:pPr>
      <w:r w:rsidRPr="00267BCC">
        <w:rPr>
          <w:lang w:val="lv-LV"/>
        </w:rPr>
        <w:t xml:space="preserve">Mūsdienu mainīgajā pasaulē ir radušies jauni apstākļi tūrisma produktu virzībai – demogrāfiskās izmaiņas (patērētāju „novecošanās”), jauns tūrista kā patērētāja uzvedības modelis un tehnoloģijas, kas prasa ne tikai produktu un pakalpojumu pielāgošanu, bet arī attiecīgu mārketinga instrumentu izvēli. </w:t>
      </w:r>
    </w:p>
    <w:p w14:paraId="49640DB9" w14:textId="77777777" w:rsidR="001F08B9" w:rsidRPr="00267BCC" w:rsidRDefault="001F08B9" w:rsidP="00267BCC">
      <w:pPr>
        <w:ind w:firstLine="720"/>
        <w:jc w:val="both"/>
        <w:rPr>
          <w:lang w:val="lv-LV"/>
        </w:rPr>
      </w:pPr>
      <w:r w:rsidRPr="00267BCC">
        <w:rPr>
          <w:lang w:val="lv-LV"/>
        </w:rPr>
        <w:t xml:space="preserve">2010.gadā TAVA sadarbībā ar tūrisma nozares pārstāvjiem izstrādāja Latvijas </w:t>
      </w:r>
      <w:r w:rsidR="000B7105" w:rsidRPr="00267BCC">
        <w:rPr>
          <w:lang w:val="lv-LV"/>
        </w:rPr>
        <w:t>t</w:t>
      </w:r>
      <w:r w:rsidRPr="00267BCC">
        <w:rPr>
          <w:lang w:val="lv-LV"/>
        </w:rPr>
        <w:t>ūrisma mārketinga stratēģiju 2010.-2015.gadam, kas:</w:t>
      </w:r>
    </w:p>
    <w:p w14:paraId="49640DBA" w14:textId="77777777" w:rsidR="001F08B9" w:rsidRPr="00267BCC" w:rsidRDefault="001F08B9" w:rsidP="00267BCC">
      <w:pPr>
        <w:pStyle w:val="ListParagraph"/>
        <w:numPr>
          <w:ilvl w:val="0"/>
          <w:numId w:val="14"/>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definē Latvijas tūrisma attīstības ekonomiskos un mārketinga mērķus;</w:t>
      </w:r>
    </w:p>
    <w:p w14:paraId="49640DBB" w14:textId="77777777" w:rsidR="001F08B9" w:rsidRPr="00267BCC" w:rsidRDefault="001F08B9" w:rsidP="00267BCC">
      <w:pPr>
        <w:pStyle w:val="ListParagraph"/>
        <w:numPr>
          <w:ilvl w:val="0"/>
          <w:numId w:val="14"/>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nosaka prioritāros tūrisma tirgus;</w:t>
      </w:r>
    </w:p>
    <w:p w14:paraId="49640DBC" w14:textId="77777777" w:rsidR="001F08B9" w:rsidRPr="00267BCC" w:rsidRDefault="001F08B9" w:rsidP="00267BCC">
      <w:pPr>
        <w:pStyle w:val="ListParagraph"/>
        <w:numPr>
          <w:ilvl w:val="0"/>
          <w:numId w:val="14"/>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definē vērtības Latvijas tūrisma eksporta produktu piedāvājuma attīstībai;</w:t>
      </w:r>
    </w:p>
    <w:p w14:paraId="49640DBD" w14:textId="77777777" w:rsidR="001F08B9" w:rsidRPr="00267BCC" w:rsidRDefault="001F08B9" w:rsidP="00267BCC">
      <w:pPr>
        <w:pStyle w:val="ListParagraph"/>
        <w:numPr>
          <w:ilvl w:val="0"/>
          <w:numId w:val="14"/>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nosaka Latvijas tūrisma eksporta produktu stratēģiskos virzienus.</w:t>
      </w:r>
    </w:p>
    <w:p w14:paraId="49640DBE" w14:textId="77777777" w:rsidR="001F08B9" w:rsidRPr="00267BCC" w:rsidRDefault="001F08B9" w:rsidP="00267BCC">
      <w:pPr>
        <w:ind w:firstLine="720"/>
        <w:jc w:val="both"/>
        <w:rPr>
          <w:lang w:val="lv-LV"/>
        </w:rPr>
      </w:pPr>
      <w:r w:rsidRPr="00267BCC">
        <w:rPr>
          <w:lang w:val="lv-LV"/>
        </w:rPr>
        <w:t xml:space="preserve">Lai īstenotu Latvijas Tūrisma mārketinga stratēģiju 2010.-2015.gadam un mērķauditorijas uztverē nostiprinātu Latvijas tūrisma zīmolu, TAVA ir izstrādājusi un mērķtiecīgi īstenojusi Latvijas Tūrisma mārketinga ārējās komunikācijas stratēģiju augsti prioritārajiem mērķa tirgiem – Vācijai, Krievijai, Somijai, Zviedrijai, Lietuvai un Igaunijai. </w:t>
      </w:r>
    </w:p>
    <w:p w14:paraId="49640DBF" w14:textId="77777777" w:rsidR="001F08B9" w:rsidRPr="00267BCC" w:rsidRDefault="001F08B9" w:rsidP="00267BCC">
      <w:pPr>
        <w:ind w:firstLine="720"/>
        <w:jc w:val="both"/>
        <w:rPr>
          <w:lang w:val="lv-LV"/>
        </w:rPr>
      </w:pPr>
      <w:r w:rsidRPr="00267BCC">
        <w:rPr>
          <w:lang w:val="lv-LV"/>
        </w:rPr>
        <w:t>Pamatojoties uz stratēģiju, laika periodā kopš 2010.gada TAVA:</w:t>
      </w:r>
    </w:p>
    <w:p w14:paraId="49640DC0" w14:textId="77777777" w:rsidR="001F08B9" w:rsidRPr="00267BCC" w:rsidRDefault="001F08B9" w:rsidP="00267BCC">
      <w:pPr>
        <w:pStyle w:val="ListParagraph"/>
        <w:numPr>
          <w:ilvl w:val="0"/>
          <w:numId w:val="15"/>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koncentrē mārketingam paredzētos finanšu resursus galvenokārt augsti prioritārajos un prioritārajos tirgos;</w:t>
      </w:r>
    </w:p>
    <w:p w14:paraId="49640DC1" w14:textId="77777777" w:rsidR="001F08B9" w:rsidRPr="00267BCC" w:rsidRDefault="001F08B9" w:rsidP="00267BCC">
      <w:pPr>
        <w:pStyle w:val="ListParagraph"/>
        <w:numPr>
          <w:ilvl w:val="0"/>
          <w:numId w:val="15"/>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izmanto mārketinga komunikācijas kanālus, ar kuru palīdzību visefektīvāk var sasniegt definētās mērķauditorijas mērķa tirgos;</w:t>
      </w:r>
    </w:p>
    <w:p w14:paraId="49640DC2" w14:textId="77777777" w:rsidR="001F08B9" w:rsidRPr="00267BCC" w:rsidRDefault="001F08B9" w:rsidP="00267BCC">
      <w:pPr>
        <w:pStyle w:val="ListParagraph"/>
        <w:numPr>
          <w:ilvl w:val="0"/>
          <w:numId w:val="15"/>
        </w:numPr>
        <w:spacing w:line="240" w:lineRule="auto"/>
        <w:ind w:left="107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īsteno mērķtiecīgus pasākumus augsti prioritāro un nišu tūrisma produktu attīstībai un mārketingam (medicīnas, veselības, dabas tūrisma produkti u.tml.), kā arī specializēto produktu attīstībai noteiktām mērķauditorijām (piemēram, ģimenēm ar bērniem, senioriem u.tml.). </w:t>
      </w:r>
    </w:p>
    <w:p w14:paraId="49640DC3" w14:textId="77777777" w:rsidR="001F08B9" w:rsidRPr="00267BCC" w:rsidRDefault="001F08B9" w:rsidP="00267BCC">
      <w:pPr>
        <w:ind w:firstLine="720"/>
        <w:jc w:val="both"/>
        <w:rPr>
          <w:lang w:val="lv-LV"/>
        </w:rPr>
      </w:pPr>
      <w:r w:rsidRPr="00267BCC">
        <w:rPr>
          <w:lang w:val="lv-LV"/>
        </w:rPr>
        <w:t xml:space="preserve">Tūrisma mērķa tirgu un mērķauditorijas definēšana ļauj plānot un īstenot saskaņotas  TAVA, pašvaldību, tūrisma nozares organizāciju un tūrisma pakalpojumu sniedzēju mārketinga aktivitātes, tādējādi efektīvāk izlietojot pieejamos finanšu un cilvēku resursus. </w:t>
      </w:r>
      <w:r w:rsidR="00A36085" w:rsidRPr="00267BCC">
        <w:rPr>
          <w:lang w:val="lv-LV"/>
        </w:rPr>
        <w:t>Vienlaicīgi</w:t>
      </w:r>
      <w:r w:rsidRPr="00267BCC">
        <w:rPr>
          <w:lang w:val="lv-LV"/>
        </w:rPr>
        <w:t xml:space="preserve"> definētie mērķa tirgi neierobežo individuālu tūrisma nozares uzņēmumu mārketingu citos tirgos. </w:t>
      </w:r>
    </w:p>
    <w:p w14:paraId="49640DC4" w14:textId="77777777" w:rsidR="001F08B9" w:rsidRPr="005C766A" w:rsidRDefault="001F08B9" w:rsidP="00267BCC">
      <w:pPr>
        <w:widowControl w:val="0"/>
        <w:ind w:firstLine="720"/>
        <w:jc w:val="both"/>
        <w:rPr>
          <w:rFonts w:eastAsia="Calibri"/>
          <w:lang w:val="lv-LV" w:eastAsia="en-US"/>
        </w:rPr>
      </w:pPr>
      <w:r w:rsidRPr="00267BCC">
        <w:rPr>
          <w:rFonts w:eastAsia="Calibri"/>
          <w:lang w:val="lv-LV" w:eastAsia="en-US"/>
        </w:rPr>
        <w:t xml:space="preserve">Par nozīmīgu nozares attīstībai uzskatāma arī triju kaimiņvalstu spēja vienoties noteiktām mārketinga aktivitātēm, kas aptver Baltijas reģionu kopumā – veiksmīgs sadarbības piemērs konkurences apstākļos. </w:t>
      </w:r>
      <w:r w:rsidR="00062138" w:rsidRPr="005C766A">
        <w:rPr>
          <w:rFonts w:eastAsia="Calibri"/>
          <w:lang w:val="lv-LV" w:eastAsia="en-US"/>
        </w:rPr>
        <w:t>Ņemot vērā šo aktivitāti, kas prasa arvien vairāk cilvēkresursu iesaisti, kā arī plānojot attīstīt jau esošās un plānotās mārketinga aktivitātes, tiecoties izlīdzināt pieejamos cilvēkresursu ar citu Baltijas valstu tūrisma aģentūrām tādējādi nodrošinot gan līdzvērtīgu konkurenci, gan spēju īstenot kopīgos mērķus, nepieciešams stiprināt TAVA institucionālo kapacitāti.</w:t>
      </w:r>
    </w:p>
    <w:p w14:paraId="49640DC5" w14:textId="77777777" w:rsidR="001F08B9" w:rsidRPr="00267BCC" w:rsidRDefault="001F08B9" w:rsidP="00267BCC">
      <w:pPr>
        <w:rPr>
          <w:b/>
          <w:i/>
          <w:lang w:val="lv-LV"/>
        </w:rPr>
      </w:pPr>
    </w:p>
    <w:p w14:paraId="49640DC6" w14:textId="19499B32" w:rsidR="001F08B9" w:rsidRPr="00267BCC" w:rsidRDefault="001F08B9" w:rsidP="00267BCC">
      <w:pPr>
        <w:rPr>
          <w:b/>
          <w:i/>
          <w:lang w:val="lv-LV"/>
        </w:rPr>
      </w:pPr>
      <w:r w:rsidRPr="00267BCC">
        <w:rPr>
          <w:b/>
          <w:i/>
          <w:lang w:val="lv-LV"/>
        </w:rPr>
        <w:t>Būtiskākie uzdevumi</w:t>
      </w:r>
      <w:r w:rsidR="009B4A04">
        <w:rPr>
          <w:b/>
          <w:i/>
          <w:lang w:val="lv-LV"/>
        </w:rPr>
        <w:t xml:space="preserve"> (1.pielikuma 5.1.</w:t>
      </w:r>
      <w:r w:rsidR="00236343">
        <w:rPr>
          <w:b/>
          <w:i/>
          <w:lang w:val="lv-LV"/>
        </w:rPr>
        <w:t>aktivitāte)</w:t>
      </w:r>
      <w:r w:rsidRPr="00267BCC">
        <w:rPr>
          <w:b/>
          <w:i/>
          <w:lang w:val="lv-LV"/>
        </w:rPr>
        <w:t xml:space="preserve">: </w:t>
      </w:r>
    </w:p>
    <w:p w14:paraId="49640DC7" w14:textId="77777777" w:rsidR="001F08B9" w:rsidRPr="00267BCC"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Vienotu Latvijas tūrisma mārketinga pasākumu īstenošana:</w:t>
      </w:r>
    </w:p>
    <w:p w14:paraId="49640DC8" w14:textId="6B4C7E74" w:rsidR="001F08B9" w:rsidRPr="00267BCC" w:rsidRDefault="009B4A04" w:rsidP="00267BCC">
      <w:pPr>
        <w:pStyle w:val="ListParagraph"/>
        <w:numPr>
          <w:ilvl w:val="0"/>
          <w:numId w:val="42"/>
        </w:numPr>
        <w:spacing w:line="240" w:lineRule="auto"/>
        <w:ind w:left="714" w:hanging="357"/>
        <w:contextualSpacing w:val="0"/>
        <w:jc w:val="both"/>
        <w:rPr>
          <w:rFonts w:ascii="Times New Roman" w:hAnsi="Times New Roman"/>
          <w:sz w:val="24"/>
          <w:szCs w:val="24"/>
          <w:lang w:val="lv-LV"/>
        </w:rPr>
      </w:pPr>
      <w:r>
        <w:rPr>
          <w:rFonts w:ascii="Times New Roman" w:hAnsi="Times New Roman"/>
          <w:sz w:val="24"/>
          <w:szCs w:val="24"/>
          <w:lang w:val="lv-LV"/>
        </w:rPr>
        <w:t xml:space="preserve">mārketinga </w:t>
      </w:r>
      <w:r w:rsidR="00F51D77" w:rsidRPr="00267BCC">
        <w:rPr>
          <w:rFonts w:ascii="Times New Roman" w:hAnsi="Times New Roman"/>
          <w:sz w:val="24"/>
          <w:szCs w:val="24"/>
          <w:lang w:val="lv-LV"/>
        </w:rPr>
        <w:t>p</w:t>
      </w:r>
      <w:r w:rsidR="001F08B9" w:rsidRPr="00267BCC">
        <w:rPr>
          <w:rFonts w:ascii="Times New Roman" w:hAnsi="Times New Roman"/>
          <w:sz w:val="24"/>
          <w:szCs w:val="24"/>
          <w:lang w:val="lv-LV"/>
        </w:rPr>
        <w:t>asākumu īstenošana</w:t>
      </w:r>
      <w:r>
        <w:rPr>
          <w:rFonts w:ascii="Times New Roman" w:hAnsi="Times New Roman"/>
          <w:sz w:val="24"/>
          <w:szCs w:val="24"/>
          <w:lang w:val="lv-LV"/>
        </w:rPr>
        <w:t xml:space="preserve"> prioritāros mērķa tirgos stratēģiskajos tūrisma veidos</w:t>
      </w:r>
      <w:r w:rsidR="001F08B9" w:rsidRPr="00267BCC">
        <w:rPr>
          <w:rFonts w:ascii="Times New Roman" w:hAnsi="Times New Roman"/>
          <w:sz w:val="24"/>
          <w:szCs w:val="24"/>
          <w:lang w:val="lv-LV"/>
        </w:rPr>
        <w:t>;</w:t>
      </w:r>
    </w:p>
    <w:p w14:paraId="49640DC9" w14:textId="77777777" w:rsidR="001F08B9" w:rsidRPr="00267BCC" w:rsidRDefault="00F51D77" w:rsidP="00267BCC">
      <w:pPr>
        <w:pStyle w:val="ListParagraph"/>
        <w:numPr>
          <w:ilvl w:val="0"/>
          <w:numId w:val="42"/>
        </w:numPr>
        <w:spacing w:line="240" w:lineRule="auto"/>
        <w:ind w:left="714"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m</w:t>
      </w:r>
      <w:r w:rsidR="001F08B9" w:rsidRPr="00267BCC">
        <w:rPr>
          <w:rFonts w:ascii="Times New Roman" w:hAnsi="Times New Roman"/>
          <w:sz w:val="24"/>
          <w:szCs w:val="24"/>
          <w:lang w:val="lv-LV"/>
        </w:rPr>
        <w:t>ārketinga aktivitāšu sasaiste ar citu valsts un paš</w:t>
      </w:r>
      <w:r w:rsidR="00BD2242" w:rsidRPr="00267BCC">
        <w:rPr>
          <w:rFonts w:ascii="Times New Roman" w:hAnsi="Times New Roman"/>
          <w:sz w:val="24"/>
          <w:szCs w:val="24"/>
          <w:lang w:val="lv-LV"/>
        </w:rPr>
        <w:t>valdību institūciju aktivitātēm.</w:t>
      </w:r>
    </w:p>
    <w:p w14:paraId="49640DCA" w14:textId="77777777" w:rsidR="001F08B9" w:rsidRPr="00267BCC"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Privātā sektora iesaistīšana Latvijas kā tūrisma galamērķa popularizēšanā</w:t>
      </w:r>
      <w:r w:rsidR="00F51D77" w:rsidRPr="00267BCC">
        <w:rPr>
          <w:rFonts w:ascii="Times New Roman" w:hAnsi="Times New Roman"/>
          <w:sz w:val="24"/>
          <w:szCs w:val="24"/>
          <w:lang w:val="lv-LV"/>
        </w:rPr>
        <w:t>.</w:t>
      </w:r>
    </w:p>
    <w:p w14:paraId="49640DCB" w14:textId="77777777" w:rsidR="001F08B9" w:rsidRPr="00267BCC"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Mūsdienīgu tehnoloģiju pielietošana efektīvas mārketinga komunikācijas īstenošanai</w:t>
      </w:r>
      <w:r w:rsidR="00F51D77" w:rsidRPr="00267BCC">
        <w:rPr>
          <w:rFonts w:ascii="Times New Roman" w:hAnsi="Times New Roman"/>
          <w:sz w:val="24"/>
          <w:szCs w:val="24"/>
          <w:lang w:val="lv-LV"/>
        </w:rPr>
        <w:t>.</w:t>
      </w:r>
    </w:p>
    <w:p w14:paraId="49640DCC" w14:textId="77777777" w:rsidR="001F08B9" w:rsidRPr="00267BCC"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Baltijas tūrisma produktu un piedāvājuma atpazīstamības veicināšana, Latvijas precīza pozicionēšana kopējā kontekstā.</w:t>
      </w:r>
    </w:p>
    <w:p w14:paraId="49640DCD" w14:textId="77777777" w:rsidR="001F08B9" w:rsidRPr="00267BCC"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lastRenderedPageBreak/>
        <w:t>Nacionālā tūrisma portāla tehniskā un saturiskā attīstība, aktivitātes sociālajos tīklos</w:t>
      </w:r>
      <w:r w:rsidR="00F51D77" w:rsidRPr="00267BCC">
        <w:rPr>
          <w:rFonts w:ascii="Times New Roman" w:hAnsi="Times New Roman"/>
          <w:sz w:val="24"/>
          <w:szCs w:val="24"/>
          <w:lang w:val="lv-LV"/>
        </w:rPr>
        <w:t>.</w:t>
      </w:r>
    </w:p>
    <w:p w14:paraId="49640DCE" w14:textId="77777777" w:rsidR="002B2E7A" w:rsidRDefault="001F08B9" w:rsidP="00267BCC">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267BCC">
        <w:rPr>
          <w:rFonts w:ascii="Times New Roman" w:hAnsi="Times New Roman"/>
          <w:sz w:val="24"/>
          <w:szCs w:val="24"/>
          <w:lang w:val="lv-LV"/>
        </w:rPr>
        <w:t>Jaunu informatīvo pakalpojumu izstrāde (izmantojot jaunākās tehnoloģijas – piemēram, mobilo ierīču aplikācijas).</w:t>
      </w:r>
    </w:p>
    <w:p w14:paraId="49640DCF" w14:textId="77777777" w:rsidR="001F08B9" w:rsidRPr="005C766A" w:rsidRDefault="002B2E7A" w:rsidP="002B2E7A">
      <w:pPr>
        <w:pStyle w:val="ListParagraph"/>
        <w:numPr>
          <w:ilvl w:val="0"/>
          <w:numId w:val="41"/>
        </w:numPr>
        <w:spacing w:line="240" w:lineRule="auto"/>
        <w:ind w:left="357" w:hanging="357"/>
        <w:contextualSpacing w:val="0"/>
        <w:jc w:val="both"/>
        <w:rPr>
          <w:rFonts w:ascii="Times New Roman" w:hAnsi="Times New Roman"/>
          <w:sz w:val="24"/>
          <w:szCs w:val="24"/>
          <w:lang w:val="lv-LV"/>
        </w:rPr>
      </w:pPr>
      <w:r w:rsidRPr="005C766A">
        <w:rPr>
          <w:rFonts w:ascii="Times New Roman" w:hAnsi="Times New Roman"/>
          <w:sz w:val="24"/>
          <w:szCs w:val="24"/>
          <w:lang w:val="lv-LV"/>
        </w:rPr>
        <w:t xml:space="preserve">TAVA institucionālās kapacitātes stiprināšana, </w:t>
      </w:r>
      <w:r w:rsidRPr="005C766A">
        <w:rPr>
          <w:rFonts w:ascii="Times New Roman" w:hAnsi="Times New Roman"/>
          <w:color w:val="000000" w:themeColor="text1"/>
          <w:sz w:val="24"/>
          <w:szCs w:val="24"/>
          <w:lang w:val="lv-LV"/>
        </w:rPr>
        <w:t>n</w:t>
      </w:r>
      <w:r w:rsidRPr="00085EAA">
        <w:rPr>
          <w:rFonts w:ascii="Times New Roman" w:hAnsi="Times New Roman"/>
          <w:color w:val="000000" w:themeColor="text1"/>
          <w:sz w:val="24"/>
          <w:szCs w:val="24"/>
          <w:lang w:val="lv-LV"/>
        </w:rPr>
        <w:t>odrošinātas konkurētspējīgas un kvalitatīvas Latvijas tūrisma piedāvājuma mārketinga aktivitātes un tūrisma produktu kvalitātes vecināšanas aktivitātes</w:t>
      </w:r>
      <w:r w:rsidRPr="005C766A">
        <w:rPr>
          <w:rFonts w:ascii="Times New Roman" w:hAnsi="Times New Roman"/>
          <w:color w:val="000000" w:themeColor="text1"/>
          <w:sz w:val="24"/>
          <w:szCs w:val="24"/>
          <w:lang w:val="lv-LV"/>
        </w:rPr>
        <w:t>.</w:t>
      </w:r>
    </w:p>
    <w:p w14:paraId="49640DD0" w14:textId="77777777" w:rsidR="008868D7" w:rsidRPr="005C766A" w:rsidRDefault="008868D7" w:rsidP="00267BCC">
      <w:pPr>
        <w:jc w:val="both"/>
        <w:rPr>
          <w:rFonts w:eastAsia="Calibri"/>
          <w:lang w:val="lv-LV" w:eastAsia="en-US"/>
        </w:rPr>
      </w:pPr>
    </w:p>
    <w:p w14:paraId="49640DD1" w14:textId="77777777" w:rsidR="00A36085" w:rsidRPr="00267BCC" w:rsidRDefault="00A36085" w:rsidP="00267BCC">
      <w:pPr>
        <w:rPr>
          <w:lang w:val="lv-LV"/>
        </w:rPr>
      </w:pPr>
      <w:r w:rsidRPr="00267BCC">
        <w:rPr>
          <w:lang w:val="lv-LV"/>
        </w:rPr>
        <w:br w:type="page"/>
      </w:r>
    </w:p>
    <w:p w14:paraId="49640DD2" w14:textId="77777777" w:rsidR="00783831" w:rsidRPr="00267BCC" w:rsidRDefault="00AB66B7" w:rsidP="00267BCC">
      <w:pPr>
        <w:pStyle w:val="Heading1"/>
        <w:numPr>
          <w:ilvl w:val="0"/>
          <w:numId w:val="24"/>
        </w:numPr>
        <w:rPr>
          <w:rFonts w:eastAsia="Calibri"/>
        </w:rPr>
      </w:pPr>
      <w:bookmarkStart w:id="49" w:name="_Toc381256678"/>
      <w:r w:rsidRPr="00267BCC">
        <w:rPr>
          <w:rFonts w:eastAsia="Calibri"/>
        </w:rPr>
        <w:lastRenderedPageBreak/>
        <w:t>Ins</w:t>
      </w:r>
      <w:r w:rsidR="00783831" w:rsidRPr="00267BCC">
        <w:rPr>
          <w:rFonts w:eastAsia="Calibri"/>
        </w:rPr>
        <w:t>t</w:t>
      </w:r>
      <w:r w:rsidRPr="00267BCC">
        <w:rPr>
          <w:rFonts w:eastAsia="Calibri"/>
        </w:rPr>
        <w:t>it</w:t>
      </w:r>
      <w:r w:rsidR="00783831" w:rsidRPr="00267BCC">
        <w:rPr>
          <w:rFonts w:eastAsia="Calibri"/>
        </w:rPr>
        <w:t>ucionālais nodrošinājums</w:t>
      </w:r>
      <w:bookmarkEnd w:id="32"/>
      <w:bookmarkEnd w:id="49"/>
    </w:p>
    <w:p w14:paraId="49640DD3" w14:textId="77777777" w:rsidR="00432C0D" w:rsidRPr="00267BCC" w:rsidRDefault="00432C0D" w:rsidP="00267BCC">
      <w:pPr>
        <w:pStyle w:val="tv213"/>
        <w:spacing w:before="0" w:beforeAutospacing="0" w:after="0" w:afterAutospacing="0"/>
        <w:ind w:firstLine="567"/>
        <w:jc w:val="both"/>
      </w:pPr>
    </w:p>
    <w:p w14:paraId="49640DD4" w14:textId="77777777" w:rsidR="002E01CA" w:rsidRPr="00267BCC" w:rsidRDefault="00783831" w:rsidP="00267BCC">
      <w:pPr>
        <w:pStyle w:val="tv213"/>
        <w:spacing w:before="0" w:beforeAutospacing="0" w:after="0" w:afterAutospacing="0"/>
        <w:ind w:firstLine="567"/>
        <w:jc w:val="both"/>
      </w:pPr>
      <w:r w:rsidRPr="00267BCC">
        <w:t>Tūri</w:t>
      </w:r>
      <w:r w:rsidR="00B535AB" w:rsidRPr="00267BCC">
        <w:t>smu tā starpnozaru rakstura dēļ</w:t>
      </w:r>
      <w:r w:rsidRPr="00267BCC">
        <w:t xml:space="preserve"> būtiski ietekmē citas nozares, līdz ar to </w:t>
      </w:r>
      <w:r w:rsidR="00B535AB" w:rsidRPr="00267BCC">
        <w:t xml:space="preserve">tā </w:t>
      </w:r>
      <w:r w:rsidRPr="00267BCC">
        <w:t xml:space="preserve">veiksmīgai attīstībai nepieciešams iesaistīt visas atbildīgās institūcijas. </w:t>
      </w:r>
    </w:p>
    <w:p w14:paraId="49640DD5" w14:textId="77777777" w:rsidR="002E01CA" w:rsidRPr="005C766A" w:rsidRDefault="002E01CA" w:rsidP="00267BCC">
      <w:pPr>
        <w:pStyle w:val="tv213"/>
        <w:spacing w:before="0" w:beforeAutospacing="0" w:after="0" w:afterAutospacing="0"/>
        <w:ind w:firstLine="567"/>
        <w:jc w:val="both"/>
      </w:pPr>
      <w:r w:rsidRPr="00267BCC">
        <w:t>Kārtību, kādā valsts pārvaldes iestādes, pašvaldības un komersanti darbojas tūrisma jomā</w:t>
      </w:r>
      <w:r w:rsidR="00A36085" w:rsidRPr="00267BCC">
        <w:t>,</w:t>
      </w:r>
      <w:r w:rsidRPr="00267BCC">
        <w:t xml:space="preserve"> nosaka „Tūrisma likums”. EM ir tūrisma nozares vadošā iestāde, kas atbild par tūrisma attīstības valsts politikas izstrādi un īstenošanu. Ekonomikas ministra pārraudzībā esošās tiešās pārvaldes iestādes – </w:t>
      </w:r>
      <w:r w:rsidR="00432C0D" w:rsidRPr="00267BCC">
        <w:t>TAVA</w:t>
      </w:r>
      <w:r w:rsidRPr="00267BCC">
        <w:t xml:space="preserve"> galvenā funkcija ir nodrošināt Latvijas tūrisma attīstības politikas īstenošanu, īstenot Latvijā un ārvalstīs tūrisma reklāmas un sabiedrisko attiecību pasākumus, kā arī pasākumus, kas veicina tūrisma produktu pārdošanu. Ekonomikas ministra pakļautībā esošās tiešās pārvaldes iestādes - </w:t>
      </w:r>
      <w:r w:rsidR="00432C0D" w:rsidRPr="00267BCC">
        <w:t>LIAA</w:t>
      </w:r>
      <w:r w:rsidRPr="00267BCC">
        <w:t xml:space="preserve"> galvenās funkcijas ir īstenot pasākumus Latvijas uzņēmumu eksportspējas paaugstināšanai un ārējās tirdzniecības veicināšanai, kā arī iesaistīt Latvijas ekonomikā ārvalstu investīcijas</w:t>
      </w:r>
      <w:r w:rsidRPr="00534F40">
        <w:t>.</w:t>
      </w:r>
      <w:r w:rsidR="00692F68" w:rsidRPr="00534F40">
        <w:t xml:space="preserve"> Papildus citām eksporta veicināšanas aktivitātēm,</w:t>
      </w:r>
      <w:r w:rsidR="00534F40">
        <w:t xml:space="preserve"> </w:t>
      </w:r>
      <w:r w:rsidR="00534F40" w:rsidRPr="005C766A">
        <w:t>LIAA un tās pārstāvniecības ārvalstīs ir atbildīgas par ārējā mārketinga īstenošanu Latvijas kā tūrisma galamērķa atpazīstamības veicināšanā</w:t>
      </w:r>
      <w:r w:rsidR="00692F68" w:rsidRPr="005C766A">
        <w:t>.</w:t>
      </w:r>
    </w:p>
    <w:p w14:paraId="49640DD6" w14:textId="77777777" w:rsidR="002E01CA" w:rsidRPr="00267BCC" w:rsidRDefault="002E01CA" w:rsidP="00267BCC">
      <w:pPr>
        <w:pStyle w:val="tv213"/>
        <w:spacing w:before="0" w:beforeAutospacing="0" w:after="0" w:afterAutospacing="0"/>
        <w:ind w:firstLine="567"/>
        <w:jc w:val="both"/>
      </w:pPr>
      <w:r w:rsidRPr="00267BCC">
        <w:t>Pašvaldības teritorijas attīstības plānošanas dokumentos nosaka tūrisma, tai skaitā kūrortu, attīstības perspektīvas un kūrortu teritorijas; saskaņā ar šiem dokumentiem nodrošina pasākumus tūrisma, tai skaitā kūrortu, attīstībai, kā arī vispusīgas un precīzas informācijas sniegšanu Latvijā un ārvalstīs par tūrisma iespējām, dabas dziednieciskajiem resursiem un kūrortu pakalpojumiem savā teritorijā, nodrošina tūrisma objektu saglabāšanu un iespējas tos izmantot tūrisma vajadzībām; piedalās tūrisma informācijas centru, punktu un stendu izveidošanā un finansēšanā; veicina kultūrizglītojošo darbu tūrisma jomā un veselīga dzīvesveida popularizēšanu.</w:t>
      </w:r>
    </w:p>
    <w:p w14:paraId="49640DD7" w14:textId="77777777" w:rsidR="002E01CA" w:rsidRPr="00267BCC" w:rsidRDefault="002E01CA" w:rsidP="00267BCC">
      <w:pPr>
        <w:ind w:firstLine="720"/>
        <w:jc w:val="both"/>
        <w:rPr>
          <w:lang w:val="lv-LV"/>
        </w:rPr>
      </w:pPr>
      <w:r w:rsidRPr="00267BCC">
        <w:rPr>
          <w:lang w:val="lv-LV"/>
        </w:rPr>
        <w:t xml:space="preserve"> Lielu ieguldījumu un atbalstu tūrisma plānošanas dokumentu un nozares regulējuma pilnveidē sniedz profesionālās un reģionālās tūrisma nozares asociācijas, kas piedalās tūrisma politikas izstrādē un īstenošanā, izvirzot savus pārstāvjus darbam </w:t>
      </w:r>
      <w:r w:rsidR="00432C0D" w:rsidRPr="00267BCC">
        <w:rPr>
          <w:lang w:val="lv-LV"/>
        </w:rPr>
        <w:t>TSP</w:t>
      </w:r>
      <w:r w:rsidRPr="00267BCC">
        <w:rPr>
          <w:lang w:val="lv-LV"/>
        </w:rPr>
        <w:t xml:space="preserve"> Tūrism</w:t>
      </w:r>
      <w:r w:rsidR="00432C0D" w:rsidRPr="00267BCC">
        <w:rPr>
          <w:lang w:val="lv-LV"/>
        </w:rPr>
        <w:t>a komitejā un TAVA konsultatīvajā</w:t>
      </w:r>
      <w:r w:rsidRPr="00267BCC">
        <w:rPr>
          <w:lang w:val="lv-LV"/>
        </w:rPr>
        <w:t xml:space="preserve"> padomē.</w:t>
      </w:r>
    </w:p>
    <w:p w14:paraId="49640DD8" w14:textId="77777777" w:rsidR="00783831" w:rsidRPr="00267BCC" w:rsidRDefault="002E01CA" w:rsidP="00267BCC">
      <w:pPr>
        <w:ind w:firstLine="567"/>
        <w:jc w:val="both"/>
        <w:rPr>
          <w:lang w:val="lv-LV"/>
        </w:rPr>
      </w:pPr>
      <w:r w:rsidRPr="00267BCC">
        <w:rPr>
          <w:lang w:val="lv-LV"/>
        </w:rPr>
        <w:t>A</w:t>
      </w:r>
      <w:r w:rsidR="00783831" w:rsidRPr="00267BCC">
        <w:rPr>
          <w:lang w:val="lv-LV"/>
        </w:rPr>
        <w:t>r tūrism</w:t>
      </w:r>
      <w:r w:rsidR="00456632" w:rsidRPr="00267BCC">
        <w:rPr>
          <w:lang w:val="lv-LV"/>
        </w:rPr>
        <w:t>a</w:t>
      </w:r>
      <w:r w:rsidR="00783831" w:rsidRPr="00267BCC">
        <w:rPr>
          <w:lang w:val="lv-LV"/>
        </w:rPr>
        <w:t xml:space="preserve"> nozari saistītas jomas ir citu  ministriju </w:t>
      </w:r>
      <w:r w:rsidR="00456632" w:rsidRPr="00267BCC">
        <w:rPr>
          <w:lang w:val="lv-LV"/>
        </w:rPr>
        <w:t xml:space="preserve">un institūciju </w:t>
      </w:r>
      <w:r w:rsidR="00783831" w:rsidRPr="00267BCC">
        <w:rPr>
          <w:lang w:val="lv-LV"/>
        </w:rPr>
        <w:t>kompetencē:</w:t>
      </w:r>
    </w:p>
    <w:p w14:paraId="49640DD9" w14:textId="77777777" w:rsidR="00783831" w:rsidRPr="005C766A" w:rsidRDefault="00783831" w:rsidP="003B4CFB">
      <w:pPr>
        <w:pStyle w:val="naisf"/>
        <w:numPr>
          <w:ilvl w:val="0"/>
          <w:numId w:val="5"/>
        </w:numPr>
        <w:spacing w:before="0" w:after="0"/>
        <w:ind w:left="567" w:hanging="425"/>
      </w:pPr>
      <w:r w:rsidRPr="00267BCC">
        <w:t>ĀM - ārlietu nozare, īsteno vienotu valsts ārpolitiku, t.sk. veic konsulārās funkcijas ārvalstīs</w:t>
      </w:r>
      <w:r w:rsidR="00F51D77" w:rsidRPr="00267BCC">
        <w:t xml:space="preserve">. </w:t>
      </w:r>
      <w:r w:rsidR="00F863E3" w:rsidRPr="00267BCC">
        <w:t>Ārlietu ministra pārraudzībā esošā</w:t>
      </w:r>
      <w:r w:rsidR="00F51D77" w:rsidRPr="00267BCC">
        <w:t>s</w:t>
      </w:r>
      <w:r w:rsidR="00F863E3" w:rsidRPr="00267BCC">
        <w:t xml:space="preserve"> </w:t>
      </w:r>
      <w:r w:rsidR="00F863E3" w:rsidRPr="00267BCC">
        <w:rPr>
          <w:rStyle w:val="Strong"/>
          <w:b w:val="0"/>
        </w:rPr>
        <w:t>valsts tiešās pārvaldes iestāde</w:t>
      </w:r>
      <w:r w:rsidR="00F51D77" w:rsidRPr="00267BCC">
        <w:rPr>
          <w:rStyle w:val="Strong"/>
          <w:b w:val="0"/>
        </w:rPr>
        <w:t>s -</w:t>
      </w:r>
      <w:r w:rsidR="00F863E3" w:rsidRPr="00267BCC">
        <w:rPr>
          <w:rStyle w:val="Strong"/>
          <w:b w:val="0"/>
        </w:rPr>
        <w:t xml:space="preserve"> Latvijas instit</w:t>
      </w:r>
      <w:r w:rsidR="00456632" w:rsidRPr="00267BCC">
        <w:rPr>
          <w:rStyle w:val="Strong"/>
          <w:b w:val="0"/>
        </w:rPr>
        <w:t>ūt</w:t>
      </w:r>
      <w:r w:rsidR="00A36085" w:rsidRPr="00267BCC">
        <w:rPr>
          <w:rStyle w:val="Strong"/>
          <w:b w:val="0"/>
        </w:rPr>
        <w:t xml:space="preserve">a </w:t>
      </w:r>
      <w:r w:rsidR="00F863E3" w:rsidRPr="00267BCC">
        <w:rPr>
          <w:rStyle w:val="Strong"/>
          <w:b w:val="0"/>
        </w:rPr>
        <w:t>darbības mērķis</w:t>
      </w:r>
      <w:r w:rsidR="00F863E3" w:rsidRPr="00267BCC">
        <w:rPr>
          <w:rStyle w:val="Strong"/>
        </w:rPr>
        <w:t xml:space="preserve"> </w:t>
      </w:r>
      <w:r w:rsidR="00F863E3" w:rsidRPr="00267BCC">
        <w:t xml:space="preserve">ir </w:t>
      </w:r>
      <w:r w:rsidR="00A36085" w:rsidRPr="00267BCC">
        <w:t>Latvijas pozitīvas starptautiskā</w:t>
      </w:r>
      <w:r w:rsidR="00F863E3" w:rsidRPr="00267BCC">
        <w:t>s atpazīstamības veicināšana, veidojot konkurētspējīgu valsts identitāti</w:t>
      </w:r>
      <w:r w:rsidR="00BD7E36" w:rsidRPr="00267BCC">
        <w:t xml:space="preserve">. </w:t>
      </w:r>
      <w:r w:rsidR="003B4CFB" w:rsidRPr="005C766A">
        <w:t>Valstīs, kurās ir LIAA pārstāvniecības, attiecīgās Latvijas vēstniecības ārvalstīs atbalsta EM pārraudzībā esošo tiešo pārvaldes iestāžu un citu ministriju un institūciju aktivitātes. Valstīs, kurās nav LIAA pārstāvniecību, ĀM diplomātiskās pārstāvniecības sasaistē ar pārējām institūcijām popularizē Latviju kā tūrisma galamērķi;</w:t>
      </w:r>
    </w:p>
    <w:p w14:paraId="49640DDA" w14:textId="77777777" w:rsidR="00783831" w:rsidRPr="00267BCC" w:rsidRDefault="00783831" w:rsidP="00267BCC">
      <w:pPr>
        <w:pStyle w:val="naisf"/>
        <w:numPr>
          <w:ilvl w:val="0"/>
          <w:numId w:val="5"/>
        </w:numPr>
        <w:spacing w:before="0" w:after="0"/>
        <w:ind w:left="567" w:hanging="425"/>
      </w:pPr>
      <w:r w:rsidRPr="00267BCC">
        <w:t>KM - kultūras pieminekļu aizsardzības, arhitektūras, tautas mākslas, teātra, mūzikas, muzeju, vizuālās mākslas, literatūras, kinematogrāfijas un kultūrizglītības apakšnozares;</w:t>
      </w:r>
    </w:p>
    <w:p w14:paraId="49640DDB" w14:textId="77777777" w:rsidR="00783831" w:rsidRPr="00267BCC" w:rsidRDefault="00783831" w:rsidP="00267BCC">
      <w:pPr>
        <w:pStyle w:val="naisf"/>
        <w:numPr>
          <w:ilvl w:val="0"/>
          <w:numId w:val="5"/>
        </w:numPr>
        <w:spacing w:before="0" w:after="0"/>
        <w:ind w:left="567" w:hanging="425"/>
      </w:pPr>
      <w:r w:rsidRPr="00267BCC">
        <w:t xml:space="preserve">VARAM - vides aizsardzība un reģionālās attīstības plānošana un koordinācija, pašvaldību attīstība un pārraudzība, teritorijas attīstības plānošana un zemes pārvaldība, vienas pieturas aģentūras principa ieviešana, elektroniskā pārvalde; </w:t>
      </w:r>
    </w:p>
    <w:p w14:paraId="49640DDC" w14:textId="77777777" w:rsidR="00783831" w:rsidRPr="005C766A" w:rsidRDefault="004A39B4" w:rsidP="00267BCC">
      <w:pPr>
        <w:pStyle w:val="naisf"/>
        <w:numPr>
          <w:ilvl w:val="0"/>
          <w:numId w:val="5"/>
        </w:numPr>
        <w:spacing w:before="0" w:after="0"/>
        <w:ind w:left="567" w:hanging="425"/>
      </w:pPr>
      <w:r w:rsidRPr="005C766A">
        <w:t>VM - veselības tūrisma jomā -  veselības nozares ietvaros;</w:t>
      </w:r>
    </w:p>
    <w:p w14:paraId="49640DDD" w14:textId="77777777" w:rsidR="00783831" w:rsidRPr="00267BCC" w:rsidRDefault="00783831" w:rsidP="00267BCC">
      <w:pPr>
        <w:pStyle w:val="naisf"/>
        <w:numPr>
          <w:ilvl w:val="0"/>
          <w:numId w:val="5"/>
        </w:numPr>
        <w:spacing w:before="0" w:after="0"/>
        <w:ind w:left="567" w:hanging="425"/>
      </w:pPr>
      <w:r w:rsidRPr="00267BCC">
        <w:t>IEM - iekšlietu nozare, kas ietver noziedzības apkarošanas, sabiedriskās kārtības un drošības aizsardzības, valsts robežas drošības, ugunsdrošības, ugunsdzēsības, glābšanas, civilās aizsardzības, iedzīvotāju uzskaites un dokumentēšanas, kā arī migrācijas apakšnozares</w:t>
      </w:r>
      <w:r w:rsidR="004A39B4" w:rsidRPr="00267BCC">
        <w:t>;</w:t>
      </w:r>
    </w:p>
    <w:p w14:paraId="49640DDE" w14:textId="77777777" w:rsidR="00783831" w:rsidRPr="00267BCC" w:rsidRDefault="00783831" w:rsidP="00267BCC">
      <w:pPr>
        <w:pStyle w:val="naisf"/>
        <w:numPr>
          <w:ilvl w:val="0"/>
          <w:numId w:val="5"/>
        </w:numPr>
        <w:spacing w:before="0" w:after="0"/>
        <w:ind w:left="567" w:hanging="425"/>
      </w:pPr>
      <w:r w:rsidRPr="00267BCC">
        <w:t>SM - transporta un sakaru nozare. Transporta nozare ietver dzelzceļa, autosatiksmes, jūrniecības un aviācijas apakšnozares, kā arī pasažieru pārvadājumu un tranzītpārvadājumu jomas. Autosatiksmes apakšnozare ietver autotransporta, autoceļu un ceļu satiksmes drošības jomas. Sakaru nozare ietver elektronisko sakaru (arī sakaru un datu pārraides kanālus valsts pārvaldes jomā) un pasta apakšnozares;</w:t>
      </w:r>
    </w:p>
    <w:p w14:paraId="49640DDF" w14:textId="77777777" w:rsidR="00783831" w:rsidRPr="005C766A" w:rsidRDefault="00783831" w:rsidP="00267BCC">
      <w:pPr>
        <w:pStyle w:val="naisf"/>
        <w:numPr>
          <w:ilvl w:val="0"/>
          <w:numId w:val="5"/>
        </w:numPr>
        <w:spacing w:before="0" w:after="0"/>
        <w:ind w:left="567" w:hanging="425"/>
      </w:pPr>
      <w:r w:rsidRPr="005C766A">
        <w:lastRenderedPageBreak/>
        <w:t xml:space="preserve">IZM - </w:t>
      </w:r>
      <w:r w:rsidR="00E47E62" w:rsidRPr="005C766A">
        <w:t>izglītības un zinātnes politikas joma, valsts valodas, jaunatnes politikas un sporta politikas nozares</w:t>
      </w:r>
      <w:r w:rsidRPr="005C766A">
        <w:t>;</w:t>
      </w:r>
    </w:p>
    <w:p w14:paraId="49640DE0" w14:textId="77777777" w:rsidR="00783831" w:rsidRPr="00267BCC" w:rsidRDefault="00783831" w:rsidP="00267BCC">
      <w:pPr>
        <w:numPr>
          <w:ilvl w:val="0"/>
          <w:numId w:val="5"/>
        </w:numPr>
        <w:autoSpaceDE w:val="0"/>
        <w:autoSpaceDN w:val="0"/>
        <w:adjustRightInd w:val="0"/>
        <w:ind w:left="567" w:hanging="425"/>
        <w:rPr>
          <w:lang w:val="lv-LV"/>
        </w:rPr>
      </w:pPr>
      <w:r w:rsidRPr="00267BCC">
        <w:rPr>
          <w:lang w:val="lv-LV"/>
        </w:rPr>
        <w:t>LM - darba, sociālās aizsardzības un dzimumu līdztiesības joma;</w:t>
      </w:r>
    </w:p>
    <w:p w14:paraId="49640DE1" w14:textId="77777777" w:rsidR="00B76CE7" w:rsidRPr="00267BCC" w:rsidRDefault="00783831" w:rsidP="00267BCC">
      <w:pPr>
        <w:pStyle w:val="naisf"/>
        <w:numPr>
          <w:ilvl w:val="0"/>
          <w:numId w:val="5"/>
        </w:numPr>
        <w:spacing w:before="0" w:after="0"/>
        <w:ind w:left="567" w:hanging="425"/>
      </w:pPr>
      <w:r w:rsidRPr="00267BCC">
        <w:t>ZM - lauksaimniecība, mežsaimniecība un zivsaimniecība, t.sk. prognozē un veicina zemnieku saimniecību un citu lauksaimniecības uzņēmēju darbības attīstību un to koordināciju</w:t>
      </w:r>
      <w:r w:rsidR="00A36085" w:rsidRPr="00267BCC">
        <w:t>, Pārtikas un veterinārā dienesta</w:t>
      </w:r>
      <w:r w:rsidR="00365F14" w:rsidRPr="00267BCC">
        <w:t xml:space="preserve"> prasības.</w:t>
      </w:r>
    </w:p>
    <w:p w14:paraId="49640DE2" w14:textId="77777777" w:rsidR="00CF4E82" w:rsidRPr="00267BCC" w:rsidRDefault="00B535AB" w:rsidP="00267BCC">
      <w:pPr>
        <w:pStyle w:val="Heading1"/>
        <w:numPr>
          <w:ilvl w:val="0"/>
          <w:numId w:val="24"/>
        </w:numPr>
        <w:rPr>
          <w:rFonts w:eastAsia="Calibri"/>
        </w:rPr>
      </w:pPr>
      <w:r w:rsidRPr="00267BCC">
        <w:rPr>
          <w:sz w:val="26"/>
          <w:szCs w:val="26"/>
        </w:rPr>
        <w:br w:type="page"/>
      </w:r>
      <w:bookmarkStart w:id="50" w:name="_Toc381256679"/>
      <w:bookmarkStart w:id="51" w:name="_Toc321225384"/>
      <w:r w:rsidR="00CF4E82" w:rsidRPr="00267BCC">
        <w:rPr>
          <w:rFonts w:eastAsia="Calibri"/>
        </w:rPr>
        <w:lastRenderedPageBreak/>
        <w:t>Dokumenta ietekmes uz valsts un pašvaldības budžetiem novērtējums</w:t>
      </w:r>
      <w:bookmarkEnd w:id="50"/>
    </w:p>
    <w:p w14:paraId="49640DE3" w14:textId="77777777" w:rsidR="00432C0D" w:rsidRPr="00267BCC" w:rsidRDefault="00432C0D" w:rsidP="00267BCC">
      <w:pPr>
        <w:tabs>
          <w:tab w:val="num" w:pos="709"/>
        </w:tabs>
        <w:jc w:val="both"/>
        <w:rPr>
          <w:rFonts w:eastAsia="Calibri"/>
          <w:lang w:val="lv-LV" w:eastAsia="en-US"/>
        </w:rPr>
      </w:pPr>
      <w:r w:rsidRPr="00267BCC">
        <w:rPr>
          <w:rFonts w:eastAsia="Calibri"/>
          <w:lang w:val="lv-LV" w:eastAsia="en-US"/>
        </w:rPr>
        <w:tab/>
      </w:r>
    </w:p>
    <w:p w14:paraId="49640DE4" w14:textId="77777777" w:rsidR="00CF4E82" w:rsidRPr="00267BCC" w:rsidRDefault="00432C0D" w:rsidP="00267BCC">
      <w:pPr>
        <w:tabs>
          <w:tab w:val="num" w:pos="709"/>
        </w:tabs>
        <w:jc w:val="both"/>
        <w:rPr>
          <w:rFonts w:eastAsia="Calibri"/>
          <w:lang w:val="lv-LV" w:eastAsia="en-US"/>
        </w:rPr>
      </w:pPr>
      <w:r w:rsidRPr="00267BCC">
        <w:rPr>
          <w:rFonts w:eastAsia="Calibri"/>
          <w:lang w:val="lv-LV" w:eastAsia="en-US"/>
        </w:rPr>
        <w:tab/>
      </w:r>
      <w:r w:rsidR="00CF4E82" w:rsidRPr="00267BCC">
        <w:rPr>
          <w:rFonts w:eastAsia="Calibri"/>
          <w:lang w:val="lv-LV" w:eastAsia="en-US"/>
        </w:rPr>
        <w:t>Liela nozīme tūrisma nozares attīstībā ir ES finanšu līdzekļiem. ES fondu 2007.-2013.gada plānošanas periodā tiešais un netiešais finansiālais atbalsts tūrisma nozares attīstībai tika paredzēts vairāku ministriju aktivitāšu ietvaros (ERAF, Eiropas sociālajā fondā, Eiropas Lauksaimniecības fonds lauku attīstībai) (</w:t>
      </w:r>
      <w:r w:rsidR="008F588D" w:rsidRPr="00267BCC">
        <w:rPr>
          <w:rFonts w:eastAsia="Calibri"/>
          <w:lang w:val="lv-LV" w:eastAsia="en-US"/>
        </w:rPr>
        <w:t>2</w:t>
      </w:r>
      <w:r w:rsidRPr="00267BCC">
        <w:rPr>
          <w:rFonts w:eastAsia="Calibri"/>
          <w:lang w:val="lv-LV" w:eastAsia="en-US"/>
        </w:rPr>
        <w:t>.</w:t>
      </w:r>
      <w:r w:rsidR="008910E9" w:rsidRPr="00267BCC">
        <w:rPr>
          <w:rFonts w:eastAsia="Calibri"/>
          <w:lang w:val="lv-LV" w:eastAsia="en-US"/>
        </w:rPr>
        <w:t>p</w:t>
      </w:r>
      <w:r w:rsidR="00CF4E82" w:rsidRPr="00267BCC">
        <w:rPr>
          <w:rFonts w:eastAsia="Calibri"/>
          <w:lang w:val="lv-LV" w:eastAsia="en-US"/>
        </w:rPr>
        <w:t>ielikum</w:t>
      </w:r>
      <w:r w:rsidRPr="00267BCC">
        <w:rPr>
          <w:rFonts w:eastAsia="Calibri"/>
          <w:lang w:val="lv-LV" w:eastAsia="en-US"/>
        </w:rPr>
        <w:t>s</w:t>
      </w:r>
      <w:r w:rsidR="00CF4E82" w:rsidRPr="00267BCC">
        <w:rPr>
          <w:rFonts w:eastAsia="Calibri"/>
          <w:lang w:val="lv-LV" w:eastAsia="en-US"/>
        </w:rPr>
        <w:t xml:space="preserve">). Arī nākošajā ES fondu plānošanas periodā paredzams, ka citu ministriju </w:t>
      </w:r>
      <w:r w:rsidR="00A36085" w:rsidRPr="00267BCC">
        <w:rPr>
          <w:rFonts w:eastAsia="Calibri"/>
          <w:lang w:val="lv-LV" w:eastAsia="en-US"/>
        </w:rPr>
        <w:t>finansētajiem</w:t>
      </w:r>
      <w:r w:rsidR="00CF4E82" w:rsidRPr="00267BCC">
        <w:rPr>
          <w:rFonts w:eastAsia="Calibri"/>
          <w:lang w:val="lv-LV" w:eastAsia="en-US"/>
        </w:rPr>
        <w:t xml:space="preserve"> projektiem būs ietekme uz Lat</w:t>
      </w:r>
      <w:r w:rsidR="004102B2" w:rsidRPr="00267BCC">
        <w:rPr>
          <w:rFonts w:eastAsia="Calibri"/>
          <w:lang w:val="lv-LV" w:eastAsia="en-US"/>
        </w:rPr>
        <w:t>vijas tūrisma nozares attīstību</w:t>
      </w:r>
      <w:r w:rsidR="00CF4E82" w:rsidRPr="00267BCC">
        <w:rPr>
          <w:rFonts w:eastAsia="Calibri"/>
          <w:lang w:val="lv-LV" w:eastAsia="en-US"/>
        </w:rPr>
        <w:t xml:space="preserve">.  </w:t>
      </w:r>
    </w:p>
    <w:p w14:paraId="49640DE5" w14:textId="77777777" w:rsidR="00256525" w:rsidRPr="00267BCC" w:rsidRDefault="00256525" w:rsidP="00267BCC">
      <w:pPr>
        <w:tabs>
          <w:tab w:val="num" w:pos="709"/>
        </w:tabs>
        <w:jc w:val="both"/>
        <w:rPr>
          <w:rFonts w:eastAsia="Calibri"/>
          <w:lang w:val="lv-LV" w:eastAsia="en-US"/>
        </w:rPr>
      </w:pPr>
    </w:p>
    <w:p w14:paraId="49640DE6" w14:textId="77777777" w:rsidR="00CF4E82" w:rsidRPr="00267BCC" w:rsidRDefault="00256525" w:rsidP="00267BCC">
      <w:pPr>
        <w:jc w:val="right"/>
        <w:rPr>
          <w:lang w:val="lv-LV" w:eastAsia="en-US"/>
        </w:rPr>
      </w:pPr>
      <w:r w:rsidRPr="00267BCC">
        <w:rPr>
          <w:lang w:val="lv-LV" w:eastAsia="en-US"/>
        </w:rPr>
        <w:t>13.tabula</w:t>
      </w:r>
    </w:p>
    <w:p w14:paraId="49640DE7" w14:textId="77777777" w:rsidR="00256525" w:rsidRPr="00267BCC" w:rsidRDefault="00256525" w:rsidP="00267BCC">
      <w:pPr>
        <w:rPr>
          <w:lang w:val="lv-LV" w:eastAsia="en-US"/>
        </w:rPr>
      </w:pPr>
    </w:p>
    <w:tbl>
      <w:tblPr>
        <w:tblStyle w:val="TableGrid1"/>
        <w:tblW w:w="5000" w:type="pct"/>
        <w:tblLook w:val="00A0" w:firstRow="1" w:lastRow="0" w:firstColumn="1" w:lastColumn="0" w:noHBand="0" w:noVBand="0"/>
      </w:tblPr>
      <w:tblGrid>
        <w:gridCol w:w="3542"/>
        <w:gridCol w:w="1911"/>
        <w:gridCol w:w="1904"/>
        <w:gridCol w:w="1904"/>
        <w:gridCol w:w="26"/>
      </w:tblGrid>
      <w:tr w:rsidR="005B5188" w:rsidRPr="009611F8" w14:paraId="49640DEA" w14:textId="77777777" w:rsidTr="008613BB">
        <w:trPr>
          <w:gridAfter w:val="1"/>
          <w:wAfter w:w="14" w:type="pct"/>
          <w:trHeight w:val="263"/>
        </w:trPr>
        <w:tc>
          <w:tcPr>
            <w:tcW w:w="1907" w:type="pct"/>
            <w:vMerge w:val="restart"/>
          </w:tcPr>
          <w:p w14:paraId="49640DE8" w14:textId="77777777" w:rsidR="005B5188" w:rsidRPr="009611F8" w:rsidRDefault="005B5188" w:rsidP="008613BB">
            <w:pPr>
              <w:rPr>
                <w:lang w:val="lv-LV"/>
              </w:rPr>
            </w:pPr>
          </w:p>
        </w:tc>
        <w:tc>
          <w:tcPr>
            <w:tcW w:w="3079" w:type="pct"/>
            <w:gridSpan w:val="3"/>
            <w:vAlign w:val="center"/>
          </w:tcPr>
          <w:p w14:paraId="49640DE9" w14:textId="77777777" w:rsidR="005B5188" w:rsidRPr="009611F8" w:rsidRDefault="005B5188" w:rsidP="008613BB">
            <w:pPr>
              <w:jc w:val="center"/>
              <w:rPr>
                <w:b/>
                <w:lang w:val="lv-LV"/>
              </w:rPr>
            </w:pPr>
            <w:r>
              <w:rPr>
                <w:b/>
                <w:lang w:val="lv-LV"/>
              </w:rPr>
              <w:t>Turpmākie trīs gadi (</w:t>
            </w:r>
            <w:r w:rsidRPr="009611F8">
              <w:rPr>
                <w:b/>
                <w:lang w:val="lv-LV"/>
              </w:rPr>
              <w:t xml:space="preserve"> EUR)</w:t>
            </w:r>
          </w:p>
        </w:tc>
      </w:tr>
      <w:tr w:rsidR="005B5188" w:rsidRPr="005C766A" w14:paraId="49640DEF" w14:textId="77777777" w:rsidTr="008613BB">
        <w:trPr>
          <w:gridAfter w:val="1"/>
          <w:wAfter w:w="14" w:type="pct"/>
          <w:trHeight w:val="138"/>
        </w:trPr>
        <w:tc>
          <w:tcPr>
            <w:tcW w:w="1907" w:type="pct"/>
            <w:vMerge/>
          </w:tcPr>
          <w:p w14:paraId="49640DEB" w14:textId="77777777" w:rsidR="005B5188" w:rsidRPr="009611F8" w:rsidRDefault="005B5188" w:rsidP="008613BB">
            <w:pPr>
              <w:rPr>
                <w:lang w:val="lv-LV"/>
              </w:rPr>
            </w:pPr>
          </w:p>
        </w:tc>
        <w:tc>
          <w:tcPr>
            <w:tcW w:w="1029" w:type="pct"/>
            <w:vAlign w:val="center"/>
          </w:tcPr>
          <w:p w14:paraId="49640DEC" w14:textId="77777777" w:rsidR="005B5188" w:rsidRPr="005C766A" w:rsidRDefault="005B5188" w:rsidP="008613BB">
            <w:pPr>
              <w:jc w:val="center"/>
              <w:rPr>
                <w:b/>
                <w:lang w:val="lv-LV"/>
              </w:rPr>
            </w:pPr>
            <w:r w:rsidRPr="005C766A">
              <w:rPr>
                <w:b/>
                <w:lang w:val="lv-LV"/>
              </w:rPr>
              <w:t>2015.</w:t>
            </w:r>
          </w:p>
        </w:tc>
        <w:tc>
          <w:tcPr>
            <w:tcW w:w="1025" w:type="pct"/>
            <w:vAlign w:val="center"/>
          </w:tcPr>
          <w:p w14:paraId="49640DED" w14:textId="77777777" w:rsidR="005B5188" w:rsidRPr="005C766A" w:rsidRDefault="005B5188" w:rsidP="008613BB">
            <w:pPr>
              <w:jc w:val="center"/>
              <w:rPr>
                <w:b/>
                <w:lang w:val="lv-LV"/>
              </w:rPr>
            </w:pPr>
            <w:r w:rsidRPr="005C766A">
              <w:rPr>
                <w:b/>
                <w:lang w:val="lv-LV"/>
              </w:rPr>
              <w:t>2016.</w:t>
            </w:r>
          </w:p>
        </w:tc>
        <w:tc>
          <w:tcPr>
            <w:tcW w:w="1025" w:type="pct"/>
            <w:vAlign w:val="center"/>
          </w:tcPr>
          <w:p w14:paraId="49640DEE" w14:textId="77777777" w:rsidR="005B5188" w:rsidRPr="005C766A" w:rsidRDefault="005B5188" w:rsidP="008613BB">
            <w:pPr>
              <w:jc w:val="center"/>
              <w:rPr>
                <w:b/>
                <w:lang w:val="lv-LV"/>
              </w:rPr>
            </w:pPr>
            <w:r w:rsidRPr="005C766A">
              <w:rPr>
                <w:b/>
                <w:lang w:val="lv-LV"/>
              </w:rPr>
              <w:t>2017.</w:t>
            </w:r>
          </w:p>
        </w:tc>
      </w:tr>
      <w:tr w:rsidR="005B5188" w:rsidRPr="005C766A" w14:paraId="49640DF4" w14:textId="77777777" w:rsidTr="008613BB">
        <w:trPr>
          <w:gridAfter w:val="1"/>
          <w:wAfter w:w="14" w:type="pct"/>
          <w:trHeight w:val="552"/>
        </w:trPr>
        <w:tc>
          <w:tcPr>
            <w:tcW w:w="1907" w:type="pct"/>
            <w:vAlign w:val="center"/>
          </w:tcPr>
          <w:p w14:paraId="49640DF0" w14:textId="77777777" w:rsidR="005B5188" w:rsidRPr="009611F8" w:rsidRDefault="005B5188" w:rsidP="008613BB">
            <w:pPr>
              <w:rPr>
                <w:lang w:val="lv-LV"/>
              </w:rPr>
            </w:pPr>
            <w:r w:rsidRPr="009611F8">
              <w:rPr>
                <w:lang w:val="lv-LV"/>
              </w:rPr>
              <w:t>Kopējās izmaiņas budžeta ieņēmumos t.sk.:</w:t>
            </w:r>
          </w:p>
        </w:tc>
        <w:tc>
          <w:tcPr>
            <w:tcW w:w="1029" w:type="pct"/>
            <w:vAlign w:val="center"/>
          </w:tcPr>
          <w:p w14:paraId="49640DF1" w14:textId="77777777" w:rsidR="005B5188" w:rsidRPr="005C766A" w:rsidRDefault="00C9302F" w:rsidP="008613BB">
            <w:pPr>
              <w:jc w:val="center"/>
              <w:rPr>
                <w:lang w:val="lv-LV"/>
              </w:rPr>
            </w:pPr>
            <w:r w:rsidRPr="005C766A">
              <w:rPr>
                <w:lang w:val="lv-LV"/>
              </w:rPr>
              <w:t>4 300 000</w:t>
            </w:r>
          </w:p>
        </w:tc>
        <w:tc>
          <w:tcPr>
            <w:tcW w:w="1025" w:type="pct"/>
            <w:vAlign w:val="center"/>
          </w:tcPr>
          <w:p w14:paraId="49640DF2" w14:textId="77777777" w:rsidR="005B5188" w:rsidRPr="005C766A" w:rsidRDefault="00C9302F" w:rsidP="008613BB">
            <w:pPr>
              <w:jc w:val="center"/>
              <w:rPr>
                <w:lang w:val="lv-LV"/>
              </w:rPr>
            </w:pPr>
            <w:r w:rsidRPr="005C766A">
              <w:rPr>
                <w:lang w:val="lv-LV"/>
              </w:rPr>
              <w:t>21 700 000</w:t>
            </w:r>
          </w:p>
        </w:tc>
        <w:tc>
          <w:tcPr>
            <w:tcW w:w="1025" w:type="pct"/>
            <w:vAlign w:val="center"/>
          </w:tcPr>
          <w:p w14:paraId="49640DF3" w14:textId="77777777" w:rsidR="005B5188" w:rsidRPr="005C766A" w:rsidRDefault="00C9302F" w:rsidP="008613BB">
            <w:pPr>
              <w:jc w:val="center"/>
              <w:rPr>
                <w:lang w:val="lv-LV"/>
              </w:rPr>
            </w:pPr>
            <w:r w:rsidRPr="005C766A">
              <w:rPr>
                <w:lang w:val="lv-LV"/>
              </w:rPr>
              <w:t>21 700 000</w:t>
            </w:r>
          </w:p>
        </w:tc>
      </w:tr>
      <w:tr w:rsidR="005B5188" w:rsidRPr="005C766A" w14:paraId="49640DF9" w14:textId="77777777" w:rsidTr="008613BB">
        <w:trPr>
          <w:gridAfter w:val="1"/>
          <w:wAfter w:w="14" w:type="pct"/>
          <w:trHeight w:val="552"/>
        </w:trPr>
        <w:tc>
          <w:tcPr>
            <w:tcW w:w="1907" w:type="pct"/>
            <w:vAlign w:val="center"/>
          </w:tcPr>
          <w:p w14:paraId="49640DF5" w14:textId="77777777" w:rsidR="005B5188" w:rsidRPr="009611F8" w:rsidRDefault="005B5188" w:rsidP="008613BB">
            <w:pPr>
              <w:rPr>
                <w:lang w:val="lv-LV"/>
              </w:rPr>
            </w:pPr>
            <w:r w:rsidRPr="009611F8">
              <w:rPr>
                <w:lang w:val="lv-LV"/>
              </w:rPr>
              <w:t>Izmaiņas valsts budžeta ieņēmumos</w:t>
            </w:r>
          </w:p>
        </w:tc>
        <w:tc>
          <w:tcPr>
            <w:tcW w:w="1029" w:type="pct"/>
            <w:vAlign w:val="center"/>
          </w:tcPr>
          <w:p w14:paraId="49640DF6" w14:textId="77777777" w:rsidR="005B5188" w:rsidRPr="005C766A" w:rsidRDefault="00C9302F" w:rsidP="008613BB">
            <w:pPr>
              <w:jc w:val="center"/>
              <w:rPr>
                <w:lang w:val="lv-LV"/>
              </w:rPr>
            </w:pPr>
            <w:r w:rsidRPr="005C766A">
              <w:rPr>
                <w:lang w:val="lv-LV"/>
              </w:rPr>
              <w:t>4 300 000</w:t>
            </w:r>
          </w:p>
        </w:tc>
        <w:tc>
          <w:tcPr>
            <w:tcW w:w="1025" w:type="pct"/>
            <w:vAlign w:val="center"/>
          </w:tcPr>
          <w:p w14:paraId="49640DF7" w14:textId="77777777" w:rsidR="005B5188" w:rsidRPr="005C766A" w:rsidRDefault="00C9302F" w:rsidP="008613BB">
            <w:pPr>
              <w:jc w:val="center"/>
              <w:rPr>
                <w:lang w:val="lv-LV"/>
              </w:rPr>
            </w:pPr>
            <w:r w:rsidRPr="005C766A">
              <w:rPr>
                <w:lang w:val="lv-LV"/>
              </w:rPr>
              <w:t>21 700 000</w:t>
            </w:r>
          </w:p>
        </w:tc>
        <w:tc>
          <w:tcPr>
            <w:tcW w:w="1025" w:type="pct"/>
            <w:vAlign w:val="center"/>
          </w:tcPr>
          <w:p w14:paraId="49640DF8" w14:textId="77777777" w:rsidR="005B5188" w:rsidRPr="005C766A" w:rsidRDefault="00C9302F" w:rsidP="008613BB">
            <w:pPr>
              <w:jc w:val="center"/>
              <w:rPr>
                <w:lang w:val="lv-LV"/>
              </w:rPr>
            </w:pPr>
            <w:r w:rsidRPr="005C766A">
              <w:rPr>
                <w:lang w:val="lv-LV"/>
              </w:rPr>
              <w:t>21 700 000</w:t>
            </w:r>
          </w:p>
        </w:tc>
      </w:tr>
      <w:tr w:rsidR="005B5188" w:rsidRPr="005C766A" w14:paraId="49640DFE" w14:textId="77777777" w:rsidTr="008613BB">
        <w:trPr>
          <w:gridAfter w:val="1"/>
          <w:wAfter w:w="14" w:type="pct"/>
          <w:trHeight w:val="552"/>
        </w:trPr>
        <w:tc>
          <w:tcPr>
            <w:tcW w:w="1907" w:type="pct"/>
            <w:vAlign w:val="center"/>
          </w:tcPr>
          <w:p w14:paraId="49640DFA" w14:textId="77777777" w:rsidR="005B5188" w:rsidRPr="009611F8" w:rsidRDefault="005B5188" w:rsidP="008613BB">
            <w:pPr>
              <w:rPr>
                <w:lang w:val="lv-LV"/>
              </w:rPr>
            </w:pPr>
            <w:r w:rsidRPr="009611F8">
              <w:rPr>
                <w:lang w:val="lv-LV"/>
              </w:rPr>
              <w:t>Izmaiņas pašvaldību budžeta ieņēmumos</w:t>
            </w:r>
          </w:p>
        </w:tc>
        <w:tc>
          <w:tcPr>
            <w:tcW w:w="1029" w:type="pct"/>
            <w:vAlign w:val="center"/>
          </w:tcPr>
          <w:p w14:paraId="49640DFB" w14:textId="77777777" w:rsidR="005B5188" w:rsidRPr="005C766A" w:rsidRDefault="005B5188" w:rsidP="008613BB">
            <w:pPr>
              <w:jc w:val="center"/>
              <w:rPr>
                <w:lang w:val="lv-LV"/>
              </w:rPr>
            </w:pPr>
            <w:r w:rsidRPr="005C766A">
              <w:rPr>
                <w:lang w:val="lv-LV"/>
              </w:rPr>
              <w:t>0</w:t>
            </w:r>
          </w:p>
        </w:tc>
        <w:tc>
          <w:tcPr>
            <w:tcW w:w="1025" w:type="pct"/>
            <w:vAlign w:val="center"/>
          </w:tcPr>
          <w:p w14:paraId="49640DFC" w14:textId="77777777" w:rsidR="005B5188" w:rsidRPr="005C766A" w:rsidRDefault="005B5188" w:rsidP="008613BB">
            <w:pPr>
              <w:jc w:val="center"/>
              <w:rPr>
                <w:lang w:val="lv-LV"/>
              </w:rPr>
            </w:pPr>
            <w:r w:rsidRPr="005C766A">
              <w:rPr>
                <w:lang w:val="lv-LV"/>
              </w:rPr>
              <w:t>0</w:t>
            </w:r>
          </w:p>
        </w:tc>
        <w:tc>
          <w:tcPr>
            <w:tcW w:w="1025" w:type="pct"/>
            <w:vAlign w:val="center"/>
          </w:tcPr>
          <w:p w14:paraId="49640DFD" w14:textId="77777777" w:rsidR="005B5188" w:rsidRPr="005C766A" w:rsidRDefault="005B5188" w:rsidP="008613BB">
            <w:pPr>
              <w:jc w:val="center"/>
              <w:rPr>
                <w:lang w:val="lv-LV"/>
              </w:rPr>
            </w:pPr>
            <w:r w:rsidRPr="005C766A">
              <w:rPr>
                <w:lang w:val="lv-LV"/>
              </w:rPr>
              <w:t>0</w:t>
            </w:r>
          </w:p>
        </w:tc>
      </w:tr>
      <w:tr w:rsidR="005B5188" w:rsidRPr="005C766A" w14:paraId="49640E03" w14:textId="77777777" w:rsidTr="008613BB">
        <w:trPr>
          <w:gridAfter w:val="1"/>
          <w:wAfter w:w="14" w:type="pct"/>
          <w:trHeight w:val="552"/>
        </w:trPr>
        <w:tc>
          <w:tcPr>
            <w:tcW w:w="1907" w:type="pct"/>
            <w:vAlign w:val="center"/>
          </w:tcPr>
          <w:p w14:paraId="49640DFF" w14:textId="77777777" w:rsidR="005B5188" w:rsidRPr="009611F8" w:rsidRDefault="005B5188" w:rsidP="008613BB">
            <w:pPr>
              <w:rPr>
                <w:lang w:val="lv-LV"/>
              </w:rPr>
            </w:pPr>
            <w:r w:rsidRPr="009611F8">
              <w:rPr>
                <w:lang w:val="lv-LV"/>
              </w:rPr>
              <w:t>Kopējās izmaiņas budžeta izdevumos t.sk.:</w:t>
            </w:r>
          </w:p>
        </w:tc>
        <w:tc>
          <w:tcPr>
            <w:tcW w:w="1029" w:type="pct"/>
            <w:vAlign w:val="center"/>
          </w:tcPr>
          <w:p w14:paraId="49640E00" w14:textId="77777777" w:rsidR="005B5188" w:rsidRPr="005C766A" w:rsidRDefault="005B5188" w:rsidP="008613BB">
            <w:pPr>
              <w:jc w:val="center"/>
              <w:rPr>
                <w:lang w:val="lv-LV"/>
              </w:rPr>
            </w:pPr>
            <w:r w:rsidRPr="005C766A">
              <w:rPr>
                <w:lang w:val="lv-LV"/>
              </w:rPr>
              <w:t>4 300 000</w:t>
            </w:r>
          </w:p>
        </w:tc>
        <w:tc>
          <w:tcPr>
            <w:tcW w:w="1025" w:type="pct"/>
            <w:vAlign w:val="center"/>
          </w:tcPr>
          <w:p w14:paraId="49640E01" w14:textId="77777777" w:rsidR="005B5188" w:rsidRPr="005C766A" w:rsidRDefault="005B5188" w:rsidP="008613BB">
            <w:pPr>
              <w:jc w:val="center"/>
              <w:rPr>
                <w:lang w:val="lv-LV"/>
              </w:rPr>
            </w:pPr>
            <w:r w:rsidRPr="005C766A">
              <w:rPr>
                <w:lang w:val="lv-LV"/>
              </w:rPr>
              <w:t>21 800 000</w:t>
            </w:r>
          </w:p>
        </w:tc>
        <w:tc>
          <w:tcPr>
            <w:tcW w:w="1025" w:type="pct"/>
            <w:vAlign w:val="center"/>
          </w:tcPr>
          <w:p w14:paraId="49640E02" w14:textId="77777777" w:rsidR="005B5188" w:rsidRPr="005C766A" w:rsidRDefault="005B5188" w:rsidP="008613BB">
            <w:pPr>
              <w:jc w:val="center"/>
              <w:rPr>
                <w:lang w:val="lv-LV"/>
              </w:rPr>
            </w:pPr>
            <w:r w:rsidRPr="005C766A">
              <w:rPr>
                <w:lang w:val="lv-LV"/>
              </w:rPr>
              <w:t>21 795 100</w:t>
            </w:r>
          </w:p>
        </w:tc>
      </w:tr>
      <w:tr w:rsidR="005B5188" w:rsidRPr="005C766A" w14:paraId="49640E08" w14:textId="77777777" w:rsidTr="008613BB">
        <w:trPr>
          <w:gridAfter w:val="1"/>
          <w:wAfter w:w="14" w:type="pct"/>
          <w:trHeight w:val="552"/>
        </w:trPr>
        <w:tc>
          <w:tcPr>
            <w:tcW w:w="1907" w:type="pct"/>
            <w:vAlign w:val="center"/>
          </w:tcPr>
          <w:p w14:paraId="49640E04" w14:textId="77777777" w:rsidR="005B5188" w:rsidRPr="009611F8" w:rsidRDefault="005B5188" w:rsidP="008613BB">
            <w:pPr>
              <w:rPr>
                <w:lang w:val="lv-LV"/>
              </w:rPr>
            </w:pPr>
            <w:r w:rsidRPr="009611F8">
              <w:rPr>
                <w:lang w:val="lv-LV"/>
              </w:rPr>
              <w:t>Izmaiņas valsts budžeta izdevumos</w:t>
            </w:r>
          </w:p>
        </w:tc>
        <w:tc>
          <w:tcPr>
            <w:tcW w:w="1029" w:type="pct"/>
            <w:vAlign w:val="center"/>
          </w:tcPr>
          <w:p w14:paraId="49640E05" w14:textId="77777777" w:rsidR="005B5188" w:rsidRPr="005C766A" w:rsidRDefault="005B5188" w:rsidP="008613BB">
            <w:pPr>
              <w:jc w:val="center"/>
              <w:rPr>
                <w:lang w:val="lv-LV"/>
              </w:rPr>
            </w:pPr>
            <w:r w:rsidRPr="005C766A">
              <w:rPr>
                <w:lang w:val="lv-LV"/>
              </w:rPr>
              <w:t>4 300 000</w:t>
            </w:r>
          </w:p>
        </w:tc>
        <w:tc>
          <w:tcPr>
            <w:tcW w:w="1025" w:type="pct"/>
            <w:vAlign w:val="center"/>
          </w:tcPr>
          <w:p w14:paraId="49640E06" w14:textId="77777777" w:rsidR="005B5188" w:rsidRPr="005C766A" w:rsidRDefault="005B5188" w:rsidP="008613BB">
            <w:pPr>
              <w:jc w:val="center"/>
              <w:rPr>
                <w:lang w:val="lv-LV"/>
              </w:rPr>
            </w:pPr>
            <w:r w:rsidRPr="005C766A">
              <w:rPr>
                <w:lang w:val="lv-LV"/>
              </w:rPr>
              <w:t>21 800 000</w:t>
            </w:r>
          </w:p>
        </w:tc>
        <w:tc>
          <w:tcPr>
            <w:tcW w:w="1025" w:type="pct"/>
            <w:vAlign w:val="center"/>
          </w:tcPr>
          <w:p w14:paraId="49640E07" w14:textId="77777777" w:rsidR="005B5188" w:rsidRPr="005C766A" w:rsidRDefault="005B5188" w:rsidP="008613BB">
            <w:pPr>
              <w:jc w:val="center"/>
              <w:rPr>
                <w:lang w:val="lv-LV"/>
              </w:rPr>
            </w:pPr>
            <w:r w:rsidRPr="005C766A">
              <w:rPr>
                <w:lang w:val="lv-LV"/>
              </w:rPr>
              <w:t>21 795 100</w:t>
            </w:r>
          </w:p>
        </w:tc>
      </w:tr>
      <w:tr w:rsidR="005B5188" w:rsidRPr="005C766A" w14:paraId="49640E0D" w14:textId="77777777" w:rsidTr="008613BB">
        <w:trPr>
          <w:gridAfter w:val="1"/>
          <w:wAfter w:w="14" w:type="pct"/>
          <w:trHeight w:val="552"/>
        </w:trPr>
        <w:tc>
          <w:tcPr>
            <w:tcW w:w="1907" w:type="pct"/>
            <w:vAlign w:val="center"/>
          </w:tcPr>
          <w:p w14:paraId="49640E09" w14:textId="77777777" w:rsidR="005B5188" w:rsidRPr="009611F8" w:rsidRDefault="005B5188" w:rsidP="008613BB">
            <w:pPr>
              <w:rPr>
                <w:lang w:val="lv-LV"/>
              </w:rPr>
            </w:pPr>
            <w:r w:rsidRPr="009611F8">
              <w:rPr>
                <w:lang w:val="lv-LV"/>
              </w:rPr>
              <w:t>Izmaiņas pašvaldību budžeta izdevumos</w:t>
            </w:r>
          </w:p>
        </w:tc>
        <w:tc>
          <w:tcPr>
            <w:tcW w:w="1029" w:type="pct"/>
            <w:vAlign w:val="center"/>
          </w:tcPr>
          <w:p w14:paraId="49640E0A" w14:textId="77777777" w:rsidR="005B5188" w:rsidRPr="005C766A" w:rsidRDefault="005B5188" w:rsidP="008613BB">
            <w:pPr>
              <w:jc w:val="center"/>
              <w:rPr>
                <w:lang w:val="lv-LV"/>
              </w:rPr>
            </w:pPr>
            <w:r w:rsidRPr="005C766A">
              <w:rPr>
                <w:lang w:val="lv-LV"/>
              </w:rPr>
              <w:t>0</w:t>
            </w:r>
          </w:p>
        </w:tc>
        <w:tc>
          <w:tcPr>
            <w:tcW w:w="1025" w:type="pct"/>
            <w:vAlign w:val="center"/>
          </w:tcPr>
          <w:p w14:paraId="49640E0B" w14:textId="77777777" w:rsidR="005B5188" w:rsidRPr="005C766A" w:rsidRDefault="005B5188" w:rsidP="008613BB">
            <w:pPr>
              <w:jc w:val="center"/>
              <w:rPr>
                <w:lang w:val="lv-LV"/>
              </w:rPr>
            </w:pPr>
            <w:r w:rsidRPr="005C766A">
              <w:rPr>
                <w:lang w:val="lv-LV"/>
              </w:rPr>
              <w:t>0</w:t>
            </w:r>
          </w:p>
        </w:tc>
        <w:tc>
          <w:tcPr>
            <w:tcW w:w="1025" w:type="pct"/>
            <w:vAlign w:val="center"/>
          </w:tcPr>
          <w:p w14:paraId="49640E0C" w14:textId="77777777" w:rsidR="005B5188" w:rsidRPr="005C766A" w:rsidRDefault="005B5188" w:rsidP="008613BB">
            <w:pPr>
              <w:jc w:val="center"/>
              <w:rPr>
                <w:lang w:val="lv-LV"/>
              </w:rPr>
            </w:pPr>
            <w:r w:rsidRPr="005C766A">
              <w:rPr>
                <w:lang w:val="lv-LV"/>
              </w:rPr>
              <w:t>0</w:t>
            </w:r>
          </w:p>
        </w:tc>
      </w:tr>
      <w:tr w:rsidR="005B5188" w:rsidRPr="005C766A" w14:paraId="49640E12" w14:textId="77777777" w:rsidTr="008613BB">
        <w:trPr>
          <w:gridAfter w:val="1"/>
          <w:wAfter w:w="14" w:type="pct"/>
          <w:trHeight w:val="239"/>
        </w:trPr>
        <w:tc>
          <w:tcPr>
            <w:tcW w:w="1907" w:type="pct"/>
            <w:vAlign w:val="center"/>
          </w:tcPr>
          <w:p w14:paraId="49640E0E" w14:textId="77777777" w:rsidR="005B5188" w:rsidRPr="009611F8" w:rsidRDefault="005B5188" w:rsidP="008613BB">
            <w:pPr>
              <w:rPr>
                <w:lang w:val="lv-LV"/>
              </w:rPr>
            </w:pPr>
            <w:r w:rsidRPr="009611F8">
              <w:rPr>
                <w:lang w:val="lv-LV"/>
              </w:rPr>
              <w:t>Kopējā finansiālā ietekme:</w:t>
            </w:r>
          </w:p>
        </w:tc>
        <w:tc>
          <w:tcPr>
            <w:tcW w:w="1029" w:type="pct"/>
            <w:vAlign w:val="center"/>
          </w:tcPr>
          <w:p w14:paraId="49640E0F" w14:textId="77777777" w:rsidR="005B5188" w:rsidRPr="005C766A" w:rsidRDefault="005B5188" w:rsidP="008613BB">
            <w:pPr>
              <w:jc w:val="center"/>
              <w:rPr>
                <w:lang w:val="lv-LV"/>
              </w:rPr>
            </w:pPr>
            <w:r w:rsidRPr="005C766A">
              <w:rPr>
                <w:lang w:val="lv-LV"/>
              </w:rPr>
              <w:t>0</w:t>
            </w:r>
          </w:p>
        </w:tc>
        <w:tc>
          <w:tcPr>
            <w:tcW w:w="1025" w:type="pct"/>
            <w:vAlign w:val="center"/>
          </w:tcPr>
          <w:p w14:paraId="49640E10" w14:textId="77777777" w:rsidR="005B5188" w:rsidRPr="005C766A" w:rsidRDefault="00C9302F" w:rsidP="008613BB">
            <w:pPr>
              <w:jc w:val="center"/>
              <w:rPr>
                <w:lang w:val="lv-LV"/>
              </w:rPr>
            </w:pPr>
            <w:r w:rsidRPr="005C766A">
              <w:rPr>
                <w:lang w:val="lv-LV"/>
              </w:rPr>
              <w:t>-1</w:t>
            </w:r>
            <w:r w:rsidR="005B5188" w:rsidRPr="005C766A">
              <w:rPr>
                <w:lang w:val="lv-LV"/>
              </w:rPr>
              <w:t>00 000</w:t>
            </w:r>
          </w:p>
        </w:tc>
        <w:tc>
          <w:tcPr>
            <w:tcW w:w="1025" w:type="pct"/>
            <w:vAlign w:val="center"/>
          </w:tcPr>
          <w:p w14:paraId="49640E11" w14:textId="77777777" w:rsidR="005B5188" w:rsidRPr="005C766A" w:rsidRDefault="00C9302F" w:rsidP="008613BB">
            <w:pPr>
              <w:jc w:val="center"/>
              <w:rPr>
                <w:lang w:val="lv-LV"/>
              </w:rPr>
            </w:pPr>
            <w:r w:rsidRPr="005C766A">
              <w:rPr>
                <w:lang w:val="lv-LV"/>
              </w:rPr>
              <w:t>-</w:t>
            </w:r>
            <w:r w:rsidR="005B5188" w:rsidRPr="005C766A">
              <w:rPr>
                <w:lang w:val="lv-LV"/>
              </w:rPr>
              <w:t>95 100</w:t>
            </w:r>
          </w:p>
        </w:tc>
      </w:tr>
      <w:tr w:rsidR="005B5188" w:rsidRPr="005C766A" w14:paraId="49640E17" w14:textId="77777777" w:rsidTr="008613BB">
        <w:trPr>
          <w:gridAfter w:val="1"/>
          <w:wAfter w:w="14" w:type="pct"/>
          <w:trHeight w:val="552"/>
        </w:trPr>
        <w:tc>
          <w:tcPr>
            <w:tcW w:w="1907" w:type="pct"/>
            <w:vAlign w:val="center"/>
          </w:tcPr>
          <w:p w14:paraId="49640E13" w14:textId="77777777" w:rsidR="005B5188" w:rsidRPr="009611F8" w:rsidRDefault="005B5188" w:rsidP="008613BB">
            <w:pPr>
              <w:rPr>
                <w:lang w:val="lv-LV"/>
              </w:rPr>
            </w:pPr>
            <w:r w:rsidRPr="009611F8">
              <w:rPr>
                <w:lang w:val="lv-LV"/>
              </w:rPr>
              <w:t>Finansiālā ietekme uz valsts budžetu</w:t>
            </w:r>
          </w:p>
        </w:tc>
        <w:tc>
          <w:tcPr>
            <w:tcW w:w="1029" w:type="pct"/>
            <w:vAlign w:val="center"/>
          </w:tcPr>
          <w:p w14:paraId="49640E14" w14:textId="77777777" w:rsidR="005B5188" w:rsidRPr="005C766A" w:rsidRDefault="005B5188" w:rsidP="008613BB">
            <w:pPr>
              <w:jc w:val="center"/>
              <w:rPr>
                <w:lang w:val="lv-LV"/>
              </w:rPr>
            </w:pPr>
            <w:r w:rsidRPr="005C766A">
              <w:rPr>
                <w:lang w:val="lv-LV"/>
              </w:rPr>
              <w:t>0</w:t>
            </w:r>
          </w:p>
        </w:tc>
        <w:tc>
          <w:tcPr>
            <w:tcW w:w="1025" w:type="pct"/>
            <w:vAlign w:val="center"/>
          </w:tcPr>
          <w:p w14:paraId="49640E15" w14:textId="77777777" w:rsidR="005B5188" w:rsidRPr="005C766A" w:rsidRDefault="00C9302F" w:rsidP="008613BB">
            <w:pPr>
              <w:jc w:val="center"/>
              <w:rPr>
                <w:lang w:val="lv-LV"/>
              </w:rPr>
            </w:pPr>
            <w:r w:rsidRPr="005C766A">
              <w:rPr>
                <w:lang w:val="lv-LV"/>
              </w:rPr>
              <w:t>-1</w:t>
            </w:r>
            <w:r w:rsidR="005B5188" w:rsidRPr="005C766A">
              <w:rPr>
                <w:lang w:val="lv-LV"/>
              </w:rPr>
              <w:t>00 000</w:t>
            </w:r>
          </w:p>
        </w:tc>
        <w:tc>
          <w:tcPr>
            <w:tcW w:w="1025" w:type="pct"/>
            <w:vAlign w:val="center"/>
          </w:tcPr>
          <w:p w14:paraId="49640E16" w14:textId="77777777" w:rsidR="005B5188" w:rsidRPr="005C766A" w:rsidRDefault="00C9302F" w:rsidP="008613BB">
            <w:pPr>
              <w:jc w:val="center"/>
              <w:rPr>
                <w:lang w:val="lv-LV"/>
              </w:rPr>
            </w:pPr>
            <w:r w:rsidRPr="005C766A">
              <w:rPr>
                <w:lang w:val="lv-LV"/>
              </w:rPr>
              <w:t>-</w:t>
            </w:r>
            <w:r w:rsidR="005B5188" w:rsidRPr="005C766A">
              <w:rPr>
                <w:lang w:val="lv-LV"/>
              </w:rPr>
              <w:t>95 100</w:t>
            </w:r>
          </w:p>
        </w:tc>
      </w:tr>
      <w:tr w:rsidR="005B5188" w:rsidRPr="005C766A" w14:paraId="49640E1C" w14:textId="77777777" w:rsidTr="008613BB">
        <w:trPr>
          <w:gridAfter w:val="1"/>
          <w:wAfter w:w="14" w:type="pct"/>
          <w:trHeight w:val="552"/>
        </w:trPr>
        <w:tc>
          <w:tcPr>
            <w:tcW w:w="1907" w:type="pct"/>
            <w:vAlign w:val="center"/>
          </w:tcPr>
          <w:p w14:paraId="49640E18" w14:textId="77777777" w:rsidR="005B5188" w:rsidRPr="009611F8" w:rsidRDefault="005B5188" w:rsidP="008613BB">
            <w:pPr>
              <w:rPr>
                <w:lang w:val="lv-LV"/>
              </w:rPr>
            </w:pPr>
            <w:r w:rsidRPr="009611F8">
              <w:rPr>
                <w:lang w:val="lv-LV"/>
              </w:rPr>
              <w:t>Finansiālā ietekme uz pašvaldību budžetu</w:t>
            </w:r>
          </w:p>
        </w:tc>
        <w:tc>
          <w:tcPr>
            <w:tcW w:w="1029" w:type="pct"/>
            <w:vAlign w:val="center"/>
          </w:tcPr>
          <w:p w14:paraId="49640E19" w14:textId="77777777" w:rsidR="005B5188" w:rsidRPr="005C766A" w:rsidRDefault="005B5188" w:rsidP="008613BB">
            <w:pPr>
              <w:jc w:val="center"/>
              <w:rPr>
                <w:lang w:val="lv-LV"/>
              </w:rPr>
            </w:pPr>
            <w:r w:rsidRPr="005C766A">
              <w:rPr>
                <w:lang w:val="lv-LV"/>
              </w:rPr>
              <w:t>0</w:t>
            </w:r>
          </w:p>
        </w:tc>
        <w:tc>
          <w:tcPr>
            <w:tcW w:w="1025" w:type="pct"/>
            <w:vAlign w:val="center"/>
          </w:tcPr>
          <w:p w14:paraId="49640E1A" w14:textId="77777777" w:rsidR="005B5188" w:rsidRPr="005C766A" w:rsidRDefault="005B5188" w:rsidP="008613BB">
            <w:pPr>
              <w:jc w:val="center"/>
              <w:rPr>
                <w:lang w:val="lv-LV"/>
              </w:rPr>
            </w:pPr>
            <w:r w:rsidRPr="005C766A">
              <w:rPr>
                <w:lang w:val="lv-LV"/>
              </w:rPr>
              <w:t>0</w:t>
            </w:r>
          </w:p>
        </w:tc>
        <w:tc>
          <w:tcPr>
            <w:tcW w:w="1025" w:type="pct"/>
            <w:vAlign w:val="center"/>
          </w:tcPr>
          <w:p w14:paraId="49640E1B" w14:textId="77777777" w:rsidR="005B5188" w:rsidRPr="005C766A" w:rsidRDefault="005B5188" w:rsidP="008613BB">
            <w:pPr>
              <w:jc w:val="center"/>
              <w:rPr>
                <w:lang w:val="lv-LV"/>
              </w:rPr>
            </w:pPr>
            <w:r w:rsidRPr="005C766A">
              <w:rPr>
                <w:lang w:val="lv-LV"/>
              </w:rPr>
              <w:t>0</w:t>
            </w:r>
          </w:p>
        </w:tc>
      </w:tr>
      <w:tr w:rsidR="005B5188" w:rsidRPr="00085EAA" w14:paraId="49640E25" w14:textId="77777777" w:rsidTr="008613BB">
        <w:tc>
          <w:tcPr>
            <w:tcW w:w="1907" w:type="pct"/>
          </w:tcPr>
          <w:p w14:paraId="49640E1D" w14:textId="77777777" w:rsidR="005B5188" w:rsidRPr="009611F8" w:rsidRDefault="005B5188" w:rsidP="008613BB">
            <w:pPr>
              <w:rPr>
                <w:i/>
                <w:lang w:val="lv-LV"/>
              </w:rPr>
            </w:pPr>
            <w:r w:rsidRPr="009611F8">
              <w:rPr>
                <w:i/>
                <w:lang w:val="lv-LV"/>
              </w:rPr>
              <w:t>Detalizēts ieņēmumu un izdevumu aprēķins</w:t>
            </w:r>
          </w:p>
          <w:p w14:paraId="49640E1E" w14:textId="77777777" w:rsidR="005B5188" w:rsidRPr="00231049" w:rsidRDefault="005B5188" w:rsidP="008613BB">
            <w:pPr>
              <w:rPr>
                <w:i/>
                <w:lang w:val="lv-LV"/>
              </w:rPr>
            </w:pPr>
            <w:r w:rsidRPr="009611F8">
              <w:rPr>
                <w:i/>
                <w:lang w:val="lv-LV"/>
              </w:rPr>
              <w:t>(ja nepieciešams, detalizētu ieņēmumu un izdevumu aprēķinu pievieno politikas plānošanas dokumenta pielikumā. Ietekmi uz valsts un pašvaldību budžetiem norāda atsevišķi valsts un pašvaldību budžetam)</w:t>
            </w:r>
          </w:p>
        </w:tc>
        <w:tc>
          <w:tcPr>
            <w:tcW w:w="3093" w:type="pct"/>
            <w:gridSpan w:val="4"/>
          </w:tcPr>
          <w:p w14:paraId="49640E1F" w14:textId="77777777" w:rsidR="005B5188" w:rsidRPr="005C766A" w:rsidRDefault="005B5188" w:rsidP="008613BB">
            <w:pPr>
              <w:pStyle w:val="naisf"/>
              <w:spacing w:before="0" w:after="0"/>
              <w:ind w:firstLine="0"/>
            </w:pPr>
            <w:r w:rsidRPr="005C766A">
              <w:t>Kopējais ES struktūrfondu finansējums septiņiem gadiem indikatīvi ir 151,85 milj. EUR. Proporcionāli sadalot – 21,7 milj. EUR gadā. Pirmajā gadā tiek plānots apgūt 1/5 no gada summas, jeb 4,3 milj. EUR.</w:t>
            </w:r>
          </w:p>
          <w:p w14:paraId="49640E20" w14:textId="77777777" w:rsidR="005B5188" w:rsidRPr="005C766A" w:rsidRDefault="00C9302F" w:rsidP="008613BB">
            <w:pPr>
              <w:pStyle w:val="naisf"/>
              <w:spacing w:before="0" w:after="0"/>
              <w:ind w:firstLine="0"/>
            </w:pPr>
            <w:r w:rsidRPr="005C766A">
              <w:t>Papildus s</w:t>
            </w:r>
            <w:r w:rsidR="005B5188" w:rsidRPr="005C766A">
              <w:t>ākot ar 2016.gadu</w:t>
            </w:r>
            <w:r w:rsidRPr="005C766A">
              <w:t>, piešķirot finansējumu no valsts budžeta,</w:t>
            </w:r>
            <w:r w:rsidR="005B5188" w:rsidRPr="005C766A">
              <w:t xml:space="preserve"> paredzēts palielināt TAVA aktivitātes radot 4 jaunas amata vietas (kopējās izmaksas pirmajā gadā - 70 000 euro, turpmākajos 65 100 euro) un nodrošinot esošo darbinieku motivāciju (kopējās izmaksas 30 000 euro), ņemot vērā ar kādām privātā tirgus kompetencēm jākonkurē. </w:t>
            </w:r>
          </w:p>
          <w:p w14:paraId="49640E21" w14:textId="77777777" w:rsidR="005B5188" w:rsidRPr="005C766A" w:rsidRDefault="005B5188" w:rsidP="008613BB">
            <w:pPr>
              <w:pStyle w:val="naisf"/>
              <w:spacing w:before="0" w:after="0"/>
              <w:ind w:firstLine="0"/>
            </w:pPr>
            <w:r w:rsidRPr="005C766A">
              <w:t>Četras jaunas amata vietas 70 000 euro, t.sk. precēm un pakalpojumiem 5 100 euro, kapitāliem izdevumiem 4 900 euro (darba vietām (1100eurox4) + 500euro dokumentu skapim), atlīdzībai 60 000 euro.</w:t>
            </w:r>
          </w:p>
          <w:p w14:paraId="49640E22" w14:textId="77777777" w:rsidR="005B5188" w:rsidRPr="005C766A" w:rsidRDefault="005B5188" w:rsidP="008613BB">
            <w:pPr>
              <w:jc w:val="both"/>
              <w:rPr>
                <w:rFonts w:eastAsia="Calibri"/>
                <w:color w:val="1F497D"/>
                <w:lang w:val="lv-LV" w:eastAsia="en-US"/>
              </w:rPr>
            </w:pPr>
            <w:r w:rsidRPr="005C766A">
              <w:rPr>
                <w:rFonts w:eastAsia="Calibri"/>
                <w:lang w:val="lv-LV" w:eastAsia="en-US"/>
              </w:rPr>
              <w:t xml:space="preserve">Darbinieku motivācijai (20 cilvēkiem) 30 000 euro, t.sk. atvaļinājuma pabalsta palielināšana līdz 50% no mēnešalgas – 5 700 euro, 25% piemaksa par aizvietošanu – 1 900 euro, prēmija 60% apmērā no mēnešalgas pēc </w:t>
            </w:r>
            <w:r w:rsidRPr="005C766A">
              <w:rPr>
                <w:rFonts w:eastAsia="Calibri"/>
                <w:lang w:val="lv-LV" w:eastAsia="en-US"/>
              </w:rPr>
              <w:lastRenderedPageBreak/>
              <w:t>darbības rezultātu novērtēšanas</w:t>
            </w:r>
            <w:r w:rsidR="009728D3" w:rsidRPr="005C766A">
              <w:rPr>
                <w:rFonts w:eastAsia="Calibri"/>
                <w:lang w:val="lv-LV" w:eastAsia="en-US"/>
              </w:rPr>
              <w:t xml:space="preserve"> 15 000 euro, </w:t>
            </w:r>
            <w:r w:rsidRPr="005C766A">
              <w:rPr>
                <w:rFonts w:eastAsia="Calibri"/>
                <w:lang w:val="lv-LV" w:eastAsia="en-US"/>
              </w:rPr>
              <w:t>par darba ieguldījumu un darba kvalitāti 7 400 euro.</w:t>
            </w:r>
          </w:p>
          <w:p w14:paraId="49640E23" w14:textId="77777777" w:rsidR="005B5188" w:rsidRPr="005C766A" w:rsidRDefault="005B5188" w:rsidP="008613BB">
            <w:pPr>
              <w:pStyle w:val="naisf"/>
              <w:spacing w:before="0" w:after="0"/>
              <w:ind w:firstLine="0"/>
            </w:pPr>
            <w:r w:rsidRPr="005C766A">
              <w:t xml:space="preserve">Jautājumu par papildu valsts budžeta līdzekļu piešķiršanu 2016.gadā un turpmākajos gados 100 000 euro apmērā skatīt MK kopā ar visu ministriju un centrālo valsts iestāžu jauno politikas iniciatīvu pieprasījumiem valsts budžeta 2016.gadam sagatavošanas procesā. </w:t>
            </w:r>
          </w:p>
          <w:p w14:paraId="49640E24" w14:textId="77777777" w:rsidR="005B5188" w:rsidRPr="005C766A" w:rsidRDefault="005B5188" w:rsidP="008613BB">
            <w:pPr>
              <w:pStyle w:val="naisf"/>
              <w:spacing w:before="0" w:after="0"/>
              <w:ind w:firstLine="0"/>
            </w:pPr>
            <w:r w:rsidRPr="005C766A">
              <w:t>Pašvaldību iespējamais līdzfinansējums 1.pielikumā norādīto ES fondu projektu īstenošanai šobrīd nav zināms.</w:t>
            </w:r>
          </w:p>
        </w:tc>
      </w:tr>
    </w:tbl>
    <w:p w14:paraId="49640E26" w14:textId="77777777" w:rsidR="005B5188" w:rsidRDefault="005B5188" w:rsidP="005B5188">
      <w:pPr>
        <w:rPr>
          <w:rFonts w:eastAsia="Calibri"/>
          <w:lang w:val="lv-LV" w:eastAsia="ja-JP"/>
        </w:rPr>
      </w:pPr>
    </w:p>
    <w:p w14:paraId="49640E27" w14:textId="77777777" w:rsidR="00B233C3" w:rsidRDefault="00B233C3" w:rsidP="00267BCC">
      <w:pPr>
        <w:rPr>
          <w:rFonts w:eastAsia="Calibri"/>
          <w:lang w:val="lv-LV" w:eastAsia="ja-JP"/>
        </w:rPr>
      </w:pPr>
    </w:p>
    <w:p w14:paraId="49640E28" w14:textId="77777777" w:rsidR="00B233C3" w:rsidRDefault="00B233C3" w:rsidP="00267BCC">
      <w:pPr>
        <w:rPr>
          <w:rFonts w:eastAsia="Calibri"/>
          <w:lang w:val="lv-LV" w:eastAsia="ja-JP"/>
        </w:rPr>
      </w:pPr>
    </w:p>
    <w:p w14:paraId="49640E29" w14:textId="77777777" w:rsidR="00B233C3" w:rsidRPr="00267BCC" w:rsidRDefault="00B233C3" w:rsidP="00267BCC">
      <w:pPr>
        <w:rPr>
          <w:rFonts w:eastAsia="Calibri"/>
          <w:lang w:val="lv-LV" w:eastAsia="ja-JP"/>
        </w:rPr>
      </w:pPr>
    </w:p>
    <w:p w14:paraId="49640E2A" w14:textId="77777777" w:rsidR="00783831" w:rsidRPr="00267BCC" w:rsidRDefault="00783831" w:rsidP="00267BCC">
      <w:pPr>
        <w:pStyle w:val="Heading1"/>
        <w:numPr>
          <w:ilvl w:val="0"/>
          <w:numId w:val="24"/>
        </w:numPr>
        <w:rPr>
          <w:rFonts w:eastAsia="Calibri"/>
        </w:rPr>
      </w:pPr>
      <w:bookmarkStart w:id="52" w:name="_Toc381256680"/>
      <w:r w:rsidRPr="00267BCC">
        <w:rPr>
          <w:rFonts w:eastAsia="Calibri"/>
        </w:rPr>
        <w:t>Pārskatu sniegšanas un novērtēšanas kārtība</w:t>
      </w:r>
      <w:bookmarkEnd w:id="51"/>
      <w:bookmarkEnd w:id="52"/>
    </w:p>
    <w:p w14:paraId="49640E2B" w14:textId="77777777" w:rsidR="00B535AB" w:rsidRPr="00267BCC" w:rsidRDefault="00B535AB" w:rsidP="00267BCC">
      <w:pPr>
        <w:pStyle w:val="ListParagraph"/>
        <w:spacing w:line="240" w:lineRule="auto"/>
        <w:ind w:left="0" w:right="-143" w:firstLine="567"/>
        <w:contextualSpacing w:val="0"/>
        <w:jc w:val="both"/>
        <w:rPr>
          <w:rFonts w:ascii="Times New Roman" w:hAnsi="Times New Roman"/>
          <w:sz w:val="24"/>
          <w:szCs w:val="24"/>
          <w:lang w:val="lv-LV"/>
        </w:rPr>
      </w:pPr>
    </w:p>
    <w:p w14:paraId="49640E2C" w14:textId="77777777" w:rsidR="00783831" w:rsidRPr="005C766A" w:rsidRDefault="00783831" w:rsidP="00267BCC">
      <w:pPr>
        <w:pStyle w:val="ListParagraph"/>
        <w:spacing w:line="240" w:lineRule="auto"/>
        <w:ind w:left="0" w:right="-142" w:firstLine="567"/>
        <w:contextualSpacing w:val="0"/>
        <w:jc w:val="both"/>
        <w:rPr>
          <w:rFonts w:ascii="Times New Roman" w:hAnsi="Times New Roman"/>
          <w:sz w:val="24"/>
          <w:szCs w:val="24"/>
          <w:lang w:val="lv-LV"/>
        </w:rPr>
      </w:pPr>
      <w:r w:rsidRPr="00267BCC">
        <w:rPr>
          <w:rFonts w:ascii="Times New Roman" w:hAnsi="Times New Roman"/>
          <w:sz w:val="24"/>
          <w:szCs w:val="24"/>
          <w:lang w:val="lv-LV"/>
        </w:rPr>
        <w:t xml:space="preserve">Par pamatnostādņu īstenošanas koordināciju atbildīga ir </w:t>
      </w:r>
      <w:r w:rsidR="00B535AB" w:rsidRPr="00267BCC">
        <w:rPr>
          <w:rFonts w:ascii="Times New Roman" w:hAnsi="Times New Roman"/>
          <w:sz w:val="24"/>
          <w:szCs w:val="24"/>
          <w:lang w:val="lv-LV"/>
        </w:rPr>
        <w:t>EM</w:t>
      </w:r>
      <w:r w:rsidRPr="00267BCC">
        <w:rPr>
          <w:rFonts w:ascii="Times New Roman" w:hAnsi="Times New Roman"/>
          <w:sz w:val="24"/>
          <w:szCs w:val="24"/>
          <w:lang w:val="lv-LV"/>
        </w:rPr>
        <w:t xml:space="preserve">. </w:t>
      </w:r>
      <w:r w:rsidRPr="005C766A">
        <w:rPr>
          <w:rFonts w:ascii="Times New Roman" w:hAnsi="Times New Roman"/>
          <w:sz w:val="24"/>
          <w:szCs w:val="24"/>
          <w:lang w:val="lv-LV"/>
        </w:rPr>
        <w:t xml:space="preserve">Ikgadējo pasākumu koordinēšanas platforma ir </w:t>
      </w:r>
      <w:r w:rsidR="00A36085" w:rsidRPr="005C766A">
        <w:rPr>
          <w:rFonts w:ascii="Times New Roman" w:hAnsi="Times New Roman"/>
          <w:sz w:val="24"/>
          <w:szCs w:val="24"/>
          <w:lang w:val="lv-LV"/>
        </w:rPr>
        <w:t xml:space="preserve">TSP Tūrisma komiteja un </w:t>
      </w:r>
      <w:r w:rsidRPr="005C766A">
        <w:rPr>
          <w:rFonts w:ascii="Times New Roman" w:hAnsi="Times New Roman"/>
          <w:sz w:val="24"/>
          <w:szCs w:val="24"/>
          <w:lang w:val="lv-LV"/>
        </w:rPr>
        <w:t xml:space="preserve">TAVA Konsultatīvā </w:t>
      </w:r>
      <w:r w:rsidR="00A36085" w:rsidRPr="005C766A">
        <w:rPr>
          <w:rFonts w:ascii="Times New Roman" w:hAnsi="Times New Roman"/>
          <w:sz w:val="24"/>
          <w:szCs w:val="24"/>
          <w:lang w:val="lv-LV"/>
        </w:rPr>
        <w:t>padome</w:t>
      </w:r>
      <w:r w:rsidRPr="005C766A">
        <w:rPr>
          <w:rFonts w:ascii="Times New Roman" w:hAnsi="Times New Roman"/>
          <w:sz w:val="24"/>
          <w:szCs w:val="24"/>
          <w:lang w:val="lv-LV"/>
        </w:rPr>
        <w:t xml:space="preserve">, </w:t>
      </w:r>
      <w:r w:rsidR="00B535AB" w:rsidRPr="005C766A">
        <w:rPr>
          <w:rFonts w:ascii="Times New Roman" w:hAnsi="Times New Roman"/>
          <w:sz w:val="24"/>
          <w:szCs w:val="24"/>
          <w:lang w:val="lv-LV"/>
        </w:rPr>
        <w:t>kas</w:t>
      </w:r>
      <w:r w:rsidRPr="005C766A">
        <w:rPr>
          <w:rFonts w:ascii="Times New Roman" w:hAnsi="Times New Roman"/>
          <w:sz w:val="24"/>
          <w:szCs w:val="24"/>
          <w:lang w:val="lv-LV"/>
        </w:rPr>
        <w:t xml:space="preserve"> apkopo informāciju par nozarē plānotajiem pasākumiem un to īstenošanas gaitu.</w:t>
      </w:r>
    </w:p>
    <w:p w14:paraId="49640E2D" w14:textId="77777777" w:rsidR="008E34F8" w:rsidRPr="005C766A" w:rsidRDefault="00492821" w:rsidP="00267BCC">
      <w:pPr>
        <w:pStyle w:val="ListParagraph"/>
        <w:spacing w:line="240" w:lineRule="auto"/>
        <w:ind w:left="0" w:right="-142" w:firstLine="567"/>
        <w:contextualSpacing w:val="0"/>
        <w:jc w:val="both"/>
        <w:rPr>
          <w:rFonts w:ascii="Times New Roman" w:hAnsi="Times New Roman"/>
          <w:sz w:val="24"/>
          <w:szCs w:val="24"/>
          <w:lang w:val="lv-LV"/>
        </w:rPr>
      </w:pPr>
      <w:r w:rsidRPr="005C766A">
        <w:rPr>
          <w:rFonts w:ascii="Times New Roman" w:hAnsi="Times New Roman"/>
          <w:sz w:val="24"/>
          <w:szCs w:val="24"/>
          <w:lang w:val="lv-LV"/>
        </w:rPr>
        <w:t>Par savā kompetencē esošo pasākumu īstenošanu atbildīgās ministrijas – ĀM, IZM, KM, VARAM, SM, ZM – līdz 2017.gada 15.februārim un 2019.gada 15.februārim iesniedz atskaites par to izpildi EM starpposma novērtējuma veikšanai un pēc pamatnostādņu darbības perioda beigām gala novērtējuma veikšanai.</w:t>
      </w:r>
    </w:p>
    <w:p w14:paraId="49640E2E" w14:textId="77777777" w:rsidR="000E07E7" w:rsidRPr="00267BCC" w:rsidRDefault="000E07E7" w:rsidP="00267BCC">
      <w:pPr>
        <w:rPr>
          <w:rFonts w:eastAsia="Calibri"/>
          <w:lang w:val="lv-LV" w:eastAsia="en-US"/>
        </w:rPr>
      </w:pPr>
      <w:r w:rsidRPr="00267BCC">
        <w:rPr>
          <w:rFonts w:eastAsia="Calibri"/>
          <w:lang w:val="lv-LV" w:eastAsia="en-US"/>
        </w:rPr>
        <w:br w:type="page"/>
      </w:r>
    </w:p>
    <w:p w14:paraId="49640E2F" w14:textId="77777777" w:rsidR="00783831" w:rsidRPr="00267BCC" w:rsidRDefault="00C17F8F" w:rsidP="00267BCC">
      <w:pPr>
        <w:pStyle w:val="Heading1"/>
        <w:numPr>
          <w:ilvl w:val="0"/>
          <w:numId w:val="24"/>
        </w:numPr>
      </w:pPr>
      <w:bookmarkStart w:id="53" w:name="_Toc381256681"/>
      <w:r w:rsidRPr="00267BCC">
        <w:lastRenderedPageBreak/>
        <w:t>Sasaiste ar</w:t>
      </w:r>
      <w:r w:rsidR="003D2139" w:rsidRPr="00267BCC">
        <w:t xml:space="preserve"> </w:t>
      </w:r>
      <w:r w:rsidR="00783831" w:rsidRPr="00267BCC">
        <w:t>citos politikas plānošanas dokumentos noteiktajām prioritātēm</w:t>
      </w:r>
      <w:bookmarkEnd w:id="53"/>
    </w:p>
    <w:p w14:paraId="49640E30" w14:textId="77777777" w:rsidR="00432C0D" w:rsidRPr="00267BCC" w:rsidRDefault="00432C0D" w:rsidP="00267BCC">
      <w:pPr>
        <w:ind w:right="-143" w:firstLine="720"/>
        <w:jc w:val="both"/>
        <w:rPr>
          <w:lang w:val="lv-LV"/>
        </w:rPr>
      </w:pPr>
    </w:p>
    <w:p w14:paraId="49640E31" w14:textId="77777777" w:rsidR="00783831" w:rsidRPr="00267BCC" w:rsidRDefault="00A36085" w:rsidP="00267BCC">
      <w:pPr>
        <w:ind w:right="-143" w:firstLine="720"/>
        <w:jc w:val="both"/>
        <w:rPr>
          <w:lang w:val="lv-LV"/>
        </w:rPr>
      </w:pPr>
      <w:r w:rsidRPr="00267BCC">
        <w:rPr>
          <w:lang w:val="lv-LV"/>
        </w:rPr>
        <w:t>Ņemot vērā faktu, ka</w:t>
      </w:r>
      <w:r w:rsidR="00783831" w:rsidRPr="00267BCC">
        <w:rPr>
          <w:lang w:val="lv-LV"/>
        </w:rPr>
        <w:t xml:space="preserve"> tūrisms ir cieši saistīts </w:t>
      </w:r>
      <w:r w:rsidRPr="00267BCC">
        <w:rPr>
          <w:lang w:val="lv-LV"/>
        </w:rPr>
        <w:t>ar citām nozarēm, t</w:t>
      </w:r>
      <w:r w:rsidR="00783831" w:rsidRPr="00267BCC">
        <w:rPr>
          <w:lang w:val="lv-LV"/>
        </w:rPr>
        <w:t>ūri</w:t>
      </w:r>
      <w:r w:rsidR="00432C0D" w:rsidRPr="00267BCC">
        <w:rPr>
          <w:lang w:val="lv-LV"/>
        </w:rPr>
        <w:t>sma nozares attīstība ir jāplāno saskaņā</w:t>
      </w:r>
      <w:r w:rsidR="00C17F8F" w:rsidRPr="00267BCC">
        <w:rPr>
          <w:lang w:val="lv-LV"/>
        </w:rPr>
        <w:t xml:space="preserve"> ar saistīto nozaru politiku, attīstības prioritātēm un </w:t>
      </w:r>
      <w:r w:rsidR="00783831" w:rsidRPr="00267BCC">
        <w:rPr>
          <w:lang w:val="lv-LV"/>
        </w:rPr>
        <w:t xml:space="preserve">virzieniem. </w:t>
      </w:r>
      <w:r w:rsidR="00C17F8F" w:rsidRPr="00267BCC">
        <w:rPr>
          <w:lang w:val="lv-LV"/>
        </w:rPr>
        <w:t>14.tabulā ir norādīta Pamatnostādņu</w:t>
      </w:r>
      <w:r w:rsidR="00783831" w:rsidRPr="00267BCC">
        <w:rPr>
          <w:lang w:val="lv-LV"/>
        </w:rPr>
        <w:t xml:space="preserve"> sasaiste ar </w:t>
      </w:r>
      <w:r w:rsidR="00C17F8F" w:rsidRPr="00267BCC">
        <w:rPr>
          <w:lang w:val="lv-LV"/>
        </w:rPr>
        <w:t>vairākiem</w:t>
      </w:r>
      <w:r w:rsidR="00783831" w:rsidRPr="00267BCC">
        <w:rPr>
          <w:lang w:val="lv-LV"/>
        </w:rPr>
        <w:t xml:space="preserve"> jau spēkā esošiem po</w:t>
      </w:r>
      <w:r w:rsidR="00B535AB" w:rsidRPr="00267BCC">
        <w:rPr>
          <w:lang w:val="lv-LV"/>
        </w:rPr>
        <w:t>litikas  plānošanas dokumentiem.</w:t>
      </w:r>
    </w:p>
    <w:p w14:paraId="49640E32" w14:textId="77777777" w:rsidR="00256525" w:rsidRPr="00267BCC" w:rsidRDefault="00256525" w:rsidP="00267BCC">
      <w:pPr>
        <w:ind w:right="-143" w:firstLine="720"/>
        <w:jc w:val="both"/>
        <w:rPr>
          <w:lang w:val="lv-LV"/>
        </w:rPr>
      </w:pPr>
    </w:p>
    <w:p w14:paraId="49640E33" w14:textId="77777777" w:rsidR="00256525" w:rsidRPr="00267BCC" w:rsidRDefault="00256525" w:rsidP="00267BCC">
      <w:pPr>
        <w:ind w:right="-143" w:firstLine="720"/>
        <w:jc w:val="right"/>
        <w:rPr>
          <w:lang w:val="lv-LV"/>
        </w:rPr>
      </w:pPr>
      <w:r w:rsidRPr="00267BCC">
        <w:rPr>
          <w:lang w:val="lv-LV"/>
        </w:rPr>
        <w:t>14.tabula</w:t>
      </w:r>
    </w:p>
    <w:p w14:paraId="49640E34" w14:textId="77777777" w:rsidR="00783831" w:rsidRPr="00267BCC" w:rsidRDefault="00783831" w:rsidP="00267BCC">
      <w:pPr>
        <w:ind w:right="-143" w:firstLine="709"/>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966"/>
        <w:gridCol w:w="5635"/>
      </w:tblGrid>
      <w:tr w:rsidR="00783831" w:rsidRPr="00267BCC" w14:paraId="49640E39" w14:textId="77777777" w:rsidTr="00E20BB4">
        <w:tc>
          <w:tcPr>
            <w:tcW w:w="369" w:type="pct"/>
            <w:vAlign w:val="center"/>
          </w:tcPr>
          <w:p w14:paraId="49640E35" w14:textId="77777777" w:rsidR="00783831" w:rsidRPr="00267BCC" w:rsidRDefault="00783831" w:rsidP="00D749F8">
            <w:pPr>
              <w:ind w:right="-142"/>
              <w:jc w:val="center"/>
              <w:rPr>
                <w:b/>
                <w:lang w:val="lv-LV"/>
              </w:rPr>
            </w:pPr>
            <w:r w:rsidRPr="00267BCC">
              <w:rPr>
                <w:b/>
                <w:lang w:val="lv-LV"/>
              </w:rPr>
              <w:t>Nr.</w:t>
            </w:r>
          </w:p>
          <w:p w14:paraId="49640E36" w14:textId="77777777" w:rsidR="00783831" w:rsidRPr="00267BCC" w:rsidRDefault="00783831" w:rsidP="00D749F8">
            <w:pPr>
              <w:ind w:right="-142"/>
              <w:jc w:val="center"/>
              <w:rPr>
                <w:b/>
                <w:lang w:val="lv-LV"/>
              </w:rPr>
            </w:pPr>
            <w:r w:rsidRPr="00267BCC">
              <w:rPr>
                <w:b/>
                <w:lang w:val="lv-LV"/>
              </w:rPr>
              <w:t>p.k.</w:t>
            </w:r>
          </w:p>
        </w:tc>
        <w:tc>
          <w:tcPr>
            <w:tcW w:w="1597" w:type="pct"/>
            <w:vAlign w:val="center"/>
          </w:tcPr>
          <w:p w14:paraId="49640E37" w14:textId="77777777" w:rsidR="00783831" w:rsidRPr="00267BCC" w:rsidRDefault="00783831" w:rsidP="00D749F8">
            <w:pPr>
              <w:ind w:right="-142"/>
              <w:jc w:val="center"/>
              <w:rPr>
                <w:b/>
                <w:lang w:val="lv-LV"/>
              </w:rPr>
            </w:pPr>
            <w:r w:rsidRPr="00267BCC">
              <w:rPr>
                <w:b/>
                <w:lang w:val="lv-LV"/>
              </w:rPr>
              <w:t>Dokumenta nosaukums</w:t>
            </w:r>
          </w:p>
        </w:tc>
        <w:tc>
          <w:tcPr>
            <w:tcW w:w="3034" w:type="pct"/>
            <w:vAlign w:val="center"/>
          </w:tcPr>
          <w:p w14:paraId="49640E38" w14:textId="77777777" w:rsidR="00783831" w:rsidRPr="00267BCC" w:rsidRDefault="00783831" w:rsidP="00267BCC">
            <w:pPr>
              <w:ind w:right="-142"/>
              <w:jc w:val="center"/>
              <w:rPr>
                <w:b/>
                <w:lang w:val="lv-LV"/>
              </w:rPr>
            </w:pPr>
            <w:r w:rsidRPr="00267BCC">
              <w:rPr>
                <w:b/>
                <w:lang w:val="lv-LV"/>
              </w:rPr>
              <w:t>Sasaiste ar tūrisma politiku</w:t>
            </w:r>
          </w:p>
        </w:tc>
      </w:tr>
      <w:tr w:rsidR="00783831" w:rsidRPr="00267BCC" w14:paraId="49640E40" w14:textId="77777777" w:rsidTr="00E20BB4">
        <w:tc>
          <w:tcPr>
            <w:tcW w:w="369" w:type="pct"/>
          </w:tcPr>
          <w:p w14:paraId="49640E3A"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3B" w14:textId="77777777" w:rsidR="00783831" w:rsidRPr="00267BCC" w:rsidRDefault="00783831" w:rsidP="00D749F8">
            <w:pPr>
              <w:ind w:right="33"/>
              <w:rPr>
                <w:lang w:val="lv-LV"/>
              </w:rPr>
            </w:pPr>
            <w:r w:rsidRPr="00267BCC">
              <w:rPr>
                <w:bCs/>
                <w:lang w:val="lv-LV"/>
              </w:rPr>
              <w:t>Nacionālais attīstības plāns 2014.-2020.gadam</w:t>
            </w:r>
          </w:p>
        </w:tc>
        <w:tc>
          <w:tcPr>
            <w:tcW w:w="3034" w:type="pct"/>
          </w:tcPr>
          <w:p w14:paraId="49640E3C" w14:textId="77777777" w:rsidR="00783831" w:rsidRPr="00267BCC" w:rsidRDefault="00783831" w:rsidP="00267BCC">
            <w:pPr>
              <w:jc w:val="both"/>
              <w:rPr>
                <w:lang w:val="lv-LV"/>
              </w:rPr>
            </w:pPr>
            <w:r w:rsidRPr="00267BCC">
              <w:rPr>
                <w:lang w:val="lv-LV"/>
              </w:rPr>
              <w:t xml:space="preserve">Darbība ir noteikta NAP2020 vairākās prioritātēs:  </w:t>
            </w:r>
          </w:p>
          <w:p w14:paraId="49640E3D" w14:textId="77777777" w:rsidR="00783831" w:rsidRPr="00267BCC" w:rsidRDefault="00783831" w:rsidP="00267BCC">
            <w:pPr>
              <w:jc w:val="both"/>
              <w:rPr>
                <w:lang w:val="lv-LV"/>
              </w:rPr>
            </w:pPr>
            <w:r w:rsidRPr="00267BCC">
              <w:rPr>
                <w:lang w:val="lv-LV"/>
              </w:rPr>
              <w:t>- „Tautas saimniecības izaugsme”, rīcības virziens: Augstražīga un eksportspējīga ražošana un starptautiski konkurētspējīgi pakalpojumi (132.uzdevums: Uz eksportu orientētu tūrisma produktu veidošana, izmantojot reģionu unikālo, dabas un kultūrvēsturisko mantojumu, reģionos izveidoto infrastruktūru un kurortoloģijas pakalpojumu potenciālu).</w:t>
            </w:r>
          </w:p>
          <w:p w14:paraId="49640E3E" w14:textId="77777777" w:rsidR="00783831" w:rsidRPr="00267BCC" w:rsidRDefault="00783831" w:rsidP="00267BCC">
            <w:pPr>
              <w:jc w:val="both"/>
              <w:rPr>
                <w:lang w:val="lv-LV"/>
              </w:rPr>
            </w:pPr>
            <w:r w:rsidRPr="00267BCC">
              <w:rPr>
                <w:lang w:val="lv-LV"/>
              </w:rPr>
              <w:t xml:space="preserve">- „Izaugsmi atbalstošas teritorijas”, rīcības virziens: </w:t>
            </w:r>
            <w:r w:rsidR="00223FF1" w:rsidRPr="00267BCC">
              <w:rPr>
                <w:lang w:val="lv-LV"/>
              </w:rPr>
              <w:br/>
              <w:t xml:space="preserve">a) </w:t>
            </w:r>
            <w:r w:rsidRPr="00267BCC">
              <w:rPr>
                <w:lang w:val="lv-LV"/>
              </w:rPr>
              <w:t>Dabas un kultūras kapitāla efektīva apsaimniekošana. (436.uzdevums: Uz eksportu orientētu integrētu tūrisma, kultūras, veselības un dabas kapitāla infrastruktūras, pakalpojumu un p</w:t>
            </w:r>
            <w:r w:rsidR="00223FF1" w:rsidRPr="00267BCC">
              <w:rPr>
                <w:lang w:val="lv-LV"/>
              </w:rPr>
              <w:t>r</w:t>
            </w:r>
            <w:r w:rsidR="008B3886">
              <w:rPr>
                <w:lang w:val="lv-LV"/>
              </w:rPr>
              <w:t>oduktu piedāvājuma attīstība);</w:t>
            </w:r>
          </w:p>
          <w:p w14:paraId="49640E3F" w14:textId="77777777" w:rsidR="00223FF1" w:rsidRPr="005C766A" w:rsidRDefault="00223FF1" w:rsidP="008B3886">
            <w:pPr>
              <w:jc w:val="both"/>
              <w:rPr>
                <w:lang w:val="lv-LV"/>
              </w:rPr>
            </w:pPr>
            <w:r w:rsidRPr="005C766A">
              <w:rPr>
                <w:lang w:val="lv-LV"/>
              </w:rPr>
              <w:t>b) Ekonomiskās aktivitātes veicināšana reģionos – teritoriju potenciāla izmantošana.</w:t>
            </w:r>
            <w:r w:rsidR="008B3886" w:rsidRPr="005C766A">
              <w:rPr>
                <w:lang w:val="lv-LV"/>
              </w:rPr>
              <w:t xml:space="preserve"> </w:t>
            </w:r>
            <w:r w:rsidRPr="005C766A">
              <w:rPr>
                <w:lang w:val="lv-LV"/>
              </w:rPr>
              <w:t>(393.</w:t>
            </w:r>
            <w:r w:rsidR="008B3886" w:rsidRPr="005C766A">
              <w:rPr>
                <w:lang w:val="lv-LV"/>
              </w:rPr>
              <w:t xml:space="preserve">uzdevums: </w:t>
            </w:r>
            <w:r w:rsidRPr="005C766A">
              <w:rPr>
                <w:lang w:val="lv-LV"/>
              </w:rPr>
              <w:t>Mazo ostu un uzņēmējdarbību veicinošas infrastruktūras attīstība piekrastē).</w:t>
            </w:r>
          </w:p>
        </w:tc>
      </w:tr>
      <w:tr w:rsidR="0010215C" w:rsidRPr="00085EAA" w14:paraId="49640E49" w14:textId="77777777" w:rsidTr="00E20BB4">
        <w:tc>
          <w:tcPr>
            <w:tcW w:w="369" w:type="pct"/>
          </w:tcPr>
          <w:p w14:paraId="49640E45" w14:textId="77777777" w:rsidR="0010215C" w:rsidRPr="00267BCC" w:rsidRDefault="0010215C" w:rsidP="00D749F8">
            <w:pPr>
              <w:pStyle w:val="ListParagraph"/>
              <w:numPr>
                <w:ilvl w:val="0"/>
                <w:numId w:val="6"/>
              </w:numPr>
              <w:spacing w:line="240" w:lineRule="auto"/>
              <w:ind w:left="357" w:hanging="357"/>
              <w:contextualSpacing w:val="0"/>
              <w:jc w:val="center"/>
              <w:rPr>
                <w:rFonts w:ascii="Times New Roman" w:hAnsi="Times New Roman"/>
                <w:sz w:val="24"/>
                <w:szCs w:val="24"/>
                <w:u w:val="single"/>
                <w:lang w:val="lv-LV"/>
              </w:rPr>
            </w:pPr>
          </w:p>
        </w:tc>
        <w:tc>
          <w:tcPr>
            <w:tcW w:w="1597" w:type="pct"/>
          </w:tcPr>
          <w:p w14:paraId="49640E46" w14:textId="77777777" w:rsidR="0010215C" w:rsidRPr="005C766A" w:rsidRDefault="0010215C" w:rsidP="00D749F8">
            <w:pPr>
              <w:ind w:right="33"/>
              <w:rPr>
                <w:lang w:val="lv-LV"/>
              </w:rPr>
            </w:pPr>
            <w:r w:rsidRPr="005C766A">
              <w:rPr>
                <w:lang w:val="lv-LV"/>
              </w:rPr>
              <w:t>Latvijas preču un pakalpojumu eksporta veicināšanas un ārvalstu investīciju piesaistes pamatnostādnes 2013.-2019.gadam</w:t>
            </w:r>
          </w:p>
        </w:tc>
        <w:tc>
          <w:tcPr>
            <w:tcW w:w="3034" w:type="pct"/>
          </w:tcPr>
          <w:p w14:paraId="49640E47" w14:textId="77777777" w:rsidR="0010215C" w:rsidRPr="005C766A" w:rsidRDefault="0010215C" w:rsidP="00267BCC">
            <w:pPr>
              <w:jc w:val="both"/>
              <w:rPr>
                <w:lang w:val="lv-LV"/>
              </w:rPr>
            </w:pPr>
            <w:r w:rsidRPr="005C766A">
              <w:rPr>
                <w:lang w:val="lv-LV"/>
              </w:rPr>
              <w:t xml:space="preserve">Definēti eksporta un ārvalstu tiešo investīciju piesaistes veicināšanas politikas galvenie mērķi, principi un rīcības virzieni turpmākajiem septiņiem gadiem. </w:t>
            </w:r>
          </w:p>
          <w:p w14:paraId="49640E48" w14:textId="77777777" w:rsidR="0010215C" w:rsidRPr="005C766A" w:rsidRDefault="0010215C" w:rsidP="00267BCC">
            <w:pPr>
              <w:jc w:val="both"/>
              <w:rPr>
                <w:lang w:val="lv-LV"/>
              </w:rPr>
            </w:pPr>
            <w:r w:rsidRPr="005C766A">
              <w:rPr>
                <w:bCs/>
                <w:lang w:val="lv-LV"/>
              </w:rPr>
              <w:t>un atbalsts komersantiem ārējo tirgu apgūšanai.</w:t>
            </w:r>
            <w:r w:rsidRPr="005C766A">
              <w:rPr>
                <w:b/>
                <w:bCs/>
                <w:lang w:val="lv-LV"/>
              </w:rPr>
              <w:t xml:space="preserve"> </w:t>
            </w:r>
            <w:r w:rsidR="00AB66B7" w:rsidRPr="005C766A">
              <w:rPr>
                <w:bCs/>
                <w:lang w:val="lv-LV"/>
              </w:rPr>
              <w:t>Tūrisms minēts, kā viena no konkurētspējīgajām eksporta nozarēm.</w:t>
            </w:r>
          </w:p>
        </w:tc>
      </w:tr>
      <w:tr w:rsidR="00421A65" w:rsidRPr="00085EAA" w14:paraId="49640E4E" w14:textId="77777777" w:rsidTr="00E20BB4">
        <w:tc>
          <w:tcPr>
            <w:tcW w:w="369" w:type="pct"/>
          </w:tcPr>
          <w:p w14:paraId="49640E4A" w14:textId="77777777" w:rsidR="00421A65" w:rsidRPr="00267BCC" w:rsidRDefault="00421A65"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4B" w14:textId="77777777" w:rsidR="00421A65" w:rsidRPr="005C766A" w:rsidRDefault="00D749F8" w:rsidP="00D749F8">
            <w:pPr>
              <w:ind w:right="33"/>
              <w:rPr>
                <w:lang w:val="lv-LV"/>
              </w:rPr>
            </w:pPr>
            <w:r w:rsidRPr="005C766A">
              <w:rPr>
                <w:lang w:val="lv-LV"/>
              </w:rPr>
              <w:t>Latvijas ilgtspējīgās attīstības stratēģija - Latvija 2030</w:t>
            </w:r>
          </w:p>
        </w:tc>
        <w:tc>
          <w:tcPr>
            <w:tcW w:w="3034" w:type="pct"/>
          </w:tcPr>
          <w:p w14:paraId="49640E4C" w14:textId="77777777" w:rsidR="00887A25" w:rsidRPr="005C766A" w:rsidRDefault="00887A25" w:rsidP="00267BCC">
            <w:pPr>
              <w:rPr>
                <w:lang w:val="lv-LV"/>
              </w:rPr>
            </w:pPr>
            <w:r w:rsidRPr="005C766A">
              <w:rPr>
                <w:lang w:val="lv-LV"/>
              </w:rPr>
              <w:t>Stratēģija</w:t>
            </w:r>
            <w:r w:rsidR="00042F2F" w:rsidRPr="005C766A">
              <w:rPr>
                <w:lang w:val="lv-LV"/>
              </w:rPr>
              <w:t xml:space="preserve"> iezīmē</w:t>
            </w:r>
            <w:r w:rsidRPr="005C766A">
              <w:rPr>
                <w:lang w:val="lv-LV"/>
              </w:rPr>
              <w:t xml:space="preserve"> valsts attīstības vadlīnijas un telpisko perspektīvu laika </w:t>
            </w:r>
            <w:r w:rsidR="00AB66B7" w:rsidRPr="005C766A">
              <w:rPr>
                <w:lang w:val="lv-LV"/>
              </w:rPr>
              <w:t>periodam līdz 2030.g</w:t>
            </w:r>
            <w:r w:rsidRPr="005C766A">
              <w:rPr>
                <w:lang w:val="lv-LV"/>
              </w:rPr>
              <w:t>adam.</w:t>
            </w:r>
          </w:p>
          <w:p w14:paraId="49640E4D" w14:textId="77777777" w:rsidR="00421A65" w:rsidRPr="005C766A" w:rsidRDefault="00421A65" w:rsidP="00267BCC">
            <w:pPr>
              <w:jc w:val="both"/>
              <w:rPr>
                <w:lang w:val="lv-LV"/>
              </w:rPr>
            </w:pPr>
          </w:p>
        </w:tc>
      </w:tr>
      <w:tr w:rsidR="00421A65" w:rsidRPr="00085EAA" w14:paraId="49640E52" w14:textId="77777777" w:rsidTr="00E20BB4">
        <w:tc>
          <w:tcPr>
            <w:tcW w:w="369" w:type="pct"/>
          </w:tcPr>
          <w:p w14:paraId="49640E4F" w14:textId="77777777" w:rsidR="00421A65" w:rsidRPr="00267BCC" w:rsidRDefault="00421A65"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50" w14:textId="77777777" w:rsidR="00421A65" w:rsidRPr="005C766A" w:rsidRDefault="00421A65" w:rsidP="00D749F8">
            <w:pPr>
              <w:ind w:right="33"/>
              <w:rPr>
                <w:lang w:val="lv-LV"/>
              </w:rPr>
            </w:pPr>
            <w:r w:rsidRPr="005C766A">
              <w:rPr>
                <w:lang w:val="lv-LV"/>
              </w:rPr>
              <w:t>Vides politikas pamatnostādnes 2013.-2020.gadam</w:t>
            </w:r>
          </w:p>
        </w:tc>
        <w:tc>
          <w:tcPr>
            <w:tcW w:w="3034" w:type="pct"/>
          </w:tcPr>
          <w:p w14:paraId="49640E51" w14:textId="77777777" w:rsidR="00421A65" w:rsidRPr="005C766A" w:rsidRDefault="00887A25" w:rsidP="00267BCC">
            <w:pPr>
              <w:jc w:val="both"/>
              <w:rPr>
                <w:lang w:val="lv-LV"/>
              </w:rPr>
            </w:pPr>
            <w:r w:rsidRPr="005C766A">
              <w:rPr>
                <w:lang w:val="lv-LV"/>
              </w:rPr>
              <w:t>Noteiktas vides politikas pamatnostādnes, ņemot vērā nacionālās prioritātes, ES un starptautiskos nosacījumus.</w:t>
            </w:r>
          </w:p>
        </w:tc>
      </w:tr>
      <w:tr w:rsidR="00421A65" w:rsidRPr="00085EAA" w14:paraId="49640E56" w14:textId="77777777" w:rsidTr="00E20BB4">
        <w:tc>
          <w:tcPr>
            <w:tcW w:w="369" w:type="pct"/>
          </w:tcPr>
          <w:p w14:paraId="49640E53" w14:textId="77777777" w:rsidR="00421A65" w:rsidRPr="00267BCC" w:rsidRDefault="00421A65"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54" w14:textId="77777777" w:rsidR="00421A65" w:rsidRPr="005C766A" w:rsidRDefault="00421A65" w:rsidP="00D749F8">
            <w:pPr>
              <w:ind w:right="33"/>
              <w:rPr>
                <w:lang w:val="lv-LV"/>
              </w:rPr>
            </w:pPr>
            <w:r w:rsidRPr="005C766A">
              <w:rPr>
                <w:lang w:val="lv-LV"/>
              </w:rPr>
              <w:t>Vides politikas pamatnostādnes 2009.-2015.gadam (spēkā esošas)</w:t>
            </w:r>
          </w:p>
        </w:tc>
        <w:tc>
          <w:tcPr>
            <w:tcW w:w="3034" w:type="pct"/>
          </w:tcPr>
          <w:p w14:paraId="49640E55" w14:textId="77777777" w:rsidR="00421A65" w:rsidRPr="005C766A" w:rsidRDefault="00887A25" w:rsidP="00267BCC">
            <w:pPr>
              <w:jc w:val="both"/>
              <w:rPr>
                <w:lang w:val="lv-LV"/>
              </w:rPr>
            </w:pPr>
            <w:r w:rsidRPr="005C766A">
              <w:rPr>
                <w:lang w:val="lv-LV"/>
              </w:rPr>
              <w:t>Noteiktas vides politikas pamatnostādnes, ņemot vērā nacionālās prioritātes, ES un starptautiskos nosacījumus.</w:t>
            </w:r>
          </w:p>
        </w:tc>
      </w:tr>
      <w:tr w:rsidR="00421A65" w:rsidRPr="00085EAA" w14:paraId="49640E5A" w14:textId="77777777" w:rsidTr="00E20BB4">
        <w:tc>
          <w:tcPr>
            <w:tcW w:w="369" w:type="pct"/>
          </w:tcPr>
          <w:p w14:paraId="49640E57" w14:textId="77777777" w:rsidR="00421A65" w:rsidRPr="00267BCC" w:rsidRDefault="00421A65"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58" w14:textId="77777777" w:rsidR="00421A65" w:rsidRPr="005C766A" w:rsidRDefault="00421A65" w:rsidP="00D749F8">
            <w:pPr>
              <w:ind w:right="33"/>
              <w:rPr>
                <w:lang w:val="lv-LV"/>
              </w:rPr>
            </w:pPr>
            <w:r w:rsidRPr="005C766A">
              <w:rPr>
                <w:lang w:val="lv-LV"/>
              </w:rPr>
              <w:t>Reģionālās politikas pamatnostādnes 2013.-2019.gadam</w:t>
            </w:r>
          </w:p>
        </w:tc>
        <w:tc>
          <w:tcPr>
            <w:tcW w:w="3034" w:type="pct"/>
          </w:tcPr>
          <w:p w14:paraId="49640E59" w14:textId="77777777" w:rsidR="00421A65" w:rsidRPr="005C766A" w:rsidRDefault="00042F2F" w:rsidP="00267BCC">
            <w:pPr>
              <w:jc w:val="both"/>
              <w:rPr>
                <w:lang w:val="lv-LV"/>
              </w:rPr>
            </w:pPr>
            <w:r w:rsidRPr="005C766A">
              <w:rPr>
                <w:lang w:val="lv-LV"/>
              </w:rPr>
              <w:t xml:space="preserve">Noteikta Latvijas reģionālā politika, aptverot laika periodu līdz 2019.gadam. Definētas </w:t>
            </w:r>
            <w:r w:rsidRPr="005C766A">
              <w:rPr>
                <w:bCs/>
                <w:lang w:val="lv-LV" w:bidi="lo-LA"/>
              </w:rPr>
              <w:t xml:space="preserve">reģionālās politikas risināmās problēmas, </w:t>
            </w:r>
            <w:r w:rsidRPr="005C766A">
              <w:rPr>
                <w:lang w:val="lv-LV"/>
              </w:rPr>
              <w:t>mērķi, politikas uzstādījumi un principi, rīcības virzieni politikas mērķu sasniegšanai un sasniedzamie rezultāti.</w:t>
            </w:r>
          </w:p>
        </w:tc>
      </w:tr>
      <w:tr w:rsidR="00421A65" w:rsidRPr="00085EAA" w14:paraId="49640E5E" w14:textId="77777777" w:rsidTr="00E20BB4">
        <w:tc>
          <w:tcPr>
            <w:tcW w:w="369" w:type="pct"/>
          </w:tcPr>
          <w:p w14:paraId="49640E5B" w14:textId="77777777" w:rsidR="00421A65" w:rsidRPr="00267BCC" w:rsidRDefault="00421A65"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5C" w14:textId="77777777" w:rsidR="00421A65" w:rsidRPr="005C766A" w:rsidRDefault="00421A65" w:rsidP="00D749F8">
            <w:pPr>
              <w:ind w:right="33"/>
              <w:rPr>
                <w:lang w:val="lv-LV"/>
              </w:rPr>
            </w:pPr>
            <w:r w:rsidRPr="005C766A">
              <w:rPr>
                <w:lang w:val="lv-LV"/>
              </w:rPr>
              <w:t>Ainavu politikas pamatnostādnes 2013.-2019.gadam</w:t>
            </w:r>
          </w:p>
        </w:tc>
        <w:tc>
          <w:tcPr>
            <w:tcW w:w="3034" w:type="pct"/>
          </w:tcPr>
          <w:p w14:paraId="49640E5D" w14:textId="77777777" w:rsidR="00421A65" w:rsidRPr="005C766A" w:rsidRDefault="00042F2F" w:rsidP="00267BCC">
            <w:pPr>
              <w:jc w:val="both"/>
              <w:rPr>
                <w:lang w:val="lv-LV"/>
              </w:rPr>
            </w:pPr>
            <w:r w:rsidRPr="005C766A">
              <w:rPr>
                <w:lang w:val="lv-LV"/>
              </w:rPr>
              <w:t>Ietvars Eiropas Ainavu konvencijas un Latvijas ilgtspējīgas attīstības stratēģijā „Latvija 2030” noteikto ilgtermiņa uzdevumu risināšanai vidējā termiņā, lai nodrošinātu Latvijas ainavu ilgtspējīgu izmantošanu un attīstību, saskaņojot dažādu sabiedrības grupu intereses.</w:t>
            </w:r>
          </w:p>
        </w:tc>
      </w:tr>
      <w:tr w:rsidR="00F2117A" w:rsidRPr="00085EAA" w14:paraId="49640E62" w14:textId="77777777" w:rsidTr="00E20BB4">
        <w:tc>
          <w:tcPr>
            <w:tcW w:w="369" w:type="pct"/>
          </w:tcPr>
          <w:p w14:paraId="49640E5F" w14:textId="77777777" w:rsidR="00F2117A" w:rsidRPr="00267BCC" w:rsidRDefault="00F2117A"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60" w14:textId="77777777" w:rsidR="00F2117A" w:rsidRPr="005C766A" w:rsidRDefault="00F2117A" w:rsidP="00D749F8">
            <w:pPr>
              <w:ind w:right="33"/>
              <w:rPr>
                <w:lang w:val="lv-LV"/>
              </w:rPr>
            </w:pPr>
            <w:r w:rsidRPr="005C766A">
              <w:rPr>
                <w:lang w:val="lv-LV"/>
              </w:rPr>
              <w:t>Latvijas Ekotūrisma stratēģija, 2001.gads</w:t>
            </w:r>
          </w:p>
        </w:tc>
        <w:tc>
          <w:tcPr>
            <w:tcW w:w="3034" w:type="pct"/>
          </w:tcPr>
          <w:p w14:paraId="49640E61" w14:textId="77777777" w:rsidR="00F2117A" w:rsidRPr="005C766A" w:rsidRDefault="00F2117A" w:rsidP="00267BCC">
            <w:pPr>
              <w:jc w:val="both"/>
              <w:rPr>
                <w:lang w:val="lv-LV"/>
              </w:rPr>
            </w:pPr>
            <w:r w:rsidRPr="005C766A">
              <w:rPr>
                <w:lang w:val="lv-LV"/>
              </w:rPr>
              <w:t>Nosaka politiskos mērķus un rīcības virzienus ekotūrisma  kā jauna un videi draudzīga tūrisma attīstības veicināšanai.</w:t>
            </w:r>
          </w:p>
        </w:tc>
      </w:tr>
      <w:tr w:rsidR="00783831" w:rsidRPr="00085EAA" w14:paraId="49640E67" w14:textId="77777777" w:rsidTr="00E20BB4">
        <w:tc>
          <w:tcPr>
            <w:tcW w:w="369" w:type="pct"/>
          </w:tcPr>
          <w:p w14:paraId="49640E63"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64" w14:textId="77777777" w:rsidR="00783831" w:rsidRPr="005C766A" w:rsidRDefault="00783831" w:rsidP="00D749F8">
            <w:pPr>
              <w:ind w:right="33"/>
              <w:rPr>
                <w:lang w:val="lv-LV"/>
              </w:rPr>
            </w:pPr>
            <w:r w:rsidRPr="005C766A">
              <w:rPr>
                <w:lang w:val="lv-LV"/>
              </w:rPr>
              <w:t>Valsts kultūrpolitikas vadlīnija</w:t>
            </w:r>
            <w:r w:rsidR="00941E2B" w:rsidRPr="005C766A">
              <w:rPr>
                <w:lang w:val="lv-LV"/>
              </w:rPr>
              <w:t>s</w:t>
            </w:r>
            <w:r w:rsidRPr="005C766A">
              <w:rPr>
                <w:lang w:val="lv-LV"/>
              </w:rPr>
              <w:t xml:space="preserve"> 2006.-2015.gadam „Nacionāla valsts” (MK 18.04.2006. rīkojums Nr.264)</w:t>
            </w:r>
          </w:p>
        </w:tc>
        <w:tc>
          <w:tcPr>
            <w:tcW w:w="3034" w:type="pct"/>
          </w:tcPr>
          <w:p w14:paraId="49640E65" w14:textId="77777777" w:rsidR="00783831" w:rsidRPr="005C766A" w:rsidRDefault="00783831" w:rsidP="00267BCC">
            <w:pPr>
              <w:jc w:val="both"/>
              <w:rPr>
                <w:lang w:val="lv-LV"/>
              </w:rPr>
            </w:pPr>
            <w:r w:rsidRPr="005C766A">
              <w:rPr>
                <w:lang w:val="lv-LV"/>
              </w:rPr>
              <w:t>Definēti kultūrpolitiku un kultūrpolitikas attīstības principu, akcentējot  starpnozaru jautājumus, t.sk. kultūras tūrisma attīstību.</w:t>
            </w:r>
          </w:p>
          <w:p w14:paraId="49640E66" w14:textId="77777777" w:rsidR="00783831" w:rsidRPr="005C766A" w:rsidRDefault="00783831" w:rsidP="00267BCC">
            <w:pPr>
              <w:jc w:val="both"/>
              <w:rPr>
                <w:lang w:val="lv-LV"/>
              </w:rPr>
            </w:pPr>
            <w:r w:rsidRPr="005C766A">
              <w:rPr>
                <w:lang w:val="lv-LV"/>
              </w:rPr>
              <w:t>Institūciju sadarbība kultūras tūrisma produktu attīstīšanā Latvijā un Baltijā.</w:t>
            </w:r>
          </w:p>
        </w:tc>
      </w:tr>
      <w:tr w:rsidR="008E26F8" w:rsidRPr="00085EAA" w14:paraId="49640E6B" w14:textId="77777777" w:rsidTr="00E20BB4">
        <w:tc>
          <w:tcPr>
            <w:tcW w:w="369" w:type="pct"/>
          </w:tcPr>
          <w:p w14:paraId="49640E68" w14:textId="77777777" w:rsidR="008E26F8" w:rsidRPr="00267BCC" w:rsidRDefault="008E26F8"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69" w14:textId="77777777" w:rsidR="008E26F8" w:rsidRPr="005C766A" w:rsidRDefault="008E26F8" w:rsidP="00D749F8">
            <w:pPr>
              <w:ind w:right="33"/>
              <w:rPr>
                <w:lang w:val="lv-LV"/>
              </w:rPr>
            </w:pPr>
            <w:r w:rsidRPr="005C766A">
              <w:rPr>
                <w:lang w:val="lv-LV"/>
              </w:rPr>
              <w:t>Kultūrpolitikas pamatnostādnes 2014.-2020.gadam „Radošā Latvija” projekts</w:t>
            </w:r>
          </w:p>
        </w:tc>
        <w:tc>
          <w:tcPr>
            <w:tcW w:w="3034" w:type="pct"/>
          </w:tcPr>
          <w:p w14:paraId="49640E6A" w14:textId="77777777" w:rsidR="008E26F8" w:rsidRPr="005C766A" w:rsidRDefault="00C03CD7" w:rsidP="00267BCC">
            <w:pPr>
              <w:jc w:val="both"/>
              <w:rPr>
                <w:lang w:val="lv-LV"/>
              </w:rPr>
            </w:pPr>
            <w:r w:rsidRPr="005C766A">
              <w:rPr>
                <w:lang w:val="lv-LV"/>
              </w:rPr>
              <w:t>Apraksta kultūras vērtību un definēt rīcības virzienus kultūras daudzveidīgai un ilgtspējīgai attīstībai, kas, veicinot valsts izaugsmi un konkurētspēju, veido augstāku dzīves kvalitāti ikvienam, saglabājot un attīstot Latvijas kultūras kapitālu un iedzīvotāju radošumu.</w:t>
            </w:r>
          </w:p>
        </w:tc>
      </w:tr>
      <w:tr w:rsidR="00783831" w:rsidRPr="00085EAA" w14:paraId="49640E6F" w14:textId="77777777" w:rsidTr="00E20BB4">
        <w:tc>
          <w:tcPr>
            <w:tcW w:w="369" w:type="pct"/>
          </w:tcPr>
          <w:p w14:paraId="49640E6C"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6D" w14:textId="77777777" w:rsidR="00783831" w:rsidRPr="00267BCC" w:rsidRDefault="00783831" w:rsidP="00D749F8">
            <w:pPr>
              <w:ind w:right="33"/>
              <w:rPr>
                <w:lang w:val="lv-LV"/>
              </w:rPr>
            </w:pPr>
            <w:r w:rsidRPr="00267BCC">
              <w:rPr>
                <w:lang w:val="lv-LV"/>
              </w:rPr>
              <w:t>Transporta attīstības pamatnostād</w:t>
            </w:r>
            <w:r w:rsidR="00E33F98" w:rsidRPr="00267BCC">
              <w:rPr>
                <w:lang w:val="lv-LV"/>
              </w:rPr>
              <w:t>nes 2014.-2020.gadam</w:t>
            </w:r>
          </w:p>
        </w:tc>
        <w:tc>
          <w:tcPr>
            <w:tcW w:w="3034" w:type="pct"/>
          </w:tcPr>
          <w:p w14:paraId="49640E6E" w14:textId="77777777" w:rsidR="00783831" w:rsidRPr="00267BCC" w:rsidRDefault="00783831" w:rsidP="00267BCC">
            <w:pPr>
              <w:jc w:val="both"/>
              <w:rPr>
                <w:lang w:val="lv-LV"/>
              </w:rPr>
            </w:pPr>
            <w:r w:rsidRPr="00267BCC">
              <w:rPr>
                <w:lang w:val="lv-LV"/>
              </w:rPr>
              <w:t>Norādītas galvenās priekšrocības un problēmas tūristu sasniedzamības nodrošināšanai.</w:t>
            </w:r>
          </w:p>
        </w:tc>
      </w:tr>
      <w:tr w:rsidR="00783831" w:rsidRPr="00085EAA" w14:paraId="49640E74" w14:textId="77777777" w:rsidTr="00E20BB4">
        <w:trPr>
          <w:trHeight w:val="227"/>
        </w:trPr>
        <w:tc>
          <w:tcPr>
            <w:tcW w:w="369" w:type="pct"/>
          </w:tcPr>
          <w:p w14:paraId="49640E70"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71" w14:textId="77777777" w:rsidR="00783831" w:rsidRPr="00267BCC" w:rsidRDefault="00783831" w:rsidP="00D749F8">
            <w:pPr>
              <w:pStyle w:val="Heading4"/>
              <w:shd w:val="clear" w:color="auto" w:fill="FFFFFF"/>
              <w:spacing w:before="0" w:after="0"/>
              <w:rPr>
                <w:b w:val="0"/>
                <w:bCs w:val="0"/>
                <w:sz w:val="24"/>
                <w:szCs w:val="24"/>
                <w:lang w:val="lv-LV"/>
              </w:rPr>
            </w:pPr>
            <w:r w:rsidRPr="00267BCC">
              <w:rPr>
                <w:b w:val="0"/>
                <w:bCs w:val="0"/>
                <w:sz w:val="24"/>
                <w:szCs w:val="24"/>
                <w:lang w:val="lv-LV"/>
              </w:rPr>
              <w:t xml:space="preserve">Piekrastes telpiskās attīstības </w:t>
            </w:r>
            <w:r w:rsidR="00A36085" w:rsidRPr="00267BCC">
              <w:rPr>
                <w:b w:val="0"/>
                <w:bCs w:val="0"/>
                <w:sz w:val="24"/>
                <w:szCs w:val="24"/>
                <w:lang w:val="lv-LV"/>
              </w:rPr>
              <w:t>pamatnostādnes 2011.-2017.gadam</w:t>
            </w:r>
          </w:p>
        </w:tc>
        <w:tc>
          <w:tcPr>
            <w:tcW w:w="3034" w:type="pct"/>
          </w:tcPr>
          <w:p w14:paraId="49640E72" w14:textId="77777777" w:rsidR="00783831" w:rsidRPr="00267BCC" w:rsidRDefault="00783831" w:rsidP="00267BCC">
            <w:pPr>
              <w:jc w:val="both"/>
              <w:rPr>
                <w:lang w:val="lv-LV"/>
              </w:rPr>
            </w:pPr>
            <w:r w:rsidRPr="00267BCC">
              <w:rPr>
                <w:lang w:val="lv-LV"/>
              </w:rPr>
              <w:t>Nosaka politiskos mērķus un rīcības virzienus piekrastes attīstības veicināšanai.</w:t>
            </w:r>
          </w:p>
          <w:p w14:paraId="49640E73" w14:textId="77777777" w:rsidR="00783831" w:rsidRPr="00267BCC" w:rsidRDefault="00783831" w:rsidP="00267BCC">
            <w:pPr>
              <w:jc w:val="both"/>
              <w:rPr>
                <w:lang w:val="lv-LV"/>
              </w:rPr>
            </w:pPr>
          </w:p>
        </w:tc>
      </w:tr>
      <w:tr w:rsidR="00783831" w:rsidRPr="00267BCC" w14:paraId="49640E76" w14:textId="77777777" w:rsidTr="00C17F8F">
        <w:tc>
          <w:tcPr>
            <w:tcW w:w="5000" w:type="pct"/>
            <w:gridSpan w:val="3"/>
            <w:vAlign w:val="center"/>
          </w:tcPr>
          <w:p w14:paraId="49640E75" w14:textId="77777777" w:rsidR="00783831" w:rsidRPr="00267BCC" w:rsidRDefault="00783831" w:rsidP="00D749F8">
            <w:pPr>
              <w:jc w:val="center"/>
              <w:rPr>
                <w:i/>
                <w:lang w:val="lv-LV"/>
              </w:rPr>
            </w:pPr>
            <w:r w:rsidRPr="00267BCC">
              <w:rPr>
                <w:i/>
                <w:lang w:val="lv-LV"/>
              </w:rPr>
              <w:t>Starptautiskie dokumenti</w:t>
            </w:r>
          </w:p>
        </w:tc>
      </w:tr>
      <w:tr w:rsidR="00783831" w:rsidRPr="00085EAA" w14:paraId="49640E7A" w14:textId="77777777" w:rsidTr="00E20BB4">
        <w:tc>
          <w:tcPr>
            <w:tcW w:w="369" w:type="pct"/>
          </w:tcPr>
          <w:p w14:paraId="49640E77"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78" w14:textId="77777777" w:rsidR="00783831" w:rsidRPr="00267BCC" w:rsidRDefault="00783831" w:rsidP="00D749F8">
            <w:pPr>
              <w:pStyle w:val="Heading4"/>
              <w:shd w:val="clear" w:color="auto" w:fill="FFFFFF"/>
              <w:spacing w:before="0" w:after="0"/>
              <w:rPr>
                <w:b w:val="0"/>
                <w:bCs w:val="0"/>
                <w:sz w:val="24"/>
                <w:szCs w:val="24"/>
                <w:lang w:val="lv-LV"/>
              </w:rPr>
            </w:pPr>
            <w:r w:rsidRPr="00267BCC">
              <w:rPr>
                <w:b w:val="0"/>
                <w:bCs w:val="0"/>
                <w:sz w:val="24"/>
                <w:szCs w:val="24"/>
                <w:lang w:val="lv-LV"/>
              </w:rPr>
              <w:t>Pasaules Tūrisma ētikas kodekss (ANO Ģenerālās asamblejas 21.12.2001. rezolūcija A/RES/56/212)</w:t>
            </w:r>
          </w:p>
        </w:tc>
        <w:tc>
          <w:tcPr>
            <w:tcW w:w="3034" w:type="pct"/>
          </w:tcPr>
          <w:p w14:paraId="49640E79" w14:textId="77777777" w:rsidR="00783831" w:rsidRPr="00267BCC" w:rsidRDefault="00783831" w:rsidP="00267BCC">
            <w:pPr>
              <w:jc w:val="both"/>
              <w:rPr>
                <w:lang w:val="lv-LV"/>
              </w:rPr>
            </w:pPr>
            <w:r w:rsidRPr="00267BCC">
              <w:rPr>
                <w:lang w:val="lv-LV"/>
              </w:rPr>
              <w:t>Ietver 10 galvenās ētikas normas, kuras jāievēro gan politikas izstrādātājiem, gan arī īstenotājiem, lai nodrošinātu atbildīgu, ilgtspējīgu un visiem pieejama tūrisma attīstību.</w:t>
            </w:r>
          </w:p>
        </w:tc>
      </w:tr>
      <w:tr w:rsidR="00783831" w:rsidRPr="00085EAA" w14:paraId="49640E80" w14:textId="77777777" w:rsidTr="00E20BB4">
        <w:tc>
          <w:tcPr>
            <w:tcW w:w="369" w:type="pct"/>
          </w:tcPr>
          <w:p w14:paraId="49640E7B"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7C" w14:textId="77777777" w:rsidR="00783831" w:rsidRPr="00267BCC" w:rsidRDefault="00783831" w:rsidP="00D749F8">
            <w:pPr>
              <w:pStyle w:val="Heading4"/>
              <w:shd w:val="clear" w:color="auto" w:fill="FFFFFF"/>
              <w:spacing w:before="0" w:after="0"/>
              <w:rPr>
                <w:b w:val="0"/>
                <w:bCs w:val="0"/>
                <w:sz w:val="24"/>
                <w:szCs w:val="24"/>
                <w:lang w:val="lv-LV"/>
              </w:rPr>
            </w:pPr>
            <w:r w:rsidRPr="00267BCC">
              <w:rPr>
                <w:b w:val="0"/>
                <w:bCs w:val="0"/>
                <w:sz w:val="24"/>
                <w:szCs w:val="24"/>
                <w:lang w:val="lv-LV"/>
              </w:rPr>
              <w:t xml:space="preserve">Komisijas paziņojums „Eiropa, tūristu apmeklētākā vieta pasaulē — jaunas Eiropas tūrisma nozares politiskās </w:t>
            </w:r>
          </w:p>
          <w:p w14:paraId="49640E7D" w14:textId="77777777" w:rsidR="00783831" w:rsidRPr="00267BCC" w:rsidRDefault="00A36085" w:rsidP="00D749F8">
            <w:pPr>
              <w:pStyle w:val="Heading4"/>
              <w:shd w:val="clear" w:color="auto" w:fill="FFFFFF"/>
              <w:spacing w:before="0" w:after="0"/>
              <w:rPr>
                <w:b w:val="0"/>
                <w:bCs w:val="0"/>
                <w:sz w:val="24"/>
                <w:szCs w:val="24"/>
                <w:lang w:val="lv-LV"/>
              </w:rPr>
            </w:pPr>
            <w:r w:rsidRPr="00267BCC">
              <w:rPr>
                <w:b w:val="0"/>
                <w:bCs w:val="0"/>
                <w:sz w:val="24"/>
                <w:szCs w:val="24"/>
                <w:lang w:val="lv-LV"/>
              </w:rPr>
              <w:t>p</w:t>
            </w:r>
            <w:r w:rsidR="00783831" w:rsidRPr="00267BCC">
              <w:rPr>
                <w:b w:val="0"/>
                <w:bCs w:val="0"/>
                <w:sz w:val="24"/>
                <w:szCs w:val="24"/>
                <w:lang w:val="lv-LV"/>
              </w:rPr>
              <w:t xml:space="preserve">amatnostādnes” (Briselē, 30.6.2010 </w:t>
            </w:r>
          </w:p>
          <w:p w14:paraId="49640E7E" w14:textId="77777777" w:rsidR="00783831" w:rsidRPr="00267BCC" w:rsidRDefault="00783831" w:rsidP="00D749F8">
            <w:pPr>
              <w:pStyle w:val="Heading4"/>
              <w:shd w:val="clear" w:color="auto" w:fill="FFFFFF"/>
              <w:spacing w:before="0" w:after="0"/>
              <w:rPr>
                <w:b w:val="0"/>
                <w:bCs w:val="0"/>
                <w:sz w:val="24"/>
                <w:szCs w:val="24"/>
                <w:lang w:val="lv-LV"/>
              </w:rPr>
            </w:pPr>
            <w:r w:rsidRPr="00267BCC">
              <w:rPr>
                <w:b w:val="0"/>
                <w:bCs w:val="0"/>
                <w:sz w:val="24"/>
                <w:szCs w:val="24"/>
                <w:lang w:val="lv-LV"/>
              </w:rPr>
              <w:t>COM(2010) 352)</w:t>
            </w:r>
          </w:p>
        </w:tc>
        <w:tc>
          <w:tcPr>
            <w:tcW w:w="3034" w:type="pct"/>
          </w:tcPr>
          <w:p w14:paraId="49640E7F" w14:textId="77777777" w:rsidR="00783831" w:rsidRPr="00267BCC" w:rsidRDefault="00783831" w:rsidP="00267BCC">
            <w:pPr>
              <w:jc w:val="both"/>
              <w:rPr>
                <w:lang w:val="lv-LV"/>
              </w:rPr>
            </w:pPr>
            <w:r w:rsidRPr="00267BCC">
              <w:rPr>
                <w:lang w:val="lv-LV"/>
              </w:rPr>
              <w:t>Identificē četrus prioritāros virzienus vienotas Eiropas tūrisma politikas attīstībai, kā arī definē vairākas Eiropas līmeņa un daudznacionālas darbības.</w:t>
            </w:r>
          </w:p>
        </w:tc>
      </w:tr>
      <w:tr w:rsidR="00042F2F" w:rsidRPr="00085EAA" w14:paraId="49640E84" w14:textId="77777777" w:rsidTr="00E20BB4">
        <w:tc>
          <w:tcPr>
            <w:tcW w:w="369" w:type="pct"/>
          </w:tcPr>
          <w:p w14:paraId="49640E81" w14:textId="77777777" w:rsidR="00042F2F" w:rsidRPr="00267BCC" w:rsidRDefault="00042F2F"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82" w14:textId="77777777" w:rsidR="00042F2F" w:rsidRPr="00CB19B5" w:rsidRDefault="00F2117A" w:rsidP="00D749F8">
            <w:pPr>
              <w:pStyle w:val="Heading4"/>
              <w:shd w:val="clear" w:color="auto" w:fill="FFFFFF"/>
              <w:spacing w:before="0" w:after="0"/>
              <w:rPr>
                <w:b w:val="0"/>
                <w:bCs w:val="0"/>
                <w:sz w:val="24"/>
                <w:szCs w:val="24"/>
                <w:lang w:val="lv-LV"/>
              </w:rPr>
            </w:pPr>
            <w:r w:rsidRPr="00CB19B5">
              <w:rPr>
                <w:b w:val="0"/>
                <w:bCs w:val="0"/>
                <w:sz w:val="24"/>
                <w:szCs w:val="24"/>
                <w:lang w:val="lv-LV"/>
              </w:rPr>
              <w:t>Eiropas biodaudzveidības</w:t>
            </w:r>
            <w:r w:rsidR="00042F2F" w:rsidRPr="00CB19B5">
              <w:rPr>
                <w:b w:val="0"/>
                <w:bCs w:val="0"/>
                <w:sz w:val="24"/>
                <w:szCs w:val="24"/>
                <w:lang w:val="lv-LV"/>
              </w:rPr>
              <w:t xml:space="preserve"> pētniecības stratēģija 2010 - 2020</w:t>
            </w:r>
          </w:p>
        </w:tc>
        <w:tc>
          <w:tcPr>
            <w:tcW w:w="3034" w:type="pct"/>
          </w:tcPr>
          <w:p w14:paraId="49640E83" w14:textId="77777777" w:rsidR="00042F2F" w:rsidRPr="00CB19B5" w:rsidRDefault="00F10ACE" w:rsidP="00267BCC">
            <w:pPr>
              <w:jc w:val="both"/>
              <w:rPr>
                <w:lang w:val="lv-LV"/>
              </w:rPr>
            </w:pPr>
            <w:r w:rsidRPr="00CB19B5">
              <w:rPr>
                <w:lang w:val="lv-LV"/>
              </w:rPr>
              <w:t>Nosaka aktivitātes ilgtermiņa bioloģiskās dažādības nodrošināšanai un pētniecības attīstībai.</w:t>
            </w:r>
          </w:p>
        </w:tc>
      </w:tr>
      <w:tr w:rsidR="00783831" w:rsidRPr="00267BCC" w14:paraId="49640E86" w14:textId="77777777" w:rsidTr="00C17F8F">
        <w:tc>
          <w:tcPr>
            <w:tcW w:w="5000" w:type="pct"/>
            <w:gridSpan w:val="3"/>
            <w:vAlign w:val="center"/>
          </w:tcPr>
          <w:p w14:paraId="49640E85" w14:textId="77777777" w:rsidR="00783831" w:rsidRPr="00CB19B5" w:rsidRDefault="00783831" w:rsidP="00D749F8">
            <w:pPr>
              <w:jc w:val="center"/>
              <w:rPr>
                <w:i/>
                <w:lang w:val="lv-LV"/>
              </w:rPr>
            </w:pPr>
            <w:r w:rsidRPr="00CB19B5">
              <w:rPr>
                <w:i/>
                <w:lang w:val="lv-LV"/>
              </w:rPr>
              <w:t xml:space="preserve">Latvijas </w:t>
            </w:r>
            <w:r w:rsidR="00432C0D" w:rsidRPr="00CB19B5">
              <w:rPr>
                <w:i/>
                <w:lang w:val="lv-LV"/>
              </w:rPr>
              <w:t>r</w:t>
            </w:r>
            <w:r w:rsidRPr="00CB19B5">
              <w:rPr>
                <w:i/>
                <w:lang w:val="lv-LV"/>
              </w:rPr>
              <w:t>eģionālie plānošanas dokumenti</w:t>
            </w:r>
          </w:p>
        </w:tc>
      </w:tr>
      <w:tr w:rsidR="00783831" w:rsidRPr="00085EAA" w14:paraId="49640E8A" w14:textId="77777777" w:rsidTr="00E20BB4">
        <w:tc>
          <w:tcPr>
            <w:tcW w:w="369" w:type="pct"/>
          </w:tcPr>
          <w:p w14:paraId="49640E87"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88" w14:textId="77777777" w:rsidR="00783831" w:rsidRPr="00CB19B5" w:rsidRDefault="00783831" w:rsidP="00D749F8">
            <w:pPr>
              <w:pStyle w:val="Heading4"/>
              <w:shd w:val="clear" w:color="auto" w:fill="FFFFFF"/>
              <w:spacing w:before="0" w:after="0"/>
              <w:rPr>
                <w:b w:val="0"/>
                <w:bCs w:val="0"/>
                <w:sz w:val="24"/>
                <w:szCs w:val="24"/>
                <w:lang w:val="lv-LV"/>
              </w:rPr>
            </w:pPr>
            <w:r w:rsidRPr="00CB19B5">
              <w:rPr>
                <w:b w:val="0"/>
                <w:bCs w:val="0"/>
                <w:sz w:val="24"/>
                <w:szCs w:val="24"/>
                <w:lang w:val="lv-LV"/>
              </w:rPr>
              <w:t>Vidzemes tūrisma attīstības stratēģija 2007.-2013.gadam</w:t>
            </w:r>
          </w:p>
        </w:tc>
        <w:tc>
          <w:tcPr>
            <w:tcW w:w="3034" w:type="pct"/>
          </w:tcPr>
          <w:p w14:paraId="49640E89" w14:textId="77777777" w:rsidR="00783831" w:rsidRPr="00CB19B5" w:rsidRDefault="008E34F8" w:rsidP="00267BCC">
            <w:pPr>
              <w:jc w:val="both"/>
              <w:rPr>
                <w:lang w:val="lv-LV"/>
              </w:rPr>
            </w:pPr>
            <w:r w:rsidRPr="00CB19B5">
              <w:rPr>
                <w:lang w:val="lv-LV"/>
              </w:rPr>
              <w:t xml:space="preserve">Izvērtēts </w:t>
            </w:r>
            <w:r w:rsidR="00C13BAB" w:rsidRPr="00CB19B5">
              <w:rPr>
                <w:lang w:val="lv-LV"/>
              </w:rPr>
              <w:t xml:space="preserve">Vidzemes tūrisma </w:t>
            </w:r>
            <w:r w:rsidRPr="00CB19B5">
              <w:rPr>
                <w:lang w:val="lv-LV"/>
              </w:rPr>
              <w:t>reģiona tūrisma piedāvājums un attīstības potenciāls un noteikti sasniedzamie mērķi.</w:t>
            </w:r>
          </w:p>
        </w:tc>
      </w:tr>
      <w:tr w:rsidR="00365F14" w:rsidRPr="00085EAA" w14:paraId="49640E8E" w14:textId="77777777" w:rsidTr="00E20BB4">
        <w:tc>
          <w:tcPr>
            <w:tcW w:w="369" w:type="pct"/>
          </w:tcPr>
          <w:p w14:paraId="49640E8B" w14:textId="77777777" w:rsidR="00365F14" w:rsidRPr="00267BCC" w:rsidRDefault="00365F14"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8C" w14:textId="77777777" w:rsidR="00365F14" w:rsidRPr="00CB19B5" w:rsidRDefault="00365F14" w:rsidP="00D749F8">
            <w:pPr>
              <w:rPr>
                <w:lang w:val="lv-LV"/>
              </w:rPr>
            </w:pPr>
            <w:r w:rsidRPr="00CB19B5">
              <w:rPr>
                <w:lang w:val="lv-LV"/>
              </w:rPr>
              <w:t>Kurzemes tūrisma attīstības plāns 2011.- 2015.gadam</w:t>
            </w:r>
          </w:p>
        </w:tc>
        <w:tc>
          <w:tcPr>
            <w:tcW w:w="3034" w:type="pct"/>
          </w:tcPr>
          <w:p w14:paraId="49640E8D" w14:textId="77777777" w:rsidR="00365F14" w:rsidRPr="00CB19B5" w:rsidRDefault="008E34F8" w:rsidP="00267BCC">
            <w:pPr>
              <w:jc w:val="both"/>
              <w:rPr>
                <w:lang w:val="lv-LV"/>
              </w:rPr>
            </w:pPr>
            <w:r w:rsidRPr="00CB19B5">
              <w:rPr>
                <w:lang w:val="lv-LV"/>
              </w:rPr>
              <w:t xml:space="preserve">Izvērtēts </w:t>
            </w:r>
            <w:r w:rsidR="00C13BAB" w:rsidRPr="00CB19B5">
              <w:rPr>
                <w:lang w:val="lv-LV"/>
              </w:rPr>
              <w:t xml:space="preserve">Kurzemes tūrisma </w:t>
            </w:r>
            <w:r w:rsidRPr="00CB19B5">
              <w:rPr>
                <w:lang w:val="lv-LV"/>
              </w:rPr>
              <w:t>reģiona tūrisma piedāvājums un attīstības potenciāls un noteikti sasniedzamie mērķi.</w:t>
            </w:r>
          </w:p>
        </w:tc>
      </w:tr>
      <w:tr w:rsidR="00783831" w:rsidRPr="00085EAA" w14:paraId="49640E92" w14:textId="77777777" w:rsidTr="00E20BB4">
        <w:tc>
          <w:tcPr>
            <w:tcW w:w="369" w:type="pct"/>
          </w:tcPr>
          <w:p w14:paraId="49640E8F"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90" w14:textId="77777777" w:rsidR="00783831" w:rsidRPr="00CB19B5" w:rsidRDefault="00783831" w:rsidP="00D749F8">
            <w:pPr>
              <w:pStyle w:val="Heading4"/>
              <w:shd w:val="clear" w:color="auto" w:fill="FFFFFF"/>
              <w:spacing w:before="0" w:after="0"/>
              <w:rPr>
                <w:b w:val="0"/>
                <w:bCs w:val="0"/>
                <w:sz w:val="24"/>
                <w:szCs w:val="24"/>
                <w:lang w:val="lv-LV"/>
              </w:rPr>
            </w:pPr>
            <w:r w:rsidRPr="00CB19B5">
              <w:rPr>
                <w:b w:val="0"/>
                <w:bCs w:val="0"/>
                <w:sz w:val="24"/>
                <w:szCs w:val="24"/>
                <w:lang w:val="lv-LV"/>
              </w:rPr>
              <w:t xml:space="preserve">Ziemeļvidzemes piekrastes tūrisma attīstības plāns 2012-2018 </w:t>
            </w:r>
          </w:p>
        </w:tc>
        <w:tc>
          <w:tcPr>
            <w:tcW w:w="3034" w:type="pct"/>
          </w:tcPr>
          <w:p w14:paraId="49640E91" w14:textId="77777777" w:rsidR="00783831" w:rsidRPr="00CB19B5" w:rsidRDefault="00783831" w:rsidP="00267BCC">
            <w:pPr>
              <w:jc w:val="both"/>
              <w:rPr>
                <w:lang w:val="lv-LV"/>
              </w:rPr>
            </w:pPr>
            <w:r w:rsidRPr="00CB19B5">
              <w:rPr>
                <w:lang w:val="lv-LV"/>
              </w:rPr>
              <w:t xml:space="preserve">Izvērtēts </w:t>
            </w:r>
            <w:r w:rsidR="00C13BAB" w:rsidRPr="00CB19B5">
              <w:rPr>
                <w:lang w:val="lv-LV"/>
              </w:rPr>
              <w:t>Ziemeļvidzemes piekrastes kā vienota galamērķa</w:t>
            </w:r>
            <w:r w:rsidRPr="00CB19B5">
              <w:rPr>
                <w:lang w:val="lv-LV"/>
              </w:rPr>
              <w:t xml:space="preserve"> tūrisma piedāvājums un attīstības potenciāls un noteikti sasniedzamie mērķi.</w:t>
            </w:r>
          </w:p>
        </w:tc>
      </w:tr>
      <w:tr w:rsidR="00783831" w:rsidRPr="00085EAA" w14:paraId="49640E96" w14:textId="77777777" w:rsidTr="00E20BB4">
        <w:tc>
          <w:tcPr>
            <w:tcW w:w="369" w:type="pct"/>
          </w:tcPr>
          <w:p w14:paraId="49640E93"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94" w14:textId="77777777" w:rsidR="00783831" w:rsidRPr="00267BCC" w:rsidRDefault="00783831" w:rsidP="00D749F8">
            <w:pPr>
              <w:rPr>
                <w:lang w:val="lv-LV"/>
              </w:rPr>
            </w:pPr>
            <w:r w:rsidRPr="00267BCC">
              <w:rPr>
                <w:lang w:val="lv-LV"/>
              </w:rPr>
              <w:t>Latgales reģiona tūrisma attīstības mārketinga plāns</w:t>
            </w:r>
          </w:p>
        </w:tc>
        <w:tc>
          <w:tcPr>
            <w:tcW w:w="3034" w:type="pct"/>
          </w:tcPr>
          <w:p w14:paraId="49640E95" w14:textId="77777777" w:rsidR="00783831" w:rsidRPr="00267BCC" w:rsidRDefault="00783831" w:rsidP="00267BCC">
            <w:pPr>
              <w:jc w:val="both"/>
              <w:rPr>
                <w:lang w:val="lv-LV"/>
              </w:rPr>
            </w:pPr>
            <w:r w:rsidRPr="00267BCC">
              <w:rPr>
                <w:lang w:val="lv-LV"/>
              </w:rPr>
              <w:t xml:space="preserve">Dokumentā ir apkopoti būtiskākie pasākumi, kas ir </w:t>
            </w:r>
            <w:r w:rsidR="00A36085" w:rsidRPr="00267BCC">
              <w:rPr>
                <w:lang w:val="lv-LV"/>
              </w:rPr>
              <w:t>īstenojami</w:t>
            </w:r>
            <w:r w:rsidRPr="00267BCC">
              <w:rPr>
                <w:lang w:val="lv-LV"/>
              </w:rPr>
              <w:t xml:space="preserve"> Latgales tūrisma piedāvājuma virzīšanai  Krievijas tirgū.</w:t>
            </w:r>
          </w:p>
        </w:tc>
      </w:tr>
      <w:tr w:rsidR="00783831" w:rsidRPr="00085EAA" w14:paraId="49640E9A" w14:textId="77777777" w:rsidTr="00E20BB4">
        <w:tc>
          <w:tcPr>
            <w:tcW w:w="369" w:type="pct"/>
          </w:tcPr>
          <w:p w14:paraId="49640E97"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98" w14:textId="77777777" w:rsidR="00783831" w:rsidRPr="00267BCC" w:rsidRDefault="00783831" w:rsidP="00D749F8">
            <w:pPr>
              <w:rPr>
                <w:lang w:val="lv-LV"/>
              </w:rPr>
            </w:pPr>
            <w:r w:rsidRPr="00267BCC">
              <w:rPr>
                <w:lang w:val="lv-LV"/>
              </w:rPr>
              <w:t>Latgales stratēģija 2030</w:t>
            </w:r>
          </w:p>
        </w:tc>
        <w:tc>
          <w:tcPr>
            <w:tcW w:w="3034" w:type="pct"/>
          </w:tcPr>
          <w:p w14:paraId="49640E99" w14:textId="77777777" w:rsidR="00783831" w:rsidRPr="00267BCC" w:rsidRDefault="00783831" w:rsidP="00267BCC">
            <w:pPr>
              <w:jc w:val="both"/>
              <w:rPr>
                <w:lang w:val="lv-LV"/>
              </w:rPr>
            </w:pPr>
            <w:r w:rsidRPr="00267BCC">
              <w:rPr>
                <w:lang w:val="lv-LV"/>
              </w:rPr>
              <w:t xml:space="preserve">Ietvertas </w:t>
            </w:r>
            <w:r w:rsidR="00C17F8F" w:rsidRPr="00267BCC">
              <w:rPr>
                <w:lang w:val="lv-LV"/>
              </w:rPr>
              <w:t>attīstītības programmas „</w:t>
            </w:r>
            <w:r w:rsidR="00432C0D" w:rsidRPr="00267BCC">
              <w:rPr>
                <w:lang w:val="lv-LV"/>
              </w:rPr>
              <w:t xml:space="preserve">Ezeri”, </w:t>
            </w:r>
            <w:r w:rsidRPr="00267BCC">
              <w:rPr>
                <w:lang w:val="lv-LV"/>
              </w:rPr>
              <w:t>„Latgales reģiona pievilcība”, „Savienojumi”, kas paredz tūrisma un tūrisma infrastruktūras attīstību reģionā</w:t>
            </w:r>
            <w:r w:rsidR="008E34F8" w:rsidRPr="00267BCC">
              <w:rPr>
                <w:lang w:val="lv-LV"/>
              </w:rPr>
              <w:t>.</w:t>
            </w:r>
          </w:p>
        </w:tc>
      </w:tr>
      <w:tr w:rsidR="00783831" w:rsidRPr="00085EAA" w14:paraId="49640E9E" w14:textId="77777777" w:rsidTr="00E20BB4">
        <w:tc>
          <w:tcPr>
            <w:tcW w:w="369" w:type="pct"/>
          </w:tcPr>
          <w:p w14:paraId="49640E9B"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9C" w14:textId="77777777" w:rsidR="00783831" w:rsidRPr="00267BCC" w:rsidRDefault="00783831" w:rsidP="00D749F8">
            <w:pPr>
              <w:rPr>
                <w:lang w:val="lv-LV"/>
              </w:rPr>
            </w:pPr>
            <w:r w:rsidRPr="00267BCC">
              <w:rPr>
                <w:lang w:val="lv-LV"/>
              </w:rPr>
              <w:t>Latgales programma 2010. – 2017. gadam</w:t>
            </w:r>
          </w:p>
        </w:tc>
        <w:tc>
          <w:tcPr>
            <w:tcW w:w="3034" w:type="pct"/>
          </w:tcPr>
          <w:p w14:paraId="49640E9D" w14:textId="77777777" w:rsidR="00783831" w:rsidRPr="00267BCC" w:rsidRDefault="00783831" w:rsidP="00267BCC">
            <w:pPr>
              <w:jc w:val="both"/>
              <w:rPr>
                <w:lang w:val="lv-LV"/>
              </w:rPr>
            </w:pPr>
            <w:r w:rsidRPr="00267BCC">
              <w:rPr>
                <w:lang w:val="lv-LV"/>
              </w:rPr>
              <w:t>Noteiktas Latgales</w:t>
            </w:r>
            <w:r w:rsidR="00C13BAB" w:rsidRPr="00267BCC">
              <w:rPr>
                <w:lang w:val="lv-LV"/>
              </w:rPr>
              <w:t xml:space="preserve"> </w:t>
            </w:r>
            <w:r w:rsidR="00C13BAB" w:rsidRPr="00CB19B5">
              <w:rPr>
                <w:lang w:val="lv-LV"/>
              </w:rPr>
              <w:t>plānošanas reģiona</w:t>
            </w:r>
            <w:r w:rsidRPr="00267BCC">
              <w:rPr>
                <w:lang w:val="lv-LV"/>
              </w:rPr>
              <w:t xml:space="preserve"> tūrisma attīstības perspektīvas</w:t>
            </w:r>
            <w:r w:rsidR="008E34F8" w:rsidRPr="00267BCC">
              <w:rPr>
                <w:lang w:val="lv-LV"/>
              </w:rPr>
              <w:t>.</w:t>
            </w:r>
          </w:p>
        </w:tc>
      </w:tr>
      <w:tr w:rsidR="00783831" w:rsidRPr="00085EAA" w14:paraId="49640EA2" w14:textId="77777777" w:rsidTr="00E20BB4">
        <w:tc>
          <w:tcPr>
            <w:tcW w:w="369" w:type="pct"/>
          </w:tcPr>
          <w:p w14:paraId="49640E9F" w14:textId="77777777" w:rsidR="00783831" w:rsidRPr="00267BCC" w:rsidRDefault="00783831"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A0" w14:textId="77777777" w:rsidR="00783831" w:rsidRPr="00267BCC" w:rsidRDefault="00783831" w:rsidP="00D749F8">
            <w:pPr>
              <w:pStyle w:val="Heading4"/>
              <w:shd w:val="clear" w:color="auto" w:fill="FFFFFF"/>
              <w:spacing w:before="0" w:after="0"/>
              <w:rPr>
                <w:b w:val="0"/>
                <w:bCs w:val="0"/>
                <w:sz w:val="24"/>
                <w:szCs w:val="24"/>
                <w:lang w:val="lv-LV"/>
              </w:rPr>
            </w:pPr>
            <w:r w:rsidRPr="00267BCC">
              <w:rPr>
                <w:b w:val="0"/>
                <w:bCs w:val="0"/>
                <w:sz w:val="24"/>
                <w:szCs w:val="24"/>
                <w:lang w:val="lv-LV"/>
              </w:rPr>
              <w:t>Jūrmalas pilsētas tūrisma at</w:t>
            </w:r>
            <w:r w:rsidR="00FD429F" w:rsidRPr="00267BCC">
              <w:rPr>
                <w:b w:val="0"/>
                <w:bCs w:val="0"/>
                <w:sz w:val="24"/>
                <w:szCs w:val="24"/>
                <w:lang w:val="lv-LV"/>
              </w:rPr>
              <w:t>tīstības stratēģija 2007.-2017.</w:t>
            </w:r>
            <w:r w:rsidRPr="00267BCC">
              <w:rPr>
                <w:b w:val="0"/>
                <w:bCs w:val="0"/>
                <w:sz w:val="24"/>
                <w:szCs w:val="24"/>
                <w:lang w:val="lv-LV"/>
              </w:rPr>
              <w:t>gadam</w:t>
            </w:r>
          </w:p>
        </w:tc>
        <w:tc>
          <w:tcPr>
            <w:tcW w:w="3034" w:type="pct"/>
          </w:tcPr>
          <w:p w14:paraId="49640EA1" w14:textId="77777777" w:rsidR="00783831" w:rsidRPr="00267BCC" w:rsidRDefault="00783831" w:rsidP="00267BCC">
            <w:pPr>
              <w:jc w:val="both"/>
              <w:rPr>
                <w:lang w:val="lv-LV"/>
              </w:rPr>
            </w:pPr>
            <w:r w:rsidRPr="00267BCC">
              <w:rPr>
                <w:lang w:val="lv-LV"/>
              </w:rPr>
              <w:t xml:space="preserve">Noteikti mērķi </w:t>
            </w:r>
            <w:r w:rsidR="00C17F8F" w:rsidRPr="00267BCC">
              <w:rPr>
                <w:lang w:val="lv-LV"/>
              </w:rPr>
              <w:t>un darbības virzieni vīzijas – J</w:t>
            </w:r>
            <w:r w:rsidRPr="00267BCC">
              <w:rPr>
                <w:lang w:val="lv-LV"/>
              </w:rPr>
              <w:t xml:space="preserve">ūrmala kā starptautiski pazīstams </w:t>
            </w:r>
            <w:r w:rsidR="00C17F8F" w:rsidRPr="00267BCC">
              <w:rPr>
                <w:lang w:val="lv-LV"/>
              </w:rPr>
              <w:t xml:space="preserve">kūrorts – </w:t>
            </w:r>
            <w:r w:rsidRPr="00267BCC">
              <w:rPr>
                <w:lang w:val="lv-LV"/>
              </w:rPr>
              <w:t>sasniegšanai.</w:t>
            </w:r>
          </w:p>
        </w:tc>
      </w:tr>
      <w:tr w:rsidR="009D7484" w:rsidRPr="00085EAA" w14:paraId="49640EA6" w14:textId="77777777" w:rsidTr="00E20BB4">
        <w:tc>
          <w:tcPr>
            <w:tcW w:w="369" w:type="pct"/>
          </w:tcPr>
          <w:p w14:paraId="49640EA3" w14:textId="77777777" w:rsidR="009D7484" w:rsidRPr="00267BCC" w:rsidRDefault="009D7484" w:rsidP="00D749F8">
            <w:pPr>
              <w:pStyle w:val="ListParagraph"/>
              <w:numPr>
                <w:ilvl w:val="0"/>
                <w:numId w:val="6"/>
              </w:numPr>
              <w:spacing w:line="240" w:lineRule="auto"/>
              <w:ind w:left="357" w:hanging="357"/>
              <w:contextualSpacing w:val="0"/>
              <w:jc w:val="center"/>
              <w:rPr>
                <w:rFonts w:ascii="Times New Roman" w:hAnsi="Times New Roman"/>
                <w:sz w:val="24"/>
                <w:szCs w:val="24"/>
                <w:lang w:val="lv-LV"/>
              </w:rPr>
            </w:pPr>
          </w:p>
        </w:tc>
        <w:tc>
          <w:tcPr>
            <w:tcW w:w="1597" w:type="pct"/>
          </w:tcPr>
          <w:p w14:paraId="49640EA4" w14:textId="77777777" w:rsidR="009D7484" w:rsidRPr="00267BCC" w:rsidRDefault="009D7484" w:rsidP="00D749F8">
            <w:pPr>
              <w:rPr>
                <w:lang w:val="lv-LV"/>
              </w:rPr>
            </w:pPr>
            <w:r w:rsidRPr="00267BCC">
              <w:rPr>
                <w:lang w:val="lv-LV"/>
              </w:rPr>
              <w:t>Jūrmalas kūrorta attīstības koncepcija 2008.-2018.gadam</w:t>
            </w:r>
          </w:p>
        </w:tc>
        <w:tc>
          <w:tcPr>
            <w:tcW w:w="3034" w:type="pct"/>
          </w:tcPr>
          <w:p w14:paraId="49640EA5" w14:textId="77777777" w:rsidR="009D7484" w:rsidRPr="00267BCC" w:rsidRDefault="009D7484" w:rsidP="00267BCC">
            <w:pPr>
              <w:jc w:val="both"/>
              <w:rPr>
                <w:lang w:val="lv-LV"/>
              </w:rPr>
            </w:pPr>
            <w:r w:rsidRPr="00267BCC">
              <w:rPr>
                <w:lang w:val="lv-LV"/>
              </w:rPr>
              <w:t>Noteikti mērķi, uzdevumi attīstīties kā veselības kūrortam</w:t>
            </w:r>
            <w:r w:rsidR="008E34F8" w:rsidRPr="00267BCC">
              <w:rPr>
                <w:lang w:val="lv-LV"/>
              </w:rPr>
              <w:t>.</w:t>
            </w:r>
          </w:p>
        </w:tc>
      </w:tr>
    </w:tbl>
    <w:p w14:paraId="49640EA7" w14:textId="77777777" w:rsidR="00043788" w:rsidRPr="00807B28" w:rsidRDefault="00043788" w:rsidP="00267BCC">
      <w:pPr>
        <w:rPr>
          <w:sz w:val="28"/>
          <w:lang w:val="lv-LV"/>
        </w:rPr>
      </w:pPr>
    </w:p>
    <w:p w14:paraId="49640EA8" w14:textId="77777777" w:rsidR="00043788" w:rsidRPr="00807B28" w:rsidRDefault="00043788" w:rsidP="00267BCC">
      <w:pPr>
        <w:rPr>
          <w:sz w:val="28"/>
          <w:lang w:val="lv-LV"/>
        </w:rPr>
      </w:pPr>
    </w:p>
    <w:p w14:paraId="49640EAB" w14:textId="77777777" w:rsidR="00F53BFA" w:rsidRPr="00807B28" w:rsidRDefault="00F53BFA" w:rsidP="00267BCC">
      <w:pPr>
        <w:tabs>
          <w:tab w:val="left" w:pos="6480"/>
          <w:tab w:val="right" w:pos="9000"/>
        </w:tabs>
        <w:ind w:right="71"/>
        <w:rPr>
          <w:color w:val="000000"/>
          <w:sz w:val="28"/>
          <w:lang w:val="lv-LV"/>
        </w:rPr>
      </w:pPr>
    </w:p>
    <w:p w14:paraId="61F046D8" w14:textId="3C44E715" w:rsidR="007F24D9" w:rsidRPr="00267BCC" w:rsidRDefault="007F24D9" w:rsidP="007F24D9">
      <w:pPr>
        <w:tabs>
          <w:tab w:val="left" w:pos="6480"/>
        </w:tabs>
        <w:ind w:right="71"/>
        <w:rPr>
          <w:color w:val="000000"/>
          <w:lang w:val="lv-LV"/>
        </w:rPr>
      </w:pPr>
      <w:r>
        <w:rPr>
          <w:color w:val="000000"/>
          <w:lang w:val="lv-LV"/>
        </w:rPr>
        <w:t>Ministru prezidents</w:t>
      </w:r>
      <w:r>
        <w:rPr>
          <w:color w:val="000000"/>
          <w:lang w:val="lv-LV"/>
        </w:rPr>
        <w:tab/>
      </w:r>
      <w:r>
        <w:rPr>
          <w:color w:val="000000"/>
          <w:lang w:val="lv-LV"/>
        </w:rPr>
        <w:tab/>
        <w:t>L.Straujuma</w:t>
      </w:r>
    </w:p>
    <w:p w14:paraId="59DAC3AE" w14:textId="77777777" w:rsidR="007F24D9" w:rsidRPr="00267BCC" w:rsidRDefault="007F24D9" w:rsidP="007F24D9">
      <w:pPr>
        <w:tabs>
          <w:tab w:val="left" w:pos="6480"/>
          <w:tab w:val="right" w:pos="9000"/>
        </w:tabs>
        <w:ind w:right="71"/>
        <w:rPr>
          <w:color w:val="000000"/>
          <w:lang w:val="lv-LV"/>
        </w:rPr>
      </w:pPr>
    </w:p>
    <w:p w14:paraId="3891C3AD" w14:textId="77777777" w:rsidR="007F24D9" w:rsidRPr="00267BCC" w:rsidRDefault="007F24D9" w:rsidP="007F24D9">
      <w:pPr>
        <w:tabs>
          <w:tab w:val="left" w:pos="6480"/>
          <w:tab w:val="right" w:pos="9000"/>
        </w:tabs>
        <w:ind w:right="71"/>
        <w:rPr>
          <w:color w:val="000000"/>
          <w:lang w:val="lv-LV"/>
        </w:rPr>
      </w:pPr>
    </w:p>
    <w:p w14:paraId="4B0C990A" w14:textId="199C48E9" w:rsidR="007F24D9" w:rsidRPr="00267BCC" w:rsidRDefault="007F24D9" w:rsidP="007F24D9">
      <w:pPr>
        <w:tabs>
          <w:tab w:val="left" w:pos="6480"/>
          <w:tab w:val="right" w:pos="9000"/>
        </w:tabs>
        <w:ind w:right="71"/>
        <w:rPr>
          <w:color w:val="000000"/>
          <w:lang w:val="lv-LV"/>
        </w:rPr>
      </w:pPr>
      <w:r>
        <w:rPr>
          <w:color w:val="000000"/>
          <w:lang w:val="lv-LV"/>
        </w:rPr>
        <w:t>Ekonomikas ministrs</w:t>
      </w:r>
      <w:r>
        <w:rPr>
          <w:color w:val="000000"/>
          <w:lang w:val="lv-LV"/>
        </w:rPr>
        <w:tab/>
        <w:t xml:space="preserve">            V.Dombrovskis</w:t>
      </w:r>
    </w:p>
    <w:p w14:paraId="3D5802A1" w14:textId="77777777" w:rsidR="007F24D9" w:rsidRPr="00267BCC" w:rsidRDefault="007F24D9" w:rsidP="007F24D9">
      <w:pPr>
        <w:tabs>
          <w:tab w:val="left" w:pos="6480"/>
          <w:tab w:val="right" w:pos="9000"/>
        </w:tabs>
        <w:ind w:right="74"/>
        <w:rPr>
          <w:color w:val="000000"/>
          <w:lang w:val="lv-LV"/>
        </w:rPr>
      </w:pPr>
    </w:p>
    <w:p w14:paraId="7469A6D6" w14:textId="77777777" w:rsidR="007F24D9" w:rsidRPr="00267BCC" w:rsidRDefault="007F24D9" w:rsidP="007F24D9">
      <w:pPr>
        <w:tabs>
          <w:tab w:val="left" w:pos="6480"/>
          <w:tab w:val="right" w:pos="9000"/>
        </w:tabs>
        <w:ind w:right="74"/>
        <w:rPr>
          <w:color w:val="000000"/>
          <w:lang w:val="lv-LV"/>
        </w:rPr>
      </w:pPr>
    </w:p>
    <w:p w14:paraId="14326378" w14:textId="35FBD80D" w:rsidR="007F24D9" w:rsidRPr="00267BCC" w:rsidRDefault="007F24D9" w:rsidP="007F24D9">
      <w:pPr>
        <w:tabs>
          <w:tab w:val="left" w:pos="6480"/>
          <w:tab w:val="right" w:pos="9000"/>
        </w:tabs>
        <w:ind w:right="74"/>
        <w:rPr>
          <w:color w:val="000000"/>
          <w:lang w:val="lv-LV"/>
        </w:rPr>
      </w:pPr>
      <w:r w:rsidRPr="00267BCC">
        <w:rPr>
          <w:color w:val="000000"/>
          <w:lang w:val="lv-LV"/>
        </w:rPr>
        <w:t>Iesniedzējs:</w:t>
      </w:r>
      <w:r>
        <w:rPr>
          <w:color w:val="000000"/>
          <w:lang w:val="lv-LV"/>
        </w:rPr>
        <w:t xml:space="preserve"> </w:t>
      </w:r>
    </w:p>
    <w:p w14:paraId="6C1EB281" w14:textId="78001393" w:rsidR="007F24D9" w:rsidRPr="00267BCC" w:rsidRDefault="007F24D9" w:rsidP="007F24D9">
      <w:pPr>
        <w:tabs>
          <w:tab w:val="left" w:pos="6480"/>
          <w:tab w:val="right" w:pos="9000"/>
        </w:tabs>
        <w:ind w:right="74"/>
        <w:rPr>
          <w:color w:val="000000"/>
          <w:lang w:val="lv-LV"/>
        </w:rPr>
      </w:pPr>
      <w:r>
        <w:rPr>
          <w:color w:val="000000"/>
          <w:lang w:val="lv-LV"/>
        </w:rPr>
        <w:t>ekonomikas ministrs</w:t>
      </w:r>
      <w:r>
        <w:rPr>
          <w:color w:val="000000"/>
          <w:lang w:val="lv-LV"/>
        </w:rPr>
        <w:tab/>
        <w:t xml:space="preserve">            V.Dombrovskis</w:t>
      </w:r>
    </w:p>
    <w:p w14:paraId="70B2FCBD" w14:textId="77777777" w:rsidR="007F24D9" w:rsidRPr="00267BCC" w:rsidRDefault="007F24D9" w:rsidP="007F24D9">
      <w:pPr>
        <w:keepLines/>
        <w:widowControl w:val="0"/>
        <w:tabs>
          <w:tab w:val="left" w:pos="6480"/>
          <w:tab w:val="right" w:pos="7560"/>
        </w:tabs>
        <w:ind w:left="539"/>
        <w:rPr>
          <w:color w:val="000000"/>
          <w:lang w:val="lv-LV"/>
        </w:rPr>
      </w:pPr>
    </w:p>
    <w:p w14:paraId="1D96E4DC" w14:textId="77777777" w:rsidR="007F24D9" w:rsidRPr="00267BCC" w:rsidRDefault="007F24D9" w:rsidP="007F24D9">
      <w:pPr>
        <w:keepLines/>
        <w:widowControl w:val="0"/>
        <w:tabs>
          <w:tab w:val="left" w:pos="6480"/>
          <w:tab w:val="right" w:pos="7560"/>
        </w:tabs>
        <w:ind w:left="539"/>
        <w:rPr>
          <w:color w:val="000000"/>
          <w:lang w:val="lv-LV"/>
        </w:rPr>
      </w:pPr>
    </w:p>
    <w:p w14:paraId="40D68BB0" w14:textId="77777777" w:rsidR="007F24D9" w:rsidRPr="00267BCC" w:rsidRDefault="007F24D9" w:rsidP="007F24D9">
      <w:pPr>
        <w:keepLines/>
        <w:widowControl w:val="0"/>
        <w:tabs>
          <w:tab w:val="left" w:pos="6480"/>
          <w:tab w:val="right" w:pos="7560"/>
        </w:tabs>
        <w:rPr>
          <w:color w:val="000000"/>
          <w:lang w:val="lv-LV"/>
        </w:rPr>
      </w:pPr>
      <w:r w:rsidRPr="00267BCC">
        <w:rPr>
          <w:color w:val="000000"/>
          <w:lang w:val="lv-LV"/>
        </w:rPr>
        <w:t>Vīza:</w:t>
      </w:r>
    </w:p>
    <w:p w14:paraId="13DAC9DA" w14:textId="1446B7A6" w:rsidR="007F24D9" w:rsidRPr="00267BCC" w:rsidRDefault="007F24D9" w:rsidP="007F24D9">
      <w:pPr>
        <w:rPr>
          <w:bCs/>
          <w:color w:val="000000"/>
          <w:lang w:val="lv-LV"/>
        </w:rPr>
      </w:pPr>
      <w:r>
        <w:rPr>
          <w:bCs/>
          <w:color w:val="000000"/>
          <w:lang w:val="lv-LV"/>
        </w:rPr>
        <w:t>valsts sekretārs</w:t>
      </w:r>
      <w:r w:rsidRPr="00267BCC">
        <w:rPr>
          <w:bCs/>
          <w:color w:val="000000"/>
          <w:lang w:val="lv-LV"/>
        </w:rPr>
        <w:tab/>
      </w:r>
      <w:r w:rsidRPr="00267BCC">
        <w:rPr>
          <w:bCs/>
          <w:color w:val="000000"/>
          <w:lang w:val="lv-LV"/>
        </w:rPr>
        <w:tab/>
      </w:r>
      <w:r w:rsidRPr="00267BCC">
        <w:rPr>
          <w:bCs/>
          <w:color w:val="000000"/>
          <w:lang w:val="lv-LV"/>
        </w:rPr>
        <w:tab/>
      </w:r>
      <w:r>
        <w:rPr>
          <w:bCs/>
          <w:color w:val="000000"/>
          <w:lang w:val="lv-LV"/>
        </w:rPr>
        <w:tab/>
        <w:t xml:space="preserve"> </w:t>
      </w:r>
      <w:r w:rsidRPr="00267BCC">
        <w:rPr>
          <w:bCs/>
          <w:color w:val="000000"/>
          <w:lang w:val="lv-LV"/>
        </w:rPr>
        <w:tab/>
      </w:r>
      <w:r w:rsidRPr="00267BCC">
        <w:rPr>
          <w:bCs/>
          <w:color w:val="000000"/>
          <w:lang w:val="lv-LV"/>
        </w:rPr>
        <w:tab/>
      </w:r>
      <w:r>
        <w:rPr>
          <w:bCs/>
          <w:color w:val="000000"/>
          <w:lang w:val="lv-LV"/>
        </w:rPr>
        <w:t xml:space="preserve">             </w:t>
      </w:r>
      <w:r w:rsidRPr="00267BCC">
        <w:rPr>
          <w:bCs/>
          <w:color w:val="000000"/>
          <w:lang w:val="lv-LV"/>
        </w:rPr>
        <w:tab/>
      </w:r>
      <w:r>
        <w:rPr>
          <w:bCs/>
          <w:color w:val="000000"/>
          <w:lang w:val="lv-LV"/>
        </w:rPr>
        <w:t>M.Lazdovskis</w:t>
      </w:r>
    </w:p>
    <w:p w14:paraId="4B7E6A7D" w14:textId="77777777" w:rsidR="007F24D9" w:rsidRPr="00267BCC" w:rsidRDefault="007F24D9" w:rsidP="007F24D9">
      <w:pPr>
        <w:tabs>
          <w:tab w:val="left" w:pos="1829"/>
        </w:tabs>
        <w:rPr>
          <w:sz w:val="20"/>
          <w:szCs w:val="20"/>
          <w:lang w:val="lv-LV"/>
        </w:rPr>
      </w:pPr>
    </w:p>
    <w:p w14:paraId="4BC82363" w14:textId="77777777" w:rsidR="007F24D9" w:rsidRDefault="007F24D9" w:rsidP="007F24D9">
      <w:pPr>
        <w:tabs>
          <w:tab w:val="left" w:pos="1829"/>
        </w:tabs>
        <w:jc w:val="both"/>
        <w:rPr>
          <w:bCs/>
          <w:sz w:val="20"/>
          <w:szCs w:val="20"/>
          <w:lang w:val="lv-LV"/>
        </w:rPr>
      </w:pPr>
    </w:p>
    <w:p w14:paraId="58026EF8" w14:textId="77777777" w:rsidR="007F24D9" w:rsidRDefault="007F24D9" w:rsidP="007F24D9">
      <w:pPr>
        <w:tabs>
          <w:tab w:val="left" w:pos="1829"/>
        </w:tabs>
        <w:jc w:val="both"/>
        <w:rPr>
          <w:bCs/>
          <w:sz w:val="20"/>
          <w:szCs w:val="20"/>
          <w:lang w:val="lv-LV"/>
        </w:rPr>
      </w:pPr>
    </w:p>
    <w:p w14:paraId="70681069" w14:textId="77777777" w:rsidR="007F24D9" w:rsidRDefault="007F24D9" w:rsidP="007F24D9">
      <w:pPr>
        <w:tabs>
          <w:tab w:val="left" w:pos="1829"/>
        </w:tabs>
        <w:jc w:val="both"/>
        <w:rPr>
          <w:bCs/>
          <w:sz w:val="20"/>
          <w:szCs w:val="20"/>
          <w:lang w:val="lv-LV"/>
        </w:rPr>
      </w:pPr>
    </w:p>
    <w:p w14:paraId="7335339F" w14:textId="77777777" w:rsidR="00624B51" w:rsidRDefault="00624B51" w:rsidP="007F24D9">
      <w:pPr>
        <w:tabs>
          <w:tab w:val="left" w:pos="1829"/>
        </w:tabs>
        <w:jc w:val="both"/>
        <w:rPr>
          <w:bCs/>
          <w:sz w:val="20"/>
          <w:szCs w:val="20"/>
          <w:lang w:val="lv-LV"/>
        </w:rPr>
      </w:pPr>
    </w:p>
    <w:p w14:paraId="5B0A4203" w14:textId="77777777" w:rsidR="00624B51" w:rsidRDefault="00624B51" w:rsidP="007F24D9">
      <w:pPr>
        <w:tabs>
          <w:tab w:val="left" w:pos="1829"/>
        </w:tabs>
        <w:jc w:val="both"/>
        <w:rPr>
          <w:bCs/>
          <w:sz w:val="20"/>
          <w:szCs w:val="20"/>
          <w:lang w:val="lv-LV"/>
        </w:rPr>
      </w:pPr>
    </w:p>
    <w:p w14:paraId="33935278" w14:textId="77777777" w:rsidR="00624B51" w:rsidRDefault="00624B51" w:rsidP="007F24D9">
      <w:pPr>
        <w:tabs>
          <w:tab w:val="left" w:pos="1829"/>
        </w:tabs>
        <w:jc w:val="both"/>
        <w:rPr>
          <w:bCs/>
          <w:sz w:val="20"/>
          <w:szCs w:val="20"/>
          <w:lang w:val="lv-LV"/>
        </w:rPr>
      </w:pPr>
    </w:p>
    <w:p w14:paraId="35CF9638" w14:textId="77777777" w:rsidR="00624B51" w:rsidRDefault="00624B51" w:rsidP="007F24D9">
      <w:pPr>
        <w:tabs>
          <w:tab w:val="left" w:pos="1829"/>
        </w:tabs>
        <w:jc w:val="both"/>
        <w:rPr>
          <w:bCs/>
          <w:sz w:val="20"/>
          <w:szCs w:val="20"/>
          <w:lang w:val="lv-LV"/>
        </w:rPr>
      </w:pPr>
    </w:p>
    <w:p w14:paraId="77C2A6E6" w14:textId="77777777" w:rsidR="00624B51" w:rsidRDefault="00624B51" w:rsidP="007F24D9">
      <w:pPr>
        <w:tabs>
          <w:tab w:val="left" w:pos="1829"/>
        </w:tabs>
        <w:jc w:val="both"/>
        <w:rPr>
          <w:bCs/>
          <w:sz w:val="20"/>
          <w:szCs w:val="20"/>
          <w:lang w:val="lv-LV"/>
        </w:rPr>
      </w:pPr>
    </w:p>
    <w:p w14:paraId="0189CD7B" w14:textId="77777777" w:rsidR="00624B51" w:rsidRDefault="00624B51" w:rsidP="007F24D9">
      <w:pPr>
        <w:tabs>
          <w:tab w:val="left" w:pos="1829"/>
        </w:tabs>
        <w:jc w:val="both"/>
        <w:rPr>
          <w:bCs/>
          <w:sz w:val="20"/>
          <w:szCs w:val="20"/>
          <w:lang w:val="lv-LV"/>
        </w:rPr>
      </w:pPr>
    </w:p>
    <w:p w14:paraId="1E9C87D5" w14:textId="77777777" w:rsidR="00624B51" w:rsidRDefault="00624B51" w:rsidP="007F24D9">
      <w:pPr>
        <w:tabs>
          <w:tab w:val="left" w:pos="1829"/>
        </w:tabs>
        <w:jc w:val="both"/>
        <w:rPr>
          <w:bCs/>
          <w:sz w:val="20"/>
          <w:szCs w:val="20"/>
          <w:lang w:val="lv-LV"/>
        </w:rPr>
      </w:pPr>
    </w:p>
    <w:p w14:paraId="7613A6EE" w14:textId="77777777" w:rsidR="00624B51" w:rsidRDefault="00624B51" w:rsidP="007F24D9">
      <w:pPr>
        <w:tabs>
          <w:tab w:val="left" w:pos="1829"/>
        </w:tabs>
        <w:jc w:val="both"/>
        <w:rPr>
          <w:bCs/>
          <w:sz w:val="20"/>
          <w:szCs w:val="20"/>
          <w:lang w:val="lv-LV"/>
        </w:rPr>
      </w:pPr>
    </w:p>
    <w:p w14:paraId="6AF7F8C6" w14:textId="77777777" w:rsidR="00624B51" w:rsidRPr="00267BCC" w:rsidRDefault="00624B51" w:rsidP="007F24D9">
      <w:pPr>
        <w:tabs>
          <w:tab w:val="left" w:pos="1829"/>
        </w:tabs>
        <w:jc w:val="both"/>
        <w:rPr>
          <w:bCs/>
          <w:sz w:val="20"/>
          <w:szCs w:val="20"/>
          <w:lang w:val="lv-LV"/>
        </w:rPr>
      </w:pPr>
    </w:p>
    <w:p w14:paraId="634A70B2" w14:textId="77777777" w:rsidR="007F24D9" w:rsidRPr="00267BCC" w:rsidRDefault="007F24D9" w:rsidP="007F24D9">
      <w:pPr>
        <w:tabs>
          <w:tab w:val="left" w:pos="1829"/>
        </w:tabs>
        <w:jc w:val="both"/>
        <w:rPr>
          <w:bCs/>
          <w:sz w:val="20"/>
          <w:szCs w:val="20"/>
          <w:lang w:val="lv-LV"/>
        </w:rPr>
      </w:pPr>
    </w:p>
    <w:p w14:paraId="39D253BA" w14:textId="108C5B8A" w:rsidR="007F24D9" w:rsidRPr="00267BCC" w:rsidRDefault="007F24D9" w:rsidP="007F24D9">
      <w:pPr>
        <w:tabs>
          <w:tab w:val="left" w:pos="1829"/>
        </w:tabs>
        <w:jc w:val="both"/>
        <w:rPr>
          <w:bCs/>
          <w:sz w:val="20"/>
          <w:szCs w:val="20"/>
          <w:lang w:val="lv-LV"/>
        </w:rPr>
      </w:pPr>
      <w:r>
        <w:rPr>
          <w:bCs/>
          <w:sz w:val="20"/>
          <w:szCs w:val="20"/>
          <w:lang w:val="lv-LV"/>
        </w:rPr>
        <w:t>16.05.2014 08:49</w:t>
      </w:r>
    </w:p>
    <w:p w14:paraId="54E2D219" w14:textId="3B65228B" w:rsidR="007F24D9" w:rsidRPr="00ED4C7D" w:rsidRDefault="007F24D9" w:rsidP="007F24D9">
      <w:pPr>
        <w:tabs>
          <w:tab w:val="left" w:pos="1829"/>
        </w:tabs>
        <w:jc w:val="both"/>
        <w:rPr>
          <w:bCs/>
          <w:sz w:val="20"/>
          <w:szCs w:val="20"/>
          <w:lang w:val="lv-LV"/>
        </w:rPr>
      </w:pPr>
      <w:r>
        <w:rPr>
          <w:sz w:val="20"/>
          <w:szCs w:val="20"/>
          <w:lang w:val="lv-LV"/>
        </w:rPr>
        <w:t>20 135</w:t>
      </w:r>
    </w:p>
    <w:p w14:paraId="1CA2E685" w14:textId="77777777" w:rsidR="007F24D9" w:rsidRPr="00267BCC" w:rsidRDefault="007F24D9" w:rsidP="007F24D9">
      <w:pPr>
        <w:tabs>
          <w:tab w:val="left" w:pos="1829"/>
        </w:tabs>
        <w:jc w:val="both"/>
        <w:rPr>
          <w:bCs/>
          <w:sz w:val="20"/>
          <w:szCs w:val="20"/>
          <w:lang w:val="lv-LV"/>
        </w:rPr>
      </w:pPr>
      <w:r>
        <w:rPr>
          <w:bCs/>
          <w:sz w:val="20"/>
          <w:szCs w:val="20"/>
          <w:lang w:val="lv-LV"/>
        </w:rPr>
        <w:t>J.Volberts</w:t>
      </w:r>
    </w:p>
    <w:p w14:paraId="30724333" w14:textId="77777777" w:rsidR="007F24D9" w:rsidRPr="00267BCC" w:rsidRDefault="007F24D9" w:rsidP="007F24D9">
      <w:pPr>
        <w:tabs>
          <w:tab w:val="left" w:pos="1829"/>
        </w:tabs>
        <w:jc w:val="both"/>
        <w:rPr>
          <w:lang w:val="lv-LV"/>
        </w:rPr>
      </w:pPr>
      <w:r>
        <w:rPr>
          <w:bCs/>
          <w:sz w:val="20"/>
          <w:szCs w:val="20"/>
          <w:lang w:val="lv-LV"/>
        </w:rPr>
        <w:t>67013021; Janis.Volberts</w:t>
      </w:r>
      <w:r w:rsidRPr="00267BCC">
        <w:rPr>
          <w:bCs/>
          <w:sz w:val="20"/>
          <w:szCs w:val="20"/>
          <w:lang w:val="lv-LV"/>
        </w:rPr>
        <w:t>@em.gov.lv</w:t>
      </w:r>
    </w:p>
    <w:p w14:paraId="49640EAD" w14:textId="77777777" w:rsidR="00F53BFA" w:rsidRPr="00267BCC" w:rsidRDefault="00F53BFA" w:rsidP="00267BCC">
      <w:pPr>
        <w:tabs>
          <w:tab w:val="left" w:pos="6480"/>
          <w:tab w:val="right" w:pos="9000"/>
        </w:tabs>
        <w:ind w:right="74"/>
        <w:rPr>
          <w:color w:val="000000"/>
          <w:lang w:val="lv-LV"/>
        </w:rPr>
      </w:pPr>
    </w:p>
    <w:p w14:paraId="49640EAE" w14:textId="77777777" w:rsidR="00F53BFA" w:rsidRPr="00267BCC" w:rsidRDefault="00F53BFA" w:rsidP="00267BCC">
      <w:pPr>
        <w:tabs>
          <w:tab w:val="left" w:pos="6480"/>
          <w:tab w:val="right" w:pos="9000"/>
        </w:tabs>
        <w:ind w:right="74"/>
        <w:rPr>
          <w:color w:val="000000"/>
          <w:lang w:val="lv-LV"/>
        </w:rPr>
      </w:pPr>
    </w:p>
    <w:sectPr w:rsidR="00F53BFA" w:rsidRPr="00267BCC" w:rsidSect="00605FEE">
      <w:headerReference w:type="default" r:id="rId23"/>
      <w:footerReference w:type="defaul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AE73" w14:textId="77777777" w:rsidR="00446997" w:rsidRDefault="00446997" w:rsidP="00783831">
      <w:r>
        <w:separator/>
      </w:r>
    </w:p>
  </w:endnote>
  <w:endnote w:type="continuationSeparator" w:id="0">
    <w:p w14:paraId="0DEB9BEE" w14:textId="77777777" w:rsidR="00446997" w:rsidRDefault="00446997" w:rsidP="0078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A2B5" w14:textId="77777777" w:rsidR="00A06892" w:rsidRPr="000B2D83" w:rsidRDefault="00A06892" w:rsidP="00807B28">
    <w:pPr>
      <w:tabs>
        <w:tab w:val="center" w:pos="4819"/>
        <w:tab w:val="right" w:pos="9071"/>
      </w:tabs>
      <w:jc w:val="both"/>
      <w:rPr>
        <w:sz w:val="20"/>
        <w:szCs w:val="20"/>
        <w:lang w:val="de-DE" w:eastAsia="en-US"/>
      </w:rPr>
    </w:pPr>
    <w:r w:rsidRPr="00116613">
      <w:rPr>
        <w:sz w:val="20"/>
        <w:szCs w:val="20"/>
        <w:lang w:val="de-DE" w:eastAsia="en-US"/>
      </w:rPr>
      <w:t>E</w:t>
    </w:r>
    <w:r>
      <w:rPr>
        <w:sz w:val="20"/>
        <w:szCs w:val="20"/>
        <w:lang w:val="de-DE" w:eastAsia="en-US"/>
      </w:rPr>
      <w:t>MPam_050314_turisms;</w:t>
    </w:r>
    <w:r w:rsidRPr="00116613">
      <w:rPr>
        <w:sz w:val="20"/>
        <w:szCs w:val="20"/>
        <w:lang w:val="de-DE" w:eastAsia="en-US"/>
      </w:rPr>
      <w:t xml:space="preserve"> </w:t>
    </w:r>
    <w:r w:rsidRPr="00116613">
      <w:rPr>
        <w:sz w:val="20"/>
        <w:szCs w:val="20"/>
        <w:lang w:val="lv-LV" w:eastAsia="en-US"/>
      </w:rPr>
      <w:t>Lat</w:t>
    </w:r>
    <w:r>
      <w:rPr>
        <w:sz w:val="20"/>
        <w:szCs w:val="20"/>
        <w:lang w:val="lv-LV" w:eastAsia="en-US"/>
      </w:rPr>
      <w:t>vijas tūrisma attīstības pamatnostādnes 2014.-2020.gadam (TA-728)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0EE0" w14:textId="22634CA2" w:rsidR="00A06892" w:rsidRPr="000B2D83" w:rsidRDefault="00A06892" w:rsidP="002E252F">
    <w:pPr>
      <w:tabs>
        <w:tab w:val="center" w:pos="4819"/>
        <w:tab w:val="right" w:pos="9071"/>
      </w:tabs>
      <w:jc w:val="both"/>
      <w:rPr>
        <w:sz w:val="20"/>
        <w:szCs w:val="20"/>
        <w:lang w:val="de-DE" w:eastAsia="en-US"/>
      </w:rPr>
    </w:pPr>
    <w:r w:rsidRPr="00116613">
      <w:rPr>
        <w:sz w:val="20"/>
        <w:szCs w:val="20"/>
        <w:lang w:val="de-DE" w:eastAsia="en-US"/>
      </w:rPr>
      <w:t>E</w:t>
    </w:r>
    <w:r>
      <w:rPr>
        <w:sz w:val="20"/>
        <w:szCs w:val="20"/>
        <w:lang w:val="de-DE" w:eastAsia="en-US"/>
      </w:rPr>
      <w:t>MPam_050314_turisms;</w:t>
    </w:r>
    <w:r w:rsidRPr="00116613">
      <w:rPr>
        <w:sz w:val="20"/>
        <w:szCs w:val="20"/>
        <w:lang w:val="de-DE" w:eastAsia="en-US"/>
      </w:rPr>
      <w:t xml:space="preserve"> </w:t>
    </w:r>
    <w:r w:rsidRPr="00116613">
      <w:rPr>
        <w:sz w:val="20"/>
        <w:szCs w:val="20"/>
        <w:lang w:val="lv-LV" w:eastAsia="en-US"/>
      </w:rPr>
      <w:t>Lat</w:t>
    </w:r>
    <w:r>
      <w:rPr>
        <w:sz w:val="20"/>
        <w:szCs w:val="20"/>
        <w:lang w:val="lv-LV" w:eastAsia="en-US"/>
      </w:rPr>
      <w:t>vijas tūrisma attīstības pamatnostādnes 2014.-2020.gadam (TA-728)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FACC" w14:textId="77777777" w:rsidR="00446997" w:rsidRDefault="00446997" w:rsidP="00783831">
      <w:r>
        <w:separator/>
      </w:r>
    </w:p>
  </w:footnote>
  <w:footnote w:type="continuationSeparator" w:id="0">
    <w:p w14:paraId="45305D8A" w14:textId="77777777" w:rsidR="00446997" w:rsidRDefault="00446997" w:rsidP="00783831">
      <w:r>
        <w:continuationSeparator/>
      </w:r>
    </w:p>
  </w:footnote>
  <w:footnote w:id="1">
    <w:p w14:paraId="49640EE1" w14:textId="77777777" w:rsidR="00A06892" w:rsidRPr="00263B9F" w:rsidRDefault="00A06892" w:rsidP="00417CF0">
      <w:pPr>
        <w:pStyle w:val="FootnoteText"/>
      </w:pPr>
      <w:r>
        <w:rPr>
          <w:rStyle w:val="FootnoteReference"/>
        </w:rPr>
        <w:footnoteRef/>
      </w:r>
      <w:r>
        <w:t xml:space="preserve"> </w:t>
      </w:r>
      <w:r w:rsidRPr="00263B9F">
        <w:t>ANPTO Pasaules Tūrisma barometrs, Janvāris 2010</w:t>
      </w:r>
    </w:p>
  </w:footnote>
  <w:footnote w:id="2">
    <w:p w14:paraId="49640EE2" w14:textId="77777777" w:rsidR="00A06892" w:rsidRPr="00263B9F" w:rsidRDefault="00A06892" w:rsidP="00417CF0">
      <w:pPr>
        <w:pStyle w:val="FootnoteText"/>
      </w:pPr>
      <w:r w:rsidRPr="00263B9F">
        <w:rPr>
          <w:rStyle w:val="FootnoteReference"/>
        </w:rPr>
        <w:footnoteRef/>
      </w:r>
      <w:r w:rsidRPr="00263B9F">
        <w:t xml:space="preserve"> PCTP preses ziņa, 2010.gada 11.marts</w:t>
      </w:r>
    </w:p>
  </w:footnote>
  <w:footnote w:id="3">
    <w:p w14:paraId="49640EE3" w14:textId="77777777" w:rsidR="00A06892" w:rsidRPr="00263B9F" w:rsidRDefault="00A06892" w:rsidP="00417CF0">
      <w:pPr>
        <w:pStyle w:val="FootnoteText"/>
      </w:pPr>
      <w:r w:rsidRPr="00263B9F">
        <w:rPr>
          <w:rStyle w:val="FootnoteReference"/>
        </w:rPr>
        <w:footnoteRef/>
      </w:r>
      <w:r w:rsidRPr="00263B9F">
        <w:t xml:space="preserve"> PCTP; Travel &amp; Tourism – Economic Impact 2013 World</w:t>
      </w:r>
    </w:p>
  </w:footnote>
  <w:footnote w:id="4">
    <w:p w14:paraId="49640EE4" w14:textId="77777777" w:rsidR="00A06892" w:rsidRPr="00263B9F" w:rsidRDefault="00A06892" w:rsidP="00417CF0">
      <w:pPr>
        <w:pStyle w:val="FootnoteText"/>
      </w:pPr>
      <w:r w:rsidRPr="00263B9F">
        <w:rPr>
          <w:rStyle w:val="FootnoteReference"/>
        </w:rPr>
        <w:footnoteRef/>
      </w:r>
      <w:r w:rsidRPr="00263B9F">
        <w:t xml:space="preserve"> PCTP; Economic Impact of Travel &amp; Tourism 2013 Annual Update: Summary</w:t>
      </w:r>
    </w:p>
  </w:footnote>
  <w:footnote w:id="5">
    <w:p w14:paraId="49640EE5" w14:textId="77777777" w:rsidR="00A06892" w:rsidRPr="00263B9F" w:rsidRDefault="00A06892" w:rsidP="00417CF0">
      <w:pPr>
        <w:pStyle w:val="FootnoteText"/>
      </w:pPr>
      <w:r w:rsidRPr="00263B9F">
        <w:rPr>
          <w:rStyle w:val="FootnoteReference"/>
        </w:rPr>
        <w:footnoteRef/>
      </w:r>
      <w:r w:rsidRPr="00263B9F">
        <w:t xml:space="preserve"> Turpat</w:t>
      </w:r>
    </w:p>
  </w:footnote>
  <w:footnote w:id="6">
    <w:p w14:paraId="49640EE6" w14:textId="77777777" w:rsidR="00A06892" w:rsidRPr="00263B9F" w:rsidRDefault="00A06892" w:rsidP="00417CF0">
      <w:pPr>
        <w:pStyle w:val="FootnoteText"/>
      </w:pPr>
      <w:r w:rsidRPr="00263B9F">
        <w:rPr>
          <w:rStyle w:val="FootnoteReference"/>
        </w:rPr>
        <w:footnoteRef/>
      </w:r>
      <w:r w:rsidRPr="00263B9F">
        <w:t xml:space="preserve"> PCTP; Travel &amp; Tourism – Economic Impact 2013 World</w:t>
      </w:r>
    </w:p>
  </w:footnote>
  <w:footnote w:id="7">
    <w:p w14:paraId="49640EE7" w14:textId="77777777" w:rsidR="00A06892" w:rsidRPr="00263B9F" w:rsidRDefault="00A06892" w:rsidP="00417CF0">
      <w:pPr>
        <w:pStyle w:val="FootnoteText"/>
      </w:pPr>
      <w:r w:rsidRPr="00263B9F">
        <w:rPr>
          <w:rStyle w:val="FootnoteReference"/>
        </w:rPr>
        <w:footnoteRef/>
      </w:r>
      <w:r w:rsidRPr="00263B9F">
        <w:t xml:space="preserve"> ANPTO Pasaules Tūrisma barometrs, Aprīlis 2013</w:t>
      </w:r>
    </w:p>
  </w:footnote>
  <w:footnote w:id="8">
    <w:p w14:paraId="49640EE8" w14:textId="77777777" w:rsidR="00A06892" w:rsidRPr="00263B9F" w:rsidRDefault="00A06892" w:rsidP="00417CF0">
      <w:pPr>
        <w:pStyle w:val="FootnoteText"/>
      </w:pPr>
      <w:r w:rsidRPr="00263B9F">
        <w:rPr>
          <w:rStyle w:val="FootnoteReference"/>
        </w:rPr>
        <w:footnoteRef/>
      </w:r>
      <w:r w:rsidRPr="00263B9F">
        <w:t xml:space="preserve"> ANPTO Pasaules Tūrisma barometrs, Jūnijs 2013</w:t>
      </w:r>
    </w:p>
  </w:footnote>
  <w:footnote w:id="9">
    <w:p w14:paraId="49640EE9" w14:textId="77777777" w:rsidR="00A06892" w:rsidRPr="00263B9F" w:rsidRDefault="00A06892" w:rsidP="00417CF0">
      <w:pPr>
        <w:pStyle w:val="FootnoteText"/>
      </w:pPr>
      <w:r>
        <w:rPr>
          <w:rStyle w:val="FootnoteReference"/>
        </w:rPr>
        <w:footnoteRef/>
      </w:r>
      <w:r>
        <w:t xml:space="preserve"> </w:t>
      </w:r>
      <w:r w:rsidRPr="00263B9F">
        <w:t>ANPTO; Tourism Highlights 2013 Edition</w:t>
      </w:r>
    </w:p>
  </w:footnote>
  <w:footnote w:id="10">
    <w:p w14:paraId="49640EEA" w14:textId="77777777" w:rsidR="00A06892" w:rsidRPr="00263B9F" w:rsidRDefault="00A06892" w:rsidP="00417CF0">
      <w:pPr>
        <w:pStyle w:val="FootnoteText"/>
      </w:pPr>
      <w:r w:rsidRPr="00263B9F">
        <w:rPr>
          <w:rStyle w:val="FootnoteReference"/>
        </w:rPr>
        <w:footnoteRef/>
      </w:r>
      <w:r w:rsidRPr="00263B9F">
        <w:t xml:space="preserve"> ANPTO preses ziņa, 2013.gada 4.aprīlis</w:t>
      </w:r>
    </w:p>
  </w:footnote>
  <w:footnote w:id="11">
    <w:p w14:paraId="49640EEB" w14:textId="77777777" w:rsidR="00A06892" w:rsidRPr="00263B9F" w:rsidRDefault="00A06892" w:rsidP="00417CF0">
      <w:pPr>
        <w:pStyle w:val="FootnoteText"/>
      </w:pPr>
      <w:r w:rsidRPr="00263B9F">
        <w:rPr>
          <w:rStyle w:val="FootnoteReference"/>
        </w:rPr>
        <w:footnoteRef/>
      </w:r>
      <w:r w:rsidRPr="00263B9F">
        <w:t xml:space="preserve"> ANPTO; Tourism Highlights 2013 Edition</w:t>
      </w:r>
    </w:p>
  </w:footnote>
  <w:footnote w:id="12">
    <w:p w14:paraId="49640EEC" w14:textId="77777777" w:rsidR="00A06892" w:rsidRDefault="00A06892" w:rsidP="00417CF0">
      <w:pPr>
        <w:pStyle w:val="FootnoteText"/>
      </w:pPr>
      <w:r>
        <w:rPr>
          <w:rStyle w:val="FootnoteReference"/>
        </w:rPr>
        <w:footnoteRef/>
      </w:r>
      <w:r>
        <w:t xml:space="preserve"> Pēc ANPTO: Albānija, Andora, Bosnija un Hercogovina, Grieķija, Horvātija, Itālija, Izraēla, Kipra, Maķedonija, Malta, Melnkalne, Portugāle, Sanmarino, Serbija, Slovēnija, Spānija, Turcija</w:t>
      </w:r>
    </w:p>
  </w:footnote>
  <w:footnote w:id="13">
    <w:p w14:paraId="49640EED" w14:textId="77777777" w:rsidR="00A06892" w:rsidRDefault="00A06892" w:rsidP="00417CF0">
      <w:pPr>
        <w:pStyle w:val="FootnoteText"/>
      </w:pPr>
      <w:r>
        <w:rPr>
          <w:rStyle w:val="FootnoteReference"/>
        </w:rPr>
        <w:footnoteRef/>
      </w:r>
      <w:r>
        <w:t xml:space="preserve"> Pēc ANPTO: Austrija, Beļģija, Francija, Lihtenšteina, Luksemburga, Monako, Nīderlande, Šveice, Vācija</w:t>
      </w:r>
    </w:p>
  </w:footnote>
  <w:footnote w:id="14">
    <w:p w14:paraId="49640EEE" w14:textId="77777777" w:rsidR="00A06892" w:rsidRDefault="00A06892" w:rsidP="00417CF0">
      <w:pPr>
        <w:pStyle w:val="FootnoteText"/>
      </w:pPr>
      <w:r>
        <w:rPr>
          <w:rStyle w:val="FootnoteReference"/>
        </w:rPr>
        <w:footnoteRef/>
      </w:r>
      <w:r>
        <w:t xml:space="preserve"> Pēc ANPTO: Armēnija, Azerbaidžāna, Bulgārija, Čehija, Gruzija, Igaunija, Kazahstāna, Kirgizstāna, Krievija, Latvija, Lietuva, Polija, Rumānija, Slovākija, Ukraina, Ungārija, Uzbekistāna</w:t>
      </w:r>
    </w:p>
  </w:footnote>
  <w:footnote w:id="15">
    <w:p w14:paraId="49640EEF" w14:textId="77777777" w:rsidR="00A06892" w:rsidRDefault="00A06892" w:rsidP="00417CF0">
      <w:pPr>
        <w:pStyle w:val="FootnoteText"/>
      </w:pPr>
      <w:r>
        <w:rPr>
          <w:rStyle w:val="FootnoteReference"/>
        </w:rPr>
        <w:footnoteRef/>
      </w:r>
      <w:r>
        <w:t xml:space="preserve"> Pēc ANPTO: Apvienotā Karaliste, Dānija, Islande, Īrija, Norvēģija, Somija, Zviedrija</w:t>
      </w:r>
    </w:p>
  </w:footnote>
  <w:footnote w:id="16">
    <w:p w14:paraId="49640EF0" w14:textId="77777777" w:rsidR="00A06892" w:rsidRDefault="00A06892" w:rsidP="00417CF0">
      <w:pPr>
        <w:pStyle w:val="FootnoteText"/>
      </w:pPr>
      <w:r>
        <w:rPr>
          <w:rStyle w:val="FootnoteReference"/>
        </w:rPr>
        <w:footnoteRef/>
      </w:r>
      <w:r>
        <w:t xml:space="preserve"> </w:t>
      </w:r>
      <w:r w:rsidRPr="00263B9F">
        <w:t>ANPTO Pasaules Tūrisma barometrs, Jūnijs 2013</w:t>
      </w:r>
    </w:p>
  </w:footnote>
  <w:footnote w:id="17">
    <w:p w14:paraId="49640EF1" w14:textId="77777777" w:rsidR="00A06892" w:rsidRPr="00CD3D82" w:rsidRDefault="00A06892" w:rsidP="00AC555B">
      <w:pPr>
        <w:pStyle w:val="FootnoteText"/>
        <w:rPr>
          <w:lang w:val="en-GB"/>
        </w:rPr>
      </w:pPr>
      <w:r w:rsidRPr="00CD3D82">
        <w:rPr>
          <w:rStyle w:val="FootnoteReference"/>
          <w:lang w:val="en-GB"/>
        </w:rPr>
        <w:footnoteRef/>
      </w:r>
      <w:r w:rsidRPr="00CD3D82">
        <w:rPr>
          <w:lang w:val="en-GB"/>
        </w:rPr>
        <w:t xml:space="preserve"> Dwyer, L., Edwards, D., Mistilis, N., Roman, C. &amp; Scott, N. (2008). Destination and enterprise management for a tourism future. </w:t>
      </w:r>
      <w:r w:rsidRPr="00CD3D82">
        <w:rPr>
          <w:i/>
          <w:lang w:val="en-GB"/>
        </w:rPr>
        <w:t>Tourism Management 30</w:t>
      </w:r>
      <w:r w:rsidRPr="00CD3D82">
        <w:rPr>
          <w:lang w:val="en-GB"/>
        </w:rPr>
        <w:t>, 63–74.</w:t>
      </w:r>
    </w:p>
  </w:footnote>
  <w:footnote w:id="18">
    <w:p w14:paraId="49640EF2" w14:textId="77777777" w:rsidR="00A06892" w:rsidRPr="00CD3D82" w:rsidRDefault="00A06892" w:rsidP="00AC555B">
      <w:pPr>
        <w:pStyle w:val="FootnoteText"/>
        <w:rPr>
          <w:lang w:val="en-GB"/>
        </w:rPr>
      </w:pPr>
      <w:r w:rsidRPr="00CD3D82">
        <w:rPr>
          <w:rStyle w:val="FootnoteReference"/>
          <w:lang w:val="en-GB"/>
        </w:rPr>
        <w:footnoteRef/>
      </w:r>
      <w:r w:rsidRPr="00CD3D82">
        <w:rPr>
          <w:lang w:val="en-GB"/>
        </w:rPr>
        <w:t xml:space="preserve"> http://www.em.gov.lv/em/2nd/?cat=30142</w:t>
      </w:r>
    </w:p>
  </w:footnote>
  <w:footnote w:id="19">
    <w:p w14:paraId="49640EF3" w14:textId="77777777" w:rsidR="00A06892" w:rsidRPr="009F0C9E" w:rsidRDefault="00A06892" w:rsidP="00AC555B">
      <w:pPr>
        <w:pStyle w:val="FootnoteText"/>
        <w:rPr>
          <w:lang w:val="en-GB"/>
        </w:rPr>
      </w:pPr>
      <w:r w:rsidRPr="00CD3D82">
        <w:rPr>
          <w:rStyle w:val="FootnoteReference"/>
          <w:lang w:val="en-GB"/>
        </w:rPr>
        <w:footnoteRef/>
      </w:r>
      <w:r w:rsidRPr="00CD3D82">
        <w:rPr>
          <w:lang w:val="en-GB"/>
        </w:rPr>
        <w:t xml:space="preserve"> http://www.unwto.org/mkt/recovery.html</w:t>
      </w:r>
    </w:p>
  </w:footnote>
  <w:footnote w:id="20">
    <w:p w14:paraId="49640EF4" w14:textId="77777777" w:rsidR="00A06892" w:rsidRDefault="00A06892" w:rsidP="00A934DC">
      <w:pPr>
        <w:pStyle w:val="FootnoteText"/>
      </w:pPr>
      <w:r w:rsidRPr="009F0C9E">
        <w:rPr>
          <w:rStyle w:val="FootnoteReference"/>
          <w:lang w:val="en-GB"/>
        </w:rPr>
        <w:footnoteRef/>
      </w:r>
      <w:r w:rsidRPr="009F0C9E">
        <w:rPr>
          <w:lang w:val="en-GB"/>
        </w:rPr>
        <w:t xml:space="preserve"> Nordin, S. (2005). Tourism of tomorrow – travel trends &amp; forces of change. ETOUR, European Tourism Research Institute.</w:t>
      </w:r>
    </w:p>
  </w:footnote>
  <w:footnote w:id="21">
    <w:p w14:paraId="49640EF5" w14:textId="77777777" w:rsidR="00A06892" w:rsidRDefault="00A06892" w:rsidP="00A934DC">
      <w:pPr>
        <w:pStyle w:val="FootnoteText"/>
      </w:pPr>
      <w:r w:rsidRPr="0078276B">
        <w:rPr>
          <w:rStyle w:val="FootnoteReference"/>
          <w:lang w:val="en-GB"/>
        </w:rPr>
        <w:footnoteRef/>
      </w:r>
      <w:r w:rsidRPr="0078276B">
        <w:rPr>
          <w:lang w:val="en-GB"/>
        </w:rPr>
        <w:t xml:space="preserve"> Yeoman, I. (2005). Tomorrow’s world – consumer and tourist. </w:t>
      </w:r>
      <w:r w:rsidRPr="0078276B">
        <w:rPr>
          <w:i/>
          <w:lang w:val="en-GB"/>
        </w:rPr>
        <w:t>VisitScotland, 1(2)</w:t>
      </w:r>
      <w:r w:rsidRPr="0078276B">
        <w:rPr>
          <w:lang w:val="en-GB"/>
        </w:rPr>
        <w:t>, 1–31.</w:t>
      </w:r>
    </w:p>
  </w:footnote>
  <w:footnote w:id="22">
    <w:p w14:paraId="49640EF6" w14:textId="77777777" w:rsidR="00A06892" w:rsidRDefault="00A06892" w:rsidP="004A62A3">
      <w:pPr>
        <w:pStyle w:val="FootnoteText"/>
      </w:pPr>
      <w:r w:rsidRPr="00A7394D">
        <w:rPr>
          <w:rStyle w:val="FootnoteReference"/>
          <w:lang w:val="en-GB"/>
        </w:rPr>
        <w:footnoteRef/>
      </w:r>
      <w:r w:rsidRPr="00A7394D">
        <w:rPr>
          <w:lang w:val="en-GB"/>
        </w:rPr>
        <w:t xml:space="preserve"> Cetron, M. (2001). The world of today and tomorrow: the global view. In A. Lockwood, &amp; S. Medlik (Eds.), </w:t>
      </w:r>
      <w:r w:rsidRPr="00A7394D">
        <w:rPr>
          <w:i/>
          <w:lang w:val="en-GB"/>
        </w:rPr>
        <w:t>Tourism and hospitality in the 21st century</w:t>
      </w:r>
      <w:r w:rsidRPr="00A7394D">
        <w:rPr>
          <w:lang w:val="en-GB"/>
        </w:rPr>
        <w:t>. Oxford: Butterworth-Heinemann.</w:t>
      </w:r>
    </w:p>
  </w:footnote>
  <w:footnote w:id="23">
    <w:p w14:paraId="49640EF7" w14:textId="77777777" w:rsidR="00A06892" w:rsidRDefault="00A06892" w:rsidP="004A62A3">
      <w:pPr>
        <w:pStyle w:val="FootnoteText"/>
      </w:pPr>
      <w:r w:rsidRPr="00A7394D">
        <w:rPr>
          <w:rStyle w:val="FootnoteReference"/>
          <w:lang w:val="en-GB"/>
        </w:rPr>
        <w:footnoteRef/>
      </w:r>
      <w:r w:rsidRPr="00A7394D">
        <w:rPr>
          <w:lang w:val="en-GB"/>
        </w:rPr>
        <w:t xml:space="preserve"> Iida, Y. (2005). Beyond the ‘feminization of masculinity’: transforming patriarchy with the ‘feminine’ in contemporary Japanese youth culture. </w:t>
      </w:r>
      <w:r w:rsidRPr="00A7394D">
        <w:rPr>
          <w:i/>
          <w:lang w:val="en-GB"/>
        </w:rPr>
        <w:t>Inter-Asia Cultural Studies, 6(1)</w:t>
      </w:r>
      <w:r w:rsidRPr="00A7394D">
        <w:rPr>
          <w:lang w:val="en-GB"/>
        </w:rPr>
        <w:t>, 56–74.</w:t>
      </w:r>
    </w:p>
  </w:footnote>
  <w:footnote w:id="24">
    <w:p w14:paraId="49640EF8" w14:textId="77777777" w:rsidR="00A06892" w:rsidRPr="00413F50" w:rsidRDefault="00A06892" w:rsidP="00413F50">
      <w:pPr>
        <w:autoSpaceDE w:val="0"/>
        <w:autoSpaceDN w:val="0"/>
        <w:adjustRightInd w:val="0"/>
        <w:rPr>
          <w:sz w:val="20"/>
          <w:szCs w:val="20"/>
          <w:lang w:val="en-GB"/>
        </w:rPr>
      </w:pPr>
      <w:r w:rsidRPr="00A7394D">
        <w:rPr>
          <w:rStyle w:val="FootnoteReference"/>
          <w:sz w:val="20"/>
          <w:szCs w:val="20"/>
          <w:lang w:val="en-GB"/>
        </w:rPr>
        <w:footnoteRef/>
      </w:r>
      <w:r w:rsidRPr="00A7394D">
        <w:rPr>
          <w:sz w:val="20"/>
          <w:szCs w:val="20"/>
          <w:lang w:val="en-GB"/>
        </w:rPr>
        <w:t xml:space="preserve"> National Intelligence Council. (2004)</w:t>
      </w:r>
      <w:r w:rsidRPr="00413F50">
        <w:rPr>
          <w:sz w:val="20"/>
          <w:szCs w:val="20"/>
          <w:lang w:val="en-GB"/>
        </w:rPr>
        <w:t>. Mapping the global future. Washington, US: National Intelligence Council.</w:t>
      </w:r>
    </w:p>
  </w:footnote>
  <w:footnote w:id="25">
    <w:p w14:paraId="49640EF9" w14:textId="77777777" w:rsidR="00A06892" w:rsidRPr="00413F50" w:rsidRDefault="00A06892" w:rsidP="00413F50">
      <w:pPr>
        <w:pStyle w:val="FootnoteText"/>
        <w:ind w:firstLine="0"/>
        <w:rPr>
          <w:lang w:val="en-GB"/>
        </w:rPr>
      </w:pPr>
      <w:r w:rsidRPr="00A7394D">
        <w:rPr>
          <w:rStyle w:val="FootnoteReference"/>
          <w:lang w:val="en-GB"/>
        </w:rPr>
        <w:footnoteRef/>
      </w:r>
      <w:r w:rsidRPr="00A7394D">
        <w:rPr>
          <w:lang w:val="en-GB"/>
        </w:rPr>
        <w:t xml:space="preserve"> Cavlek, N. (2002). Tour operators and destination safety. Annals of Tourism Research,</w:t>
      </w:r>
      <w:r>
        <w:rPr>
          <w:lang w:val="en-GB"/>
        </w:rPr>
        <w:t xml:space="preserve"> </w:t>
      </w:r>
      <w:r w:rsidRPr="00A7394D">
        <w:rPr>
          <w:lang w:val="en-GB"/>
        </w:rPr>
        <w:t>29, 478–496.</w:t>
      </w:r>
    </w:p>
  </w:footnote>
  <w:footnote w:id="26">
    <w:p w14:paraId="49640EFA" w14:textId="77777777" w:rsidR="00A06892" w:rsidRPr="00263B9F" w:rsidRDefault="00A06892" w:rsidP="007A2FCB">
      <w:pPr>
        <w:pStyle w:val="FootnoteText"/>
      </w:pPr>
      <w:r>
        <w:rPr>
          <w:rStyle w:val="FootnoteReference"/>
        </w:rPr>
        <w:footnoteRef/>
      </w:r>
      <w:r>
        <w:t xml:space="preserve"> </w:t>
      </w:r>
      <w:r w:rsidRPr="00263B9F">
        <w:t>Komisijas paziņojums Eiropas Parlamentam, Padomei, Eiropas Ekonomikas un sociālo lietu komitejai un Reģionu komitejai – Eiropa, tūristu apmeklētākā vieta pasaulē – jaunas Eiropas tūrisma nozares politiskās pamatnostādnes; COM (2010) 352 final</w:t>
      </w:r>
    </w:p>
  </w:footnote>
  <w:footnote w:id="27">
    <w:p w14:paraId="49640EFB" w14:textId="77777777" w:rsidR="00A06892" w:rsidRPr="00263B9F" w:rsidRDefault="00A06892" w:rsidP="007A2FCB">
      <w:pPr>
        <w:pStyle w:val="FootnoteText"/>
      </w:pPr>
      <w:r w:rsidRPr="00263B9F">
        <w:rPr>
          <w:rStyle w:val="FootnoteReference"/>
        </w:rPr>
        <w:footnoteRef/>
      </w:r>
      <w:r w:rsidRPr="00263B9F">
        <w:t xml:space="preserve"> Latvijas maksājumu bilances dati</w:t>
      </w:r>
    </w:p>
  </w:footnote>
  <w:footnote w:id="28">
    <w:p w14:paraId="49640EFC" w14:textId="77777777" w:rsidR="00A06892" w:rsidRPr="00263B9F" w:rsidRDefault="00A06892" w:rsidP="007A2FCB">
      <w:pPr>
        <w:pStyle w:val="FootnoteText"/>
      </w:pPr>
      <w:r w:rsidRPr="00263B9F">
        <w:rPr>
          <w:rStyle w:val="FootnoteReference"/>
        </w:rPr>
        <w:footnoteRef/>
      </w:r>
      <w:r w:rsidRPr="00263B9F">
        <w:t xml:space="preserve"> CSP statistikas datu krājums „Tūrisms Latvijā 2013.gadā”</w:t>
      </w:r>
    </w:p>
  </w:footnote>
  <w:footnote w:id="29">
    <w:p w14:paraId="49640EFD" w14:textId="77777777" w:rsidR="00A06892" w:rsidRPr="00263B9F" w:rsidRDefault="00A06892">
      <w:pPr>
        <w:pStyle w:val="FootnoteText"/>
      </w:pPr>
      <w:r w:rsidRPr="00263B9F">
        <w:rPr>
          <w:rStyle w:val="FootnoteReference"/>
        </w:rPr>
        <w:footnoteRef/>
      </w:r>
      <w:r w:rsidRPr="00263B9F">
        <w:t xml:space="preserve"> Latvijas preču un pakalpojumu eksporta veicināšanas un ārvalstu investīciju piesaistes pamatnostādnes 2013.-2019.gadam; NAP 2020</w:t>
      </w:r>
    </w:p>
  </w:footnote>
  <w:footnote w:id="30">
    <w:p w14:paraId="49640EFE" w14:textId="77777777" w:rsidR="00A06892" w:rsidRPr="00263B9F" w:rsidRDefault="00A06892" w:rsidP="007A2FCB">
      <w:pPr>
        <w:pStyle w:val="FootnoteText"/>
      </w:pPr>
      <w:r w:rsidRPr="00263B9F">
        <w:rPr>
          <w:rStyle w:val="FootnoteReference"/>
        </w:rPr>
        <w:footnoteRef/>
      </w:r>
      <w:r w:rsidRPr="00263B9F">
        <w:t xml:space="preserve"> Latvijas maksājumu bilances dati</w:t>
      </w:r>
    </w:p>
  </w:footnote>
  <w:footnote w:id="31">
    <w:p w14:paraId="49640EFF" w14:textId="77777777" w:rsidR="00A06892" w:rsidRPr="00263B9F" w:rsidRDefault="00A06892" w:rsidP="007A2FCB">
      <w:pPr>
        <w:pStyle w:val="FootnoteText"/>
      </w:pPr>
      <w:r w:rsidRPr="00263B9F">
        <w:rPr>
          <w:rStyle w:val="FootnoteReference"/>
        </w:rPr>
        <w:footnoteRef/>
      </w:r>
      <w:r w:rsidRPr="00263B9F">
        <w:t xml:space="preserve"> Latvijas maksājumu bilances dati</w:t>
      </w:r>
    </w:p>
  </w:footnote>
  <w:footnote w:id="32">
    <w:p w14:paraId="49640F00" w14:textId="77777777" w:rsidR="00A06892" w:rsidRPr="00263B9F" w:rsidRDefault="00A06892" w:rsidP="007A2FCB">
      <w:pPr>
        <w:pStyle w:val="FootnoteText"/>
      </w:pPr>
      <w:r w:rsidRPr="00263B9F">
        <w:rPr>
          <w:rStyle w:val="FootnoteReference"/>
        </w:rPr>
        <w:footnoteRef/>
      </w:r>
      <w:r w:rsidRPr="00263B9F">
        <w:t xml:space="preserve"> CSP statistikas datu krājums „Tūrisms Latvijā 2013.gadā”</w:t>
      </w:r>
    </w:p>
  </w:footnote>
  <w:footnote w:id="33">
    <w:p w14:paraId="49640F01" w14:textId="77777777" w:rsidR="00A06892" w:rsidRPr="00263B9F" w:rsidRDefault="00A06892" w:rsidP="007A2FCB">
      <w:pPr>
        <w:pStyle w:val="FootnoteText"/>
      </w:pPr>
      <w:r>
        <w:rPr>
          <w:rStyle w:val="FootnoteReference"/>
        </w:rPr>
        <w:footnoteRef/>
      </w:r>
      <w:r>
        <w:t xml:space="preserve"> </w:t>
      </w:r>
      <w:r w:rsidRPr="00263B9F">
        <w:t>CSP statistikas datu krājums „Tūrisms Latvijā 2013.gadā”</w:t>
      </w:r>
    </w:p>
  </w:footnote>
  <w:footnote w:id="34">
    <w:p w14:paraId="49640F02" w14:textId="77777777" w:rsidR="00A06892" w:rsidRPr="00263B9F" w:rsidRDefault="00A06892" w:rsidP="007A2FCB">
      <w:pPr>
        <w:pStyle w:val="FootnoteText"/>
      </w:pPr>
      <w:r w:rsidRPr="00263B9F">
        <w:rPr>
          <w:rStyle w:val="FootnoteReference"/>
        </w:rPr>
        <w:footnoteRef/>
      </w:r>
      <w:r w:rsidRPr="00263B9F">
        <w:t xml:space="preserve"> CSP statistikas datu krājums „Tūrisms Latvijā 2013.gadā”</w:t>
      </w:r>
    </w:p>
  </w:footnote>
  <w:footnote w:id="35">
    <w:p w14:paraId="49640F03" w14:textId="77777777" w:rsidR="00A06892" w:rsidRPr="00263B9F" w:rsidRDefault="00A06892" w:rsidP="007A2FCB">
      <w:pPr>
        <w:pStyle w:val="FootnoteText"/>
      </w:pPr>
      <w:r w:rsidRPr="00263B9F">
        <w:rPr>
          <w:rStyle w:val="FootnoteReference"/>
        </w:rPr>
        <w:footnoteRef/>
      </w:r>
      <w:r w:rsidRPr="00263B9F">
        <w:t xml:space="preserve"> CSP statistikas datu krājums „Tūrisms Latvijā 2013.gadā”</w:t>
      </w:r>
    </w:p>
  </w:footnote>
  <w:footnote w:id="36">
    <w:p w14:paraId="49640F04" w14:textId="77777777" w:rsidR="00A06892" w:rsidRDefault="00A06892" w:rsidP="007A2FCB">
      <w:pPr>
        <w:pStyle w:val="FootnoteText"/>
      </w:pPr>
      <w:r w:rsidRPr="00263B9F">
        <w:rPr>
          <w:rStyle w:val="FootnoteReference"/>
        </w:rPr>
        <w:footnoteRef/>
      </w:r>
      <w:r w:rsidRPr="00263B9F">
        <w:t xml:space="preserve"> CSP statistikas datu krājums „Tūrisms Latvijā 2013.gadā”</w:t>
      </w:r>
    </w:p>
  </w:footnote>
  <w:footnote w:id="37">
    <w:p w14:paraId="49640F05" w14:textId="77777777" w:rsidR="00A06892" w:rsidRPr="00263B9F" w:rsidRDefault="00A06892" w:rsidP="007A2FCB">
      <w:pPr>
        <w:pStyle w:val="FootnoteText"/>
      </w:pPr>
      <w:r w:rsidRPr="00263B9F">
        <w:rPr>
          <w:rStyle w:val="FootnoteReference"/>
        </w:rPr>
        <w:footnoteRef/>
      </w:r>
      <w:r w:rsidRPr="00263B9F">
        <w:t xml:space="preserve"> CSP dati, www.csb.gov.lv</w:t>
      </w:r>
    </w:p>
  </w:footnote>
  <w:footnote w:id="38">
    <w:p w14:paraId="49640F06" w14:textId="77777777" w:rsidR="00A06892" w:rsidRDefault="00A06892" w:rsidP="007A2FCB">
      <w:pPr>
        <w:pStyle w:val="FootnoteText"/>
      </w:pPr>
      <w:r w:rsidRPr="00263B9F">
        <w:rPr>
          <w:rStyle w:val="FootnoteReference"/>
        </w:rPr>
        <w:footnoteRef/>
      </w:r>
      <w:r w:rsidRPr="00263B9F">
        <w:t xml:space="preserve"> CSP dati, www.csb.gov.lv</w:t>
      </w:r>
    </w:p>
  </w:footnote>
  <w:footnote w:id="39">
    <w:p w14:paraId="49640F07" w14:textId="77777777" w:rsidR="00A06892" w:rsidRDefault="00A06892" w:rsidP="007A2FCB">
      <w:pPr>
        <w:pStyle w:val="FootnoteText"/>
      </w:pPr>
      <w:r>
        <w:rPr>
          <w:rStyle w:val="FootnoteReference"/>
        </w:rPr>
        <w:footnoteRef/>
      </w:r>
      <w:r>
        <w:t xml:space="preserve"> </w:t>
      </w:r>
      <w:r w:rsidRPr="00CB19B5">
        <w:t>Starptautiskās lidostas „Rīga” gadagrāmata 2012</w:t>
      </w:r>
    </w:p>
  </w:footnote>
  <w:footnote w:id="40">
    <w:p w14:paraId="49640F08" w14:textId="77777777" w:rsidR="00A06892" w:rsidRDefault="00A06892">
      <w:pPr>
        <w:pStyle w:val="FootnoteText"/>
      </w:pPr>
      <w:r>
        <w:rPr>
          <w:rStyle w:val="FootnoteReference"/>
        </w:rPr>
        <w:footnoteRef/>
      </w:r>
      <w:r>
        <w:t xml:space="preserve"> CSP dati, www.csb.gov.lv</w:t>
      </w:r>
    </w:p>
  </w:footnote>
  <w:footnote w:id="41">
    <w:p w14:paraId="49640F09" w14:textId="77777777" w:rsidR="00A06892" w:rsidRDefault="00A06892" w:rsidP="007F2D37">
      <w:pPr>
        <w:pStyle w:val="FootnoteText"/>
      </w:pPr>
      <w:r>
        <w:rPr>
          <w:rStyle w:val="FootnoteReference"/>
        </w:rPr>
        <w:footnoteRef/>
      </w:r>
      <w:r>
        <w:t xml:space="preserve"> CSP dati, www.csb.gov.lv</w:t>
      </w:r>
    </w:p>
  </w:footnote>
  <w:footnote w:id="42">
    <w:p w14:paraId="49640F0A" w14:textId="77777777" w:rsidR="00A06892" w:rsidRDefault="00A06892">
      <w:pPr>
        <w:pStyle w:val="FootnoteText"/>
      </w:pPr>
      <w:r>
        <w:rPr>
          <w:rStyle w:val="FootnoteReference"/>
        </w:rPr>
        <w:footnoteRef/>
      </w:r>
      <w:r>
        <w:t xml:space="preserve"> CSP dati, www.csb.gov.lv</w:t>
      </w:r>
    </w:p>
  </w:footnote>
  <w:footnote w:id="43">
    <w:p w14:paraId="49640F0B" w14:textId="77777777" w:rsidR="00A06892" w:rsidRDefault="00A06892">
      <w:pPr>
        <w:pStyle w:val="FootnoteText"/>
      </w:pPr>
      <w:r>
        <w:rPr>
          <w:rStyle w:val="FootnoteReference"/>
        </w:rPr>
        <w:footnoteRef/>
      </w:r>
      <w:r>
        <w:t xml:space="preserve"> </w:t>
      </w:r>
      <w:r w:rsidRPr="00260122">
        <w:t>Dr Richard Weston, Institute of Transport &amp; Tourism, University of Central Lancashire (2013). Cycling in Europe – economic impact of cycle touri</w:t>
      </w:r>
      <w:r>
        <w:t>sm, from local to international</w:t>
      </w:r>
    </w:p>
  </w:footnote>
  <w:footnote w:id="44">
    <w:p w14:paraId="49640F0C" w14:textId="77777777" w:rsidR="00A06892" w:rsidRDefault="00A06892">
      <w:pPr>
        <w:pStyle w:val="FootnoteText"/>
      </w:pPr>
      <w:r>
        <w:rPr>
          <w:rStyle w:val="FootnoteReference"/>
        </w:rPr>
        <w:footnoteRef/>
      </w:r>
      <w:r>
        <w:t xml:space="preserve"> CSP dati, www.csb.gov.lv</w:t>
      </w:r>
    </w:p>
  </w:footnote>
  <w:footnote w:id="45">
    <w:p w14:paraId="49640F0D" w14:textId="77777777" w:rsidR="00A06892" w:rsidRPr="00263B9F" w:rsidRDefault="00A06892">
      <w:pPr>
        <w:pStyle w:val="FootnoteText"/>
      </w:pPr>
      <w:r>
        <w:rPr>
          <w:rStyle w:val="FootnoteReference"/>
        </w:rPr>
        <w:footnoteRef/>
      </w:r>
      <w:r>
        <w:t xml:space="preserve"> </w:t>
      </w:r>
      <w:r w:rsidRPr="00263B9F">
        <w:t>The Gallup Organization. (2011). Flash Eurobarometer 312 “Future of transport”. Brussels, Belgium: European Commission</w:t>
      </w:r>
    </w:p>
  </w:footnote>
  <w:footnote w:id="46">
    <w:p w14:paraId="49640F0E" w14:textId="77777777" w:rsidR="00A06892" w:rsidRPr="00CB19B5" w:rsidRDefault="00A06892">
      <w:pPr>
        <w:pStyle w:val="FootnoteText"/>
      </w:pPr>
      <w:r w:rsidRPr="00CB19B5">
        <w:rPr>
          <w:rStyle w:val="FootnoteReference"/>
        </w:rPr>
        <w:footnoteRef/>
      </w:r>
      <w:r w:rsidRPr="00CB19B5">
        <w:t xml:space="preserve"> Ventspils TIC informācija, 2013.gads</w:t>
      </w:r>
    </w:p>
  </w:footnote>
  <w:footnote w:id="47">
    <w:p w14:paraId="49640F0F" w14:textId="77777777" w:rsidR="00A06892" w:rsidRDefault="00A06892">
      <w:pPr>
        <w:pStyle w:val="FootnoteText"/>
      </w:pPr>
      <w:r w:rsidRPr="00CB19B5">
        <w:rPr>
          <w:rStyle w:val="FootnoteReference"/>
        </w:rPr>
        <w:footnoteRef/>
      </w:r>
      <w:r w:rsidRPr="00CB19B5">
        <w:t xml:space="preserve"> Elektroniskā skaitītāja dati, 2013.gads</w:t>
      </w:r>
    </w:p>
  </w:footnote>
  <w:footnote w:id="48">
    <w:p w14:paraId="49640F10" w14:textId="77777777" w:rsidR="00A06892" w:rsidRDefault="00A06892">
      <w:pPr>
        <w:pStyle w:val="FootnoteText"/>
      </w:pPr>
      <w:r>
        <w:rPr>
          <w:rStyle w:val="FootnoteReference"/>
        </w:rPr>
        <w:footnoteRef/>
      </w:r>
      <w:r>
        <w:t xml:space="preserve"> </w:t>
      </w:r>
      <w:hyperlink r:id="rId1" w:history="1">
        <w:r>
          <w:rPr>
            <w:rStyle w:val="Hyperlink"/>
          </w:rPr>
          <w:t>http://epp.eurostat.ec.europa.eu/cache/ITY_OFFPUB/KS-32-10-374/EN/KS-32-10-374-EN.PDF</w:t>
        </w:r>
      </w:hyperlink>
      <w:r>
        <w:t xml:space="preserve"> (163.lpp)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0EDE" w14:textId="77777777" w:rsidR="00A06892" w:rsidRPr="008E0C4C" w:rsidRDefault="00A06892" w:rsidP="008E0C4C">
    <w:pPr>
      <w:pStyle w:val="Header"/>
      <w:jc w:val="center"/>
      <w:rPr>
        <w:lang w:val="lv-LV"/>
      </w:rPr>
    </w:pPr>
    <w:r>
      <w:fldChar w:fldCharType="begin"/>
    </w:r>
    <w:r>
      <w:instrText xml:space="preserve"> PAGE   \* MERGEFORMAT </w:instrText>
    </w:r>
    <w:r>
      <w:fldChar w:fldCharType="separate"/>
    </w:r>
    <w:r w:rsidR="007F4A48">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F3A"/>
    <w:multiLevelType w:val="hybridMultilevel"/>
    <w:tmpl w:val="660693A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C5350"/>
    <w:multiLevelType w:val="hybridMultilevel"/>
    <w:tmpl w:val="E8628F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08344B"/>
    <w:multiLevelType w:val="hybridMultilevel"/>
    <w:tmpl w:val="CAD8485E"/>
    <w:lvl w:ilvl="0" w:tplc="0A8E315C">
      <w:start w:val="11"/>
      <w:numFmt w:val="bullet"/>
      <w:lvlText w:val="-"/>
      <w:lvlJc w:val="left"/>
      <w:pPr>
        <w:ind w:left="720" w:hanging="360"/>
      </w:pPr>
      <w:rPr>
        <w:rFonts w:ascii="Times New Roman" w:eastAsia="Calibri" w:hAnsi="Times New Roman" w:cs="Times New Roman" w:hint="default"/>
      </w:rPr>
    </w:lvl>
    <w:lvl w:ilvl="1" w:tplc="AACA9AB0">
      <w:numFmt w:val="bullet"/>
      <w:lvlText w:val="•"/>
      <w:lvlJc w:val="left"/>
      <w:pPr>
        <w:ind w:left="1800" w:hanging="72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B200C38"/>
    <w:multiLevelType w:val="hybridMultilevel"/>
    <w:tmpl w:val="D5D040CA"/>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D52707"/>
    <w:multiLevelType w:val="hybridMultilevel"/>
    <w:tmpl w:val="ECB438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754CD4"/>
    <w:multiLevelType w:val="hybridMultilevel"/>
    <w:tmpl w:val="5BD8CDDC"/>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1D40D6"/>
    <w:multiLevelType w:val="hybridMultilevel"/>
    <w:tmpl w:val="352AD722"/>
    <w:lvl w:ilvl="0" w:tplc="0700CAFE">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D57388"/>
    <w:multiLevelType w:val="hybridMultilevel"/>
    <w:tmpl w:val="02C8F48A"/>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02632F"/>
    <w:multiLevelType w:val="hybridMultilevel"/>
    <w:tmpl w:val="FDE4D5FA"/>
    <w:lvl w:ilvl="0" w:tplc="04260011">
      <w:start w:val="1"/>
      <w:numFmt w:val="decimal"/>
      <w:lvlText w:val="%1)"/>
      <w:lvlJc w:val="left"/>
      <w:pPr>
        <w:ind w:left="417" w:hanging="360"/>
      </w:pPr>
      <w:rPr>
        <w:rFonts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nsid w:val="17D61583"/>
    <w:multiLevelType w:val="hybridMultilevel"/>
    <w:tmpl w:val="01D22E54"/>
    <w:lvl w:ilvl="0" w:tplc="AD6C9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B5459"/>
    <w:multiLevelType w:val="hybridMultilevel"/>
    <w:tmpl w:val="4E9E8FCA"/>
    <w:lvl w:ilvl="0" w:tplc="0426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EF2E56"/>
    <w:multiLevelType w:val="hybridMultilevel"/>
    <w:tmpl w:val="9BE4F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851F4C"/>
    <w:multiLevelType w:val="multilevel"/>
    <w:tmpl w:val="9266E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16C5E52"/>
    <w:multiLevelType w:val="hybridMultilevel"/>
    <w:tmpl w:val="6156BD40"/>
    <w:lvl w:ilvl="0" w:tplc="AD6C9DB8">
      <w:start w:val="1"/>
      <w:numFmt w:val="bullet"/>
      <w:lvlText w:val=""/>
      <w:lvlJc w:val="left"/>
      <w:pPr>
        <w:tabs>
          <w:tab w:val="num" w:pos="720"/>
        </w:tabs>
        <w:ind w:left="720" w:hanging="360"/>
      </w:pPr>
      <w:rPr>
        <w:rFonts w:ascii="Symbol" w:hAnsi="Symbol" w:hint="default"/>
      </w:rPr>
    </w:lvl>
    <w:lvl w:ilvl="1" w:tplc="44ACE662">
      <w:start w:val="1"/>
      <w:numFmt w:val="bullet"/>
      <w:lvlText w:val=""/>
      <w:lvlJc w:val="left"/>
      <w:pPr>
        <w:tabs>
          <w:tab w:val="num" w:pos="1440"/>
        </w:tabs>
        <w:ind w:left="1440" w:hanging="360"/>
      </w:pPr>
      <w:rPr>
        <w:rFonts w:ascii="Wingdings" w:hAnsi="Wingdings" w:hint="default"/>
      </w:rPr>
    </w:lvl>
    <w:lvl w:ilvl="2" w:tplc="BCA0E722">
      <w:start w:val="1"/>
      <w:numFmt w:val="bullet"/>
      <w:lvlText w:val=""/>
      <w:lvlJc w:val="left"/>
      <w:pPr>
        <w:tabs>
          <w:tab w:val="num" w:pos="2160"/>
        </w:tabs>
        <w:ind w:left="2160" w:hanging="360"/>
      </w:pPr>
      <w:rPr>
        <w:rFonts w:ascii="Wingdings" w:hAnsi="Wingdings" w:hint="default"/>
      </w:rPr>
    </w:lvl>
    <w:lvl w:ilvl="3" w:tplc="ADE6BE26">
      <w:start w:val="1"/>
      <w:numFmt w:val="bullet"/>
      <w:lvlText w:val=""/>
      <w:lvlJc w:val="left"/>
      <w:pPr>
        <w:tabs>
          <w:tab w:val="num" w:pos="2880"/>
        </w:tabs>
        <w:ind w:left="2880" w:hanging="360"/>
      </w:pPr>
      <w:rPr>
        <w:rFonts w:ascii="Wingdings" w:hAnsi="Wingdings" w:hint="default"/>
      </w:rPr>
    </w:lvl>
    <w:lvl w:ilvl="4" w:tplc="500C451E">
      <w:start w:val="1"/>
      <w:numFmt w:val="bullet"/>
      <w:lvlText w:val=""/>
      <w:lvlJc w:val="left"/>
      <w:pPr>
        <w:tabs>
          <w:tab w:val="num" w:pos="3600"/>
        </w:tabs>
        <w:ind w:left="3600" w:hanging="360"/>
      </w:pPr>
      <w:rPr>
        <w:rFonts w:ascii="Wingdings" w:hAnsi="Wingdings" w:hint="default"/>
      </w:rPr>
    </w:lvl>
    <w:lvl w:ilvl="5" w:tplc="1DD86CD2">
      <w:start w:val="1"/>
      <w:numFmt w:val="bullet"/>
      <w:lvlText w:val=""/>
      <w:lvlJc w:val="left"/>
      <w:pPr>
        <w:tabs>
          <w:tab w:val="num" w:pos="4320"/>
        </w:tabs>
        <w:ind w:left="4320" w:hanging="360"/>
      </w:pPr>
      <w:rPr>
        <w:rFonts w:ascii="Wingdings" w:hAnsi="Wingdings" w:hint="default"/>
      </w:rPr>
    </w:lvl>
    <w:lvl w:ilvl="6" w:tplc="3FD41362">
      <w:start w:val="1"/>
      <w:numFmt w:val="bullet"/>
      <w:lvlText w:val=""/>
      <w:lvlJc w:val="left"/>
      <w:pPr>
        <w:tabs>
          <w:tab w:val="num" w:pos="5040"/>
        </w:tabs>
        <w:ind w:left="5040" w:hanging="360"/>
      </w:pPr>
      <w:rPr>
        <w:rFonts w:ascii="Wingdings" w:hAnsi="Wingdings" w:hint="default"/>
      </w:rPr>
    </w:lvl>
    <w:lvl w:ilvl="7" w:tplc="1DA0C90E">
      <w:start w:val="1"/>
      <w:numFmt w:val="bullet"/>
      <w:lvlText w:val=""/>
      <w:lvlJc w:val="left"/>
      <w:pPr>
        <w:tabs>
          <w:tab w:val="num" w:pos="5760"/>
        </w:tabs>
        <w:ind w:left="5760" w:hanging="360"/>
      </w:pPr>
      <w:rPr>
        <w:rFonts w:ascii="Wingdings" w:hAnsi="Wingdings" w:hint="default"/>
      </w:rPr>
    </w:lvl>
    <w:lvl w:ilvl="8" w:tplc="B5C866BC">
      <w:start w:val="1"/>
      <w:numFmt w:val="bullet"/>
      <w:lvlText w:val=""/>
      <w:lvlJc w:val="left"/>
      <w:pPr>
        <w:tabs>
          <w:tab w:val="num" w:pos="6480"/>
        </w:tabs>
        <w:ind w:left="6480" w:hanging="360"/>
      </w:pPr>
      <w:rPr>
        <w:rFonts w:ascii="Wingdings" w:hAnsi="Wingdings" w:hint="default"/>
      </w:rPr>
    </w:lvl>
  </w:abstractNum>
  <w:abstractNum w:abstractNumId="14">
    <w:nsid w:val="2556035F"/>
    <w:multiLevelType w:val="hybridMultilevel"/>
    <w:tmpl w:val="217AA83E"/>
    <w:lvl w:ilvl="0" w:tplc="AD6C9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D5482"/>
    <w:multiLevelType w:val="hybridMultilevel"/>
    <w:tmpl w:val="A6DA7114"/>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D1E1834"/>
    <w:multiLevelType w:val="multilevel"/>
    <w:tmpl w:val="8FDC4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B64BD0"/>
    <w:multiLevelType w:val="multilevel"/>
    <w:tmpl w:val="34202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134ABA"/>
    <w:multiLevelType w:val="hybridMultilevel"/>
    <w:tmpl w:val="1E3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C0A33"/>
    <w:multiLevelType w:val="hybridMultilevel"/>
    <w:tmpl w:val="4D9CB8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4D24CF"/>
    <w:multiLevelType w:val="hybridMultilevel"/>
    <w:tmpl w:val="2982A62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F86C22"/>
    <w:multiLevelType w:val="hybridMultilevel"/>
    <w:tmpl w:val="45AA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8A6B63"/>
    <w:multiLevelType w:val="hybridMultilevel"/>
    <w:tmpl w:val="FA6A6F8E"/>
    <w:lvl w:ilvl="0" w:tplc="0700CAFE">
      <w:start w:val="1"/>
      <w:numFmt w:val="bullet"/>
      <w:lvlText w:val="-"/>
      <w:lvlJc w:val="left"/>
      <w:pPr>
        <w:tabs>
          <w:tab w:val="num" w:pos="720"/>
        </w:tabs>
        <w:ind w:left="720" w:hanging="360"/>
      </w:pPr>
      <w:rPr>
        <w:rFonts w:ascii="Times New Roman" w:hAnsi="Times New Roman" w:hint="default"/>
      </w:rPr>
    </w:lvl>
    <w:lvl w:ilvl="1" w:tplc="303A8308" w:tentative="1">
      <w:start w:val="1"/>
      <w:numFmt w:val="bullet"/>
      <w:lvlText w:val="-"/>
      <w:lvlJc w:val="left"/>
      <w:pPr>
        <w:tabs>
          <w:tab w:val="num" w:pos="1440"/>
        </w:tabs>
        <w:ind w:left="1440" w:hanging="360"/>
      </w:pPr>
      <w:rPr>
        <w:rFonts w:ascii="Times New Roman" w:hAnsi="Times New Roman" w:hint="default"/>
      </w:rPr>
    </w:lvl>
    <w:lvl w:ilvl="2" w:tplc="29B69F82" w:tentative="1">
      <w:start w:val="1"/>
      <w:numFmt w:val="bullet"/>
      <w:lvlText w:val="-"/>
      <w:lvlJc w:val="left"/>
      <w:pPr>
        <w:tabs>
          <w:tab w:val="num" w:pos="2160"/>
        </w:tabs>
        <w:ind w:left="2160" w:hanging="360"/>
      </w:pPr>
      <w:rPr>
        <w:rFonts w:ascii="Times New Roman" w:hAnsi="Times New Roman" w:hint="default"/>
      </w:rPr>
    </w:lvl>
    <w:lvl w:ilvl="3" w:tplc="B56C92B8" w:tentative="1">
      <w:start w:val="1"/>
      <w:numFmt w:val="bullet"/>
      <w:lvlText w:val="-"/>
      <w:lvlJc w:val="left"/>
      <w:pPr>
        <w:tabs>
          <w:tab w:val="num" w:pos="2880"/>
        </w:tabs>
        <w:ind w:left="2880" w:hanging="360"/>
      </w:pPr>
      <w:rPr>
        <w:rFonts w:ascii="Times New Roman" w:hAnsi="Times New Roman" w:hint="default"/>
      </w:rPr>
    </w:lvl>
    <w:lvl w:ilvl="4" w:tplc="1A6C08F6" w:tentative="1">
      <w:start w:val="1"/>
      <w:numFmt w:val="bullet"/>
      <w:lvlText w:val="-"/>
      <w:lvlJc w:val="left"/>
      <w:pPr>
        <w:tabs>
          <w:tab w:val="num" w:pos="3600"/>
        </w:tabs>
        <w:ind w:left="3600" w:hanging="360"/>
      </w:pPr>
      <w:rPr>
        <w:rFonts w:ascii="Times New Roman" w:hAnsi="Times New Roman" w:hint="default"/>
      </w:rPr>
    </w:lvl>
    <w:lvl w:ilvl="5" w:tplc="3DDA41B4" w:tentative="1">
      <w:start w:val="1"/>
      <w:numFmt w:val="bullet"/>
      <w:lvlText w:val="-"/>
      <w:lvlJc w:val="left"/>
      <w:pPr>
        <w:tabs>
          <w:tab w:val="num" w:pos="4320"/>
        </w:tabs>
        <w:ind w:left="4320" w:hanging="360"/>
      </w:pPr>
      <w:rPr>
        <w:rFonts w:ascii="Times New Roman" w:hAnsi="Times New Roman" w:hint="default"/>
      </w:rPr>
    </w:lvl>
    <w:lvl w:ilvl="6" w:tplc="0C7E8A12" w:tentative="1">
      <w:start w:val="1"/>
      <w:numFmt w:val="bullet"/>
      <w:lvlText w:val="-"/>
      <w:lvlJc w:val="left"/>
      <w:pPr>
        <w:tabs>
          <w:tab w:val="num" w:pos="5040"/>
        </w:tabs>
        <w:ind w:left="5040" w:hanging="360"/>
      </w:pPr>
      <w:rPr>
        <w:rFonts w:ascii="Times New Roman" w:hAnsi="Times New Roman" w:hint="default"/>
      </w:rPr>
    </w:lvl>
    <w:lvl w:ilvl="7" w:tplc="44F0FDF4" w:tentative="1">
      <w:start w:val="1"/>
      <w:numFmt w:val="bullet"/>
      <w:lvlText w:val="-"/>
      <w:lvlJc w:val="left"/>
      <w:pPr>
        <w:tabs>
          <w:tab w:val="num" w:pos="5760"/>
        </w:tabs>
        <w:ind w:left="5760" w:hanging="360"/>
      </w:pPr>
      <w:rPr>
        <w:rFonts w:ascii="Times New Roman" w:hAnsi="Times New Roman" w:hint="default"/>
      </w:rPr>
    </w:lvl>
    <w:lvl w:ilvl="8" w:tplc="169CE1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5D2499"/>
    <w:multiLevelType w:val="hybridMultilevel"/>
    <w:tmpl w:val="FC6A3CE4"/>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861A0"/>
    <w:multiLevelType w:val="hybridMultilevel"/>
    <w:tmpl w:val="2DFC9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33493"/>
    <w:multiLevelType w:val="hybridMultilevel"/>
    <w:tmpl w:val="4A3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B32E0"/>
    <w:multiLevelType w:val="hybridMultilevel"/>
    <w:tmpl w:val="D0F60B86"/>
    <w:lvl w:ilvl="0" w:tplc="AD6C9D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76371EF"/>
    <w:multiLevelType w:val="hybridMultilevel"/>
    <w:tmpl w:val="3B741D9A"/>
    <w:lvl w:ilvl="0" w:tplc="AD6C9DB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97A241C"/>
    <w:multiLevelType w:val="hybridMultilevel"/>
    <w:tmpl w:val="1010ACC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C36CFE"/>
    <w:multiLevelType w:val="hybridMultilevel"/>
    <w:tmpl w:val="1B747A0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536620"/>
    <w:multiLevelType w:val="hybridMultilevel"/>
    <w:tmpl w:val="36000BA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827711"/>
    <w:multiLevelType w:val="hybridMultilevel"/>
    <w:tmpl w:val="27F2E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716227D"/>
    <w:multiLevelType w:val="multilevel"/>
    <w:tmpl w:val="0068EA52"/>
    <w:lvl w:ilvl="0">
      <w:start w:val="1"/>
      <w:numFmt w:val="decimal"/>
      <w:lvlText w:val="%1."/>
      <w:lvlJc w:val="left"/>
      <w:pPr>
        <w:ind w:left="720" w:hanging="360"/>
      </w:pPr>
      <w:rPr>
        <w:rFonts w:hint="default"/>
        <w:b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7C7186"/>
    <w:multiLevelType w:val="hybridMultilevel"/>
    <w:tmpl w:val="E1749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814CCA"/>
    <w:multiLevelType w:val="hybridMultilevel"/>
    <w:tmpl w:val="F9167B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2604C2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EA4D35"/>
    <w:multiLevelType w:val="hybridMultilevel"/>
    <w:tmpl w:val="45EA6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84183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A26FE0"/>
    <w:multiLevelType w:val="multilevel"/>
    <w:tmpl w:val="250A3D8E"/>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1"/>
      <w:numFmt w:val="decimal"/>
      <w:isLgl/>
      <w:lvlText w:val="%1.%2.%3."/>
      <w:lvlJc w:val="left"/>
      <w:pPr>
        <w:ind w:left="1500" w:hanging="780"/>
      </w:pPr>
      <w:rPr>
        <w:rFonts w:hint="default"/>
      </w:rPr>
    </w:lvl>
    <w:lvl w:ilvl="3">
      <w:start w:val="2"/>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7A85E7E"/>
    <w:multiLevelType w:val="hybridMultilevel"/>
    <w:tmpl w:val="89B66EE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AD3E1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1E52365"/>
    <w:multiLevelType w:val="hybridMultilevel"/>
    <w:tmpl w:val="076641C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6048F"/>
    <w:multiLevelType w:val="hybridMultilevel"/>
    <w:tmpl w:val="B582C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7"/>
  </w:num>
  <w:num w:numId="3">
    <w:abstractNumId w:val="40"/>
  </w:num>
  <w:num w:numId="4">
    <w:abstractNumId w:val="35"/>
  </w:num>
  <w:num w:numId="5">
    <w:abstractNumId w:val="34"/>
  </w:num>
  <w:num w:numId="6">
    <w:abstractNumId w:val="37"/>
  </w:num>
  <w:num w:numId="7">
    <w:abstractNumId w:val="11"/>
  </w:num>
  <w:num w:numId="8">
    <w:abstractNumId w:val="38"/>
  </w:num>
  <w:num w:numId="9">
    <w:abstractNumId w:val="16"/>
  </w:num>
  <w:num w:numId="10">
    <w:abstractNumId w:val="27"/>
  </w:num>
  <w:num w:numId="11">
    <w:abstractNumId w:val="3"/>
  </w:num>
  <w:num w:numId="12">
    <w:abstractNumId w:val="24"/>
  </w:num>
  <w:num w:numId="13">
    <w:abstractNumId w:val="23"/>
  </w:num>
  <w:num w:numId="14">
    <w:abstractNumId w:val="41"/>
  </w:num>
  <w:num w:numId="15">
    <w:abstractNumId w:val="32"/>
  </w:num>
  <w:num w:numId="16">
    <w:abstractNumId w:val="13"/>
  </w:num>
  <w:num w:numId="17">
    <w:abstractNumId w:val="2"/>
  </w:num>
  <w:num w:numId="18">
    <w:abstractNumId w:val="1"/>
  </w:num>
  <w:num w:numId="19">
    <w:abstractNumId w:val="22"/>
  </w:num>
  <w:num w:numId="20">
    <w:abstractNumId w:val="18"/>
  </w:num>
  <w:num w:numId="21">
    <w:abstractNumId w:val="25"/>
  </w:num>
  <w:num w:numId="22">
    <w:abstractNumId w:val="5"/>
  </w:num>
  <w:num w:numId="23">
    <w:abstractNumId w:val="6"/>
  </w:num>
  <w:num w:numId="24">
    <w:abstractNumId w:val="12"/>
  </w:num>
  <w:num w:numId="25">
    <w:abstractNumId w:val="19"/>
  </w:num>
  <w:num w:numId="26">
    <w:abstractNumId w:val="21"/>
  </w:num>
  <w:num w:numId="27">
    <w:abstractNumId w:val="31"/>
  </w:num>
  <w:num w:numId="28">
    <w:abstractNumId w:val="28"/>
  </w:num>
  <w:num w:numId="29">
    <w:abstractNumId w:val="0"/>
  </w:num>
  <w:num w:numId="30">
    <w:abstractNumId w:val="10"/>
  </w:num>
  <w:num w:numId="31">
    <w:abstractNumId w:val="26"/>
  </w:num>
  <w:num w:numId="32">
    <w:abstractNumId w:val="7"/>
  </w:num>
  <w:num w:numId="33">
    <w:abstractNumId w:val="9"/>
  </w:num>
  <w:num w:numId="34">
    <w:abstractNumId w:val="14"/>
  </w:num>
  <w:num w:numId="35">
    <w:abstractNumId w:val="15"/>
  </w:num>
  <w:num w:numId="36">
    <w:abstractNumId w:val="33"/>
  </w:num>
  <w:num w:numId="37">
    <w:abstractNumId w:val="39"/>
  </w:num>
  <w:num w:numId="38">
    <w:abstractNumId w:val="29"/>
  </w:num>
  <w:num w:numId="39">
    <w:abstractNumId w:val="4"/>
  </w:num>
  <w:num w:numId="40">
    <w:abstractNumId w:val="36"/>
  </w:num>
  <w:num w:numId="41">
    <w:abstractNumId w:val="42"/>
  </w:num>
  <w:num w:numId="42">
    <w:abstractNumId w:val="30"/>
  </w:num>
  <w:num w:numId="43">
    <w:abstractNumId w:va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31"/>
    <w:rsid w:val="000029DF"/>
    <w:rsid w:val="00003C92"/>
    <w:rsid w:val="00004582"/>
    <w:rsid w:val="000101CF"/>
    <w:rsid w:val="000157C8"/>
    <w:rsid w:val="00015AC3"/>
    <w:rsid w:val="00016E39"/>
    <w:rsid w:val="00020EA5"/>
    <w:rsid w:val="00027A5C"/>
    <w:rsid w:val="000327CB"/>
    <w:rsid w:val="00032993"/>
    <w:rsid w:val="00033A61"/>
    <w:rsid w:val="00033D90"/>
    <w:rsid w:val="00042F2F"/>
    <w:rsid w:val="00043788"/>
    <w:rsid w:val="000446CB"/>
    <w:rsid w:val="00044FA1"/>
    <w:rsid w:val="00050183"/>
    <w:rsid w:val="000501B4"/>
    <w:rsid w:val="000512D9"/>
    <w:rsid w:val="00051389"/>
    <w:rsid w:val="000514C5"/>
    <w:rsid w:val="0005453F"/>
    <w:rsid w:val="00056F3A"/>
    <w:rsid w:val="0005752D"/>
    <w:rsid w:val="00060CB0"/>
    <w:rsid w:val="00062138"/>
    <w:rsid w:val="0006428F"/>
    <w:rsid w:val="000647C9"/>
    <w:rsid w:val="00067C08"/>
    <w:rsid w:val="000761B2"/>
    <w:rsid w:val="00076F7E"/>
    <w:rsid w:val="000828DA"/>
    <w:rsid w:val="00085EAA"/>
    <w:rsid w:val="00086ADB"/>
    <w:rsid w:val="000874A4"/>
    <w:rsid w:val="00092094"/>
    <w:rsid w:val="000932C0"/>
    <w:rsid w:val="000948FD"/>
    <w:rsid w:val="0009779D"/>
    <w:rsid w:val="000A2F1E"/>
    <w:rsid w:val="000A418E"/>
    <w:rsid w:val="000A4896"/>
    <w:rsid w:val="000A53C6"/>
    <w:rsid w:val="000A5EE5"/>
    <w:rsid w:val="000A6DAF"/>
    <w:rsid w:val="000A75A3"/>
    <w:rsid w:val="000A78B2"/>
    <w:rsid w:val="000B1943"/>
    <w:rsid w:val="000B2D83"/>
    <w:rsid w:val="000B5840"/>
    <w:rsid w:val="000B7105"/>
    <w:rsid w:val="000C149E"/>
    <w:rsid w:val="000C3284"/>
    <w:rsid w:val="000C7464"/>
    <w:rsid w:val="000D1744"/>
    <w:rsid w:val="000D6203"/>
    <w:rsid w:val="000D6FC2"/>
    <w:rsid w:val="000E07E7"/>
    <w:rsid w:val="000E6BF2"/>
    <w:rsid w:val="000F4E3C"/>
    <w:rsid w:val="0010164D"/>
    <w:rsid w:val="0010215C"/>
    <w:rsid w:val="0010306D"/>
    <w:rsid w:val="001179BD"/>
    <w:rsid w:val="00120E4D"/>
    <w:rsid w:val="00121450"/>
    <w:rsid w:val="00125BE0"/>
    <w:rsid w:val="00131078"/>
    <w:rsid w:val="001362A6"/>
    <w:rsid w:val="0013668B"/>
    <w:rsid w:val="0014053F"/>
    <w:rsid w:val="00141B00"/>
    <w:rsid w:val="00146BDF"/>
    <w:rsid w:val="00154C14"/>
    <w:rsid w:val="00157552"/>
    <w:rsid w:val="001623F2"/>
    <w:rsid w:val="0016442E"/>
    <w:rsid w:val="00164B5E"/>
    <w:rsid w:val="00180E4C"/>
    <w:rsid w:val="00184484"/>
    <w:rsid w:val="001859F1"/>
    <w:rsid w:val="001915B2"/>
    <w:rsid w:val="001A143D"/>
    <w:rsid w:val="001B039D"/>
    <w:rsid w:val="001B35EF"/>
    <w:rsid w:val="001C359A"/>
    <w:rsid w:val="001C67CD"/>
    <w:rsid w:val="001D04DF"/>
    <w:rsid w:val="001D38CB"/>
    <w:rsid w:val="001E0B13"/>
    <w:rsid w:val="001E1A38"/>
    <w:rsid w:val="001E22A4"/>
    <w:rsid w:val="001E2F55"/>
    <w:rsid w:val="001E4433"/>
    <w:rsid w:val="001E5348"/>
    <w:rsid w:val="001F08B9"/>
    <w:rsid w:val="001F0A8C"/>
    <w:rsid w:val="001F1997"/>
    <w:rsid w:val="001F5256"/>
    <w:rsid w:val="001F5AB9"/>
    <w:rsid w:val="001F7CED"/>
    <w:rsid w:val="002015DE"/>
    <w:rsid w:val="0020221B"/>
    <w:rsid w:val="002026E0"/>
    <w:rsid w:val="002047DD"/>
    <w:rsid w:val="0020536F"/>
    <w:rsid w:val="0020771F"/>
    <w:rsid w:val="00215EAE"/>
    <w:rsid w:val="002204FD"/>
    <w:rsid w:val="00221114"/>
    <w:rsid w:val="00222768"/>
    <w:rsid w:val="00223DB5"/>
    <w:rsid w:val="00223FF1"/>
    <w:rsid w:val="00227A52"/>
    <w:rsid w:val="00231049"/>
    <w:rsid w:val="00236343"/>
    <w:rsid w:val="002365F1"/>
    <w:rsid w:val="00236840"/>
    <w:rsid w:val="002400FE"/>
    <w:rsid w:val="00244FFB"/>
    <w:rsid w:val="00253355"/>
    <w:rsid w:val="00256525"/>
    <w:rsid w:val="002570BC"/>
    <w:rsid w:val="00260122"/>
    <w:rsid w:val="002617DE"/>
    <w:rsid w:val="00261874"/>
    <w:rsid w:val="00263B9F"/>
    <w:rsid w:val="00267BCC"/>
    <w:rsid w:val="002706BB"/>
    <w:rsid w:val="00273ED2"/>
    <w:rsid w:val="00276929"/>
    <w:rsid w:val="00277685"/>
    <w:rsid w:val="00285504"/>
    <w:rsid w:val="0028705A"/>
    <w:rsid w:val="0029412B"/>
    <w:rsid w:val="00297D8B"/>
    <w:rsid w:val="002A07C0"/>
    <w:rsid w:val="002A6361"/>
    <w:rsid w:val="002B1B6D"/>
    <w:rsid w:val="002B207D"/>
    <w:rsid w:val="002B27A5"/>
    <w:rsid w:val="002B2E7A"/>
    <w:rsid w:val="002B4335"/>
    <w:rsid w:val="002B4E7F"/>
    <w:rsid w:val="002B535F"/>
    <w:rsid w:val="002B5B96"/>
    <w:rsid w:val="002C0745"/>
    <w:rsid w:val="002C077D"/>
    <w:rsid w:val="002C0A3C"/>
    <w:rsid w:val="002C0CD1"/>
    <w:rsid w:val="002C137A"/>
    <w:rsid w:val="002C1E7B"/>
    <w:rsid w:val="002C369D"/>
    <w:rsid w:val="002D10CD"/>
    <w:rsid w:val="002D2EEF"/>
    <w:rsid w:val="002E003D"/>
    <w:rsid w:val="002E01CA"/>
    <w:rsid w:val="002E10AB"/>
    <w:rsid w:val="002E252F"/>
    <w:rsid w:val="002E49BD"/>
    <w:rsid w:val="002E51F0"/>
    <w:rsid w:val="002F0A7A"/>
    <w:rsid w:val="00300FE7"/>
    <w:rsid w:val="00302B6C"/>
    <w:rsid w:val="00302D3C"/>
    <w:rsid w:val="00303348"/>
    <w:rsid w:val="00303D60"/>
    <w:rsid w:val="00305983"/>
    <w:rsid w:val="00305FB5"/>
    <w:rsid w:val="0031056C"/>
    <w:rsid w:val="00311619"/>
    <w:rsid w:val="00321BCA"/>
    <w:rsid w:val="00323874"/>
    <w:rsid w:val="00323D22"/>
    <w:rsid w:val="003240F2"/>
    <w:rsid w:val="00332C06"/>
    <w:rsid w:val="00336F1E"/>
    <w:rsid w:val="00342692"/>
    <w:rsid w:val="00346C9C"/>
    <w:rsid w:val="00353099"/>
    <w:rsid w:val="00361788"/>
    <w:rsid w:val="0036557E"/>
    <w:rsid w:val="00365F14"/>
    <w:rsid w:val="0037102B"/>
    <w:rsid w:val="00375788"/>
    <w:rsid w:val="00381D73"/>
    <w:rsid w:val="003831E9"/>
    <w:rsid w:val="00392A45"/>
    <w:rsid w:val="003958C2"/>
    <w:rsid w:val="0039724E"/>
    <w:rsid w:val="00397D1F"/>
    <w:rsid w:val="003A2812"/>
    <w:rsid w:val="003A50EF"/>
    <w:rsid w:val="003A7EB2"/>
    <w:rsid w:val="003B05F8"/>
    <w:rsid w:val="003B4CFB"/>
    <w:rsid w:val="003B5350"/>
    <w:rsid w:val="003B612F"/>
    <w:rsid w:val="003C1BAF"/>
    <w:rsid w:val="003C2038"/>
    <w:rsid w:val="003C2A84"/>
    <w:rsid w:val="003C6447"/>
    <w:rsid w:val="003D1392"/>
    <w:rsid w:val="003D2139"/>
    <w:rsid w:val="003F2144"/>
    <w:rsid w:val="004014B7"/>
    <w:rsid w:val="00403C22"/>
    <w:rsid w:val="00405551"/>
    <w:rsid w:val="0040621E"/>
    <w:rsid w:val="00406D51"/>
    <w:rsid w:val="004102B2"/>
    <w:rsid w:val="00413F50"/>
    <w:rsid w:val="00417CF0"/>
    <w:rsid w:val="00421A65"/>
    <w:rsid w:val="00424551"/>
    <w:rsid w:val="0043194D"/>
    <w:rsid w:val="00432625"/>
    <w:rsid w:val="004327A5"/>
    <w:rsid w:val="00432C0D"/>
    <w:rsid w:val="00434FAA"/>
    <w:rsid w:val="00437599"/>
    <w:rsid w:val="00437902"/>
    <w:rsid w:val="004444B5"/>
    <w:rsid w:val="00446997"/>
    <w:rsid w:val="004556C7"/>
    <w:rsid w:val="00456632"/>
    <w:rsid w:val="0046569C"/>
    <w:rsid w:val="004663A2"/>
    <w:rsid w:val="004708FC"/>
    <w:rsid w:val="004710DC"/>
    <w:rsid w:val="004732FF"/>
    <w:rsid w:val="00475340"/>
    <w:rsid w:val="00476718"/>
    <w:rsid w:val="004802EE"/>
    <w:rsid w:val="00480313"/>
    <w:rsid w:val="0049166C"/>
    <w:rsid w:val="00492486"/>
    <w:rsid w:val="00492821"/>
    <w:rsid w:val="00495227"/>
    <w:rsid w:val="004A1B17"/>
    <w:rsid w:val="004A3333"/>
    <w:rsid w:val="004A39B4"/>
    <w:rsid w:val="004A62A3"/>
    <w:rsid w:val="004B5C1D"/>
    <w:rsid w:val="004C3176"/>
    <w:rsid w:val="004C45DB"/>
    <w:rsid w:val="004C4BF5"/>
    <w:rsid w:val="004C5445"/>
    <w:rsid w:val="004C61C2"/>
    <w:rsid w:val="004D1AA8"/>
    <w:rsid w:val="004D5847"/>
    <w:rsid w:val="004D7C97"/>
    <w:rsid w:val="004E4DC8"/>
    <w:rsid w:val="004E6C3F"/>
    <w:rsid w:val="004F1834"/>
    <w:rsid w:val="004F22F7"/>
    <w:rsid w:val="004F3D35"/>
    <w:rsid w:val="004F3F5C"/>
    <w:rsid w:val="004F71F9"/>
    <w:rsid w:val="004F769A"/>
    <w:rsid w:val="00501266"/>
    <w:rsid w:val="00503182"/>
    <w:rsid w:val="0050414F"/>
    <w:rsid w:val="00504486"/>
    <w:rsid w:val="00504DBE"/>
    <w:rsid w:val="00515D65"/>
    <w:rsid w:val="00517376"/>
    <w:rsid w:val="0051753C"/>
    <w:rsid w:val="00522636"/>
    <w:rsid w:val="00523645"/>
    <w:rsid w:val="005274A8"/>
    <w:rsid w:val="005310F8"/>
    <w:rsid w:val="00534F40"/>
    <w:rsid w:val="005371BC"/>
    <w:rsid w:val="00542166"/>
    <w:rsid w:val="00543F7D"/>
    <w:rsid w:val="00551673"/>
    <w:rsid w:val="0055341E"/>
    <w:rsid w:val="005568BC"/>
    <w:rsid w:val="00560A35"/>
    <w:rsid w:val="00561216"/>
    <w:rsid w:val="00563057"/>
    <w:rsid w:val="00563312"/>
    <w:rsid w:val="0056711C"/>
    <w:rsid w:val="00570EE7"/>
    <w:rsid w:val="00572F45"/>
    <w:rsid w:val="00581BF3"/>
    <w:rsid w:val="005820F7"/>
    <w:rsid w:val="00585723"/>
    <w:rsid w:val="0058656C"/>
    <w:rsid w:val="00587AD9"/>
    <w:rsid w:val="00590EFD"/>
    <w:rsid w:val="005936AD"/>
    <w:rsid w:val="0059446A"/>
    <w:rsid w:val="005949A2"/>
    <w:rsid w:val="0059514D"/>
    <w:rsid w:val="00595D0D"/>
    <w:rsid w:val="005965A7"/>
    <w:rsid w:val="005A5ABB"/>
    <w:rsid w:val="005B4D4E"/>
    <w:rsid w:val="005B5188"/>
    <w:rsid w:val="005B6962"/>
    <w:rsid w:val="005C08CF"/>
    <w:rsid w:val="005C45E0"/>
    <w:rsid w:val="005C4622"/>
    <w:rsid w:val="005C5543"/>
    <w:rsid w:val="005C5EE8"/>
    <w:rsid w:val="005C6895"/>
    <w:rsid w:val="005C766A"/>
    <w:rsid w:val="005D63F1"/>
    <w:rsid w:val="005D7C3D"/>
    <w:rsid w:val="005E3F9A"/>
    <w:rsid w:val="005F038E"/>
    <w:rsid w:val="005F0574"/>
    <w:rsid w:val="005F27C0"/>
    <w:rsid w:val="005F2D06"/>
    <w:rsid w:val="005F3E9E"/>
    <w:rsid w:val="005F49DC"/>
    <w:rsid w:val="00605FEE"/>
    <w:rsid w:val="00606223"/>
    <w:rsid w:val="00614438"/>
    <w:rsid w:val="006145AA"/>
    <w:rsid w:val="006171F0"/>
    <w:rsid w:val="00620827"/>
    <w:rsid w:val="0062241F"/>
    <w:rsid w:val="006227E0"/>
    <w:rsid w:val="006233EE"/>
    <w:rsid w:val="00624B51"/>
    <w:rsid w:val="00627208"/>
    <w:rsid w:val="006310E1"/>
    <w:rsid w:val="00633D8C"/>
    <w:rsid w:val="006370F3"/>
    <w:rsid w:val="006403CD"/>
    <w:rsid w:val="0064492B"/>
    <w:rsid w:val="0064545A"/>
    <w:rsid w:val="00647BBC"/>
    <w:rsid w:val="00647EC1"/>
    <w:rsid w:val="00654A2A"/>
    <w:rsid w:val="006576E0"/>
    <w:rsid w:val="00663C1A"/>
    <w:rsid w:val="006653ED"/>
    <w:rsid w:val="00666FF0"/>
    <w:rsid w:val="0067147E"/>
    <w:rsid w:val="00672F60"/>
    <w:rsid w:val="0067403E"/>
    <w:rsid w:val="006751E6"/>
    <w:rsid w:val="00675F55"/>
    <w:rsid w:val="00676C56"/>
    <w:rsid w:val="006832C0"/>
    <w:rsid w:val="006874C0"/>
    <w:rsid w:val="00687B01"/>
    <w:rsid w:val="00692F68"/>
    <w:rsid w:val="00693BBB"/>
    <w:rsid w:val="0069767C"/>
    <w:rsid w:val="006A52F3"/>
    <w:rsid w:val="006B0FCA"/>
    <w:rsid w:val="006B20FF"/>
    <w:rsid w:val="006B45B5"/>
    <w:rsid w:val="006B4A5F"/>
    <w:rsid w:val="006B6FD9"/>
    <w:rsid w:val="006B78FF"/>
    <w:rsid w:val="006B7A76"/>
    <w:rsid w:val="006C380E"/>
    <w:rsid w:val="006C4051"/>
    <w:rsid w:val="006C45EA"/>
    <w:rsid w:val="006D36CA"/>
    <w:rsid w:val="006D4220"/>
    <w:rsid w:val="006D61E9"/>
    <w:rsid w:val="006D7366"/>
    <w:rsid w:val="006D76A0"/>
    <w:rsid w:val="006E5861"/>
    <w:rsid w:val="006F337A"/>
    <w:rsid w:val="006F6C6C"/>
    <w:rsid w:val="00700FFC"/>
    <w:rsid w:val="0070322C"/>
    <w:rsid w:val="00704FFB"/>
    <w:rsid w:val="00710533"/>
    <w:rsid w:val="00713056"/>
    <w:rsid w:val="00714250"/>
    <w:rsid w:val="007204FB"/>
    <w:rsid w:val="0072108F"/>
    <w:rsid w:val="00721203"/>
    <w:rsid w:val="00721B70"/>
    <w:rsid w:val="0074137D"/>
    <w:rsid w:val="00741482"/>
    <w:rsid w:val="00742544"/>
    <w:rsid w:val="007436B3"/>
    <w:rsid w:val="00744CF2"/>
    <w:rsid w:val="0074617D"/>
    <w:rsid w:val="00752600"/>
    <w:rsid w:val="007544F8"/>
    <w:rsid w:val="007557EF"/>
    <w:rsid w:val="00761D43"/>
    <w:rsid w:val="00762093"/>
    <w:rsid w:val="0076491B"/>
    <w:rsid w:val="007658F9"/>
    <w:rsid w:val="00765939"/>
    <w:rsid w:val="007713B2"/>
    <w:rsid w:val="00774244"/>
    <w:rsid w:val="00775B43"/>
    <w:rsid w:val="00776271"/>
    <w:rsid w:val="00777B22"/>
    <w:rsid w:val="00783831"/>
    <w:rsid w:val="00784711"/>
    <w:rsid w:val="007905B1"/>
    <w:rsid w:val="00791134"/>
    <w:rsid w:val="00793B8C"/>
    <w:rsid w:val="007952CF"/>
    <w:rsid w:val="0079576A"/>
    <w:rsid w:val="00795943"/>
    <w:rsid w:val="007A206E"/>
    <w:rsid w:val="007A2FCB"/>
    <w:rsid w:val="007A3ECC"/>
    <w:rsid w:val="007B7D2C"/>
    <w:rsid w:val="007C16C4"/>
    <w:rsid w:val="007C2A22"/>
    <w:rsid w:val="007C7A12"/>
    <w:rsid w:val="007D1F48"/>
    <w:rsid w:val="007D44D5"/>
    <w:rsid w:val="007D6DA1"/>
    <w:rsid w:val="007E50F9"/>
    <w:rsid w:val="007E6623"/>
    <w:rsid w:val="007E757A"/>
    <w:rsid w:val="007F075D"/>
    <w:rsid w:val="007F0A11"/>
    <w:rsid w:val="007F24D9"/>
    <w:rsid w:val="007F2D37"/>
    <w:rsid w:val="007F32EF"/>
    <w:rsid w:val="007F3355"/>
    <w:rsid w:val="007F4A48"/>
    <w:rsid w:val="007F4DCF"/>
    <w:rsid w:val="007F5977"/>
    <w:rsid w:val="007F6993"/>
    <w:rsid w:val="00801ED7"/>
    <w:rsid w:val="008044E6"/>
    <w:rsid w:val="00805E43"/>
    <w:rsid w:val="00807B28"/>
    <w:rsid w:val="00811283"/>
    <w:rsid w:val="00812A29"/>
    <w:rsid w:val="00812C47"/>
    <w:rsid w:val="0081426F"/>
    <w:rsid w:val="00814378"/>
    <w:rsid w:val="00814880"/>
    <w:rsid w:val="0082488D"/>
    <w:rsid w:val="008375D2"/>
    <w:rsid w:val="0083785A"/>
    <w:rsid w:val="00842822"/>
    <w:rsid w:val="00842FF5"/>
    <w:rsid w:val="008519A7"/>
    <w:rsid w:val="00851F0D"/>
    <w:rsid w:val="008537BB"/>
    <w:rsid w:val="0086084C"/>
    <w:rsid w:val="008613BB"/>
    <w:rsid w:val="00867766"/>
    <w:rsid w:val="00867E38"/>
    <w:rsid w:val="00873A73"/>
    <w:rsid w:val="00874F76"/>
    <w:rsid w:val="00875D84"/>
    <w:rsid w:val="0088252C"/>
    <w:rsid w:val="00882CB9"/>
    <w:rsid w:val="00884AA9"/>
    <w:rsid w:val="008868D7"/>
    <w:rsid w:val="00887A25"/>
    <w:rsid w:val="008910E9"/>
    <w:rsid w:val="0089121B"/>
    <w:rsid w:val="00891876"/>
    <w:rsid w:val="00892A8A"/>
    <w:rsid w:val="00894961"/>
    <w:rsid w:val="00895037"/>
    <w:rsid w:val="008A054A"/>
    <w:rsid w:val="008A0981"/>
    <w:rsid w:val="008A0D58"/>
    <w:rsid w:val="008A70DD"/>
    <w:rsid w:val="008B1E9B"/>
    <w:rsid w:val="008B3886"/>
    <w:rsid w:val="008B4856"/>
    <w:rsid w:val="008B6B34"/>
    <w:rsid w:val="008C313A"/>
    <w:rsid w:val="008C45A1"/>
    <w:rsid w:val="008C50E3"/>
    <w:rsid w:val="008D0DB0"/>
    <w:rsid w:val="008D3671"/>
    <w:rsid w:val="008D4F2C"/>
    <w:rsid w:val="008D6C2D"/>
    <w:rsid w:val="008E0393"/>
    <w:rsid w:val="008E0C4C"/>
    <w:rsid w:val="008E26F8"/>
    <w:rsid w:val="008E3133"/>
    <w:rsid w:val="008E330D"/>
    <w:rsid w:val="008E34F8"/>
    <w:rsid w:val="008E7BED"/>
    <w:rsid w:val="008F50A7"/>
    <w:rsid w:val="008F588D"/>
    <w:rsid w:val="00911433"/>
    <w:rsid w:val="00911E5F"/>
    <w:rsid w:val="00912420"/>
    <w:rsid w:val="0091257D"/>
    <w:rsid w:val="00913E6E"/>
    <w:rsid w:val="009152F1"/>
    <w:rsid w:val="0091617B"/>
    <w:rsid w:val="009173F0"/>
    <w:rsid w:val="009203FC"/>
    <w:rsid w:val="00923196"/>
    <w:rsid w:val="00923B95"/>
    <w:rsid w:val="00924904"/>
    <w:rsid w:val="00926E22"/>
    <w:rsid w:val="009276E0"/>
    <w:rsid w:val="00927835"/>
    <w:rsid w:val="00930195"/>
    <w:rsid w:val="00930B6E"/>
    <w:rsid w:val="00934340"/>
    <w:rsid w:val="00934CF1"/>
    <w:rsid w:val="00937743"/>
    <w:rsid w:val="00937885"/>
    <w:rsid w:val="00940DD4"/>
    <w:rsid w:val="00941642"/>
    <w:rsid w:val="009416E6"/>
    <w:rsid w:val="00941E2B"/>
    <w:rsid w:val="009432DB"/>
    <w:rsid w:val="00945CF5"/>
    <w:rsid w:val="00946333"/>
    <w:rsid w:val="009508DD"/>
    <w:rsid w:val="00953512"/>
    <w:rsid w:val="00953EB0"/>
    <w:rsid w:val="00956FB7"/>
    <w:rsid w:val="009611F8"/>
    <w:rsid w:val="00962CC2"/>
    <w:rsid w:val="00963D3A"/>
    <w:rsid w:val="00965304"/>
    <w:rsid w:val="00965999"/>
    <w:rsid w:val="009728D3"/>
    <w:rsid w:val="00973D68"/>
    <w:rsid w:val="00974F2C"/>
    <w:rsid w:val="00980524"/>
    <w:rsid w:val="0098175C"/>
    <w:rsid w:val="00984CD4"/>
    <w:rsid w:val="00985FDE"/>
    <w:rsid w:val="0098619F"/>
    <w:rsid w:val="009912BA"/>
    <w:rsid w:val="009919EB"/>
    <w:rsid w:val="00992031"/>
    <w:rsid w:val="0099495B"/>
    <w:rsid w:val="009956EC"/>
    <w:rsid w:val="0099684D"/>
    <w:rsid w:val="009A08FA"/>
    <w:rsid w:val="009A0D18"/>
    <w:rsid w:val="009A2343"/>
    <w:rsid w:val="009A31E7"/>
    <w:rsid w:val="009A67E5"/>
    <w:rsid w:val="009B20C6"/>
    <w:rsid w:val="009B4A04"/>
    <w:rsid w:val="009C137A"/>
    <w:rsid w:val="009C6289"/>
    <w:rsid w:val="009D7484"/>
    <w:rsid w:val="009E2A76"/>
    <w:rsid w:val="009E54A4"/>
    <w:rsid w:val="009E7CE5"/>
    <w:rsid w:val="009F0F65"/>
    <w:rsid w:val="009F4C12"/>
    <w:rsid w:val="009F5B1B"/>
    <w:rsid w:val="009F6BAE"/>
    <w:rsid w:val="00A012D6"/>
    <w:rsid w:val="00A05F82"/>
    <w:rsid w:val="00A0639D"/>
    <w:rsid w:val="00A06892"/>
    <w:rsid w:val="00A1250D"/>
    <w:rsid w:val="00A14B7D"/>
    <w:rsid w:val="00A16E1A"/>
    <w:rsid w:val="00A23E31"/>
    <w:rsid w:val="00A2405C"/>
    <w:rsid w:val="00A247DF"/>
    <w:rsid w:val="00A2498C"/>
    <w:rsid w:val="00A36085"/>
    <w:rsid w:val="00A360F5"/>
    <w:rsid w:val="00A3790A"/>
    <w:rsid w:val="00A402BF"/>
    <w:rsid w:val="00A4079E"/>
    <w:rsid w:val="00A4090F"/>
    <w:rsid w:val="00A42101"/>
    <w:rsid w:val="00A523BE"/>
    <w:rsid w:val="00A553CE"/>
    <w:rsid w:val="00A57078"/>
    <w:rsid w:val="00A57B39"/>
    <w:rsid w:val="00A616D4"/>
    <w:rsid w:val="00A66C47"/>
    <w:rsid w:val="00A775EB"/>
    <w:rsid w:val="00A77C98"/>
    <w:rsid w:val="00A87148"/>
    <w:rsid w:val="00A93388"/>
    <w:rsid w:val="00A934DC"/>
    <w:rsid w:val="00A93ACC"/>
    <w:rsid w:val="00A93B2B"/>
    <w:rsid w:val="00A93E2B"/>
    <w:rsid w:val="00A9569F"/>
    <w:rsid w:val="00A95923"/>
    <w:rsid w:val="00AA162C"/>
    <w:rsid w:val="00AA2B19"/>
    <w:rsid w:val="00AA7D29"/>
    <w:rsid w:val="00AB2C03"/>
    <w:rsid w:val="00AB66B7"/>
    <w:rsid w:val="00AC04BB"/>
    <w:rsid w:val="00AC2C9A"/>
    <w:rsid w:val="00AC392E"/>
    <w:rsid w:val="00AC54F9"/>
    <w:rsid w:val="00AC555B"/>
    <w:rsid w:val="00AC6887"/>
    <w:rsid w:val="00AD23AA"/>
    <w:rsid w:val="00AD2798"/>
    <w:rsid w:val="00AD2F42"/>
    <w:rsid w:val="00AD51FA"/>
    <w:rsid w:val="00AD69B9"/>
    <w:rsid w:val="00AE1EC4"/>
    <w:rsid w:val="00AE4D21"/>
    <w:rsid w:val="00AF076B"/>
    <w:rsid w:val="00AF0878"/>
    <w:rsid w:val="00AF2F17"/>
    <w:rsid w:val="00AF3736"/>
    <w:rsid w:val="00AF5831"/>
    <w:rsid w:val="00B0043C"/>
    <w:rsid w:val="00B02FDE"/>
    <w:rsid w:val="00B03D57"/>
    <w:rsid w:val="00B054BA"/>
    <w:rsid w:val="00B070AA"/>
    <w:rsid w:val="00B074E1"/>
    <w:rsid w:val="00B14164"/>
    <w:rsid w:val="00B15302"/>
    <w:rsid w:val="00B1657E"/>
    <w:rsid w:val="00B233C3"/>
    <w:rsid w:val="00B26985"/>
    <w:rsid w:val="00B3022B"/>
    <w:rsid w:val="00B35B9B"/>
    <w:rsid w:val="00B36A00"/>
    <w:rsid w:val="00B408E8"/>
    <w:rsid w:val="00B457FA"/>
    <w:rsid w:val="00B513E9"/>
    <w:rsid w:val="00B519B5"/>
    <w:rsid w:val="00B51BFA"/>
    <w:rsid w:val="00B535AB"/>
    <w:rsid w:val="00B54992"/>
    <w:rsid w:val="00B6048F"/>
    <w:rsid w:val="00B6404B"/>
    <w:rsid w:val="00B64150"/>
    <w:rsid w:val="00B64773"/>
    <w:rsid w:val="00B67DA6"/>
    <w:rsid w:val="00B71CEA"/>
    <w:rsid w:val="00B76739"/>
    <w:rsid w:val="00B76CE7"/>
    <w:rsid w:val="00B77F79"/>
    <w:rsid w:val="00B841B5"/>
    <w:rsid w:val="00B865D4"/>
    <w:rsid w:val="00B869D3"/>
    <w:rsid w:val="00B874D3"/>
    <w:rsid w:val="00B87894"/>
    <w:rsid w:val="00B94249"/>
    <w:rsid w:val="00BA1281"/>
    <w:rsid w:val="00BA36A5"/>
    <w:rsid w:val="00BB0C06"/>
    <w:rsid w:val="00BB346D"/>
    <w:rsid w:val="00BB394B"/>
    <w:rsid w:val="00BC05BB"/>
    <w:rsid w:val="00BC2628"/>
    <w:rsid w:val="00BC2EE2"/>
    <w:rsid w:val="00BD2242"/>
    <w:rsid w:val="00BD30F6"/>
    <w:rsid w:val="00BD7E36"/>
    <w:rsid w:val="00BE08D0"/>
    <w:rsid w:val="00BE0C6E"/>
    <w:rsid w:val="00BE1154"/>
    <w:rsid w:val="00BE1A9F"/>
    <w:rsid w:val="00BE3B5E"/>
    <w:rsid w:val="00BE3C48"/>
    <w:rsid w:val="00BF01F9"/>
    <w:rsid w:val="00BF365E"/>
    <w:rsid w:val="00BF6162"/>
    <w:rsid w:val="00BF6910"/>
    <w:rsid w:val="00BF75F0"/>
    <w:rsid w:val="00C007EE"/>
    <w:rsid w:val="00C02E19"/>
    <w:rsid w:val="00C03CD7"/>
    <w:rsid w:val="00C060E3"/>
    <w:rsid w:val="00C0660D"/>
    <w:rsid w:val="00C06944"/>
    <w:rsid w:val="00C06C83"/>
    <w:rsid w:val="00C10BAC"/>
    <w:rsid w:val="00C116EE"/>
    <w:rsid w:val="00C13BAB"/>
    <w:rsid w:val="00C13E72"/>
    <w:rsid w:val="00C14AFA"/>
    <w:rsid w:val="00C15661"/>
    <w:rsid w:val="00C17647"/>
    <w:rsid w:val="00C17F8F"/>
    <w:rsid w:val="00C26583"/>
    <w:rsid w:val="00C26B6C"/>
    <w:rsid w:val="00C344EB"/>
    <w:rsid w:val="00C36128"/>
    <w:rsid w:val="00C45E22"/>
    <w:rsid w:val="00C46D02"/>
    <w:rsid w:val="00C47AB7"/>
    <w:rsid w:val="00C54553"/>
    <w:rsid w:val="00C62B35"/>
    <w:rsid w:val="00C638EB"/>
    <w:rsid w:val="00C654E1"/>
    <w:rsid w:val="00C73B16"/>
    <w:rsid w:val="00C73CFB"/>
    <w:rsid w:val="00C745E9"/>
    <w:rsid w:val="00C766C7"/>
    <w:rsid w:val="00C81E4C"/>
    <w:rsid w:val="00C8342C"/>
    <w:rsid w:val="00C91234"/>
    <w:rsid w:val="00C92D9A"/>
    <w:rsid w:val="00C9302F"/>
    <w:rsid w:val="00C94945"/>
    <w:rsid w:val="00C96BCE"/>
    <w:rsid w:val="00C9752A"/>
    <w:rsid w:val="00CA6D5A"/>
    <w:rsid w:val="00CA7494"/>
    <w:rsid w:val="00CB19B5"/>
    <w:rsid w:val="00CC30FB"/>
    <w:rsid w:val="00CC4CDE"/>
    <w:rsid w:val="00CD0677"/>
    <w:rsid w:val="00CD1F89"/>
    <w:rsid w:val="00CD3D82"/>
    <w:rsid w:val="00CE2CAC"/>
    <w:rsid w:val="00CE2E3F"/>
    <w:rsid w:val="00CE3291"/>
    <w:rsid w:val="00CE4DC7"/>
    <w:rsid w:val="00CE6ABA"/>
    <w:rsid w:val="00CE7943"/>
    <w:rsid w:val="00CF0C4D"/>
    <w:rsid w:val="00CF293E"/>
    <w:rsid w:val="00CF48D5"/>
    <w:rsid w:val="00CF4E82"/>
    <w:rsid w:val="00CF5A1C"/>
    <w:rsid w:val="00D006CC"/>
    <w:rsid w:val="00D027E6"/>
    <w:rsid w:val="00D2493D"/>
    <w:rsid w:val="00D30110"/>
    <w:rsid w:val="00D31AD3"/>
    <w:rsid w:val="00D32D27"/>
    <w:rsid w:val="00D32E1C"/>
    <w:rsid w:val="00D331BB"/>
    <w:rsid w:val="00D35B50"/>
    <w:rsid w:val="00D44628"/>
    <w:rsid w:val="00D4608C"/>
    <w:rsid w:val="00D519E2"/>
    <w:rsid w:val="00D53960"/>
    <w:rsid w:val="00D5399B"/>
    <w:rsid w:val="00D5438C"/>
    <w:rsid w:val="00D55D38"/>
    <w:rsid w:val="00D64B05"/>
    <w:rsid w:val="00D67A0E"/>
    <w:rsid w:val="00D7123C"/>
    <w:rsid w:val="00D749F8"/>
    <w:rsid w:val="00D750D8"/>
    <w:rsid w:val="00D80E91"/>
    <w:rsid w:val="00D81623"/>
    <w:rsid w:val="00D829E7"/>
    <w:rsid w:val="00D856AE"/>
    <w:rsid w:val="00D9137C"/>
    <w:rsid w:val="00D95816"/>
    <w:rsid w:val="00DA10E6"/>
    <w:rsid w:val="00DA3CE7"/>
    <w:rsid w:val="00DB192B"/>
    <w:rsid w:val="00DB383E"/>
    <w:rsid w:val="00DB3B99"/>
    <w:rsid w:val="00DB4EB0"/>
    <w:rsid w:val="00DB637C"/>
    <w:rsid w:val="00DC0E7E"/>
    <w:rsid w:val="00DC2C63"/>
    <w:rsid w:val="00DC3B14"/>
    <w:rsid w:val="00DC4940"/>
    <w:rsid w:val="00DC5761"/>
    <w:rsid w:val="00DC6A13"/>
    <w:rsid w:val="00DD15A9"/>
    <w:rsid w:val="00DD3819"/>
    <w:rsid w:val="00DD4872"/>
    <w:rsid w:val="00DD5EDA"/>
    <w:rsid w:val="00DD67CE"/>
    <w:rsid w:val="00DE1CF3"/>
    <w:rsid w:val="00DE22B0"/>
    <w:rsid w:val="00DE4035"/>
    <w:rsid w:val="00DE75A9"/>
    <w:rsid w:val="00DE7818"/>
    <w:rsid w:val="00DF141B"/>
    <w:rsid w:val="00E001FB"/>
    <w:rsid w:val="00E005F5"/>
    <w:rsid w:val="00E00610"/>
    <w:rsid w:val="00E044E0"/>
    <w:rsid w:val="00E11A6F"/>
    <w:rsid w:val="00E1630A"/>
    <w:rsid w:val="00E165B1"/>
    <w:rsid w:val="00E17439"/>
    <w:rsid w:val="00E200A8"/>
    <w:rsid w:val="00E20BB4"/>
    <w:rsid w:val="00E20F41"/>
    <w:rsid w:val="00E22B25"/>
    <w:rsid w:val="00E24397"/>
    <w:rsid w:val="00E26E6F"/>
    <w:rsid w:val="00E2785A"/>
    <w:rsid w:val="00E33F98"/>
    <w:rsid w:val="00E356F7"/>
    <w:rsid w:val="00E3639E"/>
    <w:rsid w:val="00E40069"/>
    <w:rsid w:val="00E41834"/>
    <w:rsid w:val="00E4247A"/>
    <w:rsid w:val="00E4570D"/>
    <w:rsid w:val="00E47E62"/>
    <w:rsid w:val="00E541ED"/>
    <w:rsid w:val="00E57D39"/>
    <w:rsid w:val="00E63258"/>
    <w:rsid w:val="00E64DD9"/>
    <w:rsid w:val="00E65A55"/>
    <w:rsid w:val="00E65EF3"/>
    <w:rsid w:val="00E66ED5"/>
    <w:rsid w:val="00E677FE"/>
    <w:rsid w:val="00E70895"/>
    <w:rsid w:val="00E717E3"/>
    <w:rsid w:val="00E728ED"/>
    <w:rsid w:val="00E7755D"/>
    <w:rsid w:val="00E8099E"/>
    <w:rsid w:val="00E8235C"/>
    <w:rsid w:val="00E82E97"/>
    <w:rsid w:val="00E90399"/>
    <w:rsid w:val="00E90BA8"/>
    <w:rsid w:val="00E931CC"/>
    <w:rsid w:val="00EA0B06"/>
    <w:rsid w:val="00EA1C5C"/>
    <w:rsid w:val="00EA2806"/>
    <w:rsid w:val="00EA44DA"/>
    <w:rsid w:val="00EA4E9F"/>
    <w:rsid w:val="00EA5612"/>
    <w:rsid w:val="00EB196E"/>
    <w:rsid w:val="00EB41CE"/>
    <w:rsid w:val="00EB4F30"/>
    <w:rsid w:val="00EB5F7C"/>
    <w:rsid w:val="00EC4743"/>
    <w:rsid w:val="00ED2065"/>
    <w:rsid w:val="00ED2F87"/>
    <w:rsid w:val="00ED4C7D"/>
    <w:rsid w:val="00ED5351"/>
    <w:rsid w:val="00ED6913"/>
    <w:rsid w:val="00EE06A0"/>
    <w:rsid w:val="00EE0F8F"/>
    <w:rsid w:val="00EE5EA3"/>
    <w:rsid w:val="00EE65D3"/>
    <w:rsid w:val="00EE6F57"/>
    <w:rsid w:val="00EF064E"/>
    <w:rsid w:val="00EF3F05"/>
    <w:rsid w:val="00EF405A"/>
    <w:rsid w:val="00EF47E4"/>
    <w:rsid w:val="00F002D3"/>
    <w:rsid w:val="00F0364E"/>
    <w:rsid w:val="00F05090"/>
    <w:rsid w:val="00F051BB"/>
    <w:rsid w:val="00F06F72"/>
    <w:rsid w:val="00F07A1C"/>
    <w:rsid w:val="00F10ACE"/>
    <w:rsid w:val="00F116FC"/>
    <w:rsid w:val="00F119D7"/>
    <w:rsid w:val="00F12E63"/>
    <w:rsid w:val="00F15710"/>
    <w:rsid w:val="00F16FBA"/>
    <w:rsid w:val="00F2117A"/>
    <w:rsid w:val="00F26501"/>
    <w:rsid w:val="00F33727"/>
    <w:rsid w:val="00F35160"/>
    <w:rsid w:val="00F41824"/>
    <w:rsid w:val="00F418BA"/>
    <w:rsid w:val="00F45785"/>
    <w:rsid w:val="00F50098"/>
    <w:rsid w:val="00F51104"/>
    <w:rsid w:val="00F51D77"/>
    <w:rsid w:val="00F53BFA"/>
    <w:rsid w:val="00F54CA0"/>
    <w:rsid w:val="00F56773"/>
    <w:rsid w:val="00F57EB0"/>
    <w:rsid w:val="00F61165"/>
    <w:rsid w:val="00F6182C"/>
    <w:rsid w:val="00F644C1"/>
    <w:rsid w:val="00F65502"/>
    <w:rsid w:val="00F676AA"/>
    <w:rsid w:val="00F7591A"/>
    <w:rsid w:val="00F75E5F"/>
    <w:rsid w:val="00F76CBA"/>
    <w:rsid w:val="00F8413F"/>
    <w:rsid w:val="00F863E3"/>
    <w:rsid w:val="00F86ECB"/>
    <w:rsid w:val="00F91FE2"/>
    <w:rsid w:val="00FA18E3"/>
    <w:rsid w:val="00FB0972"/>
    <w:rsid w:val="00FB5E82"/>
    <w:rsid w:val="00FB669A"/>
    <w:rsid w:val="00FC4ACE"/>
    <w:rsid w:val="00FC5EC8"/>
    <w:rsid w:val="00FD0887"/>
    <w:rsid w:val="00FD0C5F"/>
    <w:rsid w:val="00FD40D7"/>
    <w:rsid w:val="00FD429F"/>
    <w:rsid w:val="00FD76BE"/>
    <w:rsid w:val="00FD7F76"/>
    <w:rsid w:val="00FE033A"/>
    <w:rsid w:val="00FE0C3F"/>
    <w:rsid w:val="00FE21D1"/>
    <w:rsid w:val="00FE4842"/>
    <w:rsid w:val="00FF0EEE"/>
    <w:rsid w:val="00FF1C9C"/>
    <w:rsid w:val="00FF27BB"/>
    <w:rsid w:val="00FF2907"/>
    <w:rsid w:val="00FF550B"/>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4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31"/>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741482"/>
    <w:pPr>
      <w:keepNext/>
      <w:jc w:val="center"/>
      <w:outlineLvl w:val="0"/>
    </w:pPr>
    <w:rPr>
      <w:b/>
      <w:sz w:val="32"/>
      <w:lang w:val="lv-LV" w:eastAsia="en-US"/>
    </w:rPr>
  </w:style>
  <w:style w:type="paragraph" w:styleId="Heading2">
    <w:name w:val="heading 2"/>
    <w:basedOn w:val="Normal"/>
    <w:next w:val="Normal"/>
    <w:link w:val="Heading2Char"/>
    <w:uiPriority w:val="99"/>
    <w:qFormat/>
    <w:rsid w:val="007F0A11"/>
    <w:pPr>
      <w:keepNext/>
      <w:jc w:val="both"/>
      <w:outlineLvl w:val="1"/>
    </w:pPr>
    <w:rPr>
      <w:rFonts w:cs="Arial"/>
      <w:b/>
      <w:bCs/>
      <w:iCs/>
      <w:sz w:val="28"/>
      <w:szCs w:val="28"/>
    </w:rPr>
  </w:style>
  <w:style w:type="paragraph" w:styleId="Heading3">
    <w:name w:val="heading 3"/>
    <w:basedOn w:val="Normal"/>
    <w:next w:val="Normal"/>
    <w:link w:val="Heading3Char"/>
    <w:qFormat/>
    <w:rsid w:val="00164B5E"/>
    <w:pPr>
      <w:keepNext/>
      <w:jc w:val="both"/>
      <w:outlineLvl w:val="2"/>
    </w:pPr>
    <w:rPr>
      <w:rFonts w:cs="Arial"/>
      <w:b/>
      <w:bCs/>
      <w:sz w:val="26"/>
      <w:szCs w:val="26"/>
    </w:rPr>
  </w:style>
  <w:style w:type="paragraph" w:styleId="Heading4">
    <w:name w:val="heading 4"/>
    <w:basedOn w:val="Normal"/>
    <w:next w:val="Normal"/>
    <w:link w:val="Heading4Char"/>
    <w:qFormat/>
    <w:rsid w:val="00783831"/>
    <w:pPr>
      <w:keepNext/>
      <w:spacing w:before="240" w:after="60"/>
      <w:outlineLvl w:val="3"/>
    </w:pPr>
    <w:rPr>
      <w:b/>
      <w:bCs/>
      <w:sz w:val="28"/>
      <w:szCs w:val="28"/>
    </w:rPr>
  </w:style>
  <w:style w:type="paragraph" w:styleId="Heading5">
    <w:name w:val="heading 5"/>
    <w:basedOn w:val="Normal"/>
    <w:next w:val="Normal"/>
    <w:link w:val="Heading5Char"/>
    <w:qFormat/>
    <w:rsid w:val="00783831"/>
    <w:pPr>
      <w:spacing w:before="240" w:after="60"/>
      <w:outlineLvl w:val="4"/>
    </w:pPr>
    <w:rPr>
      <w:b/>
      <w:bCs/>
      <w:i/>
      <w:iCs/>
      <w:sz w:val="26"/>
      <w:szCs w:val="26"/>
    </w:rPr>
  </w:style>
  <w:style w:type="paragraph" w:styleId="Heading6">
    <w:name w:val="heading 6"/>
    <w:basedOn w:val="Normal"/>
    <w:next w:val="Normal"/>
    <w:link w:val="Heading6Char"/>
    <w:qFormat/>
    <w:rsid w:val="00783831"/>
    <w:pPr>
      <w:keepNext/>
      <w:outlineLvl w:val="5"/>
    </w:pPr>
    <w:rPr>
      <w:b/>
      <w:bCs/>
      <w:i/>
      <w:u w:val="single"/>
      <w:lang w:val="lv-LV"/>
    </w:rPr>
  </w:style>
  <w:style w:type="paragraph" w:styleId="Heading7">
    <w:name w:val="heading 7"/>
    <w:basedOn w:val="Normal"/>
    <w:next w:val="Normal"/>
    <w:link w:val="Heading7Char"/>
    <w:qFormat/>
    <w:rsid w:val="00783831"/>
    <w:pPr>
      <w:spacing w:before="240" w:after="60"/>
      <w:ind w:firstLine="567"/>
      <w:jc w:val="both"/>
      <w:outlineLvl w:val="6"/>
    </w:pPr>
    <w:rPr>
      <w:sz w:val="28"/>
      <w:lang w:val="lv-LV" w:eastAsia="en-US"/>
    </w:rPr>
  </w:style>
  <w:style w:type="paragraph" w:styleId="Heading8">
    <w:name w:val="heading 8"/>
    <w:basedOn w:val="Normal"/>
    <w:next w:val="Normal"/>
    <w:link w:val="Heading8Char"/>
    <w:qFormat/>
    <w:rsid w:val="0078383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482"/>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9"/>
    <w:rsid w:val="007F0A11"/>
    <w:rPr>
      <w:rFonts w:ascii="Times New Roman" w:eastAsia="Times New Roman" w:hAnsi="Times New Roman" w:cs="Arial"/>
      <w:b/>
      <w:bCs/>
      <w:iCs/>
      <w:sz w:val="28"/>
      <w:szCs w:val="28"/>
      <w:lang w:val="ru-RU" w:eastAsia="lv-LV"/>
    </w:rPr>
  </w:style>
  <w:style w:type="character" w:customStyle="1" w:styleId="Heading3Char">
    <w:name w:val="Heading 3 Char"/>
    <w:basedOn w:val="DefaultParagraphFont"/>
    <w:link w:val="Heading3"/>
    <w:rsid w:val="00164B5E"/>
    <w:rPr>
      <w:rFonts w:ascii="Times New Roman" w:eastAsia="Times New Roman" w:hAnsi="Times New Roman" w:cs="Arial"/>
      <w:b/>
      <w:bCs/>
      <w:sz w:val="26"/>
      <w:szCs w:val="26"/>
      <w:lang w:val="ru-RU" w:eastAsia="lv-LV"/>
    </w:rPr>
  </w:style>
  <w:style w:type="character" w:customStyle="1" w:styleId="Heading4Char">
    <w:name w:val="Heading 4 Char"/>
    <w:basedOn w:val="DefaultParagraphFont"/>
    <w:link w:val="Heading4"/>
    <w:rsid w:val="00783831"/>
    <w:rPr>
      <w:rFonts w:ascii="Times New Roman" w:eastAsia="Times New Roman" w:hAnsi="Times New Roman" w:cs="Times New Roman"/>
      <w:b/>
      <w:bCs/>
      <w:sz w:val="28"/>
      <w:szCs w:val="28"/>
      <w:lang w:val="ru-RU" w:eastAsia="lv-LV"/>
    </w:rPr>
  </w:style>
  <w:style w:type="character" w:customStyle="1" w:styleId="Heading5Char">
    <w:name w:val="Heading 5 Char"/>
    <w:basedOn w:val="DefaultParagraphFont"/>
    <w:link w:val="Heading5"/>
    <w:rsid w:val="00783831"/>
    <w:rPr>
      <w:rFonts w:ascii="Times New Roman" w:eastAsia="Times New Roman" w:hAnsi="Times New Roman" w:cs="Times New Roman"/>
      <w:b/>
      <w:bCs/>
      <w:i/>
      <w:iCs/>
      <w:sz w:val="26"/>
      <w:szCs w:val="26"/>
      <w:lang w:val="ru-RU" w:eastAsia="lv-LV"/>
    </w:rPr>
  </w:style>
  <w:style w:type="character" w:customStyle="1" w:styleId="Heading6Char">
    <w:name w:val="Heading 6 Char"/>
    <w:basedOn w:val="DefaultParagraphFont"/>
    <w:link w:val="Heading6"/>
    <w:rsid w:val="00783831"/>
    <w:rPr>
      <w:rFonts w:ascii="Times New Roman" w:eastAsia="Times New Roman" w:hAnsi="Times New Roman" w:cs="Times New Roman"/>
      <w:b/>
      <w:bCs/>
      <w:i/>
      <w:sz w:val="24"/>
      <w:szCs w:val="24"/>
      <w:u w:val="single"/>
      <w:lang w:eastAsia="lv-LV"/>
    </w:rPr>
  </w:style>
  <w:style w:type="character" w:customStyle="1" w:styleId="Heading7Char">
    <w:name w:val="Heading 7 Char"/>
    <w:basedOn w:val="DefaultParagraphFont"/>
    <w:link w:val="Heading7"/>
    <w:rsid w:val="00783831"/>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783831"/>
    <w:rPr>
      <w:rFonts w:ascii="Times New Roman" w:eastAsia="Times New Roman" w:hAnsi="Times New Roman" w:cs="Times New Roman"/>
      <w:i/>
      <w:iCs/>
      <w:sz w:val="24"/>
      <w:szCs w:val="24"/>
      <w:lang w:val="ru-RU" w:eastAsia="lv-LV"/>
    </w:rPr>
  </w:style>
  <w:style w:type="paragraph" w:styleId="Header">
    <w:name w:val="header"/>
    <w:basedOn w:val="Normal"/>
    <w:link w:val="HeaderChar"/>
    <w:uiPriority w:val="99"/>
    <w:rsid w:val="00783831"/>
    <w:pPr>
      <w:tabs>
        <w:tab w:val="center" w:pos="4153"/>
        <w:tab w:val="right" w:pos="8306"/>
      </w:tabs>
    </w:pPr>
  </w:style>
  <w:style w:type="character" w:customStyle="1" w:styleId="HeaderChar">
    <w:name w:val="Header Char"/>
    <w:basedOn w:val="DefaultParagraphFont"/>
    <w:link w:val="Header"/>
    <w:uiPriority w:val="99"/>
    <w:rsid w:val="00783831"/>
    <w:rPr>
      <w:rFonts w:ascii="Times New Roman" w:eastAsia="Times New Roman" w:hAnsi="Times New Roman" w:cs="Times New Roman"/>
      <w:sz w:val="24"/>
      <w:szCs w:val="24"/>
      <w:lang w:val="ru-RU" w:eastAsia="lv-LV"/>
    </w:rPr>
  </w:style>
  <w:style w:type="character" w:styleId="PageNumber">
    <w:name w:val="page number"/>
    <w:basedOn w:val="DefaultParagraphFont"/>
    <w:rsid w:val="00783831"/>
  </w:style>
  <w:style w:type="paragraph" w:styleId="BodyText2">
    <w:name w:val="Body Text 2"/>
    <w:basedOn w:val="Normal"/>
    <w:link w:val="BodyText2Char"/>
    <w:rsid w:val="00783831"/>
    <w:rPr>
      <w:sz w:val="20"/>
      <w:lang w:val="lv-LV" w:eastAsia="en-US"/>
    </w:rPr>
  </w:style>
  <w:style w:type="character" w:customStyle="1" w:styleId="BodyText2Char">
    <w:name w:val="Body Text 2 Char"/>
    <w:basedOn w:val="DefaultParagraphFont"/>
    <w:link w:val="BodyText2"/>
    <w:rsid w:val="00783831"/>
    <w:rPr>
      <w:rFonts w:ascii="Times New Roman" w:eastAsia="Times New Roman" w:hAnsi="Times New Roman" w:cs="Times New Roman"/>
      <w:sz w:val="20"/>
      <w:szCs w:val="24"/>
    </w:rPr>
  </w:style>
  <w:style w:type="paragraph" w:styleId="BodyText3">
    <w:name w:val="Body Text 3"/>
    <w:basedOn w:val="Normal"/>
    <w:link w:val="BodyText3Char"/>
    <w:rsid w:val="00783831"/>
    <w:rPr>
      <w:b/>
      <w:bCs/>
      <w:sz w:val="28"/>
      <w:lang w:val="lv-LV" w:eastAsia="en-US"/>
    </w:rPr>
  </w:style>
  <w:style w:type="character" w:customStyle="1" w:styleId="BodyText3Char">
    <w:name w:val="Body Text 3 Char"/>
    <w:basedOn w:val="DefaultParagraphFont"/>
    <w:link w:val="BodyText3"/>
    <w:rsid w:val="0078383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783831"/>
    <w:pPr>
      <w:ind w:left="720" w:hanging="360"/>
    </w:pPr>
    <w:rPr>
      <w:sz w:val="28"/>
      <w:lang w:val="lv-LV" w:eastAsia="en-US"/>
    </w:rPr>
  </w:style>
  <w:style w:type="character" w:customStyle="1" w:styleId="BodyTextIndentChar">
    <w:name w:val="Body Text Indent Char"/>
    <w:basedOn w:val="DefaultParagraphFont"/>
    <w:link w:val="BodyTextIndent"/>
    <w:rsid w:val="00783831"/>
    <w:rPr>
      <w:rFonts w:ascii="Times New Roman" w:eastAsia="Times New Roman" w:hAnsi="Times New Roman" w:cs="Times New Roman"/>
      <w:sz w:val="28"/>
      <w:szCs w:val="24"/>
    </w:rPr>
  </w:style>
  <w:style w:type="paragraph" w:styleId="BodyText">
    <w:name w:val="Body Text"/>
    <w:aliases w:val="OT Body Text,Body,Tekst,Body Text Char Char,Body Text Char Char Char"/>
    <w:basedOn w:val="Normal"/>
    <w:link w:val="BodyTextChar1"/>
    <w:uiPriority w:val="99"/>
    <w:rsid w:val="00783831"/>
    <w:pPr>
      <w:spacing w:after="120"/>
    </w:pPr>
  </w:style>
  <w:style w:type="character" w:customStyle="1" w:styleId="BodyTextChar">
    <w:name w:val="Body Text Char"/>
    <w:aliases w:val="Body Text Char Char Char1,Body Text Char Char Char Char,OT Body Text Char1,Body Char1,Tekst Char1"/>
    <w:basedOn w:val="DefaultParagraphFont"/>
    <w:uiPriority w:val="99"/>
    <w:rsid w:val="00783831"/>
    <w:rPr>
      <w:rFonts w:ascii="Times New Roman" w:eastAsia="Times New Roman" w:hAnsi="Times New Roman" w:cs="Times New Roman"/>
      <w:sz w:val="24"/>
      <w:szCs w:val="24"/>
      <w:lang w:val="ru-RU" w:eastAsia="lv-LV"/>
    </w:r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783831"/>
    <w:rPr>
      <w:rFonts w:ascii="Times New Roman" w:eastAsia="Times New Roman" w:hAnsi="Times New Roman" w:cs="Times New Roman"/>
      <w:sz w:val="24"/>
      <w:szCs w:val="24"/>
      <w:lang w:val="ru-RU" w:eastAsia="lv-LV"/>
    </w:rPr>
  </w:style>
  <w:style w:type="paragraph" w:styleId="BodyTextIndent2">
    <w:name w:val="Body Text Indent 2"/>
    <w:basedOn w:val="Normal"/>
    <w:link w:val="BodyTextIndent2Char1"/>
    <w:rsid w:val="00783831"/>
    <w:pPr>
      <w:spacing w:after="120" w:line="480" w:lineRule="auto"/>
      <w:ind w:left="283"/>
      <w:jc w:val="both"/>
    </w:pPr>
    <w:rPr>
      <w:sz w:val="28"/>
      <w:szCs w:val="20"/>
      <w:lang w:val="lv-LV" w:eastAsia="en-US"/>
    </w:rPr>
  </w:style>
  <w:style w:type="character" w:customStyle="1" w:styleId="BodyTextIndent2Char">
    <w:name w:val="Body Text Indent 2 Char"/>
    <w:basedOn w:val="DefaultParagraphFont"/>
    <w:rsid w:val="00783831"/>
    <w:rPr>
      <w:rFonts w:ascii="Times New Roman" w:eastAsia="Times New Roman" w:hAnsi="Times New Roman" w:cs="Times New Roman"/>
      <w:sz w:val="24"/>
      <w:szCs w:val="24"/>
      <w:lang w:val="ru-RU" w:eastAsia="lv-LV"/>
    </w:rPr>
  </w:style>
  <w:style w:type="character" w:customStyle="1" w:styleId="BodyTextIndent2Char1">
    <w:name w:val="Body Text Indent 2 Char1"/>
    <w:basedOn w:val="DefaultParagraphFont"/>
    <w:link w:val="BodyTextIndent2"/>
    <w:locked/>
    <w:rsid w:val="00783831"/>
    <w:rPr>
      <w:rFonts w:ascii="Times New Roman" w:eastAsia="Times New Roman" w:hAnsi="Times New Roman" w:cs="Times New Roman"/>
      <w:sz w:val="28"/>
      <w:szCs w:val="20"/>
    </w:rPr>
  </w:style>
  <w:style w:type="paragraph" w:styleId="NormalWeb">
    <w:name w:val="Normal (Web)"/>
    <w:aliases w:val="sākums"/>
    <w:basedOn w:val="Normal"/>
    <w:rsid w:val="00783831"/>
    <w:pPr>
      <w:spacing w:before="100" w:beforeAutospacing="1" w:after="100" w:afterAutospacing="1"/>
    </w:pPr>
    <w:rPr>
      <w:lang w:val="lv-LV"/>
    </w:rPr>
  </w:style>
  <w:style w:type="character" w:styleId="Hyperlink">
    <w:name w:val="Hyperlink"/>
    <w:basedOn w:val="DefaultParagraphFont"/>
    <w:uiPriority w:val="99"/>
    <w:rsid w:val="00783831"/>
    <w:rPr>
      <w:color w:val="0000FF"/>
      <w:u w:val="single"/>
    </w:rPr>
  </w:style>
  <w:style w:type="paragraph" w:customStyle="1" w:styleId="naisf">
    <w:name w:val="naisf"/>
    <w:basedOn w:val="Normal"/>
    <w:rsid w:val="00783831"/>
    <w:pPr>
      <w:spacing w:before="94" w:after="94"/>
      <w:ind w:firstLine="468"/>
      <w:jc w:val="both"/>
    </w:pPr>
    <w:rPr>
      <w:lang w:val="lv-LV"/>
    </w:rPr>
  </w:style>
  <w:style w:type="paragraph" w:styleId="Title">
    <w:name w:val="Title"/>
    <w:aliases w:val="Title Char1 Char"/>
    <w:basedOn w:val="Normal"/>
    <w:link w:val="TitleChar1"/>
    <w:qFormat/>
    <w:rsid w:val="00783831"/>
    <w:pPr>
      <w:ind w:firstLine="720"/>
      <w:jc w:val="center"/>
    </w:pPr>
    <w:rPr>
      <w:b/>
      <w:bCs/>
      <w:sz w:val="28"/>
      <w:u w:val="single"/>
      <w:lang w:val="lv-LV" w:eastAsia="en-US"/>
    </w:rPr>
  </w:style>
  <w:style w:type="character" w:customStyle="1" w:styleId="TitleChar">
    <w:name w:val="Title Char"/>
    <w:basedOn w:val="DefaultParagraphFont"/>
    <w:rsid w:val="00783831"/>
    <w:rPr>
      <w:rFonts w:asciiTheme="majorHAnsi" w:eastAsiaTheme="majorEastAsia" w:hAnsiTheme="majorHAnsi" w:cstheme="majorBidi"/>
      <w:color w:val="17365D" w:themeColor="text2" w:themeShade="BF"/>
      <w:spacing w:val="5"/>
      <w:kern w:val="28"/>
      <w:sz w:val="52"/>
      <w:szCs w:val="52"/>
      <w:lang w:val="ru-RU" w:eastAsia="lv-LV"/>
    </w:rPr>
  </w:style>
  <w:style w:type="character" w:customStyle="1" w:styleId="TitleChar1">
    <w:name w:val="Title Char1"/>
    <w:aliases w:val="Title Char1 Char Char"/>
    <w:basedOn w:val="DefaultParagraphFont"/>
    <w:link w:val="Title"/>
    <w:locked/>
    <w:rsid w:val="00783831"/>
    <w:rPr>
      <w:rFonts w:ascii="Times New Roman" w:eastAsia="Times New Roman" w:hAnsi="Times New Roman" w:cs="Times New Roman"/>
      <w:b/>
      <w:bCs/>
      <w:sz w:val="28"/>
      <w:szCs w:val="24"/>
      <w:u w:val="single"/>
    </w:rPr>
  </w:style>
  <w:style w:type="paragraph" w:styleId="Footer">
    <w:name w:val="footer"/>
    <w:basedOn w:val="Normal"/>
    <w:link w:val="FooterChar"/>
    <w:uiPriority w:val="99"/>
    <w:rsid w:val="00783831"/>
    <w:pPr>
      <w:tabs>
        <w:tab w:val="center" w:pos="4819"/>
        <w:tab w:val="right" w:pos="9071"/>
      </w:tabs>
    </w:pPr>
    <w:rPr>
      <w:rFonts w:ascii="RimTimes" w:hAnsi="RimTimes"/>
      <w:szCs w:val="20"/>
      <w:lang w:val="lv-LV" w:eastAsia="en-US"/>
    </w:rPr>
  </w:style>
  <w:style w:type="character" w:customStyle="1" w:styleId="FooterChar">
    <w:name w:val="Footer Char"/>
    <w:basedOn w:val="DefaultParagraphFont"/>
    <w:link w:val="Footer"/>
    <w:uiPriority w:val="99"/>
    <w:rsid w:val="00783831"/>
    <w:rPr>
      <w:rFonts w:ascii="RimTimes" w:eastAsia="Times New Roman" w:hAnsi="RimTimes" w:cs="Times New Roman"/>
      <w:sz w:val="24"/>
      <w:szCs w:val="20"/>
    </w:rPr>
  </w:style>
  <w:style w:type="table" w:styleId="TableGrid">
    <w:name w:val="Table Grid"/>
    <w:basedOn w:val="TableNormal"/>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783831"/>
    <w:pPr>
      <w:spacing w:before="100" w:after="100"/>
      <w:ind w:left="360" w:right="360"/>
    </w:pPr>
    <w:rPr>
      <w:snapToGrid w:val="0"/>
      <w:szCs w:val="20"/>
      <w:lang w:val="lv-LV" w:eastAsia="en-US"/>
    </w:rPr>
  </w:style>
  <w:style w:type="paragraph" w:customStyle="1" w:styleId="naispant">
    <w:name w:val="naispant"/>
    <w:basedOn w:val="Normal"/>
    <w:rsid w:val="00783831"/>
    <w:pPr>
      <w:spacing w:before="374" w:after="94"/>
      <w:ind w:left="468" w:firstLine="468"/>
      <w:jc w:val="both"/>
    </w:pPr>
    <w:rPr>
      <w:b/>
      <w:bCs/>
      <w:lang w:val="lv-LV"/>
    </w:rPr>
  </w:style>
  <w:style w:type="paragraph" w:customStyle="1" w:styleId="Pamatteksts1">
    <w:name w:val="Pamatteksts1"/>
    <w:rsid w:val="00783831"/>
    <w:pPr>
      <w:widowControl w:val="0"/>
      <w:spacing w:after="0" w:line="370" w:lineRule="atLeast"/>
      <w:ind w:firstLine="340"/>
      <w:jc w:val="both"/>
    </w:pPr>
    <w:rPr>
      <w:rFonts w:ascii="Dotum" w:eastAsia="Dotum" w:hAnsi="Times New Roman" w:cs="Times New Roman"/>
      <w:sz w:val="24"/>
      <w:szCs w:val="20"/>
      <w:lang w:val="en-US"/>
    </w:rPr>
  </w:style>
  <w:style w:type="paragraph" w:styleId="BodyTextIndent3">
    <w:name w:val="Body Text Indent 3"/>
    <w:basedOn w:val="Normal"/>
    <w:link w:val="BodyTextIndent3Char"/>
    <w:rsid w:val="00783831"/>
    <w:pPr>
      <w:ind w:left="360" w:firstLine="360"/>
      <w:jc w:val="both"/>
    </w:pPr>
    <w:rPr>
      <w:b/>
      <w:sz w:val="28"/>
      <w:szCs w:val="22"/>
      <w:lang w:val="lv-LV" w:eastAsia="en-US"/>
    </w:rPr>
  </w:style>
  <w:style w:type="character" w:customStyle="1" w:styleId="BodyTextIndent3Char">
    <w:name w:val="Body Text Indent 3 Char"/>
    <w:basedOn w:val="DefaultParagraphFont"/>
    <w:link w:val="BodyTextIndent3"/>
    <w:rsid w:val="00783831"/>
    <w:rPr>
      <w:rFonts w:ascii="Times New Roman" w:eastAsia="Times New Roman" w:hAnsi="Times New Roman" w:cs="Times New Roman"/>
      <w:b/>
      <w:sz w:val="28"/>
    </w:rPr>
  </w:style>
  <w:style w:type="paragraph" w:customStyle="1" w:styleId="teksts">
    <w:name w:val="teksts"/>
    <w:rsid w:val="00783831"/>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basedOn w:val="DefaultParagraphFont"/>
    <w:rsid w:val="00783831"/>
    <w:rPr>
      <w:iCs/>
    </w:rPr>
  </w:style>
  <w:style w:type="paragraph" w:customStyle="1" w:styleId="attlanr">
    <w:name w:val="attēla nr."/>
    <w:basedOn w:val="Normal"/>
    <w:rsid w:val="00783831"/>
    <w:pPr>
      <w:ind w:firstLine="709"/>
      <w:jc w:val="right"/>
    </w:pPr>
    <w:rPr>
      <w:sz w:val="28"/>
      <w:lang w:val="lv-LV"/>
    </w:rPr>
  </w:style>
  <w:style w:type="paragraph" w:customStyle="1" w:styleId="Virsraksts">
    <w:name w:val="Virsraksts"/>
    <w:basedOn w:val="Normal"/>
    <w:rsid w:val="00783831"/>
    <w:pPr>
      <w:ind w:firstLine="567"/>
      <w:jc w:val="center"/>
    </w:pPr>
    <w:rPr>
      <w:b/>
      <w:bCs/>
      <w:sz w:val="44"/>
      <w:lang w:val="lv-LV"/>
    </w:rPr>
  </w:style>
  <w:style w:type="paragraph" w:customStyle="1" w:styleId="Visraksts2">
    <w:name w:val="Visraksts 2"/>
    <w:basedOn w:val="Normal"/>
    <w:rsid w:val="00783831"/>
    <w:pPr>
      <w:ind w:firstLine="567"/>
      <w:jc w:val="center"/>
    </w:pPr>
    <w:rPr>
      <w:sz w:val="40"/>
      <w:lang w:val="lv-LV"/>
    </w:rPr>
  </w:style>
  <w:style w:type="paragraph" w:customStyle="1" w:styleId="Virsraksts31">
    <w:name w:val="Virsraksts 31"/>
    <w:basedOn w:val="Normal"/>
    <w:rsid w:val="00783831"/>
    <w:pPr>
      <w:ind w:firstLine="567"/>
      <w:jc w:val="center"/>
    </w:pPr>
    <w:rPr>
      <w:b/>
      <w:bCs/>
      <w:sz w:val="40"/>
      <w:lang w:val="lv-LV"/>
    </w:rPr>
  </w:style>
  <w:style w:type="character" w:styleId="Strong">
    <w:name w:val="Strong"/>
    <w:basedOn w:val="DefaultParagraphFont"/>
    <w:uiPriority w:val="22"/>
    <w:qFormat/>
    <w:rsid w:val="00783831"/>
    <w:rPr>
      <w:b/>
      <w:bCs/>
    </w:rPr>
  </w:style>
  <w:style w:type="paragraph" w:customStyle="1" w:styleId="N">
    <w:name w:val="N"/>
    <w:basedOn w:val="Normal"/>
    <w:autoRedefine/>
    <w:rsid w:val="00783831"/>
    <w:pPr>
      <w:ind w:firstLine="720"/>
      <w:jc w:val="both"/>
    </w:pPr>
    <w:rPr>
      <w:sz w:val="28"/>
      <w:szCs w:val="28"/>
      <w:lang w:val="lv-LV"/>
    </w:rPr>
  </w:style>
  <w:style w:type="paragraph" w:customStyle="1" w:styleId="Taksts11">
    <w:name w:val="Taksts_11"/>
    <w:basedOn w:val="Normal"/>
    <w:rsid w:val="00783831"/>
    <w:pPr>
      <w:ind w:firstLine="567"/>
      <w:jc w:val="both"/>
    </w:pPr>
    <w:rPr>
      <w:sz w:val="28"/>
      <w:szCs w:val="20"/>
      <w:lang w:val="en-US" w:eastAsia="en-US"/>
    </w:rPr>
  </w:style>
  <w:style w:type="character" w:styleId="Emphasis">
    <w:name w:val="Emphasis"/>
    <w:basedOn w:val="DefaultParagraphFont"/>
    <w:uiPriority w:val="20"/>
    <w:qFormat/>
    <w:rsid w:val="00783831"/>
    <w:rPr>
      <w:i/>
      <w:iCs/>
    </w:rPr>
  </w:style>
  <w:style w:type="paragraph" w:styleId="Subtitle">
    <w:name w:val="Subtitle"/>
    <w:basedOn w:val="Normal"/>
    <w:link w:val="SubtitleChar"/>
    <w:qFormat/>
    <w:rsid w:val="00783831"/>
    <w:rPr>
      <w:b/>
      <w:sz w:val="21"/>
      <w:szCs w:val="20"/>
      <w:lang w:val="lv-LV" w:eastAsia="en-US"/>
    </w:rPr>
  </w:style>
  <w:style w:type="character" w:customStyle="1" w:styleId="SubtitleChar">
    <w:name w:val="Subtitle Char"/>
    <w:basedOn w:val="DefaultParagraphFont"/>
    <w:link w:val="Subtitle"/>
    <w:rsid w:val="00783831"/>
    <w:rPr>
      <w:rFonts w:ascii="Times New Roman" w:eastAsia="Times New Roman" w:hAnsi="Times New Roman" w:cs="Times New Roman"/>
      <w:b/>
      <w:sz w:val="21"/>
      <w:szCs w:val="20"/>
    </w:rPr>
  </w:style>
  <w:style w:type="paragraph" w:customStyle="1" w:styleId="attls">
    <w:name w:val="attēls"/>
    <w:basedOn w:val="BodyText"/>
    <w:rsid w:val="00783831"/>
    <w:pPr>
      <w:spacing w:after="0"/>
      <w:ind w:firstLine="720"/>
      <w:jc w:val="right"/>
    </w:pPr>
    <w:rPr>
      <w:sz w:val="28"/>
      <w:lang w:val="lv-LV"/>
    </w:rPr>
  </w:style>
  <w:style w:type="paragraph" w:customStyle="1" w:styleId="StyleVirsrakstsUBComplex11pt">
    <w:name w:val="Style Virsraksts U B + (Complex) 11 pt"/>
    <w:basedOn w:val="Normal"/>
    <w:rsid w:val="00783831"/>
    <w:pPr>
      <w:ind w:firstLine="567"/>
      <w:jc w:val="both"/>
    </w:pPr>
    <w:rPr>
      <w:b/>
      <w:bCs/>
      <w:sz w:val="28"/>
      <w:szCs w:val="22"/>
      <w:u w:val="single"/>
      <w:lang w:val="lv-LV" w:eastAsia="en-US"/>
    </w:rPr>
  </w:style>
  <w:style w:type="character" w:customStyle="1" w:styleId="StyleVirsrakstsUBComplex11ptChar">
    <w:name w:val="Style Virsraksts U B + (Complex) 11 pt Char"/>
    <w:basedOn w:val="DefaultParagraphFont"/>
    <w:rsid w:val="00783831"/>
    <w:rPr>
      <w:b/>
      <w:bCs/>
      <w:sz w:val="28"/>
      <w:szCs w:val="22"/>
      <w:u w:val="single"/>
      <w:lang w:val="lv-LV" w:eastAsia="en-US" w:bidi="ar-SA"/>
    </w:rPr>
  </w:style>
  <w:style w:type="paragraph" w:customStyle="1" w:styleId="naisnod">
    <w:name w:val="naisnod"/>
    <w:basedOn w:val="Normal"/>
    <w:rsid w:val="00783831"/>
    <w:pPr>
      <w:spacing w:before="150" w:after="150"/>
      <w:jc w:val="center"/>
    </w:pPr>
    <w:rPr>
      <w:b/>
      <w:bCs/>
      <w:lang w:val="lv-LV"/>
    </w:rPr>
  </w:style>
  <w:style w:type="character" w:customStyle="1" w:styleId="navinfo1">
    <w:name w:val="navinfo1"/>
    <w:basedOn w:val="DefaultParagraphFont"/>
    <w:rsid w:val="00783831"/>
    <w:rPr>
      <w:rFonts w:ascii="Arial" w:hAnsi="Arial" w:cs="Arial" w:hint="default"/>
      <w:b/>
      <w:bCs/>
      <w:color w:val="14247C"/>
      <w:sz w:val="17"/>
      <w:szCs w:val="17"/>
    </w:rPr>
  </w:style>
  <w:style w:type="paragraph" w:customStyle="1" w:styleId="Style6">
    <w:name w:val="Style6"/>
    <w:basedOn w:val="Heading4"/>
    <w:link w:val="Style6Char"/>
    <w:autoRedefine/>
    <w:rsid w:val="00783831"/>
    <w:pPr>
      <w:spacing w:before="120"/>
    </w:pPr>
    <w:rPr>
      <w:i/>
      <w:iCs/>
      <w:sz w:val="24"/>
      <w:szCs w:val="24"/>
      <w:lang w:val="lv-LV"/>
    </w:rPr>
  </w:style>
  <w:style w:type="character" w:customStyle="1" w:styleId="Style6Char">
    <w:name w:val="Style6 Char"/>
    <w:basedOn w:val="DefaultParagraphFont"/>
    <w:link w:val="Style6"/>
    <w:locked/>
    <w:rsid w:val="00783831"/>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783831"/>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783831"/>
    <w:pPr>
      <w:spacing w:after="120"/>
      <w:ind w:left="1440" w:right="1440"/>
    </w:pPr>
  </w:style>
  <w:style w:type="character" w:styleId="FollowedHyperlink">
    <w:name w:val="FollowedHyperlink"/>
    <w:basedOn w:val="DefaultParagraphFont"/>
    <w:rsid w:val="00783831"/>
    <w:rPr>
      <w:color w:val="800080"/>
      <w:u w:val="single"/>
    </w:rPr>
  </w:style>
  <w:style w:type="paragraph" w:customStyle="1" w:styleId="naiskr">
    <w:name w:val="naiskr"/>
    <w:basedOn w:val="Normal"/>
    <w:rsid w:val="00783831"/>
    <w:pPr>
      <w:spacing w:before="100" w:beforeAutospacing="1" w:after="100" w:afterAutospacing="1"/>
    </w:pPr>
    <w:rPr>
      <w:lang w:val="lv-LV"/>
    </w:rPr>
  </w:style>
  <w:style w:type="paragraph" w:customStyle="1" w:styleId="naisc">
    <w:name w:val="naisc"/>
    <w:basedOn w:val="Normal"/>
    <w:rsid w:val="00783831"/>
    <w:pPr>
      <w:spacing w:before="100" w:beforeAutospacing="1" w:after="100" w:afterAutospacing="1"/>
    </w:pPr>
    <w:rPr>
      <w:lang w:val="lv-LV"/>
    </w:rPr>
  </w:style>
  <w:style w:type="character" w:styleId="HTMLTypewriter">
    <w:name w:val="HTML Typewriter"/>
    <w:basedOn w:val="DefaultParagraphFont"/>
    <w:rsid w:val="00783831"/>
    <w:rPr>
      <w:rFonts w:ascii="Courier New" w:eastAsia="Times New Roman" w:hAnsi="Courier New" w:cs="Courier New"/>
      <w:sz w:val="20"/>
      <w:szCs w:val="20"/>
    </w:rPr>
  </w:style>
  <w:style w:type="paragraph" w:customStyle="1" w:styleId="NormalJustified">
    <w:name w:val="Normal + Justified"/>
    <w:basedOn w:val="Normal"/>
    <w:rsid w:val="00783831"/>
    <w:pPr>
      <w:jc w:val="both"/>
    </w:pPr>
    <w:rPr>
      <w:szCs w:val="20"/>
      <w:lang w:val="lv-LV" w:eastAsia="en-US"/>
    </w:rPr>
  </w:style>
  <w:style w:type="paragraph" w:styleId="EnvelopeReturn">
    <w:name w:val="envelope return"/>
    <w:basedOn w:val="Normal"/>
    <w:rsid w:val="00783831"/>
    <w:pPr>
      <w:keepLines/>
      <w:widowControl w:val="0"/>
      <w:spacing w:before="600"/>
    </w:pPr>
    <w:rPr>
      <w:sz w:val="26"/>
      <w:szCs w:val="20"/>
      <w:lang w:val="en-AU" w:eastAsia="en-US"/>
    </w:rPr>
  </w:style>
  <w:style w:type="paragraph" w:styleId="BalloonText">
    <w:name w:val="Balloon Text"/>
    <w:basedOn w:val="Normal"/>
    <w:link w:val="BalloonTextChar"/>
    <w:semiHidden/>
    <w:rsid w:val="00783831"/>
    <w:rPr>
      <w:rFonts w:ascii="Tahoma" w:eastAsia="PMingLiU" w:hAnsi="Tahoma"/>
      <w:sz w:val="16"/>
      <w:szCs w:val="16"/>
    </w:rPr>
  </w:style>
  <w:style w:type="character" w:customStyle="1" w:styleId="BalloonTextChar">
    <w:name w:val="Balloon Text Char"/>
    <w:basedOn w:val="DefaultParagraphFont"/>
    <w:link w:val="BalloonText"/>
    <w:semiHidden/>
    <w:rsid w:val="00783831"/>
    <w:rPr>
      <w:rFonts w:ascii="Tahoma" w:eastAsia="PMingLiU" w:hAnsi="Tahoma" w:cs="Times New Roman"/>
      <w:sz w:val="16"/>
      <w:szCs w:val="16"/>
      <w:lang w:val="ru-RU"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
    <w:basedOn w:val="Normal"/>
    <w:link w:val="FootnoteTextChar"/>
    <w:rsid w:val="00783831"/>
    <w:pPr>
      <w:ind w:firstLine="567"/>
      <w:jc w:val="both"/>
    </w:pPr>
    <w:rPr>
      <w:rFonts w:eastAsia="PMingLiU"/>
      <w:sz w:val="20"/>
      <w:szCs w:val="20"/>
      <w:lang w:val="lv-LV"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783831"/>
    <w:rPr>
      <w:rFonts w:ascii="Times New Roman" w:eastAsia="PMingLiU" w:hAnsi="Times New Roman" w:cs="Times New Roman"/>
      <w:sz w:val="20"/>
      <w:szCs w:val="20"/>
    </w:rPr>
  </w:style>
  <w:style w:type="paragraph" w:styleId="CommentText">
    <w:name w:val="annotation text"/>
    <w:basedOn w:val="Normal"/>
    <w:link w:val="CommentTextChar"/>
    <w:uiPriority w:val="99"/>
    <w:semiHidden/>
    <w:rsid w:val="00783831"/>
    <w:rPr>
      <w:rFonts w:eastAsia="PMingLiU"/>
      <w:sz w:val="20"/>
      <w:szCs w:val="20"/>
    </w:rPr>
  </w:style>
  <w:style w:type="character" w:customStyle="1" w:styleId="CommentTextChar">
    <w:name w:val="Comment Text Char"/>
    <w:basedOn w:val="DefaultParagraphFont"/>
    <w:link w:val="CommentText"/>
    <w:uiPriority w:val="99"/>
    <w:semiHidden/>
    <w:rsid w:val="00783831"/>
    <w:rPr>
      <w:rFonts w:ascii="Times New Roman" w:eastAsia="PMingLiU" w:hAnsi="Times New Roman" w:cs="Times New Roman"/>
      <w:sz w:val="20"/>
      <w:szCs w:val="20"/>
      <w:lang w:val="ru-RU" w:eastAsia="lv-LV"/>
    </w:rPr>
  </w:style>
  <w:style w:type="paragraph" w:styleId="CommentSubject">
    <w:name w:val="annotation subject"/>
    <w:basedOn w:val="CommentText"/>
    <w:next w:val="CommentText"/>
    <w:link w:val="CommentSubjectChar"/>
    <w:semiHidden/>
    <w:rsid w:val="00783831"/>
    <w:rPr>
      <w:b/>
      <w:bCs/>
    </w:rPr>
  </w:style>
  <w:style w:type="character" w:customStyle="1" w:styleId="CommentSubjectChar">
    <w:name w:val="Comment Subject Char"/>
    <w:basedOn w:val="CommentTextChar"/>
    <w:link w:val="CommentSubject"/>
    <w:semiHidden/>
    <w:rsid w:val="00783831"/>
    <w:rPr>
      <w:rFonts w:ascii="Times New Roman" w:eastAsia="PMingLiU" w:hAnsi="Times New Roman" w:cs="Times New Roman"/>
      <w:b/>
      <w:bCs/>
      <w:sz w:val="20"/>
      <w:szCs w:val="20"/>
      <w:lang w:val="ru-RU" w:eastAsia="lv-LV"/>
    </w:rPr>
  </w:style>
  <w:style w:type="character" w:styleId="FootnoteReference">
    <w:name w:val="footnote reference"/>
    <w:aliases w:val="Footnote Reference Number,Footnote Reference Superscript,Footnote symbol"/>
    <w:basedOn w:val="DefaultParagraphFont"/>
    <w:rsid w:val="00783831"/>
    <w:rPr>
      <w:vertAlign w:val="superscript"/>
    </w:rPr>
  </w:style>
  <w:style w:type="paragraph" w:customStyle="1" w:styleId="Default">
    <w:name w:val="Default"/>
    <w:link w:val="DefaultChar"/>
    <w:rsid w:val="0078383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7838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783831"/>
    <w:pPr>
      <w:spacing w:before="40"/>
    </w:pPr>
    <w:rPr>
      <w:lang w:val="pl-PL" w:eastAsia="pl-PL"/>
    </w:rPr>
  </w:style>
  <w:style w:type="paragraph" w:customStyle="1" w:styleId="Char2">
    <w:name w:val="Char2"/>
    <w:basedOn w:val="Normal"/>
    <w:rsid w:val="0078383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783831"/>
    <w:rPr>
      <w:rFonts w:ascii="Courier New" w:hAnsi="Courier New"/>
      <w:sz w:val="20"/>
      <w:szCs w:val="20"/>
      <w:lang w:val="lv-LV" w:bidi="lo-LA"/>
    </w:rPr>
  </w:style>
  <w:style w:type="character" w:customStyle="1" w:styleId="PlainTextChar">
    <w:name w:val="Plain Text Char"/>
    <w:basedOn w:val="DefaultParagraphFont"/>
    <w:link w:val="PlainText"/>
    <w:uiPriority w:val="99"/>
    <w:rsid w:val="00783831"/>
    <w:rPr>
      <w:rFonts w:ascii="Courier New" w:eastAsia="Times New Roman" w:hAnsi="Courier New" w:cs="Times New Roman"/>
      <w:sz w:val="20"/>
      <w:szCs w:val="20"/>
      <w:lang w:eastAsia="lv-LV" w:bidi="lo-LA"/>
    </w:rPr>
  </w:style>
  <w:style w:type="paragraph" w:styleId="DocumentMap">
    <w:name w:val="Document Map"/>
    <w:basedOn w:val="Normal"/>
    <w:link w:val="DocumentMapChar"/>
    <w:semiHidden/>
    <w:rsid w:val="007838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83831"/>
    <w:rPr>
      <w:rFonts w:ascii="Tahoma" w:eastAsia="Times New Roman" w:hAnsi="Tahoma" w:cs="Tahoma"/>
      <w:sz w:val="20"/>
      <w:szCs w:val="20"/>
      <w:shd w:val="clear" w:color="auto" w:fill="000080"/>
      <w:lang w:val="ru-RU" w:eastAsia="lv-LV"/>
    </w:rPr>
  </w:style>
  <w:style w:type="paragraph" w:styleId="EndnoteText">
    <w:name w:val="endnote text"/>
    <w:basedOn w:val="Normal"/>
    <w:link w:val="EndnoteTextChar"/>
    <w:rsid w:val="00783831"/>
    <w:rPr>
      <w:sz w:val="20"/>
      <w:szCs w:val="20"/>
    </w:rPr>
  </w:style>
  <w:style w:type="character" w:customStyle="1" w:styleId="EndnoteTextChar">
    <w:name w:val="Endnote Text Char"/>
    <w:basedOn w:val="DefaultParagraphFont"/>
    <w:link w:val="EndnoteText"/>
    <w:rsid w:val="00783831"/>
    <w:rPr>
      <w:rFonts w:ascii="Times New Roman" w:eastAsia="Times New Roman" w:hAnsi="Times New Roman" w:cs="Times New Roman"/>
      <w:sz w:val="20"/>
      <w:szCs w:val="20"/>
      <w:lang w:val="ru-RU" w:eastAsia="lv-LV"/>
    </w:rPr>
  </w:style>
  <w:style w:type="character" w:styleId="EndnoteReference">
    <w:name w:val="endnote reference"/>
    <w:basedOn w:val="DefaultParagraphFont"/>
    <w:rsid w:val="00783831"/>
    <w:rPr>
      <w:vertAlign w:val="superscript"/>
    </w:rPr>
  </w:style>
  <w:style w:type="character" w:customStyle="1" w:styleId="DefaultChar">
    <w:name w:val="Default Char"/>
    <w:basedOn w:val="DefaultParagraphFont"/>
    <w:link w:val="Default"/>
    <w:locked/>
    <w:rsid w:val="00783831"/>
    <w:rPr>
      <w:rFonts w:ascii="Times New Roman" w:eastAsia="Times New Roman" w:hAnsi="Times New Roman" w:cs="Times New Roman"/>
      <w:color w:val="000000"/>
      <w:sz w:val="24"/>
      <w:szCs w:val="24"/>
      <w:lang w:eastAsia="lv-LV"/>
    </w:rPr>
  </w:style>
  <w:style w:type="table" w:styleId="MediumList1-Accent3">
    <w:name w:val="Medium List 1 Accent 3"/>
    <w:basedOn w:val="TableNormal"/>
    <w:uiPriority w:val="65"/>
    <w:rsid w:val="0078383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783831"/>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val="lv-LV" w:eastAsia="en-US"/>
    </w:rPr>
  </w:style>
  <w:style w:type="paragraph" w:customStyle="1" w:styleId="Rakstz">
    <w:name w:val="Rakstz."/>
    <w:basedOn w:val="Normal"/>
    <w:semiHidden/>
    <w:rsid w:val="00783831"/>
    <w:pPr>
      <w:spacing w:after="160" w:line="240" w:lineRule="exact"/>
    </w:pPr>
    <w:rPr>
      <w:rFonts w:ascii="Verdana" w:hAnsi="Verdana"/>
      <w:sz w:val="20"/>
      <w:szCs w:val="20"/>
      <w:lang w:val="lv-LV"/>
    </w:rPr>
  </w:style>
  <w:style w:type="character" w:customStyle="1" w:styleId="longtext1">
    <w:name w:val="long_text1"/>
    <w:basedOn w:val="DefaultParagraphFont"/>
    <w:rsid w:val="00783831"/>
    <w:rPr>
      <w:sz w:val="12"/>
      <w:szCs w:val="12"/>
    </w:rPr>
  </w:style>
  <w:style w:type="character" w:customStyle="1" w:styleId="apple-style-span">
    <w:name w:val="apple-style-span"/>
    <w:basedOn w:val="DefaultParagraphFont"/>
    <w:rsid w:val="00783831"/>
  </w:style>
  <w:style w:type="character" w:customStyle="1" w:styleId="apple-converted-space">
    <w:name w:val="apple-converted-space"/>
    <w:basedOn w:val="DefaultParagraphFont"/>
    <w:rsid w:val="00783831"/>
  </w:style>
  <w:style w:type="character" w:customStyle="1" w:styleId="ListParagraphChar">
    <w:name w:val="List Paragraph Char"/>
    <w:link w:val="ListParagraph"/>
    <w:uiPriority w:val="34"/>
    <w:locked/>
    <w:rsid w:val="00783831"/>
    <w:rPr>
      <w:rFonts w:ascii="Calibri" w:eastAsia="Calibri" w:hAnsi="Calibri" w:cs="Times New Roman"/>
      <w:lang w:val="ru-RU"/>
    </w:rPr>
  </w:style>
  <w:style w:type="character" w:customStyle="1" w:styleId="googqs-tidbit1">
    <w:name w:val="goog_qs-tidbit1"/>
    <w:basedOn w:val="DefaultParagraphFont"/>
    <w:rsid w:val="00783831"/>
    <w:rPr>
      <w:vanish w:val="0"/>
      <w:webHidden w:val="0"/>
      <w:specVanish w:val="0"/>
    </w:rPr>
  </w:style>
  <w:style w:type="character" w:customStyle="1" w:styleId="googqs-tidbit-0">
    <w:name w:val="goog_qs-tidbit-0"/>
    <w:basedOn w:val="DefaultParagraphFont"/>
    <w:rsid w:val="00783831"/>
  </w:style>
  <w:style w:type="character" w:customStyle="1" w:styleId="paracolourtext">
    <w:name w:val="paracolourtext"/>
    <w:basedOn w:val="DefaultParagraphFont"/>
    <w:rsid w:val="00783831"/>
  </w:style>
  <w:style w:type="character" w:styleId="CommentReference">
    <w:name w:val="annotation reference"/>
    <w:basedOn w:val="DefaultParagraphFont"/>
    <w:uiPriority w:val="99"/>
    <w:rsid w:val="00783831"/>
    <w:rPr>
      <w:rFonts w:cs="Times New Roman"/>
      <w:sz w:val="16"/>
      <w:szCs w:val="16"/>
    </w:rPr>
  </w:style>
  <w:style w:type="character" w:customStyle="1" w:styleId="ft">
    <w:name w:val="ft"/>
    <w:basedOn w:val="DefaultParagraphFont"/>
    <w:rsid w:val="00783831"/>
  </w:style>
  <w:style w:type="paragraph" w:styleId="TOC2">
    <w:name w:val="toc 2"/>
    <w:basedOn w:val="Normal"/>
    <w:next w:val="Normal"/>
    <w:autoRedefine/>
    <w:uiPriority w:val="39"/>
    <w:rsid w:val="00783831"/>
    <w:pPr>
      <w:tabs>
        <w:tab w:val="right" w:leader="dot" w:pos="9061"/>
      </w:tabs>
      <w:spacing w:after="100" w:line="276" w:lineRule="auto"/>
      <w:ind w:left="220"/>
    </w:pPr>
    <w:rPr>
      <w:rFonts w:eastAsia="Calibri"/>
      <w:noProof/>
      <w:lang w:val="lv-LV" w:eastAsia="en-US"/>
    </w:rPr>
  </w:style>
  <w:style w:type="paragraph" w:styleId="TOC1">
    <w:name w:val="toc 1"/>
    <w:basedOn w:val="Normal"/>
    <w:next w:val="Normal"/>
    <w:autoRedefine/>
    <w:uiPriority w:val="39"/>
    <w:rsid w:val="00783831"/>
    <w:pPr>
      <w:tabs>
        <w:tab w:val="right" w:leader="dot" w:pos="9105"/>
      </w:tabs>
      <w:spacing w:after="100" w:line="276" w:lineRule="auto"/>
    </w:pPr>
    <w:rPr>
      <w:rFonts w:eastAsia="Calibri"/>
      <w:b/>
      <w:bCs/>
      <w:noProof/>
      <w:color w:val="000000"/>
      <w:lang w:val="lv-LV" w:eastAsia="ja-JP"/>
    </w:rPr>
  </w:style>
  <w:style w:type="character" w:customStyle="1" w:styleId="hps">
    <w:name w:val="hps"/>
    <w:basedOn w:val="DefaultParagraphFont"/>
    <w:rsid w:val="00783831"/>
    <w:rPr>
      <w:rFonts w:cs="Times New Roman"/>
    </w:rPr>
  </w:style>
  <w:style w:type="paragraph" w:styleId="NoSpacing">
    <w:name w:val="No Spacing"/>
    <w:uiPriority w:val="99"/>
    <w:qFormat/>
    <w:rsid w:val="00783831"/>
    <w:pPr>
      <w:spacing w:after="0" w:line="240" w:lineRule="auto"/>
    </w:pPr>
    <w:rPr>
      <w:rFonts w:ascii="Times New Roman" w:eastAsia="MS Mincho" w:hAnsi="Times New Roman" w:cs="Times New Roman"/>
      <w:sz w:val="24"/>
      <w:szCs w:val="24"/>
      <w:lang w:eastAsia="ja-JP"/>
    </w:rPr>
  </w:style>
  <w:style w:type="paragraph" w:customStyle="1" w:styleId="Pa16">
    <w:name w:val="Pa16"/>
    <w:basedOn w:val="Normal"/>
    <w:uiPriority w:val="99"/>
    <w:rsid w:val="00783831"/>
    <w:pPr>
      <w:autoSpaceDE w:val="0"/>
      <w:autoSpaceDN w:val="0"/>
      <w:spacing w:before="80" w:line="181" w:lineRule="atLeast"/>
    </w:pPr>
    <w:rPr>
      <w:rFonts w:eastAsiaTheme="minorHAnsi"/>
      <w:lang w:val="lv-LV"/>
    </w:rPr>
  </w:style>
  <w:style w:type="character" w:customStyle="1" w:styleId="leftside">
    <w:name w:val="left_side"/>
    <w:basedOn w:val="DefaultParagraphFont"/>
    <w:rsid w:val="00783831"/>
  </w:style>
  <w:style w:type="paragraph" w:customStyle="1" w:styleId="tvhtml">
    <w:name w:val="tv_html"/>
    <w:basedOn w:val="Normal"/>
    <w:rsid w:val="00783831"/>
    <w:pPr>
      <w:spacing w:before="100" w:beforeAutospacing="1" w:after="100" w:afterAutospacing="1"/>
    </w:pPr>
    <w:rPr>
      <w:rFonts w:ascii="Verdana" w:hAnsi="Verdana"/>
      <w:sz w:val="18"/>
      <w:szCs w:val="18"/>
      <w:lang w:val="lv-LV"/>
    </w:rPr>
  </w:style>
  <w:style w:type="character" w:customStyle="1" w:styleId="st1">
    <w:name w:val="st1"/>
    <w:basedOn w:val="DefaultParagraphFont"/>
    <w:rsid w:val="00783831"/>
  </w:style>
  <w:style w:type="character" w:customStyle="1" w:styleId="cspklasifikatorscodename">
    <w:name w:val="csp_klasifikators_code_name"/>
    <w:basedOn w:val="DefaultParagraphFont"/>
    <w:rsid w:val="00783831"/>
  </w:style>
  <w:style w:type="character" w:customStyle="1" w:styleId="body1">
    <w:name w:val="body1"/>
    <w:basedOn w:val="DefaultParagraphFont"/>
    <w:rsid w:val="00783831"/>
    <w:rPr>
      <w:rFonts w:ascii="Verdana" w:hAnsi="Verdana" w:hint="default"/>
      <w:sz w:val="17"/>
      <w:szCs w:val="17"/>
    </w:rPr>
  </w:style>
  <w:style w:type="character" w:customStyle="1" w:styleId="fontsize2">
    <w:name w:val="fontsize2"/>
    <w:basedOn w:val="DefaultParagraphFont"/>
    <w:rsid w:val="00783831"/>
  </w:style>
  <w:style w:type="paragraph" w:styleId="TOC3">
    <w:name w:val="toc 3"/>
    <w:basedOn w:val="Normal"/>
    <w:next w:val="Normal"/>
    <w:autoRedefine/>
    <w:uiPriority w:val="39"/>
    <w:rsid w:val="00783831"/>
    <w:pPr>
      <w:tabs>
        <w:tab w:val="right" w:leader="dot" w:pos="9061"/>
      </w:tabs>
      <w:spacing w:after="100"/>
      <w:ind w:left="480"/>
    </w:pPr>
    <w:rPr>
      <w:rFonts w:eastAsia="Calibri"/>
      <w:noProof/>
      <w:lang w:val="lv-LV"/>
    </w:rPr>
  </w:style>
  <w:style w:type="table" w:styleId="ColorfulList-Accent3">
    <w:name w:val="Colorful List Accent 3"/>
    <w:basedOn w:val="TableNormal"/>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7838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31">
    <w:name w:val="Colorful List - Accent 31"/>
    <w:basedOn w:val="TableNormal"/>
    <w:next w:val="ColorfulList-Accent3"/>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32">
    <w:name w:val="Colorful List - Accent 32"/>
    <w:basedOn w:val="TableNormal"/>
    <w:next w:val="ColorfulList-Accent3"/>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Shading-Accent3">
    <w:name w:val="Light Shading Accent 3"/>
    <w:basedOn w:val="TableNormal"/>
    <w:uiPriority w:val="60"/>
    <w:rsid w:val="007838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6D36CA"/>
    <w:pPr>
      <w:spacing w:after="0" w:line="240" w:lineRule="auto"/>
    </w:pPr>
    <w:rPr>
      <w:rFonts w:ascii="Times New Roman" w:eastAsia="Times New Roman" w:hAnsi="Times New Roman" w:cs="Times New Roman"/>
      <w:sz w:val="24"/>
      <w:szCs w:val="24"/>
      <w:lang w:val="ru-RU" w:eastAsia="lv-LV"/>
    </w:rPr>
  </w:style>
  <w:style w:type="paragraph" w:customStyle="1" w:styleId="StyleHeading2TimesNewRoman12ptNotItalicCentered">
    <w:name w:val="Style Heading 2 + Times New Roman 12 pt Not Italic Centered"/>
    <w:basedOn w:val="Heading2"/>
    <w:rsid w:val="00E165B1"/>
    <w:pPr>
      <w:spacing w:before="360" w:after="240"/>
      <w:jc w:val="center"/>
    </w:pPr>
    <w:rPr>
      <w:rFonts w:cs="Times New Roman"/>
      <w:iCs w:val="0"/>
      <w:szCs w:val="20"/>
      <w:lang w:val="lv-LV"/>
    </w:rPr>
  </w:style>
  <w:style w:type="paragraph" w:customStyle="1" w:styleId="Attels">
    <w:name w:val="Attels"/>
    <w:basedOn w:val="PlainText"/>
    <w:rsid w:val="00E165B1"/>
    <w:pPr>
      <w:spacing w:before="120"/>
      <w:jc w:val="center"/>
    </w:pPr>
    <w:rPr>
      <w:rFonts w:ascii="Times New Roman" w:hAnsi="Times New Roman" w:cs="Courier New"/>
      <w:b/>
      <w:i/>
      <w:sz w:val="22"/>
      <w:lang w:bidi="ar-SA"/>
    </w:rPr>
  </w:style>
  <w:style w:type="paragraph" w:customStyle="1" w:styleId="Attelaatsauce">
    <w:name w:val="Attela atsauce"/>
    <w:basedOn w:val="Normal"/>
    <w:rsid w:val="00E165B1"/>
    <w:pPr>
      <w:spacing w:after="240"/>
      <w:jc w:val="center"/>
    </w:pPr>
    <w:rPr>
      <w:sz w:val="20"/>
      <w:szCs w:val="20"/>
      <w:lang w:val="lv-LV"/>
    </w:rPr>
  </w:style>
  <w:style w:type="character" w:customStyle="1" w:styleId="st">
    <w:name w:val="st"/>
    <w:basedOn w:val="DefaultParagraphFont"/>
    <w:rsid w:val="0064545A"/>
  </w:style>
  <w:style w:type="paragraph" w:customStyle="1" w:styleId="Parasts1">
    <w:name w:val="Parasts1"/>
    <w:rsid w:val="00CF293E"/>
    <w:pPr>
      <w:suppressAutoHyphens/>
      <w:autoSpaceDN w:val="0"/>
    </w:pPr>
    <w:rPr>
      <w:rFonts w:ascii="Calibri" w:eastAsia="Times New Roman" w:hAnsi="Calibri" w:cs="Times New Roman"/>
    </w:rPr>
  </w:style>
  <w:style w:type="paragraph" w:customStyle="1" w:styleId="Paraststmeklis1">
    <w:name w:val="Parasts (tīmeklis)1"/>
    <w:basedOn w:val="Parasts1"/>
    <w:rsid w:val="00CF293E"/>
    <w:pPr>
      <w:spacing w:before="100" w:after="100" w:line="240" w:lineRule="auto"/>
    </w:pPr>
    <w:rPr>
      <w:rFonts w:ascii="Times New Roman" w:eastAsia="Calibri" w:hAnsi="Times New Roman"/>
      <w:sz w:val="24"/>
      <w:szCs w:val="24"/>
      <w:lang w:eastAsia="lv-LV"/>
    </w:rPr>
  </w:style>
  <w:style w:type="paragraph" w:customStyle="1" w:styleId="tv213">
    <w:name w:val="tv213"/>
    <w:basedOn w:val="Normal"/>
    <w:rsid w:val="00F51D77"/>
    <w:pPr>
      <w:spacing w:before="100" w:beforeAutospacing="1" w:after="100" w:afterAutospacing="1"/>
    </w:pPr>
    <w:rPr>
      <w:lang w:val="lv-LV"/>
    </w:rPr>
  </w:style>
  <w:style w:type="paragraph" w:styleId="TOCHeading">
    <w:name w:val="TOC Heading"/>
    <w:basedOn w:val="Heading1"/>
    <w:next w:val="Normal"/>
    <w:uiPriority w:val="39"/>
    <w:unhideWhenUsed/>
    <w:qFormat/>
    <w:rsid w:val="00CD1F8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nolink">
    <w:name w:val="nolink"/>
    <w:basedOn w:val="DefaultParagraphFont"/>
    <w:rsid w:val="00102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31"/>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741482"/>
    <w:pPr>
      <w:keepNext/>
      <w:jc w:val="center"/>
      <w:outlineLvl w:val="0"/>
    </w:pPr>
    <w:rPr>
      <w:b/>
      <w:sz w:val="32"/>
      <w:lang w:val="lv-LV" w:eastAsia="en-US"/>
    </w:rPr>
  </w:style>
  <w:style w:type="paragraph" w:styleId="Heading2">
    <w:name w:val="heading 2"/>
    <w:basedOn w:val="Normal"/>
    <w:next w:val="Normal"/>
    <w:link w:val="Heading2Char"/>
    <w:uiPriority w:val="99"/>
    <w:qFormat/>
    <w:rsid w:val="007F0A11"/>
    <w:pPr>
      <w:keepNext/>
      <w:jc w:val="both"/>
      <w:outlineLvl w:val="1"/>
    </w:pPr>
    <w:rPr>
      <w:rFonts w:cs="Arial"/>
      <w:b/>
      <w:bCs/>
      <w:iCs/>
      <w:sz w:val="28"/>
      <w:szCs w:val="28"/>
    </w:rPr>
  </w:style>
  <w:style w:type="paragraph" w:styleId="Heading3">
    <w:name w:val="heading 3"/>
    <w:basedOn w:val="Normal"/>
    <w:next w:val="Normal"/>
    <w:link w:val="Heading3Char"/>
    <w:qFormat/>
    <w:rsid w:val="00164B5E"/>
    <w:pPr>
      <w:keepNext/>
      <w:jc w:val="both"/>
      <w:outlineLvl w:val="2"/>
    </w:pPr>
    <w:rPr>
      <w:rFonts w:cs="Arial"/>
      <w:b/>
      <w:bCs/>
      <w:sz w:val="26"/>
      <w:szCs w:val="26"/>
    </w:rPr>
  </w:style>
  <w:style w:type="paragraph" w:styleId="Heading4">
    <w:name w:val="heading 4"/>
    <w:basedOn w:val="Normal"/>
    <w:next w:val="Normal"/>
    <w:link w:val="Heading4Char"/>
    <w:qFormat/>
    <w:rsid w:val="00783831"/>
    <w:pPr>
      <w:keepNext/>
      <w:spacing w:before="240" w:after="60"/>
      <w:outlineLvl w:val="3"/>
    </w:pPr>
    <w:rPr>
      <w:b/>
      <w:bCs/>
      <w:sz w:val="28"/>
      <w:szCs w:val="28"/>
    </w:rPr>
  </w:style>
  <w:style w:type="paragraph" w:styleId="Heading5">
    <w:name w:val="heading 5"/>
    <w:basedOn w:val="Normal"/>
    <w:next w:val="Normal"/>
    <w:link w:val="Heading5Char"/>
    <w:qFormat/>
    <w:rsid w:val="00783831"/>
    <w:pPr>
      <w:spacing w:before="240" w:after="60"/>
      <w:outlineLvl w:val="4"/>
    </w:pPr>
    <w:rPr>
      <w:b/>
      <w:bCs/>
      <w:i/>
      <w:iCs/>
      <w:sz w:val="26"/>
      <w:szCs w:val="26"/>
    </w:rPr>
  </w:style>
  <w:style w:type="paragraph" w:styleId="Heading6">
    <w:name w:val="heading 6"/>
    <w:basedOn w:val="Normal"/>
    <w:next w:val="Normal"/>
    <w:link w:val="Heading6Char"/>
    <w:qFormat/>
    <w:rsid w:val="00783831"/>
    <w:pPr>
      <w:keepNext/>
      <w:outlineLvl w:val="5"/>
    </w:pPr>
    <w:rPr>
      <w:b/>
      <w:bCs/>
      <w:i/>
      <w:u w:val="single"/>
      <w:lang w:val="lv-LV"/>
    </w:rPr>
  </w:style>
  <w:style w:type="paragraph" w:styleId="Heading7">
    <w:name w:val="heading 7"/>
    <w:basedOn w:val="Normal"/>
    <w:next w:val="Normal"/>
    <w:link w:val="Heading7Char"/>
    <w:qFormat/>
    <w:rsid w:val="00783831"/>
    <w:pPr>
      <w:spacing w:before="240" w:after="60"/>
      <w:ind w:firstLine="567"/>
      <w:jc w:val="both"/>
      <w:outlineLvl w:val="6"/>
    </w:pPr>
    <w:rPr>
      <w:sz w:val="28"/>
      <w:lang w:val="lv-LV" w:eastAsia="en-US"/>
    </w:rPr>
  </w:style>
  <w:style w:type="paragraph" w:styleId="Heading8">
    <w:name w:val="heading 8"/>
    <w:basedOn w:val="Normal"/>
    <w:next w:val="Normal"/>
    <w:link w:val="Heading8Char"/>
    <w:qFormat/>
    <w:rsid w:val="0078383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482"/>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9"/>
    <w:rsid w:val="007F0A11"/>
    <w:rPr>
      <w:rFonts w:ascii="Times New Roman" w:eastAsia="Times New Roman" w:hAnsi="Times New Roman" w:cs="Arial"/>
      <w:b/>
      <w:bCs/>
      <w:iCs/>
      <w:sz w:val="28"/>
      <w:szCs w:val="28"/>
      <w:lang w:val="ru-RU" w:eastAsia="lv-LV"/>
    </w:rPr>
  </w:style>
  <w:style w:type="character" w:customStyle="1" w:styleId="Heading3Char">
    <w:name w:val="Heading 3 Char"/>
    <w:basedOn w:val="DefaultParagraphFont"/>
    <w:link w:val="Heading3"/>
    <w:rsid w:val="00164B5E"/>
    <w:rPr>
      <w:rFonts w:ascii="Times New Roman" w:eastAsia="Times New Roman" w:hAnsi="Times New Roman" w:cs="Arial"/>
      <w:b/>
      <w:bCs/>
      <w:sz w:val="26"/>
      <w:szCs w:val="26"/>
      <w:lang w:val="ru-RU" w:eastAsia="lv-LV"/>
    </w:rPr>
  </w:style>
  <w:style w:type="character" w:customStyle="1" w:styleId="Heading4Char">
    <w:name w:val="Heading 4 Char"/>
    <w:basedOn w:val="DefaultParagraphFont"/>
    <w:link w:val="Heading4"/>
    <w:rsid w:val="00783831"/>
    <w:rPr>
      <w:rFonts w:ascii="Times New Roman" w:eastAsia="Times New Roman" w:hAnsi="Times New Roman" w:cs="Times New Roman"/>
      <w:b/>
      <w:bCs/>
      <w:sz w:val="28"/>
      <w:szCs w:val="28"/>
      <w:lang w:val="ru-RU" w:eastAsia="lv-LV"/>
    </w:rPr>
  </w:style>
  <w:style w:type="character" w:customStyle="1" w:styleId="Heading5Char">
    <w:name w:val="Heading 5 Char"/>
    <w:basedOn w:val="DefaultParagraphFont"/>
    <w:link w:val="Heading5"/>
    <w:rsid w:val="00783831"/>
    <w:rPr>
      <w:rFonts w:ascii="Times New Roman" w:eastAsia="Times New Roman" w:hAnsi="Times New Roman" w:cs="Times New Roman"/>
      <w:b/>
      <w:bCs/>
      <w:i/>
      <w:iCs/>
      <w:sz w:val="26"/>
      <w:szCs w:val="26"/>
      <w:lang w:val="ru-RU" w:eastAsia="lv-LV"/>
    </w:rPr>
  </w:style>
  <w:style w:type="character" w:customStyle="1" w:styleId="Heading6Char">
    <w:name w:val="Heading 6 Char"/>
    <w:basedOn w:val="DefaultParagraphFont"/>
    <w:link w:val="Heading6"/>
    <w:rsid w:val="00783831"/>
    <w:rPr>
      <w:rFonts w:ascii="Times New Roman" w:eastAsia="Times New Roman" w:hAnsi="Times New Roman" w:cs="Times New Roman"/>
      <w:b/>
      <w:bCs/>
      <w:i/>
      <w:sz w:val="24"/>
      <w:szCs w:val="24"/>
      <w:u w:val="single"/>
      <w:lang w:eastAsia="lv-LV"/>
    </w:rPr>
  </w:style>
  <w:style w:type="character" w:customStyle="1" w:styleId="Heading7Char">
    <w:name w:val="Heading 7 Char"/>
    <w:basedOn w:val="DefaultParagraphFont"/>
    <w:link w:val="Heading7"/>
    <w:rsid w:val="00783831"/>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783831"/>
    <w:rPr>
      <w:rFonts w:ascii="Times New Roman" w:eastAsia="Times New Roman" w:hAnsi="Times New Roman" w:cs="Times New Roman"/>
      <w:i/>
      <w:iCs/>
      <w:sz w:val="24"/>
      <w:szCs w:val="24"/>
      <w:lang w:val="ru-RU" w:eastAsia="lv-LV"/>
    </w:rPr>
  </w:style>
  <w:style w:type="paragraph" w:styleId="Header">
    <w:name w:val="header"/>
    <w:basedOn w:val="Normal"/>
    <w:link w:val="HeaderChar"/>
    <w:uiPriority w:val="99"/>
    <w:rsid w:val="00783831"/>
    <w:pPr>
      <w:tabs>
        <w:tab w:val="center" w:pos="4153"/>
        <w:tab w:val="right" w:pos="8306"/>
      </w:tabs>
    </w:pPr>
  </w:style>
  <w:style w:type="character" w:customStyle="1" w:styleId="HeaderChar">
    <w:name w:val="Header Char"/>
    <w:basedOn w:val="DefaultParagraphFont"/>
    <w:link w:val="Header"/>
    <w:uiPriority w:val="99"/>
    <w:rsid w:val="00783831"/>
    <w:rPr>
      <w:rFonts w:ascii="Times New Roman" w:eastAsia="Times New Roman" w:hAnsi="Times New Roman" w:cs="Times New Roman"/>
      <w:sz w:val="24"/>
      <w:szCs w:val="24"/>
      <w:lang w:val="ru-RU" w:eastAsia="lv-LV"/>
    </w:rPr>
  </w:style>
  <w:style w:type="character" w:styleId="PageNumber">
    <w:name w:val="page number"/>
    <w:basedOn w:val="DefaultParagraphFont"/>
    <w:rsid w:val="00783831"/>
  </w:style>
  <w:style w:type="paragraph" w:styleId="BodyText2">
    <w:name w:val="Body Text 2"/>
    <w:basedOn w:val="Normal"/>
    <w:link w:val="BodyText2Char"/>
    <w:rsid w:val="00783831"/>
    <w:rPr>
      <w:sz w:val="20"/>
      <w:lang w:val="lv-LV" w:eastAsia="en-US"/>
    </w:rPr>
  </w:style>
  <w:style w:type="character" w:customStyle="1" w:styleId="BodyText2Char">
    <w:name w:val="Body Text 2 Char"/>
    <w:basedOn w:val="DefaultParagraphFont"/>
    <w:link w:val="BodyText2"/>
    <w:rsid w:val="00783831"/>
    <w:rPr>
      <w:rFonts w:ascii="Times New Roman" w:eastAsia="Times New Roman" w:hAnsi="Times New Roman" w:cs="Times New Roman"/>
      <w:sz w:val="20"/>
      <w:szCs w:val="24"/>
    </w:rPr>
  </w:style>
  <w:style w:type="paragraph" w:styleId="BodyText3">
    <w:name w:val="Body Text 3"/>
    <w:basedOn w:val="Normal"/>
    <w:link w:val="BodyText3Char"/>
    <w:rsid w:val="00783831"/>
    <w:rPr>
      <w:b/>
      <w:bCs/>
      <w:sz w:val="28"/>
      <w:lang w:val="lv-LV" w:eastAsia="en-US"/>
    </w:rPr>
  </w:style>
  <w:style w:type="character" w:customStyle="1" w:styleId="BodyText3Char">
    <w:name w:val="Body Text 3 Char"/>
    <w:basedOn w:val="DefaultParagraphFont"/>
    <w:link w:val="BodyText3"/>
    <w:rsid w:val="0078383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783831"/>
    <w:pPr>
      <w:ind w:left="720" w:hanging="360"/>
    </w:pPr>
    <w:rPr>
      <w:sz w:val="28"/>
      <w:lang w:val="lv-LV" w:eastAsia="en-US"/>
    </w:rPr>
  </w:style>
  <w:style w:type="character" w:customStyle="1" w:styleId="BodyTextIndentChar">
    <w:name w:val="Body Text Indent Char"/>
    <w:basedOn w:val="DefaultParagraphFont"/>
    <w:link w:val="BodyTextIndent"/>
    <w:rsid w:val="00783831"/>
    <w:rPr>
      <w:rFonts w:ascii="Times New Roman" w:eastAsia="Times New Roman" w:hAnsi="Times New Roman" w:cs="Times New Roman"/>
      <w:sz w:val="28"/>
      <w:szCs w:val="24"/>
    </w:rPr>
  </w:style>
  <w:style w:type="paragraph" w:styleId="BodyText">
    <w:name w:val="Body Text"/>
    <w:aliases w:val="OT Body Text,Body,Tekst,Body Text Char Char,Body Text Char Char Char"/>
    <w:basedOn w:val="Normal"/>
    <w:link w:val="BodyTextChar1"/>
    <w:uiPriority w:val="99"/>
    <w:rsid w:val="00783831"/>
    <w:pPr>
      <w:spacing w:after="120"/>
    </w:pPr>
  </w:style>
  <w:style w:type="character" w:customStyle="1" w:styleId="BodyTextChar">
    <w:name w:val="Body Text Char"/>
    <w:aliases w:val="Body Text Char Char Char1,Body Text Char Char Char Char,OT Body Text Char1,Body Char1,Tekst Char1"/>
    <w:basedOn w:val="DefaultParagraphFont"/>
    <w:uiPriority w:val="99"/>
    <w:rsid w:val="00783831"/>
    <w:rPr>
      <w:rFonts w:ascii="Times New Roman" w:eastAsia="Times New Roman" w:hAnsi="Times New Roman" w:cs="Times New Roman"/>
      <w:sz w:val="24"/>
      <w:szCs w:val="24"/>
      <w:lang w:val="ru-RU" w:eastAsia="lv-LV"/>
    </w:r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783831"/>
    <w:rPr>
      <w:rFonts w:ascii="Times New Roman" w:eastAsia="Times New Roman" w:hAnsi="Times New Roman" w:cs="Times New Roman"/>
      <w:sz w:val="24"/>
      <w:szCs w:val="24"/>
      <w:lang w:val="ru-RU" w:eastAsia="lv-LV"/>
    </w:rPr>
  </w:style>
  <w:style w:type="paragraph" w:styleId="BodyTextIndent2">
    <w:name w:val="Body Text Indent 2"/>
    <w:basedOn w:val="Normal"/>
    <w:link w:val="BodyTextIndent2Char1"/>
    <w:rsid w:val="00783831"/>
    <w:pPr>
      <w:spacing w:after="120" w:line="480" w:lineRule="auto"/>
      <w:ind w:left="283"/>
      <w:jc w:val="both"/>
    </w:pPr>
    <w:rPr>
      <w:sz w:val="28"/>
      <w:szCs w:val="20"/>
      <w:lang w:val="lv-LV" w:eastAsia="en-US"/>
    </w:rPr>
  </w:style>
  <w:style w:type="character" w:customStyle="1" w:styleId="BodyTextIndent2Char">
    <w:name w:val="Body Text Indent 2 Char"/>
    <w:basedOn w:val="DefaultParagraphFont"/>
    <w:rsid w:val="00783831"/>
    <w:rPr>
      <w:rFonts w:ascii="Times New Roman" w:eastAsia="Times New Roman" w:hAnsi="Times New Roman" w:cs="Times New Roman"/>
      <w:sz w:val="24"/>
      <w:szCs w:val="24"/>
      <w:lang w:val="ru-RU" w:eastAsia="lv-LV"/>
    </w:rPr>
  </w:style>
  <w:style w:type="character" w:customStyle="1" w:styleId="BodyTextIndent2Char1">
    <w:name w:val="Body Text Indent 2 Char1"/>
    <w:basedOn w:val="DefaultParagraphFont"/>
    <w:link w:val="BodyTextIndent2"/>
    <w:locked/>
    <w:rsid w:val="00783831"/>
    <w:rPr>
      <w:rFonts w:ascii="Times New Roman" w:eastAsia="Times New Roman" w:hAnsi="Times New Roman" w:cs="Times New Roman"/>
      <w:sz w:val="28"/>
      <w:szCs w:val="20"/>
    </w:rPr>
  </w:style>
  <w:style w:type="paragraph" w:styleId="NormalWeb">
    <w:name w:val="Normal (Web)"/>
    <w:aliases w:val="sākums"/>
    <w:basedOn w:val="Normal"/>
    <w:rsid w:val="00783831"/>
    <w:pPr>
      <w:spacing w:before="100" w:beforeAutospacing="1" w:after="100" w:afterAutospacing="1"/>
    </w:pPr>
    <w:rPr>
      <w:lang w:val="lv-LV"/>
    </w:rPr>
  </w:style>
  <w:style w:type="character" w:styleId="Hyperlink">
    <w:name w:val="Hyperlink"/>
    <w:basedOn w:val="DefaultParagraphFont"/>
    <w:uiPriority w:val="99"/>
    <w:rsid w:val="00783831"/>
    <w:rPr>
      <w:color w:val="0000FF"/>
      <w:u w:val="single"/>
    </w:rPr>
  </w:style>
  <w:style w:type="paragraph" w:customStyle="1" w:styleId="naisf">
    <w:name w:val="naisf"/>
    <w:basedOn w:val="Normal"/>
    <w:rsid w:val="00783831"/>
    <w:pPr>
      <w:spacing w:before="94" w:after="94"/>
      <w:ind w:firstLine="468"/>
      <w:jc w:val="both"/>
    </w:pPr>
    <w:rPr>
      <w:lang w:val="lv-LV"/>
    </w:rPr>
  </w:style>
  <w:style w:type="paragraph" w:styleId="Title">
    <w:name w:val="Title"/>
    <w:aliases w:val="Title Char1 Char"/>
    <w:basedOn w:val="Normal"/>
    <w:link w:val="TitleChar1"/>
    <w:qFormat/>
    <w:rsid w:val="00783831"/>
    <w:pPr>
      <w:ind w:firstLine="720"/>
      <w:jc w:val="center"/>
    </w:pPr>
    <w:rPr>
      <w:b/>
      <w:bCs/>
      <w:sz w:val="28"/>
      <w:u w:val="single"/>
      <w:lang w:val="lv-LV" w:eastAsia="en-US"/>
    </w:rPr>
  </w:style>
  <w:style w:type="character" w:customStyle="1" w:styleId="TitleChar">
    <w:name w:val="Title Char"/>
    <w:basedOn w:val="DefaultParagraphFont"/>
    <w:rsid w:val="00783831"/>
    <w:rPr>
      <w:rFonts w:asciiTheme="majorHAnsi" w:eastAsiaTheme="majorEastAsia" w:hAnsiTheme="majorHAnsi" w:cstheme="majorBidi"/>
      <w:color w:val="17365D" w:themeColor="text2" w:themeShade="BF"/>
      <w:spacing w:val="5"/>
      <w:kern w:val="28"/>
      <w:sz w:val="52"/>
      <w:szCs w:val="52"/>
      <w:lang w:val="ru-RU" w:eastAsia="lv-LV"/>
    </w:rPr>
  </w:style>
  <w:style w:type="character" w:customStyle="1" w:styleId="TitleChar1">
    <w:name w:val="Title Char1"/>
    <w:aliases w:val="Title Char1 Char Char"/>
    <w:basedOn w:val="DefaultParagraphFont"/>
    <w:link w:val="Title"/>
    <w:locked/>
    <w:rsid w:val="00783831"/>
    <w:rPr>
      <w:rFonts w:ascii="Times New Roman" w:eastAsia="Times New Roman" w:hAnsi="Times New Roman" w:cs="Times New Roman"/>
      <w:b/>
      <w:bCs/>
      <w:sz w:val="28"/>
      <w:szCs w:val="24"/>
      <w:u w:val="single"/>
    </w:rPr>
  </w:style>
  <w:style w:type="paragraph" w:styleId="Footer">
    <w:name w:val="footer"/>
    <w:basedOn w:val="Normal"/>
    <w:link w:val="FooterChar"/>
    <w:uiPriority w:val="99"/>
    <w:rsid w:val="00783831"/>
    <w:pPr>
      <w:tabs>
        <w:tab w:val="center" w:pos="4819"/>
        <w:tab w:val="right" w:pos="9071"/>
      </w:tabs>
    </w:pPr>
    <w:rPr>
      <w:rFonts w:ascii="RimTimes" w:hAnsi="RimTimes"/>
      <w:szCs w:val="20"/>
      <w:lang w:val="lv-LV" w:eastAsia="en-US"/>
    </w:rPr>
  </w:style>
  <w:style w:type="character" w:customStyle="1" w:styleId="FooterChar">
    <w:name w:val="Footer Char"/>
    <w:basedOn w:val="DefaultParagraphFont"/>
    <w:link w:val="Footer"/>
    <w:uiPriority w:val="99"/>
    <w:rsid w:val="00783831"/>
    <w:rPr>
      <w:rFonts w:ascii="RimTimes" w:eastAsia="Times New Roman" w:hAnsi="RimTimes" w:cs="Times New Roman"/>
      <w:sz w:val="24"/>
      <w:szCs w:val="20"/>
    </w:rPr>
  </w:style>
  <w:style w:type="table" w:styleId="TableGrid">
    <w:name w:val="Table Grid"/>
    <w:basedOn w:val="TableNormal"/>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783831"/>
    <w:pPr>
      <w:spacing w:before="100" w:after="100"/>
      <w:ind w:left="360" w:right="360"/>
    </w:pPr>
    <w:rPr>
      <w:snapToGrid w:val="0"/>
      <w:szCs w:val="20"/>
      <w:lang w:val="lv-LV" w:eastAsia="en-US"/>
    </w:rPr>
  </w:style>
  <w:style w:type="paragraph" w:customStyle="1" w:styleId="naispant">
    <w:name w:val="naispant"/>
    <w:basedOn w:val="Normal"/>
    <w:rsid w:val="00783831"/>
    <w:pPr>
      <w:spacing w:before="374" w:after="94"/>
      <w:ind w:left="468" w:firstLine="468"/>
      <w:jc w:val="both"/>
    </w:pPr>
    <w:rPr>
      <w:b/>
      <w:bCs/>
      <w:lang w:val="lv-LV"/>
    </w:rPr>
  </w:style>
  <w:style w:type="paragraph" w:customStyle="1" w:styleId="Pamatteksts1">
    <w:name w:val="Pamatteksts1"/>
    <w:rsid w:val="00783831"/>
    <w:pPr>
      <w:widowControl w:val="0"/>
      <w:spacing w:after="0" w:line="370" w:lineRule="atLeast"/>
      <w:ind w:firstLine="340"/>
      <w:jc w:val="both"/>
    </w:pPr>
    <w:rPr>
      <w:rFonts w:ascii="Dotum" w:eastAsia="Dotum" w:hAnsi="Times New Roman" w:cs="Times New Roman"/>
      <w:sz w:val="24"/>
      <w:szCs w:val="20"/>
      <w:lang w:val="en-US"/>
    </w:rPr>
  </w:style>
  <w:style w:type="paragraph" w:styleId="BodyTextIndent3">
    <w:name w:val="Body Text Indent 3"/>
    <w:basedOn w:val="Normal"/>
    <w:link w:val="BodyTextIndent3Char"/>
    <w:rsid w:val="00783831"/>
    <w:pPr>
      <w:ind w:left="360" w:firstLine="360"/>
      <w:jc w:val="both"/>
    </w:pPr>
    <w:rPr>
      <w:b/>
      <w:sz w:val="28"/>
      <w:szCs w:val="22"/>
      <w:lang w:val="lv-LV" w:eastAsia="en-US"/>
    </w:rPr>
  </w:style>
  <w:style w:type="character" w:customStyle="1" w:styleId="BodyTextIndent3Char">
    <w:name w:val="Body Text Indent 3 Char"/>
    <w:basedOn w:val="DefaultParagraphFont"/>
    <w:link w:val="BodyTextIndent3"/>
    <w:rsid w:val="00783831"/>
    <w:rPr>
      <w:rFonts w:ascii="Times New Roman" w:eastAsia="Times New Roman" w:hAnsi="Times New Roman" w:cs="Times New Roman"/>
      <w:b/>
      <w:sz w:val="28"/>
    </w:rPr>
  </w:style>
  <w:style w:type="paragraph" w:customStyle="1" w:styleId="teksts">
    <w:name w:val="teksts"/>
    <w:rsid w:val="00783831"/>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basedOn w:val="DefaultParagraphFont"/>
    <w:rsid w:val="00783831"/>
    <w:rPr>
      <w:iCs/>
    </w:rPr>
  </w:style>
  <w:style w:type="paragraph" w:customStyle="1" w:styleId="attlanr">
    <w:name w:val="attēla nr."/>
    <w:basedOn w:val="Normal"/>
    <w:rsid w:val="00783831"/>
    <w:pPr>
      <w:ind w:firstLine="709"/>
      <w:jc w:val="right"/>
    </w:pPr>
    <w:rPr>
      <w:sz w:val="28"/>
      <w:lang w:val="lv-LV"/>
    </w:rPr>
  </w:style>
  <w:style w:type="paragraph" w:customStyle="1" w:styleId="Virsraksts">
    <w:name w:val="Virsraksts"/>
    <w:basedOn w:val="Normal"/>
    <w:rsid w:val="00783831"/>
    <w:pPr>
      <w:ind w:firstLine="567"/>
      <w:jc w:val="center"/>
    </w:pPr>
    <w:rPr>
      <w:b/>
      <w:bCs/>
      <w:sz w:val="44"/>
      <w:lang w:val="lv-LV"/>
    </w:rPr>
  </w:style>
  <w:style w:type="paragraph" w:customStyle="1" w:styleId="Visraksts2">
    <w:name w:val="Visraksts 2"/>
    <w:basedOn w:val="Normal"/>
    <w:rsid w:val="00783831"/>
    <w:pPr>
      <w:ind w:firstLine="567"/>
      <w:jc w:val="center"/>
    </w:pPr>
    <w:rPr>
      <w:sz w:val="40"/>
      <w:lang w:val="lv-LV"/>
    </w:rPr>
  </w:style>
  <w:style w:type="paragraph" w:customStyle="1" w:styleId="Virsraksts31">
    <w:name w:val="Virsraksts 31"/>
    <w:basedOn w:val="Normal"/>
    <w:rsid w:val="00783831"/>
    <w:pPr>
      <w:ind w:firstLine="567"/>
      <w:jc w:val="center"/>
    </w:pPr>
    <w:rPr>
      <w:b/>
      <w:bCs/>
      <w:sz w:val="40"/>
      <w:lang w:val="lv-LV"/>
    </w:rPr>
  </w:style>
  <w:style w:type="character" w:styleId="Strong">
    <w:name w:val="Strong"/>
    <w:basedOn w:val="DefaultParagraphFont"/>
    <w:uiPriority w:val="22"/>
    <w:qFormat/>
    <w:rsid w:val="00783831"/>
    <w:rPr>
      <w:b/>
      <w:bCs/>
    </w:rPr>
  </w:style>
  <w:style w:type="paragraph" w:customStyle="1" w:styleId="N">
    <w:name w:val="N"/>
    <w:basedOn w:val="Normal"/>
    <w:autoRedefine/>
    <w:rsid w:val="00783831"/>
    <w:pPr>
      <w:ind w:firstLine="720"/>
      <w:jc w:val="both"/>
    </w:pPr>
    <w:rPr>
      <w:sz w:val="28"/>
      <w:szCs w:val="28"/>
      <w:lang w:val="lv-LV"/>
    </w:rPr>
  </w:style>
  <w:style w:type="paragraph" w:customStyle="1" w:styleId="Taksts11">
    <w:name w:val="Taksts_11"/>
    <w:basedOn w:val="Normal"/>
    <w:rsid w:val="00783831"/>
    <w:pPr>
      <w:ind w:firstLine="567"/>
      <w:jc w:val="both"/>
    </w:pPr>
    <w:rPr>
      <w:sz w:val="28"/>
      <w:szCs w:val="20"/>
      <w:lang w:val="en-US" w:eastAsia="en-US"/>
    </w:rPr>
  </w:style>
  <w:style w:type="character" w:styleId="Emphasis">
    <w:name w:val="Emphasis"/>
    <w:basedOn w:val="DefaultParagraphFont"/>
    <w:uiPriority w:val="20"/>
    <w:qFormat/>
    <w:rsid w:val="00783831"/>
    <w:rPr>
      <w:i/>
      <w:iCs/>
    </w:rPr>
  </w:style>
  <w:style w:type="paragraph" w:styleId="Subtitle">
    <w:name w:val="Subtitle"/>
    <w:basedOn w:val="Normal"/>
    <w:link w:val="SubtitleChar"/>
    <w:qFormat/>
    <w:rsid w:val="00783831"/>
    <w:rPr>
      <w:b/>
      <w:sz w:val="21"/>
      <w:szCs w:val="20"/>
      <w:lang w:val="lv-LV" w:eastAsia="en-US"/>
    </w:rPr>
  </w:style>
  <w:style w:type="character" w:customStyle="1" w:styleId="SubtitleChar">
    <w:name w:val="Subtitle Char"/>
    <w:basedOn w:val="DefaultParagraphFont"/>
    <w:link w:val="Subtitle"/>
    <w:rsid w:val="00783831"/>
    <w:rPr>
      <w:rFonts w:ascii="Times New Roman" w:eastAsia="Times New Roman" w:hAnsi="Times New Roman" w:cs="Times New Roman"/>
      <w:b/>
      <w:sz w:val="21"/>
      <w:szCs w:val="20"/>
    </w:rPr>
  </w:style>
  <w:style w:type="paragraph" w:customStyle="1" w:styleId="attls">
    <w:name w:val="attēls"/>
    <w:basedOn w:val="BodyText"/>
    <w:rsid w:val="00783831"/>
    <w:pPr>
      <w:spacing w:after="0"/>
      <w:ind w:firstLine="720"/>
      <w:jc w:val="right"/>
    </w:pPr>
    <w:rPr>
      <w:sz w:val="28"/>
      <w:lang w:val="lv-LV"/>
    </w:rPr>
  </w:style>
  <w:style w:type="paragraph" w:customStyle="1" w:styleId="StyleVirsrakstsUBComplex11pt">
    <w:name w:val="Style Virsraksts U B + (Complex) 11 pt"/>
    <w:basedOn w:val="Normal"/>
    <w:rsid w:val="00783831"/>
    <w:pPr>
      <w:ind w:firstLine="567"/>
      <w:jc w:val="both"/>
    </w:pPr>
    <w:rPr>
      <w:b/>
      <w:bCs/>
      <w:sz w:val="28"/>
      <w:szCs w:val="22"/>
      <w:u w:val="single"/>
      <w:lang w:val="lv-LV" w:eastAsia="en-US"/>
    </w:rPr>
  </w:style>
  <w:style w:type="character" w:customStyle="1" w:styleId="StyleVirsrakstsUBComplex11ptChar">
    <w:name w:val="Style Virsraksts U B + (Complex) 11 pt Char"/>
    <w:basedOn w:val="DefaultParagraphFont"/>
    <w:rsid w:val="00783831"/>
    <w:rPr>
      <w:b/>
      <w:bCs/>
      <w:sz w:val="28"/>
      <w:szCs w:val="22"/>
      <w:u w:val="single"/>
      <w:lang w:val="lv-LV" w:eastAsia="en-US" w:bidi="ar-SA"/>
    </w:rPr>
  </w:style>
  <w:style w:type="paragraph" w:customStyle="1" w:styleId="naisnod">
    <w:name w:val="naisnod"/>
    <w:basedOn w:val="Normal"/>
    <w:rsid w:val="00783831"/>
    <w:pPr>
      <w:spacing w:before="150" w:after="150"/>
      <w:jc w:val="center"/>
    </w:pPr>
    <w:rPr>
      <w:b/>
      <w:bCs/>
      <w:lang w:val="lv-LV"/>
    </w:rPr>
  </w:style>
  <w:style w:type="character" w:customStyle="1" w:styleId="navinfo1">
    <w:name w:val="navinfo1"/>
    <w:basedOn w:val="DefaultParagraphFont"/>
    <w:rsid w:val="00783831"/>
    <w:rPr>
      <w:rFonts w:ascii="Arial" w:hAnsi="Arial" w:cs="Arial" w:hint="default"/>
      <w:b/>
      <w:bCs/>
      <w:color w:val="14247C"/>
      <w:sz w:val="17"/>
      <w:szCs w:val="17"/>
    </w:rPr>
  </w:style>
  <w:style w:type="paragraph" w:customStyle="1" w:styleId="Style6">
    <w:name w:val="Style6"/>
    <w:basedOn w:val="Heading4"/>
    <w:link w:val="Style6Char"/>
    <w:autoRedefine/>
    <w:rsid w:val="00783831"/>
    <w:pPr>
      <w:spacing w:before="120"/>
    </w:pPr>
    <w:rPr>
      <w:i/>
      <w:iCs/>
      <w:sz w:val="24"/>
      <w:szCs w:val="24"/>
      <w:lang w:val="lv-LV"/>
    </w:rPr>
  </w:style>
  <w:style w:type="character" w:customStyle="1" w:styleId="Style6Char">
    <w:name w:val="Style6 Char"/>
    <w:basedOn w:val="DefaultParagraphFont"/>
    <w:link w:val="Style6"/>
    <w:locked/>
    <w:rsid w:val="00783831"/>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783831"/>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783831"/>
    <w:pPr>
      <w:spacing w:after="120"/>
      <w:ind w:left="1440" w:right="1440"/>
    </w:pPr>
  </w:style>
  <w:style w:type="character" w:styleId="FollowedHyperlink">
    <w:name w:val="FollowedHyperlink"/>
    <w:basedOn w:val="DefaultParagraphFont"/>
    <w:rsid w:val="00783831"/>
    <w:rPr>
      <w:color w:val="800080"/>
      <w:u w:val="single"/>
    </w:rPr>
  </w:style>
  <w:style w:type="paragraph" w:customStyle="1" w:styleId="naiskr">
    <w:name w:val="naiskr"/>
    <w:basedOn w:val="Normal"/>
    <w:rsid w:val="00783831"/>
    <w:pPr>
      <w:spacing w:before="100" w:beforeAutospacing="1" w:after="100" w:afterAutospacing="1"/>
    </w:pPr>
    <w:rPr>
      <w:lang w:val="lv-LV"/>
    </w:rPr>
  </w:style>
  <w:style w:type="paragraph" w:customStyle="1" w:styleId="naisc">
    <w:name w:val="naisc"/>
    <w:basedOn w:val="Normal"/>
    <w:rsid w:val="00783831"/>
    <w:pPr>
      <w:spacing w:before="100" w:beforeAutospacing="1" w:after="100" w:afterAutospacing="1"/>
    </w:pPr>
    <w:rPr>
      <w:lang w:val="lv-LV"/>
    </w:rPr>
  </w:style>
  <w:style w:type="character" w:styleId="HTMLTypewriter">
    <w:name w:val="HTML Typewriter"/>
    <w:basedOn w:val="DefaultParagraphFont"/>
    <w:rsid w:val="00783831"/>
    <w:rPr>
      <w:rFonts w:ascii="Courier New" w:eastAsia="Times New Roman" w:hAnsi="Courier New" w:cs="Courier New"/>
      <w:sz w:val="20"/>
      <w:szCs w:val="20"/>
    </w:rPr>
  </w:style>
  <w:style w:type="paragraph" w:customStyle="1" w:styleId="NormalJustified">
    <w:name w:val="Normal + Justified"/>
    <w:basedOn w:val="Normal"/>
    <w:rsid w:val="00783831"/>
    <w:pPr>
      <w:jc w:val="both"/>
    </w:pPr>
    <w:rPr>
      <w:szCs w:val="20"/>
      <w:lang w:val="lv-LV" w:eastAsia="en-US"/>
    </w:rPr>
  </w:style>
  <w:style w:type="paragraph" w:styleId="EnvelopeReturn">
    <w:name w:val="envelope return"/>
    <w:basedOn w:val="Normal"/>
    <w:rsid w:val="00783831"/>
    <w:pPr>
      <w:keepLines/>
      <w:widowControl w:val="0"/>
      <w:spacing w:before="600"/>
    </w:pPr>
    <w:rPr>
      <w:sz w:val="26"/>
      <w:szCs w:val="20"/>
      <w:lang w:val="en-AU" w:eastAsia="en-US"/>
    </w:rPr>
  </w:style>
  <w:style w:type="paragraph" w:styleId="BalloonText">
    <w:name w:val="Balloon Text"/>
    <w:basedOn w:val="Normal"/>
    <w:link w:val="BalloonTextChar"/>
    <w:semiHidden/>
    <w:rsid w:val="00783831"/>
    <w:rPr>
      <w:rFonts w:ascii="Tahoma" w:eastAsia="PMingLiU" w:hAnsi="Tahoma"/>
      <w:sz w:val="16"/>
      <w:szCs w:val="16"/>
    </w:rPr>
  </w:style>
  <w:style w:type="character" w:customStyle="1" w:styleId="BalloonTextChar">
    <w:name w:val="Balloon Text Char"/>
    <w:basedOn w:val="DefaultParagraphFont"/>
    <w:link w:val="BalloonText"/>
    <w:semiHidden/>
    <w:rsid w:val="00783831"/>
    <w:rPr>
      <w:rFonts w:ascii="Tahoma" w:eastAsia="PMingLiU" w:hAnsi="Tahoma" w:cs="Times New Roman"/>
      <w:sz w:val="16"/>
      <w:szCs w:val="16"/>
      <w:lang w:val="ru-RU"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
    <w:basedOn w:val="Normal"/>
    <w:link w:val="FootnoteTextChar"/>
    <w:rsid w:val="00783831"/>
    <w:pPr>
      <w:ind w:firstLine="567"/>
      <w:jc w:val="both"/>
    </w:pPr>
    <w:rPr>
      <w:rFonts w:eastAsia="PMingLiU"/>
      <w:sz w:val="20"/>
      <w:szCs w:val="20"/>
      <w:lang w:val="lv-LV"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783831"/>
    <w:rPr>
      <w:rFonts w:ascii="Times New Roman" w:eastAsia="PMingLiU" w:hAnsi="Times New Roman" w:cs="Times New Roman"/>
      <w:sz w:val="20"/>
      <w:szCs w:val="20"/>
    </w:rPr>
  </w:style>
  <w:style w:type="paragraph" w:styleId="CommentText">
    <w:name w:val="annotation text"/>
    <w:basedOn w:val="Normal"/>
    <w:link w:val="CommentTextChar"/>
    <w:uiPriority w:val="99"/>
    <w:semiHidden/>
    <w:rsid w:val="00783831"/>
    <w:rPr>
      <w:rFonts w:eastAsia="PMingLiU"/>
      <w:sz w:val="20"/>
      <w:szCs w:val="20"/>
    </w:rPr>
  </w:style>
  <w:style w:type="character" w:customStyle="1" w:styleId="CommentTextChar">
    <w:name w:val="Comment Text Char"/>
    <w:basedOn w:val="DefaultParagraphFont"/>
    <w:link w:val="CommentText"/>
    <w:uiPriority w:val="99"/>
    <w:semiHidden/>
    <w:rsid w:val="00783831"/>
    <w:rPr>
      <w:rFonts w:ascii="Times New Roman" w:eastAsia="PMingLiU" w:hAnsi="Times New Roman" w:cs="Times New Roman"/>
      <w:sz w:val="20"/>
      <w:szCs w:val="20"/>
      <w:lang w:val="ru-RU" w:eastAsia="lv-LV"/>
    </w:rPr>
  </w:style>
  <w:style w:type="paragraph" w:styleId="CommentSubject">
    <w:name w:val="annotation subject"/>
    <w:basedOn w:val="CommentText"/>
    <w:next w:val="CommentText"/>
    <w:link w:val="CommentSubjectChar"/>
    <w:semiHidden/>
    <w:rsid w:val="00783831"/>
    <w:rPr>
      <w:b/>
      <w:bCs/>
    </w:rPr>
  </w:style>
  <w:style w:type="character" w:customStyle="1" w:styleId="CommentSubjectChar">
    <w:name w:val="Comment Subject Char"/>
    <w:basedOn w:val="CommentTextChar"/>
    <w:link w:val="CommentSubject"/>
    <w:semiHidden/>
    <w:rsid w:val="00783831"/>
    <w:rPr>
      <w:rFonts w:ascii="Times New Roman" w:eastAsia="PMingLiU" w:hAnsi="Times New Roman" w:cs="Times New Roman"/>
      <w:b/>
      <w:bCs/>
      <w:sz w:val="20"/>
      <w:szCs w:val="20"/>
      <w:lang w:val="ru-RU" w:eastAsia="lv-LV"/>
    </w:rPr>
  </w:style>
  <w:style w:type="character" w:styleId="FootnoteReference">
    <w:name w:val="footnote reference"/>
    <w:aliases w:val="Footnote Reference Number,Footnote Reference Superscript,Footnote symbol"/>
    <w:basedOn w:val="DefaultParagraphFont"/>
    <w:rsid w:val="00783831"/>
    <w:rPr>
      <w:vertAlign w:val="superscript"/>
    </w:rPr>
  </w:style>
  <w:style w:type="paragraph" w:customStyle="1" w:styleId="Default">
    <w:name w:val="Default"/>
    <w:link w:val="DefaultChar"/>
    <w:rsid w:val="0078383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7838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783831"/>
    <w:pPr>
      <w:spacing w:before="40"/>
    </w:pPr>
    <w:rPr>
      <w:lang w:val="pl-PL" w:eastAsia="pl-PL"/>
    </w:rPr>
  </w:style>
  <w:style w:type="paragraph" w:customStyle="1" w:styleId="Char2">
    <w:name w:val="Char2"/>
    <w:basedOn w:val="Normal"/>
    <w:rsid w:val="0078383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783831"/>
    <w:rPr>
      <w:rFonts w:ascii="Courier New" w:hAnsi="Courier New"/>
      <w:sz w:val="20"/>
      <w:szCs w:val="20"/>
      <w:lang w:val="lv-LV" w:bidi="lo-LA"/>
    </w:rPr>
  </w:style>
  <w:style w:type="character" w:customStyle="1" w:styleId="PlainTextChar">
    <w:name w:val="Plain Text Char"/>
    <w:basedOn w:val="DefaultParagraphFont"/>
    <w:link w:val="PlainText"/>
    <w:uiPriority w:val="99"/>
    <w:rsid w:val="00783831"/>
    <w:rPr>
      <w:rFonts w:ascii="Courier New" w:eastAsia="Times New Roman" w:hAnsi="Courier New" w:cs="Times New Roman"/>
      <w:sz w:val="20"/>
      <w:szCs w:val="20"/>
      <w:lang w:eastAsia="lv-LV" w:bidi="lo-LA"/>
    </w:rPr>
  </w:style>
  <w:style w:type="paragraph" w:styleId="DocumentMap">
    <w:name w:val="Document Map"/>
    <w:basedOn w:val="Normal"/>
    <w:link w:val="DocumentMapChar"/>
    <w:semiHidden/>
    <w:rsid w:val="007838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83831"/>
    <w:rPr>
      <w:rFonts w:ascii="Tahoma" w:eastAsia="Times New Roman" w:hAnsi="Tahoma" w:cs="Tahoma"/>
      <w:sz w:val="20"/>
      <w:szCs w:val="20"/>
      <w:shd w:val="clear" w:color="auto" w:fill="000080"/>
      <w:lang w:val="ru-RU" w:eastAsia="lv-LV"/>
    </w:rPr>
  </w:style>
  <w:style w:type="paragraph" w:styleId="EndnoteText">
    <w:name w:val="endnote text"/>
    <w:basedOn w:val="Normal"/>
    <w:link w:val="EndnoteTextChar"/>
    <w:rsid w:val="00783831"/>
    <w:rPr>
      <w:sz w:val="20"/>
      <w:szCs w:val="20"/>
    </w:rPr>
  </w:style>
  <w:style w:type="character" w:customStyle="1" w:styleId="EndnoteTextChar">
    <w:name w:val="Endnote Text Char"/>
    <w:basedOn w:val="DefaultParagraphFont"/>
    <w:link w:val="EndnoteText"/>
    <w:rsid w:val="00783831"/>
    <w:rPr>
      <w:rFonts w:ascii="Times New Roman" w:eastAsia="Times New Roman" w:hAnsi="Times New Roman" w:cs="Times New Roman"/>
      <w:sz w:val="20"/>
      <w:szCs w:val="20"/>
      <w:lang w:val="ru-RU" w:eastAsia="lv-LV"/>
    </w:rPr>
  </w:style>
  <w:style w:type="character" w:styleId="EndnoteReference">
    <w:name w:val="endnote reference"/>
    <w:basedOn w:val="DefaultParagraphFont"/>
    <w:rsid w:val="00783831"/>
    <w:rPr>
      <w:vertAlign w:val="superscript"/>
    </w:rPr>
  </w:style>
  <w:style w:type="character" w:customStyle="1" w:styleId="DefaultChar">
    <w:name w:val="Default Char"/>
    <w:basedOn w:val="DefaultParagraphFont"/>
    <w:link w:val="Default"/>
    <w:locked/>
    <w:rsid w:val="00783831"/>
    <w:rPr>
      <w:rFonts w:ascii="Times New Roman" w:eastAsia="Times New Roman" w:hAnsi="Times New Roman" w:cs="Times New Roman"/>
      <w:color w:val="000000"/>
      <w:sz w:val="24"/>
      <w:szCs w:val="24"/>
      <w:lang w:eastAsia="lv-LV"/>
    </w:rPr>
  </w:style>
  <w:style w:type="table" w:styleId="MediumList1-Accent3">
    <w:name w:val="Medium List 1 Accent 3"/>
    <w:basedOn w:val="TableNormal"/>
    <w:uiPriority w:val="65"/>
    <w:rsid w:val="0078383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783831"/>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val="lv-LV" w:eastAsia="en-US"/>
    </w:rPr>
  </w:style>
  <w:style w:type="paragraph" w:customStyle="1" w:styleId="Rakstz">
    <w:name w:val="Rakstz."/>
    <w:basedOn w:val="Normal"/>
    <w:semiHidden/>
    <w:rsid w:val="00783831"/>
    <w:pPr>
      <w:spacing w:after="160" w:line="240" w:lineRule="exact"/>
    </w:pPr>
    <w:rPr>
      <w:rFonts w:ascii="Verdana" w:hAnsi="Verdana"/>
      <w:sz w:val="20"/>
      <w:szCs w:val="20"/>
      <w:lang w:val="lv-LV"/>
    </w:rPr>
  </w:style>
  <w:style w:type="character" w:customStyle="1" w:styleId="longtext1">
    <w:name w:val="long_text1"/>
    <w:basedOn w:val="DefaultParagraphFont"/>
    <w:rsid w:val="00783831"/>
    <w:rPr>
      <w:sz w:val="12"/>
      <w:szCs w:val="12"/>
    </w:rPr>
  </w:style>
  <w:style w:type="character" w:customStyle="1" w:styleId="apple-style-span">
    <w:name w:val="apple-style-span"/>
    <w:basedOn w:val="DefaultParagraphFont"/>
    <w:rsid w:val="00783831"/>
  </w:style>
  <w:style w:type="character" w:customStyle="1" w:styleId="apple-converted-space">
    <w:name w:val="apple-converted-space"/>
    <w:basedOn w:val="DefaultParagraphFont"/>
    <w:rsid w:val="00783831"/>
  </w:style>
  <w:style w:type="character" w:customStyle="1" w:styleId="ListParagraphChar">
    <w:name w:val="List Paragraph Char"/>
    <w:link w:val="ListParagraph"/>
    <w:uiPriority w:val="34"/>
    <w:locked/>
    <w:rsid w:val="00783831"/>
    <w:rPr>
      <w:rFonts w:ascii="Calibri" w:eastAsia="Calibri" w:hAnsi="Calibri" w:cs="Times New Roman"/>
      <w:lang w:val="ru-RU"/>
    </w:rPr>
  </w:style>
  <w:style w:type="character" w:customStyle="1" w:styleId="googqs-tidbit1">
    <w:name w:val="goog_qs-tidbit1"/>
    <w:basedOn w:val="DefaultParagraphFont"/>
    <w:rsid w:val="00783831"/>
    <w:rPr>
      <w:vanish w:val="0"/>
      <w:webHidden w:val="0"/>
      <w:specVanish w:val="0"/>
    </w:rPr>
  </w:style>
  <w:style w:type="character" w:customStyle="1" w:styleId="googqs-tidbit-0">
    <w:name w:val="goog_qs-tidbit-0"/>
    <w:basedOn w:val="DefaultParagraphFont"/>
    <w:rsid w:val="00783831"/>
  </w:style>
  <w:style w:type="character" w:customStyle="1" w:styleId="paracolourtext">
    <w:name w:val="paracolourtext"/>
    <w:basedOn w:val="DefaultParagraphFont"/>
    <w:rsid w:val="00783831"/>
  </w:style>
  <w:style w:type="character" w:styleId="CommentReference">
    <w:name w:val="annotation reference"/>
    <w:basedOn w:val="DefaultParagraphFont"/>
    <w:uiPriority w:val="99"/>
    <w:rsid w:val="00783831"/>
    <w:rPr>
      <w:rFonts w:cs="Times New Roman"/>
      <w:sz w:val="16"/>
      <w:szCs w:val="16"/>
    </w:rPr>
  </w:style>
  <w:style w:type="character" w:customStyle="1" w:styleId="ft">
    <w:name w:val="ft"/>
    <w:basedOn w:val="DefaultParagraphFont"/>
    <w:rsid w:val="00783831"/>
  </w:style>
  <w:style w:type="paragraph" w:styleId="TOC2">
    <w:name w:val="toc 2"/>
    <w:basedOn w:val="Normal"/>
    <w:next w:val="Normal"/>
    <w:autoRedefine/>
    <w:uiPriority w:val="39"/>
    <w:rsid w:val="00783831"/>
    <w:pPr>
      <w:tabs>
        <w:tab w:val="right" w:leader="dot" w:pos="9061"/>
      </w:tabs>
      <w:spacing w:after="100" w:line="276" w:lineRule="auto"/>
      <w:ind w:left="220"/>
    </w:pPr>
    <w:rPr>
      <w:rFonts w:eastAsia="Calibri"/>
      <w:noProof/>
      <w:lang w:val="lv-LV" w:eastAsia="en-US"/>
    </w:rPr>
  </w:style>
  <w:style w:type="paragraph" w:styleId="TOC1">
    <w:name w:val="toc 1"/>
    <w:basedOn w:val="Normal"/>
    <w:next w:val="Normal"/>
    <w:autoRedefine/>
    <w:uiPriority w:val="39"/>
    <w:rsid w:val="00783831"/>
    <w:pPr>
      <w:tabs>
        <w:tab w:val="right" w:leader="dot" w:pos="9105"/>
      </w:tabs>
      <w:spacing w:after="100" w:line="276" w:lineRule="auto"/>
    </w:pPr>
    <w:rPr>
      <w:rFonts w:eastAsia="Calibri"/>
      <w:b/>
      <w:bCs/>
      <w:noProof/>
      <w:color w:val="000000"/>
      <w:lang w:val="lv-LV" w:eastAsia="ja-JP"/>
    </w:rPr>
  </w:style>
  <w:style w:type="character" w:customStyle="1" w:styleId="hps">
    <w:name w:val="hps"/>
    <w:basedOn w:val="DefaultParagraphFont"/>
    <w:rsid w:val="00783831"/>
    <w:rPr>
      <w:rFonts w:cs="Times New Roman"/>
    </w:rPr>
  </w:style>
  <w:style w:type="paragraph" w:styleId="NoSpacing">
    <w:name w:val="No Spacing"/>
    <w:uiPriority w:val="99"/>
    <w:qFormat/>
    <w:rsid w:val="00783831"/>
    <w:pPr>
      <w:spacing w:after="0" w:line="240" w:lineRule="auto"/>
    </w:pPr>
    <w:rPr>
      <w:rFonts w:ascii="Times New Roman" w:eastAsia="MS Mincho" w:hAnsi="Times New Roman" w:cs="Times New Roman"/>
      <w:sz w:val="24"/>
      <w:szCs w:val="24"/>
      <w:lang w:eastAsia="ja-JP"/>
    </w:rPr>
  </w:style>
  <w:style w:type="paragraph" w:customStyle="1" w:styleId="Pa16">
    <w:name w:val="Pa16"/>
    <w:basedOn w:val="Normal"/>
    <w:uiPriority w:val="99"/>
    <w:rsid w:val="00783831"/>
    <w:pPr>
      <w:autoSpaceDE w:val="0"/>
      <w:autoSpaceDN w:val="0"/>
      <w:spacing w:before="80" w:line="181" w:lineRule="atLeast"/>
    </w:pPr>
    <w:rPr>
      <w:rFonts w:eastAsiaTheme="minorHAnsi"/>
      <w:lang w:val="lv-LV"/>
    </w:rPr>
  </w:style>
  <w:style w:type="character" w:customStyle="1" w:styleId="leftside">
    <w:name w:val="left_side"/>
    <w:basedOn w:val="DefaultParagraphFont"/>
    <w:rsid w:val="00783831"/>
  </w:style>
  <w:style w:type="paragraph" w:customStyle="1" w:styleId="tvhtml">
    <w:name w:val="tv_html"/>
    <w:basedOn w:val="Normal"/>
    <w:rsid w:val="00783831"/>
    <w:pPr>
      <w:spacing w:before="100" w:beforeAutospacing="1" w:after="100" w:afterAutospacing="1"/>
    </w:pPr>
    <w:rPr>
      <w:rFonts w:ascii="Verdana" w:hAnsi="Verdana"/>
      <w:sz w:val="18"/>
      <w:szCs w:val="18"/>
      <w:lang w:val="lv-LV"/>
    </w:rPr>
  </w:style>
  <w:style w:type="character" w:customStyle="1" w:styleId="st1">
    <w:name w:val="st1"/>
    <w:basedOn w:val="DefaultParagraphFont"/>
    <w:rsid w:val="00783831"/>
  </w:style>
  <w:style w:type="character" w:customStyle="1" w:styleId="cspklasifikatorscodename">
    <w:name w:val="csp_klasifikators_code_name"/>
    <w:basedOn w:val="DefaultParagraphFont"/>
    <w:rsid w:val="00783831"/>
  </w:style>
  <w:style w:type="character" w:customStyle="1" w:styleId="body1">
    <w:name w:val="body1"/>
    <w:basedOn w:val="DefaultParagraphFont"/>
    <w:rsid w:val="00783831"/>
    <w:rPr>
      <w:rFonts w:ascii="Verdana" w:hAnsi="Verdana" w:hint="default"/>
      <w:sz w:val="17"/>
      <w:szCs w:val="17"/>
    </w:rPr>
  </w:style>
  <w:style w:type="character" w:customStyle="1" w:styleId="fontsize2">
    <w:name w:val="fontsize2"/>
    <w:basedOn w:val="DefaultParagraphFont"/>
    <w:rsid w:val="00783831"/>
  </w:style>
  <w:style w:type="paragraph" w:styleId="TOC3">
    <w:name w:val="toc 3"/>
    <w:basedOn w:val="Normal"/>
    <w:next w:val="Normal"/>
    <w:autoRedefine/>
    <w:uiPriority w:val="39"/>
    <w:rsid w:val="00783831"/>
    <w:pPr>
      <w:tabs>
        <w:tab w:val="right" w:leader="dot" w:pos="9061"/>
      </w:tabs>
      <w:spacing w:after="100"/>
      <w:ind w:left="480"/>
    </w:pPr>
    <w:rPr>
      <w:rFonts w:eastAsia="Calibri"/>
      <w:noProof/>
      <w:lang w:val="lv-LV"/>
    </w:rPr>
  </w:style>
  <w:style w:type="table" w:styleId="ColorfulList-Accent3">
    <w:name w:val="Colorful List Accent 3"/>
    <w:basedOn w:val="TableNormal"/>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7838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38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31">
    <w:name w:val="Colorful List - Accent 31"/>
    <w:basedOn w:val="TableNormal"/>
    <w:next w:val="ColorfulList-Accent3"/>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32">
    <w:name w:val="Colorful List - Accent 32"/>
    <w:basedOn w:val="TableNormal"/>
    <w:next w:val="ColorfulList-Accent3"/>
    <w:uiPriority w:val="72"/>
    <w:rsid w:val="00783831"/>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Shading-Accent3">
    <w:name w:val="Light Shading Accent 3"/>
    <w:basedOn w:val="TableNormal"/>
    <w:uiPriority w:val="60"/>
    <w:rsid w:val="007838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6D36CA"/>
    <w:pPr>
      <w:spacing w:after="0" w:line="240" w:lineRule="auto"/>
    </w:pPr>
    <w:rPr>
      <w:rFonts w:ascii="Times New Roman" w:eastAsia="Times New Roman" w:hAnsi="Times New Roman" w:cs="Times New Roman"/>
      <w:sz w:val="24"/>
      <w:szCs w:val="24"/>
      <w:lang w:val="ru-RU" w:eastAsia="lv-LV"/>
    </w:rPr>
  </w:style>
  <w:style w:type="paragraph" w:customStyle="1" w:styleId="StyleHeading2TimesNewRoman12ptNotItalicCentered">
    <w:name w:val="Style Heading 2 + Times New Roman 12 pt Not Italic Centered"/>
    <w:basedOn w:val="Heading2"/>
    <w:rsid w:val="00E165B1"/>
    <w:pPr>
      <w:spacing w:before="360" w:after="240"/>
      <w:jc w:val="center"/>
    </w:pPr>
    <w:rPr>
      <w:rFonts w:cs="Times New Roman"/>
      <w:iCs w:val="0"/>
      <w:szCs w:val="20"/>
      <w:lang w:val="lv-LV"/>
    </w:rPr>
  </w:style>
  <w:style w:type="paragraph" w:customStyle="1" w:styleId="Attels">
    <w:name w:val="Attels"/>
    <w:basedOn w:val="PlainText"/>
    <w:rsid w:val="00E165B1"/>
    <w:pPr>
      <w:spacing w:before="120"/>
      <w:jc w:val="center"/>
    </w:pPr>
    <w:rPr>
      <w:rFonts w:ascii="Times New Roman" w:hAnsi="Times New Roman" w:cs="Courier New"/>
      <w:b/>
      <w:i/>
      <w:sz w:val="22"/>
      <w:lang w:bidi="ar-SA"/>
    </w:rPr>
  </w:style>
  <w:style w:type="paragraph" w:customStyle="1" w:styleId="Attelaatsauce">
    <w:name w:val="Attela atsauce"/>
    <w:basedOn w:val="Normal"/>
    <w:rsid w:val="00E165B1"/>
    <w:pPr>
      <w:spacing w:after="240"/>
      <w:jc w:val="center"/>
    </w:pPr>
    <w:rPr>
      <w:sz w:val="20"/>
      <w:szCs w:val="20"/>
      <w:lang w:val="lv-LV"/>
    </w:rPr>
  </w:style>
  <w:style w:type="character" w:customStyle="1" w:styleId="st">
    <w:name w:val="st"/>
    <w:basedOn w:val="DefaultParagraphFont"/>
    <w:rsid w:val="0064545A"/>
  </w:style>
  <w:style w:type="paragraph" w:customStyle="1" w:styleId="Parasts1">
    <w:name w:val="Parasts1"/>
    <w:rsid w:val="00CF293E"/>
    <w:pPr>
      <w:suppressAutoHyphens/>
      <w:autoSpaceDN w:val="0"/>
    </w:pPr>
    <w:rPr>
      <w:rFonts w:ascii="Calibri" w:eastAsia="Times New Roman" w:hAnsi="Calibri" w:cs="Times New Roman"/>
    </w:rPr>
  </w:style>
  <w:style w:type="paragraph" w:customStyle="1" w:styleId="Paraststmeklis1">
    <w:name w:val="Parasts (tīmeklis)1"/>
    <w:basedOn w:val="Parasts1"/>
    <w:rsid w:val="00CF293E"/>
    <w:pPr>
      <w:spacing w:before="100" w:after="100" w:line="240" w:lineRule="auto"/>
    </w:pPr>
    <w:rPr>
      <w:rFonts w:ascii="Times New Roman" w:eastAsia="Calibri" w:hAnsi="Times New Roman"/>
      <w:sz w:val="24"/>
      <w:szCs w:val="24"/>
      <w:lang w:eastAsia="lv-LV"/>
    </w:rPr>
  </w:style>
  <w:style w:type="paragraph" w:customStyle="1" w:styleId="tv213">
    <w:name w:val="tv213"/>
    <w:basedOn w:val="Normal"/>
    <w:rsid w:val="00F51D77"/>
    <w:pPr>
      <w:spacing w:before="100" w:beforeAutospacing="1" w:after="100" w:afterAutospacing="1"/>
    </w:pPr>
    <w:rPr>
      <w:lang w:val="lv-LV"/>
    </w:rPr>
  </w:style>
  <w:style w:type="paragraph" w:styleId="TOCHeading">
    <w:name w:val="TOC Heading"/>
    <w:basedOn w:val="Heading1"/>
    <w:next w:val="Normal"/>
    <w:uiPriority w:val="39"/>
    <w:unhideWhenUsed/>
    <w:qFormat/>
    <w:rsid w:val="00CD1F8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nolink">
    <w:name w:val="nolink"/>
    <w:basedOn w:val="DefaultParagraphFont"/>
    <w:rsid w:val="0010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9447">
      <w:bodyDiv w:val="1"/>
      <w:marLeft w:val="0"/>
      <w:marRight w:val="0"/>
      <w:marTop w:val="0"/>
      <w:marBottom w:val="0"/>
      <w:divBdr>
        <w:top w:val="none" w:sz="0" w:space="0" w:color="auto"/>
        <w:left w:val="none" w:sz="0" w:space="0" w:color="auto"/>
        <w:bottom w:val="none" w:sz="0" w:space="0" w:color="auto"/>
        <w:right w:val="none" w:sz="0" w:space="0" w:color="auto"/>
      </w:divBdr>
    </w:div>
    <w:div w:id="402221728">
      <w:bodyDiv w:val="1"/>
      <w:marLeft w:val="0"/>
      <w:marRight w:val="0"/>
      <w:marTop w:val="0"/>
      <w:marBottom w:val="0"/>
      <w:divBdr>
        <w:top w:val="none" w:sz="0" w:space="0" w:color="auto"/>
        <w:left w:val="none" w:sz="0" w:space="0" w:color="auto"/>
        <w:bottom w:val="none" w:sz="0" w:space="0" w:color="auto"/>
        <w:right w:val="none" w:sz="0" w:space="0" w:color="auto"/>
      </w:divBdr>
    </w:div>
    <w:div w:id="811285764">
      <w:bodyDiv w:val="1"/>
      <w:marLeft w:val="0"/>
      <w:marRight w:val="0"/>
      <w:marTop w:val="0"/>
      <w:marBottom w:val="0"/>
      <w:divBdr>
        <w:top w:val="none" w:sz="0" w:space="0" w:color="auto"/>
        <w:left w:val="none" w:sz="0" w:space="0" w:color="auto"/>
        <w:bottom w:val="none" w:sz="0" w:space="0" w:color="auto"/>
        <w:right w:val="none" w:sz="0" w:space="0" w:color="auto"/>
      </w:divBdr>
    </w:div>
    <w:div w:id="1068305779">
      <w:bodyDiv w:val="1"/>
      <w:marLeft w:val="0"/>
      <w:marRight w:val="0"/>
      <w:marTop w:val="0"/>
      <w:marBottom w:val="0"/>
      <w:divBdr>
        <w:top w:val="none" w:sz="0" w:space="0" w:color="auto"/>
        <w:left w:val="none" w:sz="0" w:space="0" w:color="auto"/>
        <w:bottom w:val="none" w:sz="0" w:space="0" w:color="auto"/>
        <w:right w:val="none" w:sz="0" w:space="0" w:color="auto"/>
      </w:divBdr>
    </w:div>
    <w:div w:id="1162770081">
      <w:bodyDiv w:val="1"/>
      <w:marLeft w:val="0"/>
      <w:marRight w:val="0"/>
      <w:marTop w:val="0"/>
      <w:marBottom w:val="0"/>
      <w:divBdr>
        <w:top w:val="none" w:sz="0" w:space="0" w:color="auto"/>
        <w:left w:val="none" w:sz="0" w:space="0" w:color="auto"/>
        <w:bottom w:val="none" w:sz="0" w:space="0" w:color="auto"/>
        <w:right w:val="none" w:sz="0" w:space="0" w:color="auto"/>
      </w:divBdr>
    </w:div>
    <w:div w:id="1215773606">
      <w:bodyDiv w:val="1"/>
      <w:marLeft w:val="0"/>
      <w:marRight w:val="0"/>
      <w:marTop w:val="0"/>
      <w:marBottom w:val="0"/>
      <w:divBdr>
        <w:top w:val="none" w:sz="0" w:space="0" w:color="auto"/>
        <w:left w:val="none" w:sz="0" w:space="0" w:color="auto"/>
        <w:bottom w:val="none" w:sz="0" w:space="0" w:color="auto"/>
        <w:right w:val="none" w:sz="0" w:space="0" w:color="auto"/>
      </w:divBdr>
    </w:div>
    <w:div w:id="1426996330">
      <w:bodyDiv w:val="1"/>
      <w:marLeft w:val="0"/>
      <w:marRight w:val="0"/>
      <w:marTop w:val="0"/>
      <w:marBottom w:val="0"/>
      <w:divBdr>
        <w:top w:val="none" w:sz="0" w:space="0" w:color="auto"/>
        <w:left w:val="none" w:sz="0" w:space="0" w:color="auto"/>
        <w:bottom w:val="none" w:sz="0" w:space="0" w:color="auto"/>
        <w:right w:val="none" w:sz="0" w:space="0" w:color="auto"/>
      </w:divBdr>
    </w:div>
    <w:div w:id="1674911279">
      <w:bodyDiv w:val="1"/>
      <w:marLeft w:val="0"/>
      <w:marRight w:val="0"/>
      <w:marTop w:val="0"/>
      <w:marBottom w:val="0"/>
      <w:divBdr>
        <w:top w:val="none" w:sz="0" w:space="0" w:color="auto"/>
        <w:left w:val="none" w:sz="0" w:space="0" w:color="auto"/>
        <w:bottom w:val="none" w:sz="0" w:space="0" w:color="auto"/>
        <w:right w:val="none" w:sz="0" w:space="0" w:color="auto"/>
      </w:divBdr>
      <w:divsChild>
        <w:div w:id="1546520597">
          <w:marLeft w:val="0"/>
          <w:marRight w:val="0"/>
          <w:marTop w:val="0"/>
          <w:marBottom w:val="0"/>
          <w:divBdr>
            <w:top w:val="none" w:sz="0" w:space="0" w:color="auto"/>
            <w:left w:val="none" w:sz="0" w:space="0" w:color="auto"/>
            <w:bottom w:val="none" w:sz="0" w:space="0" w:color="auto"/>
            <w:right w:val="none" w:sz="0" w:space="0" w:color="auto"/>
          </w:divBdr>
        </w:div>
        <w:div w:id="304622010">
          <w:marLeft w:val="0"/>
          <w:marRight w:val="0"/>
          <w:marTop w:val="0"/>
          <w:marBottom w:val="0"/>
          <w:divBdr>
            <w:top w:val="none" w:sz="0" w:space="0" w:color="auto"/>
            <w:left w:val="none" w:sz="0" w:space="0" w:color="auto"/>
            <w:bottom w:val="none" w:sz="0" w:space="0" w:color="auto"/>
            <w:right w:val="none" w:sz="0" w:space="0" w:color="auto"/>
          </w:divBdr>
        </w:div>
        <w:div w:id="1636641428">
          <w:marLeft w:val="0"/>
          <w:marRight w:val="0"/>
          <w:marTop w:val="0"/>
          <w:marBottom w:val="0"/>
          <w:divBdr>
            <w:top w:val="none" w:sz="0" w:space="0" w:color="auto"/>
            <w:left w:val="none" w:sz="0" w:space="0" w:color="auto"/>
            <w:bottom w:val="none" w:sz="0" w:space="0" w:color="auto"/>
            <w:right w:val="none" w:sz="0" w:space="0" w:color="auto"/>
          </w:divBdr>
        </w:div>
        <w:div w:id="263804366">
          <w:marLeft w:val="0"/>
          <w:marRight w:val="0"/>
          <w:marTop w:val="0"/>
          <w:marBottom w:val="0"/>
          <w:divBdr>
            <w:top w:val="none" w:sz="0" w:space="0" w:color="auto"/>
            <w:left w:val="none" w:sz="0" w:space="0" w:color="auto"/>
            <w:bottom w:val="none" w:sz="0" w:space="0" w:color="auto"/>
            <w:right w:val="none" w:sz="0" w:space="0" w:color="auto"/>
          </w:divBdr>
        </w:div>
      </w:divsChild>
    </w:div>
    <w:div w:id="1679191241">
      <w:bodyDiv w:val="1"/>
      <w:marLeft w:val="0"/>
      <w:marRight w:val="0"/>
      <w:marTop w:val="0"/>
      <w:marBottom w:val="0"/>
      <w:divBdr>
        <w:top w:val="none" w:sz="0" w:space="0" w:color="auto"/>
        <w:left w:val="none" w:sz="0" w:space="0" w:color="auto"/>
        <w:bottom w:val="none" w:sz="0" w:space="0" w:color="auto"/>
        <w:right w:val="none" w:sz="0" w:space="0" w:color="auto"/>
      </w:divBdr>
    </w:div>
    <w:div w:id="1888178094">
      <w:bodyDiv w:val="1"/>
      <w:marLeft w:val="0"/>
      <w:marRight w:val="0"/>
      <w:marTop w:val="0"/>
      <w:marBottom w:val="0"/>
      <w:divBdr>
        <w:top w:val="none" w:sz="0" w:space="0" w:color="auto"/>
        <w:left w:val="none" w:sz="0" w:space="0" w:color="auto"/>
        <w:bottom w:val="none" w:sz="0" w:space="0" w:color="auto"/>
        <w:right w:val="none" w:sz="0" w:space="0" w:color="auto"/>
      </w:divBdr>
    </w:div>
    <w:div w:id="2043628450">
      <w:bodyDiv w:val="1"/>
      <w:marLeft w:val="0"/>
      <w:marRight w:val="0"/>
      <w:marTop w:val="0"/>
      <w:marBottom w:val="0"/>
      <w:divBdr>
        <w:top w:val="none" w:sz="0" w:space="0" w:color="auto"/>
        <w:left w:val="none" w:sz="0" w:space="0" w:color="auto"/>
        <w:bottom w:val="none" w:sz="0" w:space="0" w:color="auto"/>
        <w:right w:val="none" w:sz="0" w:space="0" w:color="auto"/>
      </w:divBdr>
    </w:div>
    <w:div w:id="2055617034">
      <w:bodyDiv w:val="1"/>
      <w:marLeft w:val="0"/>
      <w:marRight w:val="0"/>
      <w:marTop w:val="0"/>
      <w:marBottom w:val="0"/>
      <w:divBdr>
        <w:top w:val="none" w:sz="0" w:space="0" w:color="auto"/>
        <w:left w:val="none" w:sz="0" w:space="0" w:color="auto"/>
        <w:bottom w:val="none" w:sz="0" w:space="0" w:color="auto"/>
        <w:right w:val="none" w:sz="0" w:space="0" w:color="auto"/>
      </w:divBdr>
      <w:divsChild>
        <w:div w:id="1628076475">
          <w:marLeft w:val="0"/>
          <w:marRight w:val="0"/>
          <w:marTop w:val="0"/>
          <w:marBottom w:val="0"/>
          <w:divBdr>
            <w:top w:val="none" w:sz="0" w:space="0" w:color="auto"/>
            <w:left w:val="none" w:sz="0" w:space="0" w:color="auto"/>
            <w:bottom w:val="none" w:sz="0" w:space="0" w:color="auto"/>
            <w:right w:val="none" w:sz="0" w:space="0" w:color="auto"/>
          </w:divBdr>
        </w:div>
        <w:div w:id="590897472">
          <w:marLeft w:val="0"/>
          <w:marRight w:val="0"/>
          <w:marTop w:val="0"/>
          <w:marBottom w:val="0"/>
          <w:divBdr>
            <w:top w:val="none" w:sz="0" w:space="0" w:color="auto"/>
            <w:left w:val="none" w:sz="0" w:space="0" w:color="auto"/>
            <w:bottom w:val="none" w:sz="0" w:space="0" w:color="auto"/>
            <w:right w:val="none" w:sz="0" w:space="0" w:color="auto"/>
          </w:divBdr>
        </w:div>
        <w:div w:id="1875576750">
          <w:marLeft w:val="0"/>
          <w:marRight w:val="0"/>
          <w:marTop w:val="0"/>
          <w:marBottom w:val="0"/>
          <w:divBdr>
            <w:top w:val="none" w:sz="0" w:space="0" w:color="auto"/>
            <w:left w:val="none" w:sz="0" w:space="0" w:color="auto"/>
            <w:bottom w:val="none" w:sz="0" w:space="0" w:color="auto"/>
            <w:right w:val="none" w:sz="0" w:space="0" w:color="auto"/>
          </w:divBdr>
        </w:div>
        <w:div w:id="444693758">
          <w:marLeft w:val="0"/>
          <w:marRight w:val="0"/>
          <w:marTop w:val="0"/>
          <w:marBottom w:val="0"/>
          <w:divBdr>
            <w:top w:val="none" w:sz="0" w:space="0" w:color="auto"/>
            <w:left w:val="none" w:sz="0" w:space="0" w:color="auto"/>
            <w:bottom w:val="none" w:sz="0" w:space="0" w:color="auto"/>
            <w:right w:val="none" w:sz="0" w:space="0" w:color="auto"/>
          </w:divBdr>
        </w:div>
        <w:div w:id="1334649107">
          <w:marLeft w:val="0"/>
          <w:marRight w:val="0"/>
          <w:marTop w:val="0"/>
          <w:marBottom w:val="0"/>
          <w:divBdr>
            <w:top w:val="none" w:sz="0" w:space="0" w:color="auto"/>
            <w:left w:val="none" w:sz="0" w:space="0" w:color="auto"/>
            <w:bottom w:val="none" w:sz="0" w:space="0" w:color="auto"/>
            <w:right w:val="none" w:sz="0" w:space="0" w:color="auto"/>
          </w:divBdr>
        </w:div>
      </w:divsChild>
    </w:div>
    <w:div w:id="2061321659">
      <w:bodyDiv w:val="1"/>
      <w:marLeft w:val="0"/>
      <w:marRight w:val="0"/>
      <w:marTop w:val="0"/>
      <w:marBottom w:val="0"/>
      <w:divBdr>
        <w:top w:val="none" w:sz="0" w:space="0" w:color="auto"/>
        <w:left w:val="none" w:sz="0" w:space="0" w:color="auto"/>
        <w:bottom w:val="none" w:sz="0" w:space="0" w:color="auto"/>
        <w:right w:val="none" w:sz="0" w:space="0" w:color="auto"/>
      </w:divBdr>
      <w:divsChild>
        <w:div w:id="2032796315">
          <w:marLeft w:val="0"/>
          <w:marRight w:val="0"/>
          <w:marTop w:val="0"/>
          <w:marBottom w:val="0"/>
          <w:divBdr>
            <w:top w:val="none" w:sz="0" w:space="0" w:color="auto"/>
            <w:left w:val="none" w:sz="0" w:space="0" w:color="auto"/>
            <w:bottom w:val="none" w:sz="0" w:space="0" w:color="auto"/>
            <w:right w:val="none" w:sz="0" w:space="0" w:color="auto"/>
          </w:divBdr>
          <w:divsChild>
            <w:div w:id="1575579000">
              <w:marLeft w:val="0"/>
              <w:marRight w:val="0"/>
              <w:marTop w:val="0"/>
              <w:marBottom w:val="0"/>
              <w:divBdr>
                <w:top w:val="none" w:sz="0" w:space="0" w:color="auto"/>
                <w:left w:val="none" w:sz="0" w:space="0" w:color="auto"/>
                <w:bottom w:val="none" w:sz="0" w:space="0" w:color="auto"/>
                <w:right w:val="none" w:sz="0" w:space="0" w:color="auto"/>
              </w:divBdr>
            </w:div>
            <w:div w:id="1071732485">
              <w:marLeft w:val="0"/>
              <w:marRight w:val="0"/>
              <w:marTop w:val="0"/>
              <w:marBottom w:val="0"/>
              <w:divBdr>
                <w:top w:val="none" w:sz="0" w:space="0" w:color="auto"/>
                <w:left w:val="none" w:sz="0" w:space="0" w:color="auto"/>
                <w:bottom w:val="none" w:sz="0" w:space="0" w:color="auto"/>
                <w:right w:val="none" w:sz="0" w:space="0" w:color="auto"/>
              </w:divBdr>
            </w:div>
            <w:div w:id="75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7694">
      <w:bodyDiv w:val="1"/>
      <w:marLeft w:val="0"/>
      <w:marRight w:val="0"/>
      <w:marTop w:val="0"/>
      <w:marBottom w:val="0"/>
      <w:divBdr>
        <w:top w:val="none" w:sz="0" w:space="0" w:color="auto"/>
        <w:left w:val="none" w:sz="0" w:space="0" w:color="auto"/>
        <w:bottom w:val="none" w:sz="0" w:space="0" w:color="auto"/>
        <w:right w:val="none" w:sz="0" w:space="0" w:color="auto"/>
      </w:divBdr>
      <w:divsChild>
        <w:div w:id="708529624">
          <w:marLeft w:val="0"/>
          <w:marRight w:val="0"/>
          <w:marTop w:val="0"/>
          <w:marBottom w:val="0"/>
          <w:divBdr>
            <w:top w:val="none" w:sz="0" w:space="0" w:color="auto"/>
            <w:left w:val="none" w:sz="0" w:space="0" w:color="auto"/>
            <w:bottom w:val="none" w:sz="0" w:space="0" w:color="auto"/>
            <w:right w:val="none" w:sz="0" w:space="0" w:color="auto"/>
          </w:divBdr>
        </w:div>
        <w:div w:id="1846286337">
          <w:marLeft w:val="0"/>
          <w:marRight w:val="0"/>
          <w:marTop w:val="0"/>
          <w:marBottom w:val="0"/>
          <w:divBdr>
            <w:top w:val="none" w:sz="0" w:space="0" w:color="auto"/>
            <w:left w:val="none" w:sz="0" w:space="0" w:color="auto"/>
            <w:bottom w:val="none" w:sz="0" w:space="0" w:color="auto"/>
            <w:right w:val="none" w:sz="0" w:space="0" w:color="auto"/>
          </w:divBdr>
        </w:div>
        <w:div w:id="1548688332">
          <w:marLeft w:val="0"/>
          <w:marRight w:val="0"/>
          <w:marTop w:val="0"/>
          <w:marBottom w:val="0"/>
          <w:divBdr>
            <w:top w:val="none" w:sz="0" w:space="0" w:color="auto"/>
            <w:left w:val="none" w:sz="0" w:space="0" w:color="auto"/>
            <w:bottom w:val="none" w:sz="0" w:space="0" w:color="auto"/>
            <w:right w:val="none" w:sz="0" w:space="0" w:color="auto"/>
          </w:divBdr>
        </w:div>
        <w:div w:id="205881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eur-lex.europa.eu/LexUriServ/LexUriServ.do?uri=CELEX:31990L0314:L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pp.eurostat.ec.europa.eu/cache/ITY_OFFPUB/KS-32-10-374/EN/KS-32-10-374-EN.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ls3\.uznemejdarbibas%20konkuretspejas%20departaments\&#256;TE%20noda&#316;a\2.%20T&#363;risma%20veicin&#257;&#353;ana\Jankava\STATISTIKA\Noslogojum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ls3\.uznemejdarbibas%20konkuretspejas%20departaments\&#256;TE%20noda&#316;a\2.%20T&#363;risma%20veicin&#257;&#353;ana\Jankava\STATISTIKA\Noslogojum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JankavaI\My%20Documents\Downloads\TU0041201372519466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LS3\.Uznemejdarbibas%20konkuretspejas%20departaments\Eksporta_noda&#316;a\2.%20T&#363;risma%20veicin&#257;&#353;ana\Jankava\STATISTIKA\Noslogojum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aceg\AppData\Local\Microsoft\Windows\Temporary%20Internet%20Files\Content.Outlook\IPRCF30K\Muzeji_2012_Apmekletaj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shiba\Desktop\Pamatnostadnes\1_LV_TOP52\LV_TOP52_TAVA_turisms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shiba\Desktop\CSB_LV_apkalp_pers_2012_GALAM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9979364218428"/>
          <c:y val="0.19871766029246368"/>
          <c:w val="0.45281135038843034"/>
          <c:h val="0.6632354485101134"/>
        </c:manualLayout>
      </c:layout>
      <c:pieChart>
        <c:varyColors val="1"/>
        <c:ser>
          <c:idx val="0"/>
          <c:order val="0"/>
          <c:tx>
            <c:strRef>
              <c:f>Sheet2!$B$2</c:f>
              <c:strCache>
                <c:ptCount val="1"/>
                <c:pt idx="0">
                  <c:v>milj.</c:v>
                </c:pt>
              </c:strCache>
            </c:strRef>
          </c:tx>
          <c:dLbls>
            <c:dLbl>
              <c:idx val="0"/>
              <c:layout>
                <c:manualLayout>
                  <c:x val="0.11217597800274967"/>
                  <c:y val="0.20899434237387007"/>
                </c:manualLayout>
              </c:layout>
              <c:tx>
                <c:rich>
                  <a:bodyPr/>
                  <a:lstStyle/>
                  <a:p>
                    <a:r>
                      <a:rPr lang="en-US">
                        <a:latin typeface="Times New Roman" panose="02020603050405020304" pitchFamily="18" charset="0"/>
                        <a:cs typeface="Times New Roman" panose="02020603050405020304" pitchFamily="18" charset="0"/>
                      </a:rPr>
                      <a:t>Eiropa; 534,2</a:t>
                    </a:r>
                  </a:p>
                </c:rich>
              </c:tx>
              <c:showLegendKey val="0"/>
              <c:showVal val="1"/>
              <c:showCatName val="1"/>
              <c:showSerName val="0"/>
              <c:showPercent val="0"/>
              <c:showBubbleSize val="0"/>
            </c:dLbl>
            <c:dLbl>
              <c:idx val="1"/>
              <c:layout>
                <c:manualLayout>
                  <c:x val="-9.238944894358514E-2"/>
                  <c:y val="-9.2617764884652648E-2"/>
                </c:manualLayout>
              </c:layout>
              <c:tx>
                <c:rich>
                  <a:bodyPr/>
                  <a:lstStyle/>
                  <a:p>
                    <a:r>
                      <a:rPr lang="en-US">
                        <a:latin typeface="Times New Roman" panose="02020603050405020304" pitchFamily="18" charset="0"/>
                        <a:cs typeface="Times New Roman" panose="02020603050405020304" pitchFamily="18" charset="0"/>
                      </a:rPr>
                      <a:t>Āzija un Okeānija; 233,6</a:t>
                    </a:r>
                  </a:p>
                </c:rich>
              </c:tx>
              <c:showLegendKey val="0"/>
              <c:showVal val="1"/>
              <c:showCatName val="1"/>
              <c:showSerName val="0"/>
              <c:showPercent val="0"/>
              <c:showBubbleSize val="0"/>
            </c:dLbl>
            <c:dLbl>
              <c:idx val="2"/>
              <c:layout>
                <c:manualLayout>
                  <c:x val="-7.1927232373863004E-2"/>
                  <c:y val="2.4926489451976397E-2"/>
                </c:manualLayout>
              </c:layout>
              <c:tx>
                <c:rich>
                  <a:bodyPr/>
                  <a:lstStyle/>
                  <a:p>
                    <a:r>
                      <a:rPr lang="en-US">
                        <a:latin typeface="Times New Roman" panose="02020603050405020304" pitchFamily="18" charset="0"/>
                        <a:cs typeface="Times New Roman" panose="02020603050405020304" pitchFamily="18" charset="0"/>
                      </a:rPr>
                      <a:t>Amerika; 163,1</a:t>
                    </a:r>
                  </a:p>
                </c:rich>
              </c:tx>
              <c:showLegendKey val="0"/>
              <c:showVal val="1"/>
              <c:showCatName val="1"/>
              <c:showSerName val="0"/>
              <c:showPercent val="0"/>
              <c:showBubbleSize val="0"/>
            </c:dLbl>
            <c:dLbl>
              <c:idx val="3"/>
              <c:layout>
                <c:manualLayout>
                  <c:x val="-1.5868197198241785E-2"/>
                  <c:y val="-7.6161803303998804E-3"/>
                </c:manualLayout>
              </c:layout>
              <c:tx>
                <c:rich>
                  <a:bodyPr/>
                  <a:lstStyle/>
                  <a:p>
                    <a:r>
                      <a:rPr lang="en-US">
                        <a:latin typeface="Times New Roman" panose="02020603050405020304" pitchFamily="18" charset="0"/>
                        <a:cs typeface="Times New Roman" panose="02020603050405020304" pitchFamily="18" charset="0"/>
                      </a:rPr>
                      <a:t>Āfrika; 52,4</a:t>
                    </a:r>
                  </a:p>
                </c:rich>
              </c:tx>
              <c:showLegendKey val="0"/>
              <c:showVal val="1"/>
              <c:showCatName val="1"/>
              <c:showSerName val="0"/>
              <c:showPercent val="0"/>
              <c:showBubbleSize val="0"/>
            </c:dLbl>
            <c:dLbl>
              <c:idx val="4"/>
              <c:layout>
                <c:manualLayout>
                  <c:x val="0.22879929482498912"/>
                  <c:y val="2.3218431029454647E-3"/>
                </c:manualLayout>
              </c:layout>
              <c:tx>
                <c:rich>
                  <a:bodyPr/>
                  <a:lstStyle/>
                  <a:p>
                    <a:r>
                      <a:rPr lang="en-US">
                        <a:latin typeface="Times New Roman" panose="02020603050405020304" pitchFamily="18" charset="0"/>
                        <a:cs typeface="Times New Roman" panose="02020603050405020304" pitchFamily="18" charset="0"/>
                      </a:rPr>
                      <a:t>Tuvie Austrumi; 52</a:t>
                    </a:r>
                  </a:p>
                </c:rich>
              </c:tx>
              <c:showLegendKey val="0"/>
              <c:showVal val="1"/>
              <c:showCatName val="1"/>
              <c:showSerName val="0"/>
              <c:showPercent val="0"/>
              <c:showBubbleSize val="0"/>
            </c:dLbl>
            <c:showLegendKey val="0"/>
            <c:showVal val="1"/>
            <c:showCatName val="1"/>
            <c:showSerName val="0"/>
            <c:showPercent val="0"/>
            <c:showBubbleSize val="0"/>
            <c:showLeaderLines val="1"/>
            <c:leaderLines>
              <c:spPr>
                <a:ln>
                  <a:solidFill>
                    <a:schemeClr val="accent1"/>
                  </a:solidFill>
                </a:ln>
              </c:spPr>
            </c:leaderLines>
          </c:dLbls>
          <c:cat>
            <c:strRef>
              <c:f>Sheet2!$A$3:$A$7</c:f>
              <c:strCache>
                <c:ptCount val="5"/>
                <c:pt idx="0">
                  <c:v>Eiropa</c:v>
                </c:pt>
                <c:pt idx="1">
                  <c:v>Āzija un Okeānija</c:v>
                </c:pt>
                <c:pt idx="2">
                  <c:v>Amerika</c:v>
                </c:pt>
                <c:pt idx="3">
                  <c:v>Āfrika</c:v>
                </c:pt>
                <c:pt idx="4">
                  <c:v>Tuvie Austrumi</c:v>
                </c:pt>
              </c:strCache>
            </c:strRef>
          </c:cat>
          <c:val>
            <c:numRef>
              <c:f>Sheet2!$B$3:$B$7</c:f>
              <c:numCache>
                <c:formatCode>General</c:formatCode>
                <c:ptCount val="5"/>
                <c:pt idx="0">
                  <c:v>534.20000000000005</c:v>
                </c:pt>
                <c:pt idx="1">
                  <c:v>233.6</c:v>
                </c:pt>
                <c:pt idx="2">
                  <c:v>163.1</c:v>
                </c:pt>
                <c:pt idx="3">
                  <c:v>52.4</c:v>
                </c:pt>
                <c:pt idx="4">
                  <c:v>52</c:v>
                </c:pt>
              </c:numCache>
            </c:numRef>
          </c:val>
        </c:ser>
        <c:ser>
          <c:idx val="1"/>
          <c:order val="1"/>
          <c:tx>
            <c:strRef>
              <c:f>Sheet2!$C$2</c:f>
              <c:strCache>
                <c:ptCount val="1"/>
                <c:pt idx="0">
                  <c:v>%</c:v>
                </c:pt>
              </c:strCache>
            </c:strRef>
          </c:tx>
          <c:dLbls>
            <c:showLegendKey val="0"/>
            <c:showVal val="0"/>
            <c:showCatName val="1"/>
            <c:showSerName val="0"/>
            <c:showPercent val="1"/>
            <c:showBubbleSize val="0"/>
            <c:showLeaderLines val="1"/>
            <c:leaderLines>
              <c:spPr>
                <a:ln>
                  <a:solidFill>
                    <a:schemeClr val="accent1"/>
                  </a:solidFill>
                </a:ln>
              </c:spPr>
            </c:leaderLines>
          </c:dLbls>
          <c:cat>
            <c:strRef>
              <c:f>Sheet2!$A$3:$A$7</c:f>
              <c:strCache>
                <c:ptCount val="5"/>
                <c:pt idx="0">
                  <c:v>Eiropa</c:v>
                </c:pt>
                <c:pt idx="1">
                  <c:v>Āzija un Okeānija</c:v>
                </c:pt>
                <c:pt idx="2">
                  <c:v>Amerika</c:v>
                </c:pt>
                <c:pt idx="3">
                  <c:v>Āfrika</c:v>
                </c:pt>
                <c:pt idx="4">
                  <c:v>Tuvie Austrumi</c:v>
                </c:pt>
              </c:strCache>
            </c:strRef>
          </c:cat>
          <c:val>
            <c:numRef>
              <c:f>Sheet2!$C$3:$C$7</c:f>
              <c:numCache>
                <c:formatCode>0</c:formatCode>
                <c:ptCount val="5"/>
                <c:pt idx="0">
                  <c:v>51.598570462667823</c:v>
                </c:pt>
                <c:pt idx="1">
                  <c:v>22.563508161885441</c:v>
                </c:pt>
                <c:pt idx="2">
                  <c:v>15.75388776200135</c:v>
                </c:pt>
                <c:pt idx="3">
                  <c:v>5.0613348787790899</c:v>
                </c:pt>
                <c:pt idx="4">
                  <c:v>5.0226987346662799</c:v>
                </c:pt>
              </c:numCache>
            </c:numRef>
          </c:val>
        </c:ser>
        <c:ser>
          <c:idx val="2"/>
          <c:order val="2"/>
          <c:tx>
            <c:strRef>
              <c:f>Sheet2!$C$2</c:f>
              <c:strCache>
                <c:ptCount val="1"/>
                <c:pt idx="0">
                  <c:v>%</c:v>
                </c:pt>
              </c:strCache>
            </c:strRef>
          </c:tx>
          <c:dLbls>
            <c:showLegendKey val="0"/>
            <c:showVal val="0"/>
            <c:showCatName val="1"/>
            <c:showSerName val="0"/>
            <c:showPercent val="1"/>
            <c:showBubbleSize val="0"/>
            <c:showLeaderLines val="1"/>
            <c:leaderLines>
              <c:spPr>
                <a:ln>
                  <a:solidFill>
                    <a:schemeClr val="accent1"/>
                  </a:solidFill>
                </a:ln>
              </c:spPr>
            </c:leaderLines>
          </c:dLbls>
          <c:val>
            <c:numRef>
              <c:f>Sheet2!$C$3:$C$7</c:f>
              <c:numCache>
                <c:formatCode>0</c:formatCode>
                <c:ptCount val="5"/>
                <c:pt idx="0">
                  <c:v>51.598570462667823</c:v>
                </c:pt>
                <c:pt idx="1">
                  <c:v>22.563508161885441</c:v>
                </c:pt>
                <c:pt idx="2">
                  <c:v>15.75388776200135</c:v>
                </c:pt>
                <c:pt idx="3">
                  <c:v>5.0613348787790899</c:v>
                </c:pt>
                <c:pt idx="4">
                  <c:v>5.0226987346662799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Sheet2!$A$22</c:f>
              <c:strCache>
                <c:ptCount val="1"/>
                <c:pt idx="0">
                  <c:v>Ziemeļeiropa</c:v>
                </c:pt>
              </c:strCache>
            </c:strRef>
          </c:tx>
          <c:marker>
            <c:symbol val="none"/>
          </c:marker>
          <c:dLbls>
            <c:dLbl>
              <c:idx val="0"/>
              <c:layout>
                <c:manualLayout>
                  <c:x val="-1.3888888888888904E-2"/>
                  <c:y val="5.6021967842255022E-2"/>
                </c:manualLayout>
              </c:layout>
              <c:showLegendKey val="0"/>
              <c:showVal val="1"/>
              <c:showCatName val="0"/>
              <c:showSerName val="0"/>
              <c:showPercent val="0"/>
              <c:showBubbleSize val="0"/>
            </c:dLbl>
            <c:dLbl>
              <c:idx val="1"/>
              <c:layout>
                <c:manualLayout>
                  <c:x val="8.3333333333333367E-3"/>
                  <c:y val="6.1624649859944015E-2"/>
                </c:manualLayout>
              </c:layout>
              <c:showLegendKey val="0"/>
              <c:showVal val="1"/>
              <c:showCatName val="0"/>
              <c:showSerName val="0"/>
              <c:showPercent val="0"/>
              <c:showBubbleSize val="0"/>
            </c:dLbl>
            <c:dLbl>
              <c:idx val="2"/>
              <c:layout>
                <c:manualLayout>
                  <c:x val="0"/>
                  <c:y val="5.0420168067226885E-2"/>
                </c:manualLayout>
              </c:layout>
              <c:showLegendKey val="0"/>
              <c:showVal val="1"/>
              <c:showCatName val="0"/>
              <c:showSerName val="0"/>
              <c:showPercent val="0"/>
              <c:showBubbleSize val="0"/>
            </c:dLbl>
            <c:dLbl>
              <c:idx val="3"/>
              <c:layout>
                <c:manualLayout>
                  <c:x val="0"/>
                  <c:y val="6.1624649859944015E-2"/>
                </c:manualLayout>
              </c:layout>
              <c:showLegendKey val="0"/>
              <c:showVal val="1"/>
              <c:showCatName val="0"/>
              <c:showSerName val="0"/>
              <c:showPercent val="0"/>
              <c:showBubbleSize val="0"/>
            </c:dLbl>
            <c:dLbl>
              <c:idx val="4"/>
              <c:layout>
                <c:manualLayout>
                  <c:x val="-3.333333333333334E-2"/>
                  <c:y val="7.28291316526610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Sheet2!$B$21:$F$21</c:f>
              <c:numCache>
                <c:formatCode>General</c:formatCode>
                <c:ptCount val="5"/>
                <c:pt idx="0">
                  <c:v>2000</c:v>
                </c:pt>
                <c:pt idx="1">
                  <c:v>2005</c:v>
                </c:pt>
                <c:pt idx="2">
                  <c:v>2010</c:v>
                </c:pt>
                <c:pt idx="3">
                  <c:v>2011</c:v>
                </c:pt>
                <c:pt idx="4">
                  <c:v>2012</c:v>
                </c:pt>
              </c:numCache>
            </c:numRef>
          </c:cat>
          <c:val>
            <c:numRef>
              <c:f>Sheet2!$B$22:$F$22</c:f>
              <c:numCache>
                <c:formatCode>General</c:formatCode>
                <c:ptCount val="5"/>
                <c:pt idx="0">
                  <c:v>46.4</c:v>
                </c:pt>
                <c:pt idx="1">
                  <c:v>60.4</c:v>
                </c:pt>
                <c:pt idx="2">
                  <c:v>62.8</c:v>
                </c:pt>
                <c:pt idx="3">
                  <c:v>64</c:v>
                </c:pt>
                <c:pt idx="4">
                  <c:v>64.900000000000006</c:v>
                </c:pt>
              </c:numCache>
            </c:numRef>
          </c:val>
          <c:smooth val="0"/>
        </c:ser>
        <c:ser>
          <c:idx val="1"/>
          <c:order val="1"/>
          <c:tx>
            <c:strRef>
              <c:f>Sheet2!$A$23</c:f>
              <c:strCache>
                <c:ptCount val="1"/>
                <c:pt idx="0">
                  <c:v>Rietumeiropa</c:v>
                </c:pt>
              </c:strCache>
            </c:strRef>
          </c:tx>
          <c:marker>
            <c:symbol val="none"/>
          </c:marker>
          <c:dLbls>
            <c:dLbl>
              <c:idx val="0"/>
              <c:layout>
                <c:manualLayout>
                  <c:x val="-5.5555555555555504E-2"/>
                  <c:y val="-6.7227331877632981E-2"/>
                </c:manualLayout>
              </c:layout>
              <c:showLegendKey val="0"/>
              <c:showVal val="1"/>
              <c:showCatName val="0"/>
              <c:showSerName val="0"/>
              <c:showPercent val="0"/>
              <c:showBubbleSize val="0"/>
            </c:dLbl>
            <c:dLbl>
              <c:idx val="1"/>
              <c:layout>
                <c:manualLayout>
                  <c:x val="-8.3333333333333367E-3"/>
                  <c:y val="4.4817927170868417E-2"/>
                </c:manualLayout>
              </c:layout>
              <c:showLegendKey val="0"/>
              <c:showVal val="1"/>
              <c:showCatName val="0"/>
              <c:showSerName val="0"/>
              <c:showPercent val="0"/>
              <c:showBubbleSize val="0"/>
            </c:dLbl>
            <c:dLbl>
              <c:idx val="2"/>
              <c:layout>
                <c:manualLayout>
                  <c:x val="-8.3333333333333367E-3"/>
                  <c:y val="4.4817927170868417E-2"/>
                </c:manualLayout>
              </c:layout>
              <c:showLegendKey val="0"/>
              <c:showVal val="1"/>
              <c:showCatName val="0"/>
              <c:showSerName val="0"/>
              <c:showPercent val="0"/>
              <c:showBubbleSize val="0"/>
            </c:dLbl>
            <c:dLbl>
              <c:idx val="3"/>
              <c:layout>
                <c:manualLayout>
                  <c:x val="-1.3888888888888904E-2"/>
                  <c:y val="6.1624649859944015E-2"/>
                </c:manualLayout>
              </c:layout>
              <c:showLegendKey val="0"/>
              <c:showVal val="1"/>
              <c:showCatName val="0"/>
              <c:showSerName val="0"/>
              <c:showPercent val="0"/>
              <c:showBubbleSize val="0"/>
            </c:dLbl>
            <c:dLbl>
              <c:idx val="4"/>
              <c:layout>
                <c:manualLayout>
                  <c:x val="-2.2222222222222244E-2"/>
                  <c:y val="7.28291316526610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Sheet2!$B$21:$F$21</c:f>
              <c:numCache>
                <c:formatCode>General</c:formatCode>
                <c:ptCount val="5"/>
                <c:pt idx="0">
                  <c:v>2000</c:v>
                </c:pt>
                <c:pt idx="1">
                  <c:v>2005</c:v>
                </c:pt>
                <c:pt idx="2">
                  <c:v>2010</c:v>
                </c:pt>
                <c:pt idx="3">
                  <c:v>2011</c:v>
                </c:pt>
                <c:pt idx="4">
                  <c:v>2012</c:v>
                </c:pt>
              </c:numCache>
            </c:numRef>
          </c:cat>
          <c:val>
            <c:numRef>
              <c:f>Sheet2!$B$23:$F$23</c:f>
              <c:numCache>
                <c:formatCode>General</c:formatCode>
                <c:ptCount val="5"/>
                <c:pt idx="0">
                  <c:v>139.69999999999999</c:v>
                </c:pt>
                <c:pt idx="1">
                  <c:v>141.69999999999999</c:v>
                </c:pt>
                <c:pt idx="2">
                  <c:v>154.4</c:v>
                </c:pt>
                <c:pt idx="3">
                  <c:v>161.5</c:v>
                </c:pt>
                <c:pt idx="4">
                  <c:v>166.6</c:v>
                </c:pt>
              </c:numCache>
            </c:numRef>
          </c:val>
          <c:smooth val="0"/>
        </c:ser>
        <c:ser>
          <c:idx val="2"/>
          <c:order val="2"/>
          <c:tx>
            <c:strRef>
              <c:f>Sheet2!$A$24</c:f>
              <c:strCache>
                <c:ptCount val="1"/>
                <c:pt idx="0">
                  <c:v>Centrālā un Austrumeiropa</c:v>
                </c:pt>
              </c:strCache>
            </c:strRef>
          </c:tx>
          <c:marker>
            <c:symbol val="none"/>
          </c:marker>
          <c:dLbls>
            <c:dLbl>
              <c:idx val="1"/>
              <c:layout>
                <c:manualLayout>
                  <c:x val="8.3333333333333367E-3"/>
                  <c:y val="2.8011204481792739E-2"/>
                </c:manualLayout>
              </c:layout>
              <c:showLegendKey val="0"/>
              <c:showVal val="1"/>
              <c:showCatName val="0"/>
              <c:showSerName val="0"/>
              <c:showPercent val="0"/>
              <c:showBubbleSize val="0"/>
            </c:dLbl>
            <c:dLbl>
              <c:idx val="2"/>
              <c:layout>
                <c:manualLayout>
                  <c:x val="1.3888888888888904E-2"/>
                  <c:y val="3.3613445378151259E-2"/>
                </c:manualLayout>
              </c:layout>
              <c:showLegendKey val="0"/>
              <c:showVal val="1"/>
              <c:showCatName val="0"/>
              <c:showSerName val="0"/>
              <c:showPercent val="0"/>
              <c:showBubbleSize val="0"/>
            </c:dLbl>
            <c:dLbl>
              <c:idx val="3"/>
              <c:layout>
                <c:manualLayout>
                  <c:x val="-1.9444444444444445E-2"/>
                  <c:y val="5.0420168067226885E-2"/>
                </c:manualLayout>
              </c:layout>
              <c:showLegendKey val="0"/>
              <c:showVal val="1"/>
              <c:showCatName val="0"/>
              <c:showSerName val="0"/>
              <c:showPercent val="0"/>
              <c:showBubbleSize val="0"/>
            </c:dLbl>
            <c:dLbl>
              <c:idx val="4"/>
              <c:layout>
                <c:manualLayout>
                  <c:x val="-3.0555555555555572E-2"/>
                  <c:y val="6.72268907563025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Sheet2!$B$21:$F$21</c:f>
              <c:numCache>
                <c:formatCode>General</c:formatCode>
                <c:ptCount val="5"/>
                <c:pt idx="0">
                  <c:v>2000</c:v>
                </c:pt>
                <c:pt idx="1">
                  <c:v>2005</c:v>
                </c:pt>
                <c:pt idx="2">
                  <c:v>2010</c:v>
                </c:pt>
                <c:pt idx="3">
                  <c:v>2011</c:v>
                </c:pt>
                <c:pt idx="4">
                  <c:v>2012</c:v>
                </c:pt>
              </c:numCache>
            </c:numRef>
          </c:cat>
          <c:val>
            <c:numRef>
              <c:f>Sheet2!$B$24:$F$24</c:f>
              <c:numCache>
                <c:formatCode>General</c:formatCode>
                <c:ptCount val="5"/>
                <c:pt idx="0">
                  <c:v>69.3</c:v>
                </c:pt>
                <c:pt idx="1">
                  <c:v>90.4</c:v>
                </c:pt>
                <c:pt idx="2">
                  <c:v>95</c:v>
                </c:pt>
                <c:pt idx="3">
                  <c:v>103.9</c:v>
                </c:pt>
                <c:pt idx="4">
                  <c:v>111.6</c:v>
                </c:pt>
              </c:numCache>
            </c:numRef>
          </c:val>
          <c:smooth val="0"/>
        </c:ser>
        <c:ser>
          <c:idx val="3"/>
          <c:order val="3"/>
          <c:tx>
            <c:strRef>
              <c:f>Sheet2!$A$25</c:f>
              <c:strCache>
                <c:ptCount val="1"/>
                <c:pt idx="0">
                  <c:v>Dienvideiropa un Vidusjūras reģions</c:v>
                </c:pt>
              </c:strCache>
            </c:strRef>
          </c:tx>
          <c:marker>
            <c:symbol val="none"/>
          </c:marker>
          <c:dLbls>
            <c:dLbl>
              <c:idx val="0"/>
              <c:layout>
                <c:manualLayout>
                  <c:x val="-4.1666666666666664E-2"/>
                  <c:y val="4.4817927170868417E-2"/>
                </c:manualLayout>
              </c:layout>
              <c:showLegendKey val="0"/>
              <c:showVal val="1"/>
              <c:showCatName val="0"/>
              <c:showSerName val="0"/>
              <c:showPercent val="0"/>
              <c:showBubbleSize val="0"/>
            </c:dLbl>
            <c:dLbl>
              <c:idx val="1"/>
              <c:layout>
                <c:manualLayout>
                  <c:x val="-8.3333333333333367E-3"/>
                  <c:y val="-6.7226890756302518E-2"/>
                </c:manualLayout>
              </c:layout>
              <c:showLegendKey val="0"/>
              <c:showVal val="1"/>
              <c:showCatName val="0"/>
              <c:showSerName val="0"/>
              <c:showPercent val="0"/>
              <c:showBubbleSize val="0"/>
            </c:dLbl>
            <c:dLbl>
              <c:idx val="2"/>
              <c:layout>
                <c:manualLayout>
                  <c:x val="-2.2222222222222244E-2"/>
                  <c:y val="-8.403361344537813E-2"/>
                </c:manualLayout>
              </c:layout>
              <c:showLegendKey val="0"/>
              <c:showVal val="1"/>
              <c:showCatName val="0"/>
              <c:showSerName val="0"/>
              <c:showPercent val="0"/>
              <c:showBubbleSize val="0"/>
            </c:dLbl>
            <c:dLbl>
              <c:idx val="3"/>
              <c:layout>
                <c:manualLayout>
                  <c:x val="-1.1111111111111122E-2"/>
                  <c:y val="-8.403361344537813E-2"/>
                </c:manualLayout>
              </c:layout>
              <c:showLegendKey val="0"/>
              <c:showVal val="1"/>
              <c:showCatName val="0"/>
              <c:showSerName val="0"/>
              <c:showPercent val="0"/>
              <c:showBubbleSize val="0"/>
            </c:dLbl>
            <c:dLbl>
              <c:idx val="4"/>
              <c:layout>
                <c:manualLayout>
                  <c:x val="-4.7222222222222263E-2"/>
                  <c:y val="-8.963585434173677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Sheet2!$B$21:$F$21</c:f>
              <c:numCache>
                <c:formatCode>General</c:formatCode>
                <c:ptCount val="5"/>
                <c:pt idx="0">
                  <c:v>2000</c:v>
                </c:pt>
                <c:pt idx="1">
                  <c:v>2005</c:v>
                </c:pt>
                <c:pt idx="2">
                  <c:v>2010</c:v>
                </c:pt>
                <c:pt idx="3">
                  <c:v>2011</c:v>
                </c:pt>
                <c:pt idx="4">
                  <c:v>2012</c:v>
                </c:pt>
              </c:numCache>
            </c:numRef>
          </c:cat>
          <c:val>
            <c:numRef>
              <c:f>Sheet2!$B$25:$F$25</c:f>
              <c:numCache>
                <c:formatCode>General</c:formatCode>
                <c:ptCount val="5"/>
                <c:pt idx="0">
                  <c:v>132.6</c:v>
                </c:pt>
                <c:pt idx="1">
                  <c:v>156.4</c:v>
                </c:pt>
                <c:pt idx="2">
                  <c:v>173.5</c:v>
                </c:pt>
                <c:pt idx="3">
                  <c:v>187</c:v>
                </c:pt>
                <c:pt idx="4">
                  <c:v>191.1</c:v>
                </c:pt>
              </c:numCache>
            </c:numRef>
          </c:val>
          <c:smooth val="0"/>
        </c:ser>
        <c:dLbls>
          <c:showLegendKey val="0"/>
          <c:showVal val="0"/>
          <c:showCatName val="0"/>
          <c:showSerName val="0"/>
          <c:showPercent val="0"/>
          <c:showBubbleSize val="0"/>
        </c:dLbls>
        <c:marker val="1"/>
        <c:smooth val="0"/>
        <c:axId val="121576064"/>
        <c:axId val="121662464"/>
      </c:lineChart>
      <c:catAx>
        <c:axId val="12157606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21662464"/>
        <c:crosses val="autoZero"/>
        <c:auto val="1"/>
        <c:lblAlgn val="ctr"/>
        <c:lblOffset val="100"/>
        <c:noMultiLvlLbl val="0"/>
      </c:catAx>
      <c:valAx>
        <c:axId val="121662464"/>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21576064"/>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lv-LV"/>
          </a:p>
        </c:txPr>
      </c:legendEntry>
      <c:legendEntry>
        <c:idx val="1"/>
        <c:txPr>
          <a:bodyPr/>
          <a:lstStyle/>
          <a:p>
            <a:pPr>
              <a:defRPr>
                <a:latin typeface="Times New Roman" panose="02020603050405020304" pitchFamily="18" charset="0"/>
                <a:cs typeface="Times New Roman" panose="02020603050405020304" pitchFamily="18" charset="0"/>
              </a:defRPr>
            </a:pPr>
            <a:endParaRPr lang="lv-LV"/>
          </a:p>
        </c:txPr>
      </c:legendEntry>
      <c:legendEntry>
        <c:idx val="2"/>
        <c:txPr>
          <a:bodyPr/>
          <a:lstStyle/>
          <a:p>
            <a:pPr>
              <a:defRPr>
                <a:latin typeface="Times New Roman" panose="02020603050405020304" pitchFamily="18" charset="0"/>
                <a:cs typeface="Times New Roman" panose="02020603050405020304" pitchFamily="18" charset="0"/>
              </a:defRPr>
            </a:pPr>
            <a:endParaRPr lang="lv-LV"/>
          </a:p>
        </c:txPr>
      </c:legendEntry>
      <c:legendEntry>
        <c:idx val="3"/>
        <c:txPr>
          <a:bodyPr/>
          <a:lstStyle/>
          <a:p>
            <a:pPr>
              <a:defRPr>
                <a:latin typeface="Times New Roman" panose="02020603050405020304" pitchFamily="18" charset="0"/>
                <a:cs typeface="Times New Roman" panose="02020603050405020304" pitchFamily="18" charset="0"/>
              </a:defRPr>
            </a:pPr>
            <a:endParaRPr lang="lv-LV"/>
          </a:p>
        </c:txPr>
      </c:legendEntry>
      <c:layout>
        <c:manualLayout>
          <c:xMode val="edge"/>
          <c:yMode val="edge"/>
          <c:x val="0.69799204802370041"/>
          <c:y val="0.10038289331480613"/>
          <c:w val="0.28616636781788468"/>
          <c:h val="0.804836454266746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TU00412013725194661!$A$2</c:f>
              <c:strCache>
                <c:ptCount val="1"/>
                <c:pt idx="0">
                  <c:v>Lielbritānija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TU00412013725194661!$B$2:$E$2</c:f>
              <c:numCache>
                <c:formatCode>General</c:formatCode>
                <c:ptCount val="4"/>
                <c:pt idx="0">
                  <c:v>61.5</c:v>
                </c:pt>
                <c:pt idx="1">
                  <c:v>48.1</c:v>
                </c:pt>
                <c:pt idx="2">
                  <c:v>61.1</c:v>
                </c:pt>
                <c:pt idx="3">
                  <c:v>49.2</c:v>
                </c:pt>
              </c:numCache>
            </c:numRef>
          </c:val>
          <c:smooth val="0"/>
        </c:ser>
        <c:ser>
          <c:idx val="1"/>
          <c:order val="1"/>
          <c:tx>
            <c:strRef>
              <c:f>TU00412013725194661!$A$3</c:f>
              <c:strCache>
                <c:ptCount val="1"/>
                <c:pt idx="0">
                  <c:v>Dānija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TU00412013725194661!$B$3:$E$3</c:f>
              <c:numCache>
                <c:formatCode>General</c:formatCode>
                <c:ptCount val="4"/>
                <c:pt idx="0">
                  <c:v>26.3</c:v>
                </c:pt>
                <c:pt idx="1">
                  <c:v>34.4</c:v>
                </c:pt>
                <c:pt idx="2">
                  <c:v>29.5</c:v>
                </c:pt>
                <c:pt idx="3">
                  <c:v>24.6</c:v>
                </c:pt>
              </c:numCache>
            </c:numRef>
          </c:val>
          <c:smooth val="0"/>
        </c:ser>
        <c:ser>
          <c:idx val="2"/>
          <c:order val="2"/>
          <c:tx>
            <c:strRef>
              <c:f>TU00412013725194661!$A$4</c:f>
              <c:strCache>
                <c:ptCount val="1"/>
                <c:pt idx="0">
                  <c:v>Igaunija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TU00412013725194661!$B$4:$E$4</c:f>
              <c:numCache>
                <c:formatCode>General</c:formatCode>
                <c:ptCount val="4"/>
                <c:pt idx="0">
                  <c:v>134.69999999999999</c:v>
                </c:pt>
                <c:pt idx="1">
                  <c:v>129.80000000000001</c:v>
                </c:pt>
                <c:pt idx="2">
                  <c:v>102.1</c:v>
                </c:pt>
                <c:pt idx="3">
                  <c:v>120.8</c:v>
                </c:pt>
              </c:numCache>
            </c:numRef>
          </c:val>
          <c:smooth val="0"/>
        </c:ser>
        <c:ser>
          <c:idx val="3"/>
          <c:order val="3"/>
          <c:tx>
            <c:strRef>
              <c:f>TU00412013725194661!$A$5</c:f>
              <c:strCache>
                <c:ptCount val="1"/>
                <c:pt idx="0">
                  <c:v>Krievija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TU00412013725194661!$B$5:$E$5</c:f>
              <c:numCache>
                <c:formatCode>General</c:formatCode>
                <c:ptCount val="4"/>
                <c:pt idx="0">
                  <c:v>164.4</c:v>
                </c:pt>
                <c:pt idx="1">
                  <c:v>189.3</c:v>
                </c:pt>
                <c:pt idx="2">
                  <c:v>270.5</c:v>
                </c:pt>
                <c:pt idx="3">
                  <c:v>272.7</c:v>
                </c:pt>
              </c:numCache>
            </c:numRef>
          </c:val>
          <c:smooth val="0"/>
        </c:ser>
        <c:ser>
          <c:idx val="4"/>
          <c:order val="4"/>
          <c:tx>
            <c:strRef>
              <c:f>TU00412013725194661!$A$6</c:f>
              <c:strCache>
                <c:ptCount val="1"/>
                <c:pt idx="0">
                  <c:v>Lietuva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TU00412013725194661!$B$6:$E$6</c:f>
              <c:numCache>
                <c:formatCode>General</c:formatCode>
                <c:ptCount val="4"/>
                <c:pt idx="0">
                  <c:v>184</c:v>
                </c:pt>
                <c:pt idx="1">
                  <c:v>181.6</c:v>
                </c:pt>
                <c:pt idx="2">
                  <c:v>191.9</c:v>
                </c:pt>
                <c:pt idx="3">
                  <c:v>203.1</c:v>
                </c:pt>
              </c:numCache>
            </c:numRef>
          </c:val>
          <c:smooth val="0"/>
        </c:ser>
        <c:ser>
          <c:idx val="5"/>
          <c:order val="5"/>
          <c:tx>
            <c:strRef>
              <c:f>TU00412013725194661!$A$7</c:f>
              <c:strCache>
                <c:ptCount val="1"/>
                <c:pt idx="0">
                  <c:v>Norvēģija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TU00412013725194661!$B$7:$E$7</c:f>
              <c:numCache>
                <c:formatCode>General</c:formatCode>
                <c:ptCount val="4"/>
                <c:pt idx="0">
                  <c:v>62.2</c:v>
                </c:pt>
                <c:pt idx="1">
                  <c:v>79.3</c:v>
                </c:pt>
                <c:pt idx="2">
                  <c:v>94.3</c:v>
                </c:pt>
                <c:pt idx="3">
                  <c:v>76.3</c:v>
                </c:pt>
              </c:numCache>
            </c:numRef>
          </c:val>
          <c:smooth val="0"/>
        </c:ser>
        <c:ser>
          <c:idx val="6"/>
          <c:order val="6"/>
          <c:tx>
            <c:strRef>
              <c:f>TU00412013725194661!$A$8</c:f>
              <c:strCache>
                <c:ptCount val="1"/>
                <c:pt idx="0">
                  <c:v>Polija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TU00412013725194661!$B$8:$E$8</c:f>
              <c:numCache>
                <c:formatCode>General</c:formatCode>
                <c:ptCount val="4"/>
                <c:pt idx="0">
                  <c:v>37.9</c:v>
                </c:pt>
                <c:pt idx="1">
                  <c:v>36.9</c:v>
                </c:pt>
                <c:pt idx="2">
                  <c:v>39</c:v>
                </c:pt>
                <c:pt idx="3">
                  <c:v>27.6</c:v>
                </c:pt>
              </c:numCache>
            </c:numRef>
          </c:val>
          <c:smooth val="0"/>
        </c:ser>
        <c:ser>
          <c:idx val="7"/>
          <c:order val="7"/>
          <c:tx>
            <c:strRef>
              <c:f>TU00412013725194661!$A$9</c:f>
              <c:strCache>
                <c:ptCount val="1"/>
                <c:pt idx="0">
                  <c:v>Somija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TU00412013725194661!$B$9:$E$9</c:f>
              <c:numCache>
                <c:formatCode>General</c:formatCode>
                <c:ptCount val="4"/>
                <c:pt idx="0">
                  <c:v>114.6</c:v>
                </c:pt>
                <c:pt idx="1">
                  <c:v>109.5</c:v>
                </c:pt>
                <c:pt idx="2">
                  <c:v>95.4</c:v>
                </c:pt>
                <c:pt idx="3">
                  <c:v>65.2</c:v>
                </c:pt>
              </c:numCache>
            </c:numRef>
          </c:val>
          <c:smooth val="0"/>
        </c:ser>
        <c:ser>
          <c:idx val="8"/>
          <c:order val="8"/>
          <c:tx>
            <c:strRef>
              <c:f>TU00412013725194661!$A$10</c:f>
              <c:strCache>
                <c:ptCount val="1"/>
                <c:pt idx="0">
                  <c:v>Vācija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TU00412013725194661!$B$10:$E$10</c:f>
              <c:numCache>
                <c:formatCode>General</c:formatCode>
                <c:ptCount val="4"/>
                <c:pt idx="0">
                  <c:v>117.4</c:v>
                </c:pt>
                <c:pt idx="1">
                  <c:v>108.6</c:v>
                </c:pt>
                <c:pt idx="2">
                  <c:v>116.4</c:v>
                </c:pt>
                <c:pt idx="3">
                  <c:v>122.6</c:v>
                </c:pt>
              </c:numCache>
            </c:numRef>
          </c:val>
          <c:smooth val="0"/>
        </c:ser>
        <c:ser>
          <c:idx val="9"/>
          <c:order val="9"/>
          <c:tx>
            <c:strRef>
              <c:f>TU00412013725194661!$A$11</c:f>
              <c:strCache>
                <c:ptCount val="1"/>
                <c:pt idx="0">
                  <c:v>Zviedrija</c:v>
                </c:pt>
              </c:strCache>
            </c:strRef>
          </c:tx>
          <c:marker>
            <c:symbol val="none"/>
          </c:marker>
          <c:cat>
            <c:numRef>
              <c:f>TU00412013725194661!$B$1:$E$1</c:f>
              <c:numCache>
                <c:formatCode>General</c:formatCode>
                <c:ptCount val="4"/>
                <c:pt idx="0">
                  <c:v>2009</c:v>
                </c:pt>
                <c:pt idx="1">
                  <c:v>2010</c:v>
                </c:pt>
                <c:pt idx="2">
                  <c:v>2011</c:v>
                </c:pt>
                <c:pt idx="3">
                  <c:v>2012</c:v>
                </c:pt>
              </c:numCache>
            </c:numRef>
          </c:cat>
          <c:val>
            <c:numRef>
              <c:f>TU00412013725194661!$B$11:$E$11</c:f>
              <c:numCache>
                <c:formatCode>General</c:formatCode>
                <c:ptCount val="4"/>
                <c:pt idx="0">
                  <c:v>144.69999999999999</c:v>
                </c:pt>
                <c:pt idx="1">
                  <c:v>157.4</c:v>
                </c:pt>
                <c:pt idx="2">
                  <c:v>151.30000000000001</c:v>
                </c:pt>
                <c:pt idx="3">
                  <c:v>191.5</c:v>
                </c:pt>
              </c:numCache>
            </c:numRef>
          </c:val>
          <c:smooth val="0"/>
        </c:ser>
        <c:dLbls>
          <c:showLegendKey val="0"/>
          <c:showVal val="0"/>
          <c:showCatName val="0"/>
          <c:showSerName val="0"/>
          <c:showPercent val="0"/>
          <c:showBubbleSize val="0"/>
        </c:dLbls>
        <c:marker val="1"/>
        <c:smooth val="0"/>
        <c:axId val="57970688"/>
        <c:axId val="57972224"/>
      </c:lineChart>
      <c:catAx>
        <c:axId val="57970688"/>
        <c:scaling>
          <c:orientation val="minMax"/>
        </c:scaling>
        <c:delete val="0"/>
        <c:axPos val="b"/>
        <c:numFmt formatCode="General" sourceLinked="1"/>
        <c:majorTickMark val="out"/>
        <c:minorTickMark val="none"/>
        <c:tickLblPos val="nextTo"/>
        <c:crossAx val="57972224"/>
        <c:crosses val="autoZero"/>
        <c:auto val="1"/>
        <c:lblAlgn val="ctr"/>
        <c:lblOffset val="100"/>
        <c:noMultiLvlLbl val="0"/>
      </c:catAx>
      <c:valAx>
        <c:axId val="57972224"/>
        <c:scaling>
          <c:orientation val="minMax"/>
        </c:scaling>
        <c:delete val="0"/>
        <c:axPos val="l"/>
        <c:majorGridlines/>
        <c:numFmt formatCode="General" sourceLinked="1"/>
        <c:majorTickMark val="out"/>
        <c:minorTickMark val="none"/>
        <c:tickLblPos val="nextTo"/>
        <c:crossAx val="5797068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Sheet1!$A$4</c:f>
              <c:strCache>
                <c:ptCount val="1"/>
                <c:pt idx="0">
                  <c:v>2009</c:v>
                </c:pt>
              </c:strCache>
            </c:strRef>
          </c:tx>
          <c:marker>
            <c:symbol val="none"/>
          </c:marker>
          <c:cat>
            <c:multiLvlStrRef>
              <c:f>Sheet1!$B$2:$M$3</c:f>
              <c:multiLvlStrCache>
                <c:ptCount val="12"/>
                <c:lvl>
                  <c:pt idx="0">
                    <c:v>I</c:v>
                  </c:pt>
                  <c:pt idx="1">
                    <c:v>II</c:v>
                  </c:pt>
                  <c:pt idx="2">
                    <c:v>III</c:v>
                  </c:pt>
                  <c:pt idx="3">
                    <c:v>IV</c:v>
                  </c:pt>
                  <c:pt idx="4">
                    <c:v>V</c:v>
                  </c:pt>
                  <c:pt idx="5">
                    <c:v>VI</c:v>
                  </c:pt>
                  <c:pt idx="6">
                    <c:v>VII</c:v>
                  </c:pt>
                  <c:pt idx="7">
                    <c:v>VIII</c:v>
                  </c:pt>
                  <c:pt idx="8">
                    <c:v>IX</c:v>
                  </c:pt>
                  <c:pt idx="9">
                    <c:v>X</c:v>
                  </c:pt>
                  <c:pt idx="10">
                    <c:v>XI</c:v>
                  </c:pt>
                  <c:pt idx="11">
                    <c:v>XII</c:v>
                  </c:pt>
                </c:lvl>
                <c:lvl>
                  <c:pt idx="0">
                    <c:v>Latvija</c:v>
                  </c:pt>
                </c:lvl>
              </c:multiLvlStrCache>
            </c:multiLvlStrRef>
          </c:cat>
          <c:val>
            <c:numRef>
              <c:f>Sheet1!$B$4:$M$4</c:f>
              <c:numCache>
                <c:formatCode>General</c:formatCode>
                <c:ptCount val="12"/>
                <c:pt idx="0">
                  <c:v>19.7</c:v>
                </c:pt>
                <c:pt idx="1">
                  <c:v>19.899999999999999</c:v>
                </c:pt>
                <c:pt idx="2">
                  <c:v>19.2</c:v>
                </c:pt>
                <c:pt idx="3">
                  <c:v>23.2</c:v>
                </c:pt>
                <c:pt idx="4">
                  <c:v>28.7</c:v>
                </c:pt>
                <c:pt idx="5">
                  <c:v>33.9</c:v>
                </c:pt>
                <c:pt idx="6">
                  <c:v>39.1</c:v>
                </c:pt>
                <c:pt idx="7">
                  <c:v>37.200000000000003</c:v>
                </c:pt>
                <c:pt idx="8">
                  <c:v>29.7</c:v>
                </c:pt>
                <c:pt idx="9">
                  <c:v>23</c:v>
                </c:pt>
                <c:pt idx="10">
                  <c:v>18.2</c:v>
                </c:pt>
                <c:pt idx="11">
                  <c:v>18.399999999999999</c:v>
                </c:pt>
              </c:numCache>
            </c:numRef>
          </c:val>
          <c:smooth val="0"/>
        </c:ser>
        <c:ser>
          <c:idx val="1"/>
          <c:order val="1"/>
          <c:tx>
            <c:strRef>
              <c:f>Sheet1!$A$5</c:f>
              <c:strCache>
                <c:ptCount val="1"/>
                <c:pt idx="0">
                  <c:v>2010</c:v>
                </c:pt>
              </c:strCache>
            </c:strRef>
          </c:tx>
          <c:marker>
            <c:symbol val="none"/>
          </c:marker>
          <c:cat>
            <c:multiLvlStrRef>
              <c:f>Sheet1!$B$2:$M$3</c:f>
              <c:multiLvlStrCache>
                <c:ptCount val="12"/>
                <c:lvl>
                  <c:pt idx="0">
                    <c:v>I</c:v>
                  </c:pt>
                  <c:pt idx="1">
                    <c:v>II</c:v>
                  </c:pt>
                  <c:pt idx="2">
                    <c:v>III</c:v>
                  </c:pt>
                  <c:pt idx="3">
                    <c:v>IV</c:v>
                  </c:pt>
                  <c:pt idx="4">
                    <c:v>V</c:v>
                  </c:pt>
                  <c:pt idx="5">
                    <c:v>VI</c:v>
                  </c:pt>
                  <c:pt idx="6">
                    <c:v>VII</c:v>
                  </c:pt>
                  <c:pt idx="7">
                    <c:v>VIII</c:v>
                  </c:pt>
                  <c:pt idx="8">
                    <c:v>IX</c:v>
                  </c:pt>
                  <c:pt idx="9">
                    <c:v>X</c:v>
                  </c:pt>
                  <c:pt idx="10">
                    <c:v>XI</c:v>
                  </c:pt>
                  <c:pt idx="11">
                    <c:v>XII</c:v>
                  </c:pt>
                </c:lvl>
                <c:lvl>
                  <c:pt idx="0">
                    <c:v>Latvija</c:v>
                  </c:pt>
                </c:lvl>
              </c:multiLvlStrCache>
            </c:multiLvlStrRef>
          </c:cat>
          <c:val>
            <c:numRef>
              <c:f>Sheet1!$B$5:$M$5</c:f>
              <c:numCache>
                <c:formatCode>General</c:formatCode>
                <c:ptCount val="12"/>
                <c:pt idx="0">
                  <c:v>17.600000000000001</c:v>
                </c:pt>
                <c:pt idx="1">
                  <c:v>19.3</c:v>
                </c:pt>
                <c:pt idx="2">
                  <c:v>19.600000000000001</c:v>
                </c:pt>
                <c:pt idx="3">
                  <c:v>22.1</c:v>
                </c:pt>
                <c:pt idx="4">
                  <c:v>28.2</c:v>
                </c:pt>
                <c:pt idx="5">
                  <c:v>32.5</c:v>
                </c:pt>
                <c:pt idx="6">
                  <c:v>44.4</c:v>
                </c:pt>
                <c:pt idx="7">
                  <c:v>43.5</c:v>
                </c:pt>
                <c:pt idx="8">
                  <c:v>32.700000000000003</c:v>
                </c:pt>
                <c:pt idx="9">
                  <c:v>27</c:v>
                </c:pt>
                <c:pt idx="10">
                  <c:v>21.5</c:v>
                </c:pt>
                <c:pt idx="11">
                  <c:v>20.9</c:v>
                </c:pt>
              </c:numCache>
            </c:numRef>
          </c:val>
          <c:smooth val="0"/>
        </c:ser>
        <c:ser>
          <c:idx val="2"/>
          <c:order val="2"/>
          <c:tx>
            <c:strRef>
              <c:f>Sheet1!$A$6</c:f>
              <c:strCache>
                <c:ptCount val="1"/>
                <c:pt idx="0">
                  <c:v>2011</c:v>
                </c:pt>
              </c:strCache>
            </c:strRef>
          </c:tx>
          <c:marker>
            <c:symbol val="none"/>
          </c:marker>
          <c:cat>
            <c:multiLvlStrRef>
              <c:f>Sheet1!$B$2:$M$3</c:f>
              <c:multiLvlStrCache>
                <c:ptCount val="12"/>
                <c:lvl>
                  <c:pt idx="0">
                    <c:v>I</c:v>
                  </c:pt>
                  <c:pt idx="1">
                    <c:v>II</c:v>
                  </c:pt>
                  <c:pt idx="2">
                    <c:v>III</c:v>
                  </c:pt>
                  <c:pt idx="3">
                    <c:v>IV</c:v>
                  </c:pt>
                  <c:pt idx="4">
                    <c:v>V</c:v>
                  </c:pt>
                  <c:pt idx="5">
                    <c:v>VI</c:v>
                  </c:pt>
                  <c:pt idx="6">
                    <c:v>VII</c:v>
                  </c:pt>
                  <c:pt idx="7">
                    <c:v>VIII</c:v>
                  </c:pt>
                  <c:pt idx="8">
                    <c:v>IX</c:v>
                  </c:pt>
                  <c:pt idx="9">
                    <c:v>X</c:v>
                  </c:pt>
                  <c:pt idx="10">
                    <c:v>XI</c:v>
                  </c:pt>
                  <c:pt idx="11">
                    <c:v>XII</c:v>
                  </c:pt>
                </c:lvl>
                <c:lvl>
                  <c:pt idx="0">
                    <c:v>Latvija</c:v>
                  </c:pt>
                </c:lvl>
              </c:multiLvlStrCache>
            </c:multiLvlStrRef>
          </c:cat>
          <c:val>
            <c:numRef>
              <c:f>Sheet1!$B$6:$M$6</c:f>
              <c:numCache>
                <c:formatCode>General</c:formatCode>
                <c:ptCount val="12"/>
                <c:pt idx="0">
                  <c:v>22.9</c:v>
                </c:pt>
                <c:pt idx="1">
                  <c:v>19.100000000000001</c:v>
                </c:pt>
                <c:pt idx="2">
                  <c:v>22.1</c:v>
                </c:pt>
                <c:pt idx="3">
                  <c:v>30.3</c:v>
                </c:pt>
                <c:pt idx="4">
                  <c:v>33.6</c:v>
                </c:pt>
                <c:pt idx="5">
                  <c:v>42.9</c:v>
                </c:pt>
                <c:pt idx="6">
                  <c:v>53</c:v>
                </c:pt>
                <c:pt idx="7">
                  <c:v>50.1</c:v>
                </c:pt>
                <c:pt idx="8">
                  <c:v>35.5</c:v>
                </c:pt>
                <c:pt idx="9">
                  <c:v>31.2</c:v>
                </c:pt>
                <c:pt idx="10">
                  <c:v>28.1</c:v>
                </c:pt>
                <c:pt idx="11">
                  <c:v>26.1</c:v>
                </c:pt>
              </c:numCache>
            </c:numRef>
          </c:val>
          <c:smooth val="0"/>
        </c:ser>
        <c:ser>
          <c:idx val="3"/>
          <c:order val="3"/>
          <c:tx>
            <c:strRef>
              <c:f>Sheet1!$A$7</c:f>
              <c:strCache>
                <c:ptCount val="1"/>
                <c:pt idx="0">
                  <c:v>2012</c:v>
                </c:pt>
              </c:strCache>
            </c:strRef>
          </c:tx>
          <c:marker>
            <c:symbol val="none"/>
          </c:marker>
          <c:cat>
            <c:multiLvlStrRef>
              <c:f>Sheet1!$B$2:$M$3</c:f>
              <c:multiLvlStrCache>
                <c:ptCount val="12"/>
                <c:lvl>
                  <c:pt idx="0">
                    <c:v>I</c:v>
                  </c:pt>
                  <c:pt idx="1">
                    <c:v>II</c:v>
                  </c:pt>
                  <c:pt idx="2">
                    <c:v>III</c:v>
                  </c:pt>
                  <c:pt idx="3">
                    <c:v>IV</c:v>
                  </c:pt>
                  <c:pt idx="4">
                    <c:v>V</c:v>
                  </c:pt>
                  <c:pt idx="5">
                    <c:v>VI</c:v>
                  </c:pt>
                  <c:pt idx="6">
                    <c:v>VII</c:v>
                  </c:pt>
                  <c:pt idx="7">
                    <c:v>VIII</c:v>
                  </c:pt>
                  <c:pt idx="8">
                    <c:v>IX</c:v>
                  </c:pt>
                  <c:pt idx="9">
                    <c:v>X</c:v>
                  </c:pt>
                  <c:pt idx="10">
                    <c:v>XI</c:v>
                  </c:pt>
                  <c:pt idx="11">
                    <c:v>XII</c:v>
                  </c:pt>
                </c:lvl>
                <c:lvl>
                  <c:pt idx="0">
                    <c:v>Latvija</c:v>
                  </c:pt>
                </c:lvl>
              </c:multiLvlStrCache>
            </c:multiLvlStrRef>
          </c:cat>
          <c:val>
            <c:numRef>
              <c:f>Sheet1!$B$7:$M$7</c:f>
              <c:numCache>
                <c:formatCode>General</c:formatCode>
                <c:ptCount val="12"/>
                <c:pt idx="0">
                  <c:v>26.2</c:v>
                </c:pt>
                <c:pt idx="1">
                  <c:v>22.6</c:v>
                </c:pt>
                <c:pt idx="2">
                  <c:v>25.1</c:v>
                </c:pt>
                <c:pt idx="3">
                  <c:v>31.7</c:v>
                </c:pt>
                <c:pt idx="4">
                  <c:v>36.700000000000003</c:v>
                </c:pt>
                <c:pt idx="5">
                  <c:v>42.7</c:v>
                </c:pt>
                <c:pt idx="6">
                  <c:v>52.7</c:v>
                </c:pt>
                <c:pt idx="7">
                  <c:v>51.3</c:v>
                </c:pt>
                <c:pt idx="8">
                  <c:v>39.300000000000004</c:v>
                </c:pt>
                <c:pt idx="9">
                  <c:v>33.5</c:v>
                </c:pt>
                <c:pt idx="10">
                  <c:v>31.9</c:v>
                </c:pt>
                <c:pt idx="11">
                  <c:v>21.3</c:v>
                </c:pt>
              </c:numCache>
            </c:numRef>
          </c:val>
          <c:smooth val="0"/>
        </c:ser>
        <c:dLbls>
          <c:showLegendKey val="0"/>
          <c:showVal val="0"/>
          <c:showCatName val="0"/>
          <c:showSerName val="0"/>
          <c:showPercent val="0"/>
          <c:showBubbleSize val="0"/>
        </c:dLbls>
        <c:marker val="1"/>
        <c:smooth val="0"/>
        <c:axId val="57982336"/>
        <c:axId val="57992320"/>
      </c:lineChart>
      <c:catAx>
        <c:axId val="57982336"/>
        <c:scaling>
          <c:orientation val="minMax"/>
        </c:scaling>
        <c:delete val="0"/>
        <c:axPos val="b"/>
        <c:majorTickMark val="out"/>
        <c:minorTickMark val="none"/>
        <c:tickLblPos val="nextTo"/>
        <c:crossAx val="57992320"/>
        <c:crosses val="autoZero"/>
        <c:auto val="1"/>
        <c:lblAlgn val="ctr"/>
        <c:lblOffset val="100"/>
        <c:noMultiLvlLbl val="0"/>
      </c:catAx>
      <c:valAx>
        <c:axId val="57992320"/>
        <c:scaling>
          <c:orientation val="minMax"/>
        </c:scaling>
        <c:delete val="0"/>
        <c:axPos val="l"/>
        <c:majorGridlines/>
        <c:numFmt formatCode="General" sourceLinked="1"/>
        <c:majorTickMark val="out"/>
        <c:minorTickMark val="none"/>
        <c:tickLblPos val="nextTo"/>
        <c:crossAx val="5798233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289604959100998E-2"/>
          <c:y val="5.8889693488922014E-2"/>
          <c:w val="0.63943949816627565"/>
          <c:h val="0.78912189275155475"/>
        </c:manualLayout>
      </c:layout>
      <c:lineChart>
        <c:grouping val="standard"/>
        <c:varyColors val="0"/>
        <c:ser>
          <c:idx val="0"/>
          <c:order val="0"/>
          <c:tx>
            <c:strRef>
              <c:f>'Apmekl. 1990-2012'!$A$45</c:f>
              <c:strCache>
                <c:ptCount val="1"/>
                <c:pt idx="0">
                  <c:v>PAVISAM</c:v>
                </c:pt>
              </c:strCache>
            </c:strRef>
          </c:tx>
          <c:spPr>
            <a:ln w="12700">
              <a:solidFill>
                <a:srgbClr val="003399"/>
              </a:solidFill>
              <a:prstDash val="solid"/>
            </a:ln>
          </c:spPr>
          <c:marker>
            <c:symbol val="diamond"/>
            <c:size val="8"/>
            <c:spPr>
              <a:solidFill>
                <a:srgbClr val="3333CC"/>
              </a:solidFill>
              <a:ln>
                <a:solidFill>
                  <a:srgbClr val="000000"/>
                </a:solidFill>
                <a:prstDash val="solid"/>
              </a:ln>
            </c:spPr>
          </c:marker>
          <c:dLbls>
            <c:dLbl>
              <c:idx val="0"/>
              <c:layout>
                <c:manualLayout>
                  <c:x val="-3.9632142224241412E-2"/>
                  <c:y val="-4.3244907229550385E-2"/>
                </c:manualLayout>
              </c:layout>
              <c:dLblPos val="r"/>
              <c:showLegendKey val="0"/>
              <c:showVal val="1"/>
              <c:showCatName val="0"/>
              <c:showSerName val="0"/>
              <c:showPercent val="0"/>
              <c:showBubbleSize val="0"/>
            </c:dLbl>
            <c:dLbl>
              <c:idx val="1"/>
              <c:layout>
                <c:manualLayout>
                  <c:x val="-4.2582538300460854E-2"/>
                  <c:y val="-4.2909521684178907E-2"/>
                </c:manualLayout>
              </c:layout>
              <c:dLblPos val="r"/>
              <c:showLegendKey val="0"/>
              <c:showVal val="1"/>
              <c:showCatName val="0"/>
              <c:showSerName val="0"/>
              <c:showPercent val="0"/>
              <c:showBubbleSize val="0"/>
            </c:dLbl>
            <c:dLbl>
              <c:idx val="2"/>
              <c:layout>
                <c:manualLayout>
                  <c:x val="-4.482372452680234E-2"/>
                  <c:y val="-5.3504465309902098E-2"/>
                </c:manualLayout>
              </c:layout>
              <c:dLblPos val="r"/>
              <c:showLegendKey val="0"/>
              <c:showVal val="1"/>
              <c:showCatName val="0"/>
              <c:showSerName val="0"/>
              <c:showPercent val="0"/>
              <c:showBubbleSize val="0"/>
            </c:dLbl>
            <c:dLbl>
              <c:idx val="3"/>
              <c:layout>
                <c:manualLayout>
                  <c:x val="-5.1547283205821012E-2"/>
                  <c:y val="-5.3504465309902098E-2"/>
                </c:manualLayout>
              </c:layout>
              <c:dLblPos val="r"/>
              <c:showLegendKey val="0"/>
              <c:showVal val="1"/>
              <c:showCatName val="0"/>
              <c:showSerName val="0"/>
              <c:showPercent val="0"/>
              <c:showBubbleSize val="0"/>
            </c:dLbl>
            <c:dLbl>
              <c:idx val="4"/>
              <c:layout>
                <c:manualLayout>
                  <c:x val="-3.6626188473750612E-2"/>
                  <c:y val="-4.2909539582767608E-2"/>
                </c:manualLayout>
              </c:layout>
              <c:dLblPos val="r"/>
              <c:showLegendKey val="0"/>
              <c:showVal val="1"/>
              <c:showCatName val="0"/>
              <c:showSerName val="0"/>
              <c:showPercent val="0"/>
              <c:showBubbleSize val="0"/>
            </c:dLbl>
            <c:dLbl>
              <c:idx val="5"/>
              <c:layout>
                <c:manualLayout>
                  <c:x val="-5.4023554568213582E-2"/>
                  <c:y val="-4.8120251826064324E-2"/>
                </c:manualLayout>
              </c:layout>
              <c:dLblPos val="r"/>
              <c:showLegendKey val="0"/>
              <c:showVal val="1"/>
              <c:showCatName val="0"/>
              <c:showSerName val="0"/>
              <c:showPercent val="0"/>
              <c:showBubbleSize val="0"/>
            </c:dLbl>
            <c:dLbl>
              <c:idx val="6"/>
              <c:layout>
                <c:manualLayout>
                  <c:x val="-6.989974079327041E-2"/>
                  <c:y val="-4.8207185735032278E-2"/>
                </c:manualLayout>
              </c:layout>
              <c:dLblPos val="r"/>
              <c:showLegendKey val="0"/>
              <c:showVal val="1"/>
              <c:showCatName val="0"/>
              <c:showSerName val="0"/>
              <c:showPercent val="0"/>
              <c:showBubbleSize val="0"/>
            </c:dLbl>
            <c:dLbl>
              <c:idx val="7"/>
              <c:layout>
                <c:manualLayout>
                  <c:x val="-6.4819288893237948E-3"/>
                  <c:y val="-5.5859190810255734E-3"/>
                </c:manualLayout>
              </c:layout>
              <c:dLblPos val="r"/>
              <c:showLegendKey val="0"/>
              <c:showVal val="1"/>
              <c:showCatName val="0"/>
              <c:showSerName val="0"/>
              <c:showPercent val="0"/>
              <c:showBubbleSize val="0"/>
            </c:dLbl>
            <c:dLbl>
              <c:idx val="8"/>
              <c:layout>
                <c:manualLayout>
                  <c:x val="-1.7252545687551735E-2"/>
                  <c:y val="-3.5282830768717452E-2"/>
                </c:manualLayout>
              </c:layout>
              <c:dLblPos val="r"/>
              <c:showLegendKey val="0"/>
              <c:showVal val="1"/>
              <c:showCatName val="0"/>
              <c:showSerName val="0"/>
              <c:showPercent val="0"/>
              <c:showBubbleSize val="0"/>
            </c:dLbl>
            <c:dLbl>
              <c:idx val="9"/>
              <c:layout>
                <c:manualLayout>
                  <c:x val="-6.6362053575997918E-3"/>
                  <c:y val="-1.8264181165193561E-2"/>
                </c:manualLayout>
              </c:layout>
              <c:dLblPos val="r"/>
              <c:showLegendKey val="0"/>
              <c:showVal val="1"/>
              <c:showCatName val="0"/>
              <c:showSerName val="0"/>
              <c:showPercent val="0"/>
              <c:showBubbleSize val="0"/>
            </c:dLbl>
            <c:numFmt formatCode="0.0" sourceLinked="0"/>
            <c:spPr>
              <a:noFill/>
              <a:ln w="25400">
                <a:noFill/>
              </a:ln>
            </c:spPr>
            <c:txPr>
              <a:bodyPr/>
              <a:lstStyle/>
              <a:p>
                <a:pPr algn="r">
                  <a:defRPr sz="920" baseline="0"/>
                </a:pPr>
                <a:endParaRPr lang="lv-LV"/>
              </a:p>
            </c:txPr>
            <c:dLblPos val="t"/>
            <c:showLegendKey val="0"/>
            <c:showVal val="1"/>
            <c:showCatName val="0"/>
            <c:showSerName val="0"/>
            <c:showPercent val="0"/>
            <c:showBubbleSize val="0"/>
            <c:showLeaderLines val="0"/>
          </c:dLbls>
          <c:cat>
            <c:strRef>
              <c:f>'Apmekl. 1990-2012'!$S$43:$Z$43</c:f>
              <c:strCache>
                <c:ptCount val="8"/>
                <c:pt idx="0">
                  <c:v>2005</c:v>
                </c:pt>
                <c:pt idx="1">
                  <c:v>2006</c:v>
                </c:pt>
                <c:pt idx="2">
                  <c:v>2007</c:v>
                </c:pt>
                <c:pt idx="3">
                  <c:v>2008</c:v>
                </c:pt>
                <c:pt idx="4">
                  <c:v>2009</c:v>
                </c:pt>
                <c:pt idx="5">
                  <c:v>2010</c:v>
                </c:pt>
                <c:pt idx="6">
                  <c:v>2011</c:v>
                </c:pt>
                <c:pt idx="7">
                  <c:v>2012</c:v>
                </c:pt>
              </c:strCache>
            </c:strRef>
          </c:cat>
          <c:val>
            <c:numRef>
              <c:f>'Apmekl. 1990-2012'!$S$45:$Z$45</c:f>
              <c:numCache>
                <c:formatCode>#,##0.0</c:formatCode>
                <c:ptCount val="8"/>
                <c:pt idx="0">
                  <c:v>180.304</c:v>
                </c:pt>
                <c:pt idx="1">
                  <c:v>169.02800000000047</c:v>
                </c:pt>
                <c:pt idx="2">
                  <c:v>178.429</c:v>
                </c:pt>
                <c:pt idx="3">
                  <c:v>179.18200000000004</c:v>
                </c:pt>
                <c:pt idx="4">
                  <c:v>134.12300000000002</c:v>
                </c:pt>
                <c:pt idx="5">
                  <c:v>137.74599999999998</c:v>
                </c:pt>
                <c:pt idx="6">
                  <c:v>167.80700000000004</c:v>
                </c:pt>
                <c:pt idx="7">
                  <c:v>188.38200000000245</c:v>
                </c:pt>
              </c:numCache>
            </c:numRef>
          </c:val>
          <c:smooth val="1"/>
        </c:ser>
        <c:ser>
          <c:idx val="2"/>
          <c:order val="1"/>
          <c:tx>
            <c:strRef>
              <c:f>'Apmekl. 1990-2012'!$A$47</c:f>
              <c:strCache>
                <c:ptCount val="1"/>
                <c:pt idx="0">
                  <c:v>Kultūras  ministrijas  pārziņā</c:v>
                </c:pt>
              </c:strCache>
            </c:strRef>
          </c:tx>
          <c:spPr>
            <a:ln w="12700">
              <a:solidFill>
                <a:srgbClr val="003399"/>
              </a:solidFill>
              <a:prstDash val="solid"/>
            </a:ln>
          </c:spPr>
          <c:marker>
            <c:symbol val="square"/>
            <c:size val="5"/>
            <c:spPr>
              <a:solidFill>
                <a:srgbClr val="FF99FF"/>
              </a:solidFill>
              <a:ln>
                <a:solidFill>
                  <a:srgbClr val="333333"/>
                </a:solidFill>
                <a:prstDash val="solid"/>
              </a:ln>
            </c:spPr>
          </c:marker>
          <c:dLbls>
            <c:dLbl>
              <c:idx val="0"/>
              <c:layout>
                <c:manualLayout>
                  <c:x val="-4.9107035333810514E-2"/>
                  <c:y val="4.6385433364659341E-2"/>
                </c:manualLayout>
              </c:layout>
              <c:dLblPos val="r"/>
              <c:showLegendKey val="0"/>
              <c:showVal val="1"/>
              <c:showCatName val="0"/>
              <c:showSerName val="0"/>
              <c:showPercent val="0"/>
              <c:showBubbleSize val="0"/>
            </c:dLbl>
            <c:dLbl>
              <c:idx val="1"/>
              <c:layout>
                <c:manualLayout>
                  <c:x val="-1.3954941045044246E-2"/>
                  <c:y val="4.1499660669675795E-2"/>
                </c:manualLayout>
              </c:layout>
              <c:dLblPos val="r"/>
              <c:showLegendKey val="0"/>
              <c:showVal val="1"/>
              <c:showCatName val="0"/>
              <c:showSerName val="0"/>
              <c:showPercent val="0"/>
              <c:showBubbleSize val="0"/>
            </c:dLbl>
            <c:dLbl>
              <c:idx val="2"/>
              <c:layout>
                <c:manualLayout>
                  <c:x val="-2.8079653564368756E-2"/>
                  <c:y val="4.4616827864214115E-2"/>
                </c:manualLayout>
              </c:layout>
              <c:dLblPos val="r"/>
              <c:showLegendKey val="0"/>
              <c:showVal val="1"/>
              <c:showCatName val="0"/>
              <c:showSerName val="0"/>
              <c:showPercent val="0"/>
              <c:showBubbleSize val="0"/>
            </c:dLbl>
            <c:dLbl>
              <c:idx val="3"/>
              <c:layout>
                <c:manualLayout>
                  <c:x val="-4.1426197872863314E-2"/>
                  <c:y val="5.0004400657554182E-2"/>
                </c:manualLayout>
              </c:layout>
              <c:dLblPos val="r"/>
              <c:showLegendKey val="0"/>
              <c:showVal val="1"/>
              <c:showCatName val="0"/>
              <c:showSerName val="0"/>
              <c:showPercent val="0"/>
              <c:showBubbleSize val="0"/>
            </c:dLbl>
            <c:dLbl>
              <c:idx val="4"/>
              <c:layout>
                <c:manualLayout>
                  <c:x val="-1.714202353107043E-2"/>
                  <c:y val="3.9105786384991209E-2"/>
                </c:manualLayout>
              </c:layout>
              <c:dLblPos val="r"/>
              <c:showLegendKey val="0"/>
              <c:showVal val="1"/>
              <c:showCatName val="0"/>
              <c:showSerName val="0"/>
              <c:showPercent val="0"/>
              <c:showBubbleSize val="0"/>
            </c:dLbl>
            <c:dLbl>
              <c:idx val="5"/>
              <c:layout>
                <c:manualLayout>
                  <c:x val="-5.6161656906929024E-3"/>
                  <c:y val="3.1007325113489748E-2"/>
                </c:manualLayout>
              </c:layout>
              <c:dLblPos val="r"/>
              <c:showLegendKey val="0"/>
              <c:showVal val="1"/>
              <c:showCatName val="0"/>
              <c:showSerName val="0"/>
              <c:showPercent val="0"/>
              <c:showBubbleSize val="0"/>
            </c:dLbl>
            <c:dLbl>
              <c:idx val="6"/>
              <c:layout>
                <c:manualLayout>
                  <c:x val="-2.1342984300875435E-3"/>
                  <c:y val="4.1922654903149434E-2"/>
                </c:manualLayout>
              </c:layout>
              <c:dLblPos val="r"/>
              <c:showLegendKey val="0"/>
              <c:showVal val="1"/>
              <c:showCatName val="0"/>
              <c:showSerName val="0"/>
              <c:showPercent val="0"/>
              <c:showBubbleSize val="0"/>
            </c:dLbl>
            <c:dLbl>
              <c:idx val="7"/>
              <c:layout>
                <c:manualLayout>
                  <c:x val="-5.3249865505941955E-3"/>
                  <c:y val="-1.0361170871311163E-2"/>
                </c:manualLayout>
              </c:layout>
              <c:dLblPos val="r"/>
              <c:showLegendKey val="0"/>
              <c:showVal val="1"/>
              <c:showCatName val="0"/>
              <c:showSerName val="0"/>
              <c:showPercent val="0"/>
              <c:showBubbleSize val="0"/>
            </c:dLbl>
            <c:dLbl>
              <c:idx val="8"/>
              <c:layout>
                <c:manualLayout>
                  <c:x val="-3.1287489133776228E-2"/>
                  <c:y val="3.5495563888761482E-2"/>
                </c:manualLayout>
              </c:layout>
              <c:dLblPos val="r"/>
              <c:showLegendKey val="0"/>
              <c:showVal val="1"/>
              <c:showCatName val="0"/>
              <c:showSerName val="0"/>
              <c:showPercent val="0"/>
              <c:showBubbleSize val="0"/>
            </c:dLbl>
            <c:dLbl>
              <c:idx val="9"/>
              <c:layout>
                <c:manualLayout>
                  <c:x val="-2.1940683741799817E-3"/>
                  <c:y val="2.9296270496418992E-2"/>
                </c:manualLayout>
              </c:layout>
              <c:dLblPos val="r"/>
              <c:showLegendKey val="0"/>
              <c:showVal val="1"/>
              <c:showCatName val="0"/>
              <c:showSerName val="0"/>
              <c:showPercent val="0"/>
              <c:showBubbleSize val="0"/>
            </c:dLbl>
            <c:numFmt formatCode="0.0" sourceLinked="0"/>
            <c:spPr>
              <a:noFill/>
              <a:ln w="25400">
                <a:noFill/>
              </a:ln>
            </c:spPr>
            <c:txPr>
              <a:bodyPr/>
              <a:lstStyle/>
              <a:p>
                <a:pPr>
                  <a:defRPr sz="870" b="1" i="0" baseline="0"/>
                </a:pPr>
                <a:endParaRPr lang="lv-LV"/>
              </a:p>
            </c:txPr>
            <c:dLblPos val="b"/>
            <c:showLegendKey val="0"/>
            <c:showVal val="1"/>
            <c:showCatName val="0"/>
            <c:showSerName val="0"/>
            <c:showPercent val="0"/>
            <c:showBubbleSize val="0"/>
            <c:showLeaderLines val="0"/>
          </c:dLbls>
          <c:cat>
            <c:strRef>
              <c:f>'Apmekl. 1990-2012'!$S$43:$Z$43</c:f>
              <c:strCache>
                <c:ptCount val="8"/>
                <c:pt idx="0">
                  <c:v>2005</c:v>
                </c:pt>
                <c:pt idx="1">
                  <c:v>2006</c:v>
                </c:pt>
                <c:pt idx="2">
                  <c:v>2007</c:v>
                </c:pt>
                <c:pt idx="3">
                  <c:v>2008</c:v>
                </c:pt>
                <c:pt idx="4">
                  <c:v>2009</c:v>
                </c:pt>
                <c:pt idx="5">
                  <c:v>2010</c:v>
                </c:pt>
                <c:pt idx="6">
                  <c:v>2011</c:v>
                </c:pt>
                <c:pt idx="7">
                  <c:v>2012</c:v>
                </c:pt>
              </c:strCache>
            </c:strRef>
          </c:cat>
          <c:val>
            <c:numRef>
              <c:f>'Apmekl. 1990-2012'!$S$47:$Z$47</c:f>
              <c:numCache>
                <c:formatCode>0.0</c:formatCode>
                <c:ptCount val="8"/>
                <c:pt idx="0">
                  <c:v>140.405</c:v>
                </c:pt>
                <c:pt idx="1">
                  <c:v>127.503</c:v>
                </c:pt>
                <c:pt idx="2">
                  <c:v>144.78900000000002</c:v>
                </c:pt>
                <c:pt idx="3">
                  <c:v>138.16200000000001</c:v>
                </c:pt>
                <c:pt idx="4">
                  <c:v>116.04300000000002</c:v>
                </c:pt>
                <c:pt idx="5">
                  <c:v>113.548</c:v>
                </c:pt>
                <c:pt idx="6">
                  <c:v>138.94200000000001</c:v>
                </c:pt>
                <c:pt idx="7">
                  <c:v>157.624</c:v>
                </c:pt>
              </c:numCache>
            </c:numRef>
          </c:val>
          <c:smooth val="0"/>
        </c:ser>
        <c:ser>
          <c:idx val="1"/>
          <c:order val="2"/>
          <c:tx>
            <c:strRef>
              <c:f>'Apmekl. 1990-2012'!$A$46</c:f>
              <c:strCache>
                <c:ptCount val="1"/>
                <c:pt idx="0">
                  <c:v>Pašvaldību  muzeji</c:v>
                </c:pt>
              </c:strCache>
            </c:strRef>
          </c:tx>
          <c:spPr>
            <a:ln w="12700">
              <a:solidFill>
                <a:srgbClr val="003399"/>
              </a:solidFill>
              <a:prstDash val="solid"/>
            </a:ln>
          </c:spPr>
          <c:marker>
            <c:symbol val="triangle"/>
            <c:size val="6"/>
            <c:spPr>
              <a:solidFill>
                <a:srgbClr val="9966FF"/>
              </a:solidFill>
              <a:ln>
                <a:solidFill>
                  <a:srgbClr val="333333"/>
                </a:solidFill>
                <a:prstDash val="solid"/>
              </a:ln>
            </c:spPr>
          </c:marker>
          <c:dLbls>
            <c:dLblPos val="t"/>
            <c:showLegendKey val="0"/>
            <c:showVal val="1"/>
            <c:showCatName val="0"/>
            <c:showSerName val="0"/>
            <c:showPercent val="0"/>
            <c:showBubbleSize val="0"/>
            <c:showLeaderLines val="0"/>
          </c:dLbls>
          <c:cat>
            <c:strRef>
              <c:f>'Apmekl. 1990-2012'!$S$43:$Z$43</c:f>
              <c:strCache>
                <c:ptCount val="8"/>
                <c:pt idx="0">
                  <c:v>2005</c:v>
                </c:pt>
                <c:pt idx="1">
                  <c:v>2006</c:v>
                </c:pt>
                <c:pt idx="2">
                  <c:v>2007</c:v>
                </c:pt>
                <c:pt idx="3">
                  <c:v>2008</c:v>
                </c:pt>
                <c:pt idx="4">
                  <c:v>2009</c:v>
                </c:pt>
                <c:pt idx="5">
                  <c:v>2010</c:v>
                </c:pt>
                <c:pt idx="6">
                  <c:v>2011</c:v>
                </c:pt>
                <c:pt idx="7">
                  <c:v>2012</c:v>
                </c:pt>
              </c:strCache>
            </c:strRef>
          </c:cat>
          <c:val>
            <c:numRef>
              <c:f>'Apmekl. 1990-2012'!$S$46:$Z$46</c:f>
              <c:numCache>
                <c:formatCode>0.0</c:formatCode>
                <c:ptCount val="8"/>
                <c:pt idx="0">
                  <c:v>21.619000000000035</c:v>
                </c:pt>
                <c:pt idx="1">
                  <c:v>25.614000000000235</c:v>
                </c:pt>
                <c:pt idx="2">
                  <c:v>19.474</c:v>
                </c:pt>
                <c:pt idx="3">
                  <c:v>26.024999999999999</c:v>
                </c:pt>
                <c:pt idx="4">
                  <c:v>15.763</c:v>
                </c:pt>
                <c:pt idx="5">
                  <c:v>21.8</c:v>
                </c:pt>
                <c:pt idx="6">
                  <c:v>24.628</c:v>
                </c:pt>
                <c:pt idx="7">
                  <c:v>26.344000000000001</c:v>
                </c:pt>
              </c:numCache>
            </c:numRef>
          </c:val>
          <c:smooth val="0"/>
        </c:ser>
        <c:ser>
          <c:idx val="3"/>
          <c:order val="3"/>
          <c:tx>
            <c:strRef>
              <c:f>'Apmekl. 1990-2012'!$A$48</c:f>
              <c:strCache>
                <c:ptCount val="1"/>
                <c:pt idx="0">
                  <c:v>Citu  ministriju  pārziņā</c:v>
                </c:pt>
              </c:strCache>
            </c:strRef>
          </c:tx>
          <c:spPr>
            <a:ln w="12700">
              <a:solidFill>
                <a:srgbClr val="003399"/>
              </a:solidFill>
              <a:prstDash val="solid"/>
            </a:ln>
          </c:spPr>
          <c:marker>
            <c:symbol val="circle"/>
            <c:size val="5"/>
            <c:spPr>
              <a:solidFill>
                <a:srgbClr val="9999FF"/>
              </a:solidFill>
              <a:ln>
                <a:solidFill>
                  <a:srgbClr val="333333"/>
                </a:solidFill>
                <a:prstDash val="solid"/>
              </a:ln>
            </c:spPr>
          </c:marker>
          <c:dLbls>
            <c:dLbl>
              <c:idx val="0"/>
              <c:layout>
                <c:manualLayout>
                  <c:x val="-5.7636878888882104E-3"/>
                  <c:y val="2.3391812865497082E-2"/>
                </c:manualLayout>
              </c:layout>
              <c:showLegendKey val="0"/>
              <c:showVal val="1"/>
              <c:showCatName val="0"/>
              <c:showSerName val="0"/>
              <c:showPercent val="0"/>
              <c:showBubbleSize val="0"/>
            </c:dLbl>
            <c:dLbl>
              <c:idx val="1"/>
              <c:layout>
                <c:manualLayout>
                  <c:x val="-5.7636878888882104E-3"/>
                  <c:y val="2.9239766081871867E-2"/>
                </c:manualLayout>
              </c:layout>
              <c:showLegendKey val="0"/>
              <c:showVal val="1"/>
              <c:showCatName val="0"/>
              <c:showSerName val="0"/>
              <c:showPercent val="0"/>
              <c:showBubbleSize val="0"/>
            </c:dLbl>
            <c:dLbl>
              <c:idx val="2"/>
              <c:layout>
                <c:manualLayout>
                  <c:x val="-1.9212292962960667E-3"/>
                  <c:y val="1.7543859649123333E-2"/>
                </c:manualLayout>
              </c:layout>
              <c:showLegendKey val="0"/>
              <c:showVal val="1"/>
              <c:showCatName val="0"/>
              <c:showSerName val="0"/>
              <c:showPercent val="0"/>
              <c:showBubbleSize val="0"/>
            </c:dLbl>
            <c:dLbl>
              <c:idx val="4"/>
              <c:layout>
                <c:manualLayout>
                  <c:x val="9.6061464814803568E-3"/>
                  <c:y val="-1.7543859649123333E-2"/>
                </c:manualLayout>
              </c:layout>
              <c:showLegendKey val="0"/>
              <c:showVal val="1"/>
              <c:showCatName val="0"/>
              <c:showSerName val="0"/>
              <c:showPercent val="0"/>
              <c:showBubbleSize val="0"/>
            </c:dLbl>
            <c:dLbl>
              <c:idx val="5"/>
              <c:layout>
                <c:manualLayout>
                  <c:x val="0"/>
                  <c:y val="-1.7543859649123333E-2"/>
                </c:manualLayout>
              </c:layout>
              <c:showLegendKey val="0"/>
              <c:showVal val="1"/>
              <c:showCatName val="0"/>
              <c:showSerName val="0"/>
              <c:showPercent val="0"/>
              <c:showBubbleSize val="0"/>
            </c:dLbl>
            <c:dLbl>
              <c:idx val="6"/>
              <c:layout>
                <c:manualLayout>
                  <c:x val="7.0444260419420199E-17"/>
                  <c:y val="-1.7543859649123333E-2"/>
                </c:manualLayout>
              </c:layout>
              <c:showLegendKey val="0"/>
              <c:showVal val="1"/>
              <c:showCatName val="0"/>
              <c:showSerName val="0"/>
              <c:showPercent val="0"/>
              <c:showBubbleSize val="0"/>
            </c:dLbl>
            <c:dLbl>
              <c:idx val="7"/>
              <c:layout>
                <c:manualLayout>
                  <c:x val="-1.9212292962960667E-3"/>
                  <c:y val="-1.75438596491233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'Apmekl. 1990-2012'!$S$43:$Z$43</c:f>
              <c:strCache>
                <c:ptCount val="8"/>
                <c:pt idx="0">
                  <c:v>2005</c:v>
                </c:pt>
                <c:pt idx="1">
                  <c:v>2006</c:v>
                </c:pt>
                <c:pt idx="2">
                  <c:v>2007</c:v>
                </c:pt>
                <c:pt idx="3">
                  <c:v>2008</c:v>
                </c:pt>
                <c:pt idx="4">
                  <c:v>2009</c:v>
                </c:pt>
                <c:pt idx="5">
                  <c:v>2010</c:v>
                </c:pt>
                <c:pt idx="6">
                  <c:v>2011</c:v>
                </c:pt>
                <c:pt idx="7">
                  <c:v>2012</c:v>
                </c:pt>
              </c:strCache>
            </c:strRef>
          </c:cat>
          <c:val>
            <c:numRef>
              <c:f>'Apmekl. 1990-2012'!$S$48:$Z$48</c:f>
              <c:numCache>
                <c:formatCode>0.0</c:formatCode>
                <c:ptCount val="8"/>
                <c:pt idx="0">
                  <c:v>18.279999999999987</c:v>
                </c:pt>
                <c:pt idx="1">
                  <c:v>15.911</c:v>
                </c:pt>
                <c:pt idx="2">
                  <c:v>14.166</c:v>
                </c:pt>
                <c:pt idx="3">
                  <c:v>14.995000000000006</c:v>
                </c:pt>
                <c:pt idx="4">
                  <c:v>2.3169999999999589</c:v>
                </c:pt>
                <c:pt idx="5">
                  <c:v>2.3979999999999997</c:v>
                </c:pt>
                <c:pt idx="6">
                  <c:v>4.2370000000000001</c:v>
                </c:pt>
                <c:pt idx="7">
                  <c:v>4.4139999999999997</c:v>
                </c:pt>
              </c:numCache>
            </c:numRef>
          </c:val>
          <c:smooth val="0"/>
        </c:ser>
        <c:dLbls>
          <c:showLegendKey val="0"/>
          <c:showVal val="1"/>
          <c:showCatName val="0"/>
          <c:showSerName val="0"/>
          <c:showPercent val="0"/>
          <c:showBubbleSize val="0"/>
        </c:dLbls>
        <c:marker val="1"/>
        <c:smooth val="0"/>
        <c:axId val="59421824"/>
        <c:axId val="59423360"/>
      </c:lineChart>
      <c:catAx>
        <c:axId val="59421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59423360"/>
        <c:crosses val="autoZero"/>
        <c:auto val="1"/>
        <c:lblAlgn val="ctr"/>
        <c:lblOffset val="100"/>
        <c:tickLblSkip val="1"/>
        <c:tickMarkSkip val="1"/>
        <c:noMultiLvlLbl val="0"/>
      </c:catAx>
      <c:valAx>
        <c:axId val="59423360"/>
        <c:scaling>
          <c:orientation val="minMax"/>
          <c:max val="200"/>
        </c:scaling>
        <c:delete val="1"/>
        <c:axPos val="l"/>
        <c:numFmt formatCode="0" sourceLinked="0"/>
        <c:majorTickMark val="out"/>
        <c:minorTickMark val="none"/>
        <c:tickLblPos val="none"/>
        <c:crossAx val="59421824"/>
        <c:crosses val="autoZero"/>
        <c:crossBetween val="between"/>
        <c:majorUnit val="50"/>
      </c:valAx>
      <c:spPr>
        <a:noFill/>
        <a:ln w="25400">
          <a:noFill/>
        </a:ln>
      </c:spPr>
    </c:plotArea>
    <c:legend>
      <c:legendPos val="r"/>
      <c:layout>
        <c:manualLayout>
          <c:xMode val="edge"/>
          <c:yMode val="edge"/>
          <c:x val="0.69364848910614862"/>
          <c:y val="0.23230248146928031"/>
          <c:w val="0.30410053761867673"/>
          <c:h val="0.53785920053215464"/>
        </c:manualLayout>
      </c:layout>
      <c:overlay val="0"/>
      <c:spPr>
        <a:noFill/>
        <a:ln w="25400">
          <a:noFill/>
        </a:ln>
      </c:spPr>
      <c:txPr>
        <a:bodyPr/>
        <a:lstStyle/>
        <a:p>
          <a:pPr>
            <a:defRPr b="1" i="0" baseline="0"/>
          </a:pPr>
          <a:endParaRPr lang="lv-LV"/>
        </a:p>
      </c:txPr>
    </c:legend>
    <c:plotVisOnly val="1"/>
    <c:dispBlanksAs val="gap"/>
    <c:showDLblsOverMax val="0"/>
  </c:chart>
  <c:spPr>
    <a:noFill/>
    <a:ln w="9525">
      <a:noFill/>
    </a:ln>
  </c:spPr>
  <c:txPr>
    <a:bodyPr/>
    <a:lstStyle/>
    <a:p>
      <a:pPr>
        <a:defRPr sz="900" b="0" i="0" u="none" strike="noStrike" baseline="0">
          <a:solidFill>
            <a:srgbClr val="000000"/>
          </a:solidFill>
          <a:latin typeface="+mn-lt"/>
          <a:ea typeface="Times New Roman"/>
          <a:cs typeface="Times New Roman"/>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769621539243158E-2"/>
          <c:y val="7.4620854211405394E-2"/>
          <c:w val="0.93756144118348861"/>
          <c:h val="0.88712192794082567"/>
        </c:manualLayout>
      </c:layout>
      <c:pie3DChart>
        <c:varyColors val="1"/>
        <c:ser>
          <c:idx val="0"/>
          <c:order val="0"/>
          <c:spPr>
            <a:ln>
              <a:noFill/>
            </a:ln>
          </c:spPr>
          <c:dLbls>
            <c:dLbl>
              <c:idx val="0"/>
              <c:layout>
                <c:manualLayout>
                  <c:x val="2.3699564951641307E-2"/>
                  <c:y val="-1.3016715015886181E-2"/>
                </c:manualLayout>
              </c:layout>
              <c:tx>
                <c:rich>
                  <a:bodyPr/>
                  <a:lstStyle/>
                  <a:p>
                    <a:r>
                      <a:rPr lang="en-US" sz="800">
                        <a:latin typeface="Times New Roman" panose="02020603050405020304" pitchFamily="18" charset="0"/>
                        <a:cs typeface="Times New Roman" panose="02020603050405020304" pitchFamily="18" charset="0"/>
                      </a:rPr>
                      <a:t>V</a:t>
                    </a:r>
                    <a:r>
                      <a:rPr lang="en-US">
                        <a:latin typeface="Times New Roman" panose="02020603050405020304" pitchFamily="18" charset="0"/>
                        <a:cs typeface="Times New Roman" panose="02020603050405020304" pitchFamily="18" charset="0"/>
                      </a:rPr>
                      <a:t>alsts 16</a:t>
                    </a:r>
                  </a:p>
                </c:rich>
              </c:tx>
              <c:showLegendKey val="0"/>
              <c:showVal val="1"/>
              <c:showCatName val="1"/>
              <c:showSerName val="0"/>
              <c:showPercent val="0"/>
              <c:showBubbleSize val="0"/>
            </c:dLbl>
            <c:dLbl>
              <c:idx val="1"/>
              <c:layout>
                <c:manualLayout>
                  <c:x val="0.25320332218746627"/>
                  <c:y val="-1.4957867108716673E-3"/>
                </c:manualLayout>
              </c:layout>
              <c:tx>
                <c:rich>
                  <a:bodyPr/>
                  <a:lstStyle/>
                  <a:p>
                    <a:r>
                      <a:rPr lang="en-US" sz="800">
                        <a:latin typeface="Times New Roman" panose="02020603050405020304" pitchFamily="18" charset="0"/>
                        <a:cs typeface="Times New Roman" panose="02020603050405020304" pitchFamily="18" charset="0"/>
                      </a:rPr>
                      <a:t>Pašvaldības 17</a:t>
                    </a:r>
                    <a:endParaRPr lang="en-US" sz="800"/>
                  </a:p>
                </c:rich>
              </c:tx>
              <c:showLegendKey val="0"/>
              <c:showVal val="1"/>
              <c:showCatName val="1"/>
              <c:showSerName val="0"/>
              <c:showPercent val="0"/>
              <c:showBubbleSize val="0"/>
            </c:dLbl>
            <c:dLbl>
              <c:idx val="2"/>
              <c:layout>
                <c:manualLayout>
                  <c:x val="-2.4335382734692407E-2"/>
                  <c:y val="8.4763088824423276E-3"/>
                </c:manualLayout>
              </c:layout>
              <c:tx>
                <c:rich>
                  <a:bodyPr/>
                  <a:lstStyle/>
                  <a:p>
                    <a:r>
                      <a:rPr lang="en-US" sz="800">
                        <a:latin typeface="Times New Roman" panose="02020603050405020304" pitchFamily="18" charset="0"/>
                        <a:cs typeface="Times New Roman" panose="02020603050405020304" pitchFamily="18" charset="0"/>
                      </a:rPr>
                      <a:t>P</a:t>
                    </a:r>
                    <a:r>
                      <a:rPr lang="en-US">
                        <a:latin typeface="Times New Roman" panose="02020603050405020304" pitchFamily="18" charset="0"/>
                        <a:cs typeface="Times New Roman" panose="02020603050405020304" pitchFamily="18" charset="0"/>
                      </a:rPr>
                      <a:t>rivāts 18</a:t>
                    </a:r>
                    <a:endParaRPr lang="en-US"/>
                  </a:p>
                </c:rich>
              </c:tx>
              <c:showLegendKey val="0"/>
              <c:showVal val="1"/>
              <c:showCatName val="1"/>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0"/>
            <c:showBubbleSize val="0"/>
            <c:showLeaderLines val="1"/>
          </c:dLbls>
          <c:cat>
            <c:strRef>
              <c:f>[LV_TOP52_TAVA_turisms2.xlsx]Vizualizācija!$A$1:$C$1</c:f>
              <c:strCache>
                <c:ptCount val="3"/>
                <c:pt idx="0">
                  <c:v>Valsts</c:v>
                </c:pt>
                <c:pt idx="1">
                  <c:v>Pašvaldības</c:v>
                </c:pt>
                <c:pt idx="2">
                  <c:v>Privāts</c:v>
                </c:pt>
              </c:strCache>
            </c:strRef>
          </c:cat>
          <c:val>
            <c:numRef>
              <c:f>[LV_TOP52_TAVA_turisms2.xlsx]Vizualizācija!$A$2:$C$2</c:f>
              <c:numCache>
                <c:formatCode>General</c:formatCode>
                <c:ptCount val="3"/>
                <c:pt idx="0">
                  <c:v>16</c:v>
                </c:pt>
                <c:pt idx="1">
                  <c:v>17</c:v>
                </c:pt>
                <c:pt idx="2">
                  <c:v>18</c:v>
                </c:pt>
              </c:numCache>
            </c:numRef>
          </c:val>
        </c:ser>
        <c:dLbls>
          <c:showLegendKey val="0"/>
          <c:showVal val="1"/>
          <c:showCatName val="1"/>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30867570125164E-2"/>
          <c:y val="5.7369239503369314E-2"/>
          <c:w val="0.56462263645615796"/>
          <c:h val="0.85570722155028478"/>
        </c:manualLayout>
      </c:layout>
      <c:pie3DChart>
        <c:varyColors val="1"/>
        <c:ser>
          <c:idx val="0"/>
          <c:order val="0"/>
          <c:dLbls>
            <c:dLbl>
              <c:idx val="0"/>
              <c:layout>
                <c:manualLayout>
                  <c:x val="-2.5656167979002643E-2"/>
                  <c:y val="6.8378302712160957E-2"/>
                </c:manualLayout>
              </c:layout>
              <c:showLegendKey val="0"/>
              <c:showVal val="0"/>
              <c:showCatName val="0"/>
              <c:showSerName val="0"/>
              <c:showPercent val="1"/>
              <c:showBubbleSize val="0"/>
            </c:dLbl>
            <c:dLbl>
              <c:idx val="1"/>
              <c:layout>
                <c:manualLayout>
                  <c:x val="-2.7144073207065354E-3"/>
                  <c:y val="-1.1622047244094498E-3"/>
                </c:manualLayout>
              </c:layout>
              <c:showLegendKey val="0"/>
              <c:showVal val="0"/>
              <c:showCatName val="0"/>
              <c:showSerName val="0"/>
              <c:showPercent val="1"/>
              <c:showBubbleSize val="0"/>
            </c:dLbl>
            <c:dLbl>
              <c:idx val="8"/>
              <c:layout>
                <c:manualLayout>
                  <c:x val="7.9468149251613829E-2"/>
                  <c:y val="-2.7005424321959775E-2"/>
                </c:manualLayout>
              </c:layout>
              <c:showLegendKey val="0"/>
              <c:showVal val="0"/>
              <c:showCatName val="0"/>
              <c:showSerName val="0"/>
              <c:showPercent val="1"/>
              <c:showBubbleSize val="0"/>
            </c:dLbl>
            <c:txPr>
              <a:bodyPr/>
              <a:lstStyle/>
              <a:p>
                <a:pPr>
                  <a:defRPr sz="800">
                    <a:latin typeface="Times New Roman" panose="02020603050405020304" pitchFamily="18" charset="0"/>
                    <a:cs typeface="Times New Roman" panose="02020603050405020304" pitchFamily="18" charset="0"/>
                  </a:defRPr>
                </a:pPr>
                <a:endParaRPr lang="lv-LV"/>
              </a:p>
            </c:txPr>
            <c:showLegendKey val="0"/>
            <c:showVal val="0"/>
            <c:showCatName val="0"/>
            <c:showSerName val="0"/>
            <c:showPercent val="1"/>
            <c:showBubbleSize val="0"/>
            <c:showLeaderLines val="1"/>
          </c:dLbls>
          <c:cat>
            <c:strRef>
              <c:f>[CSB_LV_apkalp_pers_2012_GALAMER.xlsx]CSB_LV_apkalp_pers_2012_GALAMER!$O$35:$O$43</c:f>
              <c:strCache>
                <c:ptCount val="9"/>
                <c:pt idx="0">
                  <c:v>Rīga</c:v>
                </c:pt>
                <c:pt idx="1">
                  <c:v>Jūrmala</c:v>
                </c:pt>
                <c:pt idx="2">
                  <c:v>Gaujas NP</c:v>
                </c:pt>
                <c:pt idx="3">
                  <c:v>Ventspils, Ventspils novads</c:v>
                </c:pt>
                <c:pt idx="4">
                  <c:v>Liepāja, Nīcas novads</c:v>
                </c:pt>
                <c:pt idx="5">
                  <c:v>Daugavpils, Daugavpils un Krāslavas novads</c:v>
                </c:pt>
                <c:pt idx="6">
                  <c:v>Engures, Rojas novads</c:v>
                </c:pt>
                <c:pt idx="7">
                  <c:v>Vidzemes jūrmala (Saulkrastu, Carnikavas, Salacgrīvas un Limbažu novads) novads</c:v>
                </c:pt>
                <c:pt idx="8">
                  <c:v>Pārējie</c:v>
                </c:pt>
              </c:strCache>
            </c:strRef>
          </c:cat>
          <c:val>
            <c:numRef>
              <c:f>[CSB_LV_apkalp_pers_2012_GALAMER.xlsx]CSB_LV_apkalp_pers_2012_GALAMER!$P$35:$P$43</c:f>
              <c:numCache>
                <c:formatCode>General</c:formatCode>
                <c:ptCount val="9"/>
                <c:pt idx="0">
                  <c:v>845681</c:v>
                </c:pt>
                <c:pt idx="1">
                  <c:v>91973</c:v>
                </c:pt>
                <c:pt idx="2">
                  <c:v>33386</c:v>
                </c:pt>
                <c:pt idx="3">
                  <c:v>21945</c:v>
                </c:pt>
                <c:pt idx="4">
                  <c:v>25457</c:v>
                </c:pt>
                <c:pt idx="5">
                  <c:v>15270</c:v>
                </c:pt>
                <c:pt idx="6">
                  <c:v>9153</c:v>
                </c:pt>
                <c:pt idx="7">
                  <c:v>4369</c:v>
                </c:pt>
                <c:pt idx="8">
                  <c:v>49040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9389715550546507"/>
          <c:y val="1.9630571256962815E-2"/>
          <c:w val="0.40437350553617935"/>
          <c:h val="0.9533981781689056"/>
        </c:manualLayout>
      </c:layout>
      <c:overlay val="0"/>
      <c:txPr>
        <a:bodyPr/>
        <a:lstStyle/>
        <a:p>
          <a:pPr>
            <a:defRPr sz="800">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82D2-2015-4CCF-9659-0D8153DA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104291</Words>
  <Characters>59446</Characters>
  <Application>Microsoft Office Word</Application>
  <DocSecurity>0</DocSecurity>
  <Lines>495</Lines>
  <Paragraphs>326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tūrisma attīstības pamatnostādņu 2014-2020.gadam projekts</vt:lpstr>
      <vt:lpstr/>
    </vt:vector>
  </TitlesOfParts>
  <Company>LR Ekonomikas ministrija</Company>
  <LinksUpToDate>false</LinksUpToDate>
  <CharactersWithSpaces>163411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tūrisma attīstības pamatnostādņu 2014-2020.gadam projekts</dc:title>
  <dc:subject>Informatīvā daļa</dc:subject>
  <dc:creator>Jānis Volberts</dc:creator>
  <dc:description>67013021; Janis.Volberts@em.gov.lv</dc:description>
  <cp:lastModifiedBy>Jānis Volberts</cp:lastModifiedBy>
  <cp:revision>5</cp:revision>
  <cp:lastPrinted>2014-05-16T05:54:00Z</cp:lastPrinted>
  <dcterms:created xsi:type="dcterms:W3CDTF">2014-05-15T10:41:00Z</dcterms:created>
  <dcterms:modified xsi:type="dcterms:W3CDTF">2014-06-09T06:42:00Z</dcterms:modified>
</cp:coreProperties>
</file>