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DD" w:rsidRPr="00493DDD" w:rsidRDefault="00493DDD" w:rsidP="00DA2C51">
      <w:pPr>
        <w:suppressAutoHyphens/>
        <w:spacing w:before="0" w:after="0" w:line="240" w:lineRule="auto"/>
        <w:ind w:firstLine="0"/>
        <w:jc w:val="right"/>
        <w:rPr>
          <w:sz w:val="28"/>
          <w:szCs w:val="28"/>
          <w:lang w:val="lv-LV"/>
        </w:rPr>
      </w:pPr>
      <w:r w:rsidRPr="00493DDD">
        <w:rPr>
          <w:color w:val="000000" w:themeColor="text1"/>
          <w:sz w:val="28"/>
          <w:szCs w:val="28"/>
          <w:lang w:val="lv-LV"/>
        </w:rPr>
        <w:t>Pielikums</w:t>
      </w:r>
      <w:r w:rsidR="00DA2C51">
        <w:rPr>
          <w:color w:val="000000" w:themeColor="text1"/>
          <w:sz w:val="28"/>
          <w:szCs w:val="28"/>
          <w:lang w:val="lv-LV"/>
        </w:rPr>
        <w:t xml:space="preserve"> Nr.1</w:t>
      </w:r>
      <w:r w:rsidRPr="00493DDD">
        <w:rPr>
          <w:color w:val="000000" w:themeColor="text1"/>
          <w:sz w:val="28"/>
          <w:szCs w:val="28"/>
          <w:lang w:val="lv-LV"/>
        </w:rPr>
        <w:t xml:space="preserve"> </w:t>
      </w:r>
      <w:r w:rsidRPr="00493DDD">
        <w:rPr>
          <w:sz w:val="28"/>
          <w:szCs w:val="28"/>
          <w:lang w:val="lv-LV"/>
        </w:rPr>
        <w:t>informatīvajam ziņojumam</w:t>
      </w:r>
    </w:p>
    <w:p w:rsidR="00493DDD" w:rsidRPr="00493DDD" w:rsidRDefault="00493DDD" w:rsidP="00DA2C51">
      <w:pPr>
        <w:suppressAutoHyphens/>
        <w:spacing w:before="0" w:after="0" w:line="240" w:lineRule="auto"/>
        <w:ind w:firstLine="0"/>
        <w:jc w:val="right"/>
        <w:rPr>
          <w:sz w:val="28"/>
          <w:szCs w:val="28"/>
          <w:lang w:val="lv-LV"/>
        </w:rPr>
      </w:pPr>
      <w:r w:rsidRPr="00493DDD">
        <w:rPr>
          <w:sz w:val="28"/>
          <w:szCs w:val="28"/>
          <w:lang w:val="lv-LV"/>
        </w:rPr>
        <w:t>par enerģētikas politikas finansēšanu laika posmā no 2014.-2020.gadam</w:t>
      </w:r>
    </w:p>
    <w:p w:rsidR="00493DDD" w:rsidRPr="00493DDD" w:rsidRDefault="00493DDD" w:rsidP="00DA2C51">
      <w:pPr>
        <w:suppressAutoHyphens/>
        <w:spacing w:before="0" w:after="0" w:line="240" w:lineRule="auto"/>
        <w:ind w:firstLine="709"/>
        <w:jc w:val="center"/>
        <w:rPr>
          <w:color w:val="000000" w:themeColor="text1"/>
          <w:sz w:val="28"/>
          <w:szCs w:val="28"/>
          <w:lang w:val="lv-LV"/>
        </w:rPr>
      </w:pPr>
    </w:p>
    <w:p w:rsidR="00DA2C51" w:rsidRPr="008D0AD1" w:rsidRDefault="00DA2C51" w:rsidP="00DA2C51">
      <w:pPr>
        <w:suppressAutoHyphens/>
        <w:spacing w:before="0" w:after="0" w:line="240" w:lineRule="auto"/>
        <w:ind w:firstLine="709"/>
        <w:jc w:val="center"/>
        <w:rPr>
          <w:b/>
          <w:color w:val="000000" w:themeColor="text1"/>
          <w:sz w:val="28"/>
          <w:szCs w:val="28"/>
          <w:lang w:val="lv-LV"/>
        </w:rPr>
      </w:pPr>
      <w:r w:rsidRPr="008D0AD1">
        <w:rPr>
          <w:b/>
          <w:color w:val="000000" w:themeColor="text1"/>
          <w:sz w:val="28"/>
          <w:szCs w:val="28"/>
          <w:lang w:val="lv-LV"/>
        </w:rPr>
        <w:t>Enerģētikas politikas pamatvirzieni un rīcības pasākumi līdz 2020.gadam</w:t>
      </w:r>
    </w:p>
    <w:p w:rsidR="00DA2C51" w:rsidRPr="00A12010" w:rsidRDefault="00DA2C51" w:rsidP="00DA2C51">
      <w:pPr>
        <w:suppressAutoHyphens/>
        <w:spacing w:before="0" w:after="0" w:line="240" w:lineRule="auto"/>
        <w:ind w:firstLine="709"/>
        <w:jc w:val="center"/>
        <w:rPr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835"/>
        <w:gridCol w:w="1905"/>
        <w:gridCol w:w="1842"/>
        <w:gridCol w:w="284"/>
        <w:gridCol w:w="1842"/>
        <w:gridCol w:w="560"/>
        <w:gridCol w:w="18"/>
        <w:gridCol w:w="3830"/>
        <w:gridCol w:w="18"/>
      </w:tblGrid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>Nr</w:t>
            </w:r>
            <w:proofErr w:type="spellEnd"/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>Ieviešanas periods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>Nepieciešamais finansējums</w:t>
            </w:r>
          </w:p>
        </w:tc>
        <w:tc>
          <w:tcPr>
            <w:tcW w:w="2420" w:type="dxa"/>
            <w:gridSpan w:val="3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>Iespējamais finansēšanas avots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Sagaidāmais rezultāts </w:t>
            </w:r>
          </w:p>
        </w:tc>
      </w:tr>
      <w:tr w:rsidR="00DA2C51" w:rsidRPr="00A12010" w:rsidTr="00C60D78">
        <w:tc>
          <w:tcPr>
            <w:tcW w:w="13890" w:type="dxa"/>
            <w:gridSpan w:val="10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A12010">
              <w:rPr>
                <w:b/>
                <w:color w:val="000000" w:themeColor="text1"/>
                <w:sz w:val="28"/>
                <w:szCs w:val="28"/>
                <w:lang w:val="lv-LV"/>
              </w:rPr>
              <w:t>ELEKTROENERĢIJAS TIRGUS UN INFRASTRUKTŪRA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Pārvades tīkla uzlabojumi: </w:t>
            </w:r>
            <w:r w:rsidRPr="00A12010">
              <w:rPr>
                <w:sz w:val="24"/>
                <w:szCs w:val="24"/>
                <w:lang w:val="lv-LV"/>
              </w:rPr>
              <w:t xml:space="preserve">Latvijas-Igaunijas trešais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starpsavienojums</w:t>
            </w:r>
            <w:proofErr w:type="spellEnd"/>
          </w:p>
        </w:tc>
        <w:tc>
          <w:tcPr>
            <w:tcW w:w="1905" w:type="dxa"/>
          </w:tcPr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Kopējās izmaksas -133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 xml:space="preserve">. EUR,  Latvijai līdz robežai ar Igauniju </w:t>
            </w:r>
            <w:r w:rsidRPr="00A12010">
              <w:rPr>
                <w:color w:val="000000"/>
                <w:sz w:val="24"/>
                <w:szCs w:val="24"/>
                <w:lang w:val="lv-LV"/>
              </w:rPr>
              <w:t>102,33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CEF (līdz 75% līdzfinansējums); AS „Augstsprieguma tīkls”  un AS „LET” kapitālieguldījumi</w:t>
            </w:r>
            <w:r w:rsidR="00C65A8B">
              <w:rPr>
                <w:color w:val="000000" w:themeColor="text1"/>
                <w:sz w:val="24"/>
                <w:szCs w:val="24"/>
                <w:lang w:val="lv-LV"/>
              </w:rPr>
              <w:t xml:space="preserve"> (</w:t>
            </w:r>
            <w:r w:rsidR="007D5C52">
              <w:rPr>
                <w:color w:val="000000" w:themeColor="text1"/>
                <w:sz w:val="24"/>
                <w:szCs w:val="24"/>
                <w:lang w:val="lv-LV"/>
              </w:rPr>
              <w:t>~</w:t>
            </w:r>
            <w:r w:rsidR="00C65A8B">
              <w:rPr>
                <w:color w:val="000000" w:themeColor="text1"/>
                <w:sz w:val="24"/>
                <w:szCs w:val="24"/>
                <w:lang w:val="lv-LV"/>
              </w:rPr>
              <w:t xml:space="preserve">25,8 </w:t>
            </w:r>
            <w:proofErr w:type="spellStart"/>
            <w:r w:rsidR="00C65A8B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 w:rsidR="00C65A8B">
              <w:rPr>
                <w:color w:val="000000" w:themeColor="text1"/>
                <w:sz w:val="24"/>
                <w:szCs w:val="24"/>
                <w:lang w:val="lv-LV"/>
              </w:rPr>
              <w:t xml:space="preserve">. EUR) 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Novērsta elektropārvades līniju pārslodze Latvijas-Igaunijas starpvalstu savienojumā palielinot caurlaides spēju par 500rn -600MW,</w:t>
            </w:r>
          </w:p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elektroenerģijas apgādes drošumu Baltijas valstīs, </w:t>
            </w:r>
          </w:p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Veicināta Baltijas elektroenerģijas tirgus integrāciju Ziemeļvalstu elektroenerģijas tirgū.</w:t>
            </w: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Pārvades tīkla attīstība: </w:t>
            </w:r>
            <w:r w:rsidRPr="00A12010">
              <w:rPr>
                <w:sz w:val="24"/>
                <w:szCs w:val="24"/>
                <w:lang w:val="lv-LV"/>
              </w:rPr>
              <w:t>Kurzemes loks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- 1.etaps un 2.etaps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-  3.etaps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Realizēts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līdz 2018.gadam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66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,</w:t>
            </w: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109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. EUR </w:t>
            </w:r>
          </w:p>
          <w:p w:rsidR="00DA2C51" w:rsidRPr="00A12010" w:rsidRDefault="00DA2C51" w:rsidP="007D5C52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</w:t>
            </w:r>
            <w:r w:rsidR="007D5C52">
              <w:rPr>
                <w:color w:val="000000" w:themeColor="text1"/>
                <w:sz w:val="24"/>
                <w:szCs w:val="24"/>
                <w:lang w:val="lv-LV"/>
              </w:rPr>
              <w:t>27,4</w:t>
            </w: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. 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CEF (līdzfinansējums līdz 50%);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„LET” kapitālieguldījumi</w:t>
            </w:r>
            <w:r w:rsidR="00EA5B06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7D5C52">
              <w:rPr>
                <w:color w:val="000000" w:themeColor="text1"/>
                <w:sz w:val="24"/>
                <w:szCs w:val="24"/>
                <w:lang w:val="lv-LV"/>
              </w:rPr>
              <w:t xml:space="preserve">(~63,7 </w:t>
            </w:r>
            <w:proofErr w:type="spellStart"/>
            <w:r w:rsidR="007D5C52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 w:rsidR="007D5C52">
              <w:rPr>
                <w:color w:val="000000" w:themeColor="text1"/>
                <w:sz w:val="24"/>
                <w:szCs w:val="24"/>
                <w:lang w:val="lv-LV"/>
              </w:rPr>
              <w:t xml:space="preserve">. EUR)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Paaugstināts Baltijas elektroenerģijas apgādes drošības līmeni,</w:t>
            </w:r>
          </w:p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Nodrošināta Latvijas-Igaunijas trešā starpsavienojuma pieslēguma punktu, kā arī droša tranzīta koridora starp Skandināvijas, Baltijas valstīm un Poliju no </w:t>
            </w:r>
            <w:r w:rsidRPr="00A12010">
              <w:rPr>
                <w:sz w:val="24"/>
                <w:szCs w:val="24"/>
                <w:lang w:val="lv-LV"/>
              </w:rPr>
              <w:lastRenderedPageBreak/>
              <w:t>Ziemeļiem uz Dienvidiem</w:t>
            </w:r>
          </w:p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Nodrošināta no atjaunojamajiem energoresursiem saražotās elektroenerģijas nodošana pārvades tīklā.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Pārvades tīkla uzlabojumi: apakšstacijas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189,03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„Augstsprieguma tīkls” un AS „LET”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Latvijas elektroenerģijas apgādes drošības līmenis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4.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Pārvades tīkla uzlabojumi:  kabeļu līnijas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8,25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”Augstsprieguma tīkls"  un AS „LET”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Latvijas elektroenerģijas apgādes drošības un efektivitātes līmenis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5.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Pārvades tīkla uzlabojumi:  gaisvadu līnijas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48,57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„Augstsprieguma tīkls” un AS „LET”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Latvijas elektroenerģijas apgādes drošības līmenis </w:t>
            </w:r>
          </w:p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6.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Pārvades tīkla uzlabojumi:  pārējie pasākumi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11,74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„Augstsprieguma tīkls” un AS „LET”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Latvijas elektroenerģijas apgādes drošības līmenis.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7.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highlight w:val="lightGray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Sadales tīkla uzlabojumi: rekonstrukcijas (elektrolīnijas, transformatoru punkti un projekti sprieguma novirzes samazināšanai; 6-</w:t>
            </w: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20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kV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slēgiekārtas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600 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„Sadales tīkli” 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Latvijas elektroenerģijas apgādes drošības līmenis.  </w:t>
            </w:r>
          </w:p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Nodrošināta  atbilstoša sprieguma kvalitāte, samazināts elektroenerģijas piegādes </w:t>
            </w:r>
            <w:r w:rsidRPr="00A12010">
              <w:rPr>
                <w:sz w:val="24"/>
                <w:szCs w:val="24"/>
                <w:lang w:val="lv-LV"/>
              </w:rPr>
              <w:lastRenderedPageBreak/>
              <w:t>pārtraukuma laiks</w:t>
            </w:r>
          </w:p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8.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Sadales tīkla uzlabojumi: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i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A12010">
              <w:rPr>
                <w:i/>
                <w:color w:val="000000" w:themeColor="text1"/>
                <w:sz w:val="24"/>
                <w:szCs w:val="24"/>
                <w:lang w:val="lv-LV"/>
              </w:rPr>
              <w:t>Smart</w:t>
            </w:r>
            <w:proofErr w:type="spellEnd"/>
            <w:r w:rsidRPr="00A12010">
              <w:rPr>
                <w:i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12010">
              <w:rPr>
                <w:i/>
                <w:color w:val="000000" w:themeColor="text1"/>
                <w:sz w:val="24"/>
                <w:szCs w:val="24"/>
                <w:lang w:val="lv-LV"/>
              </w:rPr>
              <w:t>Grid</w:t>
            </w:r>
            <w:proofErr w:type="spellEnd"/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highlight w:val="lightGray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(Viedās uzskaites sistēmas ieviešana; automatizācija; bojājumu vietas uzrādītāju uzstādīšana;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dispečervadība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bookmarkStart w:id="0" w:name="OLE_LINK1"/>
            <w:bookmarkStart w:id="1" w:name="OLE_LINK2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  <w:bookmarkEnd w:id="0"/>
            <w:bookmarkEnd w:id="1"/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100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„Sadales tīkli” 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Latvijas elektroenerģijas apgādes drošības līmenis, samazināts elektroenerģijas piegādes pārtraukumu laiks </w:t>
            </w:r>
          </w:p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9.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highlight w:val="lightGray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Sadales tīkla uzlabojumi: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Vidsprieguma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kabeļu programma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90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„Sadales tīkli”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Paaugstināts Latvijas elektroenerģijas apgādes drošības līmeni, samazināts elektroenerģijas piegādes pārtraukumu laiks.</w:t>
            </w: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10.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Sadales tīklu uzlabojumi: Jaunas 110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kV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apakšstacijas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2023.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40 milj.EUR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AS „Sadales tīkli” kapitālieguldījumi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Paaugstināts Latvijas elektroenerģijas apgādes drošības līmenis, nodrošināta  atbilstošu sprieguma kvalitāte. </w:t>
            </w: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11. 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Sociālais atbalsta instruments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2015.-2020.</w:t>
            </w:r>
          </w:p>
        </w:tc>
        <w:tc>
          <w:tcPr>
            <w:tcW w:w="1842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35,92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. EUR 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Valsts budžets</w:t>
            </w:r>
          </w:p>
        </w:tc>
        <w:tc>
          <w:tcPr>
            <w:tcW w:w="4426" w:type="dxa"/>
            <w:gridSpan w:val="4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Nodrošināts atbalsts trūcīgām un maznodrošinātām mājsaimniecībām sakarā ar elektroenerģijas kopējās cenas pieaugumu pēc elektroenerģijas publiskā tirgotāja subsidēto tarifu atcelšanas. </w:t>
            </w:r>
          </w:p>
        </w:tc>
      </w:tr>
      <w:tr w:rsidR="00DA2C51" w:rsidRPr="00A12010" w:rsidTr="00C60D78">
        <w:tc>
          <w:tcPr>
            <w:tcW w:w="13890" w:type="dxa"/>
            <w:gridSpan w:val="10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A12010">
              <w:rPr>
                <w:b/>
                <w:color w:val="000000" w:themeColor="text1"/>
                <w:sz w:val="28"/>
                <w:szCs w:val="28"/>
                <w:lang w:val="lv-LV"/>
              </w:rPr>
              <w:t>DABASGĀZES TIRGUS UN INFRASTRUKTŪRA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EA5B06" w:rsidRDefault="00DA2C51" w:rsidP="00EA5B0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Inčukalna PGK modernizācija un palielināšana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2025.gadam</w:t>
            </w:r>
          </w:p>
        </w:tc>
        <w:tc>
          <w:tcPr>
            <w:tcW w:w="2126" w:type="dxa"/>
            <w:gridSpan w:val="2"/>
          </w:tcPr>
          <w:p w:rsidR="00DA2C51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~191 milj.EUR krātuves modernizācijai un </w:t>
            </w:r>
            <w:r w:rsidRPr="00A12010">
              <w:rPr>
                <w:sz w:val="24"/>
                <w:szCs w:val="24"/>
                <w:lang w:val="lv-LV"/>
              </w:rPr>
              <w:lastRenderedPageBreak/>
              <w:t>~376</w:t>
            </w:r>
            <w:r>
              <w:rPr>
                <w:sz w:val="24"/>
                <w:szCs w:val="24"/>
                <w:lang w:val="lv-LV"/>
              </w:rPr>
              <w:t>,</w:t>
            </w:r>
            <w:r w:rsidRPr="00A12010">
              <w:rPr>
                <w:sz w:val="24"/>
                <w:szCs w:val="24"/>
                <w:lang w:val="lv-LV"/>
              </w:rPr>
              <w:t>5 milj.EUR paplašināšanai, ieskaitot bufera gāzi</w:t>
            </w: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sz w:val="24"/>
                <w:szCs w:val="24"/>
                <w:lang w:val="lv-LV"/>
              </w:rPr>
            </w:pPr>
            <w:r w:rsidRPr="00C65A8B">
              <w:rPr>
                <w:b/>
                <w:sz w:val="24"/>
                <w:szCs w:val="24"/>
                <w:lang w:val="lv-LV"/>
              </w:rPr>
              <w:t>1.kārta</w:t>
            </w:r>
          </w:p>
          <w:p w:rsidR="00C65A8B" w:rsidRP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89,7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lv-LV"/>
              </w:rPr>
              <w:t>. EUR</w:t>
            </w:r>
          </w:p>
        </w:tc>
        <w:tc>
          <w:tcPr>
            <w:tcW w:w="2420" w:type="dxa"/>
            <w:gridSpan w:val="3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CEF (līdz 50% līdzfinansējums);</w:t>
            </w:r>
          </w:p>
          <w:p w:rsidR="00DA2C51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AS “Latvijas Gāze” </w:t>
            </w: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kapitālieguldījumi</w:t>
            </w: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Lietuvas, Igaunijas, Somijas pārvades sistēmas operatori</w:t>
            </w: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AS „Latvijas Gāze” – 5,61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. EUR </w:t>
            </w: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AS „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Amber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Grid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” – 6,88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>. EUR</w:t>
            </w:r>
          </w:p>
          <w:p w:rsidR="00C65A8B" w:rsidRPr="00A12010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CEF finansējums – 37,46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>. EUR (indikatīvs)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lastRenderedPageBreak/>
              <w:t xml:space="preserve">Paaugstināta gāzes piegādes drošība Baltijas reģionam.  </w:t>
            </w:r>
          </w:p>
        </w:tc>
      </w:tr>
      <w:tr w:rsidR="0037700A" w:rsidRPr="00A12010" w:rsidTr="00C60D78">
        <w:tc>
          <w:tcPr>
            <w:tcW w:w="756" w:type="dxa"/>
          </w:tcPr>
          <w:p w:rsidR="0037700A" w:rsidRPr="00EA5B06" w:rsidRDefault="0037700A" w:rsidP="00EA5B0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37700A" w:rsidRPr="00A12010" w:rsidRDefault="0037700A" w:rsidP="0037700A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Polijas – Lietuvas gāzes starpsavienojuma izbūve</w:t>
            </w:r>
          </w:p>
        </w:tc>
        <w:tc>
          <w:tcPr>
            <w:tcW w:w="1905" w:type="dxa"/>
          </w:tcPr>
          <w:p w:rsidR="0037700A" w:rsidRPr="00A12010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---</w:t>
            </w:r>
          </w:p>
        </w:tc>
        <w:tc>
          <w:tcPr>
            <w:tcW w:w="2126" w:type="dxa"/>
            <w:gridSpan w:val="2"/>
          </w:tcPr>
          <w:p w:rsidR="0037700A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1.posms – 471 </w:t>
            </w:r>
            <w:proofErr w:type="spellStart"/>
            <w:r>
              <w:rPr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sz w:val="24"/>
                <w:szCs w:val="24"/>
                <w:lang w:val="lv-LV"/>
              </w:rPr>
              <w:t>. EUR</w:t>
            </w:r>
          </w:p>
          <w:p w:rsidR="0037700A" w:rsidRPr="00A12010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2.posma – 66 </w:t>
            </w:r>
            <w:proofErr w:type="spellStart"/>
            <w:r>
              <w:rPr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sz w:val="24"/>
                <w:szCs w:val="24"/>
                <w:lang w:val="lv-LV"/>
              </w:rPr>
              <w:t>. EUR</w:t>
            </w:r>
          </w:p>
        </w:tc>
        <w:tc>
          <w:tcPr>
            <w:tcW w:w="2420" w:type="dxa"/>
            <w:gridSpan w:val="3"/>
          </w:tcPr>
          <w:p w:rsidR="0037700A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(indikatīvi, atkarībā no pieprasījuma)</w:t>
            </w:r>
          </w:p>
          <w:p w:rsidR="0037700A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CEF finansējums</w:t>
            </w:r>
          </w:p>
          <w:p w:rsidR="0037700A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Gaz-Systems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S.A. </w:t>
            </w:r>
          </w:p>
          <w:p w:rsidR="0037700A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AS „Amber Grid”</w:t>
            </w:r>
          </w:p>
          <w:p w:rsidR="0037700A" w:rsidRPr="00A12010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AS „Latvijas Gāze”</w:t>
            </w:r>
          </w:p>
        </w:tc>
        <w:tc>
          <w:tcPr>
            <w:tcW w:w="3848" w:type="dxa"/>
            <w:gridSpan w:val="2"/>
          </w:tcPr>
          <w:p w:rsidR="00EA5B06" w:rsidRPr="00EA5B06" w:rsidRDefault="00EA5B06" w:rsidP="00EA5B06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Jauna gāzes vada 562 km izbūve, 700 mm diametrs. </w:t>
            </w:r>
            <w:r w:rsidRPr="00EA5B06">
              <w:rPr>
                <w:sz w:val="24"/>
                <w:szCs w:val="24"/>
                <w:lang w:val="lv-LV"/>
              </w:rPr>
              <w:t>Diversificēti piegādes avoti visam Baltijas reģionam,</w:t>
            </w:r>
          </w:p>
          <w:p w:rsidR="0037700A" w:rsidRPr="00A12010" w:rsidRDefault="00EA5B06" w:rsidP="00EA5B06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EA5B06">
              <w:rPr>
                <w:sz w:val="24"/>
                <w:szCs w:val="24"/>
                <w:lang w:val="lv-LV"/>
              </w:rPr>
              <w:t>Paaugstināta gāzes piegādes drošība</w:t>
            </w:r>
          </w:p>
        </w:tc>
      </w:tr>
      <w:tr w:rsidR="00EA5B06" w:rsidRPr="00A12010" w:rsidTr="00C60D78">
        <w:tc>
          <w:tcPr>
            <w:tcW w:w="756" w:type="dxa"/>
          </w:tcPr>
          <w:p w:rsidR="00C65A8B" w:rsidRPr="00C65A8B" w:rsidRDefault="00C65A8B" w:rsidP="00EA5B0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C65A8B" w:rsidRPr="00A12010" w:rsidRDefault="00C65A8B" w:rsidP="00C65A8B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Klaipēdas –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Kiemenai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cauruļvada jaudas palielināšana </w:t>
            </w:r>
          </w:p>
        </w:tc>
        <w:tc>
          <w:tcPr>
            <w:tcW w:w="1905" w:type="dxa"/>
          </w:tcPr>
          <w:p w:rsidR="00C65A8B" w:rsidRPr="00A12010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Līdz 2016.gadam</w:t>
            </w:r>
          </w:p>
        </w:tc>
        <w:tc>
          <w:tcPr>
            <w:tcW w:w="2126" w:type="dxa"/>
            <w:gridSpan w:val="2"/>
          </w:tcPr>
          <w:p w:rsidR="00C65A8B" w:rsidRPr="00A12010" w:rsidRDefault="0037700A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56,112 </w:t>
            </w:r>
            <w:proofErr w:type="spellStart"/>
            <w:r>
              <w:rPr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sz w:val="24"/>
                <w:szCs w:val="24"/>
                <w:lang w:val="lv-LV"/>
              </w:rPr>
              <w:t>. EUR</w:t>
            </w:r>
          </w:p>
        </w:tc>
        <w:tc>
          <w:tcPr>
            <w:tcW w:w="2420" w:type="dxa"/>
            <w:gridSpan w:val="3"/>
          </w:tcPr>
          <w:p w:rsidR="0037700A" w:rsidRDefault="0037700A" w:rsidP="0037700A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AS „Latvijas Gāze”- </w:t>
            </w:r>
            <w:r w:rsidRPr="0037700A">
              <w:rPr>
                <w:color w:val="000000" w:themeColor="text1"/>
                <w:sz w:val="24"/>
                <w:szCs w:val="24"/>
                <w:lang w:val="lv-LV"/>
              </w:rPr>
              <w:t xml:space="preserve"> 1,897 </w:t>
            </w:r>
            <w:proofErr w:type="spellStart"/>
            <w:r w:rsidRPr="0037700A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. </w:t>
            </w:r>
            <w:r w:rsidRPr="0037700A">
              <w:rPr>
                <w:color w:val="000000" w:themeColor="text1"/>
                <w:sz w:val="24"/>
                <w:szCs w:val="24"/>
                <w:lang w:val="lv-LV"/>
              </w:rPr>
              <w:t xml:space="preserve">EUR </w:t>
            </w:r>
          </w:p>
          <w:p w:rsidR="0037700A" w:rsidRDefault="0037700A" w:rsidP="0037700A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37700A">
              <w:rPr>
                <w:color w:val="000000" w:themeColor="text1"/>
                <w:sz w:val="24"/>
                <w:szCs w:val="24"/>
                <w:lang w:val="lv-LV"/>
              </w:rPr>
              <w:t xml:space="preserve">AB </w:t>
            </w:r>
            <w:proofErr w:type="spellStart"/>
            <w:r w:rsidRPr="0037700A">
              <w:rPr>
                <w:color w:val="000000" w:themeColor="text1"/>
                <w:sz w:val="24"/>
                <w:szCs w:val="24"/>
                <w:lang w:val="lv-LV"/>
              </w:rPr>
              <w:t>Amber</w:t>
            </w:r>
            <w:proofErr w:type="spellEnd"/>
            <w:r w:rsidRPr="0037700A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7700A">
              <w:rPr>
                <w:color w:val="000000" w:themeColor="text1"/>
                <w:sz w:val="24"/>
                <w:szCs w:val="24"/>
                <w:lang w:val="lv-LV"/>
              </w:rPr>
              <w:t>Grid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- </w:t>
            </w:r>
            <w:r w:rsidRPr="0037700A">
              <w:rPr>
                <w:color w:val="000000" w:themeColor="text1"/>
                <w:sz w:val="24"/>
                <w:szCs w:val="24"/>
                <w:lang w:val="lv-LV"/>
              </w:rPr>
              <w:t xml:space="preserve"> 23,878 </w:t>
            </w:r>
            <w:proofErr w:type="spellStart"/>
            <w:r w:rsidRPr="0037700A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. </w:t>
            </w:r>
            <w:r w:rsidRPr="0037700A">
              <w:rPr>
                <w:color w:val="000000" w:themeColor="text1"/>
                <w:sz w:val="24"/>
                <w:szCs w:val="24"/>
                <w:lang w:val="lv-LV"/>
              </w:rPr>
              <w:t>EUR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:rsidR="00C65A8B" w:rsidRPr="00A12010" w:rsidRDefault="0037700A" w:rsidP="0037700A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CEF finansējums </w:t>
            </w:r>
            <w:r w:rsidRPr="0037700A">
              <w:rPr>
                <w:color w:val="000000" w:themeColor="text1"/>
                <w:sz w:val="24"/>
                <w:szCs w:val="24"/>
                <w:lang w:val="lv-LV"/>
              </w:rPr>
              <w:t xml:space="preserve">30,337 </w:t>
            </w:r>
            <w:proofErr w:type="spellStart"/>
            <w:r w:rsidRPr="0037700A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. </w:t>
            </w:r>
            <w:r w:rsidRPr="0037700A">
              <w:rPr>
                <w:color w:val="000000" w:themeColor="text1"/>
                <w:sz w:val="24"/>
                <w:szCs w:val="24"/>
                <w:lang w:val="lv-LV"/>
              </w:rPr>
              <w:t xml:space="preserve">EUR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(indikatīvs) </w:t>
            </w:r>
          </w:p>
        </w:tc>
        <w:tc>
          <w:tcPr>
            <w:tcW w:w="3848" w:type="dxa"/>
            <w:gridSpan w:val="2"/>
          </w:tcPr>
          <w:p w:rsidR="00C65A8B" w:rsidRDefault="0037700A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Diversificēti piegādes avoti visam Baltijas reģionam,</w:t>
            </w:r>
          </w:p>
          <w:p w:rsidR="0037700A" w:rsidRPr="00A12010" w:rsidRDefault="0037700A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Paaugstināta gāzes piegādes drošība </w:t>
            </w:r>
          </w:p>
        </w:tc>
      </w:tr>
      <w:tr w:rsidR="00EA5B06" w:rsidRPr="00A12010" w:rsidTr="00C60D78">
        <w:tc>
          <w:tcPr>
            <w:tcW w:w="756" w:type="dxa"/>
          </w:tcPr>
          <w:p w:rsidR="00DA2C51" w:rsidRPr="00EA5B06" w:rsidRDefault="00DA2C51" w:rsidP="00EA5B0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Latvijas – Lietuvas starpsavienojum</w:t>
            </w:r>
            <w:r w:rsidR="00EA5B06">
              <w:rPr>
                <w:color w:val="000000" w:themeColor="text1"/>
                <w:sz w:val="24"/>
                <w:szCs w:val="24"/>
                <w:lang w:val="lv-LV"/>
              </w:rPr>
              <w:t>a uzlabošana</w:t>
            </w: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: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- 1.posms (</w:t>
            </w:r>
            <w:r w:rsidRPr="00A12010">
              <w:rPr>
                <w:sz w:val="24"/>
                <w:szCs w:val="24"/>
                <w:lang w:val="lv-LV"/>
              </w:rPr>
              <w:t xml:space="preserve">Rīgas līdz </w:t>
            </w:r>
            <w:r w:rsidRPr="00A12010">
              <w:rPr>
                <w:sz w:val="24"/>
                <w:szCs w:val="24"/>
                <w:lang w:val="lv-LV"/>
              </w:rPr>
              <w:lastRenderedPageBreak/>
              <w:t>Iecavai)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- 2.posms (</w:t>
            </w:r>
            <w:r w:rsidRPr="00A12010">
              <w:rPr>
                <w:sz w:val="24"/>
                <w:szCs w:val="24"/>
                <w:lang w:val="lv-LV"/>
              </w:rPr>
              <w:t>no Iecavas līdz Lietuvas robežai)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2017.gadam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līdz 2021.gadam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highlight w:val="darkGray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lastRenderedPageBreak/>
              <w:t xml:space="preserve">Latvijas izmaksas cauruļvada Rīga-Iecava izbūvei- 25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 xml:space="preserve">. EUR; </w:t>
            </w:r>
            <w:r w:rsidRPr="00A12010">
              <w:rPr>
                <w:sz w:val="24"/>
                <w:szCs w:val="24"/>
                <w:lang w:val="lv-LV"/>
              </w:rPr>
              <w:lastRenderedPageBreak/>
              <w:t xml:space="preserve">cauruļvada Iecava-Lietuvas robeža izbūvei –31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>. EUR</w:t>
            </w:r>
          </w:p>
        </w:tc>
        <w:tc>
          <w:tcPr>
            <w:tcW w:w="2420" w:type="dxa"/>
            <w:gridSpan w:val="3"/>
          </w:tcPr>
          <w:p w:rsidR="00EA5B06" w:rsidRDefault="00EA5B06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(indikatīvi, atkarībā no pieprasījuma)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CEF līdzfinansējums</w:t>
            </w:r>
            <w:r w:rsidR="00EA5B06">
              <w:rPr>
                <w:color w:val="000000" w:themeColor="text1"/>
                <w:sz w:val="24"/>
                <w:szCs w:val="24"/>
                <w:lang w:val="lv-LV"/>
              </w:rPr>
              <w:t>,</w:t>
            </w:r>
          </w:p>
          <w:p w:rsidR="00DA2C51" w:rsidRPr="00A12010" w:rsidRDefault="00DA2C51" w:rsidP="00EA5B06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highlight w:val="darkGray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AS „Latvijas Gāze”</w:t>
            </w:r>
            <w:r w:rsidR="00EA5B06">
              <w:rPr>
                <w:sz w:val="24"/>
                <w:szCs w:val="24"/>
                <w:lang w:val="lv-LV"/>
              </w:rPr>
              <w:t xml:space="preserve">, </w:t>
            </w:r>
            <w:r w:rsidRPr="00A12010">
              <w:rPr>
                <w:sz w:val="24"/>
                <w:szCs w:val="24"/>
                <w:lang w:val="lv-LV"/>
              </w:rPr>
              <w:lastRenderedPageBreak/>
              <w:t>AS „Amber Grid</w:t>
            </w:r>
            <w:r w:rsidRPr="00A12010">
              <w:rPr>
                <w:i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lastRenderedPageBreak/>
              <w:t xml:space="preserve">Paaugstināta gāzes piegādes drošība Baltijas reģionam, </w:t>
            </w:r>
          </w:p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nodrošināta caurlaides jauda līdz 10 milj.m3/dienā.</w:t>
            </w:r>
          </w:p>
        </w:tc>
      </w:tr>
      <w:tr w:rsidR="00EA5B06" w:rsidRPr="00A12010" w:rsidTr="00C60D78">
        <w:tc>
          <w:tcPr>
            <w:tcW w:w="756" w:type="dxa"/>
          </w:tcPr>
          <w:p w:rsidR="00DA2C51" w:rsidRPr="00EA5B06" w:rsidRDefault="00DA2C51" w:rsidP="00EA5B0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Sašķidrinātā dabasgāzes terminālis:</w:t>
            </w:r>
          </w:p>
          <w:p w:rsidR="00DA2C51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- Rīga (reģionālais)</w:t>
            </w: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C65A8B" w:rsidRPr="00A12010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- Ventspils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- Skulte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bCs/>
                <w:iCs/>
                <w:sz w:val="24"/>
                <w:szCs w:val="24"/>
                <w:lang w:val="lv-LV"/>
              </w:rPr>
              <w:t xml:space="preserve">(nepieciešama pieslēguma izbūve pārvades sistēmai). 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DA2C51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- 2018.gad</w:t>
            </w:r>
            <w:r w:rsidR="00EA5B06">
              <w:rPr>
                <w:sz w:val="24"/>
                <w:szCs w:val="24"/>
                <w:lang w:val="lv-LV"/>
              </w:rPr>
              <w:t>s</w:t>
            </w:r>
            <w:r w:rsidRPr="00A12010">
              <w:rPr>
                <w:sz w:val="24"/>
                <w:szCs w:val="24"/>
                <w:lang w:val="lv-LV"/>
              </w:rPr>
              <w:t xml:space="preserve"> </w:t>
            </w: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C65A8B" w:rsidRPr="00A12010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- 2018.gads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- 2017.gads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highlight w:val="darkGray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DA2C51" w:rsidRPr="00A12010" w:rsidRDefault="00EA5B06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~</w:t>
            </w:r>
            <w:r w:rsidR="00DA2C51" w:rsidRPr="00A12010">
              <w:rPr>
                <w:sz w:val="24"/>
                <w:szCs w:val="24"/>
                <w:lang w:val="lv-LV"/>
              </w:rPr>
              <w:t xml:space="preserve">583 </w:t>
            </w:r>
            <w:proofErr w:type="spellStart"/>
            <w:r w:rsidR="00DA2C51"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="00DA2C51" w:rsidRPr="00A12010">
              <w:rPr>
                <w:sz w:val="24"/>
                <w:szCs w:val="24"/>
                <w:lang w:val="lv-LV"/>
              </w:rPr>
              <w:t>. EUR</w:t>
            </w:r>
          </w:p>
          <w:p w:rsidR="00DA2C51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C65A8B" w:rsidRPr="00A12010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n/a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~ 101,2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 xml:space="preserve">. EUR </w:t>
            </w:r>
          </w:p>
        </w:tc>
        <w:tc>
          <w:tcPr>
            <w:tcW w:w="2420" w:type="dxa"/>
            <w:gridSpan w:val="3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C65A8B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C65A8B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Privātās investīcijas</w:t>
            </w:r>
            <w:r w:rsidR="00C65A8B">
              <w:rPr>
                <w:color w:val="000000" w:themeColor="text1"/>
                <w:sz w:val="24"/>
                <w:szCs w:val="24"/>
                <w:lang w:val="lv-LV"/>
              </w:rPr>
              <w:t>, CEF līdzfinansējums</w:t>
            </w:r>
          </w:p>
          <w:p w:rsidR="00DA2C51" w:rsidRPr="00A12010" w:rsidRDefault="00C65A8B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DA2C51"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:rsidR="00DA2C51" w:rsidRDefault="00C65A8B" w:rsidP="00C65A8B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Privātās investīcijas</w:t>
            </w:r>
          </w:p>
          <w:p w:rsidR="00C65A8B" w:rsidRPr="00A12010" w:rsidRDefault="00C65A8B" w:rsidP="00C65A8B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Privātās investīcijas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- Diversificēti gāzes piegādes avoti,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- paaugstināta apgādes drošība. </w:t>
            </w:r>
          </w:p>
        </w:tc>
      </w:tr>
      <w:tr w:rsidR="00DA2C51" w:rsidRPr="00A12010" w:rsidTr="00C60D78">
        <w:tc>
          <w:tcPr>
            <w:tcW w:w="13890" w:type="dxa"/>
            <w:gridSpan w:val="10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A12010">
              <w:rPr>
                <w:b/>
                <w:color w:val="000000" w:themeColor="text1"/>
                <w:sz w:val="28"/>
                <w:szCs w:val="28"/>
                <w:lang w:val="lv-LV"/>
              </w:rPr>
              <w:t>ENERGOEFEKTIVITĀTE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  <w:highlight w:val="darkGray"/>
                <w:lang w:val="lv-LV"/>
              </w:rPr>
            </w:pPr>
          </w:p>
        </w:tc>
      </w:tr>
      <w:tr w:rsidR="001310B1" w:rsidRPr="00A12010" w:rsidTr="00C60D78">
        <w:tc>
          <w:tcPr>
            <w:tcW w:w="756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283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 w:eastAsia="en-GB"/>
              </w:rPr>
              <w:t xml:space="preserve">Centralizētās siltumapgādes </w:t>
            </w:r>
            <w:proofErr w:type="spellStart"/>
            <w:r w:rsidRPr="00A12010">
              <w:rPr>
                <w:sz w:val="24"/>
                <w:szCs w:val="24"/>
                <w:lang w:val="lv-LV" w:eastAsia="en-GB"/>
              </w:rPr>
              <w:t>siltumavotu</w:t>
            </w:r>
            <w:proofErr w:type="spellEnd"/>
            <w:r w:rsidRPr="00A12010">
              <w:rPr>
                <w:sz w:val="24"/>
                <w:szCs w:val="24"/>
                <w:lang w:val="lv-LV" w:eastAsia="en-GB"/>
              </w:rPr>
              <w:t xml:space="preserve"> un pārvades un sadales sistēmu rekonstrukcija un būvniecība</w:t>
            </w:r>
          </w:p>
        </w:tc>
        <w:tc>
          <w:tcPr>
            <w:tcW w:w="190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2020.gadam.</w:t>
            </w:r>
          </w:p>
        </w:tc>
        <w:tc>
          <w:tcPr>
            <w:tcW w:w="2126" w:type="dxa"/>
            <w:gridSpan w:val="2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53,19</w:t>
            </w:r>
            <w:r w:rsidRPr="00A12010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12010">
              <w:rPr>
                <w:color w:val="000000"/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color w:val="000000"/>
                <w:sz w:val="24"/>
                <w:szCs w:val="24"/>
                <w:lang w:val="lv-LV"/>
              </w:rPr>
              <w:t xml:space="preserve">. EUR </w:t>
            </w:r>
            <w:r>
              <w:rPr>
                <w:color w:val="000000"/>
                <w:sz w:val="24"/>
                <w:szCs w:val="24"/>
                <w:lang w:val="lv-LV"/>
              </w:rPr>
              <w:t>(SF līdzfinansējums)</w:t>
            </w:r>
          </w:p>
        </w:tc>
        <w:tc>
          <w:tcPr>
            <w:tcW w:w="2420" w:type="dxa"/>
            <w:gridSpan w:val="3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lang w:val="lv-LV"/>
              </w:rPr>
            </w:pPr>
            <w:r w:rsidRPr="00A12010">
              <w:rPr>
                <w:color w:val="000000"/>
                <w:sz w:val="24"/>
                <w:szCs w:val="24"/>
                <w:lang w:val="lv-LV"/>
              </w:rPr>
              <w:t>ES Kohēzijas fonda līdzfinansējums;</w:t>
            </w:r>
          </w:p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uzņēmumu kapitālieguldījumi</w:t>
            </w:r>
          </w:p>
        </w:tc>
        <w:tc>
          <w:tcPr>
            <w:tcW w:w="3848" w:type="dxa"/>
            <w:gridSpan w:val="2"/>
          </w:tcPr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napToGrid w:val="0"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Uzlabota energoefektivitāte centralizētās siltumapgādes sistēmās, un veicināta atjaunojamo energoresursu izmantošana. </w:t>
            </w:r>
          </w:p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napToGrid w:val="0"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Rekonstruētas 70 km siltumtrases un uzstādīta 70 MW jauda enerģijas ražošanai no AER. </w:t>
            </w:r>
          </w:p>
        </w:tc>
      </w:tr>
      <w:tr w:rsidR="001310B1" w:rsidRPr="00A12010" w:rsidTr="00C60D78">
        <w:tc>
          <w:tcPr>
            <w:tcW w:w="756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2.</w:t>
            </w:r>
          </w:p>
        </w:tc>
        <w:tc>
          <w:tcPr>
            <w:tcW w:w="283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Valsts ēku un mājokļu energoefektivitātes paaugstināšana</w:t>
            </w:r>
          </w:p>
        </w:tc>
        <w:tc>
          <w:tcPr>
            <w:tcW w:w="190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2020.gadam</w:t>
            </w:r>
          </w:p>
        </w:tc>
        <w:tc>
          <w:tcPr>
            <w:tcW w:w="2126" w:type="dxa"/>
            <w:gridSpan w:val="2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247,86</w:t>
            </w:r>
            <w:r w:rsidRPr="00A12010" w:rsidDel="003E6654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>. EUR</w:t>
            </w:r>
            <w:r>
              <w:rPr>
                <w:sz w:val="24"/>
                <w:szCs w:val="24"/>
                <w:lang w:val="lv-LV"/>
              </w:rPr>
              <w:t xml:space="preserve"> (SF līdzfinansējums)</w:t>
            </w:r>
          </w:p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420" w:type="dxa"/>
            <w:gridSpan w:val="3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lastRenderedPageBreak/>
              <w:t xml:space="preserve">ES fondu līdzfinansējums; valsts finansējums </w:t>
            </w:r>
          </w:p>
        </w:tc>
        <w:tc>
          <w:tcPr>
            <w:tcW w:w="3848" w:type="dxa"/>
            <w:gridSpan w:val="2"/>
          </w:tcPr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Uzlabota energoefektivitāte valsts un dzīvojamo ēku sektorā, samazinot </w:t>
            </w:r>
            <w:r w:rsidRPr="00A12010">
              <w:rPr>
                <w:sz w:val="24"/>
                <w:szCs w:val="24"/>
                <w:lang w:val="lv-LV"/>
              </w:rPr>
              <w:lastRenderedPageBreak/>
              <w:t>siltumenerģijas patēriņu un nodrošinot energoresursu ilgtspējīgu izmantošanu.</w:t>
            </w:r>
          </w:p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atbalstītas 10 700 mājsaimniecības; </w:t>
            </w:r>
          </w:p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ietaupītas 52 GWh/gadā renovētajās valsts ēkās.</w:t>
            </w:r>
          </w:p>
        </w:tc>
      </w:tr>
      <w:tr w:rsidR="001310B1" w:rsidRPr="00A12010" w:rsidTr="00C60D78">
        <w:tc>
          <w:tcPr>
            <w:tcW w:w="756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83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Apstrādes rūpniecības komersantu energoefektivitātes paaugstināšanai</w:t>
            </w:r>
          </w:p>
        </w:tc>
        <w:tc>
          <w:tcPr>
            <w:tcW w:w="190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2020.gadam</w:t>
            </w:r>
          </w:p>
        </w:tc>
        <w:tc>
          <w:tcPr>
            <w:tcW w:w="2126" w:type="dxa"/>
            <w:gridSpan w:val="2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32,56</w:t>
            </w:r>
            <w:r w:rsidRPr="00A12010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>. EUR</w:t>
            </w:r>
            <w:r>
              <w:rPr>
                <w:sz w:val="24"/>
                <w:szCs w:val="24"/>
                <w:lang w:val="lv-LV"/>
              </w:rPr>
              <w:t xml:space="preserve"> (SF līdzfinansējums)</w:t>
            </w:r>
          </w:p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420" w:type="dxa"/>
            <w:gridSpan w:val="3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ES fondu līdzfinansējums ; valsts finansējums</w:t>
            </w:r>
          </w:p>
        </w:tc>
        <w:tc>
          <w:tcPr>
            <w:tcW w:w="3848" w:type="dxa"/>
            <w:gridSpan w:val="2"/>
          </w:tcPr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Uzlabota energoefektivitāte apstrādes rūpniecībā, nodrošinot energoresursu ilgtspējīgu izmantošanu. </w:t>
            </w:r>
          </w:p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atbalstīti 65 komersanti.</w:t>
            </w:r>
          </w:p>
        </w:tc>
      </w:tr>
      <w:tr w:rsidR="001310B1" w:rsidRPr="00A12010" w:rsidTr="00C60D78">
        <w:tc>
          <w:tcPr>
            <w:tcW w:w="756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4.</w:t>
            </w:r>
          </w:p>
        </w:tc>
        <w:tc>
          <w:tcPr>
            <w:tcW w:w="283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Pašvaldību ēku energoefektivitātes veicināšanai</w:t>
            </w:r>
          </w:p>
        </w:tc>
        <w:tc>
          <w:tcPr>
            <w:tcW w:w="190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2020.gadam</w:t>
            </w:r>
          </w:p>
        </w:tc>
        <w:tc>
          <w:tcPr>
            <w:tcW w:w="2126" w:type="dxa"/>
            <w:gridSpan w:val="2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42,50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>. EUR</w:t>
            </w:r>
            <w:r>
              <w:rPr>
                <w:sz w:val="24"/>
                <w:szCs w:val="24"/>
                <w:lang w:val="lv-LV"/>
              </w:rPr>
              <w:t xml:space="preserve"> (SF līdzfinansējums)</w:t>
            </w:r>
          </w:p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420" w:type="dxa"/>
            <w:gridSpan w:val="3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ES fondu līdzfinansējums; pašvaldību finansējums</w:t>
            </w:r>
          </w:p>
        </w:tc>
        <w:tc>
          <w:tcPr>
            <w:tcW w:w="3848" w:type="dxa"/>
            <w:gridSpan w:val="2"/>
          </w:tcPr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Samazināts siltumenerģijas patēriņš pašvaldību ēkās.</w:t>
            </w:r>
          </w:p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Ietaupītas 26,7 GWh/gadā renovētajās ēkās.</w:t>
            </w:r>
          </w:p>
        </w:tc>
      </w:tr>
      <w:tr w:rsidR="001310B1" w:rsidRPr="00A12010" w:rsidTr="00C60D78">
        <w:tc>
          <w:tcPr>
            <w:tcW w:w="756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5.</w:t>
            </w:r>
          </w:p>
        </w:tc>
        <w:tc>
          <w:tcPr>
            <w:tcW w:w="283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Obligātā ikgadējā 1,5 % gala enerģijas ietaupījuma kumulatīvā mērķa sasniegšana</w:t>
            </w:r>
          </w:p>
        </w:tc>
        <w:tc>
          <w:tcPr>
            <w:tcW w:w="1905" w:type="dxa"/>
          </w:tcPr>
          <w:p w:rsidR="001310B1" w:rsidRPr="00A12010" w:rsidRDefault="001310B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2020.gadam</w:t>
            </w:r>
          </w:p>
        </w:tc>
        <w:tc>
          <w:tcPr>
            <w:tcW w:w="2126" w:type="dxa"/>
            <w:gridSpan w:val="2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Līdz 1,62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mljrd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>. EUR</w:t>
            </w:r>
          </w:p>
        </w:tc>
        <w:tc>
          <w:tcPr>
            <w:tcW w:w="2420" w:type="dxa"/>
            <w:gridSpan w:val="3"/>
          </w:tcPr>
          <w:p w:rsidR="001310B1" w:rsidRPr="00A12010" w:rsidRDefault="001310B1" w:rsidP="000034A8">
            <w:pPr>
              <w:widowControl/>
              <w:suppressAutoHyphens/>
              <w:spacing w:before="0" w:after="0" w:line="240" w:lineRule="auto"/>
              <w:ind w:firstLine="0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Privātās investīcijas</w:t>
            </w:r>
          </w:p>
        </w:tc>
        <w:tc>
          <w:tcPr>
            <w:tcW w:w="3848" w:type="dxa"/>
            <w:gridSpan w:val="2"/>
          </w:tcPr>
          <w:p w:rsidR="001310B1" w:rsidRPr="00A12010" w:rsidRDefault="001310B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Veicināta energoefektivitāte enerģijas ražošanā, pārvadē, sadalē un galapatēriņā.</w:t>
            </w:r>
          </w:p>
        </w:tc>
      </w:tr>
      <w:tr w:rsidR="00DA2C51" w:rsidRPr="00A12010" w:rsidTr="00C60D78">
        <w:tc>
          <w:tcPr>
            <w:tcW w:w="13890" w:type="dxa"/>
            <w:gridSpan w:val="10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A12010">
              <w:rPr>
                <w:b/>
                <w:color w:val="000000" w:themeColor="text1"/>
                <w:sz w:val="28"/>
                <w:szCs w:val="28"/>
                <w:lang w:val="lv-LV"/>
              </w:rPr>
              <w:t xml:space="preserve">ATJAUNOJAMIE ENERGORESURSI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  <w:highlight w:val="darkGray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OIK izmaksas elektroenerģijas gala lietotājiem 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līdz 2020.gadam 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2,34</w:t>
            </w: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mljr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. EUR</w:t>
            </w:r>
          </w:p>
        </w:tc>
        <w:tc>
          <w:tcPr>
            <w:tcW w:w="2420" w:type="dxa"/>
            <w:gridSpan w:val="3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Elektroenerģijas lietotāji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de-DE"/>
              </w:rPr>
              <w:t xml:space="preserve">Paaugstināta energoapgādes drošību; </w:t>
            </w:r>
          </w:p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b/>
                <w:i/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de-DE"/>
              </w:rPr>
              <w:t>Palielināta no AER saražotās enerģijas īpatsvaru enerģijas bruto patēriņā.</w:t>
            </w:r>
            <w:r w:rsidRPr="00A12010">
              <w:rPr>
                <w:b/>
                <w:i/>
                <w:sz w:val="24"/>
                <w:szCs w:val="24"/>
                <w:lang w:val="lv-LV" w:eastAsia="de-DE"/>
              </w:rPr>
              <w:t xml:space="preserve"> </w:t>
            </w: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lang w:val="lv-LV"/>
              </w:rPr>
            </w:pPr>
          </w:p>
        </w:tc>
        <w:tc>
          <w:tcPr>
            <w:tcW w:w="2835" w:type="dxa"/>
          </w:tcPr>
          <w:p w:rsidR="00DA2C51" w:rsidRPr="00A12010" w:rsidRDefault="00DA2C51" w:rsidP="00084AA0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OIK saglabāšana 2,69 EUR centu/kWh līmenī 2014.-201</w:t>
            </w:r>
            <w:r w:rsidR="00084AA0">
              <w:rPr>
                <w:color w:val="000000" w:themeColor="text1"/>
                <w:sz w:val="24"/>
                <w:szCs w:val="24"/>
                <w:lang w:val="lv-LV"/>
              </w:rPr>
              <w:t>7</w:t>
            </w: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.gadā.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līdz 2017.gadam</w:t>
            </w:r>
          </w:p>
        </w:tc>
        <w:tc>
          <w:tcPr>
            <w:tcW w:w="2126" w:type="dxa"/>
            <w:gridSpan w:val="2"/>
          </w:tcPr>
          <w:p w:rsidR="00DA2C51" w:rsidRPr="00A12010" w:rsidRDefault="009A1FB2" w:rsidP="00084AA0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147,7</w:t>
            </w:r>
            <w:r w:rsidR="00DA2C51"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DA2C51" w:rsidRPr="00A12010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 w:rsidR="00DA2C51" w:rsidRPr="00A12010">
              <w:rPr>
                <w:color w:val="000000" w:themeColor="text1"/>
                <w:sz w:val="24"/>
                <w:szCs w:val="24"/>
                <w:lang w:val="lv-LV"/>
              </w:rPr>
              <w:t>. EUR (Šīs izmaksas ir iekļautas Likumā par v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idēja termiņa budžetu 2014.-201</w:t>
            </w:r>
            <w:r w:rsidR="00084AA0">
              <w:rPr>
                <w:color w:val="000000" w:themeColor="text1"/>
                <w:sz w:val="24"/>
                <w:szCs w:val="24"/>
                <w:lang w:val="lv-LV"/>
              </w:rPr>
              <w:t>6</w:t>
            </w:r>
            <w:r w:rsidR="00DA2C51" w:rsidRPr="00A12010">
              <w:rPr>
                <w:color w:val="000000" w:themeColor="text1"/>
                <w:sz w:val="24"/>
                <w:szCs w:val="24"/>
                <w:lang w:val="lv-LV"/>
              </w:rPr>
              <w:t>.gadam).</w:t>
            </w:r>
          </w:p>
        </w:tc>
        <w:tc>
          <w:tcPr>
            <w:tcW w:w="2420" w:type="dxa"/>
            <w:gridSpan w:val="3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Valsts budžets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saglabāts OIK 2,69 EURcenti/kWh (2013.gada līmenis), būtiski nepasliktinot valsts konkurētspēju un saglabājot atbalstu elektroenerģijas ražošanai videi draudzīgā veidā. </w:t>
            </w:r>
          </w:p>
        </w:tc>
      </w:tr>
      <w:tr w:rsidR="00DA2C51" w:rsidRPr="00A12010" w:rsidTr="00C60D78">
        <w:tc>
          <w:tcPr>
            <w:tcW w:w="13890" w:type="dxa"/>
            <w:gridSpan w:val="10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left="360"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left="360"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A12010">
              <w:rPr>
                <w:b/>
                <w:color w:val="000000" w:themeColor="text1"/>
                <w:sz w:val="28"/>
                <w:szCs w:val="28"/>
                <w:lang w:val="lv-LV"/>
              </w:rPr>
              <w:t xml:space="preserve">KLIMATA PĀRMAIŅU POLITIKAS INSTRUMENTI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left="360"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left="360"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Eiropas Ekonomikas zonas (EEZ) finanšu instrumenta 2009.-2014. gada programmas „Nacionālā klimata politika”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Projektu ieviešanas noslēgums plānots 2016.gada beigās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Kopējais programmai pieejamais finansējums – 11,2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>. EUR</w:t>
            </w:r>
          </w:p>
        </w:tc>
        <w:tc>
          <w:tcPr>
            <w:tcW w:w="2420" w:type="dxa"/>
            <w:gridSpan w:val="3"/>
          </w:tcPr>
          <w:p w:rsidR="00DA2C51" w:rsidRPr="00A12010" w:rsidRDefault="00DA2C51" w:rsidP="00DA2C51">
            <w:pPr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 xml:space="preserve">EEZ līdzfinansējums (10,3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 xml:space="preserve">. EUR), valsts finansējums (840 </w:t>
            </w:r>
            <w:proofErr w:type="spellStart"/>
            <w:r w:rsidRPr="00A12010">
              <w:rPr>
                <w:sz w:val="24"/>
                <w:szCs w:val="24"/>
                <w:lang w:val="lv-LV"/>
              </w:rPr>
              <w:t>tk</w:t>
            </w:r>
            <w:proofErr w:type="spellEnd"/>
            <w:r w:rsidRPr="00A12010">
              <w:rPr>
                <w:sz w:val="24"/>
                <w:szCs w:val="24"/>
                <w:lang w:val="lv-LV"/>
              </w:rPr>
              <w:t>. EUR)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ieviesti un tiek demonstrēti zema oglekļa dioksīda (CO</w:t>
            </w:r>
            <w:r w:rsidRPr="00A12010">
              <w:rPr>
                <w:sz w:val="24"/>
                <w:szCs w:val="24"/>
                <w:vertAlign w:val="subscript"/>
                <w:lang w:val="lv-LV"/>
              </w:rPr>
              <w:t>2</w:t>
            </w:r>
            <w:r w:rsidRPr="00A12010">
              <w:rPr>
                <w:sz w:val="24"/>
                <w:szCs w:val="24"/>
                <w:lang w:val="lv-LV"/>
              </w:rPr>
              <w:t>) risinājumi.</w:t>
            </w:r>
          </w:p>
        </w:tc>
      </w:tr>
      <w:tr w:rsidR="00EA5B06" w:rsidRPr="00A12010" w:rsidTr="00C60D78"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left="360"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Norvēģijas finanšu instrumenta 2009.- 2014.gadam programma “Inovācijas zaļās ražošanas jomā”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sz w:val="24"/>
                <w:szCs w:val="24"/>
                <w:lang w:val="lv-LV"/>
              </w:rPr>
              <w:t>2009. gads - 2014. gada beigas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2010">
              <w:t xml:space="preserve">Programmas kopējais finansējums – 12,59 </w:t>
            </w:r>
            <w:proofErr w:type="spellStart"/>
            <w:r w:rsidRPr="00A12010">
              <w:t>milj</w:t>
            </w:r>
            <w:proofErr w:type="spellEnd"/>
            <w:r w:rsidRPr="00A12010">
              <w:t xml:space="preserve">. EUR. </w:t>
            </w:r>
          </w:p>
        </w:tc>
        <w:tc>
          <w:tcPr>
            <w:tcW w:w="2420" w:type="dxa"/>
            <w:gridSpan w:val="3"/>
          </w:tcPr>
          <w:p w:rsidR="00DA2C51" w:rsidRPr="00A12010" w:rsidRDefault="00DA2C51" w:rsidP="00DA2C51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2010">
              <w:t xml:space="preserve">Norvēģijas finanšu instrumenta līdzfinansējums (11, 33 </w:t>
            </w:r>
            <w:proofErr w:type="spellStart"/>
            <w:r w:rsidRPr="00A12010">
              <w:t>milj</w:t>
            </w:r>
            <w:proofErr w:type="spellEnd"/>
            <w:r w:rsidRPr="00A12010">
              <w:t xml:space="preserve">. EUR), valsts finansējums (1,26 </w:t>
            </w:r>
            <w:proofErr w:type="spellStart"/>
            <w:r w:rsidRPr="00A12010">
              <w:t>milj</w:t>
            </w:r>
            <w:proofErr w:type="spellEnd"/>
            <w:r w:rsidRPr="00A12010">
              <w:t>. EUR)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/>
                <w:sz w:val="24"/>
                <w:szCs w:val="24"/>
                <w:lang w:val="lv-LV"/>
              </w:rPr>
              <w:t xml:space="preserve">veicināta atjaunojamās enerģijas ražošana, „zaļu” un </w:t>
            </w:r>
            <w:proofErr w:type="spellStart"/>
            <w:r w:rsidRPr="00A12010">
              <w:rPr>
                <w:color w:val="000000"/>
                <w:sz w:val="24"/>
                <w:szCs w:val="24"/>
                <w:lang w:val="lv-LV"/>
              </w:rPr>
              <w:t>energoefektīvu</w:t>
            </w:r>
            <w:proofErr w:type="spellEnd"/>
            <w:r w:rsidRPr="00A12010">
              <w:rPr>
                <w:color w:val="000000"/>
                <w:sz w:val="24"/>
                <w:szCs w:val="24"/>
                <w:lang w:val="lv-LV"/>
              </w:rPr>
              <w:t xml:space="preserve"> preču un materiālu ražošanu, „tīras” enerģijas izmantošanu transportā, ūdensapgādē, atkritumu apstrādē, </w:t>
            </w:r>
            <w:proofErr w:type="spellStart"/>
            <w:r w:rsidRPr="00A12010">
              <w:rPr>
                <w:color w:val="000000"/>
                <w:sz w:val="24"/>
                <w:szCs w:val="24"/>
                <w:lang w:val="lv-LV"/>
              </w:rPr>
              <w:t>ekodizainam</w:t>
            </w:r>
            <w:proofErr w:type="spellEnd"/>
            <w:r w:rsidRPr="00A12010">
              <w:rPr>
                <w:color w:val="000000"/>
                <w:sz w:val="24"/>
                <w:szCs w:val="24"/>
                <w:lang w:val="lv-LV"/>
              </w:rPr>
              <w:t xml:space="preserve"> vai citiem uzlabojumiem produktos, tehnoloģijās vai procesos citās sfērās, kas dod ieguldījumu energoefektivitātē, samazina emisijas vai resursu patēriņu.</w:t>
            </w:r>
          </w:p>
        </w:tc>
      </w:tr>
      <w:tr w:rsidR="00DA2C51" w:rsidRPr="00A12010" w:rsidTr="00C60D78">
        <w:tc>
          <w:tcPr>
            <w:tcW w:w="13890" w:type="dxa"/>
            <w:gridSpan w:val="10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A12010">
              <w:rPr>
                <w:b/>
                <w:color w:val="000000" w:themeColor="text1"/>
                <w:sz w:val="28"/>
                <w:szCs w:val="28"/>
                <w:lang w:val="lv-LV"/>
              </w:rPr>
              <w:t>ZINĀTNE UN ATTĪSTĪBA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</w:tr>
      <w:tr w:rsidR="00EA5B06" w:rsidRPr="00A12010" w:rsidTr="00C60D78">
        <w:trPr>
          <w:gridAfter w:val="1"/>
          <w:wAfter w:w="18" w:type="dxa"/>
        </w:trPr>
        <w:tc>
          <w:tcPr>
            <w:tcW w:w="756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283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Enerģētikas nozarei nepieciešamās pētniecības kapacitātes attīstība</w:t>
            </w:r>
          </w:p>
        </w:tc>
        <w:tc>
          <w:tcPr>
            <w:tcW w:w="1905" w:type="dxa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2014. – 2017.gads</w:t>
            </w:r>
          </w:p>
        </w:tc>
        <w:tc>
          <w:tcPr>
            <w:tcW w:w="2126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Prioritārā virziena „Vide, klimats un enerģētika” kopējais finansējums – 0,75 </w:t>
            </w:r>
            <w:proofErr w:type="spellStart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milj</w:t>
            </w:r>
            <w:proofErr w:type="spellEnd"/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. EUR (minimālais)</w:t>
            </w:r>
          </w:p>
        </w:tc>
        <w:tc>
          <w:tcPr>
            <w:tcW w:w="2402" w:type="dxa"/>
            <w:gridSpan w:val="2"/>
          </w:tcPr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Valsts pētījumu programma</w:t>
            </w:r>
          </w:p>
        </w:tc>
        <w:tc>
          <w:tcPr>
            <w:tcW w:w="3848" w:type="dxa"/>
            <w:gridSpan w:val="2"/>
          </w:tcPr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>Īstenoti nozares vajadzībām nepieciešami pētījumi;</w:t>
            </w:r>
          </w:p>
          <w:p w:rsidR="00DA2C51" w:rsidRPr="00A12010" w:rsidRDefault="00DA2C51" w:rsidP="00DA2C51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00A12010">
              <w:rPr>
                <w:color w:val="000000" w:themeColor="text1"/>
                <w:sz w:val="24"/>
                <w:szCs w:val="24"/>
                <w:lang w:val="lv-LV"/>
              </w:rPr>
              <w:t xml:space="preserve">Paaugstināta ar enerģētikas nozari saistīto zinātnieku kapacitāte. </w:t>
            </w:r>
          </w:p>
          <w:p w:rsidR="00DA2C51" w:rsidRPr="00A12010" w:rsidRDefault="00DA2C51" w:rsidP="00DA2C51">
            <w:pPr>
              <w:widowControl/>
              <w:suppressAutoHyphens/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:rsidR="00493DDD" w:rsidRPr="00F30B6F" w:rsidRDefault="00493DDD" w:rsidP="00493DDD">
      <w:pPr>
        <w:widowControl/>
        <w:suppressAutoHyphens/>
        <w:spacing w:before="0" w:after="0" w:line="240" w:lineRule="auto"/>
        <w:ind w:firstLine="0"/>
        <w:jc w:val="left"/>
        <w:rPr>
          <w:sz w:val="28"/>
          <w:szCs w:val="28"/>
          <w:lang w:val="lv-LV"/>
        </w:rPr>
      </w:pPr>
      <w:r w:rsidRPr="00F30B6F">
        <w:rPr>
          <w:sz w:val="28"/>
          <w:szCs w:val="28"/>
          <w:lang w:val="lv-LV"/>
        </w:rPr>
        <w:t>Iesniedzējs:</w:t>
      </w:r>
    </w:p>
    <w:p w:rsidR="00493DDD" w:rsidRPr="00F30B6F" w:rsidRDefault="00493DDD" w:rsidP="00493DDD">
      <w:pPr>
        <w:suppressAutoHyphens/>
        <w:spacing w:before="0" w:after="0" w:line="240" w:lineRule="auto"/>
        <w:ind w:firstLine="0"/>
        <w:rPr>
          <w:sz w:val="28"/>
          <w:szCs w:val="28"/>
          <w:lang w:val="lv-LV"/>
        </w:rPr>
      </w:pPr>
    </w:p>
    <w:p w:rsidR="00493DDD" w:rsidRPr="00DA2C51" w:rsidRDefault="00C95020" w:rsidP="00493DDD">
      <w:pPr>
        <w:pStyle w:val="BodyTextIndent2"/>
        <w:suppressAutoHyphens/>
        <w:spacing w:after="6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95020">
        <w:rPr>
          <w:rFonts w:ascii="Times New Roman" w:hAnsi="Times New Roman"/>
          <w:color w:val="000000"/>
          <w:sz w:val="28"/>
          <w:szCs w:val="28"/>
        </w:rPr>
        <w:t>Ekonomikas ministrs</w:t>
      </w:r>
      <w:r w:rsidRPr="00C95020">
        <w:rPr>
          <w:rFonts w:ascii="Times New Roman" w:hAnsi="Times New Roman"/>
          <w:color w:val="000000"/>
          <w:sz w:val="28"/>
          <w:szCs w:val="28"/>
        </w:rPr>
        <w:tab/>
      </w:r>
      <w:r w:rsidRPr="00C95020">
        <w:rPr>
          <w:rFonts w:ascii="Times New Roman" w:hAnsi="Times New Roman"/>
          <w:color w:val="000000"/>
          <w:sz w:val="28"/>
          <w:szCs w:val="28"/>
        </w:rPr>
        <w:tab/>
      </w:r>
      <w:r w:rsidRPr="00C95020">
        <w:rPr>
          <w:rFonts w:ascii="Times New Roman" w:hAnsi="Times New Roman"/>
          <w:color w:val="000000"/>
          <w:sz w:val="28"/>
          <w:szCs w:val="28"/>
        </w:rPr>
        <w:tab/>
      </w:r>
      <w:r w:rsidRPr="00C95020">
        <w:rPr>
          <w:rFonts w:ascii="Times New Roman" w:hAnsi="Times New Roman"/>
          <w:color w:val="000000"/>
          <w:sz w:val="28"/>
          <w:szCs w:val="28"/>
        </w:rPr>
        <w:tab/>
      </w:r>
      <w:r w:rsidRPr="00C95020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C95020">
        <w:rPr>
          <w:rFonts w:ascii="Times New Roman" w:hAnsi="Times New Roman"/>
          <w:color w:val="000000"/>
          <w:sz w:val="28"/>
          <w:szCs w:val="28"/>
        </w:rPr>
        <w:tab/>
      </w:r>
      <w:r w:rsidRPr="00C95020">
        <w:rPr>
          <w:rFonts w:ascii="Times New Roman" w:hAnsi="Times New Roman"/>
          <w:color w:val="000000"/>
          <w:sz w:val="28"/>
          <w:szCs w:val="28"/>
        </w:rPr>
        <w:tab/>
      </w:r>
      <w:r w:rsidR="005922D3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C95020">
        <w:rPr>
          <w:rFonts w:ascii="Times New Roman" w:hAnsi="Times New Roman"/>
          <w:color w:val="000000"/>
          <w:sz w:val="28"/>
          <w:szCs w:val="28"/>
        </w:rPr>
        <w:t>V.Dombrovskis</w:t>
      </w:r>
      <w:proofErr w:type="spellEnd"/>
    </w:p>
    <w:p w:rsidR="00C95020" w:rsidRDefault="00C95020" w:rsidP="00493DDD">
      <w:pPr>
        <w:pStyle w:val="BodyTextIndent2"/>
        <w:suppressAutoHyphens/>
        <w:spacing w:after="6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493DDD" w:rsidRPr="00DA2C51" w:rsidRDefault="00493DDD" w:rsidP="00493DDD">
      <w:pPr>
        <w:pStyle w:val="BodyTextIndent2"/>
        <w:suppressAutoHyphens/>
        <w:spacing w:after="6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A2C51">
        <w:rPr>
          <w:rFonts w:ascii="Times New Roman" w:hAnsi="Times New Roman"/>
          <w:bCs/>
          <w:sz w:val="28"/>
          <w:szCs w:val="28"/>
        </w:rPr>
        <w:t>Vīza:</w:t>
      </w:r>
      <w:r w:rsidRPr="00DA2C51">
        <w:rPr>
          <w:rFonts w:ascii="Times New Roman" w:hAnsi="Times New Roman"/>
          <w:sz w:val="28"/>
          <w:szCs w:val="28"/>
        </w:rPr>
        <w:t xml:space="preserve"> </w:t>
      </w:r>
    </w:p>
    <w:p w:rsidR="00493DDD" w:rsidRPr="00DA2C51" w:rsidRDefault="00493DDD" w:rsidP="00493DDD">
      <w:pPr>
        <w:pStyle w:val="BodyTextIndent2"/>
        <w:suppressAutoHyphens/>
        <w:spacing w:after="0" w:line="240" w:lineRule="auto"/>
        <w:ind w:left="0" w:firstLine="0"/>
        <w:rPr>
          <w:color w:val="000000"/>
          <w:sz w:val="28"/>
          <w:szCs w:val="28"/>
        </w:rPr>
      </w:pPr>
      <w:r w:rsidRPr="00DA2C51">
        <w:rPr>
          <w:rFonts w:ascii="Times New Roman" w:hAnsi="Times New Roman"/>
          <w:sz w:val="28"/>
          <w:szCs w:val="28"/>
        </w:rPr>
        <w:t>valsts sekretārs</w:t>
      </w:r>
      <w:r w:rsidRPr="00DA2C51">
        <w:rPr>
          <w:rFonts w:ascii="Times New Roman" w:hAnsi="Times New Roman"/>
          <w:sz w:val="28"/>
          <w:szCs w:val="28"/>
        </w:rPr>
        <w:tab/>
      </w:r>
      <w:r w:rsidRPr="00DA2C51">
        <w:rPr>
          <w:rFonts w:ascii="Times New Roman" w:hAnsi="Times New Roman"/>
          <w:sz w:val="28"/>
          <w:szCs w:val="28"/>
        </w:rPr>
        <w:tab/>
      </w:r>
      <w:r w:rsidRPr="00DA2C51">
        <w:rPr>
          <w:rFonts w:ascii="Times New Roman" w:hAnsi="Times New Roman"/>
          <w:sz w:val="28"/>
          <w:szCs w:val="28"/>
        </w:rPr>
        <w:tab/>
      </w:r>
      <w:r w:rsidRPr="00DA2C51">
        <w:rPr>
          <w:rFonts w:ascii="Times New Roman" w:hAnsi="Times New Roman"/>
          <w:sz w:val="28"/>
          <w:szCs w:val="28"/>
        </w:rPr>
        <w:tab/>
      </w:r>
      <w:r w:rsidRPr="00DA2C51">
        <w:rPr>
          <w:rFonts w:ascii="Times New Roman" w:hAnsi="Times New Roman"/>
          <w:sz w:val="28"/>
          <w:szCs w:val="28"/>
        </w:rPr>
        <w:tab/>
      </w:r>
      <w:r w:rsidRPr="00DA2C51">
        <w:rPr>
          <w:rFonts w:ascii="Times New Roman" w:hAnsi="Times New Roman"/>
          <w:sz w:val="28"/>
          <w:szCs w:val="28"/>
        </w:rPr>
        <w:tab/>
      </w:r>
      <w:r w:rsidRPr="00DA2C51">
        <w:rPr>
          <w:rFonts w:ascii="Times New Roman" w:hAnsi="Times New Roman"/>
          <w:sz w:val="28"/>
          <w:szCs w:val="28"/>
        </w:rPr>
        <w:tab/>
      </w:r>
      <w:r w:rsidRPr="00DA2C51">
        <w:rPr>
          <w:rFonts w:ascii="Times New Roman" w:hAnsi="Times New Roman"/>
          <w:sz w:val="28"/>
          <w:szCs w:val="28"/>
        </w:rPr>
        <w:tab/>
      </w:r>
      <w:r w:rsidR="00DA2C51">
        <w:rPr>
          <w:rFonts w:ascii="Times New Roman" w:hAnsi="Times New Roman"/>
          <w:sz w:val="28"/>
          <w:szCs w:val="28"/>
        </w:rPr>
        <w:t xml:space="preserve">     </w:t>
      </w:r>
      <w:r w:rsidRPr="00DA2C51">
        <w:rPr>
          <w:rFonts w:ascii="Times New Roman" w:hAnsi="Times New Roman"/>
          <w:sz w:val="28"/>
          <w:szCs w:val="28"/>
        </w:rPr>
        <w:t xml:space="preserve">M.Lazdovskis </w:t>
      </w:r>
    </w:p>
    <w:p w:rsidR="00493DDD" w:rsidRPr="00F30B6F" w:rsidRDefault="00493DDD" w:rsidP="00493DDD">
      <w:pPr>
        <w:suppressAutoHyphens/>
        <w:spacing w:before="0" w:after="0" w:line="240" w:lineRule="auto"/>
        <w:ind w:firstLine="0"/>
        <w:rPr>
          <w:sz w:val="28"/>
          <w:szCs w:val="28"/>
          <w:lang w:val="lv-LV"/>
        </w:rPr>
      </w:pPr>
    </w:p>
    <w:p w:rsidR="00C95020" w:rsidRDefault="00C95020" w:rsidP="00493DDD">
      <w:pPr>
        <w:suppressAutoHyphens/>
        <w:spacing w:before="0" w:after="0" w:line="240" w:lineRule="auto"/>
        <w:ind w:firstLine="0"/>
        <w:rPr>
          <w:sz w:val="20"/>
          <w:lang w:val="lv-LV"/>
        </w:rPr>
      </w:pPr>
    </w:p>
    <w:p w:rsidR="00493DDD" w:rsidRPr="00F30B6F" w:rsidRDefault="00C95020" w:rsidP="00493DDD">
      <w:pPr>
        <w:suppressAutoHyphens/>
        <w:spacing w:before="0" w:after="0" w:line="240" w:lineRule="auto"/>
        <w:ind w:firstLine="0"/>
        <w:rPr>
          <w:sz w:val="20"/>
          <w:lang w:val="lv-LV"/>
        </w:rPr>
      </w:pPr>
      <w:r>
        <w:rPr>
          <w:sz w:val="20"/>
          <w:lang w:val="lv-LV"/>
        </w:rPr>
        <w:t>20</w:t>
      </w:r>
      <w:r w:rsidR="00493DDD">
        <w:rPr>
          <w:sz w:val="20"/>
          <w:lang w:val="lv-LV"/>
        </w:rPr>
        <w:t>.0</w:t>
      </w:r>
      <w:r w:rsidR="00DA2C51">
        <w:rPr>
          <w:sz w:val="20"/>
          <w:lang w:val="lv-LV"/>
        </w:rPr>
        <w:t>5</w:t>
      </w:r>
      <w:r w:rsidR="00493DDD">
        <w:rPr>
          <w:sz w:val="20"/>
          <w:lang w:val="lv-LV"/>
        </w:rPr>
        <w:t>.</w:t>
      </w:r>
      <w:r w:rsidR="00493DDD" w:rsidRPr="00F30B6F">
        <w:rPr>
          <w:sz w:val="20"/>
          <w:lang w:val="lv-LV"/>
        </w:rPr>
        <w:t xml:space="preserve">2014. </w:t>
      </w:r>
      <w:r w:rsidR="005A4D24">
        <w:rPr>
          <w:sz w:val="20"/>
          <w:lang w:val="lv-LV"/>
        </w:rPr>
        <w:t>09:04</w:t>
      </w:r>
    </w:p>
    <w:p w:rsidR="00493DDD" w:rsidRPr="00F30B6F" w:rsidRDefault="00493DDD" w:rsidP="00493DDD">
      <w:pPr>
        <w:suppressAutoHyphens/>
        <w:spacing w:before="0" w:after="0" w:line="240" w:lineRule="auto"/>
        <w:ind w:firstLine="0"/>
        <w:rPr>
          <w:sz w:val="20"/>
          <w:lang w:val="lv-LV"/>
        </w:rPr>
      </w:pPr>
      <w:r>
        <w:fldChar w:fldCharType="begin"/>
      </w:r>
      <w:r w:rsidRPr="00E77A03">
        <w:rPr>
          <w:lang w:val="lv-LV"/>
        </w:rPr>
        <w:instrText xml:space="preserve"> NUMWORDS   \* MERGEFORMAT </w:instrText>
      </w:r>
      <w:r>
        <w:fldChar w:fldCharType="separate"/>
      </w:r>
      <w:r w:rsidR="005A4D24" w:rsidRPr="005A4D24">
        <w:rPr>
          <w:noProof/>
          <w:sz w:val="20"/>
          <w:lang w:val="lv-LV"/>
        </w:rPr>
        <w:t>1137</w:t>
      </w:r>
      <w:r>
        <w:rPr>
          <w:noProof/>
          <w:sz w:val="20"/>
          <w:lang w:val="lv-LV"/>
        </w:rPr>
        <w:fldChar w:fldCharType="end"/>
      </w:r>
      <w:bookmarkStart w:id="2" w:name="_GoBack"/>
      <w:bookmarkEnd w:id="2"/>
    </w:p>
    <w:p w:rsidR="00C95020" w:rsidRDefault="00C95020" w:rsidP="00C95020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</w:p>
    <w:p w:rsidR="00C95020" w:rsidRDefault="00C95020" w:rsidP="00C95020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A.Timofejeva</w:t>
      </w:r>
    </w:p>
    <w:p w:rsidR="00C95020" w:rsidRDefault="00C95020" w:rsidP="00C95020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67013227</w:t>
      </w:r>
    </w:p>
    <w:p w:rsidR="00C95020" w:rsidRDefault="00C92166" w:rsidP="00C95020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hyperlink r:id="rId8" w:history="1">
        <w:r w:rsidR="00C95020" w:rsidRPr="004A2506">
          <w:rPr>
            <w:rStyle w:val="Hyperlink"/>
            <w:sz w:val="20"/>
            <w:lang w:val="lv-LV"/>
          </w:rPr>
          <w:t>Aija.Timofejeva@em.gov.lv</w:t>
        </w:r>
      </w:hyperlink>
    </w:p>
    <w:p w:rsidR="00C95020" w:rsidRDefault="00C95020" w:rsidP="00C95020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</w:p>
    <w:p w:rsidR="00C95020" w:rsidRDefault="00C95020" w:rsidP="00C95020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O.Bogdanova</w:t>
      </w:r>
    </w:p>
    <w:p w:rsidR="00C95020" w:rsidRPr="008121E0" w:rsidRDefault="00C95020" w:rsidP="00C95020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r w:rsidRPr="008121E0">
        <w:rPr>
          <w:color w:val="000000" w:themeColor="text1"/>
          <w:sz w:val="20"/>
          <w:lang w:val="lv-LV"/>
        </w:rPr>
        <w:t>67013003</w:t>
      </w:r>
    </w:p>
    <w:p w:rsidR="00493DDD" w:rsidRPr="00663B20" w:rsidRDefault="00C92166" w:rsidP="00C95020">
      <w:pPr>
        <w:suppressAutoHyphens/>
        <w:spacing w:before="0" w:after="0" w:line="240" w:lineRule="auto"/>
        <w:ind w:firstLine="0"/>
        <w:rPr>
          <w:sz w:val="20"/>
          <w:lang w:val="lv-LV"/>
        </w:rPr>
      </w:pPr>
      <w:hyperlink r:id="rId9" w:history="1">
        <w:r w:rsidR="00C95020" w:rsidRPr="008121E0">
          <w:rPr>
            <w:rStyle w:val="Hyperlink"/>
            <w:color w:val="000000" w:themeColor="text1"/>
            <w:sz w:val="20"/>
            <w:lang w:val="lv-LV"/>
          </w:rPr>
          <w:t>Olga.Bogdanova@em.gov.lv</w:t>
        </w:r>
      </w:hyperlink>
    </w:p>
    <w:sectPr w:rsidR="00493DDD" w:rsidRPr="00663B20" w:rsidSect="005A4D24">
      <w:headerReference w:type="default" r:id="rId10"/>
      <w:footerReference w:type="default" r:id="rId11"/>
      <w:headerReference w:type="first" r:id="rId12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66" w:rsidRDefault="00C92166" w:rsidP="00493DDD">
      <w:pPr>
        <w:spacing w:before="0" w:after="0" w:line="240" w:lineRule="auto"/>
      </w:pPr>
      <w:r>
        <w:separator/>
      </w:r>
    </w:p>
  </w:endnote>
  <w:endnote w:type="continuationSeparator" w:id="0">
    <w:p w:rsidR="00C92166" w:rsidRDefault="00C92166" w:rsidP="00493D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D" w:rsidRPr="00493DDD" w:rsidRDefault="00DA2C51" w:rsidP="00DA2C51">
    <w:pPr>
      <w:suppressAutoHyphens/>
      <w:spacing w:before="0" w:after="0" w:line="240" w:lineRule="auto"/>
      <w:ind w:firstLine="0"/>
      <w:rPr>
        <w:lang w:val="lv-LV"/>
      </w:rPr>
    </w:pPr>
    <w:r w:rsidRPr="00DA2C51">
      <w:rPr>
        <w:sz w:val="20"/>
        <w:lang w:val="lv-LV"/>
      </w:rPr>
      <w:t>EMZin_</w:t>
    </w:r>
    <w:r w:rsidR="00C95020">
      <w:rPr>
        <w:sz w:val="20"/>
        <w:lang w:val="lv-LV"/>
      </w:rPr>
      <w:t>20</w:t>
    </w:r>
    <w:r w:rsidRPr="00DA2C51">
      <w:rPr>
        <w:sz w:val="20"/>
        <w:lang w:val="lv-LV"/>
      </w:rPr>
      <w:t>0514_enerpolfin_Piel</w:t>
    </w:r>
    <w:r w:rsidR="00EB433B">
      <w:rPr>
        <w:sz w:val="20"/>
        <w:lang w:val="lv-LV"/>
      </w:rPr>
      <w:t>1</w:t>
    </w:r>
    <w:r w:rsidRPr="00DA2C51">
      <w:rPr>
        <w:sz w:val="20"/>
        <w:lang w:val="lv-LV"/>
      </w:rPr>
      <w:t>; Pielikums</w:t>
    </w:r>
    <w:r>
      <w:rPr>
        <w:sz w:val="20"/>
        <w:lang w:val="lv-LV"/>
      </w:rPr>
      <w:t xml:space="preserve"> Nr.1</w:t>
    </w:r>
    <w:r w:rsidRPr="00DA2C51">
      <w:rPr>
        <w:sz w:val="20"/>
        <w:lang w:val="lv-LV"/>
      </w:rPr>
      <w:t xml:space="preserve"> informatīvajam ziņojumam par enerģētikas politikas finansēšanu laika posmā no 2014.-2020. gadam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66" w:rsidRDefault="00C92166" w:rsidP="00493DDD">
      <w:pPr>
        <w:spacing w:before="0" w:after="0" w:line="240" w:lineRule="auto"/>
      </w:pPr>
      <w:r>
        <w:separator/>
      </w:r>
    </w:p>
  </w:footnote>
  <w:footnote w:type="continuationSeparator" w:id="0">
    <w:p w:rsidR="00C92166" w:rsidRDefault="00C92166" w:rsidP="00493D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437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4D24" w:rsidRDefault="005A4D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4D24" w:rsidRDefault="005A4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24" w:rsidRPr="005A4D24" w:rsidRDefault="005A4D24" w:rsidP="005A4D24">
    <w:pPr>
      <w:pStyle w:val="Header"/>
      <w:ind w:firstLine="0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1E"/>
    <w:multiLevelType w:val="hybridMultilevel"/>
    <w:tmpl w:val="85EE7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E10"/>
    <w:multiLevelType w:val="hybridMultilevel"/>
    <w:tmpl w:val="8ABE0D3E"/>
    <w:lvl w:ilvl="0" w:tplc="77706E5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448F"/>
    <w:multiLevelType w:val="hybridMultilevel"/>
    <w:tmpl w:val="DE20225A"/>
    <w:lvl w:ilvl="0" w:tplc="BBDA4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F44"/>
    <w:multiLevelType w:val="hybridMultilevel"/>
    <w:tmpl w:val="CE5C4B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7FD9"/>
    <w:multiLevelType w:val="hybridMultilevel"/>
    <w:tmpl w:val="C7D0F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DD"/>
    <w:rsid w:val="00084AA0"/>
    <w:rsid w:val="001310B1"/>
    <w:rsid w:val="001C7CE4"/>
    <w:rsid w:val="003552D8"/>
    <w:rsid w:val="0037700A"/>
    <w:rsid w:val="00493DDD"/>
    <w:rsid w:val="005922D3"/>
    <w:rsid w:val="005A4D24"/>
    <w:rsid w:val="006B2EC9"/>
    <w:rsid w:val="0071794C"/>
    <w:rsid w:val="007A7D93"/>
    <w:rsid w:val="007D5C52"/>
    <w:rsid w:val="008D0AD1"/>
    <w:rsid w:val="008E34F0"/>
    <w:rsid w:val="008E35D8"/>
    <w:rsid w:val="009717C6"/>
    <w:rsid w:val="009A1FB2"/>
    <w:rsid w:val="00C45489"/>
    <w:rsid w:val="00C65A8B"/>
    <w:rsid w:val="00C92166"/>
    <w:rsid w:val="00C95020"/>
    <w:rsid w:val="00D64326"/>
    <w:rsid w:val="00DA2C51"/>
    <w:rsid w:val="00EA5B06"/>
    <w:rsid w:val="00EB433B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DD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93D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DD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3DDD"/>
    <w:pPr>
      <w:widowControl/>
      <w:spacing w:before="0" w:after="120" w:line="480" w:lineRule="auto"/>
      <w:ind w:left="283"/>
      <w:jc w:val="left"/>
    </w:pPr>
    <w:rPr>
      <w:rFonts w:ascii="Calibri" w:hAnsi="Calibri"/>
      <w:sz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3DDD"/>
    <w:rPr>
      <w:rFonts w:ascii="Calibri" w:eastAsia="Times New Roman" w:hAnsi="Calibri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rsid w:val="00493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3DD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D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Hyperlink">
    <w:name w:val="Hyperlink"/>
    <w:basedOn w:val="DefaultParagraphFont"/>
    <w:rsid w:val="00C95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DD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93D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DD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3DDD"/>
    <w:pPr>
      <w:widowControl/>
      <w:spacing w:before="0" w:after="120" w:line="480" w:lineRule="auto"/>
      <w:ind w:left="283"/>
      <w:jc w:val="left"/>
    </w:pPr>
    <w:rPr>
      <w:rFonts w:ascii="Calibri" w:hAnsi="Calibri"/>
      <w:sz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3DDD"/>
    <w:rPr>
      <w:rFonts w:ascii="Calibri" w:eastAsia="Times New Roman" w:hAnsi="Calibri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rsid w:val="00493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3DD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D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Hyperlink">
    <w:name w:val="Hyperlink"/>
    <w:basedOn w:val="DefaultParagraphFont"/>
    <w:rsid w:val="00C95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imofejev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Bogdanov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1165</Words>
  <Characters>8629</Characters>
  <Application>Microsoft Office Word</Application>
  <DocSecurity>0</DocSecurity>
  <Lines>616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</dc:creator>
  <cp:lastModifiedBy>Indra Niedrīte</cp:lastModifiedBy>
  <cp:revision>3</cp:revision>
  <cp:lastPrinted>2014-05-20T05:59:00Z</cp:lastPrinted>
  <dcterms:created xsi:type="dcterms:W3CDTF">2014-05-20T05:55:00Z</dcterms:created>
  <dcterms:modified xsi:type="dcterms:W3CDTF">2014-05-20T06:04:00Z</dcterms:modified>
</cp:coreProperties>
</file>