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1B" w:rsidRPr="003D48F5" w:rsidRDefault="00274912" w:rsidP="00E13B7D">
      <w:pPr>
        <w:jc w:val="center"/>
        <w:rPr>
          <w:rFonts w:cs="Times New Roman"/>
          <w:b/>
        </w:rPr>
      </w:pPr>
      <w:r>
        <w:rPr>
          <w:rFonts w:cs="Times New Roman"/>
          <w:b/>
        </w:rPr>
        <w:t xml:space="preserve"> </w:t>
      </w:r>
    </w:p>
    <w:p w:rsidR="0066561B" w:rsidRPr="003D48F5" w:rsidRDefault="0066561B" w:rsidP="00E13B7D">
      <w:pPr>
        <w:jc w:val="center"/>
        <w:rPr>
          <w:rFonts w:cs="Times New Roman"/>
          <w:b/>
        </w:rPr>
      </w:pPr>
    </w:p>
    <w:p w:rsidR="0066561B" w:rsidRPr="003D48F5" w:rsidRDefault="0066561B" w:rsidP="00E13B7D">
      <w:pPr>
        <w:jc w:val="center"/>
        <w:rPr>
          <w:rFonts w:cs="Times New Roman"/>
          <w:b/>
        </w:rPr>
      </w:pPr>
    </w:p>
    <w:p w:rsidR="0066561B" w:rsidRPr="003D48F5" w:rsidRDefault="0066561B" w:rsidP="00E13B7D">
      <w:pPr>
        <w:jc w:val="center"/>
        <w:rPr>
          <w:rFonts w:cs="Times New Roman"/>
          <w:b/>
        </w:rPr>
      </w:pPr>
    </w:p>
    <w:p w:rsidR="00372FE3" w:rsidRPr="00372FE3" w:rsidRDefault="00372FE3" w:rsidP="00E13B7D">
      <w:pPr>
        <w:jc w:val="center"/>
        <w:rPr>
          <w:rFonts w:cs="Times New Roman"/>
          <w:sz w:val="32"/>
        </w:rPr>
      </w:pPr>
      <w:r w:rsidRPr="00372FE3">
        <w:rPr>
          <w:rFonts w:cs="Times New Roman"/>
          <w:sz w:val="32"/>
        </w:rPr>
        <w:t>Informatīvais ziņojums</w:t>
      </w:r>
    </w:p>
    <w:p w:rsidR="00994124" w:rsidRPr="00AE58D1" w:rsidRDefault="0088403A" w:rsidP="00E13B7D">
      <w:pPr>
        <w:jc w:val="center"/>
        <w:rPr>
          <w:rFonts w:cs="Times New Roman"/>
          <w:b/>
          <w:sz w:val="32"/>
          <w:szCs w:val="32"/>
        </w:rPr>
      </w:pPr>
      <w:r w:rsidRPr="00AE58D1">
        <w:rPr>
          <w:rFonts w:cs="Times New Roman"/>
          <w:b/>
          <w:sz w:val="32"/>
          <w:szCs w:val="32"/>
        </w:rPr>
        <w:t>Par virzību uz indikatīvo valsts energoefektivitātes mērķi</w:t>
      </w:r>
      <w:r w:rsidR="00AE58D1">
        <w:rPr>
          <w:rFonts w:cs="Times New Roman"/>
          <w:b/>
          <w:sz w:val="32"/>
          <w:szCs w:val="32"/>
        </w:rPr>
        <w:t xml:space="preserve"> 2014. – 2016. </w:t>
      </w:r>
      <w:r w:rsidR="00372FE3" w:rsidRPr="00AE58D1">
        <w:rPr>
          <w:rFonts w:cs="Times New Roman"/>
          <w:b/>
          <w:sz w:val="32"/>
          <w:szCs w:val="32"/>
        </w:rPr>
        <w:t>gad</w:t>
      </w:r>
      <w:r w:rsidR="00F85A58">
        <w:rPr>
          <w:rFonts w:cs="Times New Roman"/>
          <w:b/>
          <w:sz w:val="32"/>
          <w:szCs w:val="32"/>
        </w:rPr>
        <w:t>ā</w:t>
      </w:r>
      <w:r w:rsidR="00AE58D1" w:rsidRPr="00AE58D1">
        <w:rPr>
          <w:rFonts w:cs="Times New Roman"/>
          <w:b/>
          <w:sz w:val="32"/>
          <w:szCs w:val="32"/>
        </w:rPr>
        <w:t xml:space="preserve"> saskaņā ar </w:t>
      </w:r>
      <w:r w:rsidR="00AE58D1" w:rsidRPr="00AE58D1">
        <w:rPr>
          <w:rFonts w:cs="Times New Roman"/>
          <w:b/>
          <w:bCs/>
          <w:color w:val="000000"/>
          <w:sz w:val="32"/>
          <w:szCs w:val="32"/>
        </w:rPr>
        <w:t>Eiropas Parlamenta un Padomes 2012. gada 25. oktobra Direktīvu 2012/27/ES par energoefektivitāti, ar ko groza Direktīvas 2009/125/EK un 2010/30/ES un atceļ Direktīvas 2004/8/EK un 2006/32/EK</w:t>
      </w:r>
      <w:r w:rsidR="00274912">
        <w:rPr>
          <w:rFonts w:cs="Times New Roman"/>
          <w:b/>
          <w:bCs/>
          <w:color w:val="000000"/>
          <w:sz w:val="32"/>
          <w:szCs w:val="32"/>
          <w:u w:val="single"/>
        </w:rPr>
        <w:t xml:space="preserve"> </w:t>
      </w:r>
    </w:p>
    <w:p w:rsidR="00E13B7D" w:rsidRPr="003D48F5" w:rsidRDefault="00E13B7D" w:rsidP="00E13B7D">
      <w:pPr>
        <w:jc w:val="center"/>
        <w:rPr>
          <w:rFonts w:cs="Times New Roman"/>
          <w:sz w:val="24"/>
        </w:rPr>
      </w:pPr>
      <w:r w:rsidRPr="003D48F5">
        <w:rPr>
          <w:rFonts w:cs="Times New Roman"/>
          <w:sz w:val="24"/>
        </w:rPr>
        <w:t xml:space="preserve">2014. gada </w:t>
      </w:r>
      <w:r w:rsidR="00750B32">
        <w:rPr>
          <w:rFonts w:cs="Times New Roman"/>
          <w:sz w:val="24"/>
        </w:rPr>
        <w:t>17</w:t>
      </w:r>
      <w:r w:rsidRPr="003D48F5">
        <w:rPr>
          <w:rFonts w:cs="Times New Roman"/>
          <w:sz w:val="24"/>
        </w:rPr>
        <w:t xml:space="preserve">. </w:t>
      </w:r>
      <w:r w:rsidR="007D1A00">
        <w:rPr>
          <w:rFonts w:cs="Times New Roman"/>
          <w:sz w:val="24"/>
        </w:rPr>
        <w:t>mart</w:t>
      </w:r>
      <w:r w:rsidR="00B30100">
        <w:rPr>
          <w:rFonts w:cs="Times New Roman"/>
          <w:sz w:val="24"/>
        </w:rPr>
        <w:t>s</w:t>
      </w:r>
    </w:p>
    <w:p w:rsidR="00E13B7D" w:rsidRPr="003D48F5" w:rsidRDefault="00E13B7D">
      <w:pPr>
        <w:rPr>
          <w:rFonts w:cs="Times New Roman"/>
        </w:rPr>
      </w:pPr>
      <w:r w:rsidRPr="003D48F5">
        <w:rPr>
          <w:rFonts w:cs="Times New Roman"/>
        </w:rPr>
        <w:br w:type="page"/>
      </w:r>
    </w:p>
    <w:sdt>
      <w:sdtPr>
        <w:rPr>
          <w:rFonts w:cs="Times New Roman"/>
          <w:sz w:val="24"/>
        </w:rPr>
        <w:id w:val="-1616743799"/>
        <w:docPartObj>
          <w:docPartGallery w:val="Table of Contents"/>
          <w:docPartUnique/>
        </w:docPartObj>
      </w:sdtPr>
      <w:sdtEndPr>
        <w:rPr>
          <w:b/>
          <w:bCs/>
        </w:rPr>
      </w:sdtEndPr>
      <w:sdtContent>
        <w:p w:rsidR="00994124" w:rsidRPr="003D48F5" w:rsidRDefault="00994124" w:rsidP="00965FE4">
          <w:pPr>
            <w:autoSpaceDE w:val="0"/>
            <w:autoSpaceDN w:val="0"/>
            <w:adjustRightInd w:val="0"/>
            <w:spacing w:after="0" w:line="240" w:lineRule="auto"/>
            <w:jc w:val="center"/>
            <w:rPr>
              <w:rFonts w:cs="Times New Roman"/>
              <w:b/>
              <w:bCs/>
              <w:sz w:val="26"/>
              <w:szCs w:val="28"/>
            </w:rPr>
          </w:pPr>
          <w:r w:rsidRPr="003D48F5">
            <w:rPr>
              <w:rFonts w:cs="Times New Roman"/>
              <w:b/>
              <w:bCs/>
              <w:sz w:val="26"/>
              <w:szCs w:val="28"/>
            </w:rPr>
            <w:t>SATURS</w:t>
          </w:r>
        </w:p>
        <w:p w:rsidR="00E62DD6" w:rsidRDefault="00994124">
          <w:pPr>
            <w:pStyle w:val="TOC1"/>
            <w:tabs>
              <w:tab w:val="right" w:leader="dot" w:pos="9016"/>
            </w:tabs>
            <w:rPr>
              <w:rFonts w:asciiTheme="minorHAnsi" w:eastAsiaTheme="minorEastAsia" w:hAnsiTheme="minorHAnsi"/>
              <w:noProof/>
              <w:sz w:val="22"/>
              <w:lang w:eastAsia="lv-LV"/>
            </w:rPr>
          </w:pPr>
          <w:r w:rsidRPr="003D48F5">
            <w:rPr>
              <w:rFonts w:cs="Times New Roman"/>
              <w:sz w:val="24"/>
            </w:rPr>
            <w:fldChar w:fldCharType="begin"/>
          </w:r>
          <w:r w:rsidRPr="003D48F5">
            <w:rPr>
              <w:rFonts w:cs="Times New Roman"/>
              <w:sz w:val="24"/>
            </w:rPr>
            <w:instrText xml:space="preserve"> TOC \o "1-3" \h \z \u </w:instrText>
          </w:r>
          <w:r w:rsidRPr="003D48F5">
            <w:rPr>
              <w:rFonts w:cs="Times New Roman"/>
              <w:sz w:val="24"/>
            </w:rPr>
            <w:fldChar w:fldCharType="separate"/>
          </w:r>
          <w:hyperlink w:anchor="_Toc387237952" w:history="1">
            <w:r w:rsidR="00E62DD6" w:rsidRPr="000A4E40">
              <w:rPr>
                <w:rStyle w:val="Hyperlink"/>
                <w:rFonts w:cs="Times New Roman"/>
                <w:noProof/>
              </w:rPr>
              <w:t>1. IEVADS</w:t>
            </w:r>
            <w:r w:rsidR="00E62DD6">
              <w:rPr>
                <w:noProof/>
                <w:webHidden/>
              </w:rPr>
              <w:tab/>
            </w:r>
            <w:r w:rsidR="00E62DD6">
              <w:rPr>
                <w:noProof/>
                <w:webHidden/>
              </w:rPr>
              <w:fldChar w:fldCharType="begin"/>
            </w:r>
            <w:r w:rsidR="00E62DD6">
              <w:rPr>
                <w:noProof/>
                <w:webHidden/>
              </w:rPr>
              <w:instrText xml:space="preserve"> PAGEREF _Toc387237952 \h </w:instrText>
            </w:r>
            <w:r w:rsidR="00E62DD6">
              <w:rPr>
                <w:noProof/>
                <w:webHidden/>
              </w:rPr>
            </w:r>
            <w:r w:rsidR="00E62DD6">
              <w:rPr>
                <w:noProof/>
                <w:webHidden/>
              </w:rPr>
              <w:fldChar w:fldCharType="separate"/>
            </w:r>
            <w:r w:rsidR="00532D83">
              <w:rPr>
                <w:noProof/>
                <w:webHidden/>
              </w:rPr>
              <w:t>4</w:t>
            </w:r>
            <w:r w:rsidR="00E62DD6">
              <w:rPr>
                <w:noProof/>
                <w:webHidden/>
              </w:rPr>
              <w:fldChar w:fldCharType="end"/>
            </w:r>
          </w:hyperlink>
        </w:p>
        <w:p w:rsidR="00E62DD6" w:rsidRDefault="004D126E">
          <w:pPr>
            <w:pStyle w:val="TOC1"/>
            <w:tabs>
              <w:tab w:val="right" w:leader="dot" w:pos="9016"/>
            </w:tabs>
            <w:rPr>
              <w:rFonts w:asciiTheme="minorHAnsi" w:eastAsiaTheme="minorEastAsia" w:hAnsiTheme="minorHAnsi"/>
              <w:noProof/>
              <w:sz w:val="22"/>
              <w:lang w:eastAsia="lv-LV"/>
            </w:rPr>
          </w:pPr>
          <w:hyperlink w:anchor="_Toc387237953" w:history="1">
            <w:r w:rsidR="00E62DD6" w:rsidRPr="000A4E40">
              <w:rPr>
                <w:rStyle w:val="Hyperlink"/>
                <w:rFonts w:cs="Times New Roman"/>
                <w:noProof/>
              </w:rPr>
              <w:t>2. PĀRSKATS PAR VALSTS ENERGOEFEKTIVITĀTES MĒRĶIEM UN IETAUPĪJUMIEM</w:t>
            </w:r>
            <w:r w:rsidR="00E62DD6">
              <w:rPr>
                <w:noProof/>
                <w:webHidden/>
              </w:rPr>
              <w:tab/>
            </w:r>
            <w:r w:rsidR="00E62DD6">
              <w:rPr>
                <w:noProof/>
                <w:webHidden/>
              </w:rPr>
              <w:fldChar w:fldCharType="begin"/>
            </w:r>
            <w:r w:rsidR="00E62DD6">
              <w:rPr>
                <w:noProof/>
                <w:webHidden/>
              </w:rPr>
              <w:instrText xml:space="preserve"> PAGEREF _Toc387237953 \h </w:instrText>
            </w:r>
            <w:r w:rsidR="00E62DD6">
              <w:rPr>
                <w:noProof/>
                <w:webHidden/>
              </w:rPr>
            </w:r>
            <w:r w:rsidR="00E62DD6">
              <w:rPr>
                <w:noProof/>
                <w:webHidden/>
              </w:rPr>
              <w:fldChar w:fldCharType="separate"/>
            </w:r>
            <w:r w:rsidR="00532D83">
              <w:rPr>
                <w:noProof/>
                <w:webHidden/>
              </w:rPr>
              <w:t>5</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54" w:history="1">
            <w:r w:rsidR="00E62DD6" w:rsidRPr="000A4E40">
              <w:rPr>
                <w:rStyle w:val="Hyperlink"/>
                <w:noProof/>
              </w:rPr>
              <w:t>2.1. Valsts 2020. gada energoefektivitātes mērķi</w:t>
            </w:r>
            <w:r w:rsidR="00E62DD6">
              <w:rPr>
                <w:noProof/>
                <w:webHidden/>
              </w:rPr>
              <w:tab/>
            </w:r>
            <w:r w:rsidR="00E62DD6">
              <w:rPr>
                <w:noProof/>
                <w:webHidden/>
              </w:rPr>
              <w:fldChar w:fldCharType="begin"/>
            </w:r>
            <w:r w:rsidR="00E62DD6">
              <w:rPr>
                <w:noProof/>
                <w:webHidden/>
              </w:rPr>
              <w:instrText xml:space="preserve"> PAGEREF _Toc387237954 \h </w:instrText>
            </w:r>
            <w:r w:rsidR="00E62DD6">
              <w:rPr>
                <w:noProof/>
                <w:webHidden/>
              </w:rPr>
            </w:r>
            <w:r w:rsidR="00E62DD6">
              <w:rPr>
                <w:noProof/>
                <w:webHidden/>
              </w:rPr>
              <w:fldChar w:fldCharType="separate"/>
            </w:r>
            <w:r w:rsidR="00532D83">
              <w:rPr>
                <w:noProof/>
                <w:webHidden/>
              </w:rPr>
              <w:t>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55" w:history="1">
            <w:r w:rsidR="00E62DD6" w:rsidRPr="000A4E40">
              <w:rPr>
                <w:rStyle w:val="Hyperlink"/>
                <w:noProof/>
              </w:rPr>
              <w:t>2.1.1. Indikatīvais valsts energoefektivitātes mērķis 2020. gadam</w:t>
            </w:r>
            <w:r w:rsidR="00E62DD6">
              <w:rPr>
                <w:noProof/>
                <w:webHidden/>
              </w:rPr>
              <w:tab/>
            </w:r>
            <w:r w:rsidR="00E62DD6">
              <w:rPr>
                <w:noProof/>
                <w:webHidden/>
              </w:rPr>
              <w:fldChar w:fldCharType="begin"/>
            </w:r>
            <w:r w:rsidR="00E62DD6">
              <w:rPr>
                <w:noProof/>
                <w:webHidden/>
              </w:rPr>
              <w:instrText xml:space="preserve"> PAGEREF _Toc387237955 \h </w:instrText>
            </w:r>
            <w:r w:rsidR="00E62DD6">
              <w:rPr>
                <w:noProof/>
                <w:webHidden/>
              </w:rPr>
            </w:r>
            <w:r w:rsidR="00E62DD6">
              <w:rPr>
                <w:noProof/>
                <w:webHidden/>
              </w:rPr>
              <w:fldChar w:fldCharType="separate"/>
            </w:r>
            <w:r w:rsidR="00532D83">
              <w:rPr>
                <w:noProof/>
                <w:webHidden/>
              </w:rPr>
              <w:t>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56" w:history="1">
            <w:r w:rsidR="00E62DD6" w:rsidRPr="000A4E40">
              <w:rPr>
                <w:rStyle w:val="Hyperlink"/>
                <w:noProof/>
              </w:rPr>
              <w:t>2.1.2. Mērķa ietekme uz vispārējo primārās enerģijas patēriņu un galapatēriņu 2020. gadā</w:t>
            </w:r>
            <w:r w:rsidR="00E62DD6">
              <w:rPr>
                <w:noProof/>
                <w:webHidden/>
              </w:rPr>
              <w:tab/>
            </w:r>
            <w:r w:rsidR="00E62DD6">
              <w:rPr>
                <w:noProof/>
                <w:webHidden/>
              </w:rPr>
              <w:fldChar w:fldCharType="begin"/>
            </w:r>
            <w:r w:rsidR="00E62DD6">
              <w:rPr>
                <w:noProof/>
                <w:webHidden/>
              </w:rPr>
              <w:instrText xml:space="preserve"> PAGEREF _Toc387237956 \h </w:instrText>
            </w:r>
            <w:r w:rsidR="00E62DD6">
              <w:rPr>
                <w:noProof/>
                <w:webHidden/>
              </w:rPr>
            </w:r>
            <w:r w:rsidR="00E62DD6">
              <w:rPr>
                <w:noProof/>
                <w:webHidden/>
              </w:rPr>
              <w:fldChar w:fldCharType="separate"/>
            </w:r>
            <w:r w:rsidR="00532D83">
              <w:rPr>
                <w:noProof/>
                <w:webHidden/>
              </w:rPr>
              <w:t>5</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57" w:history="1">
            <w:r w:rsidR="00E62DD6" w:rsidRPr="000A4E40">
              <w:rPr>
                <w:rStyle w:val="Hyperlink"/>
                <w:noProof/>
              </w:rPr>
              <w:t>2.2. Papildu energoefektivitātes mērķi</w:t>
            </w:r>
            <w:r w:rsidR="00E62DD6">
              <w:rPr>
                <w:noProof/>
                <w:webHidden/>
              </w:rPr>
              <w:tab/>
            </w:r>
            <w:r w:rsidR="00E62DD6">
              <w:rPr>
                <w:noProof/>
                <w:webHidden/>
              </w:rPr>
              <w:fldChar w:fldCharType="begin"/>
            </w:r>
            <w:r w:rsidR="00E62DD6">
              <w:rPr>
                <w:noProof/>
                <w:webHidden/>
              </w:rPr>
              <w:instrText xml:space="preserve"> PAGEREF _Toc387237957 \h </w:instrText>
            </w:r>
            <w:r w:rsidR="00E62DD6">
              <w:rPr>
                <w:noProof/>
                <w:webHidden/>
              </w:rPr>
            </w:r>
            <w:r w:rsidR="00E62DD6">
              <w:rPr>
                <w:noProof/>
                <w:webHidden/>
              </w:rPr>
              <w:fldChar w:fldCharType="separate"/>
            </w:r>
            <w:r w:rsidR="00532D83">
              <w:rPr>
                <w:noProof/>
                <w:webHidden/>
              </w:rPr>
              <w:t>10</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58" w:history="1">
            <w:r w:rsidR="00E62DD6" w:rsidRPr="000A4E40">
              <w:rPr>
                <w:rStyle w:val="Hyperlink"/>
                <w:noProof/>
              </w:rPr>
              <w:t>2.3. Primārās enerģijas ietaupījums</w:t>
            </w:r>
            <w:r w:rsidR="00E62DD6">
              <w:rPr>
                <w:noProof/>
                <w:webHidden/>
              </w:rPr>
              <w:tab/>
            </w:r>
            <w:r w:rsidR="00E62DD6">
              <w:rPr>
                <w:noProof/>
                <w:webHidden/>
              </w:rPr>
              <w:fldChar w:fldCharType="begin"/>
            </w:r>
            <w:r w:rsidR="00E62DD6">
              <w:rPr>
                <w:noProof/>
                <w:webHidden/>
              </w:rPr>
              <w:instrText xml:space="preserve"> PAGEREF _Toc387237958 \h </w:instrText>
            </w:r>
            <w:r w:rsidR="00E62DD6">
              <w:rPr>
                <w:noProof/>
                <w:webHidden/>
              </w:rPr>
            </w:r>
            <w:r w:rsidR="00E62DD6">
              <w:rPr>
                <w:noProof/>
                <w:webHidden/>
              </w:rPr>
              <w:fldChar w:fldCharType="separate"/>
            </w:r>
            <w:r w:rsidR="00532D83">
              <w:rPr>
                <w:noProof/>
                <w:webHidden/>
              </w:rPr>
              <w:t>11</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59" w:history="1">
            <w:r w:rsidR="00E62DD6" w:rsidRPr="000A4E40">
              <w:rPr>
                <w:rStyle w:val="Hyperlink"/>
                <w:noProof/>
              </w:rPr>
              <w:t>2.4. Sasniegtais gala enerģijas ietaupījums un ietaupījumu prognoze</w:t>
            </w:r>
            <w:r w:rsidR="00E62DD6">
              <w:rPr>
                <w:noProof/>
                <w:webHidden/>
              </w:rPr>
              <w:tab/>
            </w:r>
            <w:r w:rsidR="00E62DD6">
              <w:rPr>
                <w:noProof/>
                <w:webHidden/>
              </w:rPr>
              <w:fldChar w:fldCharType="begin"/>
            </w:r>
            <w:r w:rsidR="00E62DD6">
              <w:rPr>
                <w:noProof/>
                <w:webHidden/>
              </w:rPr>
              <w:instrText xml:space="preserve"> PAGEREF _Toc387237959 \h </w:instrText>
            </w:r>
            <w:r w:rsidR="00E62DD6">
              <w:rPr>
                <w:noProof/>
                <w:webHidden/>
              </w:rPr>
            </w:r>
            <w:r w:rsidR="00E62DD6">
              <w:rPr>
                <w:noProof/>
                <w:webHidden/>
              </w:rPr>
              <w:fldChar w:fldCharType="separate"/>
            </w:r>
            <w:r w:rsidR="00532D83">
              <w:rPr>
                <w:noProof/>
                <w:webHidden/>
              </w:rPr>
              <w:t>12</w:t>
            </w:r>
            <w:r w:rsidR="00E62DD6">
              <w:rPr>
                <w:noProof/>
                <w:webHidden/>
              </w:rPr>
              <w:fldChar w:fldCharType="end"/>
            </w:r>
          </w:hyperlink>
        </w:p>
        <w:p w:rsidR="00E62DD6" w:rsidRDefault="004D126E">
          <w:pPr>
            <w:pStyle w:val="TOC1"/>
            <w:tabs>
              <w:tab w:val="right" w:leader="dot" w:pos="9016"/>
            </w:tabs>
            <w:rPr>
              <w:rFonts w:asciiTheme="minorHAnsi" w:eastAsiaTheme="minorEastAsia" w:hAnsiTheme="minorHAnsi"/>
              <w:noProof/>
              <w:sz w:val="22"/>
              <w:lang w:eastAsia="lv-LV"/>
            </w:rPr>
          </w:pPr>
          <w:hyperlink w:anchor="_Toc387237960" w:history="1">
            <w:r w:rsidR="00E62DD6" w:rsidRPr="000A4E40">
              <w:rPr>
                <w:rStyle w:val="Hyperlink"/>
                <w:rFonts w:cs="Times New Roman"/>
                <w:noProof/>
              </w:rPr>
              <w:t>3. ENERGOEFEKTIVITĀTES POLITIKAS PASĀKUMU ĪSTENOŠANA</w:t>
            </w:r>
            <w:r w:rsidR="00E62DD6">
              <w:rPr>
                <w:noProof/>
                <w:webHidden/>
              </w:rPr>
              <w:tab/>
            </w:r>
            <w:r w:rsidR="00E62DD6">
              <w:rPr>
                <w:noProof/>
                <w:webHidden/>
              </w:rPr>
              <w:fldChar w:fldCharType="begin"/>
            </w:r>
            <w:r w:rsidR="00E62DD6">
              <w:rPr>
                <w:noProof/>
                <w:webHidden/>
              </w:rPr>
              <w:instrText xml:space="preserve"> PAGEREF _Toc387237960 \h </w:instrText>
            </w:r>
            <w:r w:rsidR="00E62DD6">
              <w:rPr>
                <w:noProof/>
                <w:webHidden/>
              </w:rPr>
            </w:r>
            <w:r w:rsidR="00E62DD6">
              <w:rPr>
                <w:noProof/>
                <w:webHidden/>
              </w:rPr>
              <w:fldChar w:fldCharType="separate"/>
            </w:r>
            <w:r w:rsidR="00532D83">
              <w:rPr>
                <w:noProof/>
                <w:webHidden/>
              </w:rPr>
              <w:t>15</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61" w:history="1">
            <w:r w:rsidR="00E62DD6" w:rsidRPr="000A4E40">
              <w:rPr>
                <w:rStyle w:val="Hyperlink"/>
                <w:noProof/>
              </w:rPr>
              <w:t>3.1. Horizontālie pasākumi</w:t>
            </w:r>
            <w:r w:rsidR="00E62DD6">
              <w:rPr>
                <w:noProof/>
                <w:webHidden/>
              </w:rPr>
              <w:tab/>
            </w:r>
            <w:r w:rsidR="00E62DD6">
              <w:rPr>
                <w:noProof/>
                <w:webHidden/>
              </w:rPr>
              <w:fldChar w:fldCharType="begin"/>
            </w:r>
            <w:r w:rsidR="00E62DD6">
              <w:rPr>
                <w:noProof/>
                <w:webHidden/>
              </w:rPr>
              <w:instrText xml:space="preserve"> PAGEREF _Toc387237961 \h </w:instrText>
            </w:r>
            <w:r w:rsidR="00E62DD6">
              <w:rPr>
                <w:noProof/>
                <w:webHidden/>
              </w:rPr>
            </w:r>
            <w:r w:rsidR="00E62DD6">
              <w:rPr>
                <w:noProof/>
                <w:webHidden/>
              </w:rPr>
              <w:fldChar w:fldCharType="separate"/>
            </w:r>
            <w:r w:rsidR="00532D83">
              <w:rPr>
                <w:noProof/>
                <w:webHidden/>
              </w:rPr>
              <w:t>15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2" w:history="1">
            <w:r w:rsidR="00E62DD6" w:rsidRPr="000A4E40">
              <w:rPr>
                <w:rStyle w:val="Hyperlink"/>
                <w:noProof/>
              </w:rPr>
              <w:t>3.1.1. Enerģijas ietaupījuma apjoms pienākuma periodā</w:t>
            </w:r>
            <w:r w:rsidR="00E62DD6">
              <w:rPr>
                <w:noProof/>
                <w:webHidden/>
              </w:rPr>
              <w:tab/>
            </w:r>
            <w:r w:rsidR="00E62DD6">
              <w:rPr>
                <w:noProof/>
                <w:webHidden/>
              </w:rPr>
              <w:fldChar w:fldCharType="begin"/>
            </w:r>
            <w:r w:rsidR="00E62DD6">
              <w:rPr>
                <w:noProof/>
                <w:webHidden/>
              </w:rPr>
              <w:instrText xml:space="preserve"> PAGEREF _Toc387237962 \h </w:instrText>
            </w:r>
            <w:r w:rsidR="00E62DD6">
              <w:rPr>
                <w:noProof/>
                <w:webHidden/>
              </w:rPr>
            </w:r>
            <w:r w:rsidR="00E62DD6">
              <w:rPr>
                <w:noProof/>
                <w:webHidden/>
              </w:rPr>
              <w:fldChar w:fldCharType="separate"/>
            </w:r>
            <w:r w:rsidR="00532D83">
              <w:rPr>
                <w:noProof/>
                <w:webHidden/>
              </w:rPr>
              <w:t>15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3" w:history="1">
            <w:r w:rsidR="00E62DD6" w:rsidRPr="000A4E40">
              <w:rPr>
                <w:rStyle w:val="Hyperlink"/>
                <w:noProof/>
              </w:rPr>
              <w:t>3.1.2. Valsts energoefektivitātes pienākuma shēma</w:t>
            </w:r>
            <w:r w:rsidR="00E62DD6">
              <w:rPr>
                <w:noProof/>
                <w:webHidden/>
              </w:rPr>
              <w:tab/>
            </w:r>
            <w:r w:rsidR="00E62DD6">
              <w:rPr>
                <w:noProof/>
                <w:webHidden/>
              </w:rPr>
              <w:fldChar w:fldCharType="begin"/>
            </w:r>
            <w:r w:rsidR="00E62DD6">
              <w:rPr>
                <w:noProof/>
                <w:webHidden/>
              </w:rPr>
              <w:instrText xml:space="preserve"> PAGEREF _Toc387237963 \h </w:instrText>
            </w:r>
            <w:r w:rsidR="00E62DD6">
              <w:rPr>
                <w:noProof/>
                <w:webHidden/>
              </w:rPr>
            </w:r>
            <w:r w:rsidR="00E62DD6">
              <w:rPr>
                <w:noProof/>
                <w:webHidden/>
              </w:rPr>
              <w:fldChar w:fldCharType="separate"/>
            </w:r>
            <w:r w:rsidR="00532D83">
              <w:rPr>
                <w:noProof/>
                <w:webHidden/>
              </w:rPr>
              <w:t>16</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4" w:history="1">
            <w:r w:rsidR="00E62DD6" w:rsidRPr="000A4E40">
              <w:rPr>
                <w:rStyle w:val="Hyperlink"/>
                <w:noProof/>
              </w:rPr>
              <w:t>3.1.3. Ar EPS sasniedzamie ietaupījumi</w:t>
            </w:r>
            <w:r w:rsidR="00E62DD6">
              <w:rPr>
                <w:noProof/>
                <w:webHidden/>
              </w:rPr>
              <w:tab/>
            </w:r>
            <w:r w:rsidR="00E62DD6">
              <w:rPr>
                <w:noProof/>
                <w:webHidden/>
              </w:rPr>
              <w:fldChar w:fldCharType="begin"/>
            </w:r>
            <w:r w:rsidR="00E62DD6">
              <w:rPr>
                <w:noProof/>
                <w:webHidden/>
              </w:rPr>
              <w:instrText xml:space="preserve"> PAGEREF _Toc387237964 \h </w:instrText>
            </w:r>
            <w:r w:rsidR="00E62DD6">
              <w:rPr>
                <w:noProof/>
                <w:webHidden/>
              </w:rPr>
            </w:r>
            <w:r w:rsidR="00E62DD6">
              <w:rPr>
                <w:noProof/>
                <w:webHidden/>
              </w:rPr>
              <w:fldChar w:fldCharType="separate"/>
            </w:r>
            <w:r w:rsidR="00532D83">
              <w:rPr>
                <w:noProof/>
                <w:webHidden/>
              </w:rPr>
              <w:t>18</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5" w:history="1">
            <w:r w:rsidR="00E62DD6" w:rsidRPr="000A4E40">
              <w:rPr>
                <w:rStyle w:val="Hyperlink"/>
                <w:noProof/>
              </w:rPr>
              <w:t>3.1.4. Īstenotie alternatīvie politikas pasākumi</w:t>
            </w:r>
            <w:r w:rsidR="00E62DD6">
              <w:rPr>
                <w:noProof/>
                <w:webHidden/>
              </w:rPr>
              <w:tab/>
            </w:r>
            <w:r w:rsidR="00E62DD6">
              <w:rPr>
                <w:noProof/>
                <w:webHidden/>
              </w:rPr>
              <w:fldChar w:fldCharType="begin"/>
            </w:r>
            <w:r w:rsidR="00E62DD6">
              <w:rPr>
                <w:noProof/>
                <w:webHidden/>
              </w:rPr>
              <w:instrText xml:space="preserve"> PAGEREF _Toc387237965 \h </w:instrText>
            </w:r>
            <w:r w:rsidR="00E62DD6">
              <w:rPr>
                <w:noProof/>
                <w:webHidden/>
              </w:rPr>
            </w:r>
            <w:r w:rsidR="00E62DD6">
              <w:rPr>
                <w:noProof/>
                <w:webHidden/>
              </w:rPr>
              <w:fldChar w:fldCharType="separate"/>
            </w:r>
            <w:r w:rsidR="00532D83">
              <w:rPr>
                <w:noProof/>
                <w:webHidden/>
              </w:rPr>
              <w:t>19</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6" w:history="1">
            <w:r w:rsidR="00E62DD6" w:rsidRPr="000A4E40">
              <w:rPr>
                <w:rStyle w:val="Hyperlink"/>
                <w:noProof/>
              </w:rPr>
              <w:t>3.1.5. Plānotie alternatīvie politikas pasākumi</w:t>
            </w:r>
            <w:r w:rsidR="00E62DD6">
              <w:rPr>
                <w:noProof/>
                <w:webHidden/>
              </w:rPr>
              <w:tab/>
            </w:r>
            <w:r w:rsidR="00E62DD6">
              <w:rPr>
                <w:noProof/>
                <w:webHidden/>
              </w:rPr>
              <w:fldChar w:fldCharType="begin"/>
            </w:r>
            <w:r w:rsidR="00E62DD6">
              <w:rPr>
                <w:noProof/>
                <w:webHidden/>
              </w:rPr>
              <w:instrText xml:space="preserve"> PAGEREF _Toc387237966 \h </w:instrText>
            </w:r>
            <w:r w:rsidR="00E62DD6">
              <w:rPr>
                <w:noProof/>
                <w:webHidden/>
              </w:rPr>
            </w:r>
            <w:r w:rsidR="00E62DD6">
              <w:rPr>
                <w:noProof/>
                <w:webHidden/>
              </w:rPr>
              <w:fldChar w:fldCharType="separate"/>
            </w:r>
            <w:r w:rsidR="00532D83">
              <w:rPr>
                <w:noProof/>
                <w:webHidden/>
              </w:rPr>
              <w:t>22</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7" w:history="1">
            <w:r w:rsidR="00E62DD6" w:rsidRPr="000A4E40">
              <w:rPr>
                <w:rStyle w:val="Hyperlink"/>
                <w:noProof/>
              </w:rPr>
              <w:t>3.1.6. Pārrēķina koeficienti enerģijas veidiem</w:t>
            </w:r>
            <w:r w:rsidR="00E62DD6">
              <w:rPr>
                <w:noProof/>
                <w:webHidden/>
              </w:rPr>
              <w:tab/>
            </w:r>
            <w:r w:rsidR="00E62DD6">
              <w:rPr>
                <w:noProof/>
                <w:webHidden/>
              </w:rPr>
              <w:fldChar w:fldCharType="begin"/>
            </w:r>
            <w:r w:rsidR="00E62DD6">
              <w:rPr>
                <w:noProof/>
                <w:webHidden/>
              </w:rPr>
              <w:instrText xml:space="preserve"> PAGEREF _Toc387237967 \h </w:instrText>
            </w:r>
            <w:r w:rsidR="00E62DD6">
              <w:rPr>
                <w:noProof/>
                <w:webHidden/>
              </w:rPr>
            </w:r>
            <w:r w:rsidR="00E62DD6">
              <w:rPr>
                <w:noProof/>
                <w:webHidden/>
              </w:rPr>
              <w:fldChar w:fldCharType="separate"/>
            </w:r>
            <w:r w:rsidR="00532D83">
              <w:rPr>
                <w:noProof/>
                <w:webHidden/>
              </w:rPr>
              <w:t>25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8" w:history="1">
            <w:r w:rsidR="00E62DD6" w:rsidRPr="000A4E40">
              <w:rPr>
                <w:rStyle w:val="Hyperlink"/>
                <w:noProof/>
              </w:rPr>
              <w:t>3.1.7. Enerģijas ietaupījuma uzskaite</w:t>
            </w:r>
            <w:r w:rsidR="00E62DD6">
              <w:rPr>
                <w:noProof/>
                <w:webHidden/>
              </w:rPr>
              <w:tab/>
            </w:r>
            <w:r w:rsidR="00E62DD6">
              <w:rPr>
                <w:noProof/>
                <w:webHidden/>
              </w:rPr>
              <w:fldChar w:fldCharType="begin"/>
            </w:r>
            <w:r w:rsidR="00E62DD6">
              <w:rPr>
                <w:noProof/>
                <w:webHidden/>
              </w:rPr>
              <w:instrText xml:space="preserve"> PAGEREF _Toc387237968 \h </w:instrText>
            </w:r>
            <w:r w:rsidR="00E62DD6">
              <w:rPr>
                <w:noProof/>
                <w:webHidden/>
              </w:rPr>
            </w:r>
            <w:r w:rsidR="00E62DD6">
              <w:rPr>
                <w:noProof/>
                <w:webHidden/>
              </w:rPr>
              <w:fldChar w:fldCharType="separate"/>
            </w:r>
            <w:r w:rsidR="00532D83">
              <w:rPr>
                <w:noProof/>
                <w:webHidden/>
              </w:rPr>
              <w:t>27</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69" w:history="1">
            <w:r w:rsidR="00E62DD6" w:rsidRPr="000A4E40">
              <w:rPr>
                <w:rStyle w:val="Hyperlink"/>
                <w:noProof/>
              </w:rPr>
              <w:t>3.1.8. Energoauditi un energovadības sistēmas</w:t>
            </w:r>
            <w:r w:rsidR="00E62DD6">
              <w:rPr>
                <w:noProof/>
                <w:webHidden/>
              </w:rPr>
              <w:tab/>
            </w:r>
            <w:r w:rsidR="00E62DD6">
              <w:rPr>
                <w:noProof/>
                <w:webHidden/>
              </w:rPr>
              <w:fldChar w:fldCharType="begin"/>
            </w:r>
            <w:r w:rsidR="00E62DD6">
              <w:rPr>
                <w:noProof/>
                <w:webHidden/>
              </w:rPr>
              <w:instrText xml:space="preserve"> PAGEREF _Toc387237969 \h </w:instrText>
            </w:r>
            <w:r w:rsidR="00E62DD6">
              <w:rPr>
                <w:noProof/>
                <w:webHidden/>
              </w:rPr>
            </w:r>
            <w:r w:rsidR="00E62DD6">
              <w:rPr>
                <w:noProof/>
                <w:webHidden/>
              </w:rPr>
              <w:fldChar w:fldCharType="separate"/>
            </w:r>
            <w:r w:rsidR="00532D83">
              <w:rPr>
                <w:noProof/>
                <w:webHidden/>
              </w:rPr>
              <w:t>27</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0" w:history="1">
            <w:r w:rsidR="00E62DD6" w:rsidRPr="000A4E40">
              <w:rPr>
                <w:rStyle w:val="Hyperlink"/>
                <w:noProof/>
              </w:rPr>
              <w:t>3.1.9. Uzskaite un rēķinu izrakstīšana</w:t>
            </w:r>
            <w:r w:rsidR="00E62DD6">
              <w:rPr>
                <w:noProof/>
                <w:webHidden/>
              </w:rPr>
              <w:tab/>
            </w:r>
            <w:r w:rsidR="00E62DD6">
              <w:rPr>
                <w:noProof/>
                <w:webHidden/>
              </w:rPr>
              <w:fldChar w:fldCharType="begin"/>
            </w:r>
            <w:r w:rsidR="00E62DD6">
              <w:rPr>
                <w:noProof/>
                <w:webHidden/>
              </w:rPr>
              <w:instrText xml:space="preserve"> PAGEREF _Toc387237970 \h </w:instrText>
            </w:r>
            <w:r w:rsidR="00E62DD6">
              <w:rPr>
                <w:noProof/>
                <w:webHidden/>
              </w:rPr>
            </w:r>
            <w:r w:rsidR="00E62DD6">
              <w:rPr>
                <w:noProof/>
                <w:webHidden/>
              </w:rPr>
              <w:fldChar w:fldCharType="separate"/>
            </w:r>
            <w:r w:rsidR="00532D83">
              <w:rPr>
                <w:noProof/>
                <w:webHidden/>
              </w:rPr>
              <w:t>28</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1" w:history="1">
            <w:r w:rsidR="00E62DD6" w:rsidRPr="000A4E40">
              <w:rPr>
                <w:rStyle w:val="Hyperlink"/>
                <w:noProof/>
              </w:rPr>
              <w:t>3.1.10. Kvalifikācijas, akreditācijas un sertifikācijas sistēmu pieejamība</w:t>
            </w:r>
            <w:r w:rsidR="00E62DD6">
              <w:rPr>
                <w:noProof/>
                <w:webHidden/>
              </w:rPr>
              <w:tab/>
            </w:r>
            <w:r w:rsidR="00E62DD6">
              <w:rPr>
                <w:noProof/>
                <w:webHidden/>
              </w:rPr>
              <w:fldChar w:fldCharType="begin"/>
            </w:r>
            <w:r w:rsidR="00E62DD6">
              <w:rPr>
                <w:noProof/>
                <w:webHidden/>
              </w:rPr>
              <w:instrText xml:space="preserve"> PAGEREF _Toc387237971 \h </w:instrText>
            </w:r>
            <w:r w:rsidR="00E62DD6">
              <w:rPr>
                <w:noProof/>
                <w:webHidden/>
              </w:rPr>
            </w:r>
            <w:r w:rsidR="00E62DD6">
              <w:rPr>
                <w:noProof/>
                <w:webHidden/>
              </w:rPr>
              <w:fldChar w:fldCharType="separate"/>
            </w:r>
            <w:r w:rsidR="00532D83">
              <w:rPr>
                <w:noProof/>
                <w:webHidden/>
              </w:rPr>
              <w:t>30</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2" w:history="1">
            <w:r w:rsidR="00E62DD6" w:rsidRPr="000A4E40">
              <w:rPr>
                <w:rStyle w:val="Hyperlink"/>
                <w:noProof/>
              </w:rPr>
              <w:t>3.1.11. Energopakalpojumi</w:t>
            </w:r>
            <w:r w:rsidR="00E62DD6">
              <w:rPr>
                <w:noProof/>
                <w:webHidden/>
              </w:rPr>
              <w:tab/>
            </w:r>
            <w:r w:rsidR="00E62DD6">
              <w:rPr>
                <w:noProof/>
                <w:webHidden/>
              </w:rPr>
              <w:fldChar w:fldCharType="begin"/>
            </w:r>
            <w:r w:rsidR="00E62DD6">
              <w:rPr>
                <w:noProof/>
                <w:webHidden/>
              </w:rPr>
              <w:instrText xml:space="preserve"> PAGEREF _Toc387237972 \h </w:instrText>
            </w:r>
            <w:r w:rsidR="00E62DD6">
              <w:rPr>
                <w:noProof/>
                <w:webHidden/>
              </w:rPr>
            </w:r>
            <w:r w:rsidR="00E62DD6">
              <w:rPr>
                <w:noProof/>
                <w:webHidden/>
              </w:rPr>
              <w:fldChar w:fldCharType="separate"/>
            </w:r>
            <w:r w:rsidR="00532D83">
              <w:rPr>
                <w:noProof/>
                <w:webHidden/>
              </w:rPr>
              <w:t>31</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3" w:history="1">
            <w:r w:rsidR="00E62DD6" w:rsidRPr="000A4E40">
              <w:rPr>
                <w:rStyle w:val="Hyperlink"/>
                <w:noProof/>
              </w:rPr>
              <w:t>3.1.12. Valsts energoefektivitātes fonds</w:t>
            </w:r>
            <w:r w:rsidR="00E62DD6">
              <w:rPr>
                <w:noProof/>
                <w:webHidden/>
              </w:rPr>
              <w:tab/>
            </w:r>
            <w:r w:rsidR="00E62DD6">
              <w:rPr>
                <w:noProof/>
                <w:webHidden/>
              </w:rPr>
              <w:fldChar w:fldCharType="begin"/>
            </w:r>
            <w:r w:rsidR="00E62DD6">
              <w:rPr>
                <w:noProof/>
                <w:webHidden/>
              </w:rPr>
              <w:instrText xml:space="preserve"> PAGEREF _Toc387237973 \h </w:instrText>
            </w:r>
            <w:r w:rsidR="00E62DD6">
              <w:rPr>
                <w:noProof/>
                <w:webHidden/>
              </w:rPr>
            </w:r>
            <w:r w:rsidR="00E62DD6">
              <w:rPr>
                <w:noProof/>
                <w:webHidden/>
              </w:rPr>
              <w:fldChar w:fldCharType="separate"/>
            </w:r>
            <w:r w:rsidR="00532D83">
              <w:rPr>
                <w:noProof/>
                <w:webHidden/>
              </w:rPr>
              <w:t>32</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4" w:history="1">
            <w:r w:rsidR="00E62DD6" w:rsidRPr="000A4E40">
              <w:rPr>
                <w:rStyle w:val="Hyperlink"/>
                <w:noProof/>
              </w:rPr>
              <w:t>3.1.13. Energoefektivitātes pasākumu atbilstība valsts atbalsta tiesiskajam regulējumam</w:t>
            </w:r>
            <w:r w:rsidR="00E62DD6">
              <w:rPr>
                <w:noProof/>
                <w:webHidden/>
              </w:rPr>
              <w:tab/>
            </w:r>
            <w:r w:rsidR="00E62DD6">
              <w:rPr>
                <w:noProof/>
                <w:webHidden/>
              </w:rPr>
              <w:fldChar w:fldCharType="begin"/>
            </w:r>
            <w:r w:rsidR="00E62DD6">
              <w:rPr>
                <w:noProof/>
                <w:webHidden/>
              </w:rPr>
              <w:instrText xml:space="preserve"> PAGEREF _Toc387237974 \h </w:instrText>
            </w:r>
            <w:r w:rsidR="00E62DD6">
              <w:rPr>
                <w:noProof/>
                <w:webHidden/>
              </w:rPr>
            </w:r>
            <w:r w:rsidR="00E62DD6">
              <w:rPr>
                <w:noProof/>
                <w:webHidden/>
              </w:rPr>
              <w:fldChar w:fldCharType="separate"/>
            </w:r>
            <w:r w:rsidR="00532D83">
              <w:rPr>
                <w:noProof/>
                <w:webHidden/>
              </w:rPr>
              <w:t>33</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75" w:history="1">
            <w:r w:rsidR="00E62DD6" w:rsidRPr="000A4E40">
              <w:rPr>
                <w:rStyle w:val="Hyperlink"/>
                <w:noProof/>
              </w:rPr>
              <w:t>3.2. Ēku energoefektivitāte</w:t>
            </w:r>
            <w:r w:rsidR="00E62DD6">
              <w:rPr>
                <w:noProof/>
                <w:webHidden/>
              </w:rPr>
              <w:tab/>
            </w:r>
            <w:r w:rsidR="00E62DD6">
              <w:rPr>
                <w:noProof/>
                <w:webHidden/>
              </w:rPr>
              <w:fldChar w:fldCharType="begin"/>
            </w:r>
            <w:r w:rsidR="00E62DD6">
              <w:rPr>
                <w:noProof/>
                <w:webHidden/>
              </w:rPr>
              <w:instrText xml:space="preserve"> PAGEREF _Toc387237975 \h </w:instrText>
            </w:r>
            <w:r w:rsidR="00E62DD6">
              <w:rPr>
                <w:noProof/>
                <w:webHidden/>
              </w:rPr>
            </w:r>
            <w:r w:rsidR="00E62DD6">
              <w:rPr>
                <w:noProof/>
                <w:webHidden/>
              </w:rPr>
              <w:fldChar w:fldCharType="separate"/>
            </w:r>
            <w:r w:rsidR="00532D83">
              <w:rPr>
                <w:noProof/>
                <w:webHidden/>
              </w:rPr>
              <w:t>34</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6" w:history="1">
            <w:r w:rsidR="00E62DD6" w:rsidRPr="000A4E40">
              <w:rPr>
                <w:rStyle w:val="Hyperlink"/>
                <w:noProof/>
              </w:rPr>
              <w:t>3.2.1. Ēku renovācijas stratēģija</w:t>
            </w:r>
            <w:r w:rsidR="00E62DD6">
              <w:rPr>
                <w:noProof/>
                <w:webHidden/>
              </w:rPr>
              <w:tab/>
            </w:r>
            <w:r w:rsidR="00E62DD6">
              <w:rPr>
                <w:noProof/>
                <w:webHidden/>
              </w:rPr>
              <w:fldChar w:fldCharType="begin"/>
            </w:r>
            <w:r w:rsidR="00E62DD6">
              <w:rPr>
                <w:noProof/>
                <w:webHidden/>
              </w:rPr>
              <w:instrText xml:space="preserve"> PAGEREF _Toc387237976 \h </w:instrText>
            </w:r>
            <w:r w:rsidR="00E62DD6">
              <w:rPr>
                <w:noProof/>
                <w:webHidden/>
              </w:rPr>
            </w:r>
            <w:r w:rsidR="00E62DD6">
              <w:rPr>
                <w:noProof/>
                <w:webHidden/>
              </w:rPr>
              <w:fldChar w:fldCharType="separate"/>
            </w:r>
            <w:r w:rsidR="00532D83">
              <w:rPr>
                <w:noProof/>
                <w:webHidden/>
              </w:rPr>
              <w:t>34</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7" w:history="1">
            <w:r w:rsidR="00E62DD6" w:rsidRPr="000A4E40">
              <w:rPr>
                <w:rStyle w:val="Hyperlink"/>
                <w:noProof/>
              </w:rPr>
              <w:t>3.2.2. Citi pasākumi energoefektivitātes veicināšanai ēku renovācijā</w:t>
            </w:r>
            <w:r w:rsidR="00E62DD6">
              <w:rPr>
                <w:noProof/>
                <w:webHidden/>
              </w:rPr>
              <w:tab/>
            </w:r>
            <w:r w:rsidR="00E62DD6">
              <w:rPr>
                <w:noProof/>
                <w:webHidden/>
              </w:rPr>
              <w:fldChar w:fldCharType="begin"/>
            </w:r>
            <w:r w:rsidR="00E62DD6">
              <w:rPr>
                <w:noProof/>
                <w:webHidden/>
              </w:rPr>
              <w:instrText xml:space="preserve"> PAGEREF _Toc387237977 \h </w:instrText>
            </w:r>
            <w:r w:rsidR="00E62DD6">
              <w:rPr>
                <w:noProof/>
                <w:webHidden/>
              </w:rPr>
            </w:r>
            <w:r w:rsidR="00E62DD6">
              <w:rPr>
                <w:noProof/>
                <w:webHidden/>
              </w:rPr>
              <w:fldChar w:fldCharType="separate"/>
            </w:r>
            <w:r w:rsidR="00532D83">
              <w:rPr>
                <w:noProof/>
                <w:webHidden/>
              </w:rPr>
              <w:t>34</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78" w:history="1">
            <w:r w:rsidR="00E62DD6" w:rsidRPr="000A4E40">
              <w:rPr>
                <w:rStyle w:val="Hyperlink"/>
                <w:noProof/>
              </w:rPr>
              <w:t>3.3. Publisko struktūru ēku energoefektivitāte</w:t>
            </w:r>
            <w:r w:rsidR="00E62DD6">
              <w:rPr>
                <w:noProof/>
                <w:webHidden/>
              </w:rPr>
              <w:tab/>
            </w:r>
            <w:r w:rsidR="00E62DD6">
              <w:rPr>
                <w:noProof/>
                <w:webHidden/>
              </w:rPr>
              <w:fldChar w:fldCharType="begin"/>
            </w:r>
            <w:r w:rsidR="00E62DD6">
              <w:rPr>
                <w:noProof/>
                <w:webHidden/>
              </w:rPr>
              <w:instrText xml:space="preserve"> PAGEREF _Toc387237978 \h </w:instrText>
            </w:r>
            <w:r w:rsidR="00E62DD6">
              <w:rPr>
                <w:noProof/>
                <w:webHidden/>
              </w:rPr>
            </w:r>
            <w:r w:rsidR="00E62DD6">
              <w:rPr>
                <w:noProof/>
                <w:webHidden/>
              </w:rPr>
              <w:fldChar w:fldCharType="separate"/>
            </w:r>
            <w:r w:rsidR="00532D83">
              <w:rPr>
                <w:noProof/>
                <w:webHidden/>
              </w:rPr>
              <w:t>35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79" w:history="1">
            <w:r w:rsidR="00E62DD6" w:rsidRPr="000A4E40">
              <w:rPr>
                <w:rStyle w:val="Hyperlink"/>
                <w:noProof/>
              </w:rPr>
              <w:t>3.3.1. Valsts sektora ēku energoefektivitāte</w:t>
            </w:r>
            <w:r w:rsidR="00E62DD6">
              <w:rPr>
                <w:noProof/>
                <w:webHidden/>
              </w:rPr>
              <w:tab/>
            </w:r>
            <w:r w:rsidR="00E62DD6">
              <w:rPr>
                <w:noProof/>
                <w:webHidden/>
              </w:rPr>
              <w:fldChar w:fldCharType="begin"/>
            </w:r>
            <w:r w:rsidR="00E62DD6">
              <w:rPr>
                <w:noProof/>
                <w:webHidden/>
              </w:rPr>
              <w:instrText xml:space="preserve"> PAGEREF _Toc387237979 \h </w:instrText>
            </w:r>
            <w:r w:rsidR="00E62DD6">
              <w:rPr>
                <w:noProof/>
                <w:webHidden/>
              </w:rPr>
            </w:r>
            <w:r w:rsidR="00E62DD6">
              <w:rPr>
                <w:noProof/>
                <w:webHidden/>
              </w:rPr>
              <w:fldChar w:fldCharType="separate"/>
            </w:r>
            <w:r w:rsidR="00532D83">
              <w:rPr>
                <w:noProof/>
                <w:webHidden/>
              </w:rPr>
              <w:t>35</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80" w:history="1">
            <w:r w:rsidR="00E62DD6" w:rsidRPr="000A4E40">
              <w:rPr>
                <w:rStyle w:val="Hyperlink"/>
                <w:noProof/>
              </w:rPr>
              <w:t>3.3.2. Citu publisko struktūru ēku energoefektivitāte</w:t>
            </w:r>
            <w:r w:rsidR="00E62DD6">
              <w:rPr>
                <w:noProof/>
                <w:webHidden/>
              </w:rPr>
              <w:tab/>
            </w:r>
            <w:r w:rsidR="00E62DD6">
              <w:rPr>
                <w:noProof/>
                <w:webHidden/>
              </w:rPr>
              <w:fldChar w:fldCharType="begin"/>
            </w:r>
            <w:r w:rsidR="00E62DD6">
              <w:rPr>
                <w:noProof/>
                <w:webHidden/>
              </w:rPr>
              <w:instrText xml:space="preserve"> PAGEREF _Toc387237980 \h </w:instrText>
            </w:r>
            <w:r w:rsidR="00E62DD6">
              <w:rPr>
                <w:noProof/>
                <w:webHidden/>
              </w:rPr>
            </w:r>
            <w:r w:rsidR="00E62DD6">
              <w:rPr>
                <w:noProof/>
                <w:webHidden/>
              </w:rPr>
              <w:fldChar w:fldCharType="separate"/>
            </w:r>
            <w:r w:rsidR="00532D83">
              <w:rPr>
                <w:noProof/>
                <w:webHidden/>
              </w:rPr>
              <w:t>39</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81" w:history="1">
            <w:r w:rsidR="00E62DD6" w:rsidRPr="000A4E40">
              <w:rPr>
                <w:rStyle w:val="Hyperlink"/>
                <w:noProof/>
              </w:rPr>
              <w:t>3.3.3. Publisko struktūru iepirkumi</w:t>
            </w:r>
            <w:r w:rsidR="00E62DD6">
              <w:rPr>
                <w:noProof/>
                <w:webHidden/>
              </w:rPr>
              <w:tab/>
            </w:r>
            <w:r w:rsidR="00E62DD6">
              <w:rPr>
                <w:noProof/>
                <w:webHidden/>
              </w:rPr>
              <w:fldChar w:fldCharType="begin"/>
            </w:r>
            <w:r w:rsidR="00E62DD6">
              <w:rPr>
                <w:noProof/>
                <w:webHidden/>
              </w:rPr>
              <w:instrText xml:space="preserve"> PAGEREF _Toc387237981 \h </w:instrText>
            </w:r>
            <w:r w:rsidR="00E62DD6">
              <w:rPr>
                <w:noProof/>
                <w:webHidden/>
              </w:rPr>
            </w:r>
            <w:r w:rsidR="00E62DD6">
              <w:rPr>
                <w:noProof/>
                <w:webHidden/>
              </w:rPr>
              <w:fldChar w:fldCharType="separate"/>
            </w:r>
            <w:r w:rsidR="00532D83">
              <w:rPr>
                <w:noProof/>
                <w:webHidden/>
              </w:rPr>
              <w:t>39</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82" w:history="1">
            <w:r w:rsidR="00E62DD6" w:rsidRPr="000A4E40">
              <w:rPr>
                <w:rStyle w:val="Hyperlink"/>
                <w:noProof/>
              </w:rPr>
              <w:t>3.4. Enerģijas galapatēriņa efektivitātes pasākumi transportā</w:t>
            </w:r>
            <w:r w:rsidR="00E62DD6">
              <w:rPr>
                <w:noProof/>
                <w:webHidden/>
              </w:rPr>
              <w:tab/>
            </w:r>
            <w:r w:rsidR="00E62DD6">
              <w:rPr>
                <w:noProof/>
                <w:webHidden/>
              </w:rPr>
              <w:fldChar w:fldCharType="begin"/>
            </w:r>
            <w:r w:rsidR="00E62DD6">
              <w:rPr>
                <w:noProof/>
                <w:webHidden/>
              </w:rPr>
              <w:instrText xml:space="preserve"> PAGEREF _Toc387237982 \h </w:instrText>
            </w:r>
            <w:r w:rsidR="00E62DD6">
              <w:rPr>
                <w:noProof/>
                <w:webHidden/>
              </w:rPr>
            </w:r>
            <w:r w:rsidR="00E62DD6">
              <w:rPr>
                <w:noProof/>
                <w:webHidden/>
              </w:rPr>
              <w:fldChar w:fldCharType="separate"/>
            </w:r>
            <w:r w:rsidR="00532D83">
              <w:rPr>
                <w:noProof/>
                <w:webHidden/>
              </w:rPr>
              <w:t>41</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83" w:history="1">
            <w:r w:rsidR="00E62DD6" w:rsidRPr="000A4E40">
              <w:rPr>
                <w:rStyle w:val="Hyperlink"/>
                <w:noProof/>
              </w:rPr>
              <w:t>3.5. Efektīvas apsildes un dzesēšanas veicināšana</w:t>
            </w:r>
            <w:r w:rsidR="00E62DD6">
              <w:rPr>
                <w:noProof/>
                <w:webHidden/>
              </w:rPr>
              <w:tab/>
            </w:r>
            <w:r w:rsidR="00E62DD6">
              <w:rPr>
                <w:noProof/>
                <w:webHidden/>
              </w:rPr>
              <w:fldChar w:fldCharType="begin"/>
            </w:r>
            <w:r w:rsidR="00E62DD6">
              <w:rPr>
                <w:noProof/>
                <w:webHidden/>
              </w:rPr>
              <w:instrText xml:space="preserve"> PAGEREF _Toc387237983 \h </w:instrText>
            </w:r>
            <w:r w:rsidR="00E62DD6">
              <w:rPr>
                <w:noProof/>
                <w:webHidden/>
              </w:rPr>
            </w:r>
            <w:r w:rsidR="00E62DD6">
              <w:rPr>
                <w:noProof/>
                <w:webHidden/>
              </w:rPr>
              <w:fldChar w:fldCharType="separate"/>
            </w:r>
            <w:r w:rsidR="00532D83">
              <w:rPr>
                <w:noProof/>
                <w:webHidden/>
              </w:rPr>
              <w:t>41</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84" w:history="1">
            <w:r w:rsidR="00E62DD6" w:rsidRPr="000A4E40">
              <w:rPr>
                <w:rStyle w:val="Hyperlink"/>
                <w:noProof/>
              </w:rPr>
              <w:t>3.5.1. Visaptverošs novērtējums</w:t>
            </w:r>
            <w:r w:rsidR="00E62DD6">
              <w:rPr>
                <w:noProof/>
                <w:webHidden/>
              </w:rPr>
              <w:tab/>
            </w:r>
            <w:r w:rsidR="00E62DD6">
              <w:rPr>
                <w:noProof/>
                <w:webHidden/>
              </w:rPr>
              <w:fldChar w:fldCharType="begin"/>
            </w:r>
            <w:r w:rsidR="00E62DD6">
              <w:rPr>
                <w:noProof/>
                <w:webHidden/>
              </w:rPr>
              <w:instrText xml:space="preserve"> PAGEREF _Toc387237984 \h </w:instrText>
            </w:r>
            <w:r w:rsidR="00E62DD6">
              <w:rPr>
                <w:noProof/>
                <w:webHidden/>
              </w:rPr>
            </w:r>
            <w:r w:rsidR="00E62DD6">
              <w:rPr>
                <w:noProof/>
                <w:webHidden/>
              </w:rPr>
              <w:fldChar w:fldCharType="separate"/>
            </w:r>
            <w:r w:rsidR="00532D83">
              <w:rPr>
                <w:noProof/>
                <w:webHidden/>
              </w:rPr>
              <w:t>41</w:t>
            </w:r>
            <w:r w:rsidR="00E62DD6">
              <w:rPr>
                <w:noProof/>
                <w:webHidden/>
              </w:rPr>
              <w:fldChar w:fldCharType="end"/>
            </w:r>
          </w:hyperlink>
        </w:p>
        <w:p w:rsidR="00E62DD6" w:rsidRDefault="004D126E">
          <w:pPr>
            <w:pStyle w:val="TOC3"/>
            <w:tabs>
              <w:tab w:val="right" w:leader="dot" w:pos="9016"/>
            </w:tabs>
            <w:rPr>
              <w:rFonts w:asciiTheme="minorHAnsi" w:eastAsiaTheme="minorEastAsia" w:hAnsiTheme="minorHAnsi"/>
              <w:noProof/>
              <w:sz w:val="22"/>
              <w:lang w:eastAsia="lv-LV"/>
            </w:rPr>
          </w:pPr>
          <w:hyperlink w:anchor="_Toc387237985" w:history="1">
            <w:r w:rsidR="00E62DD6" w:rsidRPr="000A4E40">
              <w:rPr>
                <w:rStyle w:val="Hyperlink"/>
                <w:noProof/>
              </w:rPr>
              <w:t>3.5.2. Citi pasākumi apsildīšanas un dzesēšanas efektivitātes veicināšanai</w:t>
            </w:r>
            <w:r w:rsidR="00E62DD6">
              <w:rPr>
                <w:noProof/>
                <w:webHidden/>
              </w:rPr>
              <w:tab/>
            </w:r>
            <w:r w:rsidR="00E62DD6">
              <w:rPr>
                <w:noProof/>
                <w:webHidden/>
              </w:rPr>
              <w:fldChar w:fldCharType="begin"/>
            </w:r>
            <w:r w:rsidR="00E62DD6">
              <w:rPr>
                <w:noProof/>
                <w:webHidden/>
              </w:rPr>
              <w:instrText xml:space="preserve"> PAGEREF _Toc387237985 \h </w:instrText>
            </w:r>
            <w:r w:rsidR="00E62DD6">
              <w:rPr>
                <w:noProof/>
                <w:webHidden/>
              </w:rPr>
            </w:r>
            <w:r w:rsidR="00E62DD6">
              <w:rPr>
                <w:noProof/>
                <w:webHidden/>
              </w:rPr>
              <w:fldChar w:fldCharType="separate"/>
            </w:r>
            <w:r w:rsidR="00532D83">
              <w:rPr>
                <w:noProof/>
                <w:webHidden/>
              </w:rPr>
              <w:t>42</w:t>
            </w:r>
            <w:r w:rsidR="00E62DD6">
              <w:rPr>
                <w:noProof/>
                <w:webHidden/>
              </w:rPr>
              <w:fldChar w:fldCharType="end"/>
            </w:r>
          </w:hyperlink>
        </w:p>
        <w:p w:rsidR="00E62DD6" w:rsidRDefault="004D126E">
          <w:pPr>
            <w:pStyle w:val="TOC2"/>
            <w:tabs>
              <w:tab w:val="right" w:leader="dot" w:pos="9016"/>
            </w:tabs>
            <w:rPr>
              <w:rFonts w:asciiTheme="minorHAnsi" w:eastAsiaTheme="minorEastAsia" w:hAnsiTheme="minorHAnsi"/>
              <w:noProof/>
              <w:sz w:val="22"/>
              <w:lang w:eastAsia="lv-LV"/>
            </w:rPr>
          </w:pPr>
          <w:hyperlink w:anchor="_Toc387237986" w:history="1">
            <w:r w:rsidR="00E62DD6" w:rsidRPr="000A4E40">
              <w:rPr>
                <w:rStyle w:val="Hyperlink"/>
                <w:noProof/>
              </w:rPr>
              <w:t>3.6. Enerģijas pārveide, pārvade, sadale un pieprasījuma reakcija</w:t>
            </w:r>
            <w:r w:rsidR="00E62DD6">
              <w:rPr>
                <w:noProof/>
                <w:webHidden/>
              </w:rPr>
              <w:tab/>
            </w:r>
            <w:r w:rsidR="00E62DD6">
              <w:rPr>
                <w:noProof/>
                <w:webHidden/>
              </w:rPr>
              <w:fldChar w:fldCharType="begin"/>
            </w:r>
            <w:r w:rsidR="00E62DD6">
              <w:rPr>
                <w:noProof/>
                <w:webHidden/>
              </w:rPr>
              <w:instrText xml:space="preserve"> PAGEREF _Toc387237986 \h </w:instrText>
            </w:r>
            <w:r w:rsidR="00E62DD6">
              <w:rPr>
                <w:noProof/>
                <w:webHidden/>
              </w:rPr>
            </w:r>
            <w:r w:rsidR="00E62DD6">
              <w:rPr>
                <w:noProof/>
                <w:webHidden/>
              </w:rPr>
              <w:fldChar w:fldCharType="separate"/>
            </w:r>
            <w:r w:rsidR="00532D83">
              <w:rPr>
                <w:noProof/>
                <w:webHidden/>
              </w:rPr>
              <w:t>43</w:t>
            </w:r>
            <w:r w:rsidR="00E62DD6">
              <w:rPr>
                <w:noProof/>
                <w:webHidden/>
              </w:rPr>
              <w:fldChar w:fldCharType="end"/>
            </w:r>
          </w:hyperlink>
        </w:p>
        <w:p w:rsidR="00994124" w:rsidRPr="003D48F5" w:rsidRDefault="00994124">
          <w:pPr>
            <w:rPr>
              <w:rFonts w:cs="Times New Roman"/>
            </w:rPr>
          </w:pPr>
          <w:r w:rsidRPr="003D48F5">
            <w:rPr>
              <w:rFonts w:cs="Times New Roman"/>
              <w:b/>
              <w:bCs/>
              <w:sz w:val="24"/>
            </w:rPr>
            <w:fldChar w:fldCharType="end"/>
          </w:r>
        </w:p>
      </w:sdtContent>
    </w:sdt>
    <w:p w:rsidR="00982E6A" w:rsidRPr="003D48F5" w:rsidRDefault="00AA70E3" w:rsidP="00982E6A">
      <w:pPr>
        <w:jc w:val="center"/>
        <w:rPr>
          <w:rFonts w:cs="Times New Roman"/>
          <w:b/>
          <w:sz w:val="24"/>
          <w:szCs w:val="24"/>
        </w:rPr>
      </w:pPr>
      <w:r w:rsidRPr="003D48F5">
        <w:rPr>
          <w:rFonts w:cs="Times New Roman"/>
          <w:sz w:val="24"/>
          <w:szCs w:val="24"/>
        </w:rPr>
        <w:br w:type="page"/>
      </w:r>
      <w:proofErr w:type="spellStart"/>
      <w:r w:rsidR="00982E6A" w:rsidRPr="003D48F5">
        <w:rPr>
          <w:rFonts w:cs="Times New Roman"/>
          <w:b/>
          <w:szCs w:val="24"/>
        </w:rPr>
        <w:lastRenderedPageBreak/>
        <w:t>Abriviatūru</w:t>
      </w:r>
      <w:proofErr w:type="spellEnd"/>
      <w:r w:rsidR="00982E6A" w:rsidRPr="003D48F5">
        <w:rPr>
          <w:rFonts w:cs="Times New Roman"/>
          <w:b/>
          <w:szCs w:val="24"/>
        </w:rPr>
        <w:t xml:space="preserve"> saraksts</w:t>
      </w:r>
      <w:r w:rsidR="00C535C2" w:rsidRPr="003D48F5">
        <w:rPr>
          <w:rFonts w:cs="Times New Roman"/>
          <w:b/>
          <w:szCs w:val="24"/>
        </w:rPr>
        <w:t>,</w:t>
      </w:r>
      <w:r w:rsidR="00982E6A" w:rsidRPr="003D48F5">
        <w:rPr>
          <w:rFonts w:cs="Times New Roman"/>
          <w:b/>
          <w:szCs w:val="24"/>
        </w:rPr>
        <w:t xml:space="preserve"> saīsinājumi</w:t>
      </w:r>
      <w:r w:rsidR="00C535C2" w:rsidRPr="003D48F5">
        <w:rPr>
          <w:rFonts w:cs="Times New Roman"/>
          <w:b/>
          <w:szCs w:val="24"/>
        </w:rPr>
        <w:t xml:space="preserve"> un terminu skaidrojumi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767"/>
      </w:tblGrid>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1.</w:t>
            </w:r>
            <w:r w:rsidR="00C535C2" w:rsidRPr="00A07AC4">
              <w:rPr>
                <w:rFonts w:cs="Times New Roman"/>
                <w:sz w:val="22"/>
              </w:rPr>
              <w:t> </w:t>
            </w:r>
            <w:r w:rsidRPr="00A07AC4">
              <w:rPr>
                <w:rFonts w:cs="Times New Roman"/>
                <w:sz w:val="22"/>
              </w:rPr>
              <w:t>EERP</w:t>
            </w:r>
          </w:p>
        </w:tc>
        <w:tc>
          <w:tcPr>
            <w:tcW w:w="7767" w:type="dxa"/>
          </w:tcPr>
          <w:p w:rsidR="00982E6A" w:rsidRPr="00A07AC4" w:rsidRDefault="00683510" w:rsidP="00C138E2">
            <w:pPr>
              <w:spacing w:before="120" w:after="120" w:line="240" w:lineRule="auto"/>
              <w:rPr>
                <w:rFonts w:cs="Times New Roman"/>
                <w:sz w:val="22"/>
              </w:rPr>
            </w:pPr>
            <w:r w:rsidRPr="00A07AC4">
              <w:rPr>
                <w:rFonts w:cs="Times New Roman"/>
                <w:sz w:val="22"/>
              </w:rPr>
              <w:t xml:space="preserve">Latvijas Republikas </w:t>
            </w:r>
            <w:r w:rsidR="00982E6A" w:rsidRPr="00A07AC4">
              <w:rPr>
                <w:rFonts w:cs="Times New Roman"/>
                <w:sz w:val="22"/>
              </w:rPr>
              <w:t>Pirmais energoefektivitātes rīcības plāns</w:t>
            </w:r>
            <w:r w:rsidR="00AD6970">
              <w:rPr>
                <w:rFonts w:cs="Times New Roman"/>
                <w:sz w:val="22"/>
              </w:rPr>
              <w:t xml:space="preserve"> 2008. – 2010. gadam</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2.</w:t>
            </w:r>
            <w:r w:rsidR="00C535C2" w:rsidRPr="00A07AC4">
              <w:rPr>
                <w:rFonts w:cs="Times New Roman"/>
                <w:sz w:val="22"/>
              </w:rPr>
              <w:t> </w:t>
            </w:r>
            <w:r w:rsidRPr="00A07AC4">
              <w:rPr>
                <w:rFonts w:cs="Times New Roman"/>
                <w:sz w:val="22"/>
              </w:rPr>
              <w:t>EERP</w:t>
            </w:r>
          </w:p>
        </w:tc>
        <w:tc>
          <w:tcPr>
            <w:tcW w:w="7767" w:type="dxa"/>
          </w:tcPr>
          <w:p w:rsidR="00982E6A" w:rsidRPr="00AD6970" w:rsidRDefault="00683510" w:rsidP="00C138E2">
            <w:pPr>
              <w:spacing w:before="120" w:after="120" w:line="240" w:lineRule="auto"/>
              <w:rPr>
                <w:rFonts w:cs="Times New Roman"/>
                <w:sz w:val="22"/>
              </w:rPr>
            </w:pPr>
            <w:r w:rsidRPr="00A07AC4">
              <w:rPr>
                <w:rFonts w:cs="Times New Roman"/>
                <w:sz w:val="22"/>
              </w:rPr>
              <w:t xml:space="preserve">Latvijas Republikas </w:t>
            </w:r>
            <w:r w:rsidR="00982E6A" w:rsidRPr="00A07AC4">
              <w:rPr>
                <w:rFonts w:cs="Times New Roman"/>
                <w:sz w:val="22"/>
              </w:rPr>
              <w:t xml:space="preserve">Otrais energoefektivitātes rīcības plāns </w:t>
            </w:r>
            <w:r w:rsidR="00AD6970">
              <w:rPr>
                <w:rFonts w:cs="Times New Roman"/>
                <w:sz w:val="22"/>
              </w:rPr>
              <w:t>2011. – 2013. gadam</w:t>
            </w:r>
          </w:p>
        </w:tc>
      </w:tr>
      <w:tr w:rsidR="00683510" w:rsidRPr="00A07AC4" w:rsidTr="00BA29EF">
        <w:tc>
          <w:tcPr>
            <w:tcW w:w="1475" w:type="dxa"/>
          </w:tcPr>
          <w:p w:rsidR="00683510" w:rsidRPr="00A07AC4" w:rsidRDefault="00483156" w:rsidP="00C138E2">
            <w:pPr>
              <w:spacing w:before="120" w:after="120" w:line="240" w:lineRule="auto"/>
              <w:rPr>
                <w:rFonts w:cs="Times New Roman"/>
                <w:sz w:val="22"/>
              </w:rPr>
            </w:pPr>
            <w:r>
              <w:rPr>
                <w:rFonts w:cs="Times New Roman"/>
                <w:sz w:val="22"/>
              </w:rPr>
              <w:t>AER</w:t>
            </w:r>
          </w:p>
        </w:tc>
        <w:tc>
          <w:tcPr>
            <w:tcW w:w="7767" w:type="dxa"/>
          </w:tcPr>
          <w:p w:rsidR="00683510" w:rsidRPr="00A07AC4" w:rsidRDefault="00483156" w:rsidP="00483156">
            <w:pPr>
              <w:spacing w:before="120" w:after="120" w:line="240" w:lineRule="auto"/>
              <w:rPr>
                <w:rFonts w:cs="Times New Roman"/>
                <w:sz w:val="22"/>
              </w:rPr>
            </w:pPr>
            <w:r>
              <w:rPr>
                <w:rFonts w:cs="Times New Roman"/>
                <w:sz w:val="22"/>
              </w:rPr>
              <w:t>Atjaunojamie energoresursi</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bar</w:t>
            </w:r>
          </w:p>
        </w:tc>
        <w:tc>
          <w:tcPr>
            <w:tcW w:w="7767" w:type="dxa"/>
          </w:tcPr>
          <w:p w:rsidR="00E60A5F" w:rsidRPr="00A07AC4" w:rsidRDefault="000A6ED3" w:rsidP="000A6ED3">
            <w:pPr>
              <w:spacing w:before="120" w:after="120" w:line="240" w:lineRule="auto"/>
              <w:rPr>
                <w:rFonts w:cs="Times New Roman"/>
                <w:sz w:val="22"/>
              </w:rPr>
            </w:pPr>
            <w:r w:rsidRPr="00A07AC4">
              <w:rPr>
                <w:rFonts w:cs="Times New Roman"/>
                <w:sz w:val="22"/>
              </w:rPr>
              <w:t>Bārs – spiediena mērvienība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 xml:space="preserve">CSP </w:t>
            </w:r>
          </w:p>
        </w:tc>
        <w:tc>
          <w:tcPr>
            <w:tcW w:w="7767" w:type="dxa"/>
          </w:tcPr>
          <w:p w:rsidR="00982E6A" w:rsidRPr="00A07AC4" w:rsidRDefault="00982E6A" w:rsidP="00C138E2">
            <w:pPr>
              <w:spacing w:before="120" w:after="120" w:line="240" w:lineRule="auto"/>
              <w:rPr>
                <w:rFonts w:cs="Times New Roman"/>
                <w:sz w:val="22"/>
              </w:rPr>
            </w:pPr>
            <w:r w:rsidRPr="00A07AC4">
              <w:rPr>
                <w:rFonts w:cs="Times New Roman"/>
                <w:sz w:val="22"/>
              </w:rPr>
              <w:t>Centrālā statistikas pārvalde</w:t>
            </w:r>
          </w:p>
        </w:tc>
      </w:tr>
      <w:tr w:rsidR="00683510" w:rsidRPr="00A07AC4" w:rsidTr="00BA29EF">
        <w:tc>
          <w:tcPr>
            <w:tcW w:w="1475" w:type="dxa"/>
          </w:tcPr>
          <w:p w:rsidR="00683510" w:rsidRPr="00A07AC4" w:rsidRDefault="00683510" w:rsidP="00C138E2">
            <w:pPr>
              <w:spacing w:before="120" w:after="120" w:line="240" w:lineRule="auto"/>
              <w:rPr>
                <w:rFonts w:cs="Times New Roman"/>
                <w:sz w:val="22"/>
              </w:rPr>
            </w:pPr>
            <w:r w:rsidRPr="00A07AC4">
              <w:rPr>
                <w:rFonts w:cs="Times New Roman"/>
                <w:sz w:val="22"/>
              </w:rPr>
              <w:t>EK</w:t>
            </w:r>
          </w:p>
        </w:tc>
        <w:tc>
          <w:tcPr>
            <w:tcW w:w="7767" w:type="dxa"/>
          </w:tcPr>
          <w:p w:rsidR="00683510" w:rsidRPr="00A07AC4" w:rsidRDefault="00683510" w:rsidP="00C138E2">
            <w:pPr>
              <w:spacing w:before="120" w:after="120" w:line="240" w:lineRule="auto"/>
              <w:rPr>
                <w:rFonts w:cs="Times New Roman"/>
                <w:sz w:val="22"/>
              </w:rPr>
            </w:pPr>
            <w:r w:rsidRPr="00A07AC4">
              <w:rPr>
                <w:rFonts w:cs="Times New Roman"/>
                <w:sz w:val="22"/>
              </w:rPr>
              <w:t>Eiropas Komisija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 xml:space="preserve">EM </w:t>
            </w:r>
          </w:p>
        </w:tc>
        <w:tc>
          <w:tcPr>
            <w:tcW w:w="7767" w:type="dxa"/>
          </w:tcPr>
          <w:p w:rsidR="00982E6A" w:rsidRPr="00A07AC4" w:rsidRDefault="00982E6A" w:rsidP="00C138E2">
            <w:pPr>
              <w:spacing w:before="120" w:after="120" w:line="240" w:lineRule="auto"/>
              <w:rPr>
                <w:rFonts w:cs="Times New Roman"/>
                <w:sz w:val="22"/>
              </w:rPr>
            </w:pPr>
            <w:r w:rsidRPr="00A07AC4">
              <w:rPr>
                <w:rFonts w:cs="Times New Roman"/>
                <w:sz w:val="22"/>
              </w:rPr>
              <w:t>Ekonomikas ministrija</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EPS</w:t>
            </w:r>
          </w:p>
        </w:tc>
        <w:tc>
          <w:tcPr>
            <w:tcW w:w="7767" w:type="dxa"/>
          </w:tcPr>
          <w:p w:rsidR="00E60A5F" w:rsidRPr="00A07AC4" w:rsidRDefault="000A6ED3" w:rsidP="00C138E2">
            <w:pPr>
              <w:spacing w:before="120" w:after="120" w:line="240" w:lineRule="auto"/>
              <w:rPr>
                <w:rFonts w:cs="Times New Roman"/>
                <w:sz w:val="22"/>
              </w:rPr>
            </w:pPr>
            <w:r w:rsidRPr="00A07AC4">
              <w:rPr>
                <w:rFonts w:cs="Times New Roman"/>
                <w:sz w:val="22"/>
              </w:rPr>
              <w:t>Energoefektivitātes pienākuma shēma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ERAF</w:t>
            </w:r>
            <w:r w:rsidR="00274912">
              <w:rPr>
                <w:rFonts w:cs="Times New Roman"/>
                <w:sz w:val="22"/>
              </w:rPr>
              <w:t xml:space="preserve"> </w:t>
            </w:r>
          </w:p>
        </w:tc>
        <w:tc>
          <w:tcPr>
            <w:tcW w:w="7767" w:type="dxa"/>
          </w:tcPr>
          <w:p w:rsidR="00982E6A" w:rsidRPr="00A07AC4" w:rsidRDefault="00982E6A" w:rsidP="00C138E2">
            <w:pPr>
              <w:spacing w:before="120" w:after="120" w:line="240" w:lineRule="auto"/>
              <w:rPr>
                <w:rFonts w:cs="Times New Roman"/>
                <w:sz w:val="22"/>
              </w:rPr>
            </w:pPr>
            <w:r w:rsidRPr="00A07AC4">
              <w:rPr>
                <w:rFonts w:cs="Times New Roman"/>
                <w:sz w:val="22"/>
              </w:rPr>
              <w:t>Eiropas Reģionālās attīstības fonds</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 xml:space="preserve">ES </w:t>
            </w:r>
          </w:p>
        </w:tc>
        <w:tc>
          <w:tcPr>
            <w:tcW w:w="7767" w:type="dxa"/>
          </w:tcPr>
          <w:p w:rsidR="00982E6A" w:rsidRPr="00A07AC4" w:rsidRDefault="00982E6A" w:rsidP="00C138E2">
            <w:pPr>
              <w:spacing w:before="120" w:after="120" w:line="240" w:lineRule="auto"/>
              <w:rPr>
                <w:rFonts w:cs="Times New Roman"/>
                <w:sz w:val="22"/>
              </w:rPr>
            </w:pPr>
            <w:r w:rsidRPr="00A07AC4">
              <w:rPr>
                <w:rFonts w:cs="Times New Roman"/>
                <w:sz w:val="22"/>
              </w:rPr>
              <w:t>Eiropas Savienība</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ESKO</w:t>
            </w:r>
          </w:p>
        </w:tc>
        <w:tc>
          <w:tcPr>
            <w:tcW w:w="7767" w:type="dxa"/>
          </w:tcPr>
          <w:p w:rsidR="00E60A5F" w:rsidRPr="00A07AC4" w:rsidRDefault="000A6ED3" w:rsidP="00C138E2">
            <w:pPr>
              <w:spacing w:before="120" w:after="120" w:line="240" w:lineRule="auto"/>
              <w:rPr>
                <w:rFonts w:cs="Times New Roman"/>
                <w:sz w:val="22"/>
              </w:rPr>
            </w:pPr>
            <w:proofErr w:type="spellStart"/>
            <w:r w:rsidRPr="00A07AC4">
              <w:rPr>
                <w:rFonts w:cs="Times New Roman"/>
                <w:sz w:val="22"/>
              </w:rPr>
              <w:t>Energoservisa</w:t>
            </w:r>
            <w:proofErr w:type="spellEnd"/>
            <w:r w:rsidRPr="00A07AC4">
              <w:rPr>
                <w:rFonts w:cs="Times New Roman"/>
                <w:sz w:val="22"/>
              </w:rPr>
              <w:t xml:space="preserve"> kompānija</w:t>
            </w:r>
          </w:p>
        </w:tc>
      </w:tr>
      <w:tr w:rsidR="00683510" w:rsidRPr="00A07AC4" w:rsidTr="00BA29EF">
        <w:tc>
          <w:tcPr>
            <w:tcW w:w="1475" w:type="dxa"/>
          </w:tcPr>
          <w:p w:rsidR="00683510" w:rsidRPr="00A07AC4" w:rsidRDefault="00683510" w:rsidP="00C138E2">
            <w:pPr>
              <w:spacing w:before="120" w:after="120" w:line="240" w:lineRule="auto"/>
              <w:rPr>
                <w:rFonts w:cs="Times New Roman"/>
                <w:sz w:val="22"/>
              </w:rPr>
            </w:pPr>
            <w:r w:rsidRPr="00A07AC4">
              <w:rPr>
                <w:rFonts w:cs="Times New Roman"/>
                <w:sz w:val="22"/>
              </w:rPr>
              <w:t>ETS</w:t>
            </w:r>
          </w:p>
        </w:tc>
        <w:tc>
          <w:tcPr>
            <w:tcW w:w="7767" w:type="dxa"/>
          </w:tcPr>
          <w:p w:rsidR="00683510" w:rsidRPr="00A07AC4" w:rsidRDefault="00683510" w:rsidP="00C138E2">
            <w:pPr>
              <w:spacing w:before="120" w:after="120" w:line="240" w:lineRule="auto"/>
              <w:rPr>
                <w:rFonts w:cs="Times New Roman"/>
                <w:sz w:val="22"/>
              </w:rPr>
            </w:pPr>
            <w:r w:rsidRPr="00A07AC4">
              <w:rPr>
                <w:rFonts w:cs="Times New Roman"/>
                <w:sz w:val="22"/>
              </w:rPr>
              <w:t>Emisiju tirdzniecības sistēma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smartTag w:uri="schemas-tilde-lv/tildestengine" w:element="currency2">
              <w:smartTagPr>
                <w:attr w:name="currency_id" w:val="16"/>
                <w:attr w:name="currency_key" w:val="EUR"/>
                <w:attr w:name="currency_value" w:val="1"/>
                <w:attr w:name="currency_text" w:val="EUR"/>
              </w:smartTagPr>
              <w:r w:rsidRPr="00A07AC4">
                <w:rPr>
                  <w:rFonts w:cs="Times New Roman"/>
                  <w:sz w:val="22"/>
                </w:rPr>
                <w:t>EUR</w:t>
              </w:r>
            </w:smartTag>
            <w:r w:rsidRPr="00A07AC4">
              <w:rPr>
                <w:rFonts w:cs="Times New Roman"/>
                <w:sz w:val="22"/>
              </w:rPr>
              <w:t xml:space="preserve"> </w:t>
            </w:r>
          </w:p>
        </w:tc>
        <w:tc>
          <w:tcPr>
            <w:tcW w:w="7767" w:type="dxa"/>
          </w:tcPr>
          <w:p w:rsidR="00982E6A" w:rsidRPr="00A07AC4" w:rsidRDefault="00982E6A" w:rsidP="00BC3DB7">
            <w:pPr>
              <w:spacing w:before="120" w:after="120" w:line="240" w:lineRule="auto"/>
              <w:rPr>
                <w:rFonts w:cs="Times New Roman"/>
                <w:sz w:val="22"/>
              </w:rPr>
            </w:pPr>
            <w:proofErr w:type="spellStart"/>
            <w:r w:rsidRPr="00A07AC4">
              <w:rPr>
                <w:rFonts w:cs="Times New Roman"/>
                <w:i/>
                <w:sz w:val="22"/>
              </w:rPr>
              <w:t>E</w:t>
            </w:r>
            <w:r w:rsidR="00BC3DB7" w:rsidRPr="00A07AC4">
              <w:rPr>
                <w:rFonts w:cs="Times New Roman"/>
                <w:i/>
                <w:sz w:val="22"/>
              </w:rPr>
              <w:t>uro</w:t>
            </w:r>
            <w:proofErr w:type="spellEnd"/>
            <w:r w:rsidRPr="00A07AC4">
              <w:rPr>
                <w:rFonts w:cs="Times New Roman"/>
                <w:sz w:val="22"/>
              </w:rPr>
              <w:t xml:space="preserve"> (Eiropas Savienības vienotā valūta)</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proofErr w:type="spellStart"/>
            <w:r w:rsidRPr="00A07AC4">
              <w:rPr>
                <w:rFonts w:cs="Times New Roman"/>
                <w:sz w:val="22"/>
              </w:rPr>
              <w:t>GWh</w:t>
            </w:r>
            <w:proofErr w:type="spellEnd"/>
          </w:p>
        </w:tc>
        <w:tc>
          <w:tcPr>
            <w:tcW w:w="7767" w:type="dxa"/>
          </w:tcPr>
          <w:p w:rsidR="00E60A5F" w:rsidRPr="00A07AC4" w:rsidRDefault="00E60A5F" w:rsidP="00C138E2">
            <w:pPr>
              <w:spacing w:before="120" w:after="120" w:line="240" w:lineRule="auto"/>
              <w:rPr>
                <w:rFonts w:cs="Times New Roman"/>
                <w:sz w:val="22"/>
              </w:rPr>
            </w:pPr>
            <w:r w:rsidRPr="00A07AC4">
              <w:rPr>
                <w:rFonts w:cs="Times New Roman"/>
                <w:sz w:val="22"/>
              </w:rPr>
              <w:t>Gigavatstunda (enerģijas mērvienība)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IKP</w:t>
            </w:r>
            <w:r w:rsidR="00274912">
              <w:rPr>
                <w:rFonts w:cs="Times New Roman"/>
                <w:sz w:val="22"/>
              </w:rPr>
              <w:t xml:space="preserve"> </w:t>
            </w:r>
          </w:p>
        </w:tc>
        <w:tc>
          <w:tcPr>
            <w:tcW w:w="7767" w:type="dxa"/>
          </w:tcPr>
          <w:p w:rsidR="00982E6A" w:rsidRPr="00A07AC4" w:rsidRDefault="00982E6A" w:rsidP="00C138E2">
            <w:pPr>
              <w:spacing w:before="120" w:after="120" w:line="240" w:lineRule="auto"/>
              <w:rPr>
                <w:rFonts w:cs="Times New Roman"/>
                <w:sz w:val="22"/>
              </w:rPr>
            </w:pPr>
            <w:r w:rsidRPr="00A07AC4">
              <w:rPr>
                <w:rFonts w:cs="Times New Roman"/>
                <w:sz w:val="22"/>
              </w:rPr>
              <w:t>Iekšzemes kopprodukts</w:t>
            </w:r>
          </w:p>
        </w:tc>
      </w:tr>
      <w:tr w:rsidR="00575B8E" w:rsidRPr="00A07AC4" w:rsidTr="00BA29EF">
        <w:tc>
          <w:tcPr>
            <w:tcW w:w="1475" w:type="dxa"/>
          </w:tcPr>
          <w:p w:rsidR="00575B8E" w:rsidRPr="00A07AC4" w:rsidRDefault="00575B8E" w:rsidP="00C138E2">
            <w:pPr>
              <w:spacing w:before="120" w:after="120" w:line="240" w:lineRule="auto"/>
              <w:rPr>
                <w:rFonts w:cs="Times New Roman"/>
                <w:sz w:val="22"/>
              </w:rPr>
            </w:pPr>
            <w:r w:rsidRPr="00A07AC4">
              <w:rPr>
                <w:rFonts w:cs="Times New Roman"/>
                <w:sz w:val="22"/>
              </w:rPr>
              <w:t>KF</w:t>
            </w:r>
          </w:p>
        </w:tc>
        <w:tc>
          <w:tcPr>
            <w:tcW w:w="7767" w:type="dxa"/>
          </w:tcPr>
          <w:p w:rsidR="00575B8E" w:rsidRPr="00A07AC4" w:rsidRDefault="000A6ED3" w:rsidP="00C138E2">
            <w:pPr>
              <w:spacing w:before="120" w:after="120" w:line="240" w:lineRule="auto"/>
              <w:rPr>
                <w:rFonts w:cs="Times New Roman"/>
                <w:sz w:val="22"/>
              </w:rPr>
            </w:pPr>
            <w:r w:rsidRPr="00A07AC4">
              <w:rPr>
                <w:rFonts w:cs="Times New Roman"/>
                <w:sz w:val="22"/>
              </w:rPr>
              <w:t>Kohēzijas fonds</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KPFI</w:t>
            </w:r>
          </w:p>
        </w:tc>
        <w:tc>
          <w:tcPr>
            <w:tcW w:w="7767" w:type="dxa"/>
          </w:tcPr>
          <w:p w:rsidR="00E60A5F" w:rsidRPr="00A07AC4" w:rsidRDefault="000A6ED3" w:rsidP="00C138E2">
            <w:pPr>
              <w:spacing w:before="120" w:after="120" w:line="240" w:lineRule="auto"/>
              <w:rPr>
                <w:rFonts w:cs="Times New Roman"/>
                <w:sz w:val="22"/>
              </w:rPr>
            </w:pPr>
            <w:r w:rsidRPr="00A07AC4">
              <w:rPr>
                <w:rFonts w:cs="Times New Roman"/>
                <w:sz w:val="22"/>
              </w:rPr>
              <w:t>Klimata pārmaiņu finanšu instruments</w:t>
            </w:r>
          </w:p>
        </w:tc>
      </w:tr>
      <w:tr w:rsidR="00E60A5F" w:rsidRPr="00A07AC4" w:rsidTr="00766C76">
        <w:trPr>
          <w:trHeight w:val="502"/>
        </w:trPr>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MARKAL</w:t>
            </w:r>
          </w:p>
        </w:tc>
        <w:tc>
          <w:tcPr>
            <w:tcW w:w="7767" w:type="dxa"/>
          </w:tcPr>
          <w:p w:rsidR="00E60A5F" w:rsidRPr="00A07AC4" w:rsidRDefault="0046224E" w:rsidP="00766C76">
            <w:pPr>
              <w:spacing w:before="120" w:after="0" w:line="240" w:lineRule="auto"/>
              <w:rPr>
                <w:rFonts w:cs="Times New Roman"/>
                <w:sz w:val="22"/>
              </w:rPr>
            </w:pPr>
            <w:r w:rsidRPr="00A07AC4">
              <w:rPr>
                <w:rFonts w:cs="Times New Roman"/>
                <w:sz w:val="22"/>
              </w:rPr>
              <w:t>Modelis, ko izmanto, lai veiktu ekonomisko analīzi dažādām enerģētikas sistēmām</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proofErr w:type="spellStart"/>
            <w:r w:rsidRPr="00A07AC4">
              <w:rPr>
                <w:rFonts w:cs="Times New Roman"/>
                <w:sz w:val="22"/>
              </w:rPr>
              <w:t>Mtoe</w:t>
            </w:r>
            <w:proofErr w:type="spellEnd"/>
          </w:p>
        </w:tc>
        <w:tc>
          <w:tcPr>
            <w:tcW w:w="7767" w:type="dxa"/>
          </w:tcPr>
          <w:p w:rsidR="00E60A5F" w:rsidRPr="00A07AC4" w:rsidRDefault="0046224E" w:rsidP="00C138E2">
            <w:pPr>
              <w:spacing w:before="120" w:after="120" w:line="240" w:lineRule="auto"/>
              <w:rPr>
                <w:rFonts w:cs="Times New Roman"/>
                <w:sz w:val="22"/>
              </w:rPr>
            </w:pPr>
            <w:r w:rsidRPr="00A07AC4">
              <w:rPr>
                <w:rFonts w:cs="Times New Roman"/>
                <w:sz w:val="22"/>
              </w:rPr>
              <w:t>Miljons tonnu naftas ekvivalenta</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proofErr w:type="spellStart"/>
            <w:r w:rsidRPr="00A07AC4">
              <w:rPr>
                <w:rFonts w:cs="Times New Roman"/>
                <w:sz w:val="22"/>
              </w:rPr>
              <w:t>MWh</w:t>
            </w:r>
            <w:proofErr w:type="spellEnd"/>
          </w:p>
        </w:tc>
        <w:tc>
          <w:tcPr>
            <w:tcW w:w="7767" w:type="dxa"/>
          </w:tcPr>
          <w:p w:rsidR="00E60A5F" w:rsidRPr="00A07AC4" w:rsidRDefault="0046224E" w:rsidP="00C138E2">
            <w:pPr>
              <w:spacing w:before="120" w:after="120" w:line="240" w:lineRule="auto"/>
              <w:rPr>
                <w:rFonts w:cs="Times New Roman"/>
                <w:sz w:val="22"/>
              </w:rPr>
            </w:pPr>
            <w:r w:rsidRPr="00A07AC4">
              <w:rPr>
                <w:rFonts w:cs="Times New Roman"/>
                <w:sz w:val="22"/>
              </w:rPr>
              <w:t>Megavatstunda (enerģijas mērvienība)</w:t>
            </w:r>
          </w:p>
        </w:tc>
      </w:tr>
      <w:tr w:rsidR="00575B8E" w:rsidRPr="00A07AC4" w:rsidTr="00BA29EF">
        <w:tc>
          <w:tcPr>
            <w:tcW w:w="1475" w:type="dxa"/>
          </w:tcPr>
          <w:p w:rsidR="00575B8E" w:rsidRPr="00A07AC4" w:rsidRDefault="00575B8E" w:rsidP="00C138E2">
            <w:pPr>
              <w:spacing w:before="120" w:after="120" w:line="240" w:lineRule="auto"/>
              <w:rPr>
                <w:rFonts w:cs="Times New Roman"/>
                <w:sz w:val="22"/>
              </w:rPr>
            </w:pPr>
            <w:r w:rsidRPr="00A07AC4">
              <w:rPr>
                <w:rFonts w:cs="Times New Roman"/>
                <w:sz w:val="22"/>
              </w:rPr>
              <w:t>NCV</w:t>
            </w:r>
          </w:p>
        </w:tc>
        <w:tc>
          <w:tcPr>
            <w:tcW w:w="7767" w:type="dxa"/>
          </w:tcPr>
          <w:p w:rsidR="00575B8E" w:rsidRPr="00A07AC4" w:rsidRDefault="00575B8E" w:rsidP="00575B8E">
            <w:pPr>
              <w:spacing w:before="120" w:after="120" w:line="240" w:lineRule="auto"/>
              <w:rPr>
                <w:rFonts w:cs="Times New Roman"/>
                <w:sz w:val="22"/>
              </w:rPr>
            </w:pPr>
            <w:r w:rsidRPr="00A07AC4">
              <w:rPr>
                <w:rFonts w:cs="Times New Roman"/>
                <w:sz w:val="22"/>
              </w:rPr>
              <w:t>Zemākā siltumspēja</w:t>
            </w:r>
          </w:p>
        </w:tc>
      </w:tr>
      <w:tr w:rsidR="00982E6A" w:rsidRPr="00A07AC4" w:rsidTr="00BA29EF">
        <w:tc>
          <w:tcPr>
            <w:tcW w:w="1475" w:type="dxa"/>
          </w:tcPr>
          <w:p w:rsidR="00982E6A" w:rsidRPr="00A07AC4" w:rsidRDefault="00982E6A" w:rsidP="00C138E2">
            <w:pPr>
              <w:spacing w:before="120" w:after="120" w:line="240" w:lineRule="auto"/>
              <w:rPr>
                <w:rFonts w:cs="Times New Roman"/>
                <w:sz w:val="22"/>
              </w:rPr>
            </w:pPr>
            <w:r w:rsidRPr="00A07AC4">
              <w:rPr>
                <w:rFonts w:cs="Times New Roman"/>
                <w:sz w:val="22"/>
              </w:rPr>
              <w:t xml:space="preserve">PJ </w:t>
            </w:r>
          </w:p>
        </w:tc>
        <w:tc>
          <w:tcPr>
            <w:tcW w:w="7767" w:type="dxa"/>
          </w:tcPr>
          <w:p w:rsidR="00982E6A" w:rsidRPr="00A07AC4" w:rsidRDefault="00982E6A" w:rsidP="00C138E2">
            <w:pPr>
              <w:spacing w:before="120" w:after="120" w:line="240" w:lineRule="auto"/>
              <w:rPr>
                <w:rFonts w:cs="Times New Roman"/>
                <w:sz w:val="22"/>
              </w:rPr>
            </w:pPr>
            <w:proofErr w:type="spellStart"/>
            <w:r w:rsidRPr="00A07AC4">
              <w:rPr>
                <w:rFonts w:cs="Times New Roman"/>
                <w:sz w:val="22"/>
              </w:rPr>
              <w:t>Petadžouls</w:t>
            </w:r>
            <w:proofErr w:type="spellEnd"/>
            <w:r w:rsidRPr="00A07AC4">
              <w:rPr>
                <w:rFonts w:cs="Times New Roman"/>
                <w:sz w:val="22"/>
              </w:rPr>
              <w:t xml:space="preserve"> (enerģijas mērvienība)</w:t>
            </w:r>
          </w:p>
        </w:tc>
      </w:tr>
      <w:tr w:rsidR="00E60A5F" w:rsidRPr="00A07AC4" w:rsidTr="00BA29EF">
        <w:tc>
          <w:tcPr>
            <w:tcW w:w="1475" w:type="dxa"/>
          </w:tcPr>
          <w:p w:rsidR="00E60A5F" w:rsidRPr="00A07AC4" w:rsidRDefault="00E60A5F" w:rsidP="00C138E2">
            <w:pPr>
              <w:spacing w:before="120" w:after="120" w:line="240" w:lineRule="auto"/>
              <w:rPr>
                <w:rFonts w:cs="Times New Roman"/>
                <w:sz w:val="22"/>
              </w:rPr>
            </w:pPr>
            <w:r w:rsidRPr="00A07AC4">
              <w:rPr>
                <w:rFonts w:cs="Times New Roman"/>
                <w:sz w:val="22"/>
              </w:rPr>
              <w:t>SEG</w:t>
            </w:r>
          </w:p>
        </w:tc>
        <w:tc>
          <w:tcPr>
            <w:tcW w:w="7767" w:type="dxa"/>
          </w:tcPr>
          <w:p w:rsidR="00E60A5F" w:rsidRPr="00A07AC4" w:rsidRDefault="00E60A5F" w:rsidP="00C138E2">
            <w:pPr>
              <w:spacing w:before="120" w:after="120" w:line="240" w:lineRule="auto"/>
              <w:rPr>
                <w:rFonts w:cs="Times New Roman"/>
                <w:sz w:val="22"/>
              </w:rPr>
            </w:pPr>
            <w:r w:rsidRPr="00A07AC4">
              <w:rPr>
                <w:rFonts w:cs="Times New Roman"/>
                <w:sz w:val="22"/>
              </w:rPr>
              <w:t>Siltumnīcefekta gāzes</w:t>
            </w:r>
          </w:p>
        </w:tc>
      </w:tr>
    </w:tbl>
    <w:p w:rsidR="00982E6A" w:rsidRPr="003D48F5" w:rsidRDefault="00982E6A">
      <w:pPr>
        <w:rPr>
          <w:rFonts w:eastAsiaTheme="majorEastAsia" w:cs="Times New Roman"/>
          <w:b/>
          <w:bCs/>
          <w:color w:val="000000" w:themeColor="text1"/>
          <w:szCs w:val="28"/>
        </w:rPr>
      </w:pPr>
      <w:r w:rsidRPr="003D48F5">
        <w:rPr>
          <w:rFonts w:cs="Times New Roman"/>
        </w:rPr>
        <w:br w:type="page"/>
      </w:r>
    </w:p>
    <w:p w:rsidR="00AA70E3" w:rsidRPr="003D48F5" w:rsidRDefault="00AA70E3" w:rsidP="0066561B">
      <w:pPr>
        <w:pStyle w:val="Heading1"/>
        <w:rPr>
          <w:rFonts w:cs="Times New Roman"/>
        </w:rPr>
      </w:pPr>
      <w:bookmarkStart w:id="0" w:name="_Toc387237952"/>
      <w:r w:rsidRPr="003D48F5">
        <w:rPr>
          <w:rFonts w:cs="Times New Roman"/>
        </w:rPr>
        <w:lastRenderedPageBreak/>
        <w:t>1. IEVADS</w:t>
      </w:r>
      <w:bookmarkEnd w:id="0"/>
    </w:p>
    <w:p w:rsidR="00110069" w:rsidRDefault="008B32EA" w:rsidP="00110069">
      <w:pPr>
        <w:spacing w:after="0" w:line="240" w:lineRule="auto"/>
        <w:jc w:val="both"/>
        <w:rPr>
          <w:color w:val="000000"/>
          <w:szCs w:val="28"/>
        </w:rPr>
      </w:pPr>
      <w:r>
        <w:rPr>
          <w:color w:val="000000"/>
        </w:rPr>
        <w:tab/>
      </w:r>
      <w:r w:rsidR="00B40382" w:rsidRPr="00110069">
        <w:rPr>
          <w:color w:val="000000"/>
          <w:szCs w:val="28"/>
        </w:rPr>
        <w:t xml:space="preserve">Līdz šim Latvija Eiropas Komisijai atbilstoši </w:t>
      </w:r>
      <w:r w:rsidR="00B40382" w:rsidRPr="00110069">
        <w:rPr>
          <w:szCs w:val="28"/>
        </w:rPr>
        <w:t>Eiropas Parlamenta un Padomes</w:t>
      </w:r>
      <w:r w:rsidR="00B40382" w:rsidRPr="00110069">
        <w:rPr>
          <w:color w:val="000000"/>
          <w:szCs w:val="28"/>
        </w:rPr>
        <w:t xml:space="preserve"> Direktīvas </w:t>
      </w:r>
      <w:r w:rsidR="00B40382" w:rsidRPr="00110069">
        <w:rPr>
          <w:bCs/>
          <w:color w:val="000000"/>
          <w:szCs w:val="28"/>
        </w:rPr>
        <w:t xml:space="preserve">2006/32/EK par enerģijas galapatēriņa efektivitāti un energoefektivitātes pakalpojumiem un ar ko atceļ Padomes Direktīvu 93/76/EEK </w:t>
      </w:r>
      <w:r w:rsidR="0012336D" w:rsidRPr="00110069">
        <w:rPr>
          <w:bCs/>
          <w:color w:val="000000"/>
          <w:szCs w:val="28"/>
        </w:rPr>
        <w:t xml:space="preserve">(turpmāk – Direktīva 2006/32/EK) </w:t>
      </w:r>
      <w:r w:rsidR="00110069">
        <w:rPr>
          <w:bCs/>
          <w:color w:val="000000"/>
          <w:szCs w:val="28"/>
        </w:rPr>
        <w:t>prasībām</w:t>
      </w:r>
      <w:r w:rsidR="00B40382" w:rsidRPr="00110069">
        <w:rPr>
          <w:bCs/>
          <w:color w:val="000000"/>
          <w:szCs w:val="28"/>
        </w:rPr>
        <w:t xml:space="preserve"> </w:t>
      </w:r>
      <w:r w:rsidR="00B40382" w:rsidRPr="00110069">
        <w:rPr>
          <w:color w:val="000000"/>
          <w:szCs w:val="28"/>
        </w:rPr>
        <w:t xml:space="preserve">ir iesniegusi divus valsts energoefektivitātes rīcības plānus. </w:t>
      </w:r>
      <w:r w:rsidR="004D14A2">
        <w:rPr>
          <w:color w:val="000000"/>
          <w:szCs w:val="28"/>
        </w:rPr>
        <w:t xml:space="preserve">Ar Ministru kabineta </w:t>
      </w:r>
      <w:r w:rsidR="00B40382" w:rsidRPr="00110069">
        <w:rPr>
          <w:szCs w:val="28"/>
        </w:rPr>
        <w:t>2011.</w:t>
      </w:r>
      <w:r w:rsidR="000C3B25" w:rsidRPr="00110069">
        <w:rPr>
          <w:szCs w:val="28"/>
        </w:rPr>
        <w:t> </w:t>
      </w:r>
      <w:r w:rsidR="00B40382" w:rsidRPr="00110069">
        <w:rPr>
          <w:szCs w:val="28"/>
        </w:rPr>
        <w:t>gad</w:t>
      </w:r>
      <w:r w:rsidR="004D14A2">
        <w:rPr>
          <w:szCs w:val="28"/>
        </w:rPr>
        <w:t>a 16.</w:t>
      </w:r>
      <w:r w:rsidR="007F7ECF">
        <w:rPr>
          <w:szCs w:val="28"/>
        </w:rPr>
        <w:t> </w:t>
      </w:r>
      <w:r w:rsidR="004D14A2">
        <w:rPr>
          <w:szCs w:val="28"/>
        </w:rPr>
        <w:t>septembra rīkojumu Nr.460,</w:t>
      </w:r>
      <w:r w:rsidR="00B40382" w:rsidRPr="00110069">
        <w:rPr>
          <w:szCs w:val="28"/>
        </w:rPr>
        <w:t xml:space="preserve"> tika </w:t>
      </w:r>
      <w:r w:rsidR="00B40382" w:rsidRPr="00110069">
        <w:rPr>
          <w:color w:val="000000"/>
          <w:szCs w:val="28"/>
        </w:rPr>
        <w:t xml:space="preserve">apstiprināts Latvijas Republikas Otrais energoefektivitātes rīcības plāns 2011. - 2013. gadam, kas ietver arī </w:t>
      </w:r>
      <w:r w:rsidR="005D5331">
        <w:rPr>
          <w:color w:val="000000"/>
          <w:szCs w:val="28"/>
        </w:rPr>
        <w:t>ar Ministru kabineta 2008.</w:t>
      </w:r>
      <w:r w:rsidR="007F7ECF">
        <w:rPr>
          <w:color w:val="000000"/>
          <w:szCs w:val="28"/>
        </w:rPr>
        <w:t> </w:t>
      </w:r>
      <w:r w:rsidR="005D5331">
        <w:rPr>
          <w:color w:val="000000"/>
          <w:szCs w:val="28"/>
        </w:rPr>
        <w:t>gada 20.</w:t>
      </w:r>
      <w:r w:rsidR="007F7ECF">
        <w:rPr>
          <w:color w:val="000000"/>
          <w:szCs w:val="28"/>
        </w:rPr>
        <w:t> </w:t>
      </w:r>
      <w:r w:rsidR="005D5331">
        <w:rPr>
          <w:color w:val="000000"/>
          <w:szCs w:val="28"/>
        </w:rPr>
        <w:t xml:space="preserve">maija rīkojumu Nr.266 apstiprinātā </w:t>
      </w:r>
      <w:r w:rsidR="00B40382" w:rsidRPr="00110069">
        <w:rPr>
          <w:color w:val="000000"/>
          <w:szCs w:val="28"/>
        </w:rPr>
        <w:t>Latvijas Republikas Pirmā energoefektivitātes rīcības plāna 200</w:t>
      </w:r>
      <w:r w:rsidR="00766C76" w:rsidRPr="00110069">
        <w:rPr>
          <w:color w:val="000000"/>
          <w:szCs w:val="28"/>
        </w:rPr>
        <w:t>8</w:t>
      </w:r>
      <w:r w:rsidR="00B40382" w:rsidRPr="00110069">
        <w:rPr>
          <w:color w:val="000000"/>
          <w:szCs w:val="28"/>
        </w:rPr>
        <w:t xml:space="preserve">. - 2010. gadam izpildes novērtējumu. </w:t>
      </w:r>
    </w:p>
    <w:p w:rsidR="009F3FEC" w:rsidRDefault="00B24F8A" w:rsidP="00110069">
      <w:pPr>
        <w:spacing w:after="0" w:line="240" w:lineRule="auto"/>
        <w:ind w:firstLine="709"/>
        <w:jc w:val="both"/>
        <w:rPr>
          <w:szCs w:val="28"/>
        </w:rPr>
      </w:pPr>
      <w:r w:rsidRPr="00110069">
        <w:rPr>
          <w:rFonts w:cs="Times New Roman"/>
          <w:szCs w:val="28"/>
        </w:rPr>
        <w:t xml:space="preserve">Informatīvais ziņojums </w:t>
      </w:r>
      <w:r w:rsidRPr="00110069">
        <w:rPr>
          <w:rFonts w:cs="Times New Roman"/>
          <w:b/>
          <w:szCs w:val="28"/>
        </w:rPr>
        <w:t>Par virzību uz indikatīvo valsts energoefektivitātes mērķi 2014. – 2016. </w:t>
      </w:r>
      <w:r w:rsidR="00F85A58" w:rsidRPr="00110069">
        <w:rPr>
          <w:rFonts w:cs="Times New Roman"/>
          <w:b/>
          <w:szCs w:val="28"/>
        </w:rPr>
        <w:t>gadā</w:t>
      </w:r>
      <w:r w:rsidRPr="00110069">
        <w:rPr>
          <w:rFonts w:cs="Times New Roman"/>
          <w:b/>
          <w:szCs w:val="28"/>
        </w:rPr>
        <w:t xml:space="preserve"> saskaņā ar </w:t>
      </w:r>
      <w:r w:rsidRPr="00110069">
        <w:rPr>
          <w:rFonts w:cs="Times New Roman"/>
          <w:b/>
          <w:bCs/>
          <w:color w:val="000000"/>
          <w:szCs w:val="28"/>
        </w:rPr>
        <w:t>Eiropas Parlamenta un Padomes 2012. gada 25. oktobra Direktīvu 2012/27/ES par energoefektivitāti, ar ko groza Direktīvas 2009/125/EK un 2010/30/ES un atceļ Direktīvas 2004/8/EK un 2006/32/EK</w:t>
      </w:r>
      <w:r w:rsidR="00493A58">
        <w:rPr>
          <w:rFonts w:cs="Times New Roman"/>
          <w:b/>
          <w:bCs/>
          <w:color w:val="000000"/>
          <w:szCs w:val="28"/>
        </w:rPr>
        <w:t xml:space="preserve"> </w:t>
      </w:r>
      <w:r w:rsidR="00AE0081" w:rsidRPr="00110069">
        <w:rPr>
          <w:szCs w:val="28"/>
        </w:rPr>
        <w:t xml:space="preserve">(turpmāk – </w:t>
      </w:r>
      <w:r w:rsidRPr="00110069">
        <w:rPr>
          <w:szCs w:val="28"/>
        </w:rPr>
        <w:t>Informatīvais ziņojums</w:t>
      </w:r>
      <w:r w:rsidR="00AE0081" w:rsidRPr="00110069">
        <w:rPr>
          <w:szCs w:val="28"/>
        </w:rPr>
        <w:t>)</w:t>
      </w:r>
      <w:r w:rsidR="006A748C" w:rsidRPr="00110069">
        <w:rPr>
          <w:szCs w:val="28"/>
        </w:rPr>
        <w:t xml:space="preserve"> ir izstrādāts, pamatojoties uz </w:t>
      </w:r>
      <w:r w:rsidR="007303E6" w:rsidRPr="00110069">
        <w:rPr>
          <w:rFonts w:cs="Times New Roman"/>
          <w:szCs w:val="28"/>
        </w:rPr>
        <w:t xml:space="preserve">Eiropas Parlamenta un Padomes </w:t>
      </w:r>
      <w:r w:rsidR="007303E6" w:rsidRPr="00110069">
        <w:rPr>
          <w:rFonts w:eastAsia="Times New Roman" w:cs="Times New Roman"/>
          <w:color w:val="000000"/>
          <w:szCs w:val="28"/>
          <w:lang w:eastAsia="lv-LV"/>
        </w:rPr>
        <w:t>Direktīv</w:t>
      </w:r>
      <w:r w:rsidR="004F3E33" w:rsidRPr="00110069">
        <w:rPr>
          <w:rFonts w:eastAsia="Times New Roman" w:cs="Times New Roman"/>
          <w:color w:val="000000"/>
          <w:szCs w:val="28"/>
          <w:lang w:eastAsia="lv-LV"/>
        </w:rPr>
        <w:t>as</w:t>
      </w:r>
      <w:r w:rsidR="007303E6" w:rsidRPr="00110069">
        <w:rPr>
          <w:rFonts w:eastAsia="Times New Roman" w:cs="Times New Roman"/>
          <w:color w:val="000000"/>
          <w:szCs w:val="28"/>
          <w:lang w:eastAsia="lv-LV"/>
        </w:rPr>
        <w:t xml:space="preserve"> 2012/27/ES par energoefektivitāti, ar ko groza Direktīvas 2009/125/EK un 2010/30/ES un atceļ Direktīvas 2004/8/EK un 2006/32/EK (turpmāk - Direktīva 2012/27/ES) 24. panta 2. punkta prasībām</w:t>
      </w:r>
      <w:r w:rsidR="006A748C" w:rsidRPr="00110069">
        <w:rPr>
          <w:szCs w:val="28"/>
        </w:rPr>
        <w:t xml:space="preserve">. </w:t>
      </w:r>
      <w:r w:rsidR="00B545AB" w:rsidRPr="00110069">
        <w:rPr>
          <w:szCs w:val="28"/>
        </w:rPr>
        <w:t xml:space="preserve">Informatīvā ziņojuma </w:t>
      </w:r>
      <w:r w:rsidR="00924EF5" w:rsidRPr="00110069">
        <w:rPr>
          <w:szCs w:val="28"/>
        </w:rPr>
        <w:t>izstrādāšanā ņemts vērā</w:t>
      </w:r>
      <w:r w:rsidR="0029657A" w:rsidRPr="00110069">
        <w:rPr>
          <w:szCs w:val="28"/>
        </w:rPr>
        <w:t xml:space="preserve"> </w:t>
      </w:r>
      <w:r w:rsidR="0031158F" w:rsidRPr="00110069">
        <w:rPr>
          <w:szCs w:val="28"/>
        </w:rPr>
        <w:t>2013.</w:t>
      </w:r>
      <w:r w:rsidR="002A2353">
        <w:rPr>
          <w:szCs w:val="28"/>
        </w:rPr>
        <w:t> </w:t>
      </w:r>
      <w:r w:rsidR="0031158F" w:rsidRPr="00110069">
        <w:rPr>
          <w:szCs w:val="28"/>
        </w:rPr>
        <w:t>gada 22.</w:t>
      </w:r>
      <w:r w:rsidR="002A2353">
        <w:rPr>
          <w:szCs w:val="28"/>
        </w:rPr>
        <w:t> </w:t>
      </w:r>
      <w:r w:rsidR="0031158F" w:rsidRPr="00110069">
        <w:rPr>
          <w:szCs w:val="28"/>
        </w:rPr>
        <w:t xml:space="preserve">maija </w:t>
      </w:r>
      <w:r w:rsidR="0029657A" w:rsidRPr="00110069">
        <w:rPr>
          <w:szCs w:val="28"/>
        </w:rPr>
        <w:t>Eiropas Komisijas īstenošanas lēmums</w:t>
      </w:r>
      <w:r w:rsidR="00456147" w:rsidRPr="00110069">
        <w:rPr>
          <w:szCs w:val="28"/>
        </w:rPr>
        <w:t xml:space="preserve"> 2013/242/ES</w:t>
      </w:r>
      <w:r w:rsidR="004C42F5" w:rsidRPr="00110069">
        <w:rPr>
          <w:rStyle w:val="FootnoteReference"/>
          <w:szCs w:val="28"/>
        </w:rPr>
        <w:footnoteReference w:id="1"/>
      </w:r>
      <w:r w:rsidR="0029657A" w:rsidRPr="00110069">
        <w:rPr>
          <w:szCs w:val="28"/>
        </w:rPr>
        <w:t xml:space="preserve">, ar ko izveido valsts energoefektivitātes rīcības plānu paraugu saskaņā ar </w:t>
      </w:r>
      <w:r w:rsidR="006B4A24" w:rsidRPr="00110069">
        <w:rPr>
          <w:rFonts w:eastAsia="Times New Roman" w:cs="Times New Roman"/>
          <w:color w:val="000000"/>
          <w:szCs w:val="28"/>
          <w:lang w:eastAsia="lv-LV"/>
        </w:rPr>
        <w:t xml:space="preserve">Direktīvu 2012/27/ES </w:t>
      </w:r>
      <w:r w:rsidR="00924EF5" w:rsidRPr="00110069">
        <w:rPr>
          <w:szCs w:val="28"/>
        </w:rPr>
        <w:t>(turpmāk tekstā – EK vadlīnijas)</w:t>
      </w:r>
      <w:r w:rsidR="006A748C" w:rsidRPr="00110069">
        <w:rPr>
          <w:szCs w:val="28"/>
        </w:rPr>
        <w:t xml:space="preserve">. </w:t>
      </w:r>
    </w:p>
    <w:p w:rsidR="006A748C" w:rsidRPr="00110069" w:rsidRDefault="003B63ED" w:rsidP="00110069">
      <w:pPr>
        <w:spacing w:after="0" w:line="240" w:lineRule="auto"/>
        <w:ind w:firstLine="709"/>
        <w:jc w:val="both"/>
        <w:rPr>
          <w:color w:val="000000"/>
          <w:szCs w:val="28"/>
        </w:rPr>
      </w:pPr>
      <w:r>
        <w:rPr>
          <w:szCs w:val="28"/>
        </w:rPr>
        <w:t xml:space="preserve">Ņemot vērā, ka Direktīva 2012/27/ES un EK vadlīnijas nenosaka dalībvalstīm </w:t>
      </w:r>
      <w:r w:rsidRPr="003B63ED">
        <w:rPr>
          <w:szCs w:val="28"/>
        </w:rPr>
        <w:t xml:space="preserve">veikt </w:t>
      </w:r>
      <w:r w:rsidRPr="00BF3D77">
        <w:rPr>
          <w:rFonts w:cs="Times New Roman"/>
          <w:szCs w:val="28"/>
        </w:rPr>
        <w:t>2. EERP</w:t>
      </w:r>
      <w:r>
        <w:rPr>
          <w:rFonts w:cs="Times New Roman"/>
          <w:szCs w:val="28"/>
        </w:rPr>
        <w:t xml:space="preserve"> izvērtējuma analīzi un šobrīd tiek izstrādāts likumprojekts, </w:t>
      </w:r>
      <w:r w:rsidR="00057A44">
        <w:rPr>
          <w:rFonts w:cs="Times New Roman"/>
          <w:szCs w:val="28"/>
        </w:rPr>
        <w:t xml:space="preserve">kas noteiks Valsts energoefektivitātes rīcības plānu sagatavot un iesniegt Eiropas Komisijai ne vēlāk kā līdz 2017. gada 30. aprīlim un </w:t>
      </w:r>
      <w:r>
        <w:rPr>
          <w:rFonts w:cs="Times New Roman"/>
          <w:szCs w:val="28"/>
        </w:rPr>
        <w:t>uz kā pamata spēku zaudēs „Enerģijas galapatēriņa efektivitātes likums”</w:t>
      </w:r>
      <w:r w:rsidR="00057A44">
        <w:rPr>
          <w:rFonts w:cs="Times New Roman"/>
          <w:szCs w:val="28"/>
        </w:rPr>
        <w:t>, šis dokuments ir sagatavots kā Informatīvais ziņojums.</w:t>
      </w:r>
    </w:p>
    <w:p w:rsidR="00BD7DDE" w:rsidRPr="007F7ECF" w:rsidRDefault="002B185B" w:rsidP="007F7ECF">
      <w:pPr>
        <w:spacing w:after="120" w:line="240" w:lineRule="auto"/>
        <w:jc w:val="both"/>
        <w:rPr>
          <w:szCs w:val="28"/>
        </w:rPr>
      </w:pPr>
      <w:r w:rsidRPr="00BD7DDE">
        <w:rPr>
          <w:szCs w:val="28"/>
        </w:rPr>
        <w:tab/>
      </w:r>
      <w:r w:rsidR="00C96F9A" w:rsidRPr="00BD7DDE">
        <w:rPr>
          <w:szCs w:val="28"/>
        </w:rPr>
        <w:t>Ekonomiskās krīzes rezultātā būtiski ir mainījusies situ</w:t>
      </w:r>
      <w:r w:rsidR="008820B9" w:rsidRPr="00BD7DDE">
        <w:rPr>
          <w:szCs w:val="28"/>
        </w:rPr>
        <w:t>ācija enerģētikas nozarē kopumā, tāpēc, lai precizētu līdzš</w:t>
      </w:r>
      <w:r w:rsidR="008820B9" w:rsidRPr="00AF0476">
        <w:rPr>
          <w:szCs w:val="28"/>
        </w:rPr>
        <w:t>inējās politikas un mērķus un l</w:t>
      </w:r>
      <w:r w:rsidR="00C96F9A" w:rsidRPr="0017700C">
        <w:rPr>
          <w:szCs w:val="28"/>
        </w:rPr>
        <w:t xml:space="preserve">ai plānotu enerģētikas nozares attīstību ilgtermiņā, tajā skaitā, lai nodrošinātu Latvijas noteikto enerģētikas mērķa rādītāju sasniegšanu, </w:t>
      </w:r>
      <w:r w:rsidR="00B67CEC" w:rsidRPr="00837CF0">
        <w:rPr>
          <w:szCs w:val="28"/>
        </w:rPr>
        <w:t>tika</w:t>
      </w:r>
      <w:r w:rsidR="00C96F9A" w:rsidRPr="00AC46B6">
        <w:rPr>
          <w:szCs w:val="28"/>
        </w:rPr>
        <w:t xml:space="preserve"> izstrādāts</w:t>
      </w:r>
      <w:r w:rsidR="00B67CEC" w:rsidRPr="007F7ECF">
        <w:rPr>
          <w:szCs w:val="28"/>
        </w:rPr>
        <w:t xml:space="preserve"> </w:t>
      </w:r>
      <w:r w:rsidR="00C96F9A" w:rsidRPr="007F7ECF">
        <w:rPr>
          <w:szCs w:val="28"/>
        </w:rPr>
        <w:t xml:space="preserve">informatīvais ziņojums </w:t>
      </w:r>
      <w:r w:rsidR="00960CB5" w:rsidRPr="007F7ECF">
        <w:rPr>
          <w:szCs w:val="28"/>
        </w:rPr>
        <w:t>„</w:t>
      </w:r>
      <w:r w:rsidR="00C96F9A" w:rsidRPr="007F7ECF">
        <w:rPr>
          <w:szCs w:val="28"/>
        </w:rPr>
        <w:t>Latvijas enerģētikas ilgtermiņa stratēģija 2030 – Konkurētspējīga enerģētika sabiedrībai</w:t>
      </w:r>
      <w:r w:rsidR="00960CB5" w:rsidRPr="007F7ECF">
        <w:rPr>
          <w:szCs w:val="28"/>
        </w:rPr>
        <w:t>”</w:t>
      </w:r>
      <w:r w:rsidR="00C96F9A" w:rsidRPr="007F7ECF">
        <w:rPr>
          <w:szCs w:val="28"/>
        </w:rPr>
        <w:t xml:space="preserve"> (turpmāk –Stratēģija 2030)</w:t>
      </w:r>
      <w:r w:rsidR="00B67CEC" w:rsidRPr="007F7ECF">
        <w:rPr>
          <w:szCs w:val="28"/>
        </w:rPr>
        <w:t>, kas 2013.</w:t>
      </w:r>
      <w:r w:rsidR="00CF55BC" w:rsidRPr="007F7ECF">
        <w:rPr>
          <w:szCs w:val="28"/>
        </w:rPr>
        <w:t> gada 28. </w:t>
      </w:r>
      <w:r w:rsidR="00B67CEC" w:rsidRPr="007F7ECF">
        <w:rPr>
          <w:szCs w:val="28"/>
        </w:rPr>
        <w:t>maijā izskatīts Ministru kabinetā</w:t>
      </w:r>
      <w:r w:rsidR="00C96F9A" w:rsidRPr="007F7ECF">
        <w:rPr>
          <w:szCs w:val="28"/>
        </w:rPr>
        <w:t>. Šis dokuments nosaka darbības virzienus ilgtermiņā energoapgādes drošībā, konkurētspējā, energoefektivitātē un arī atj</w:t>
      </w:r>
      <w:r w:rsidR="008820B9" w:rsidRPr="007F7ECF">
        <w:rPr>
          <w:szCs w:val="28"/>
        </w:rPr>
        <w:t>aunojamās enerģijas izmantošanā</w:t>
      </w:r>
      <w:r w:rsidR="00BD7DDE" w:rsidRPr="007F7ECF">
        <w:rPr>
          <w:szCs w:val="28"/>
        </w:rPr>
        <w:t xml:space="preserve">. Lai sasniegtu Stratēģijā 2030 definētos Latvijas enerģētikas politikas ilgtermiņa mērķus, </w:t>
      </w:r>
      <w:r w:rsidR="00BD7DDE" w:rsidRPr="007F7ECF">
        <w:rPr>
          <w:szCs w:val="28"/>
        </w:rPr>
        <w:lastRenderedPageBreak/>
        <w:t>Ekonomikas ministrija izstrādās un virzīs apstiprināšanai jaunas enerģētikas politikas pamatnostādnes laika periodam 2014.</w:t>
      </w:r>
      <w:r w:rsidR="00DB672A">
        <w:rPr>
          <w:szCs w:val="28"/>
        </w:rPr>
        <w:t xml:space="preserve"> </w:t>
      </w:r>
      <w:r w:rsidR="00BD7DDE" w:rsidRPr="007F7ECF">
        <w:rPr>
          <w:szCs w:val="28"/>
        </w:rPr>
        <w:t>-</w:t>
      </w:r>
      <w:r w:rsidR="00DB672A">
        <w:rPr>
          <w:szCs w:val="28"/>
        </w:rPr>
        <w:t xml:space="preserve"> </w:t>
      </w:r>
      <w:r w:rsidR="00BD7DDE" w:rsidRPr="007F7ECF">
        <w:rPr>
          <w:szCs w:val="28"/>
        </w:rPr>
        <w:t>2020.</w:t>
      </w:r>
      <w:r w:rsidR="007F7ECF">
        <w:rPr>
          <w:szCs w:val="28"/>
        </w:rPr>
        <w:t> </w:t>
      </w:r>
      <w:r w:rsidR="00BD7DDE" w:rsidRPr="007F7ECF">
        <w:rPr>
          <w:szCs w:val="28"/>
        </w:rPr>
        <w:t>gadam.</w:t>
      </w:r>
    </w:p>
    <w:p w:rsidR="00C96F9A" w:rsidRPr="00110069" w:rsidRDefault="008820B9" w:rsidP="007F7ECF">
      <w:pPr>
        <w:spacing w:after="0" w:line="240" w:lineRule="auto"/>
        <w:ind w:firstLine="720"/>
        <w:jc w:val="both"/>
        <w:rPr>
          <w:szCs w:val="28"/>
        </w:rPr>
      </w:pPr>
      <w:r w:rsidRPr="00110069">
        <w:rPr>
          <w:szCs w:val="28"/>
        </w:rPr>
        <w:t>Energoefektivitātes paaugstināšanu turpmāk paredzēts noteikt par nacionālo prioritāti, kas izmaksu efektīvā veidā samazina ekonomikas energoapgādes drošības, ilgtspējas un konkurētspējas riskus, vienlaicīgi radot papildu darbavietas un veicinot izaugsmi.</w:t>
      </w:r>
      <w:r w:rsidR="00C96F9A" w:rsidRPr="00110069">
        <w:rPr>
          <w:szCs w:val="28"/>
        </w:rPr>
        <w:t xml:space="preserve"> </w:t>
      </w:r>
    </w:p>
    <w:p w:rsidR="00AA70E3" w:rsidRPr="003D48F5" w:rsidRDefault="00AA70E3" w:rsidP="00AA70E3">
      <w:pPr>
        <w:pStyle w:val="Heading1"/>
        <w:rPr>
          <w:rFonts w:cs="Times New Roman"/>
        </w:rPr>
      </w:pPr>
      <w:bookmarkStart w:id="1" w:name="_Toc387237953"/>
      <w:r w:rsidRPr="003D48F5">
        <w:rPr>
          <w:rFonts w:cs="Times New Roman"/>
        </w:rPr>
        <w:t>2. PĀRSKATS PAR VALSTS ENERGOEFEKTIVITĀTES MĒRĶIEM UN IETAUPĪJUMIEM</w:t>
      </w:r>
      <w:bookmarkEnd w:id="1"/>
    </w:p>
    <w:p w:rsidR="00AA70E3" w:rsidRPr="003D48F5" w:rsidRDefault="00CF55BC" w:rsidP="00E878C0">
      <w:pPr>
        <w:pStyle w:val="Heading2"/>
      </w:pPr>
      <w:bookmarkStart w:id="2" w:name="_Toc387237954"/>
      <w:r>
        <w:t>2.1. Valsts 2020. </w:t>
      </w:r>
      <w:r w:rsidR="00AA70E3" w:rsidRPr="003D48F5">
        <w:t xml:space="preserve">gada </w:t>
      </w:r>
      <w:r w:rsidR="00AA70E3" w:rsidRPr="00E878C0">
        <w:t>energoefektivitātes</w:t>
      </w:r>
      <w:r w:rsidR="00AA70E3" w:rsidRPr="003D48F5">
        <w:t xml:space="preserve"> mērķi</w:t>
      </w:r>
      <w:bookmarkEnd w:id="2"/>
    </w:p>
    <w:p w:rsidR="00E878C0" w:rsidRDefault="00E878C0" w:rsidP="002B185B">
      <w:pPr>
        <w:pStyle w:val="Heading3"/>
        <w:spacing w:after="120"/>
      </w:pPr>
      <w:bookmarkStart w:id="3" w:name="_Toc387237955"/>
      <w:r>
        <w:t>2.1.1. Indikatīvais valsts energoefektivitātes mērķi</w:t>
      </w:r>
      <w:r w:rsidR="00960CB5">
        <w:t>s</w:t>
      </w:r>
      <w:r w:rsidR="00CF55BC">
        <w:t xml:space="preserve"> 2020. </w:t>
      </w:r>
      <w:r>
        <w:t>gadam</w:t>
      </w:r>
      <w:bookmarkEnd w:id="3"/>
    </w:p>
    <w:p w:rsidR="001A3FA9" w:rsidRPr="009E37D3" w:rsidRDefault="002B185B" w:rsidP="001A3FA9">
      <w:pPr>
        <w:spacing w:after="0" w:line="240" w:lineRule="auto"/>
        <w:jc w:val="both"/>
        <w:rPr>
          <w:rFonts w:cs="Times New Roman"/>
          <w:bCs/>
          <w:color w:val="000000"/>
          <w:szCs w:val="28"/>
        </w:rPr>
      </w:pPr>
      <w:r>
        <w:rPr>
          <w:rFonts w:cs="Times New Roman"/>
          <w:color w:val="000000"/>
        </w:rPr>
        <w:tab/>
      </w:r>
      <w:r w:rsidR="004D7FEA" w:rsidRPr="003D48F5">
        <w:rPr>
          <w:rFonts w:cs="Times New Roman"/>
          <w:color w:val="000000"/>
        </w:rPr>
        <w:t>Atbilstoši Direktīvas 2012/27/ES 3.</w:t>
      </w:r>
      <w:r w:rsidR="00D027CC" w:rsidRPr="003D48F5">
        <w:rPr>
          <w:rFonts w:cs="Times New Roman"/>
          <w:color w:val="000000"/>
        </w:rPr>
        <w:t> </w:t>
      </w:r>
      <w:r w:rsidR="004D7FEA" w:rsidRPr="003D48F5">
        <w:rPr>
          <w:rFonts w:cs="Times New Roman"/>
          <w:color w:val="000000"/>
        </w:rPr>
        <w:t xml:space="preserve">panta prasībām </w:t>
      </w:r>
      <w:r w:rsidR="001A3FA9">
        <w:rPr>
          <w:rFonts w:cs="Times New Roman"/>
          <w:color w:val="000000"/>
        </w:rPr>
        <w:t xml:space="preserve">noteiktais </w:t>
      </w:r>
      <w:r w:rsidR="00455F60" w:rsidRPr="003D48F5">
        <w:rPr>
          <w:rFonts w:cs="Times New Roman"/>
          <w:color w:val="000000"/>
        </w:rPr>
        <w:t xml:space="preserve">Latvijas </w:t>
      </w:r>
      <w:r w:rsidR="001A3FA9" w:rsidRPr="001A3FA9">
        <w:rPr>
          <w:rFonts w:cs="Times New Roman"/>
          <w:b/>
          <w:color w:val="000000"/>
        </w:rPr>
        <w:t>indikatīvais</w:t>
      </w:r>
      <w:r w:rsidR="001A3FA9">
        <w:rPr>
          <w:rFonts w:cs="Times New Roman"/>
          <w:b/>
          <w:color w:val="000000"/>
        </w:rPr>
        <w:t xml:space="preserve"> </w:t>
      </w:r>
      <w:r w:rsidR="001A3FA9" w:rsidRPr="001A3FA9">
        <w:rPr>
          <w:rFonts w:cs="Times New Roman"/>
          <w:b/>
          <w:color w:val="000000"/>
        </w:rPr>
        <w:t>valsts energoefektivitātes mērķis, pamatojoties uz</w:t>
      </w:r>
      <w:r w:rsidR="004D7FEA" w:rsidRPr="001A3FA9">
        <w:rPr>
          <w:rFonts w:cs="Times New Roman"/>
          <w:b/>
        </w:rPr>
        <w:t xml:space="preserve"> primārās enerģijas ietaupījum</w:t>
      </w:r>
      <w:r w:rsidR="001A3FA9" w:rsidRPr="001A3FA9">
        <w:rPr>
          <w:rFonts w:cs="Times New Roman"/>
          <w:b/>
        </w:rPr>
        <w:t>u</w:t>
      </w:r>
      <w:r w:rsidR="004D7FEA" w:rsidRPr="001A3FA9">
        <w:rPr>
          <w:rFonts w:cs="Times New Roman"/>
          <w:b/>
        </w:rPr>
        <w:t xml:space="preserve"> 2020.</w:t>
      </w:r>
      <w:r w:rsidR="00D027CC" w:rsidRPr="001A3FA9">
        <w:rPr>
          <w:rFonts w:cs="Times New Roman"/>
          <w:b/>
        </w:rPr>
        <w:t> </w:t>
      </w:r>
      <w:r w:rsidR="004D7FEA" w:rsidRPr="001A3FA9">
        <w:rPr>
          <w:rFonts w:cs="Times New Roman"/>
          <w:b/>
        </w:rPr>
        <w:t>gadā</w:t>
      </w:r>
      <w:r w:rsidR="001A3FA9" w:rsidRPr="001A3FA9">
        <w:rPr>
          <w:rFonts w:cs="Times New Roman"/>
          <w:b/>
        </w:rPr>
        <w:t>,</w:t>
      </w:r>
      <w:r w:rsidR="004D7FEA" w:rsidRPr="001A3FA9">
        <w:rPr>
          <w:rFonts w:cs="Times New Roman"/>
          <w:b/>
        </w:rPr>
        <w:t xml:space="preserve"> ir 0,670 </w:t>
      </w:r>
      <w:proofErr w:type="spellStart"/>
      <w:r w:rsidR="004D7FEA" w:rsidRPr="001A3FA9">
        <w:rPr>
          <w:rFonts w:cs="Times New Roman"/>
          <w:b/>
        </w:rPr>
        <w:t>Mtoe</w:t>
      </w:r>
      <w:proofErr w:type="spellEnd"/>
      <w:r w:rsidR="004D7FEA" w:rsidRPr="001A3FA9">
        <w:rPr>
          <w:rFonts w:cs="Times New Roman"/>
          <w:b/>
        </w:rPr>
        <w:t xml:space="preserve"> (28 PJ), </w:t>
      </w:r>
      <w:r w:rsidR="00924EF5" w:rsidRPr="001A3FA9">
        <w:rPr>
          <w:rFonts w:cs="Times New Roman"/>
          <w:b/>
          <w:szCs w:val="28"/>
        </w:rPr>
        <w:t xml:space="preserve">kam atbilst gala enerģijas patēriņa ietaupījums 0,457 </w:t>
      </w:r>
      <w:proofErr w:type="spellStart"/>
      <w:r w:rsidR="00924EF5" w:rsidRPr="001A3FA9">
        <w:rPr>
          <w:rFonts w:cs="Times New Roman"/>
          <w:b/>
          <w:szCs w:val="28"/>
        </w:rPr>
        <w:t>Mtoe</w:t>
      </w:r>
      <w:proofErr w:type="spellEnd"/>
      <w:r w:rsidR="00924EF5" w:rsidRPr="001A3FA9">
        <w:rPr>
          <w:rFonts w:cs="Times New Roman"/>
          <w:b/>
          <w:szCs w:val="28"/>
        </w:rPr>
        <w:t xml:space="preserve"> (19 PJ)</w:t>
      </w:r>
      <w:r w:rsidR="00924EF5" w:rsidRPr="009E37D3">
        <w:rPr>
          <w:rFonts w:cs="Times New Roman"/>
          <w:szCs w:val="28"/>
        </w:rPr>
        <w:t>,</w:t>
      </w:r>
      <w:r w:rsidR="00924EF5">
        <w:rPr>
          <w:rFonts w:cs="Times New Roman"/>
          <w:szCs w:val="28"/>
        </w:rPr>
        <w:t xml:space="preserve"> </w:t>
      </w:r>
      <w:r w:rsidR="001A3FA9" w:rsidRPr="009E37D3">
        <w:rPr>
          <w:rFonts w:cs="Times New Roman"/>
          <w:szCs w:val="28"/>
        </w:rPr>
        <w:t xml:space="preserve">kas paredz enerģijas ietaupījumu daudzdzīvokļu dzīvojamās ēkās, pašvaldības un valsts iestāžu ēkās, enerģijas ietaupījumu rūpniecībā, pakalpojumu sektorā un transportā, kā arī enerģijas ietaupījumu centralizētās siltumapgādes sistēmās. Energoefektivitātes pasākumu īstenošana kopumā </w:t>
      </w:r>
      <w:r w:rsidR="001A3FA9" w:rsidRPr="009E37D3">
        <w:rPr>
          <w:rFonts w:cs="Times New Roman"/>
          <w:bCs/>
          <w:color w:val="000000"/>
          <w:szCs w:val="28"/>
        </w:rPr>
        <w:t xml:space="preserve">veicinās pāreju uz </w:t>
      </w:r>
      <w:proofErr w:type="spellStart"/>
      <w:r w:rsidR="001A3FA9" w:rsidRPr="009E37D3">
        <w:rPr>
          <w:rFonts w:cs="Times New Roman"/>
          <w:bCs/>
          <w:color w:val="000000"/>
          <w:szCs w:val="28"/>
        </w:rPr>
        <w:t>energoefektīvāku</w:t>
      </w:r>
      <w:proofErr w:type="spellEnd"/>
      <w:r w:rsidR="001A3FA9" w:rsidRPr="009E37D3">
        <w:rPr>
          <w:rFonts w:cs="Times New Roman"/>
          <w:bCs/>
          <w:color w:val="000000"/>
          <w:szCs w:val="28"/>
        </w:rPr>
        <w:t xml:space="preserve"> ekonomiku un palielinās rūpniecības un citu sektoru konkurētspēju.</w:t>
      </w:r>
    </w:p>
    <w:p w:rsidR="00E878C0" w:rsidRDefault="00E878C0" w:rsidP="002B185B">
      <w:pPr>
        <w:pStyle w:val="Heading3"/>
        <w:spacing w:after="120"/>
      </w:pPr>
      <w:bookmarkStart w:id="4" w:name="_Toc387237956"/>
      <w:r>
        <w:t>2.1.2. Mērķa ietekme uz vispārējo primārās enerģijas patēriņu un galapatēriņu 2020. gadā</w:t>
      </w:r>
      <w:bookmarkEnd w:id="4"/>
    </w:p>
    <w:p w:rsidR="00EE46E6" w:rsidRPr="003D48F5" w:rsidRDefault="00EE46E6" w:rsidP="00CE55AA">
      <w:pPr>
        <w:pStyle w:val="BodyText"/>
        <w:spacing w:after="0" w:line="240" w:lineRule="auto"/>
        <w:jc w:val="both"/>
        <w:rPr>
          <w:rFonts w:ascii="Times New Roman" w:eastAsiaTheme="minorHAnsi" w:hAnsi="Times New Roman"/>
          <w:sz w:val="28"/>
          <w:szCs w:val="28"/>
          <w:lang w:bidi="ar-SA"/>
        </w:rPr>
      </w:pPr>
      <w:r w:rsidRPr="003D48F5">
        <w:rPr>
          <w:rFonts w:ascii="Times New Roman" w:eastAsiaTheme="minorHAnsi" w:hAnsi="Times New Roman"/>
          <w:sz w:val="28"/>
          <w:szCs w:val="28"/>
          <w:lang w:bidi="ar-SA"/>
        </w:rPr>
        <w:tab/>
        <w:t>Zems energoefektivitātes līmenis rada gan enerģētiskās drošības, gan ilgtspējas, gan konkurētspējas riskus, taču šī līmeņa paaugstināšana ir ātrākais un izmaksu ziņā efektīvākais risku samazināšanas veids, vienlaicīgi radot papildu darbavietas un veicinot izaugsmi. Lielākais potenciāls ar valsts īstenojamiem atbalsta instrumentiem enerģijas ietaupījumam pastāv ēku siltumapgādes un transporta sektorā.</w:t>
      </w:r>
      <w:r w:rsidR="00791DBA" w:rsidRPr="003D48F5">
        <w:rPr>
          <w:rFonts w:ascii="Times New Roman" w:eastAsiaTheme="minorHAnsi" w:hAnsi="Times New Roman"/>
          <w:sz w:val="28"/>
          <w:szCs w:val="28"/>
          <w:lang w:bidi="ar-SA"/>
        </w:rPr>
        <w:tab/>
      </w:r>
    </w:p>
    <w:p w:rsidR="00267EA5" w:rsidRPr="003D48F5" w:rsidRDefault="00EE46E6" w:rsidP="007F7ECF">
      <w:pPr>
        <w:spacing w:after="0"/>
        <w:jc w:val="both"/>
        <w:rPr>
          <w:szCs w:val="28"/>
        </w:rPr>
      </w:pPr>
      <w:r w:rsidRPr="003D48F5">
        <w:rPr>
          <w:szCs w:val="28"/>
        </w:rPr>
        <w:tab/>
      </w:r>
      <w:r w:rsidR="00267EA5" w:rsidRPr="003D48F5">
        <w:rPr>
          <w:szCs w:val="28"/>
        </w:rPr>
        <w:t>Lai veiktu Latvijas enerģijas patēriņa un apgādes ilgtermiņa scenārija analīzi līdz 2020.</w:t>
      </w:r>
      <w:r w:rsidR="00D027CC" w:rsidRPr="003D48F5">
        <w:rPr>
          <w:szCs w:val="28"/>
        </w:rPr>
        <w:t> </w:t>
      </w:r>
      <w:r w:rsidR="00267EA5" w:rsidRPr="003D48F5">
        <w:rPr>
          <w:szCs w:val="28"/>
        </w:rPr>
        <w:t>gadam un novērtētu energoefektivitātes politikas ietekmi uz primāro resursu patēriņu 2020.</w:t>
      </w:r>
      <w:r w:rsidR="00DF5D88" w:rsidRPr="003D48F5">
        <w:rPr>
          <w:szCs w:val="28"/>
        </w:rPr>
        <w:t> </w:t>
      </w:r>
      <w:r w:rsidR="00267EA5" w:rsidRPr="003D48F5">
        <w:rPr>
          <w:szCs w:val="28"/>
        </w:rPr>
        <w:t xml:space="preserve">gadā, tika izmantots </w:t>
      </w:r>
      <w:r w:rsidR="0017700C">
        <w:rPr>
          <w:sz w:val="24"/>
          <w:szCs w:val="24"/>
        </w:rPr>
        <w:t xml:space="preserve">Fizikālās enerģētikas institūta izveidots </w:t>
      </w:r>
      <w:r w:rsidR="00267EA5" w:rsidRPr="003D48F5">
        <w:rPr>
          <w:szCs w:val="28"/>
        </w:rPr>
        <w:t>MARKAL-LV modelis</w:t>
      </w:r>
      <w:r w:rsidR="0017700C">
        <w:rPr>
          <w:szCs w:val="28"/>
        </w:rPr>
        <w:t xml:space="preserve"> </w:t>
      </w:r>
      <w:r w:rsidR="007F7ECF">
        <w:rPr>
          <w:szCs w:val="28"/>
        </w:rPr>
        <w:t>(t</w:t>
      </w:r>
      <w:r w:rsidR="0017700C">
        <w:rPr>
          <w:szCs w:val="28"/>
        </w:rPr>
        <w:t>urpmāk – MARKAL-LV)</w:t>
      </w:r>
      <w:r w:rsidR="00267EA5" w:rsidRPr="003D48F5">
        <w:rPr>
          <w:szCs w:val="28"/>
        </w:rPr>
        <w:t>, kas balstās uz MARKAL</w:t>
      </w:r>
      <w:r w:rsidR="00267EA5" w:rsidRPr="003D48F5">
        <w:rPr>
          <w:szCs w:val="28"/>
          <w:vertAlign w:val="superscript"/>
        </w:rPr>
        <w:footnoteReference w:id="2"/>
      </w:r>
      <w:r w:rsidR="00267EA5" w:rsidRPr="003D48F5">
        <w:rPr>
          <w:szCs w:val="28"/>
        </w:rPr>
        <w:t xml:space="preserve"> modelēšanas platformas matemātisko un programmu nodrošinājumu. MARKAL-LV ir aprakstīta Latvijas enerģijas sistēma – sākot ar ener</w:t>
      </w:r>
      <w:r w:rsidR="00B53236" w:rsidRPr="003D48F5">
        <w:rPr>
          <w:szCs w:val="28"/>
        </w:rPr>
        <w:t>ģijas pakalpojuma pieprasījumu</w:t>
      </w:r>
      <w:r w:rsidR="00267EA5" w:rsidRPr="003D48F5">
        <w:rPr>
          <w:szCs w:val="28"/>
        </w:rPr>
        <w:t xml:space="preserve">, tad gala patēriņa un pārveidošanas sektora posmi, un beidzot ar primārās enerģijas piegādi (vietējo resursu ieguve, imports </w:t>
      </w:r>
      <w:r w:rsidR="00267EA5" w:rsidRPr="003D48F5">
        <w:rPr>
          <w:szCs w:val="28"/>
        </w:rPr>
        <w:lastRenderedPageBreak/>
        <w:t xml:space="preserve">un eksports). </w:t>
      </w:r>
      <w:proofErr w:type="spellStart"/>
      <w:r w:rsidR="0017700C">
        <w:rPr>
          <w:szCs w:val="28"/>
        </w:rPr>
        <w:t>Markal-LV</w:t>
      </w:r>
      <w:proofErr w:type="spellEnd"/>
      <w:r w:rsidR="0017700C">
        <w:rPr>
          <w:szCs w:val="28"/>
        </w:rPr>
        <w:t xml:space="preserve"> izmantotie dati</w:t>
      </w:r>
      <w:r w:rsidR="00267EA5" w:rsidRPr="003D48F5">
        <w:rPr>
          <w:szCs w:val="28"/>
        </w:rPr>
        <w:t xml:space="preserve"> ir prognozes par enerģijas resursu cenām, tehnoloģiju un enerģijas resursu raksturojums, kā arī </w:t>
      </w:r>
      <w:r w:rsidR="00911A75">
        <w:rPr>
          <w:szCs w:val="28"/>
        </w:rPr>
        <w:t xml:space="preserve">par </w:t>
      </w:r>
      <w:r w:rsidR="00267EA5" w:rsidRPr="003D48F5">
        <w:rPr>
          <w:szCs w:val="28"/>
        </w:rPr>
        <w:t xml:space="preserve">enerģijas pakalpojumu pieprasījumu, piemēram, apsildāmo telpu platība vai </w:t>
      </w:r>
      <w:proofErr w:type="spellStart"/>
      <w:r w:rsidR="00267EA5" w:rsidRPr="003D48F5">
        <w:rPr>
          <w:szCs w:val="28"/>
        </w:rPr>
        <w:t>ton</w:t>
      </w:r>
      <w:r w:rsidR="0017700C">
        <w:rPr>
          <w:szCs w:val="28"/>
        </w:rPr>
        <w:t>-</w:t>
      </w:r>
      <w:r w:rsidR="00267EA5" w:rsidRPr="003D48F5">
        <w:rPr>
          <w:szCs w:val="28"/>
        </w:rPr>
        <w:t>kilometri,</w:t>
      </w:r>
      <w:proofErr w:type="spellEnd"/>
      <w:r w:rsidR="00267EA5" w:rsidRPr="003D48F5">
        <w:rPr>
          <w:szCs w:val="28"/>
        </w:rPr>
        <w:t xml:space="preserve"> kas atspoguļo nepieciešamību pēc attiecīgā enerģijas daudzuma</w:t>
      </w:r>
      <w:r w:rsidR="00911A75">
        <w:rPr>
          <w:szCs w:val="28"/>
        </w:rPr>
        <w:t>.</w:t>
      </w:r>
      <w:r w:rsidR="0017700C">
        <w:rPr>
          <w:szCs w:val="28"/>
        </w:rPr>
        <w:t xml:space="preserve"> </w:t>
      </w:r>
      <w:proofErr w:type="spellStart"/>
      <w:r w:rsidR="0017700C">
        <w:rPr>
          <w:szCs w:val="28"/>
        </w:rPr>
        <w:t>Markal-LV</w:t>
      </w:r>
      <w:proofErr w:type="spellEnd"/>
      <w:r w:rsidR="0017700C">
        <w:rPr>
          <w:szCs w:val="28"/>
        </w:rPr>
        <w:t xml:space="preserve"> izmantotos datus</w:t>
      </w:r>
      <w:r w:rsidR="00AF0476">
        <w:rPr>
          <w:szCs w:val="28"/>
        </w:rPr>
        <w:t xml:space="preserve"> nodrošina Fizikālās enerģētikas institūts, balstoties uz CSP datiem un iepriekš veiktajiem pētījumiem.</w:t>
      </w:r>
      <w:r w:rsidR="00267EA5" w:rsidRPr="003D48F5">
        <w:rPr>
          <w:szCs w:val="28"/>
        </w:rPr>
        <w:t xml:space="preserve"> MARKAL-LV kā enerģētikas un vides sistēmas analīzes instrumentārijs nodrošina daudzpusīgu analīžu veikšanu, kurā līdzās esošajai Latvijas enerģētikas struktūrai ir aprakstītas nākotnē iespējamās alternatīvās enerģijas piegādes ķēdes, tehnoloģijas un emisiju samazināšanas iespējas. </w:t>
      </w:r>
    </w:p>
    <w:p w:rsidR="00267EA5" w:rsidRPr="003D48F5" w:rsidRDefault="00267EA5" w:rsidP="00CE55AA">
      <w:pPr>
        <w:pStyle w:val="Caption"/>
        <w:spacing w:after="0" w:line="240" w:lineRule="auto"/>
        <w:rPr>
          <w:rFonts w:ascii="Times New Roman" w:hAnsi="Times New Roman"/>
          <w:lang w:val="lv-LV"/>
        </w:rPr>
      </w:pPr>
      <w:r w:rsidRPr="003D48F5">
        <w:rPr>
          <w:rFonts w:ascii="Times New Roman" w:hAnsi="Times New Roman"/>
          <w:noProof/>
          <w:lang w:val="lv-LV" w:eastAsia="lv-LV" w:bidi="ar-SA"/>
        </w:rPr>
        <w:drawing>
          <wp:inline distT="0" distB="0" distL="0" distR="0" wp14:anchorId="4E639F4E" wp14:editId="5EE341DC">
            <wp:extent cx="344805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238375"/>
                    </a:xfrm>
                    <a:prstGeom prst="rect">
                      <a:avLst/>
                    </a:prstGeom>
                    <a:noFill/>
                    <a:ln>
                      <a:noFill/>
                    </a:ln>
                  </pic:spPr>
                </pic:pic>
              </a:graphicData>
            </a:graphic>
          </wp:inline>
        </w:drawing>
      </w:r>
    </w:p>
    <w:p w:rsidR="00267EA5" w:rsidRPr="003D48F5" w:rsidRDefault="00FF7FCA" w:rsidP="009F62AA">
      <w:pPr>
        <w:pStyle w:val="Caption"/>
        <w:jc w:val="both"/>
        <w:rPr>
          <w:rFonts w:ascii="Times New Roman" w:eastAsiaTheme="minorHAnsi" w:hAnsi="Times New Roman"/>
          <w:b/>
          <w:caps w:val="0"/>
          <w:spacing w:val="0"/>
          <w:sz w:val="28"/>
          <w:szCs w:val="28"/>
          <w:lang w:val="lv-LV" w:bidi="ar-SA"/>
        </w:rPr>
      </w:pPr>
      <w:bookmarkStart w:id="5" w:name="_Ref369857032"/>
      <w:r w:rsidRPr="003D48F5">
        <w:rPr>
          <w:rFonts w:ascii="Times New Roman" w:eastAsiaTheme="minorHAnsi" w:hAnsi="Times New Roman"/>
          <w:b/>
          <w:caps w:val="0"/>
          <w:spacing w:val="0"/>
          <w:sz w:val="24"/>
          <w:szCs w:val="28"/>
          <w:lang w:val="lv-LV" w:bidi="ar-SA"/>
        </w:rPr>
        <w:t>1</w:t>
      </w:r>
      <w:r w:rsidR="00791DBA" w:rsidRPr="003D48F5">
        <w:rPr>
          <w:rFonts w:ascii="Times New Roman" w:eastAsiaTheme="minorHAnsi" w:hAnsi="Times New Roman"/>
          <w:b/>
          <w:caps w:val="0"/>
          <w:spacing w:val="0"/>
          <w:sz w:val="24"/>
          <w:szCs w:val="28"/>
          <w:lang w:val="lv-LV" w:bidi="ar-SA"/>
        </w:rPr>
        <w:t>. attēls</w:t>
      </w:r>
      <w:bookmarkEnd w:id="5"/>
      <w:r w:rsidR="00C64746">
        <w:rPr>
          <w:rFonts w:ascii="Times New Roman" w:eastAsiaTheme="minorHAnsi" w:hAnsi="Times New Roman"/>
          <w:b/>
          <w:caps w:val="0"/>
          <w:spacing w:val="0"/>
          <w:sz w:val="24"/>
          <w:szCs w:val="28"/>
          <w:lang w:val="lv-LV" w:bidi="ar-SA"/>
        </w:rPr>
        <w:t>.</w:t>
      </w:r>
      <w:r w:rsidR="00267EA5" w:rsidRPr="003D48F5">
        <w:rPr>
          <w:rFonts w:ascii="Times New Roman" w:eastAsiaTheme="minorHAnsi" w:hAnsi="Times New Roman"/>
          <w:b/>
          <w:caps w:val="0"/>
          <w:spacing w:val="0"/>
          <w:sz w:val="24"/>
          <w:szCs w:val="28"/>
          <w:lang w:val="lv-LV" w:bidi="ar-SA"/>
        </w:rPr>
        <w:t xml:space="preserve"> Lietderīgās enerģijas un gala enerģijas sasaiste modelī</w:t>
      </w:r>
    </w:p>
    <w:p w:rsidR="00267EA5" w:rsidRPr="003D48F5" w:rsidRDefault="00791DBA" w:rsidP="00CF3302">
      <w:pPr>
        <w:pStyle w:val="BodyText"/>
        <w:spacing w:after="0" w:line="240" w:lineRule="auto"/>
        <w:jc w:val="both"/>
        <w:rPr>
          <w:rFonts w:ascii="Times New Roman" w:eastAsiaTheme="minorHAnsi" w:hAnsi="Times New Roman"/>
          <w:sz w:val="28"/>
          <w:szCs w:val="28"/>
          <w:lang w:bidi="ar-SA"/>
        </w:rPr>
      </w:pPr>
      <w:r w:rsidRPr="003D48F5">
        <w:rPr>
          <w:rFonts w:ascii="Times New Roman" w:eastAsiaTheme="minorHAnsi" w:hAnsi="Times New Roman"/>
          <w:sz w:val="28"/>
          <w:szCs w:val="28"/>
          <w:lang w:bidi="ar-SA"/>
        </w:rPr>
        <w:tab/>
      </w:r>
      <w:proofErr w:type="spellStart"/>
      <w:r w:rsidR="00267EA5" w:rsidRPr="003D48F5">
        <w:rPr>
          <w:rFonts w:ascii="Times New Roman" w:eastAsiaTheme="minorHAnsi" w:hAnsi="Times New Roman"/>
          <w:sz w:val="28"/>
          <w:szCs w:val="28"/>
          <w:lang w:bidi="ar-SA"/>
        </w:rPr>
        <w:t>Apakšsektoriem</w:t>
      </w:r>
      <w:proofErr w:type="spellEnd"/>
      <w:r w:rsidR="00267EA5" w:rsidRPr="003D48F5">
        <w:rPr>
          <w:rFonts w:ascii="Times New Roman" w:eastAsiaTheme="minorHAnsi" w:hAnsi="Times New Roman"/>
          <w:sz w:val="28"/>
          <w:szCs w:val="28"/>
          <w:lang w:bidi="ar-SA"/>
        </w:rPr>
        <w:t xml:space="preserve"> prognozētais pieprasījums pēc pakalpojuma vai lietderīgās enerģijas (UC) (</w:t>
      </w:r>
      <w:proofErr w:type="spellStart"/>
      <w:r w:rsidR="00267EA5" w:rsidRPr="003D48F5">
        <w:rPr>
          <w:rFonts w:ascii="Times New Roman" w:eastAsiaTheme="minorHAnsi" w:hAnsi="Times New Roman"/>
          <w:sz w:val="28"/>
          <w:szCs w:val="28"/>
          <w:lang w:bidi="ar-SA"/>
        </w:rPr>
        <w:t>sk</w:t>
      </w:r>
      <w:proofErr w:type="spellEnd"/>
      <w:r w:rsidR="00A76AB9" w:rsidRPr="003D48F5">
        <w:rPr>
          <w:rFonts w:ascii="Times New Roman" w:eastAsiaTheme="minorHAnsi" w:hAnsi="Times New Roman"/>
          <w:sz w:val="28"/>
          <w:szCs w:val="28"/>
          <w:lang w:bidi="ar-SA"/>
        </w:rPr>
        <w:t>.</w:t>
      </w:r>
      <w:r w:rsidRPr="003D48F5">
        <w:rPr>
          <w:rFonts w:ascii="Times New Roman" w:eastAsiaTheme="minorHAnsi" w:hAnsi="Times New Roman"/>
          <w:sz w:val="28"/>
          <w:szCs w:val="28"/>
          <w:lang w:bidi="ar-SA"/>
        </w:rPr>
        <w:t xml:space="preserve"> </w:t>
      </w:r>
      <w:r w:rsidR="00FF7FCA" w:rsidRPr="003D48F5">
        <w:rPr>
          <w:rFonts w:ascii="Times New Roman" w:eastAsiaTheme="minorHAnsi" w:hAnsi="Times New Roman"/>
          <w:sz w:val="28"/>
          <w:szCs w:val="28"/>
          <w:lang w:bidi="ar-SA"/>
        </w:rPr>
        <w:t>1</w:t>
      </w:r>
      <w:r w:rsidRPr="003D48F5">
        <w:rPr>
          <w:rFonts w:ascii="Times New Roman" w:eastAsiaTheme="minorHAnsi" w:hAnsi="Times New Roman"/>
          <w:sz w:val="28"/>
          <w:szCs w:val="28"/>
          <w:lang w:bidi="ar-SA"/>
        </w:rPr>
        <w:t>. attēlu)</w:t>
      </w:r>
      <w:r w:rsidR="00267EA5" w:rsidRPr="003D48F5">
        <w:rPr>
          <w:rFonts w:ascii="Times New Roman" w:eastAsiaTheme="minorHAnsi" w:hAnsi="Times New Roman"/>
          <w:sz w:val="28"/>
          <w:szCs w:val="28"/>
          <w:lang w:bidi="ar-SA"/>
        </w:rPr>
        <w:t xml:space="preserve"> modelī tiek nodrošināts </w:t>
      </w:r>
      <w:r w:rsidR="00455F60" w:rsidRPr="003D48F5">
        <w:rPr>
          <w:rFonts w:ascii="Times New Roman" w:eastAsiaTheme="minorHAnsi" w:hAnsi="Times New Roman"/>
          <w:sz w:val="28"/>
          <w:szCs w:val="28"/>
          <w:lang w:bidi="ar-SA"/>
        </w:rPr>
        <w:t xml:space="preserve">ar </w:t>
      </w:r>
      <w:r w:rsidR="00267EA5" w:rsidRPr="003D48F5">
        <w:rPr>
          <w:rFonts w:ascii="Times New Roman" w:eastAsiaTheme="minorHAnsi" w:hAnsi="Times New Roman"/>
          <w:sz w:val="28"/>
          <w:szCs w:val="28"/>
          <w:lang w:bidi="ar-SA"/>
        </w:rPr>
        <w:t>attiecīg</w:t>
      </w:r>
      <w:r w:rsidR="00455F60" w:rsidRPr="003D48F5">
        <w:rPr>
          <w:rFonts w:ascii="Times New Roman" w:eastAsiaTheme="minorHAnsi" w:hAnsi="Times New Roman"/>
          <w:sz w:val="28"/>
          <w:szCs w:val="28"/>
          <w:lang w:bidi="ar-SA"/>
        </w:rPr>
        <w:t>ā</w:t>
      </w:r>
      <w:r w:rsidR="00267EA5" w:rsidRPr="003D48F5">
        <w:rPr>
          <w:rFonts w:ascii="Times New Roman" w:eastAsiaTheme="minorHAnsi" w:hAnsi="Times New Roman"/>
          <w:sz w:val="28"/>
          <w:szCs w:val="28"/>
          <w:lang w:bidi="ar-SA"/>
        </w:rPr>
        <w:t xml:space="preserve"> </w:t>
      </w:r>
      <w:proofErr w:type="spellStart"/>
      <w:r w:rsidR="00267EA5" w:rsidRPr="003D48F5">
        <w:rPr>
          <w:rFonts w:ascii="Times New Roman" w:eastAsiaTheme="minorHAnsi" w:hAnsi="Times New Roman"/>
          <w:sz w:val="28"/>
          <w:szCs w:val="28"/>
          <w:lang w:bidi="ar-SA"/>
        </w:rPr>
        <w:t>apakšsektora</w:t>
      </w:r>
      <w:proofErr w:type="spellEnd"/>
      <w:r w:rsidR="00267EA5" w:rsidRPr="003D48F5">
        <w:rPr>
          <w:rFonts w:ascii="Times New Roman" w:eastAsiaTheme="minorHAnsi" w:hAnsi="Times New Roman"/>
          <w:sz w:val="28"/>
          <w:szCs w:val="28"/>
          <w:lang w:bidi="ar-SA"/>
        </w:rPr>
        <w:t xml:space="preserve"> tehnoloģijām (</w:t>
      </w:r>
      <w:proofErr w:type="spellStart"/>
      <w:r w:rsidR="00267EA5" w:rsidRPr="003D48F5">
        <w:rPr>
          <w:rFonts w:ascii="Times New Roman" w:eastAsiaTheme="minorHAnsi" w:hAnsi="Times New Roman"/>
          <w:sz w:val="28"/>
          <w:szCs w:val="28"/>
          <w:lang w:bidi="ar-SA"/>
        </w:rPr>
        <w:t>Tehn</w:t>
      </w:r>
      <w:proofErr w:type="spellEnd"/>
      <w:r w:rsidR="00267EA5" w:rsidRPr="003D48F5">
        <w:rPr>
          <w:rFonts w:ascii="Times New Roman" w:eastAsiaTheme="minorHAnsi" w:hAnsi="Times New Roman"/>
          <w:sz w:val="28"/>
          <w:szCs w:val="28"/>
          <w:lang w:bidi="ar-SA"/>
        </w:rPr>
        <w:t xml:space="preserve">), izmantojot </w:t>
      </w:r>
      <w:r w:rsidR="00455F60" w:rsidRPr="003D48F5">
        <w:rPr>
          <w:rFonts w:ascii="Times New Roman" w:eastAsiaTheme="minorHAnsi" w:hAnsi="Times New Roman"/>
          <w:sz w:val="28"/>
          <w:szCs w:val="28"/>
          <w:lang w:bidi="ar-SA"/>
        </w:rPr>
        <w:t xml:space="preserve">kādu </w:t>
      </w:r>
      <w:r w:rsidR="00267EA5" w:rsidRPr="003D48F5">
        <w:rPr>
          <w:rFonts w:ascii="Times New Roman" w:eastAsiaTheme="minorHAnsi" w:hAnsi="Times New Roman"/>
          <w:sz w:val="28"/>
          <w:szCs w:val="28"/>
          <w:lang w:bidi="ar-SA"/>
        </w:rPr>
        <w:t xml:space="preserve">enerģijas resursu, </w:t>
      </w:r>
      <w:proofErr w:type="spellStart"/>
      <w:r w:rsidR="00267EA5" w:rsidRPr="003D48F5">
        <w:rPr>
          <w:rFonts w:ascii="Times New Roman" w:eastAsiaTheme="minorHAnsi" w:hAnsi="Times New Roman"/>
          <w:sz w:val="28"/>
          <w:szCs w:val="28"/>
          <w:lang w:bidi="ar-SA"/>
        </w:rPr>
        <w:t>t.i</w:t>
      </w:r>
      <w:proofErr w:type="spellEnd"/>
      <w:r w:rsidR="00267EA5" w:rsidRPr="003D48F5">
        <w:rPr>
          <w:rFonts w:ascii="Times New Roman" w:eastAsiaTheme="minorHAnsi" w:hAnsi="Times New Roman"/>
          <w:sz w:val="28"/>
          <w:szCs w:val="28"/>
          <w:lang w:bidi="ar-SA"/>
        </w:rPr>
        <w:t>., enerģijas gala patēriņš (FEC), kura patērēto daudzumu raksturo iekārtas raksturojoši parametri – pārveides koeficients (</w:t>
      </w:r>
      <w:r w:rsidR="00267EA5" w:rsidRPr="003D48F5">
        <w:rPr>
          <w:rFonts w:ascii="Times New Roman" w:eastAsiaTheme="minorHAnsi" w:hAnsi="Times New Roman"/>
          <w:sz w:val="28"/>
          <w:szCs w:val="28"/>
          <w:lang w:bidi="ar-SA"/>
        </w:rPr>
        <w:sym w:font="Symbol" w:char="F068"/>
      </w:r>
      <w:r w:rsidR="00267EA5" w:rsidRPr="003D48F5">
        <w:rPr>
          <w:rFonts w:ascii="Times New Roman" w:eastAsiaTheme="minorHAnsi" w:hAnsi="Times New Roman"/>
          <w:sz w:val="28"/>
          <w:szCs w:val="28"/>
          <w:lang w:bidi="ar-SA"/>
        </w:rPr>
        <w:t xml:space="preserve">), piemēram, katla lietderības koeficients. </w:t>
      </w:r>
      <w:proofErr w:type="spellStart"/>
      <w:r w:rsidR="00267EA5" w:rsidRPr="003D48F5">
        <w:rPr>
          <w:rFonts w:ascii="Times New Roman" w:eastAsiaTheme="minorHAnsi" w:hAnsi="Times New Roman"/>
          <w:sz w:val="28"/>
          <w:szCs w:val="28"/>
          <w:lang w:bidi="ar-SA"/>
        </w:rPr>
        <w:t>Apakš</w:t>
      </w:r>
      <w:r w:rsidR="00E029AE" w:rsidRPr="003D48F5">
        <w:rPr>
          <w:rFonts w:ascii="Times New Roman" w:eastAsiaTheme="minorHAnsi" w:hAnsi="Times New Roman"/>
          <w:sz w:val="28"/>
          <w:szCs w:val="28"/>
          <w:lang w:bidi="ar-SA"/>
        </w:rPr>
        <w:t>s</w:t>
      </w:r>
      <w:r w:rsidR="00267EA5" w:rsidRPr="003D48F5">
        <w:rPr>
          <w:rFonts w:ascii="Times New Roman" w:eastAsiaTheme="minorHAnsi" w:hAnsi="Times New Roman"/>
          <w:sz w:val="28"/>
          <w:szCs w:val="28"/>
          <w:lang w:bidi="ar-SA"/>
        </w:rPr>
        <w:t>ektora</w:t>
      </w:r>
      <w:proofErr w:type="spellEnd"/>
      <w:r w:rsidR="00267EA5" w:rsidRPr="003D48F5">
        <w:rPr>
          <w:rFonts w:ascii="Times New Roman" w:eastAsiaTheme="minorHAnsi" w:hAnsi="Times New Roman"/>
          <w:sz w:val="28"/>
          <w:szCs w:val="28"/>
          <w:lang w:bidi="ar-SA"/>
        </w:rPr>
        <w:t xml:space="preserve"> kopējo lietderīgās enerģijas pieprasījumu iegūst</w:t>
      </w:r>
      <w:r w:rsidR="00960CB5">
        <w:rPr>
          <w:rFonts w:ascii="Times New Roman" w:eastAsiaTheme="minorHAnsi" w:hAnsi="Times New Roman"/>
          <w:sz w:val="28"/>
          <w:szCs w:val="28"/>
          <w:lang w:bidi="ar-SA"/>
        </w:rPr>
        <w:t>,</w:t>
      </w:r>
      <w:r w:rsidR="00267EA5" w:rsidRPr="003D48F5">
        <w:rPr>
          <w:rFonts w:ascii="Times New Roman" w:eastAsiaTheme="minorHAnsi" w:hAnsi="Times New Roman"/>
          <w:sz w:val="28"/>
          <w:szCs w:val="28"/>
          <w:lang w:bidi="ar-SA"/>
        </w:rPr>
        <w:t xml:space="preserve"> summējot atsevišķu tehnoloģiju nodrošināto lietderīgo pieprasījumu - </w:t>
      </w:r>
      <w:proofErr w:type="spellStart"/>
      <w:r w:rsidR="00267EA5" w:rsidRPr="003D48F5">
        <w:rPr>
          <w:rFonts w:ascii="Times New Roman" w:eastAsiaTheme="minorHAnsi" w:hAnsi="Times New Roman"/>
          <w:sz w:val="28"/>
          <w:szCs w:val="28"/>
          <w:lang w:bidi="ar-SA"/>
        </w:rPr>
        <w:t>UC</w:t>
      </w:r>
      <w:r w:rsidR="00267EA5" w:rsidRPr="003D48F5">
        <w:rPr>
          <w:rFonts w:ascii="Times New Roman" w:eastAsiaTheme="minorHAnsi" w:hAnsi="Times New Roman"/>
          <w:sz w:val="28"/>
          <w:szCs w:val="28"/>
          <w:vertAlign w:val="subscript"/>
          <w:lang w:bidi="ar-SA"/>
        </w:rPr>
        <w:t>apakšsektors</w:t>
      </w:r>
      <w:proofErr w:type="spellEnd"/>
      <w:r w:rsidR="00267EA5" w:rsidRPr="003D48F5">
        <w:rPr>
          <w:rFonts w:ascii="Times New Roman" w:eastAsiaTheme="minorHAnsi" w:hAnsi="Times New Roman"/>
          <w:sz w:val="28"/>
          <w:szCs w:val="28"/>
          <w:lang w:bidi="ar-SA"/>
        </w:rPr>
        <w:t>=</w:t>
      </w:r>
      <w:r w:rsidR="00267EA5" w:rsidRPr="003D48F5">
        <w:rPr>
          <w:rFonts w:ascii="Times New Roman" w:eastAsiaTheme="minorHAnsi" w:hAnsi="Times New Roman"/>
          <w:sz w:val="28"/>
          <w:szCs w:val="28"/>
          <w:lang w:bidi="ar-SA"/>
        </w:rPr>
        <w:sym w:font="Symbol" w:char="00E5"/>
      </w:r>
      <w:proofErr w:type="spellStart"/>
      <w:r w:rsidR="00267EA5" w:rsidRPr="003D48F5">
        <w:rPr>
          <w:rFonts w:ascii="Times New Roman" w:eastAsiaTheme="minorHAnsi" w:hAnsi="Times New Roman"/>
          <w:sz w:val="28"/>
          <w:szCs w:val="28"/>
          <w:lang w:bidi="ar-SA"/>
        </w:rPr>
        <w:t>UC</w:t>
      </w:r>
      <w:r w:rsidR="00267EA5" w:rsidRPr="003D48F5">
        <w:rPr>
          <w:rFonts w:ascii="Times New Roman" w:eastAsiaTheme="minorHAnsi" w:hAnsi="Times New Roman"/>
          <w:sz w:val="28"/>
          <w:szCs w:val="28"/>
          <w:vertAlign w:val="subscript"/>
          <w:lang w:bidi="ar-SA"/>
        </w:rPr>
        <w:t>Tehn</w:t>
      </w:r>
      <w:proofErr w:type="spellEnd"/>
      <w:r w:rsidR="00267EA5" w:rsidRPr="003D48F5">
        <w:rPr>
          <w:rFonts w:ascii="Times New Roman" w:eastAsiaTheme="minorHAnsi" w:hAnsi="Times New Roman"/>
          <w:sz w:val="28"/>
          <w:szCs w:val="28"/>
          <w:lang w:bidi="ar-SA"/>
        </w:rPr>
        <w:t>. Tādējādi tehnoloģiju patērētie enerģijas resursi veido enerģijas gala patēriņu (FEC), kas ir modeļa rezultāts.</w:t>
      </w:r>
    </w:p>
    <w:p w:rsidR="00267EA5" w:rsidRPr="003D48F5" w:rsidRDefault="00791DBA" w:rsidP="00CF3302">
      <w:pPr>
        <w:pStyle w:val="BodyText"/>
        <w:spacing w:after="0" w:line="240" w:lineRule="auto"/>
        <w:jc w:val="both"/>
        <w:rPr>
          <w:rFonts w:ascii="Times New Roman" w:eastAsiaTheme="minorHAnsi" w:hAnsi="Times New Roman"/>
          <w:sz w:val="28"/>
          <w:szCs w:val="28"/>
          <w:lang w:bidi="ar-SA"/>
        </w:rPr>
      </w:pPr>
      <w:r w:rsidRPr="003D48F5">
        <w:rPr>
          <w:rFonts w:ascii="Times New Roman" w:eastAsiaTheme="minorHAnsi" w:hAnsi="Times New Roman"/>
          <w:sz w:val="28"/>
          <w:szCs w:val="28"/>
          <w:lang w:bidi="ar-SA"/>
        </w:rPr>
        <w:tab/>
      </w:r>
      <w:r w:rsidR="00267EA5" w:rsidRPr="003D48F5">
        <w:rPr>
          <w:rFonts w:ascii="Times New Roman" w:eastAsiaTheme="minorHAnsi" w:hAnsi="Times New Roman"/>
          <w:sz w:val="28"/>
          <w:szCs w:val="28"/>
          <w:lang w:bidi="ar-SA"/>
        </w:rPr>
        <w:t xml:space="preserve">Pieprasījums pēc enerģijas ir saistīts ar ekonomisko attīstību, respektīvi, lai prognozētu lietderīgās enerģijas patēriņu, </w:t>
      </w:r>
      <w:r w:rsidR="00455F60" w:rsidRPr="003D48F5">
        <w:rPr>
          <w:rFonts w:ascii="Times New Roman" w:eastAsiaTheme="minorHAnsi" w:hAnsi="Times New Roman"/>
          <w:sz w:val="28"/>
          <w:szCs w:val="28"/>
          <w:lang w:bidi="ar-SA"/>
        </w:rPr>
        <w:t xml:space="preserve">tiek </w:t>
      </w:r>
      <w:r w:rsidR="00267EA5" w:rsidRPr="003D48F5">
        <w:rPr>
          <w:rFonts w:ascii="Times New Roman" w:eastAsiaTheme="minorHAnsi" w:hAnsi="Times New Roman"/>
          <w:sz w:val="28"/>
          <w:szCs w:val="28"/>
          <w:lang w:bidi="ar-SA"/>
        </w:rPr>
        <w:t>ņem</w:t>
      </w:r>
      <w:r w:rsidR="00455F60" w:rsidRPr="003D48F5">
        <w:rPr>
          <w:rFonts w:ascii="Times New Roman" w:eastAsiaTheme="minorHAnsi" w:hAnsi="Times New Roman"/>
          <w:sz w:val="28"/>
          <w:szCs w:val="28"/>
          <w:lang w:bidi="ar-SA"/>
        </w:rPr>
        <w:t>ta</w:t>
      </w:r>
      <w:r w:rsidR="00267EA5" w:rsidRPr="003D48F5">
        <w:rPr>
          <w:rFonts w:ascii="Times New Roman" w:eastAsiaTheme="minorHAnsi" w:hAnsi="Times New Roman"/>
          <w:sz w:val="28"/>
          <w:szCs w:val="28"/>
          <w:lang w:bidi="ar-SA"/>
        </w:rPr>
        <w:t xml:space="preserve"> vērā ilgtermiņa makroekonomiskās attīstības prognoz</w:t>
      </w:r>
      <w:r w:rsidR="00455F60" w:rsidRPr="003D48F5">
        <w:rPr>
          <w:rFonts w:ascii="Times New Roman" w:eastAsiaTheme="minorHAnsi" w:hAnsi="Times New Roman"/>
          <w:sz w:val="28"/>
          <w:szCs w:val="28"/>
          <w:lang w:bidi="ar-SA"/>
        </w:rPr>
        <w:t>e</w:t>
      </w:r>
      <w:r w:rsidR="00267EA5" w:rsidRPr="003D48F5">
        <w:rPr>
          <w:rFonts w:ascii="Times New Roman" w:eastAsiaTheme="minorHAnsi" w:hAnsi="Times New Roman"/>
          <w:sz w:val="28"/>
          <w:szCs w:val="28"/>
          <w:lang w:bidi="ar-SA"/>
        </w:rPr>
        <w:t xml:space="preserve">, kā arī </w:t>
      </w:r>
      <w:r w:rsidR="00455F60" w:rsidRPr="003D48F5">
        <w:rPr>
          <w:rFonts w:ascii="Times New Roman" w:eastAsiaTheme="minorHAnsi" w:hAnsi="Times New Roman"/>
          <w:sz w:val="28"/>
          <w:szCs w:val="28"/>
          <w:lang w:bidi="ar-SA"/>
        </w:rPr>
        <w:t xml:space="preserve">tiek </w:t>
      </w:r>
      <w:r w:rsidR="00267EA5" w:rsidRPr="003D48F5">
        <w:rPr>
          <w:rFonts w:ascii="Times New Roman" w:eastAsiaTheme="minorHAnsi" w:hAnsi="Times New Roman"/>
          <w:sz w:val="28"/>
          <w:szCs w:val="28"/>
          <w:lang w:bidi="ar-SA"/>
        </w:rPr>
        <w:t>identificē</w:t>
      </w:r>
      <w:r w:rsidR="00455F60" w:rsidRPr="003D48F5">
        <w:rPr>
          <w:rFonts w:ascii="Times New Roman" w:eastAsiaTheme="minorHAnsi" w:hAnsi="Times New Roman"/>
          <w:sz w:val="28"/>
          <w:szCs w:val="28"/>
          <w:lang w:bidi="ar-SA"/>
        </w:rPr>
        <w:t>ta</w:t>
      </w:r>
      <w:r w:rsidR="00267EA5" w:rsidRPr="003D48F5">
        <w:rPr>
          <w:rFonts w:ascii="Times New Roman" w:eastAsiaTheme="minorHAnsi" w:hAnsi="Times New Roman"/>
          <w:sz w:val="28"/>
          <w:szCs w:val="28"/>
          <w:lang w:bidi="ar-SA"/>
        </w:rPr>
        <w:t xml:space="preserve"> ekonomisko, tehnisko un sociālo faktoru kop</w:t>
      </w:r>
      <w:r w:rsidR="00455F60" w:rsidRPr="003D48F5">
        <w:rPr>
          <w:rFonts w:ascii="Times New Roman" w:eastAsiaTheme="minorHAnsi" w:hAnsi="Times New Roman"/>
          <w:sz w:val="28"/>
          <w:szCs w:val="28"/>
          <w:lang w:bidi="ar-SA"/>
        </w:rPr>
        <w:t>a</w:t>
      </w:r>
      <w:r w:rsidR="00267EA5" w:rsidRPr="003D48F5">
        <w:rPr>
          <w:rFonts w:ascii="Times New Roman" w:eastAsiaTheme="minorHAnsi" w:hAnsi="Times New Roman"/>
          <w:sz w:val="28"/>
          <w:szCs w:val="28"/>
          <w:lang w:bidi="ar-SA"/>
        </w:rPr>
        <w:t>, kas ietekmē katra enerģijas pakalpojuma vai lietderīgās enerģijas veida pieprasījumu:</w:t>
      </w:r>
      <w:r w:rsidR="00455F60" w:rsidRPr="003D48F5">
        <w:rPr>
          <w:rFonts w:ascii="Times New Roman" w:eastAsiaTheme="minorHAnsi" w:hAnsi="Times New Roman"/>
          <w:sz w:val="28"/>
          <w:szCs w:val="28"/>
          <w:lang w:bidi="ar-SA"/>
        </w:rPr>
        <w:t xml:space="preserve"> i</w:t>
      </w:r>
      <w:r w:rsidR="00267EA5" w:rsidRPr="003D48F5">
        <w:rPr>
          <w:rFonts w:ascii="Times New Roman" w:eastAsiaTheme="minorHAnsi" w:hAnsi="Times New Roman"/>
          <w:sz w:val="28"/>
          <w:szCs w:val="28"/>
          <w:lang w:bidi="ar-SA"/>
        </w:rPr>
        <w:t>edzīvotāju skaits;</w:t>
      </w:r>
      <w:r w:rsidR="00455F60" w:rsidRPr="003D48F5">
        <w:rPr>
          <w:rFonts w:ascii="Times New Roman" w:eastAsiaTheme="minorHAnsi" w:hAnsi="Times New Roman"/>
          <w:sz w:val="28"/>
          <w:szCs w:val="28"/>
          <w:lang w:bidi="ar-SA"/>
        </w:rPr>
        <w:t xml:space="preserve"> s</w:t>
      </w:r>
      <w:r w:rsidR="00267EA5" w:rsidRPr="003D48F5">
        <w:rPr>
          <w:rFonts w:ascii="Times New Roman" w:eastAsiaTheme="minorHAnsi" w:hAnsi="Times New Roman"/>
          <w:sz w:val="28"/>
          <w:szCs w:val="28"/>
          <w:lang w:bidi="ar-SA"/>
        </w:rPr>
        <w:t>ektoru pievienotā vērtība (PV);</w:t>
      </w:r>
      <w:r w:rsidR="00455F60" w:rsidRPr="003D48F5">
        <w:rPr>
          <w:rFonts w:ascii="Times New Roman" w:eastAsiaTheme="minorHAnsi" w:hAnsi="Times New Roman"/>
          <w:sz w:val="28"/>
          <w:szCs w:val="28"/>
          <w:lang w:bidi="ar-SA"/>
        </w:rPr>
        <w:t xml:space="preserve"> i</w:t>
      </w:r>
      <w:r w:rsidR="00267EA5" w:rsidRPr="003D48F5">
        <w:rPr>
          <w:rFonts w:ascii="Times New Roman" w:eastAsiaTheme="minorHAnsi" w:hAnsi="Times New Roman"/>
          <w:sz w:val="28"/>
          <w:szCs w:val="28"/>
          <w:lang w:bidi="ar-SA"/>
        </w:rPr>
        <w:t>edzīvotāju privātais patēriņš;</w:t>
      </w:r>
      <w:r w:rsidR="00455F60" w:rsidRPr="003D48F5">
        <w:rPr>
          <w:rFonts w:ascii="Times New Roman" w:eastAsiaTheme="minorHAnsi" w:hAnsi="Times New Roman"/>
          <w:sz w:val="28"/>
          <w:szCs w:val="28"/>
          <w:lang w:bidi="ar-SA"/>
        </w:rPr>
        <w:t xml:space="preserve"> </w:t>
      </w:r>
      <w:proofErr w:type="spellStart"/>
      <w:r w:rsidR="00455F60" w:rsidRPr="003D48F5">
        <w:rPr>
          <w:rFonts w:ascii="Times New Roman" w:eastAsiaTheme="minorHAnsi" w:hAnsi="Times New Roman"/>
          <w:sz w:val="28"/>
          <w:szCs w:val="28"/>
          <w:lang w:bidi="ar-SA"/>
        </w:rPr>
        <w:t>t</w:t>
      </w:r>
      <w:r w:rsidR="00267EA5" w:rsidRPr="003D48F5">
        <w:rPr>
          <w:rFonts w:ascii="Times New Roman" w:eastAsiaTheme="minorHAnsi" w:hAnsi="Times New Roman"/>
          <w:sz w:val="28"/>
          <w:szCs w:val="28"/>
          <w:lang w:bidi="ar-SA"/>
        </w:rPr>
        <w:t>on</w:t>
      </w:r>
      <w:smartTag w:uri="schemas-tilde-lv/tildestengine" w:element="metric">
        <w:smartTagPr>
          <w:attr w:name="metric_text" w:val="kilometri"/>
          <w:attr w:name="metric_value" w:val="-"/>
        </w:smartTagPr>
        <w:r w:rsidR="00267EA5" w:rsidRPr="003D48F5">
          <w:rPr>
            <w:rFonts w:ascii="Times New Roman" w:eastAsiaTheme="minorHAnsi" w:hAnsi="Times New Roman"/>
            <w:sz w:val="28"/>
            <w:szCs w:val="28"/>
            <w:lang w:bidi="ar-SA"/>
          </w:rPr>
          <w:t>-kilometri</w:t>
        </w:r>
      </w:smartTag>
      <w:proofErr w:type="spellEnd"/>
      <w:r w:rsidR="00267EA5" w:rsidRPr="003D48F5">
        <w:rPr>
          <w:rFonts w:ascii="Times New Roman" w:eastAsiaTheme="minorHAnsi" w:hAnsi="Times New Roman"/>
          <w:sz w:val="28"/>
          <w:szCs w:val="28"/>
          <w:lang w:bidi="ar-SA"/>
        </w:rPr>
        <w:t xml:space="preserve"> (</w:t>
      </w:r>
      <w:r w:rsidR="00455F60" w:rsidRPr="003D48F5">
        <w:rPr>
          <w:rFonts w:ascii="Times New Roman" w:eastAsiaTheme="minorHAnsi" w:hAnsi="Times New Roman"/>
          <w:sz w:val="28"/>
          <w:szCs w:val="28"/>
          <w:lang w:bidi="ar-SA"/>
        </w:rPr>
        <w:t>t</w:t>
      </w:r>
      <w:r w:rsidR="00267EA5" w:rsidRPr="003D48F5">
        <w:rPr>
          <w:rFonts w:ascii="Times New Roman" w:eastAsiaTheme="minorHAnsi" w:hAnsi="Times New Roman"/>
          <w:sz w:val="28"/>
          <w:szCs w:val="28"/>
          <w:lang w:bidi="ar-SA"/>
        </w:rPr>
        <w:t>-km) kravu transportēšanā;</w:t>
      </w:r>
      <w:r w:rsidR="00455F60" w:rsidRPr="003D48F5">
        <w:rPr>
          <w:rFonts w:ascii="Times New Roman" w:eastAsiaTheme="minorHAnsi" w:hAnsi="Times New Roman"/>
          <w:sz w:val="28"/>
          <w:szCs w:val="28"/>
          <w:lang w:bidi="ar-SA"/>
        </w:rPr>
        <w:t xml:space="preserve"> p</w:t>
      </w:r>
      <w:r w:rsidR="00267EA5" w:rsidRPr="003D48F5">
        <w:rPr>
          <w:rFonts w:ascii="Times New Roman" w:eastAsiaTheme="minorHAnsi" w:hAnsi="Times New Roman"/>
          <w:sz w:val="28"/>
          <w:szCs w:val="28"/>
          <w:lang w:bidi="ar-SA"/>
        </w:rPr>
        <w:t>asažieru kilometri (P-km) pasažieru transportēšanā;</w:t>
      </w:r>
      <w:r w:rsidR="00455F60" w:rsidRPr="003D48F5">
        <w:rPr>
          <w:rFonts w:ascii="Times New Roman" w:eastAsiaTheme="minorHAnsi" w:hAnsi="Times New Roman"/>
          <w:sz w:val="28"/>
          <w:szCs w:val="28"/>
          <w:lang w:bidi="ar-SA"/>
        </w:rPr>
        <w:t xml:space="preserve"> p</w:t>
      </w:r>
      <w:r w:rsidR="00267EA5" w:rsidRPr="003D48F5">
        <w:rPr>
          <w:rFonts w:ascii="Times New Roman" w:eastAsiaTheme="minorHAnsi" w:hAnsi="Times New Roman"/>
          <w:sz w:val="28"/>
          <w:szCs w:val="28"/>
          <w:lang w:bidi="ar-SA"/>
        </w:rPr>
        <w:t>akalpojuma sektora apkurināmā kopējā platība;</w:t>
      </w:r>
      <w:r w:rsidR="00455F60" w:rsidRPr="003D48F5">
        <w:rPr>
          <w:rFonts w:ascii="Times New Roman" w:eastAsiaTheme="minorHAnsi" w:hAnsi="Times New Roman"/>
          <w:sz w:val="28"/>
          <w:szCs w:val="28"/>
          <w:lang w:bidi="ar-SA"/>
        </w:rPr>
        <w:t xml:space="preserve"> m</w:t>
      </w:r>
      <w:r w:rsidR="00267EA5" w:rsidRPr="003D48F5">
        <w:rPr>
          <w:rFonts w:ascii="Times New Roman" w:eastAsiaTheme="minorHAnsi" w:hAnsi="Times New Roman"/>
          <w:sz w:val="28"/>
          <w:szCs w:val="28"/>
          <w:lang w:bidi="ar-SA"/>
        </w:rPr>
        <w:t>ājsaimniecību skaits;</w:t>
      </w:r>
      <w:r w:rsidR="00455F60" w:rsidRPr="003D48F5">
        <w:rPr>
          <w:rFonts w:ascii="Times New Roman" w:eastAsiaTheme="minorHAnsi" w:hAnsi="Times New Roman"/>
          <w:sz w:val="28"/>
          <w:szCs w:val="28"/>
          <w:lang w:bidi="ar-SA"/>
        </w:rPr>
        <w:t xml:space="preserve"> m</w:t>
      </w:r>
      <w:r w:rsidR="00267EA5" w:rsidRPr="003D48F5">
        <w:rPr>
          <w:rFonts w:ascii="Times New Roman" w:eastAsiaTheme="minorHAnsi" w:hAnsi="Times New Roman"/>
          <w:sz w:val="28"/>
          <w:szCs w:val="28"/>
          <w:lang w:bidi="ar-SA"/>
        </w:rPr>
        <w:t>ājokļu kopējā dzīvojamā platība</w:t>
      </w:r>
      <w:r w:rsidR="00A00AA4" w:rsidRPr="003D48F5">
        <w:rPr>
          <w:rFonts w:ascii="Times New Roman" w:eastAsiaTheme="minorHAnsi" w:hAnsi="Times New Roman"/>
          <w:sz w:val="28"/>
          <w:szCs w:val="28"/>
          <w:lang w:bidi="ar-SA"/>
        </w:rPr>
        <w:t>.</w:t>
      </w:r>
    </w:p>
    <w:p w:rsidR="00267EA5" w:rsidRDefault="00791DBA" w:rsidP="00CF3302">
      <w:pPr>
        <w:pStyle w:val="BodyText"/>
        <w:spacing w:after="0" w:line="240" w:lineRule="auto"/>
        <w:jc w:val="both"/>
        <w:rPr>
          <w:rFonts w:ascii="Times New Roman" w:eastAsiaTheme="minorHAnsi" w:hAnsi="Times New Roman"/>
          <w:sz w:val="28"/>
          <w:szCs w:val="28"/>
          <w:lang w:bidi="ar-SA"/>
        </w:rPr>
      </w:pPr>
      <w:r w:rsidRPr="003D48F5">
        <w:rPr>
          <w:rFonts w:ascii="Times New Roman" w:eastAsiaTheme="minorHAnsi" w:hAnsi="Times New Roman"/>
          <w:sz w:val="28"/>
          <w:szCs w:val="28"/>
          <w:lang w:bidi="ar-SA"/>
        </w:rPr>
        <w:lastRenderedPageBreak/>
        <w:tab/>
      </w:r>
      <w:r w:rsidR="00267EA5" w:rsidRPr="003D48F5">
        <w:rPr>
          <w:rFonts w:ascii="Times New Roman" w:eastAsiaTheme="minorHAnsi" w:hAnsi="Times New Roman"/>
          <w:sz w:val="28"/>
          <w:szCs w:val="28"/>
          <w:lang w:bidi="ar-SA"/>
        </w:rPr>
        <w:t>Pamatojoties uz vēsturiskām kopsakarībām starp minēto parametru un enerģijas patēriņa izmaiņām, izmantojot IKP prognozi pa nozarēm un definējot ekonomisko, tehnisko un sociālo faktoru vērtību attīstības scenārijus</w:t>
      </w:r>
      <w:r w:rsidR="005C43B9" w:rsidRPr="003D48F5">
        <w:rPr>
          <w:rFonts w:ascii="Times New Roman" w:eastAsiaTheme="minorHAnsi" w:hAnsi="Times New Roman"/>
          <w:sz w:val="28"/>
          <w:szCs w:val="28"/>
          <w:lang w:bidi="ar-SA"/>
        </w:rPr>
        <w:t>,</w:t>
      </w:r>
      <w:r w:rsidR="00267EA5" w:rsidRPr="003D48F5">
        <w:rPr>
          <w:rFonts w:ascii="Times New Roman" w:eastAsiaTheme="minorHAnsi" w:hAnsi="Times New Roman"/>
          <w:sz w:val="28"/>
          <w:szCs w:val="28"/>
          <w:lang w:bidi="ar-SA"/>
        </w:rPr>
        <w:t xml:space="preserve"> nosaka lietderīgās enerģijas patēriņa attīstības tendences </w:t>
      </w:r>
      <w:proofErr w:type="spellStart"/>
      <w:r w:rsidR="00267EA5" w:rsidRPr="003D48F5">
        <w:rPr>
          <w:rFonts w:ascii="Times New Roman" w:eastAsiaTheme="minorHAnsi" w:hAnsi="Times New Roman"/>
          <w:sz w:val="28"/>
          <w:szCs w:val="28"/>
          <w:lang w:bidi="ar-SA"/>
        </w:rPr>
        <w:t>apakšsektoriem</w:t>
      </w:r>
      <w:proofErr w:type="spellEnd"/>
      <w:r w:rsidR="00267EA5" w:rsidRPr="003D48F5">
        <w:rPr>
          <w:rFonts w:ascii="Times New Roman" w:eastAsiaTheme="minorHAnsi" w:hAnsi="Times New Roman"/>
          <w:sz w:val="28"/>
          <w:szCs w:val="28"/>
          <w:lang w:bidi="ar-SA"/>
        </w:rPr>
        <w:t>.</w:t>
      </w:r>
      <w:r w:rsidR="00B626C9" w:rsidRPr="003D48F5">
        <w:rPr>
          <w:rFonts w:ascii="Times New Roman" w:eastAsiaTheme="minorHAnsi" w:hAnsi="Times New Roman"/>
          <w:sz w:val="28"/>
          <w:szCs w:val="28"/>
          <w:lang w:bidi="ar-SA"/>
        </w:rPr>
        <w:t xml:space="preserve"> </w:t>
      </w:r>
      <w:r w:rsidR="0073473B" w:rsidRPr="003D48F5">
        <w:rPr>
          <w:rFonts w:ascii="Times New Roman" w:eastAsiaTheme="minorHAnsi" w:hAnsi="Times New Roman"/>
          <w:sz w:val="28"/>
          <w:szCs w:val="28"/>
          <w:lang w:bidi="ar-SA"/>
        </w:rPr>
        <w:t>V</w:t>
      </w:r>
      <w:r w:rsidR="00267EA5" w:rsidRPr="003D48F5">
        <w:rPr>
          <w:rFonts w:ascii="Times New Roman" w:eastAsiaTheme="minorHAnsi" w:hAnsi="Times New Roman"/>
          <w:sz w:val="28"/>
          <w:szCs w:val="28"/>
          <w:lang w:bidi="ar-SA"/>
        </w:rPr>
        <w:t xml:space="preserve">ispārējā gadījumā attiecīgā sektora lietderīgo enerģijas patēriņu ar pievienoto vērtību saista elastības parametrs, </w:t>
      </w:r>
      <w:proofErr w:type="spellStart"/>
      <w:r w:rsidR="00267EA5" w:rsidRPr="003D48F5">
        <w:rPr>
          <w:rFonts w:ascii="Times New Roman" w:eastAsiaTheme="minorHAnsi" w:hAnsi="Times New Roman"/>
          <w:sz w:val="28"/>
          <w:szCs w:val="28"/>
          <w:lang w:bidi="ar-SA"/>
        </w:rPr>
        <w:t>t.i</w:t>
      </w:r>
      <w:proofErr w:type="spellEnd"/>
      <w:r w:rsidR="00267EA5" w:rsidRPr="003D48F5">
        <w:rPr>
          <w:rFonts w:ascii="Times New Roman" w:eastAsiaTheme="minorHAnsi" w:hAnsi="Times New Roman"/>
          <w:sz w:val="28"/>
          <w:szCs w:val="28"/>
          <w:lang w:bidi="ar-SA"/>
        </w:rPr>
        <w:t>., par cik procentiem izmainīsies lietderīgais enerģijas patēriņš uz viena procenta pievienotās vērtības izmaiņām. Aprēķinot elastību vēsturiskās vērtības un izdarot pieņēmumus par nākotnes vērtībām, var prognozēt lietderīgās enerģijas patēriņa izmaiņas nākotnē.</w:t>
      </w:r>
    </w:p>
    <w:p w:rsidR="002101E6" w:rsidRDefault="002101E6" w:rsidP="002101E6">
      <w:pPr>
        <w:spacing w:after="0" w:line="240" w:lineRule="auto"/>
        <w:ind w:firstLine="720"/>
        <w:jc w:val="both"/>
        <w:rPr>
          <w:bCs/>
          <w:szCs w:val="28"/>
        </w:rPr>
      </w:pPr>
      <w:r w:rsidRPr="002101E6">
        <w:rPr>
          <w:bCs/>
          <w:szCs w:val="28"/>
        </w:rPr>
        <w:t>Lietderīgās enerģijas patēriņa prognozēšanā netika</w:t>
      </w:r>
      <w:r w:rsidR="00AE48AD">
        <w:rPr>
          <w:bCs/>
          <w:szCs w:val="28"/>
        </w:rPr>
        <w:t xml:space="preserve"> </w:t>
      </w:r>
      <w:r w:rsidRPr="002101E6">
        <w:rPr>
          <w:bCs/>
          <w:szCs w:val="28"/>
        </w:rPr>
        <w:t>izdarīti atsevišķi makroekonomiskie pieņēmumi par cenu pieauguma ietekmi uz patēriņa maksimālā sliekšņa sasniegšanu.</w:t>
      </w:r>
      <w:r w:rsidRPr="002101E6">
        <w:rPr>
          <w:szCs w:val="28"/>
        </w:rPr>
        <w:t xml:space="preserve"> </w:t>
      </w:r>
      <w:r w:rsidRPr="002101E6">
        <w:rPr>
          <w:bCs/>
          <w:szCs w:val="28"/>
        </w:rPr>
        <w:t>Ilgtermiņa makroekonomiskās prognozēs, nosakot to elementu (privātā patēriņa, valsts patēriņa, investīciju un neto eksporta) apjomus, pamatā balstās uz piedāvājuma puses faktoru ietekmi (tehnoloģiju progresu un atbilstošo produktivitātes kāpumu kā galveno kopīgā ienākuma (IKP) pieauguma faktoru) un netiek saistīts ar cenu izmaiņām. Cenu izmaiņas ilgtermiņa prognozēs ir neitrāls faktors, jo ilgtermiņā relatīvo cenu izmaiņas līdzsvarojas.</w:t>
      </w:r>
    </w:p>
    <w:p w:rsidR="00267EA5" w:rsidRPr="002101E6" w:rsidRDefault="00267EA5" w:rsidP="002101E6">
      <w:pPr>
        <w:spacing w:after="0" w:line="240" w:lineRule="auto"/>
        <w:ind w:firstLine="720"/>
        <w:jc w:val="both"/>
        <w:rPr>
          <w:bCs/>
          <w:szCs w:val="28"/>
        </w:rPr>
      </w:pPr>
      <w:r w:rsidRPr="002101E6">
        <w:rPr>
          <w:szCs w:val="28"/>
        </w:rPr>
        <w:t>Pieprasījums pēc enerģijas ir tieši saistīts ar ekonomisko attīstību, tāpēc enerģijas pakalpojumu (lietderīgās enerģijas) nākotnes pieprasījums ir</w:t>
      </w:r>
      <w:r w:rsidRPr="003D48F5">
        <w:rPr>
          <w:szCs w:val="28"/>
        </w:rPr>
        <w:t xml:space="preserve"> aprēķināts</w:t>
      </w:r>
      <w:r w:rsidR="00960CB5">
        <w:rPr>
          <w:szCs w:val="28"/>
        </w:rPr>
        <w:t>,</w:t>
      </w:r>
      <w:r w:rsidRPr="003D48F5">
        <w:rPr>
          <w:szCs w:val="28"/>
        </w:rPr>
        <w:t xml:space="preserve"> par izejas parametriem izmantojot prognozētos makroekonomikas attīstību raksturojošos parametrus</w:t>
      </w:r>
      <w:r w:rsidR="00235802" w:rsidRPr="003D48F5">
        <w:rPr>
          <w:szCs w:val="28"/>
        </w:rPr>
        <w:t xml:space="preserve"> </w:t>
      </w:r>
      <w:r w:rsidRPr="003D48F5">
        <w:rPr>
          <w:szCs w:val="28"/>
        </w:rPr>
        <w:t>– iedzīvotāju skaita, IKP, pievienotās vērtības pa tautsaimniecības nozarēm un rūpniecības apakšnozarēm, privātā patēriņa izmaiņu dinamikas (</w:t>
      </w:r>
      <w:proofErr w:type="spellStart"/>
      <w:r w:rsidRPr="003D48F5">
        <w:rPr>
          <w:szCs w:val="28"/>
        </w:rPr>
        <w:t>sk</w:t>
      </w:r>
      <w:proofErr w:type="spellEnd"/>
      <w:r w:rsidRPr="003D48F5">
        <w:rPr>
          <w:szCs w:val="28"/>
        </w:rPr>
        <w:t xml:space="preserve">. </w:t>
      </w:r>
      <w:r w:rsidR="00FF7FCA" w:rsidRPr="003D48F5">
        <w:rPr>
          <w:szCs w:val="28"/>
        </w:rPr>
        <w:t>1</w:t>
      </w:r>
      <w:r w:rsidR="00791DBA" w:rsidRPr="003D48F5">
        <w:rPr>
          <w:szCs w:val="28"/>
        </w:rPr>
        <w:t>.</w:t>
      </w:r>
      <w:r w:rsidR="00CF55BC">
        <w:rPr>
          <w:szCs w:val="28"/>
        </w:rPr>
        <w:t> </w:t>
      </w:r>
      <w:r w:rsidRPr="003D48F5">
        <w:rPr>
          <w:szCs w:val="28"/>
        </w:rPr>
        <w:t>tabulu).</w:t>
      </w:r>
    </w:p>
    <w:p w:rsidR="00791DBA" w:rsidRPr="0099397F" w:rsidRDefault="00FF7FCA" w:rsidP="00CE55AA">
      <w:pPr>
        <w:pStyle w:val="Caption"/>
        <w:spacing w:after="0" w:line="240" w:lineRule="auto"/>
        <w:jc w:val="right"/>
        <w:rPr>
          <w:rFonts w:ascii="Times New Roman" w:eastAsiaTheme="minorHAnsi" w:hAnsi="Times New Roman"/>
          <w:b/>
          <w:caps w:val="0"/>
          <w:spacing w:val="0"/>
          <w:sz w:val="22"/>
          <w:szCs w:val="28"/>
          <w:lang w:val="lv-LV" w:bidi="ar-SA"/>
        </w:rPr>
      </w:pPr>
      <w:r w:rsidRPr="0099397F">
        <w:rPr>
          <w:rFonts w:ascii="Times New Roman" w:eastAsiaTheme="minorHAnsi" w:hAnsi="Times New Roman"/>
          <w:b/>
          <w:caps w:val="0"/>
          <w:spacing w:val="0"/>
          <w:sz w:val="22"/>
          <w:szCs w:val="28"/>
          <w:lang w:val="lv-LV" w:bidi="ar-SA"/>
        </w:rPr>
        <w:t>1</w:t>
      </w:r>
      <w:r w:rsidR="00791DBA" w:rsidRPr="0099397F">
        <w:rPr>
          <w:rFonts w:ascii="Times New Roman" w:eastAsiaTheme="minorHAnsi" w:hAnsi="Times New Roman"/>
          <w:b/>
          <w:caps w:val="0"/>
          <w:spacing w:val="0"/>
          <w:sz w:val="22"/>
          <w:szCs w:val="28"/>
          <w:lang w:val="lv-LV" w:bidi="ar-SA"/>
        </w:rPr>
        <w:t>. tabula</w:t>
      </w:r>
    </w:p>
    <w:p w:rsidR="00267EA5" w:rsidRDefault="00267EA5" w:rsidP="0099397F">
      <w:pPr>
        <w:pStyle w:val="Caption"/>
        <w:spacing w:after="0" w:line="240" w:lineRule="auto"/>
        <w:jc w:val="right"/>
        <w:rPr>
          <w:rFonts w:ascii="Times New Roman" w:eastAsiaTheme="minorHAnsi" w:hAnsi="Times New Roman"/>
          <w:b/>
          <w:caps w:val="0"/>
          <w:spacing w:val="0"/>
          <w:sz w:val="22"/>
          <w:szCs w:val="28"/>
          <w:lang w:val="lv-LV" w:bidi="ar-SA"/>
        </w:rPr>
      </w:pPr>
      <w:r w:rsidRPr="0099397F">
        <w:rPr>
          <w:rFonts w:ascii="Times New Roman" w:eastAsiaTheme="minorHAnsi" w:hAnsi="Times New Roman"/>
          <w:b/>
          <w:caps w:val="0"/>
          <w:spacing w:val="0"/>
          <w:sz w:val="22"/>
          <w:szCs w:val="28"/>
          <w:lang w:val="lv-LV" w:bidi="ar-SA"/>
        </w:rPr>
        <w:t>Iedzīvotāju skaita, privātā patēriņa un Makroekonomiskā prognoze</w:t>
      </w:r>
    </w:p>
    <w:p w:rsidR="00AF0476" w:rsidRPr="007F7ECF" w:rsidRDefault="00AF0476" w:rsidP="007F7ECF">
      <w:pPr>
        <w:jc w:val="right"/>
        <w:rPr>
          <w:caps/>
          <w:sz w:val="20"/>
          <w:szCs w:val="20"/>
        </w:rPr>
      </w:pPr>
      <w:r w:rsidRPr="007F7ECF">
        <w:rPr>
          <w:sz w:val="20"/>
          <w:szCs w:val="20"/>
        </w:rPr>
        <w:t>(Ekonomikas ministrijas prognoze)</w:t>
      </w:r>
    </w:p>
    <w:tbl>
      <w:tblPr>
        <w:tblStyle w:val="TableGrid"/>
        <w:tblW w:w="4937" w:type="pct"/>
        <w:tblLook w:val="04A0" w:firstRow="1" w:lastRow="0" w:firstColumn="1" w:lastColumn="0" w:noHBand="0" w:noVBand="1"/>
      </w:tblPr>
      <w:tblGrid>
        <w:gridCol w:w="5045"/>
        <w:gridCol w:w="814"/>
        <w:gridCol w:w="814"/>
        <w:gridCol w:w="814"/>
        <w:gridCol w:w="817"/>
        <w:gridCol w:w="822"/>
      </w:tblGrid>
      <w:tr w:rsidR="00A07AC4" w:rsidRPr="00A07AC4" w:rsidTr="00A07AC4">
        <w:trPr>
          <w:trHeight w:val="255"/>
        </w:trPr>
        <w:tc>
          <w:tcPr>
            <w:tcW w:w="2349" w:type="pct"/>
            <w:noWrap/>
          </w:tcPr>
          <w:p w:rsidR="00267EA5" w:rsidRPr="00A07AC4" w:rsidRDefault="00267EA5" w:rsidP="00E029AE">
            <w:pPr>
              <w:pStyle w:val="Tekststabula"/>
              <w:rPr>
                <w:rFonts w:ascii="Times New Roman" w:hAnsi="Times New Roman"/>
                <w:b/>
                <w:color w:val="000000" w:themeColor="text1"/>
                <w:sz w:val="22"/>
                <w:lang w:eastAsia="lv-LV" w:bidi="ar-SA"/>
              </w:rPr>
            </w:pPr>
          </w:p>
        </w:tc>
        <w:tc>
          <w:tcPr>
            <w:tcW w:w="52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2010</w:t>
            </w:r>
          </w:p>
        </w:tc>
        <w:tc>
          <w:tcPr>
            <w:tcW w:w="52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2015</w:t>
            </w:r>
          </w:p>
        </w:tc>
        <w:tc>
          <w:tcPr>
            <w:tcW w:w="52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2020</w:t>
            </w:r>
          </w:p>
        </w:tc>
        <w:tc>
          <w:tcPr>
            <w:tcW w:w="531"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2025</w:t>
            </w:r>
          </w:p>
        </w:tc>
        <w:tc>
          <w:tcPr>
            <w:tcW w:w="532"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2030</w:t>
            </w:r>
          </w:p>
        </w:tc>
      </w:tr>
      <w:tr w:rsidR="00A07AC4" w:rsidRPr="00A07AC4" w:rsidTr="00A07AC4">
        <w:trPr>
          <w:trHeight w:val="255"/>
        </w:trPr>
        <w:tc>
          <w:tcPr>
            <w:tcW w:w="234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Iedzīvotāju skaits gada vidū, 1000</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2161</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1993</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1950</w:t>
            </w:r>
          </w:p>
        </w:tc>
        <w:tc>
          <w:tcPr>
            <w:tcW w:w="531"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1940</w:t>
            </w:r>
          </w:p>
        </w:tc>
        <w:tc>
          <w:tcPr>
            <w:tcW w:w="532"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1945</w:t>
            </w:r>
          </w:p>
        </w:tc>
      </w:tr>
      <w:tr w:rsidR="00A07AC4" w:rsidRPr="00A07AC4" w:rsidTr="00A07AC4">
        <w:trPr>
          <w:trHeight w:val="255"/>
        </w:trPr>
        <w:tc>
          <w:tcPr>
            <w:tcW w:w="234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ikgadējās izmaiņas</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-1,2%</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-1,6%</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-0,4%</w:t>
            </w:r>
          </w:p>
        </w:tc>
        <w:tc>
          <w:tcPr>
            <w:tcW w:w="531"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-0,1%</w:t>
            </w:r>
          </w:p>
        </w:tc>
        <w:tc>
          <w:tcPr>
            <w:tcW w:w="532"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0,1%</w:t>
            </w:r>
          </w:p>
        </w:tc>
      </w:tr>
      <w:tr w:rsidR="00A07AC4" w:rsidRPr="00A07AC4" w:rsidTr="00A07AC4">
        <w:trPr>
          <w:trHeight w:val="255"/>
        </w:trPr>
        <w:tc>
          <w:tcPr>
            <w:tcW w:w="2349" w:type="pct"/>
            <w:noWrap/>
          </w:tcPr>
          <w:p w:rsidR="00FB1A59" w:rsidRPr="00A07AC4" w:rsidRDefault="00FB1A59" w:rsidP="00FB1A59">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Privātais patēriņš 2000. gada cenās, MEUR</w:t>
            </w:r>
          </w:p>
        </w:tc>
        <w:tc>
          <w:tcPr>
            <w:tcW w:w="529" w:type="pct"/>
            <w:noWrap/>
          </w:tcPr>
          <w:p w:rsidR="00FB1A59" w:rsidRPr="00A07AC4" w:rsidRDefault="00FB1A59">
            <w:pPr>
              <w:jc w:val="center"/>
              <w:rPr>
                <w:color w:val="000000" w:themeColor="text1"/>
                <w:sz w:val="22"/>
              </w:rPr>
            </w:pPr>
            <w:r w:rsidRPr="00A07AC4">
              <w:rPr>
                <w:color w:val="000000" w:themeColor="text1"/>
                <w:sz w:val="22"/>
              </w:rPr>
              <w:t>6464</w:t>
            </w:r>
          </w:p>
        </w:tc>
        <w:tc>
          <w:tcPr>
            <w:tcW w:w="529" w:type="pct"/>
            <w:noWrap/>
          </w:tcPr>
          <w:p w:rsidR="00FB1A59" w:rsidRPr="00A07AC4" w:rsidRDefault="00FB1A59">
            <w:pPr>
              <w:jc w:val="center"/>
              <w:rPr>
                <w:color w:val="000000" w:themeColor="text1"/>
                <w:sz w:val="22"/>
              </w:rPr>
            </w:pPr>
            <w:r w:rsidRPr="00A07AC4">
              <w:rPr>
                <w:color w:val="000000" w:themeColor="text1"/>
                <w:sz w:val="22"/>
              </w:rPr>
              <w:t>8134</w:t>
            </w:r>
          </w:p>
        </w:tc>
        <w:tc>
          <w:tcPr>
            <w:tcW w:w="529" w:type="pct"/>
            <w:noWrap/>
          </w:tcPr>
          <w:p w:rsidR="00FB1A59" w:rsidRPr="00A07AC4" w:rsidRDefault="00FB1A59">
            <w:pPr>
              <w:jc w:val="center"/>
              <w:rPr>
                <w:color w:val="000000" w:themeColor="text1"/>
                <w:sz w:val="22"/>
              </w:rPr>
            </w:pPr>
            <w:r w:rsidRPr="00A07AC4">
              <w:rPr>
                <w:color w:val="000000" w:themeColor="text1"/>
                <w:sz w:val="22"/>
              </w:rPr>
              <w:t>10039</w:t>
            </w:r>
          </w:p>
        </w:tc>
        <w:tc>
          <w:tcPr>
            <w:tcW w:w="531" w:type="pct"/>
            <w:noWrap/>
          </w:tcPr>
          <w:p w:rsidR="00FB1A59" w:rsidRPr="00A07AC4" w:rsidRDefault="00FB1A59">
            <w:pPr>
              <w:jc w:val="center"/>
              <w:rPr>
                <w:color w:val="000000" w:themeColor="text1"/>
                <w:sz w:val="22"/>
              </w:rPr>
            </w:pPr>
            <w:r w:rsidRPr="00A07AC4">
              <w:rPr>
                <w:color w:val="000000" w:themeColor="text1"/>
                <w:sz w:val="22"/>
              </w:rPr>
              <w:t>11947</w:t>
            </w:r>
          </w:p>
        </w:tc>
        <w:tc>
          <w:tcPr>
            <w:tcW w:w="532" w:type="pct"/>
            <w:noWrap/>
          </w:tcPr>
          <w:p w:rsidR="00FB1A59" w:rsidRPr="00A07AC4" w:rsidRDefault="00FB1A59">
            <w:pPr>
              <w:jc w:val="center"/>
              <w:rPr>
                <w:color w:val="000000" w:themeColor="text1"/>
                <w:sz w:val="22"/>
              </w:rPr>
            </w:pPr>
            <w:r w:rsidRPr="00A07AC4">
              <w:rPr>
                <w:color w:val="000000" w:themeColor="text1"/>
                <w:sz w:val="22"/>
              </w:rPr>
              <w:t>14079</w:t>
            </w:r>
          </w:p>
        </w:tc>
      </w:tr>
      <w:tr w:rsidR="00A07AC4" w:rsidRPr="00A07AC4" w:rsidTr="00A07AC4">
        <w:trPr>
          <w:trHeight w:val="255"/>
        </w:trPr>
        <w:tc>
          <w:tcPr>
            <w:tcW w:w="2349" w:type="pct"/>
            <w:noWrap/>
          </w:tcPr>
          <w:p w:rsidR="00267EA5" w:rsidRPr="00A07AC4" w:rsidRDefault="00267EA5"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ikgadējās izmaiņas</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0,3%</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4,7%</w:t>
            </w:r>
          </w:p>
        </w:tc>
        <w:tc>
          <w:tcPr>
            <w:tcW w:w="529"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4,3%</w:t>
            </w:r>
          </w:p>
        </w:tc>
        <w:tc>
          <w:tcPr>
            <w:tcW w:w="531"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3,5%</w:t>
            </w:r>
          </w:p>
        </w:tc>
        <w:tc>
          <w:tcPr>
            <w:tcW w:w="532" w:type="pct"/>
            <w:noWrap/>
          </w:tcPr>
          <w:p w:rsidR="00267EA5" w:rsidRPr="00A07AC4" w:rsidRDefault="00267EA5" w:rsidP="00E029AE">
            <w:pPr>
              <w:pStyle w:val="Tekststabula"/>
              <w:jc w:val="center"/>
              <w:rPr>
                <w:rFonts w:ascii="Times New Roman" w:hAnsi="Times New Roman"/>
                <w:color w:val="000000" w:themeColor="text1"/>
                <w:sz w:val="22"/>
                <w:lang w:eastAsia="lv-LV" w:bidi="ar-SA"/>
              </w:rPr>
            </w:pPr>
            <w:r w:rsidRPr="00A07AC4">
              <w:rPr>
                <w:rFonts w:ascii="Times New Roman" w:hAnsi="Times New Roman"/>
                <w:color w:val="000000" w:themeColor="text1"/>
                <w:sz w:val="22"/>
                <w:lang w:eastAsia="lv-LV" w:bidi="ar-SA"/>
              </w:rPr>
              <w:t>3,3%</w:t>
            </w:r>
          </w:p>
        </w:tc>
      </w:tr>
      <w:tr w:rsidR="00A07AC4" w:rsidRPr="00A07AC4" w:rsidTr="00A07AC4">
        <w:trPr>
          <w:trHeight w:val="255"/>
        </w:trPr>
        <w:tc>
          <w:tcPr>
            <w:tcW w:w="5000" w:type="pct"/>
            <w:gridSpan w:val="6"/>
            <w:noWrap/>
          </w:tcPr>
          <w:p w:rsidR="00267EA5" w:rsidRPr="00A07AC4" w:rsidRDefault="00267EA5" w:rsidP="00966CC9">
            <w:pPr>
              <w:pStyle w:val="Tekststabula"/>
              <w:jc w:val="center"/>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IKP 2000. gada cenās, M</w:t>
            </w:r>
            <w:r w:rsidR="00966CC9" w:rsidRPr="00A07AC4">
              <w:rPr>
                <w:rFonts w:ascii="Times New Roman" w:hAnsi="Times New Roman"/>
                <w:b/>
                <w:color w:val="000000" w:themeColor="text1"/>
                <w:sz w:val="22"/>
                <w:lang w:eastAsia="lv-LV" w:bidi="ar-SA"/>
              </w:rPr>
              <w:t>EUR</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IKP</w:t>
            </w:r>
          </w:p>
        </w:tc>
        <w:tc>
          <w:tcPr>
            <w:tcW w:w="529" w:type="pct"/>
            <w:noWrap/>
          </w:tcPr>
          <w:p w:rsidR="00966CC9" w:rsidRPr="00A07AC4" w:rsidRDefault="00966CC9">
            <w:pPr>
              <w:jc w:val="center"/>
              <w:rPr>
                <w:color w:val="000000" w:themeColor="text1"/>
                <w:sz w:val="22"/>
              </w:rPr>
            </w:pPr>
            <w:r w:rsidRPr="00A07AC4">
              <w:rPr>
                <w:color w:val="000000" w:themeColor="text1"/>
                <w:sz w:val="22"/>
              </w:rPr>
              <w:t>9552</w:t>
            </w:r>
          </w:p>
        </w:tc>
        <w:tc>
          <w:tcPr>
            <w:tcW w:w="529" w:type="pct"/>
            <w:noWrap/>
          </w:tcPr>
          <w:p w:rsidR="00966CC9" w:rsidRPr="00A07AC4" w:rsidRDefault="00966CC9">
            <w:pPr>
              <w:jc w:val="center"/>
              <w:rPr>
                <w:color w:val="000000" w:themeColor="text1"/>
                <w:sz w:val="22"/>
              </w:rPr>
            </w:pPr>
            <w:r w:rsidRPr="00A07AC4">
              <w:rPr>
                <w:color w:val="000000" w:themeColor="text1"/>
                <w:sz w:val="22"/>
              </w:rPr>
              <w:t>12244</w:t>
            </w:r>
          </w:p>
        </w:tc>
        <w:tc>
          <w:tcPr>
            <w:tcW w:w="529" w:type="pct"/>
            <w:noWrap/>
          </w:tcPr>
          <w:p w:rsidR="00966CC9" w:rsidRPr="00A07AC4" w:rsidRDefault="00966CC9">
            <w:pPr>
              <w:jc w:val="center"/>
              <w:rPr>
                <w:color w:val="000000" w:themeColor="text1"/>
                <w:sz w:val="22"/>
              </w:rPr>
            </w:pPr>
            <w:r w:rsidRPr="00A07AC4">
              <w:rPr>
                <w:color w:val="000000" w:themeColor="text1"/>
                <w:sz w:val="22"/>
              </w:rPr>
              <w:t>15181</w:t>
            </w:r>
          </w:p>
        </w:tc>
        <w:tc>
          <w:tcPr>
            <w:tcW w:w="531" w:type="pct"/>
            <w:noWrap/>
          </w:tcPr>
          <w:p w:rsidR="00966CC9" w:rsidRPr="00A07AC4" w:rsidRDefault="00966CC9">
            <w:pPr>
              <w:jc w:val="center"/>
              <w:rPr>
                <w:color w:val="000000" w:themeColor="text1"/>
                <w:sz w:val="22"/>
              </w:rPr>
            </w:pPr>
            <w:r w:rsidRPr="00A07AC4">
              <w:rPr>
                <w:color w:val="000000" w:themeColor="text1"/>
                <w:sz w:val="22"/>
              </w:rPr>
              <w:t>18214</w:t>
            </w:r>
          </w:p>
        </w:tc>
        <w:tc>
          <w:tcPr>
            <w:tcW w:w="532" w:type="pct"/>
            <w:noWrap/>
          </w:tcPr>
          <w:p w:rsidR="00966CC9" w:rsidRPr="00A07AC4" w:rsidRDefault="00966CC9">
            <w:pPr>
              <w:jc w:val="center"/>
              <w:rPr>
                <w:color w:val="000000" w:themeColor="text1"/>
                <w:sz w:val="22"/>
              </w:rPr>
            </w:pPr>
            <w:r w:rsidRPr="00A07AC4">
              <w:rPr>
                <w:color w:val="000000" w:themeColor="text1"/>
                <w:sz w:val="22"/>
              </w:rPr>
              <w:t>21350</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Lauksaimniecība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384</w:t>
            </w:r>
          </w:p>
        </w:tc>
        <w:tc>
          <w:tcPr>
            <w:tcW w:w="529" w:type="pct"/>
            <w:noWrap/>
          </w:tcPr>
          <w:p w:rsidR="00966CC9" w:rsidRPr="00A07AC4" w:rsidRDefault="00966CC9">
            <w:pPr>
              <w:jc w:val="center"/>
              <w:rPr>
                <w:color w:val="000000" w:themeColor="text1"/>
                <w:sz w:val="22"/>
              </w:rPr>
            </w:pPr>
            <w:r w:rsidRPr="00A07AC4">
              <w:rPr>
                <w:color w:val="000000" w:themeColor="text1"/>
                <w:sz w:val="22"/>
              </w:rPr>
              <w:t>442</w:t>
            </w:r>
          </w:p>
        </w:tc>
        <w:tc>
          <w:tcPr>
            <w:tcW w:w="529" w:type="pct"/>
            <w:noWrap/>
          </w:tcPr>
          <w:p w:rsidR="00966CC9" w:rsidRPr="00A07AC4" w:rsidRDefault="00966CC9">
            <w:pPr>
              <w:jc w:val="center"/>
              <w:rPr>
                <w:color w:val="000000" w:themeColor="text1"/>
                <w:sz w:val="22"/>
              </w:rPr>
            </w:pPr>
            <w:r w:rsidRPr="00A07AC4">
              <w:rPr>
                <w:color w:val="000000" w:themeColor="text1"/>
                <w:sz w:val="22"/>
              </w:rPr>
              <w:t>534</w:t>
            </w:r>
          </w:p>
        </w:tc>
        <w:tc>
          <w:tcPr>
            <w:tcW w:w="531" w:type="pct"/>
            <w:noWrap/>
          </w:tcPr>
          <w:p w:rsidR="00966CC9" w:rsidRPr="00A07AC4" w:rsidRDefault="00966CC9">
            <w:pPr>
              <w:jc w:val="center"/>
              <w:rPr>
                <w:color w:val="000000" w:themeColor="text1"/>
                <w:sz w:val="22"/>
              </w:rPr>
            </w:pPr>
            <w:r w:rsidRPr="00A07AC4">
              <w:rPr>
                <w:color w:val="000000" w:themeColor="text1"/>
                <w:sz w:val="22"/>
              </w:rPr>
              <w:t>607</w:t>
            </w:r>
          </w:p>
        </w:tc>
        <w:tc>
          <w:tcPr>
            <w:tcW w:w="532" w:type="pct"/>
            <w:noWrap/>
          </w:tcPr>
          <w:p w:rsidR="00966CC9" w:rsidRPr="00A07AC4" w:rsidRDefault="00966CC9">
            <w:pPr>
              <w:jc w:val="center"/>
              <w:rPr>
                <w:color w:val="000000" w:themeColor="text1"/>
                <w:sz w:val="22"/>
              </w:rPr>
            </w:pPr>
            <w:r w:rsidRPr="00A07AC4">
              <w:rPr>
                <w:color w:val="000000" w:themeColor="text1"/>
                <w:sz w:val="22"/>
              </w:rPr>
              <w:t>681</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Pakalpojumi (bez Transports, glabāšana un sakari)</w:t>
            </w:r>
          </w:p>
        </w:tc>
        <w:tc>
          <w:tcPr>
            <w:tcW w:w="529" w:type="pct"/>
            <w:noWrap/>
          </w:tcPr>
          <w:p w:rsidR="00966CC9" w:rsidRPr="00A07AC4" w:rsidRDefault="00966CC9">
            <w:pPr>
              <w:jc w:val="center"/>
              <w:rPr>
                <w:color w:val="000000" w:themeColor="text1"/>
                <w:sz w:val="22"/>
              </w:rPr>
            </w:pPr>
            <w:r w:rsidRPr="00A07AC4">
              <w:rPr>
                <w:color w:val="000000" w:themeColor="text1"/>
                <w:sz w:val="22"/>
              </w:rPr>
              <w:t>5237</w:t>
            </w:r>
          </w:p>
        </w:tc>
        <w:tc>
          <w:tcPr>
            <w:tcW w:w="529" w:type="pct"/>
            <w:noWrap/>
          </w:tcPr>
          <w:p w:rsidR="00966CC9" w:rsidRPr="00A07AC4" w:rsidRDefault="00966CC9">
            <w:pPr>
              <w:jc w:val="center"/>
              <w:rPr>
                <w:color w:val="000000" w:themeColor="text1"/>
                <w:sz w:val="22"/>
              </w:rPr>
            </w:pPr>
            <w:r w:rsidRPr="00A07AC4">
              <w:rPr>
                <w:color w:val="000000" w:themeColor="text1"/>
                <w:sz w:val="22"/>
              </w:rPr>
              <w:t>6335</w:t>
            </w:r>
          </w:p>
        </w:tc>
        <w:tc>
          <w:tcPr>
            <w:tcW w:w="529" w:type="pct"/>
            <w:noWrap/>
          </w:tcPr>
          <w:p w:rsidR="00966CC9" w:rsidRPr="00A07AC4" w:rsidRDefault="00966CC9">
            <w:pPr>
              <w:jc w:val="center"/>
              <w:rPr>
                <w:color w:val="000000" w:themeColor="text1"/>
                <w:sz w:val="22"/>
              </w:rPr>
            </w:pPr>
            <w:r w:rsidRPr="00A07AC4">
              <w:rPr>
                <w:color w:val="000000" w:themeColor="text1"/>
                <w:sz w:val="22"/>
              </w:rPr>
              <w:t>7704</w:t>
            </w:r>
          </w:p>
        </w:tc>
        <w:tc>
          <w:tcPr>
            <w:tcW w:w="531" w:type="pct"/>
            <w:noWrap/>
          </w:tcPr>
          <w:p w:rsidR="00966CC9" w:rsidRPr="00A07AC4" w:rsidRDefault="00966CC9">
            <w:pPr>
              <w:jc w:val="center"/>
              <w:rPr>
                <w:color w:val="000000" w:themeColor="text1"/>
                <w:sz w:val="22"/>
              </w:rPr>
            </w:pPr>
            <w:r w:rsidRPr="00A07AC4">
              <w:rPr>
                <w:color w:val="000000" w:themeColor="text1"/>
                <w:sz w:val="22"/>
              </w:rPr>
              <w:t>9333</w:t>
            </w:r>
          </w:p>
        </w:tc>
        <w:tc>
          <w:tcPr>
            <w:tcW w:w="532" w:type="pct"/>
            <w:noWrap/>
          </w:tcPr>
          <w:p w:rsidR="00966CC9" w:rsidRPr="00A07AC4" w:rsidRDefault="00966CC9">
            <w:pPr>
              <w:jc w:val="center"/>
              <w:rPr>
                <w:color w:val="000000" w:themeColor="text1"/>
                <w:sz w:val="22"/>
              </w:rPr>
            </w:pPr>
            <w:r w:rsidRPr="00A07AC4">
              <w:rPr>
                <w:color w:val="000000" w:themeColor="text1"/>
                <w:sz w:val="22"/>
              </w:rPr>
              <w:t>11009</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Transports, glabāšana un sakari</w:t>
            </w:r>
          </w:p>
        </w:tc>
        <w:tc>
          <w:tcPr>
            <w:tcW w:w="529" w:type="pct"/>
            <w:noWrap/>
          </w:tcPr>
          <w:p w:rsidR="00966CC9" w:rsidRPr="00A07AC4" w:rsidRDefault="00966CC9">
            <w:pPr>
              <w:jc w:val="center"/>
              <w:rPr>
                <w:color w:val="000000" w:themeColor="text1"/>
                <w:sz w:val="22"/>
              </w:rPr>
            </w:pPr>
            <w:r w:rsidRPr="00A07AC4">
              <w:rPr>
                <w:color w:val="000000" w:themeColor="text1"/>
                <w:sz w:val="22"/>
              </w:rPr>
              <w:t>1235</w:t>
            </w:r>
          </w:p>
        </w:tc>
        <w:tc>
          <w:tcPr>
            <w:tcW w:w="529" w:type="pct"/>
            <w:noWrap/>
          </w:tcPr>
          <w:p w:rsidR="00966CC9" w:rsidRPr="00A07AC4" w:rsidRDefault="00966CC9">
            <w:pPr>
              <w:jc w:val="center"/>
              <w:rPr>
                <w:color w:val="000000" w:themeColor="text1"/>
                <w:sz w:val="22"/>
              </w:rPr>
            </w:pPr>
            <w:r w:rsidRPr="00A07AC4">
              <w:rPr>
                <w:color w:val="000000" w:themeColor="text1"/>
                <w:sz w:val="22"/>
              </w:rPr>
              <w:t>1683</w:t>
            </w:r>
          </w:p>
        </w:tc>
        <w:tc>
          <w:tcPr>
            <w:tcW w:w="529" w:type="pct"/>
            <w:noWrap/>
          </w:tcPr>
          <w:p w:rsidR="00966CC9" w:rsidRPr="00A07AC4" w:rsidRDefault="00966CC9">
            <w:pPr>
              <w:jc w:val="center"/>
              <w:rPr>
                <w:color w:val="000000" w:themeColor="text1"/>
                <w:sz w:val="22"/>
              </w:rPr>
            </w:pPr>
            <w:r w:rsidRPr="00A07AC4">
              <w:rPr>
                <w:color w:val="000000" w:themeColor="text1"/>
                <w:sz w:val="22"/>
              </w:rPr>
              <w:t>2023</w:t>
            </w:r>
          </w:p>
        </w:tc>
        <w:tc>
          <w:tcPr>
            <w:tcW w:w="531" w:type="pct"/>
            <w:noWrap/>
          </w:tcPr>
          <w:p w:rsidR="00966CC9" w:rsidRPr="00A07AC4" w:rsidRDefault="00966CC9">
            <w:pPr>
              <w:jc w:val="center"/>
              <w:rPr>
                <w:color w:val="000000" w:themeColor="text1"/>
                <w:sz w:val="22"/>
              </w:rPr>
            </w:pPr>
            <w:r w:rsidRPr="00A07AC4">
              <w:rPr>
                <w:color w:val="000000" w:themeColor="text1"/>
                <w:sz w:val="22"/>
              </w:rPr>
              <w:t>2361</w:t>
            </w:r>
          </w:p>
        </w:tc>
        <w:tc>
          <w:tcPr>
            <w:tcW w:w="532" w:type="pct"/>
            <w:noWrap/>
          </w:tcPr>
          <w:p w:rsidR="00966CC9" w:rsidRPr="00A07AC4" w:rsidRDefault="00966CC9">
            <w:pPr>
              <w:jc w:val="center"/>
              <w:rPr>
                <w:color w:val="000000" w:themeColor="text1"/>
                <w:sz w:val="22"/>
              </w:rPr>
            </w:pPr>
            <w:r w:rsidRPr="00A07AC4">
              <w:rPr>
                <w:color w:val="000000" w:themeColor="text1"/>
                <w:sz w:val="22"/>
              </w:rPr>
              <w:t>2657</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Apstrādes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1128</w:t>
            </w:r>
          </w:p>
        </w:tc>
        <w:tc>
          <w:tcPr>
            <w:tcW w:w="529" w:type="pct"/>
            <w:noWrap/>
          </w:tcPr>
          <w:p w:rsidR="00966CC9" w:rsidRPr="00A07AC4" w:rsidRDefault="00966CC9">
            <w:pPr>
              <w:jc w:val="center"/>
              <w:rPr>
                <w:color w:val="000000" w:themeColor="text1"/>
                <w:sz w:val="22"/>
              </w:rPr>
            </w:pPr>
            <w:r w:rsidRPr="00A07AC4">
              <w:rPr>
                <w:color w:val="000000" w:themeColor="text1"/>
                <w:sz w:val="22"/>
              </w:rPr>
              <w:t>1660</w:t>
            </w:r>
          </w:p>
        </w:tc>
        <w:tc>
          <w:tcPr>
            <w:tcW w:w="529" w:type="pct"/>
            <w:noWrap/>
          </w:tcPr>
          <w:p w:rsidR="00966CC9" w:rsidRPr="00A07AC4" w:rsidRDefault="00966CC9">
            <w:pPr>
              <w:jc w:val="center"/>
              <w:rPr>
                <w:color w:val="000000" w:themeColor="text1"/>
                <w:sz w:val="22"/>
              </w:rPr>
            </w:pPr>
            <w:r w:rsidRPr="00A07AC4">
              <w:rPr>
                <w:color w:val="000000" w:themeColor="text1"/>
                <w:sz w:val="22"/>
              </w:rPr>
              <w:t>2170</w:t>
            </w:r>
          </w:p>
        </w:tc>
        <w:tc>
          <w:tcPr>
            <w:tcW w:w="531" w:type="pct"/>
            <w:noWrap/>
          </w:tcPr>
          <w:p w:rsidR="00966CC9" w:rsidRPr="00A07AC4" w:rsidRDefault="00966CC9">
            <w:pPr>
              <w:jc w:val="center"/>
              <w:rPr>
                <w:color w:val="000000" w:themeColor="text1"/>
                <w:sz w:val="22"/>
              </w:rPr>
            </w:pPr>
            <w:r w:rsidRPr="00A07AC4">
              <w:rPr>
                <w:color w:val="000000" w:themeColor="text1"/>
                <w:sz w:val="22"/>
              </w:rPr>
              <w:t>2630</w:t>
            </w:r>
          </w:p>
        </w:tc>
        <w:tc>
          <w:tcPr>
            <w:tcW w:w="532" w:type="pct"/>
            <w:noWrap/>
          </w:tcPr>
          <w:p w:rsidR="00966CC9" w:rsidRPr="00A07AC4" w:rsidRDefault="00966CC9">
            <w:pPr>
              <w:jc w:val="center"/>
              <w:rPr>
                <w:color w:val="000000" w:themeColor="text1"/>
                <w:sz w:val="22"/>
              </w:rPr>
            </w:pPr>
            <w:r w:rsidRPr="00A07AC4">
              <w:rPr>
                <w:color w:val="000000" w:themeColor="text1"/>
                <w:sz w:val="22"/>
              </w:rPr>
              <w:t>3154</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Ķīmiskā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56</w:t>
            </w:r>
          </w:p>
        </w:tc>
        <w:tc>
          <w:tcPr>
            <w:tcW w:w="529" w:type="pct"/>
            <w:noWrap/>
          </w:tcPr>
          <w:p w:rsidR="00966CC9" w:rsidRPr="00A07AC4" w:rsidRDefault="00966CC9">
            <w:pPr>
              <w:jc w:val="center"/>
              <w:rPr>
                <w:color w:val="000000" w:themeColor="text1"/>
                <w:sz w:val="22"/>
              </w:rPr>
            </w:pPr>
            <w:r w:rsidRPr="00A07AC4">
              <w:rPr>
                <w:color w:val="000000" w:themeColor="text1"/>
                <w:sz w:val="22"/>
              </w:rPr>
              <w:t>85</w:t>
            </w:r>
          </w:p>
        </w:tc>
        <w:tc>
          <w:tcPr>
            <w:tcW w:w="529" w:type="pct"/>
            <w:noWrap/>
          </w:tcPr>
          <w:p w:rsidR="00966CC9" w:rsidRPr="00A07AC4" w:rsidRDefault="00966CC9">
            <w:pPr>
              <w:jc w:val="center"/>
              <w:rPr>
                <w:color w:val="000000" w:themeColor="text1"/>
                <w:sz w:val="22"/>
              </w:rPr>
            </w:pPr>
            <w:r w:rsidRPr="00A07AC4">
              <w:rPr>
                <w:color w:val="000000" w:themeColor="text1"/>
                <w:sz w:val="22"/>
              </w:rPr>
              <w:t>112</w:t>
            </w:r>
          </w:p>
        </w:tc>
        <w:tc>
          <w:tcPr>
            <w:tcW w:w="531" w:type="pct"/>
            <w:noWrap/>
          </w:tcPr>
          <w:p w:rsidR="00966CC9" w:rsidRPr="00A07AC4" w:rsidRDefault="00966CC9">
            <w:pPr>
              <w:jc w:val="center"/>
              <w:rPr>
                <w:color w:val="000000" w:themeColor="text1"/>
                <w:sz w:val="22"/>
              </w:rPr>
            </w:pPr>
            <w:r w:rsidRPr="00A07AC4">
              <w:rPr>
                <w:color w:val="000000" w:themeColor="text1"/>
                <w:sz w:val="22"/>
              </w:rPr>
              <w:t>134</w:t>
            </w:r>
          </w:p>
        </w:tc>
        <w:tc>
          <w:tcPr>
            <w:tcW w:w="532" w:type="pct"/>
            <w:noWrap/>
          </w:tcPr>
          <w:p w:rsidR="00966CC9" w:rsidRPr="00A07AC4" w:rsidRDefault="00966CC9">
            <w:pPr>
              <w:jc w:val="center"/>
              <w:rPr>
                <w:color w:val="000000" w:themeColor="text1"/>
                <w:sz w:val="22"/>
              </w:rPr>
            </w:pPr>
            <w:r w:rsidRPr="00A07AC4">
              <w:rPr>
                <w:color w:val="000000" w:themeColor="text1"/>
                <w:sz w:val="22"/>
              </w:rPr>
              <w:t>161</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Pārtikas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219</w:t>
            </w:r>
          </w:p>
        </w:tc>
        <w:tc>
          <w:tcPr>
            <w:tcW w:w="529" w:type="pct"/>
            <w:noWrap/>
          </w:tcPr>
          <w:p w:rsidR="00966CC9" w:rsidRPr="00A07AC4" w:rsidRDefault="00966CC9">
            <w:pPr>
              <w:jc w:val="center"/>
              <w:rPr>
                <w:color w:val="000000" w:themeColor="text1"/>
                <w:sz w:val="22"/>
              </w:rPr>
            </w:pPr>
            <w:r w:rsidRPr="00A07AC4">
              <w:rPr>
                <w:color w:val="000000" w:themeColor="text1"/>
                <w:sz w:val="22"/>
              </w:rPr>
              <w:t>241</w:t>
            </w:r>
          </w:p>
        </w:tc>
        <w:tc>
          <w:tcPr>
            <w:tcW w:w="529" w:type="pct"/>
            <w:noWrap/>
          </w:tcPr>
          <w:p w:rsidR="00966CC9" w:rsidRPr="00A07AC4" w:rsidRDefault="00966CC9">
            <w:pPr>
              <w:jc w:val="center"/>
              <w:rPr>
                <w:color w:val="000000" w:themeColor="text1"/>
                <w:sz w:val="22"/>
              </w:rPr>
            </w:pPr>
            <w:r w:rsidRPr="00A07AC4">
              <w:rPr>
                <w:color w:val="000000" w:themeColor="text1"/>
                <w:sz w:val="22"/>
              </w:rPr>
              <w:t>288</w:t>
            </w:r>
          </w:p>
        </w:tc>
        <w:tc>
          <w:tcPr>
            <w:tcW w:w="531" w:type="pct"/>
            <w:noWrap/>
          </w:tcPr>
          <w:p w:rsidR="00966CC9" w:rsidRPr="00A07AC4" w:rsidRDefault="00966CC9">
            <w:pPr>
              <w:jc w:val="center"/>
              <w:rPr>
                <w:color w:val="000000" w:themeColor="text1"/>
                <w:sz w:val="22"/>
              </w:rPr>
            </w:pPr>
            <w:r w:rsidRPr="00A07AC4">
              <w:rPr>
                <w:color w:val="000000" w:themeColor="text1"/>
                <w:sz w:val="22"/>
              </w:rPr>
              <w:t>321</w:t>
            </w:r>
          </w:p>
        </w:tc>
        <w:tc>
          <w:tcPr>
            <w:tcW w:w="532" w:type="pct"/>
            <w:noWrap/>
          </w:tcPr>
          <w:p w:rsidR="00966CC9" w:rsidRPr="00A07AC4" w:rsidRDefault="00966CC9">
            <w:pPr>
              <w:jc w:val="center"/>
              <w:rPr>
                <w:color w:val="000000" w:themeColor="text1"/>
                <w:sz w:val="22"/>
              </w:rPr>
            </w:pPr>
            <w:r w:rsidRPr="00A07AC4">
              <w:rPr>
                <w:color w:val="000000" w:themeColor="text1"/>
                <w:sz w:val="22"/>
              </w:rPr>
              <w:t>359</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Metālu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38</w:t>
            </w:r>
          </w:p>
        </w:tc>
        <w:tc>
          <w:tcPr>
            <w:tcW w:w="529" w:type="pct"/>
            <w:noWrap/>
          </w:tcPr>
          <w:p w:rsidR="00966CC9" w:rsidRPr="00A07AC4" w:rsidRDefault="00966CC9">
            <w:pPr>
              <w:jc w:val="center"/>
              <w:rPr>
                <w:color w:val="000000" w:themeColor="text1"/>
                <w:sz w:val="22"/>
              </w:rPr>
            </w:pPr>
            <w:r w:rsidRPr="00A07AC4">
              <w:rPr>
                <w:color w:val="000000" w:themeColor="text1"/>
                <w:sz w:val="22"/>
              </w:rPr>
              <w:t>52</w:t>
            </w:r>
          </w:p>
        </w:tc>
        <w:tc>
          <w:tcPr>
            <w:tcW w:w="529" w:type="pct"/>
            <w:noWrap/>
          </w:tcPr>
          <w:p w:rsidR="00966CC9" w:rsidRPr="00A07AC4" w:rsidRDefault="00966CC9">
            <w:pPr>
              <w:jc w:val="center"/>
              <w:rPr>
                <w:color w:val="000000" w:themeColor="text1"/>
                <w:sz w:val="22"/>
              </w:rPr>
            </w:pPr>
            <w:r w:rsidRPr="00A07AC4">
              <w:rPr>
                <w:color w:val="000000" w:themeColor="text1"/>
                <w:sz w:val="22"/>
              </w:rPr>
              <w:t>73</w:t>
            </w:r>
          </w:p>
        </w:tc>
        <w:tc>
          <w:tcPr>
            <w:tcW w:w="531" w:type="pct"/>
            <w:noWrap/>
          </w:tcPr>
          <w:p w:rsidR="00966CC9" w:rsidRPr="00A07AC4" w:rsidRDefault="00966CC9">
            <w:pPr>
              <w:jc w:val="center"/>
              <w:rPr>
                <w:color w:val="000000" w:themeColor="text1"/>
                <w:sz w:val="22"/>
              </w:rPr>
            </w:pPr>
            <w:r w:rsidRPr="00A07AC4">
              <w:rPr>
                <w:color w:val="000000" w:themeColor="text1"/>
                <w:sz w:val="22"/>
              </w:rPr>
              <w:t>96</w:t>
            </w:r>
          </w:p>
        </w:tc>
        <w:tc>
          <w:tcPr>
            <w:tcW w:w="532" w:type="pct"/>
            <w:noWrap/>
          </w:tcPr>
          <w:p w:rsidR="00966CC9" w:rsidRPr="00A07AC4" w:rsidRDefault="00966CC9">
            <w:pPr>
              <w:jc w:val="center"/>
              <w:rPr>
                <w:color w:val="000000" w:themeColor="text1"/>
                <w:sz w:val="22"/>
              </w:rPr>
            </w:pPr>
            <w:r w:rsidRPr="00A07AC4">
              <w:rPr>
                <w:color w:val="000000" w:themeColor="text1"/>
                <w:sz w:val="22"/>
              </w:rPr>
              <w:t>121</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Nemetālisko minerālu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65</w:t>
            </w:r>
          </w:p>
        </w:tc>
        <w:tc>
          <w:tcPr>
            <w:tcW w:w="529" w:type="pct"/>
            <w:noWrap/>
          </w:tcPr>
          <w:p w:rsidR="00966CC9" w:rsidRPr="00A07AC4" w:rsidRDefault="00966CC9">
            <w:pPr>
              <w:jc w:val="center"/>
              <w:rPr>
                <w:color w:val="000000" w:themeColor="text1"/>
                <w:sz w:val="22"/>
              </w:rPr>
            </w:pPr>
            <w:r w:rsidRPr="00A07AC4">
              <w:rPr>
                <w:color w:val="000000" w:themeColor="text1"/>
                <w:sz w:val="22"/>
              </w:rPr>
              <w:t>110</w:t>
            </w:r>
          </w:p>
        </w:tc>
        <w:tc>
          <w:tcPr>
            <w:tcW w:w="529" w:type="pct"/>
            <w:noWrap/>
          </w:tcPr>
          <w:p w:rsidR="00966CC9" w:rsidRPr="00A07AC4" w:rsidRDefault="00966CC9">
            <w:pPr>
              <w:jc w:val="center"/>
              <w:rPr>
                <w:color w:val="000000" w:themeColor="text1"/>
                <w:sz w:val="22"/>
              </w:rPr>
            </w:pPr>
            <w:r w:rsidRPr="00A07AC4">
              <w:rPr>
                <w:color w:val="000000" w:themeColor="text1"/>
                <w:sz w:val="22"/>
              </w:rPr>
              <w:t>145</w:t>
            </w:r>
          </w:p>
        </w:tc>
        <w:tc>
          <w:tcPr>
            <w:tcW w:w="531" w:type="pct"/>
            <w:noWrap/>
          </w:tcPr>
          <w:p w:rsidR="00966CC9" w:rsidRPr="00A07AC4" w:rsidRDefault="00966CC9">
            <w:pPr>
              <w:jc w:val="center"/>
              <w:rPr>
                <w:color w:val="000000" w:themeColor="text1"/>
                <w:sz w:val="22"/>
              </w:rPr>
            </w:pPr>
            <w:r w:rsidRPr="00A07AC4">
              <w:rPr>
                <w:color w:val="000000" w:themeColor="text1"/>
                <w:sz w:val="22"/>
              </w:rPr>
              <w:t>175</w:t>
            </w:r>
          </w:p>
        </w:tc>
        <w:tc>
          <w:tcPr>
            <w:tcW w:w="532" w:type="pct"/>
            <w:noWrap/>
          </w:tcPr>
          <w:p w:rsidR="00966CC9" w:rsidRPr="00A07AC4" w:rsidRDefault="00966CC9">
            <w:pPr>
              <w:jc w:val="center"/>
              <w:rPr>
                <w:color w:val="000000" w:themeColor="text1"/>
                <w:sz w:val="22"/>
              </w:rPr>
            </w:pPr>
            <w:r w:rsidRPr="00A07AC4">
              <w:rPr>
                <w:color w:val="000000" w:themeColor="text1"/>
                <w:sz w:val="22"/>
              </w:rPr>
              <w:t>210</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Papīra ražošana, poligrāfija</w:t>
            </w:r>
          </w:p>
        </w:tc>
        <w:tc>
          <w:tcPr>
            <w:tcW w:w="529" w:type="pct"/>
            <w:noWrap/>
          </w:tcPr>
          <w:p w:rsidR="00966CC9" w:rsidRPr="00A07AC4" w:rsidRDefault="00966CC9">
            <w:pPr>
              <w:jc w:val="center"/>
              <w:rPr>
                <w:color w:val="000000" w:themeColor="text1"/>
                <w:sz w:val="22"/>
              </w:rPr>
            </w:pPr>
            <w:r w:rsidRPr="00A07AC4">
              <w:rPr>
                <w:color w:val="000000" w:themeColor="text1"/>
                <w:sz w:val="22"/>
              </w:rPr>
              <w:t>59</w:t>
            </w:r>
          </w:p>
        </w:tc>
        <w:tc>
          <w:tcPr>
            <w:tcW w:w="529" w:type="pct"/>
            <w:noWrap/>
          </w:tcPr>
          <w:p w:rsidR="00966CC9" w:rsidRPr="00A07AC4" w:rsidRDefault="00966CC9">
            <w:pPr>
              <w:jc w:val="center"/>
              <w:rPr>
                <w:color w:val="000000" w:themeColor="text1"/>
                <w:sz w:val="22"/>
              </w:rPr>
            </w:pPr>
            <w:r w:rsidRPr="00A07AC4">
              <w:rPr>
                <w:color w:val="000000" w:themeColor="text1"/>
                <w:sz w:val="22"/>
              </w:rPr>
              <w:t>72</w:t>
            </w:r>
          </w:p>
        </w:tc>
        <w:tc>
          <w:tcPr>
            <w:tcW w:w="529" w:type="pct"/>
            <w:noWrap/>
          </w:tcPr>
          <w:p w:rsidR="00966CC9" w:rsidRPr="00A07AC4" w:rsidRDefault="00966CC9">
            <w:pPr>
              <w:jc w:val="center"/>
              <w:rPr>
                <w:color w:val="000000" w:themeColor="text1"/>
                <w:sz w:val="22"/>
              </w:rPr>
            </w:pPr>
            <w:r w:rsidRPr="00A07AC4">
              <w:rPr>
                <w:color w:val="000000" w:themeColor="text1"/>
                <w:sz w:val="22"/>
              </w:rPr>
              <w:t>92</w:t>
            </w:r>
          </w:p>
        </w:tc>
        <w:tc>
          <w:tcPr>
            <w:tcW w:w="531" w:type="pct"/>
            <w:noWrap/>
          </w:tcPr>
          <w:p w:rsidR="00966CC9" w:rsidRPr="00A07AC4" w:rsidRDefault="00966CC9">
            <w:pPr>
              <w:jc w:val="center"/>
              <w:rPr>
                <w:color w:val="000000" w:themeColor="text1"/>
                <w:sz w:val="22"/>
              </w:rPr>
            </w:pPr>
            <w:r w:rsidRPr="00A07AC4">
              <w:rPr>
                <w:color w:val="000000" w:themeColor="text1"/>
                <w:sz w:val="22"/>
              </w:rPr>
              <w:t>104</w:t>
            </w:r>
          </w:p>
        </w:tc>
        <w:tc>
          <w:tcPr>
            <w:tcW w:w="532" w:type="pct"/>
            <w:noWrap/>
          </w:tcPr>
          <w:p w:rsidR="00966CC9" w:rsidRPr="00A07AC4" w:rsidRDefault="00966CC9">
            <w:pPr>
              <w:jc w:val="center"/>
              <w:rPr>
                <w:color w:val="000000" w:themeColor="text1"/>
                <w:sz w:val="22"/>
              </w:rPr>
            </w:pPr>
            <w:r w:rsidRPr="00A07AC4">
              <w:rPr>
                <w:color w:val="000000" w:themeColor="text1"/>
                <w:sz w:val="22"/>
              </w:rPr>
              <w:t>120</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Kokapstrādes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281</w:t>
            </w:r>
          </w:p>
        </w:tc>
        <w:tc>
          <w:tcPr>
            <w:tcW w:w="529" w:type="pct"/>
            <w:noWrap/>
          </w:tcPr>
          <w:p w:rsidR="00966CC9" w:rsidRPr="00A07AC4" w:rsidRDefault="00966CC9">
            <w:pPr>
              <w:jc w:val="center"/>
              <w:rPr>
                <w:color w:val="000000" w:themeColor="text1"/>
                <w:sz w:val="22"/>
              </w:rPr>
            </w:pPr>
            <w:r w:rsidRPr="00A07AC4">
              <w:rPr>
                <w:color w:val="000000" w:themeColor="text1"/>
                <w:sz w:val="22"/>
              </w:rPr>
              <w:t>429</w:t>
            </w:r>
          </w:p>
        </w:tc>
        <w:tc>
          <w:tcPr>
            <w:tcW w:w="529" w:type="pct"/>
            <w:noWrap/>
          </w:tcPr>
          <w:p w:rsidR="00966CC9" w:rsidRPr="00A07AC4" w:rsidRDefault="00966CC9">
            <w:pPr>
              <w:jc w:val="center"/>
              <w:rPr>
                <w:color w:val="000000" w:themeColor="text1"/>
                <w:sz w:val="22"/>
              </w:rPr>
            </w:pPr>
            <w:r w:rsidRPr="00A07AC4">
              <w:rPr>
                <w:color w:val="000000" w:themeColor="text1"/>
                <w:sz w:val="22"/>
              </w:rPr>
              <w:t>563</w:t>
            </w:r>
          </w:p>
        </w:tc>
        <w:tc>
          <w:tcPr>
            <w:tcW w:w="531" w:type="pct"/>
            <w:noWrap/>
          </w:tcPr>
          <w:p w:rsidR="00966CC9" w:rsidRPr="00A07AC4" w:rsidRDefault="00966CC9">
            <w:pPr>
              <w:jc w:val="center"/>
              <w:rPr>
                <w:color w:val="000000" w:themeColor="text1"/>
                <w:sz w:val="22"/>
              </w:rPr>
            </w:pPr>
            <w:r w:rsidRPr="00A07AC4">
              <w:rPr>
                <w:color w:val="000000" w:themeColor="text1"/>
                <w:sz w:val="22"/>
              </w:rPr>
              <w:t>678</w:t>
            </w:r>
          </w:p>
        </w:tc>
        <w:tc>
          <w:tcPr>
            <w:tcW w:w="532" w:type="pct"/>
            <w:noWrap/>
          </w:tcPr>
          <w:p w:rsidR="00966CC9" w:rsidRPr="00A07AC4" w:rsidRDefault="00966CC9">
            <w:pPr>
              <w:jc w:val="center"/>
              <w:rPr>
                <w:color w:val="000000" w:themeColor="text1"/>
                <w:sz w:val="22"/>
              </w:rPr>
            </w:pPr>
            <w:r w:rsidRPr="00A07AC4">
              <w:rPr>
                <w:color w:val="000000" w:themeColor="text1"/>
                <w:sz w:val="22"/>
              </w:rPr>
              <w:t>815</w:t>
            </w:r>
          </w:p>
        </w:tc>
      </w:tr>
      <w:tr w:rsidR="00A07AC4" w:rsidRPr="00A07AC4" w:rsidTr="00A07AC4">
        <w:trPr>
          <w:trHeight w:val="255"/>
        </w:trPr>
        <w:tc>
          <w:tcPr>
            <w:tcW w:w="2349" w:type="pct"/>
            <w:noWrap/>
          </w:tcPr>
          <w:p w:rsidR="00966CC9" w:rsidRPr="00A07AC4" w:rsidRDefault="00966CC9" w:rsidP="00E029AE">
            <w:pPr>
              <w:pStyle w:val="Tekststabula"/>
              <w:jc w:val="right"/>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Pārējā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409</w:t>
            </w:r>
          </w:p>
        </w:tc>
        <w:tc>
          <w:tcPr>
            <w:tcW w:w="529" w:type="pct"/>
            <w:noWrap/>
          </w:tcPr>
          <w:p w:rsidR="00966CC9" w:rsidRPr="00A07AC4" w:rsidRDefault="00966CC9">
            <w:pPr>
              <w:jc w:val="center"/>
              <w:rPr>
                <w:color w:val="000000" w:themeColor="text1"/>
                <w:sz w:val="22"/>
              </w:rPr>
            </w:pPr>
            <w:r w:rsidRPr="00A07AC4">
              <w:rPr>
                <w:color w:val="000000" w:themeColor="text1"/>
                <w:sz w:val="22"/>
              </w:rPr>
              <w:t>668</w:t>
            </w:r>
          </w:p>
        </w:tc>
        <w:tc>
          <w:tcPr>
            <w:tcW w:w="529" w:type="pct"/>
            <w:noWrap/>
          </w:tcPr>
          <w:p w:rsidR="00966CC9" w:rsidRPr="00A07AC4" w:rsidRDefault="00966CC9">
            <w:pPr>
              <w:jc w:val="center"/>
              <w:rPr>
                <w:color w:val="000000" w:themeColor="text1"/>
                <w:sz w:val="22"/>
              </w:rPr>
            </w:pPr>
            <w:r w:rsidRPr="00A07AC4">
              <w:rPr>
                <w:color w:val="000000" w:themeColor="text1"/>
                <w:sz w:val="22"/>
              </w:rPr>
              <w:t>898</w:t>
            </w:r>
          </w:p>
        </w:tc>
        <w:tc>
          <w:tcPr>
            <w:tcW w:w="531" w:type="pct"/>
            <w:noWrap/>
          </w:tcPr>
          <w:p w:rsidR="00966CC9" w:rsidRPr="00A07AC4" w:rsidRDefault="00966CC9">
            <w:pPr>
              <w:jc w:val="center"/>
              <w:rPr>
                <w:color w:val="000000" w:themeColor="text1"/>
                <w:sz w:val="22"/>
              </w:rPr>
            </w:pPr>
            <w:r w:rsidRPr="00A07AC4">
              <w:rPr>
                <w:color w:val="000000" w:themeColor="text1"/>
                <w:sz w:val="22"/>
              </w:rPr>
              <w:t>1120</w:t>
            </w:r>
          </w:p>
        </w:tc>
        <w:tc>
          <w:tcPr>
            <w:tcW w:w="532" w:type="pct"/>
            <w:noWrap/>
          </w:tcPr>
          <w:p w:rsidR="00966CC9" w:rsidRPr="00A07AC4" w:rsidRDefault="00966CC9">
            <w:pPr>
              <w:jc w:val="center"/>
              <w:rPr>
                <w:color w:val="000000" w:themeColor="text1"/>
                <w:sz w:val="22"/>
              </w:rPr>
            </w:pPr>
            <w:r w:rsidRPr="00A07AC4">
              <w:rPr>
                <w:color w:val="000000" w:themeColor="text1"/>
                <w:sz w:val="22"/>
              </w:rPr>
              <w:t>1367</w:t>
            </w:r>
          </w:p>
        </w:tc>
      </w:tr>
      <w:tr w:rsidR="00A07AC4" w:rsidRPr="00A07AC4" w:rsidTr="00A07AC4">
        <w:trPr>
          <w:trHeight w:val="255"/>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Ieguves rūpniecība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54</w:t>
            </w:r>
          </w:p>
        </w:tc>
        <w:tc>
          <w:tcPr>
            <w:tcW w:w="529" w:type="pct"/>
            <w:noWrap/>
          </w:tcPr>
          <w:p w:rsidR="00966CC9" w:rsidRPr="00A07AC4" w:rsidRDefault="00966CC9">
            <w:pPr>
              <w:jc w:val="center"/>
              <w:rPr>
                <w:color w:val="000000" w:themeColor="text1"/>
                <w:sz w:val="22"/>
              </w:rPr>
            </w:pPr>
            <w:r w:rsidRPr="00A07AC4">
              <w:rPr>
                <w:color w:val="000000" w:themeColor="text1"/>
                <w:sz w:val="22"/>
              </w:rPr>
              <w:t>62</w:t>
            </w:r>
          </w:p>
        </w:tc>
        <w:tc>
          <w:tcPr>
            <w:tcW w:w="529" w:type="pct"/>
            <w:noWrap/>
          </w:tcPr>
          <w:p w:rsidR="00966CC9" w:rsidRPr="00A07AC4" w:rsidRDefault="00966CC9">
            <w:pPr>
              <w:jc w:val="center"/>
              <w:rPr>
                <w:color w:val="000000" w:themeColor="text1"/>
                <w:sz w:val="22"/>
              </w:rPr>
            </w:pPr>
            <w:r w:rsidRPr="00A07AC4">
              <w:rPr>
                <w:color w:val="000000" w:themeColor="text1"/>
                <w:sz w:val="22"/>
              </w:rPr>
              <w:t>71</w:t>
            </w:r>
          </w:p>
        </w:tc>
        <w:tc>
          <w:tcPr>
            <w:tcW w:w="531" w:type="pct"/>
            <w:noWrap/>
          </w:tcPr>
          <w:p w:rsidR="00966CC9" w:rsidRPr="00A07AC4" w:rsidRDefault="00966CC9">
            <w:pPr>
              <w:jc w:val="center"/>
              <w:rPr>
                <w:color w:val="000000" w:themeColor="text1"/>
                <w:sz w:val="22"/>
              </w:rPr>
            </w:pPr>
            <w:r w:rsidRPr="00A07AC4">
              <w:rPr>
                <w:color w:val="000000" w:themeColor="text1"/>
                <w:sz w:val="22"/>
              </w:rPr>
              <w:t>82</w:t>
            </w:r>
          </w:p>
        </w:tc>
        <w:tc>
          <w:tcPr>
            <w:tcW w:w="532" w:type="pct"/>
            <w:noWrap/>
          </w:tcPr>
          <w:p w:rsidR="00966CC9" w:rsidRPr="00A07AC4" w:rsidRDefault="00966CC9">
            <w:pPr>
              <w:jc w:val="center"/>
              <w:rPr>
                <w:color w:val="000000" w:themeColor="text1"/>
                <w:sz w:val="22"/>
              </w:rPr>
            </w:pPr>
            <w:r w:rsidRPr="00A07AC4">
              <w:rPr>
                <w:color w:val="000000" w:themeColor="text1"/>
                <w:sz w:val="22"/>
              </w:rPr>
              <w:t>93</w:t>
            </w:r>
          </w:p>
        </w:tc>
      </w:tr>
      <w:tr w:rsidR="00A07AC4" w:rsidRPr="00A07AC4" w:rsidTr="00A07AC4">
        <w:trPr>
          <w:trHeight w:val="127"/>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lastRenderedPageBreak/>
              <w:t>Būvniecība</w:t>
            </w:r>
          </w:p>
        </w:tc>
        <w:tc>
          <w:tcPr>
            <w:tcW w:w="529" w:type="pct"/>
            <w:noWrap/>
          </w:tcPr>
          <w:p w:rsidR="00966CC9" w:rsidRPr="00A07AC4" w:rsidRDefault="00966CC9">
            <w:pPr>
              <w:jc w:val="center"/>
              <w:rPr>
                <w:color w:val="000000" w:themeColor="text1"/>
                <w:sz w:val="22"/>
              </w:rPr>
            </w:pPr>
            <w:r w:rsidRPr="00A07AC4">
              <w:rPr>
                <w:color w:val="000000" w:themeColor="text1"/>
                <w:sz w:val="22"/>
              </w:rPr>
              <w:t>537</w:t>
            </w:r>
          </w:p>
        </w:tc>
        <w:tc>
          <w:tcPr>
            <w:tcW w:w="529" w:type="pct"/>
            <w:noWrap/>
          </w:tcPr>
          <w:p w:rsidR="00966CC9" w:rsidRPr="00A07AC4" w:rsidRDefault="00966CC9">
            <w:pPr>
              <w:jc w:val="center"/>
              <w:rPr>
                <w:color w:val="000000" w:themeColor="text1"/>
                <w:sz w:val="22"/>
              </w:rPr>
            </w:pPr>
            <w:r w:rsidRPr="00A07AC4">
              <w:rPr>
                <w:color w:val="000000" w:themeColor="text1"/>
                <w:sz w:val="22"/>
              </w:rPr>
              <w:t>853</w:t>
            </w:r>
          </w:p>
        </w:tc>
        <w:tc>
          <w:tcPr>
            <w:tcW w:w="529" w:type="pct"/>
            <w:noWrap/>
          </w:tcPr>
          <w:p w:rsidR="00966CC9" w:rsidRPr="00A07AC4" w:rsidRDefault="00966CC9">
            <w:pPr>
              <w:jc w:val="center"/>
              <w:rPr>
                <w:color w:val="000000" w:themeColor="text1"/>
                <w:sz w:val="22"/>
              </w:rPr>
            </w:pPr>
            <w:r w:rsidRPr="00A07AC4">
              <w:rPr>
                <w:color w:val="000000" w:themeColor="text1"/>
                <w:sz w:val="22"/>
              </w:rPr>
              <w:t>1210</w:t>
            </w:r>
          </w:p>
        </w:tc>
        <w:tc>
          <w:tcPr>
            <w:tcW w:w="531" w:type="pct"/>
            <w:noWrap/>
          </w:tcPr>
          <w:p w:rsidR="00966CC9" w:rsidRPr="00A07AC4" w:rsidRDefault="00966CC9">
            <w:pPr>
              <w:jc w:val="center"/>
              <w:rPr>
                <w:color w:val="000000" w:themeColor="text1"/>
                <w:sz w:val="22"/>
              </w:rPr>
            </w:pPr>
            <w:r w:rsidRPr="00A07AC4">
              <w:rPr>
                <w:color w:val="000000" w:themeColor="text1"/>
                <w:sz w:val="22"/>
              </w:rPr>
              <w:t>1450</w:t>
            </w:r>
          </w:p>
        </w:tc>
        <w:tc>
          <w:tcPr>
            <w:tcW w:w="532" w:type="pct"/>
            <w:noWrap/>
          </w:tcPr>
          <w:p w:rsidR="00966CC9" w:rsidRPr="00A07AC4" w:rsidRDefault="00966CC9">
            <w:pPr>
              <w:jc w:val="center"/>
              <w:rPr>
                <w:color w:val="000000" w:themeColor="text1"/>
                <w:sz w:val="22"/>
              </w:rPr>
            </w:pPr>
            <w:r w:rsidRPr="00A07AC4">
              <w:rPr>
                <w:color w:val="000000" w:themeColor="text1"/>
                <w:sz w:val="22"/>
              </w:rPr>
              <w:t>1718</w:t>
            </w:r>
          </w:p>
        </w:tc>
      </w:tr>
      <w:tr w:rsidR="00A07AC4" w:rsidRPr="00A07AC4" w:rsidTr="00A07AC4">
        <w:trPr>
          <w:trHeight w:val="233"/>
        </w:trPr>
        <w:tc>
          <w:tcPr>
            <w:tcW w:w="2349" w:type="pct"/>
            <w:noWrap/>
          </w:tcPr>
          <w:p w:rsidR="00966CC9" w:rsidRPr="00A07AC4" w:rsidRDefault="00966CC9" w:rsidP="00E029AE">
            <w:pPr>
              <w:pStyle w:val="Tekststabula"/>
              <w:rPr>
                <w:rFonts w:ascii="Times New Roman" w:hAnsi="Times New Roman"/>
                <w:b/>
                <w:color w:val="000000" w:themeColor="text1"/>
                <w:sz w:val="22"/>
                <w:lang w:eastAsia="lv-LV" w:bidi="ar-SA"/>
              </w:rPr>
            </w:pPr>
            <w:r w:rsidRPr="00A07AC4">
              <w:rPr>
                <w:rFonts w:ascii="Times New Roman" w:hAnsi="Times New Roman"/>
                <w:b/>
                <w:color w:val="000000" w:themeColor="text1"/>
                <w:sz w:val="22"/>
                <w:lang w:eastAsia="lv-LV" w:bidi="ar-SA"/>
              </w:rPr>
              <w:t>Pārveidošanas sektors</w:t>
            </w:r>
          </w:p>
        </w:tc>
        <w:tc>
          <w:tcPr>
            <w:tcW w:w="529" w:type="pct"/>
            <w:noWrap/>
          </w:tcPr>
          <w:p w:rsidR="00966CC9" w:rsidRPr="00A07AC4" w:rsidRDefault="00966CC9">
            <w:pPr>
              <w:jc w:val="center"/>
              <w:rPr>
                <w:color w:val="000000" w:themeColor="text1"/>
                <w:sz w:val="22"/>
              </w:rPr>
            </w:pPr>
            <w:r w:rsidRPr="00A07AC4">
              <w:rPr>
                <w:color w:val="000000" w:themeColor="text1"/>
                <w:sz w:val="22"/>
              </w:rPr>
              <w:t>270</w:t>
            </w:r>
          </w:p>
        </w:tc>
        <w:tc>
          <w:tcPr>
            <w:tcW w:w="529" w:type="pct"/>
            <w:noWrap/>
          </w:tcPr>
          <w:p w:rsidR="00966CC9" w:rsidRPr="00A07AC4" w:rsidRDefault="00966CC9">
            <w:pPr>
              <w:jc w:val="center"/>
              <w:rPr>
                <w:color w:val="000000" w:themeColor="text1"/>
                <w:sz w:val="22"/>
              </w:rPr>
            </w:pPr>
            <w:r w:rsidRPr="00A07AC4">
              <w:rPr>
                <w:color w:val="000000" w:themeColor="text1"/>
                <w:sz w:val="22"/>
              </w:rPr>
              <w:t>305</w:t>
            </w:r>
          </w:p>
        </w:tc>
        <w:tc>
          <w:tcPr>
            <w:tcW w:w="529" w:type="pct"/>
            <w:noWrap/>
          </w:tcPr>
          <w:p w:rsidR="00966CC9" w:rsidRPr="00A07AC4" w:rsidRDefault="00966CC9">
            <w:pPr>
              <w:jc w:val="center"/>
              <w:rPr>
                <w:color w:val="000000" w:themeColor="text1"/>
                <w:sz w:val="22"/>
              </w:rPr>
            </w:pPr>
            <w:r w:rsidRPr="00A07AC4">
              <w:rPr>
                <w:color w:val="000000" w:themeColor="text1"/>
                <w:sz w:val="22"/>
              </w:rPr>
              <w:t>352</w:t>
            </w:r>
          </w:p>
        </w:tc>
        <w:tc>
          <w:tcPr>
            <w:tcW w:w="531" w:type="pct"/>
            <w:noWrap/>
          </w:tcPr>
          <w:p w:rsidR="00966CC9" w:rsidRPr="00A07AC4" w:rsidRDefault="00966CC9">
            <w:pPr>
              <w:jc w:val="center"/>
              <w:rPr>
                <w:color w:val="000000" w:themeColor="text1"/>
                <w:sz w:val="22"/>
              </w:rPr>
            </w:pPr>
            <w:r w:rsidRPr="00A07AC4">
              <w:rPr>
                <w:color w:val="000000" w:themeColor="text1"/>
                <w:sz w:val="22"/>
              </w:rPr>
              <w:t>408</w:t>
            </w:r>
          </w:p>
        </w:tc>
        <w:tc>
          <w:tcPr>
            <w:tcW w:w="532" w:type="pct"/>
            <w:noWrap/>
          </w:tcPr>
          <w:p w:rsidR="00966CC9" w:rsidRPr="00A07AC4" w:rsidRDefault="00966CC9">
            <w:pPr>
              <w:jc w:val="center"/>
              <w:rPr>
                <w:color w:val="000000" w:themeColor="text1"/>
                <w:sz w:val="22"/>
              </w:rPr>
            </w:pPr>
            <w:r w:rsidRPr="00A07AC4">
              <w:rPr>
                <w:color w:val="000000" w:themeColor="text1"/>
                <w:sz w:val="22"/>
              </w:rPr>
              <w:t>465</w:t>
            </w:r>
          </w:p>
        </w:tc>
      </w:tr>
    </w:tbl>
    <w:p w:rsidR="00267EA5" w:rsidRPr="003D48F5" w:rsidRDefault="00267EA5" w:rsidP="00267EA5">
      <w:pPr>
        <w:pStyle w:val="BodyText"/>
        <w:rPr>
          <w:rFonts w:ascii="Times New Roman" w:hAnsi="Times New Roman"/>
        </w:rPr>
      </w:pPr>
    </w:p>
    <w:p w:rsidR="00267EA5" w:rsidRPr="003D48F5" w:rsidRDefault="00791DBA" w:rsidP="00960CB5">
      <w:pPr>
        <w:pStyle w:val="Caption"/>
        <w:spacing w:line="240" w:lineRule="auto"/>
        <w:jc w:val="both"/>
        <w:rPr>
          <w:rFonts w:ascii="Times New Roman" w:eastAsiaTheme="minorHAnsi" w:hAnsi="Times New Roman"/>
          <w:caps w:val="0"/>
          <w:spacing w:val="0"/>
          <w:sz w:val="28"/>
          <w:szCs w:val="28"/>
          <w:lang w:val="lv-LV" w:bidi="ar-SA"/>
        </w:rPr>
      </w:pPr>
      <w:r w:rsidRPr="003D48F5">
        <w:rPr>
          <w:rFonts w:ascii="Times New Roman" w:eastAsiaTheme="minorHAnsi" w:hAnsi="Times New Roman"/>
          <w:caps w:val="0"/>
          <w:spacing w:val="0"/>
          <w:sz w:val="28"/>
          <w:szCs w:val="28"/>
          <w:lang w:val="lv-LV" w:bidi="ar-SA"/>
        </w:rPr>
        <w:tab/>
      </w:r>
      <w:r w:rsidR="00FF7FCA" w:rsidRPr="003D48F5">
        <w:rPr>
          <w:rFonts w:ascii="Times New Roman" w:eastAsiaTheme="minorHAnsi" w:hAnsi="Times New Roman"/>
          <w:caps w:val="0"/>
          <w:spacing w:val="0"/>
          <w:sz w:val="28"/>
          <w:szCs w:val="28"/>
          <w:lang w:val="lv-LV" w:bidi="ar-SA"/>
        </w:rPr>
        <w:t>2</w:t>
      </w:r>
      <w:r w:rsidR="00267EA5" w:rsidRPr="003D48F5">
        <w:rPr>
          <w:rFonts w:ascii="Times New Roman" w:eastAsiaTheme="minorHAnsi" w:hAnsi="Times New Roman"/>
          <w:caps w:val="0"/>
          <w:spacing w:val="0"/>
          <w:sz w:val="28"/>
          <w:szCs w:val="28"/>
          <w:lang w:val="lv-LV" w:bidi="ar-SA"/>
        </w:rPr>
        <w:t xml:space="preserve">. attēlā ir parādīta Ekonomikas ministrijas ilgtermiņa IKP prognoze līdz 2030. gadam atsevišķi </w:t>
      </w:r>
      <w:proofErr w:type="spellStart"/>
      <w:r w:rsidR="00267EA5" w:rsidRPr="003D48F5">
        <w:rPr>
          <w:rFonts w:ascii="Times New Roman" w:eastAsiaTheme="minorHAnsi" w:hAnsi="Times New Roman"/>
          <w:caps w:val="0"/>
          <w:spacing w:val="0"/>
          <w:sz w:val="28"/>
          <w:szCs w:val="28"/>
          <w:lang w:val="lv-LV" w:bidi="ar-SA"/>
        </w:rPr>
        <w:t>agregētām</w:t>
      </w:r>
      <w:proofErr w:type="spellEnd"/>
      <w:r w:rsidR="00267EA5" w:rsidRPr="003D48F5">
        <w:rPr>
          <w:rFonts w:ascii="Times New Roman" w:eastAsiaTheme="minorHAnsi" w:hAnsi="Times New Roman"/>
          <w:caps w:val="0"/>
          <w:spacing w:val="0"/>
          <w:sz w:val="28"/>
          <w:szCs w:val="28"/>
          <w:lang w:val="lv-LV" w:bidi="ar-SA"/>
        </w:rPr>
        <w:t xml:space="preserve"> nozarēm atbilstoši energoresursu bilances enerģijas gala patēriņa sektoriem, </w:t>
      </w:r>
      <w:proofErr w:type="spellStart"/>
      <w:r w:rsidR="00267EA5" w:rsidRPr="003D48F5">
        <w:rPr>
          <w:rFonts w:ascii="Times New Roman" w:eastAsiaTheme="minorHAnsi" w:hAnsi="Times New Roman"/>
          <w:caps w:val="0"/>
          <w:spacing w:val="0"/>
          <w:sz w:val="28"/>
          <w:szCs w:val="28"/>
          <w:lang w:val="lv-LV" w:bidi="ar-SA"/>
        </w:rPr>
        <w:t>t.i</w:t>
      </w:r>
      <w:proofErr w:type="spellEnd"/>
      <w:r w:rsidR="00267EA5" w:rsidRPr="003D48F5">
        <w:rPr>
          <w:rFonts w:ascii="Times New Roman" w:eastAsiaTheme="minorHAnsi" w:hAnsi="Times New Roman"/>
          <w:caps w:val="0"/>
          <w:spacing w:val="0"/>
          <w:sz w:val="28"/>
          <w:szCs w:val="28"/>
          <w:lang w:val="lv-LV" w:bidi="ar-SA"/>
        </w:rPr>
        <w:t xml:space="preserve">., rūpniecība, pakalpojumi, lauksaimniecība un daļēji transports. Apstrādes rūpniecības nozaru struktūra ir redzama </w:t>
      </w:r>
      <w:r w:rsidR="00FF7FCA" w:rsidRPr="003D48F5">
        <w:rPr>
          <w:rFonts w:ascii="Times New Roman" w:eastAsiaTheme="minorHAnsi" w:hAnsi="Times New Roman"/>
          <w:caps w:val="0"/>
          <w:spacing w:val="0"/>
          <w:sz w:val="28"/>
          <w:szCs w:val="28"/>
          <w:lang w:val="lv-LV" w:bidi="ar-SA"/>
        </w:rPr>
        <w:t>3</w:t>
      </w:r>
      <w:r w:rsidR="00CF55BC">
        <w:rPr>
          <w:rFonts w:ascii="Times New Roman" w:eastAsiaTheme="minorHAnsi" w:hAnsi="Times New Roman"/>
          <w:caps w:val="0"/>
          <w:spacing w:val="0"/>
          <w:sz w:val="28"/>
          <w:szCs w:val="28"/>
          <w:lang w:val="lv-LV" w:bidi="ar-SA"/>
        </w:rPr>
        <w:t>. </w:t>
      </w:r>
      <w:r w:rsidRPr="003D48F5">
        <w:rPr>
          <w:rFonts w:ascii="Times New Roman" w:eastAsiaTheme="minorHAnsi" w:hAnsi="Times New Roman"/>
          <w:caps w:val="0"/>
          <w:spacing w:val="0"/>
          <w:sz w:val="28"/>
          <w:szCs w:val="28"/>
          <w:lang w:val="lv-LV" w:bidi="ar-SA"/>
        </w:rPr>
        <w:t>attēlā</w:t>
      </w:r>
      <w:r w:rsidR="00267EA5" w:rsidRPr="003D48F5">
        <w:rPr>
          <w:rFonts w:ascii="Times New Roman" w:eastAsiaTheme="minorHAnsi" w:hAnsi="Times New Roman"/>
          <w:caps w:val="0"/>
          <w:spacing w:val="0"/>
          <w:sz w:val="28"/>
          <w:szCs w:val="28"/>
          <w:lang w:val="lv-LV" w:bidi="ar-SA"/>
        </w:rPr>
        <w:t>.</w:t>
      </w:r>
    </w:p>
    <w:p w:rsidR="00267EA5" w:rsidRPr="003D48F5" w:rsidRDefault="00267EA5" w:rsidP="00CE55AA">
      <w:pPr>
        <w:pStyle w:val="Caption"/>
        <w:spacing w:after="0" w:line="240" w:lineRule="auto"/>
        <w:rPr>
          <w:rFonts w:ascii="Times New Roman" w:hAnsi="Times New Roman"/>
          <w:lang w:val="lv-LV"/>
        </w:rPr>
      </w:pPr>
      <w:bookmarkStart w:id="6" w:name="OLE_LINK153"/>
      <w:bookmarkStart w:id="7" w:name="OLE_LINK154"/>
      <w:r w:rsidRPr="003D48F5">
        <w:rPr>
          <w:rFonts w:ascii="Times New Roman" w:hAnsi="Times New Roman"/>
          <w:noProof/>
          <w:lang w:val="lv-LV" w:eastAsia="lv-LV" w:bidi="ar-SA"/>
        </w:rPr>
        <w:drawing>
          <wp:inline distT="0" distB="0" distL="0" distR="0" wp14:anchorId="4F627C8C" wp14:editId="1050E8B8">
            <wp:extent cx="52768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bookmarkEnd w:id="6"/>
      <w:bookmarkEnd w:id="7"/>
    </w:p>
    <w:p w:rsidR="00267EA5" w:rsidRPr="007F7ECF" w:rsidRDefault="00FF7FCA" w:rsidP="00267EA5">
      <w:pPr>
        <w:pStyle w:val="Caption"/>
        <w:rPr>
          <w:rFonts w:ascii="Times New Roman" w:eastAsiaTheme="minorHAnsi" w:hAnsi="Times New Roman"/>
          <w:b/>
          <w:caps w:val="0"/>
          <w:spacing w:val="0"/>
          <w:sz w:val="20"/>
          <w:szCs w:val="20"/>
          <w:lang w:val="lv-LV" w:bidi="ar-SA"/>
        </w:rPr>
      </w:pPr>
      <w:bookmarkStart w:id="8" w:name="_Ref369857327"/>
      <w:bookmarkStart w:id="9" w:name="OLE_LINK16"/>
      <w:bookmarkStart w:id="10" w:name="OLE_LINK17"/>
      <w:r w:rsidRPr="003D48F5">
        <w:rPr>
          <w:rFonts w:ascii="Times New Roman" w:hAnsi="Times New Roman"/>
          <w:b/>
          <w:sz w:val="24"/>
          <w:szCs w:val="22"/>
          <w:lang w:val="lv-LV"/>
        </w:rPr>
        <w:t>2</w:t>
      </w:r>
      <w:r w:rsidR="00791DBA" w:rsidRPr="003D48F5">
        <w:rPr>
          <w:rFonts w:ascii="Times New Roman" w:eastAsiaTheme="minorHAnsi" w:hAnsi="Times New Roman"/>
          <w:b/>
          <w:caps w:val="0"/>
          <w:spacing w:val="0"/>
          <w:sz w:val="24"/>
          <w:szCs w:val="28"/>
          <w:lang w:val="lv-LV" w:bidi="ar-SA"/>
        </w:rPr>
        <w:t>. attēl</w:t>
      </w:r>
      <w:bookmarkEnd w:id="8"/>
      <w:r w:rsidR="00791DBA" w:rsidRPr="003D48F5">
        <w:rPr>
          <w:rFonts w:ascii="Times New Roman" w:eastAsiaTheme="minorHAnsi" w:hAnsi="Times New Roman"/>
          <w:b/>
          <w:caps w:val="0"/>
          <w:spacing w:val="0"/>
          <w:sz w:val="24"/>
          <w:szCs w:val="28"/>
          <w:lang w:val="lv-LV" w:bidi="ar-SA"/>
        </w:rPr>
        <w:t>s</w:t>
      </w:r>
      <w:r w:rsidR="00C64746">
        <w:rPr>
          <w:rFonts w:ascii="Times New Roman" w:eastAsiaTheme="minorHAnsi" w:hAnsi="Times New Roman"/>
          <w:b/>
          <w:caps w:val="0"/>
          <w:spacing w:val="0"/>
          <w:sz w:val="24"/>
          <w:szCs w:val="28"/>
          <w:lang w:val="lv-LV" w:bidi="ar-SA"/>
        </w:rPr>
        <w:t>.</w:t>
      </w:r>
      <w:r w:rsidR="00267EA5" w:rsidRPr="003D48F5">
        <w:rPr>
          <w:rFonts w:ascii="Times New Roman" w:eastAsiaTheme="minorHAnsi" w:hAnsi="Times New Roman"/>
          <w:b/>
          <w:caps w:val="0"/>
          <w:spacing w:val="0"/>
          <w:sz w:val="24"/>
          <w:szCs w:val="28"/>
          <w:lang w:val="lv-LV" w:bidi="ar-SA"/>
        </w:rPr>
        <w:t xml:space="preserve"> IKP prognoze 2000. gada cenās, MLVL</w:t>
      </w:r>
      <w:r w:rsidR="00E029AE" w:rsidRPr="003D48F5">
        <w:rPr>
          <w:rFonts w:ascii="Times New Roman" w:eastAsiaTheme="minorHAnsi" w:hAnsi="Times New Roman"/>
          <w:b/>
          <w:caps w:val="0"/>
          <w:spacing w:val="0"/>
          <w:sz w:val="24"/>
          <w:szCs w:val="28"/>
          <w:lang w:val="lv-LV" w:bidi="ar-SA"/>
        </w:rPr>
        <w:t xml:space="preserve"> </w:t>
      </w:r>
      <w:r w:rsidR="00267EA5" w:rsidRPr="003D48F5">
        <w:rPr>
          <w:rFonts w:ascii="Times New Roman" w:eastAsiaTheme="minorHAnsi" w:hAnsi="Times New Roman"/>
          <w:b/>
          <w:caps w:val="0"/>
          <w:spacing w:val="0"/>
          <w:sz w:val="24"/>
          <w:szCs w:val="28"/>
          <w:lang w:val="lv-LV" w:bidi="ar-SA"/>
        </w:rPr>
        <w:t>(2000)</w:t>
      </w:r>
      <w:r w:rsidR="00AF0476">
        <w:rPr>
          <w:rFonts w:ascii="Times New Roman" w:eastAsiaTheme="minorHAnsi" w:hAnsi="Times New Roman"/>
          <w:b/>
          <w:caps w:val="0"/>
          <w:spacing w:val="0"/>
          <w:sz w:val="24"/>
          <w:szCs w:val="28"/>
          <w:lang w:val="lv-LV" w:bidi="ar-SA"/>
        </w:rPr>
        <w:t xml:space="preserve"> </w:t>
      </w:r>
      <w:r w:rsidR="00AF0476" w:rsidRPr="007F7ECF">
        <w:rPr>
          <w:rFonts w:ascii="Times New Roman" w:eastAsiaTheme="minorHAnsi" w:hAnsi="Times New Roman"/>
          <w:b/>
          <w:caps w:val="0"/>
          <w:spacing w:val="0"/>
          <w:sz w:val="20"/>
          <w:szCs w:val="20"/>
          <w:lang w:val="lv-LV" w:bidi="ar-SA"/>
        </w:rPr>
        <w:t>(Ekonomikas ministrija prognoze)</w:t>
      </w:r>
    </w:p>
    <w:bookmarkEnd w:id="9"/>
    <w:bookmarkEnd w:id="10"/>
    <w:p w:rsidR="00267EA5" w:rsidRPr="003D48F5" w:rsidRDefault="00267EA5" w:rsidP="00CE55AA">
      <w:pPr>
        <w:pStyle w:val="Caption"/>
        <w:spacing w:after="0" w:line="240" w:lineRule="auto"/>
        <w:rPr>
          <w:rFonts w:ascii="Times New Roman" w:hAnsi="Times New Roman"/>
          <w:lang w:val="lv-LV"/>
        </w:rPr>
      </w:pPr>
      <w:r w:rsidRPr="003D48F5">
        <w:rPr>
          <w:rFonts w:ascii="Times New Roman" w:hAnsi="Times New Roman"/>
          <w:noProof/>
          <w:lang w:val="lv-LV" w:eastAsia="lv-LV" w:bidi="ar-SA"/>
        </w:rPr>
        <w:drawing>
          <wp:inline distT="0" distB="0" distL="0" distR="0" wp14:anchorId="0AFC96DD" wp14:editId="173462B8">
            <wp:extent cx="526732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571750"/>
                    </a:xfrm>
                    <a:prstGeom prst="rect">
                      <a:avLst/>
                    </a:prstGeom>
                    <a:noFill/>
                    <a:ln>
                      <a:noFill/>
                    </a:ln>
                  </pic:spPr>
                </pic:pic>
              </a:graphicData>
            </a:graphic>
          </wp:inline>
        </w:drawing>
      </w:r>
    </w:p>
    <w:p w:rsidR="00267EA5" w:rsidRPr="007F7ECF" w:rsidRDefault="00FF7FCA" w:rsidP="00267EA5">
      <w:pPr>
        <w:pStyle w:val="Caption"/>
        <w:rPr>
          <w:rFonts w:ascii="Times New Roman" w:eastAsiaTheme="minorHAnsi" w:hAnsi="Times New Roman"/>
          <w:b/>
          <w:caps w:val="0"/>
          <w:spacing w:val="0"/>
          <w:sz w:val="20"/>
          <w:szCs w:val="20"/>
          <w:lang w:val="lv-LV" w:bidi="ar-SA"/>
        </w:rPr>
      </w:pPr>
      <w:r w:rsidRPr="003D48F5">
        <w:rPr>
          <w:rFonts w:ascii="Times New Roman" w:eastAsiaTheme="minorHAnsi" w:hAnsi="Times New Roman"/>
          <w:b/>
          <w:caps w:val="0"/>
          <w:spacing w:val="0"/>
          <w:sz w:val="24"/>
          <w:szCs w:val="28"/>
          <w:lang w:val="lv-LV" w:bidi="ar-SA"/>
        </w:rPr>
        <w:t>3</w:t>
      </w:r>
      <w:r w:rsidR="00791DBA" w:rsidRPr="003D48F5">
        <w:rPr>
          <w:rFonts w:ascii="Times New Roman" w:eastAsiaTheme="minorHAnsi" w:hAnsi="Times New Roman"/>
          <w:b/>
          <w:caps w:val="0"/>
          <w:spacing w:val="0"/>
          <w:sz w:val="24"/>
          <w:szCs w:val="28"/>
          <w:lang w:val="lv-LV" w:bidi="ar-SA"/>
        </w:rPr>
        <w:t>. attēls</w:t>
      </w:r>
      <w:r w:rsidR="00C64746">
        <w:rPr>
          <w:rFonts w:ascii="Times New Roman" w:eastAsiaTheme="minorHAnsi" w:hAnsi="Times New Roman"/>
          <w:b/>
          <w:caps w:val="0"/>
          <w:spacing w:val="0"/>
          <w:sz w:val="24"/>
          <w:szCs w:val="28"/>
          <w:lang w:val="lv-LV" w:bidi="ar-SA"/>
        </w:rPr>
        <w:t>.</w:t>
      </w:r>
      <w:r w:rsidR="00267EA5" w:rsidRPr="003D48F5">
        <w:rPr>
          <w:rFonts w:ascii="Times New Roman" w:eastAsiaTheme="minorHAnsi" w:hAnsi="Times New Roman"/>
          <w:b/>
          <w:caps w:val="0"/>
          <w:spacing w:val="0"/>
          <w:sz w:val="24"/>
          <w:szCs w:val="28"/>
          <w:lang w:val="lv-LV" w:bidi="ar-SA"/>
        </w:rPr>
        <w:t xml:space="preserve"> IKP prognozes struktūra apstrādes rūpniecībā</w:t>
      </w:r>
      <w:r w:rsidR="00AF0476">
        <w:rPr>
          <w:rFonts w:ascii="Times New Roman" w:eastAsiaTheme="minorHAnsi" w:hAnsi="Times New Roman"/>
          <w:b/>
          <w:caps w:val="0"/>
          <w:spacing w:val="0"/>
          <w:sz w:val="24"/>
          <w:szCs w:val="28"/>
          <w:lang w:val="lv-LV" w:bidi="ar-SA"/>
        </w:rPr>
        <w:t xml:space="preserve"> </w:t>
      </w:r>
      <w:r w:rsidR="00AF0476" w:rsidRPr="007A3504">
        <w:rPr>
          <w:rFonts w:ascii="Times New Roman" w:eastAsiaTheme="minorHAnsi" w:hAnsi="Times New Roman"/>
          <w:b/>
          <w:caps w:val="0"/>
          <w:spacing w:val="0"/>
          <w:sz w:val="20"/>
          <w:szCs w:val="20"/>
          <w:lang w:val="lv-LV" w:bidi="ar-SA"/>
        </w:rPr>
        <w:t>(Ekonomikas ministrija prognoze)</w:t>
      </w:r>
    </w:p>
    <w:p w:rsidR="00267EA5" w:rsidRDefault="00791DBA" w:rsidP="00CE55AA">
      <w:pPr>
        <w:spacing w:after="0" w:line="240" w:lineRule="auto"/>
        <w:jc w:val="both"/>
        <w:rPr>
          <w:rFonts w:cs="Times New Roman"/>
          <w:szCs w:val="28"/>
        </w:rPr>
      </w:pPr>
      <w:r w:rsidRPr="003D48F5">
        <w:rPr>
          <w:rFonts w:cs="Times New Roman"/>
          <w:szCs w:val="28"/>
        </w:rPr>
        <w:tab/>
      </w:r>
      <w:r w:rsidR="00267EA5" w:rsidRPr="003D48F5">
        <w:rPr>
          <w:rFonts w:cs="Times New Roman"/>
          <w:szCs w:val="28"/>
        </w:rPr>
        <w:t>Enerģijas ietaupījuma novērtēšanai tika veikta divu alternatīvu Latvijas enerģētikas attīstības 2012.</w:t>
      </w:r>
      <w:r w:rsidR="00DB672A">
        <w:rPr>
          <w:rFonts w:cs="Times New Roman"/>
          <w:szCs w:val="28"/>
        </w:rPr>
        <w:t xml:space="preserve"> </w:t>
      </w:r>
      <w:r w:rsidR="00267EA5" w:rsidRPr="003D48F5">
        <w:rPr>
          <w:rFonts w:cs="Times New Roman"/>
          <w:szCs w:val="28"/>
        </w:rPr>
        <w:t>-</w:t>
      </w:r>
      <w:r w:rsidR="00DB672A">
        <w:rPr>
          <w:rFonts w:cs="Times New Roman"/>
          <w:szCs w:val="28"/>
        </w:rPr>
        <w:t xml:space="preserve"> </w:t>
      </w:r>
      <w:r w:rsidR="00267EA5" w:rsidRPr="003D48F5">
        <w:rPr>
          <w:rFonts w:cs="Times New Roman"/>
          <w:szCs w:val="28"/>
        </w:rPr>
        <w:t>2030.</w:t>
      </w:r>
      <w:r w:rsidR="00E029AE" w:rsidRPr="003D48F5">
        <w:rPr>
          <w:rFonts w:cs="Times New Roman"/>
          <w:szCs w:val="28"/>
        </w:rPr>
        <w:t> </w:t>
      </w:r>
      <w:r w:rsidR="00267EA5" w:rsidRPr="003D48F5">
        <w:rPr>
          <w:rFonts w:cs="Times New Roman"/>
          <w:szCs w:val="28"/>
        </w:rPr>
        <w:t>g</w:t>
      </w:r>
      <w:r w:rsidR="00070F1D" w:rsidRPr="003D48F5">
        <w:rPr>
          <w:rFonts w:cs="Times New Roman"/>
          <w:szCs w:val="28"/>
        </w:rPr>
        <w:t>adam</w:t>
      </w:r>
      <w:r w:rsidR="00267EA5" w:rsidRPr="003D48F5">
        <w:rPr>
          <w:rFonts w:cs="Times New Roman"/>
          <w:szCs w:val="28"/>
        </w:rPr>
        <w:t xml:space="preserve"> scenāriju modelēšana, nosakot raksturojošos </w:t>
      </w:r>
      <w:r w:rsidR="00267EA5" w:rsidRPr="00483156">
        <w:rPr>
          <w:rFonts w:cs="Times New Roman"/>
          <w:szCs w:val="28"/>
        </w:rPr>
        <w:t>parametrus</w:t>
      </w:r>
      <w:r w:rsidR="00267EA5" w:rsidRPr="003D48F5">
        <w:rPr>
          <w:rFonts w:cs="Times New Roman"/>
          <w:szCs w:val="28"/>
        </w:rPr>
        <w:t xml:space="preserve"> (</w:t>
      </w:r>
      <w:r w:rsidR="00267EA5" w:rsidRPr="00483156">
        <w:rPr>
          <w:rFonts w:cs="Times New Roman"/>
          <w:szCs w:val="28"/>
        </w:rPr>
        <w:t>primāro</w:t>
      </w:r>
      <w:r w:rsidR="00267EA5" w:rsidRPr="003D48F5">
        <w:rPr>
          <w:rFonts w:cs="Times New Roman"/>
          <w:szCs w:val="28"/>
        </w:rPr>
        <w:t xml:space="preserve"> resursu struktūra, gala enerģijas patēriņš, elektroenerģijas ražošanas struktūra, </w:t>
      </w:r>
      <w:r w:rsidR="00235802" w:rsidRPr="003D48F5">
        <w:rPr>
          <w:rFonts w:cs="Times New Roman"/>
          <w:szCs w:val="28"/>
        </w:rPr>
        <w:t xml:space="preserve">atjaunojamo energoresursu (turpmāk – </w:t>
      </w:r>
      <w:r w:rsidR="00267EA5" w:rsidRPr="00483156">
        <w:rPr>
          <w:rFonts w:cs="Times New Roman"/>
          <w:szCs w:val="28"/>
        </w:rPr>
        <w:t>AER</w:t>
      </w:r>
      <w:r w:rsidR="00235802" w:rsidRPr="003D48F5">
        <w:rPr>
          <w:rFonts w:cs="Times New Roman"/>
          <w:szCs w:val="28"/>
        </w:rPr>
        <w:t>)</w:t>
      </w:r>
      <w:r w:rsidR="00267EA5" w:rsidRPr="003D48F5">
        <w:rPr>
          <w:rFonts w:cs="Times New Roman"/>
          <w:szCs w:val="28"/>
        </w:rPr>
        <w:t xml:space="preserve"> izmantošana). Pirmajā scenārijā (bāzes scenārijs) tika ņemtas vērā pašreiz spēkā esošā Latvijas enerģētikas politika un tās īstenošanai paredzētie pasākumi, bet otrajā scenārijā papildus tika ņemti vērā plānotie enerģētikas </w:t>
      </w:r>
      <w:r w:rsidR="00267EA5" w:rsidRPr="003D48F5">
        <w:rPr>
          <w:rFonts w:cs="Times New Roman"/>
          <w:szCs w:val="28"/>
        </w:rPr>
        <w:lastRenderedPageBreak/>
        <w:t>politikas mērķi un to īstenošanai plānotie pasākumi (enerģijas efektivitātes politika uz 2020.</w:t>
      </w:r>
      <w:r w:rsidR="00E029AE" w:rsidRPr="003D48F5">
        <w:rPr>
          <w:rFonts w:cs="Times New Roman"/>
          <w:szCs w:val="28"/>
        </w:rPr>
        <w:t> </w:t>
      </w:r>
      <w:r w:rsidR="00267EA5" w:rsidRPr="003D48F5">
        <w:rPr>
          <w:rFonts w:cs="Times New Roman"/>
          <w:szCs w:val="28"/>
        </w:rPr>
        <w:t xml:space="preserve">gadu, </w:t>
      </w:r>
      <w:r w:rsidR="008C4591">
        <w:rPr>
          <w:rFonts w:cs="Times New Roman"/>
          <w:szCs w:val="28"/>
        </w:rPr>
        <w:t>atjaunojamās enerģijas</w:t>
      </w:r>
      <w:r w:rsidR="00267EA5" w:rsidRPr="003D48F5">
        <w:rPr>
          <w:rFonts w:cs="Times New Roman"/>
          <w:szCs w:val="28"/>
        </w:rPr>
        <w:t xml:space="preserve"> mērķi uz 2020.</w:t>
      </w:r>
      <w:r w:rsidR="00E029AE" w:rsidRPr="003D48F5">
        <w:rPr>
          <w:rFonts w:cs="Times New Roman"/>
          <w:szCs w:val="28"/>
        </w:rPr>
        <w:t> </w:t>
      </w:r>
      <w:r w:rsidR="00267EA5" w:rsidRPr="003D48F5">
        <w:rPr>
          <w:rFonts w:cs="Times New Roman"/>
          <w:szCs w:val="28"/>
        </w:rPr>
        <w:t xml:space="preserve">gadu, kā arī </w:t>
      </w:r>
      <w:r w:rsidR="00235802" w:rsidRPr="003D48F5">
        <w:rPr>
          <w:rFonts w:cs="Times New Roman"/>
          <w:szCs w:val="28"/>
        </w:rPr>
        <w:t>Latvijas Nacionālajā</w:t>
      </w:r>
      <w:r w:rsidR="00CF55BC">
        <w:rPr>
          <w:rFonts w:cs="Times New Roman"/>
          <w:szCs w:val="28"/>
        </w:rPr>
        <w:t xml:space="preserve"> attīstības plānā 2014. – 2020. </w:t>
      </w:r>
      <w:r w:rsidR="00235802" w:rsidRPr="003D48F5">
        <w:rPr>
          <w:rFonts w:cs="Times New Roman"/>
          <w:szCs w:val="28"/>
        </w:rPr>
        <w:t xml:space="preserve">gadam (turpmāk - </w:t>
      </w:r>
      <w:r w:rsidR="00267EA5" w:rsidRPr="003D48F5">
        <w:rPr>
          <w:rFonts w:cs="Times New Roman"/>
          <w:szCs w:val="28"/>
        </w:rPr>
        <w:t>NAP2020</w:t>
      </w:r>
      <w:r w:rsidR="00235802" w:rsidRPr="003D48F5">
        <w:rPr>
          <w:rFonts w:cs="Times New Roman"/>
          <w:szCs w:val="28"/>
        </w:rPr>
        <w:t>)</w:t>
      </w:r>
      <w:r w:rsidR="00267EA5" w:rsidRPr="003D48F5">
        <w:rPr>
          <w:rFonts w:cs="Times New Roman"/>
          <w:szCs w:val="28"/>
        </w:rPr>
        <w:t xml:space="preserve"> minētie pasākumi enerģētikas sektora att</w:t>
      </w:r>
      <w:r w:rsidR="00924EF5">
        <w:rPr>
          <w:rFonts w:cs="Times New Roman"/>
          <w:szCs w:val="28"/>
        </w:rPr>
        <w:t xml:space="preserve">īstībā). </w:t>
      </w:r>
    </w:p>
    <w:p w:rsidR="00C019CE" w:rsidRDefault="00C019CE" w:rsidP="00CE55AA">
      <w:pPr>
        <w:spacing w:after="0" w:line="240" w:lineRule="auto"/>
        <w:jc w:val="both"/>
        <w:rPr>
          <w:rFonts w:cs="Times New Roman"/>
          <w:szCs w:val="28"/>
        </w:rPr>
      </w:pPr>
    </w:p>
    <w:p w:rsidR="00924EF5" w:rsidRDefault="00924EF5" w:rsidP="00924EF5">
      <w:pPr>
        <w:spacing w:after="0" w:line="240" w:lineRule="auto"/>
        <w:jc w:val="both"/>
        <w:rPr>
          <w:rFonts w:cs="Times New Roman"/>
          <w:szCs w:val="28"/>
        </w:rPr>
      </w:pPr>
      <w:r>
        <w:rPr>
          <w:rFonts w:cs="Times New Roman"/>
          <w:szCs w:val="28"/>
        </w:rPr>
        <w:tab/>
      </w:r>
      <w:r w:rsidRPr="009E37D3">
        <w:rPr>
          <w:rFonts w:cs="Times New Roman"/>
          <w:szCs w:val="28"/>
        </w:rPr>
        <w:t>Modelēšanas rezultāti parādīja, ka</w:t>
      </w:r>
      <w:r w:rsidR="00110069">
        <w:rPr>
          <w:rFonts w:cs="Times New Roman"/>
          <w:szCs w:val="28"/>
        </w:rPr>
        <w:t>,</w:t>
      </w:r>
      <w:r w:rsidRPr="009E37D3">
        <w:rPr>
          <w:rFonts w:cs="Times New Roman"/>
          <w:szCs w:val="28"/>
        </w:rPr>
        <w:t xml:space="preserve"> īstenojot papildu politikas, kas vērstas uz enerģijas efektivitātes paaugstināšanu</w:t>
      </w:r>
      <w:r w:rsidR="00110069">
        <w:rPr>
          <w:rFonts w:cs="Times New Roman"/>
          <w:szCs w:val="28"/>
        </w:rPr>
        <w:t>,</w:t>
      </w:r>
      <w:r w:rsidRPr="009E37D3">
        <w:rPr>
          <w:rFonts w:cs="Times New Roman"/>
          <w:szCs w:val="28"/>
        </w:rPr>
        <w:t xml:space="preserve"> ir iespējams ietaupīt 2020.</w:t>
      </w:r>
      <w:r>
        <w:rPr>
          <w:rFonts w:cs="Times New Roman"/>
          <w:szCs w:val="28"/>
        </w:rPr>
        <w:t> </w:t>
      </w:r>
      <w:r w:rsidRPr="009E37D3">
        <w:rPr>
          <w:rFonts w:cs="Times New Roman"/>
          <w:szCs w:val="28"/>
        </w:rPr>
        <w:t xml:space="preserve">gadā 0,670 </w:t>
      </w:r>
      <w:proofErr w:type="spellStart"/>
      <w:r w:rsidRPr="009E37D3">
        <w:rPr>
          <w:rFonts w:cs="Times New Roman"/>
          <w:szCs w:val="28"/>
        </w:rPr>
        <w:t>Mtoe</w:t>
      </w:r>
      <w:proofErr w:type="spellEnd"/>
      <w:r w:rsidRPr="009E37D3">
        <w:rPr>
          <w:rFonts w:cs="Times New Roman"/>
          <w:szCs w:val="28"/>
        </w:rPr>
        <w:t xml:space="preserve"> (28 PJ) primāro enerģiju, jeb sasniegt atbilstošu gala enerģijas patēriņa ietaupījumu 0,457 </w:t>
      </w:r>
      <w:proofErr w:type="spellStart"/>
      <w:r w:rsidRPr="009E37D3">
        <w:rPr>
          <w:rFonts w:cs="Times New Roman"/>
          <w:szCs w:val="28"/>
        </w:rPr>
        <w:t>Mtoe</w:t>
      </w:r>
      <w:proofErr w:type="spellEnd"/>
      <w:r w:rsidRPr="009E37D3">
        <w:rPr>
          <w:rFonts w:cs="Times New Roman"/>
          <w:szCs w:val="28"/>
        </w:rPr>
        <w:t xml:space="preserve"> (19 PJ). </w:t>
      </w:r>
      <w:r>
        <w:rPr>
          <w:rFonts w:cs="Times New Roman"/>
          <w:szCs w:val="28"/>
        </w:rPr>
        <w:t>Primāro energoresursu patēriņš līdz 2020. gadam, ievērojot enerģijas ietaupījumus, parādīts 4. attēlā.</w:t>
      </w:r>
    </w:p>
    <w:p w:rsidR="00924EF5" w:rsidRDefault="000D07F1" w:rsidP="00924EF5">
      <w:pPr>
        <w:spacing w:after="0" w:line="240" w:lineRule="auto"/>
        <w:jc w:val="both"/>
        <w:rPr>
          <w:rFonts w:cs="Times New Roman"/>
          <w:szCs w:val="28"/>
        </w:rPr>
      </w:pPr>
      <w:r>
        <w:rPr>
          <w:rFonts w:cs="Times New Roman"/>
          <w:noProof/>
          <w:lang w:eastAsia="lv-LV"/>
        </w:rPr>
        <w:drawing>
          <wp:inline distT="0" distB="0" distL="0" distR="0" wp14:anchorId="4FBBFCCB" wp14:editId="79DDCA50">
            <wp:extent cx="5731510" cy="2481435"/>
            <wp:effectExtent l="0" t="0" r="2540" b="0"/>
            <wp:docPr id="2" name="Picture 2" descr="cid:image001.png@01CF330D.185D1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330D.185D1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481435"/>
                    </a:xfrm>
                    <a:prstGeom prst="rect">
                      <a:avLst/>
                    </a:prstGeom>
                    <a:noFill/>
                    <a:ln>
                      <a:noFill/>
                    </a:ln>
                  </pic:spPr>
                </pic:pic>
              </a:graphicData>
            </a:graphic>
          </wp:inline>
        </w:drawing>
      </w:r>
    </w:p>
    <w:p w:rsidR="00924EF5" w:rsidRPr="003D48F5" w:rsidRDefault="00924EF5" w:rsidP="00924EF5">
      <w:pPr>
        <w:spacing w:after="0" w:line="240" w:lineRule="auto"/>
        <w:jc w:val="both"/>
        <w:rPr>
          <w:rFonts w:cs="Times New Roman"/>
          <w:szCs w:val="28"/>
        </w:rPr>
      </w:pPr>
      <w:r w:rsidRPr="00777AB7">
        <w:rPr>
          <w:rFonts w:cs="Times New Roman"/>
          <w:b/>
          <w:sz w:val="24"/>
          <w:szCs w:val="24"/>
        </w:rPr>
        <w:t>4.</w:t>
      </w:r>
      <w:r>
        <w:rPr>
          <w:rFonts w:cs="Times New Roman"/>
          <w:b/>
          <w:sz w:val="24"/>
          <w:szCs w:val="24"/>
        </w:rPr>
        <w:t> </w:t>
      </w:r>
      <w:r w:rsidRPr="00777AB7">
        <w:rPr>
          <w:rFonts w:cs="Times New Roman"/>
          <w:b/>
          <w:sz w:val="24"/>
          <w:szCs w:val="24"/>
        </w:rPr>
        <w:t>attēls</w:t>
      </w:r>
      <w:r w:rsidR="00C64746">
        <w:rPr>
          <w:rFonts w:cs="Times New Roman"/>
          <w:b/>
          <w:sz w:val="24"/>
          <w:szCs w:val="24"/>
        </w:rPr>
        <w:t>.</w:t>
      </w:r>
      <w:r w:rsidRPr="00777AB7">
        <w:rPr>
          <w:rFonts w:cs="Times New Roman"/>
          <w:b/>
          <w:sz w:val="24"/>
          <w:szCs w:val="24"/>
        </w:rPr>
        <w:t xml:space="preserve"> Primāro energoresursu patēriņš līdz 2020.</w:t>
      </w:r>
      <w:r w:rsidR="00766C76">
        <w:rPr>
          <w:rFonts w:cs="Times New Roman"/>
          <w:b/>
          <w:sz w:val="24"/>
          <w:szCs w:val="24"/>
        </w:rPr>
        <w:t> </w:t>
      </w:r>
      <w:r w:rsidRPr="00777AB7">
        <w:rPr>
          <w:rFonts w:cs="Times New Roman"/>
          <w:b/>
          <w:sz w:val="24"/>
          <w:szCs w:val="24"/>
        </w:rPr>
        <w:t xml:space="preserve">gadam, ievērojot enerģijas ietaupījumus, </w:t>
      </w:r>
      <w:r>
        <w:rPr>
          <w:rFonts w:cs="Times New Roman"/>
          <w:b/>
          <w:sz w:val="24"/>
          <w:szCs w:val="24"/>
        </w:rPr>
        <w:t>PJ</w:t>
      </w:r>
    </w:p>
    <w:p w:rsidR="00267EA5" w:rsidRPr="003D48F5" w:rsidRDefault="00791DBA" w:rsidP="00960CB5">
      <w:pPr>
        <w:spacing w:after="0" w:line="240" w:lineRule="auto"/>
        <w:jc w:val="both"/>
        <w:rPr>
          <w:rFonts w:cs="Times New Roman"/>
          <w:szCs w:val="28"/>
        </w:rPr>
      </w:pPr>
      <w:r w:rsidRPr="003D48F5">
        <w:rPr>
          <w:rFonts w:cs="Times New Roman"/>
          <w:szCs w:val="28"/>
        </w:rPr>
        <w:tab/>
      </w:r>
      <w:r w:rsidR="00267EA5" w:rsidRPr="003D48F5">
        <w:rPr>
          <w:rFonts w:cs="Times New Roman"/>
          <w:szCs w:val="28"/>
        </w:rPr>
        <w:t>Īstenojot enerģijas efektivitātes pasākumus un iegūstot uzrādīto ietaupījumu, gala enerģijas un primārās enerģijas patēriņš Latvijā līdz 2020.</w:t>
      </w:r>
      <w:r w:rsidR="00E029AE" w:rsidRPr="003D48F5">
        <w:rPr>
          <w:rFonts w:cs="Times New Roman"/>
          <w:szCs w:val="28"/>
        </w:rPr>
        <w:t> </w:t>
      </w:r>
      <w:r w:rsidR="00267EA5" w:rsidRPr="003D48F5">
        <w:rPr>
          <w:rFonts w:cs="Times New Roman"/>
          <w:szCs w:val="28"/>
        </w:rPr>
        <w:t>gadam sasniedz vērtības</w:t>
      </w:r>
      <w:r w:rsidR="001A3FA9">
        <w:rPr>
          <w:rFonts w:cs="Times New Roman"/>
          <w:szCs w:val="28"/>
        </w:rPr>
        <w:t>, kas apkopotas</w:t>
      </w:r>
      <w:r w:rsidR="00267EA5" w:rsidRPr="003D48F5">
        <w:rPr>
          <w:rFonts w:cs="Times New Roman"/>
          <w:szCs w:val="28"/>
        </w:rPr>
        <w:t xml:space="preserve"> </w:t>
      </w:r>
      <w:r w:rsidR="00FF7FCA" w:rsidRPr="003D48F5">
        <w:rPr>
          <w:rFonts w:cs="Times New Roman"/>
          <w:szCs w:val="28"/>
        </w:rPr>
        <w:t>2</w:t>
      </w:r>
      <w:r w:rsidR="001E7C18" w:rsidRPr="003D48F5">
        <w:rPr>
          <w:rFonts w:cs="Times New Roman"/>
          <w:szCs w:val="28"/>
        </w:rPr>
        <w:t>.</w:t>
      </w:r>
      <w:r w:rsidR="00CF55BC">
        <w:rPr>
          <w:rFonts w:cs="Times New Roman"/>
          <w:szCs w:val="28"/>
        </w:rPr>
        <w:t> </w:t>
      </w:r>
      <w:r w:rsidR="00267EA5" w:rsidRPr="003D48F5">
        <w:rPr>
          <w:rFonts w:cs="Times New Roman"/>
          <w:szCs w:val="28"/>
        </w:rPr>
        <w:t>tabul</w:t>
      </w:r>
      <w:r w:rsidR="001A3FA9">
        <w:rPr>
          <w:rFonts w:cs="Times New Roman"/>
          <w:szCs w:val="28"/>
        </w:rPr>
        <w:t>ā</w:t>
      </w:r>
      <w:r w:rsidR="00267EA5" w:rsidRPr="003D48F5">
        <w:rPr>
          <w:rFonts w:cs="Times New Roman"/>
          <w:szCs w:val="28"/>
        </w:rPr>
        <w:t>.</w:t>
      </w:r>
      <w:r w:rsidR="00274912">
        <w:rPr>
          <w:rFonts w:cs="Times New Roman"/>
          <w:szCs w:val="28"/>
        </w:rPr>
        <w:t xml:space="preserve"> </w:t>
      </w:r>
    </w:p>
    <w:p w:rsidR="00791DBA" w:rsidRPr="0099397F" w:rsidRDefault="00FF7FCA" w:rsidP="00CE55AA">
      <w:pPr>
        <w:pStyle w:val="Caption"/>
        <w:spacing w:after="0" w:line="240" w:lineRule="auto"/>
        <w:jc w:val="right"/>
        <w:rPr>
          <w:rFonts w:ascii="Times New Roman" w:eastAsiaTheme="minorHAnsi" w:hAnsi="Times New Roman"/>
          <w:b/>
          <w:caps w:val="0"/>
          <w:spacing w:val="0"/>
          <w:sz w:val="22"/>
          <w:szCs w:val="28"/>
          <w:lang w:val="lv-LV" w:bidi="ar-SA"/>
        </w:rPr>
      </w:pPr>
      <w:r w:rsidRPr="0099397F">
        <w:rPr>
          <w:rFonts w:ascii="Times New Roman" w:eastAsiaTheme="minorHAnsi" w:hAnsi="Times New Roman"/>
          <w:b/>
          <w:caps w:val="0"/>
          <w:spacing w:val="0"/>
          <w:sz w:val="22"/>
          <w:szCs w:val="28"/>
          <w:lang w:val="lv-LV" w:bidi="ar-SA"/>
        </w:rPr>
        <w:t>2</w:t>
      </w:r>
      <w:r w:rsidR="001E7C18" w:rsidRPr="0099397F">
        <w:rPr>
          <w:rFonts w:ascii="Times New Roman" w:eastAsiaTheme="minorHAnsi" w:hAnsi="Times New Roman"/>
          <w:b/>
          <w:caps w:val="0"/>
          <w:spacing w:val="0"/>
          <w:sz w:val="22"/>
          <w:szCs w:val="28"/>
          <w:lang w:val="lv-LV" w:bidi="ar-SA"/>
        </w:rPr>
        <w:t>. t</w:t>
      </w:r>
      <w:r w:rsidR="00267EA5" w:rsidRPr="0099397F">
        <w:rPr>
          <w:rFonts w:ascii="Times New Roman" w:eastAsiaTheme="minorHAnsi" w:hAnsi="Times New Roman"/>
          <w:b/>
          <w:caps w:val="0"/>
          <w:spacing w:val="0"/>
          <w:sz w:val="22"/>
          <w:szCs w:val="28"/>
          <w:lang w:val="lv-LV" w:bidi="ar-SA"/>
        </w:rPr>
        <w:t xml:space="preserve">abula </w:t>
      </w:r>
    </w:p>
    <w:p w:rsidR="00267EA5" w:rsidRPr="0099397F" w:rsidRDefault="00267EA5" w:rsidP="0099397F">
      <w:pPr>
        <w:pStyle w:val="Caption"/>
        <w:spacing w:after="0" w:line="240" w:lineRule="auto"/>
        <w:jc w:val="right"/>
        <w:rPr>
          <w:rFonts w:ascii="Times New Roman" w:eastAsiaTheme="minorHAnsi" w:hAnsi="Times New Roman"/>
          <w:b/>
          <w:caps w:val="0"/>
          <w:spacing w:val="0"/>
          <w:sz w:val="22"/>
          <w:szCs w:val="28"/>
          <w:lang w:val="lv-LV" w:bidi="ar-SA"/>
        </w:rPr>
      </w:pPr>
      <w:r w:rsidRPr="0099397F">
        <w:rPr>
          <w:rFonts w:ascii="Times New Roman" w:eastAsiaTheme="minorHAnsi" w:hAnsi="Times New Roman"/>
          <w:b/>
          <w:caps w:val="0"/>
          <w:spacing w:val="0"/>
          <w:sz w:val="22"/>
          <w:szCs w:val="28"/>
          <w:lang w:val="lv-LV" w:bidi="ar-SA"/>
        </w:rPr>
        <w:t>Primārā enerģijas un enerģijas gala patēriņš</w:t>
      </w:r>
      <w:r w:rsidR="00274912">
        <w:rPr>
          <w:rFonts w:ascii="Times New Roman" w:eastAsiaTheme="minorHAnsi" w:hAnsi="Times New Roman"/>
          <w:b/>
          <w:caps w:val="0"/>
          <w:spacing w:val="0"/>
          <w:sz w:val="22"/>
          <w:szCs w:val="28"/>
          <w:lang w:val="lv-LV" w:bidi="ar-SA"/>
        </w:rPr>
        <w:t xml:space="preserve"> </w:t>
      </w:r>
      <w:r w:rsidRPr="0099397F">
        <w:rPr>
          <w:rFonts w:ascii="Times New Roman" w:eastAsiaTheme="minorHAnsi" w:hAnsi="Times New Roman"/>
          <w:b/>
          <w:caps w:val="0"/>
          <w:spacing w:val="0"/>
          <w:sz w:val="22"/>
          <w:szCs w:val="28"/>
          <w:lang w:val="lv-LV" w:bidi="ar-SA"/>
        </w:rPr>
        <w:t>scenārijā ar papildu energoefektivitātes pasākumiem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18"/>
      </w:tblGrid>
      <w:tr w:rsidR="00267EA5" w:rsidRPr="00A07AC4" w:rsidTr="00E029AE">
        <w:tc>
          <w:tcPr>
            <w:tcW w:w="4786" w:type="dxa"/>
            <w:shd w:val="clear" w:color="auto" w:fill="auto"/>
          </w:tcPr>
          <w:p w:rsidR="00267EA5" w:rsidRPr="00A07AC4" w:rsidRDefault="00267EA5" w:rsidP="00E029AE">
            <w:pPr>
              <w:rPr>
                <w:rFonts w:cs="Times New Roman"/>
                <w:sz w:val="22"/>
                <w:lang w:eastAsia="lv-LV"/>
              </w:rPr>
            </w:pPr>
          </w:p>
        </w:tc>
        <w:tc>
          <w:tcPr>
            <w:tcW w:w="1418" w:type="dxa"/>
            <w:shd w:val="clear" w:color="auto" w:fill="auto"/>
          </w:tcPr>
          <w:p w:rsidR="00267EA5" w:rsidRPr="00A07AC4" w:rsidRDefault="00267EA5" w:rsidP="00E029AE">
            <w:pPr>
              <w:jc w:val="center"/>
              <w:rPr>
                <w:rFonts w:cs="Times New Roman"/>
                <w:b/>
                <w:sz w:val="22"/>
                <w:lang w:eastAsia="lv-LV"/>
              </w:rPr>
            </w:pPr>
            <w:r w:rsidRPr="00A07AC4">
              <w:rPr>
                <w:rFonts w:cs="Times New Roman"/>
                <w:b/>
                <w:sz w:val="22"/>
                <w:lang w:eastAsia="lv-LV"/>
              </w:rPr>
              <w:t>2010</w:t>
            </w:r>
          </w:p>
        </w:tc>
        <w:tc>
          <w:tcPr>
            <w:tcW w:w="1417" w:type="dxa"/>
            <w:shd w:val="clear" w:color="auto" w:fill="auto"/>
          </w:tcPr>
          <w:p w:rsidR="00267EA5" w:rsidRPr="00A07AC4" w:rsidRDefault="00267EA5" w:rsidP="00E029AE">
            <w:pPr>
              <w:jc w:val="center"/>
              <w:rPr>
                <w:rFonts w:cs="Times New Roman"/>
                <w:b/>
                <w:sz w:val="22"/>
                <w:lang w:eastAsia="lv-LV"/>
              </w:rPr>
            </w:pPr>
            <w:r w:rsidRPr="00A07AC4">
              <w:rPr>
                <w:rFonts w:cs="Times New Roman"/>
                <w:b/>
                <w:sz w:val="22"/>
                <w:lang w:eastAsia="lv-LV"/>
              </w:rPr>
              <w:t>2015</w:t>
            </w:r>
          </w:p>
        </w:tc>
        <w:tc>
          <w:tcPr>
            <w:tcW w:w="1418" w:type="dxa"/>
            <w:shd w:val="clear" w:color="auto" w:fill="auto"/>
          </w:tcPr>
          <w:p w:rsidR="00267EA5" w:rsidRPr="00A07AC4" w:rsidRDefault="00267EA5" w:rsidP="00E029AE">
            <w:pPr>
              <w:jc w:val="center"/>
              <w:rPr>
                <w:rFonts w:cs="Times New Roman"/>
                <w:b/>
                <w:sz w:val="22"/>
                <w:lang w:eastAsia="lv-LV"/>
              </w:rPr>
            </w:pPr>
            <w:r w:rsidRPr="00A07AC4">
              <w:rPr>
                <w:rFonts w:cs="Times New Roman"/>
                <w:b/>
                <w:sz w:val="22"/>
                <w:lang w:eastAsia="lv-LV"/>
              </w:rPr>
              <w:t>2020</w:t>
            </w:r>
          </w:p>
        </w:tc>
      </w:tr>
      <w:tr w:rsidR="00267EA5" w:rsidRPr="00A07AC4" w:rsidTr="00E029AE">
        <w:tc>
          <w:tcPr>
            <w:tcW w:w="4786" w:type="dxa"/>
            <w:shd w:val="clear" w:color="auto" w:fill="auto"/>
          </w:tcPr>
          <w:p w:rsidR="00267EA5" w:rsidRPr="00A07AC4" w:rsidRDefault="00267EA5" w:rsidP="00E029AE">
            <w:pPr>
              <w:rPr>
                <w:rFonts w:cs="Times New Roman"/>
                <w:b/>
                <w:sz w:val="22"/>
                <w:lang w:eastAsia="lv-LV"/>
              </w:rPr>
            </w:pPr>
            <w:r w:rsidRPr="00A07AC4">
              <w:rPr>
                <w:rFonts w:cs="Times New Roman"/>
                <w:b/>
                <w:sz w:val="22"/>
                <w:lang w:eastAsia="lv-LV"/>
              </w:rPr>
              <w:t>Primāro energoresursu patēriņš, PJ</w:t>
            </w:r>
          </w:p>
        </w:tc>
        <w:tc>
          <w:tcPr>
            <w:tcW w:w="1418"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200,5</w:t>
            </w:r>
          </w:p>
        </w:tc>
        <w:tc>
          <w:tcPr>
            <w:tcW w:w="1417"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223</w:t>
            </w:r>
          </w:p>
        </w:tc>
        <w:tc>
          <w:tcPr>
            <w:tcW w:w="1418"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225</w:t>
            </w:r>
          </w:p>
        </w:tc>
      </w:tr>
      <w:tr w:rsidR="00267EA5" w:rsidRPr="00A07AC4" w:rsidTr="00E029AE">
        <w:tc>
          <w:tcPr>
            <w:tcW w:w="4786" w:type="dxa"/>
            <w:shd w:val="clear" w:color="auto" w:fill="auto"/>
          </w:tcPr>
          <w:p w:rsidR="00267EA5" w:rsidRPr="00A07AC4" w:rsidRDefault="00267EA5" w:rsidP="00E029AE">
            <w:pPr>
              <w:rPr>
                <w:rFonts w:cs="Times New Roman"/>
                <w:b/>
                <w:sz w:val="22"/>
                <w:lang w:eastAsia="lv-LV"/>
              </w:rPr>
            </w:pPr>
            <w:r w:rsidRPr="00A07AC4">
              <w:rPr>
                <w:rFonts w:cs="Times New Roman"/>
                <w:b/>
                <w:sz w:val="22"/>
                <w:lang w:eastAsia="lv-LV"/>
              </w:rPr>
              <w:t>Enerģijas gala patēriņš, PJ</w:t>
            </w:r>
          </w:p>
        </w:tc>
        <w:tc>
          <w:tcPr>
            <w:tcW w:w="1418"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178,5</w:t>
            </w:r>
          </w:p>
        </w:tc>
        <w:tc>
          <w:tcPr>
            <w:tcW w:w="1417"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185</w:t>
            </w:r>
          </w:p>
        </w:tc>
        <w:tc>
          <w:tcPr>
            <w:tcW w:w="1418" w:type="dxa"/>
            <w:shd w:val="clear" w:color="auto" w:fill="auto"/>
          </w:tcPr>
          <w:p w:rsidR="00267EA5" w:rsidRPr="00A07AC4" w:rsidRDefault="00267EA5" w:rsidP="00E029AE">
            <w:pPr>
              <w:rPr>
                <w:rFonts w:cs="Times New Roman"/>
                <w:sz w:val="22"/>
                <w:lang w:eastAsia="lv-LV"/>
              </w:rPr>
            </w:pPr>
            <w:r w:rsidRPr="00A07AC4">
              <w:rPr>
                <w:rFonts w:cs="Times New Roman"/>
                <w:sz w:val="22"/>
                <w:lang w:eastAsia="lv-LV"/>
              </w:rPr>
              <w:t>187</w:t>
            </w:r>
          </w:p>
        </w:tc>
      </w:tr>
    </w:tbl>
    <w:p w:rsidR="00267EA5" w:rsidRPr="003D48F5" w:rsidRDefault="00267EA5" w:rsidP="0066561B">
      <w:pPr>
        <w:autoSpaceDE w:val="0"/>
        <w:autoSpaceDN w:val="0"/>
        <w:adjustRightInd w:val="0"/>
        <w:spacing w:after="0" w:line="240" w:lineRule="auto"/>
        <w:jc w:val="both"/>
        <w:rPr>
          <w:rFonts w:cs="Times New Roman"/>
          <w:sz w:val="24"/>
          <w:szCs w:val="24"/>
        </w:rPr>
      </w:pPr>
    </w:p>
    <w:p w:rsidR="00924EF5" w:rsidRPr="00777AB7" w:rsidRDefault="00791DBA" w:rsidP="00924EF5">
      <w:pPr>
        <w:autoSpaceDE w:val="0"/>
        <w:autoSpaceDN w:val="0"/>
        <w:adjustRightInd w:val="0"/>
        <w:spacing w:after="0" w:line="240" w:lineRule="auto"/>
        <w:jc w:val="both"/>
        <w:rPr>
          <w:rFonts w:cs="Times New Roman"/>
          <w:szCs w:val="28"/>
        </w:rPr>
      </w:pPr>
      <w:r w:rsidRPr="003D48F5">
        <w:rPr>
          <w:rFonts w:cs="Times New Roman"/>
          <w:szCs w:val="28"/>
        </w:rPr>
        <w:tab/>
      </w:r>
      <w:r w:rsidR="00924EF5" w:rsidRPr="00777AB7">
        <w:rPr>
          <w:rFonts w:cs="Times New Roman"/>
          <w:szCs w:val="28"/>
        </w:rPr>
        <w:t>Enerģijas galapatēriņš Latvijai modelētā scenārijā</w:t>
      </w:r>
      <w:r w:rsidR="00924EF5">
        <w:rPr>
          <w:rFonts w:cs="Times New Roman"/>
          <w:szCs w:val="28"/>
        </w:rPr>
        <w:t xml:space="preserve"> parādīts 5. attēlā. Prognozēts, ka ieviešot energoefektivitātes pasākumus daudzdzīvokļu dzīvojamajās ēkās, samazināsies enerģijas galapatēriņš mājsaimniecībās, bet transporta sektorā enerģijas galapatēriņš pat nedaudz pieaugs.</w:t>
      </w:r>
    </w:p>
    <w:p w:rsidR="00C6006B" w:rsidRPr="003D48F5" w:rsidRDefault="00C6006B" w:rsidP="0066561B">
      <w:pPr>
        <w:autoSpaceDE w:val="0"/>
        <w:autoSpaceDN w:val="0"/>
        <w:adjustRightInd w:val="0"/>
        <w:spacing w:after="0" w:line="240" w:lineRule="auto"/>
        <w:jc w:val="both"/>
        <w:rPr>
          <w:rFonts w:cs="Times New Roman"/>
          <w:szCs w:val="28"/>
        </w:rPr>
      </w:pPr>
      <w:r w:rsidRPr="003D48F5">
        <w:rPr>
          <w:rFonts w:ascii="Arial" w:hAnsi="Arial" w:cs="Arial"/>
          <w:noProof/>
          <w:color w:val="0070C0"/>
          <w:sz w:val="20"/>
          <w:szCs w:val="20"/>
          <w:lang w:eastAsia="lv-LV"/>
        </w:rPr>
        <w:lastRenderedPageBreak/>
        <w:drawing>
          <wp:inline distT="0" distB="0" distL="0" distR="0" wp14:anchorId="4CA765B5" wp14:editId="4CF5BA54">
            <wp:extent cx="5734050" cy="2571750"/>
            <wp:effectExtent l="0" t="0" r="0" b="0"/>
            <wp:docPr id="11" name="Picture 11" descr="cid:image002.png@01CF2712.9F1A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2712.9F1A4FB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b="9411"/>
                    <a:stretch/>
                  </pic:blipFill>
                  <pic:spPr bwMode="auto">
                    <a:xfrm>
                      <a:off x="0" y="0"/>
                      <a:ext cx="5731510" cy="2570611"/>
                    </a:xfrm>
                    <a:prstGeom prst="rect">
                      <a:avLst/>
                    </a:prstGeom>
                    <a:noFill/>
                    <a:ln>
                      <a:noFill/>
                    </a:ln>
                    <a:extLst>
                      <a:ext uri="{53640926-AAD7-44D8-BBD7-CCE9431645EC}">
                        <a14:shadowObscured xmlns:a14="http://schemas.microsoft.com/office/drawing/2010/main"/>
                      </a:ext>
                    </a:extLst>
                  </pic:spPr>
                </pic:pic>
              </a:graphicData>
            </a:graphic>
          </wp:inline>
        </w:drawing>
      </w:r>
    </w:p>
    <w:p w:rsidR="00E02985" w:rsidRDefault="00924EF5" w:rsidP="0066561B">
      <w:pPr>
        <w:autoSpaceDE w:val="0"/>
        <w:autoSpaceDN w:val="0"/>
        <w:adjustRightInd w:val="0"/>
        <w:spacing w:after="0" w:line="240" w:lineRule="auto"/>
        <w:jc w:val="both"/>
        <w:rPr>
          <w:rFonts w:cs="Times New Roman"/>
          <w:b/>
          <w:sz w:val="24"/>
          <w:szCs w:val="28"/>
        </w:rPr>
      </w:pPr>
      <w:r>
        <w:rPr>
          <w:rFonts w:cs="Times New Roman"/>
          <w:b/>
          <w:sz w:val="24"/>
          <w:szCs w:val="28"/>
        </w:rPr>
        <w:t>5</w:t>
      </w:r>
      <w:r w:rsidR="00CF3302" w:rsidRPr="003D48F5">
        <w:rPr>
          <w:rFonts w:cs="Times New Roman"/>
          <w:b/>
          <w:sz w:val="24"/>
          <w:szCs w:val="28"/>
        </w:rPr>
        <w:t xml:space="preserve">. </w:t>
      </w:r>
      <w:r w:rsidR="00E02985" w:rsidRPr="003D48F5">
        <w:rPr>
          <w:rFonts w:cs="Times New Roman"/>
          <w:b/>
          <w:sz w:val="24"/>
          <w:szCs w:val="28"/>
        </w:rPr>
        <w:t>attēls</w:t>
      </w:r>
      <w:r w:rsidR="00C64746">
        <w:rPr>
          <w:rFonts w:cs="Times New Roman"/>
          <w:b/>
          <w:sz w:val="24"/>
          <w:szCs w:val="28"/>
        </w:rPr>
        <w:t>.</w:t>
      </w:r>
      <w:r w:rsidR="00E02985" w:rsidRPr="003D48F5">
        <w:rPr>
          <w:rFonts w:cs="Times New Roman"/>
          <w:b/>
          <w:sz w:val="24"/>
          <w:szCs w:val="28"/>
        </w:rPr>
        <w:t xml:space="preserve"> </w:t>
      </w:r>
      <w:r w:rsidR="00CF3302" w:rsidRPr="003D48F5">
        <w:rPr>
          <w:rFonts w:cs="Times New Roman"/>
          <w:b/>
          <w:sz w:val="24"/>
          <w:szCs w:val="28"/>
        </w:rPr>
        <w:t>Enerģijas galapatēriņš Latvij</w:t>
      </w:r>
      <w:r w:rsidR="00110928">
        <w:rPr>
          <w:rFonts w:cs="Times New Roman"/>
          <w:b/>
          <w:sz w:val="24"/>
          <w:szCs w:val="28"/>
        </w:rPr>
        <w:t>ai</w:t>
      </w:r>
      <w:r w:rsidR="00CF3302" w:rsidRPr="003D48F5">
        <w:rPr>
          <w:rFonts w:cs="Times New Roman"/>
          <w:b/>
          <w:sz w:val="24"/>
          <w:szCs w:val="28"/>
        </w:rPr>
        <w:t xml:space="preserve"> modelētā scenārijā, PJ</w:t>
      </w:r>
    </w:p>
    <w:p w:rsidR="00924EF5" w:rsidRPr="0099397F" w:rsidRDefault="00924EF5" w:rsidP="00924EF5">
      <w:pPr>
        <w:autoSpaceDE w:val="0"/>
        <w:autoSpaceDN w:val="0"/>
        <w:adjustRightInd w:val="0"/>
        <w:spacing w:before="240" w:after="0" w:line="240" w:lineRule="auto"/>
        <w:jc w:val="right"/>
        <w:rPr>
          <w:rFonts w:cs="Times New Roman"/>
          <w:b/>
          <w:sz w:val="22"/>
          <w:szCs w:val="28"/>
        </w:rPr>
      </w:pPr>
      <w:r w:rsidRPr="0099397F">
        <w:rPr>
          <w:rFonts w:cs="Times New Roman"/>
          <w:b/>
          <w:sz w:val="22"/>
          <w:szCs w:val="28"/>
        </w:rPr>
        <w:t>3. tabula</w:t>
      </w:r>
    </w:p>
    <w:p w:rsidR="00924EF5" w:rsidRPr="0099397F" w:rsidRDefault="00924EF5" w:rsidP="00924EF5">
      <w:pPr>
        <w:autoSpaceDE w:val="0"/>
        <w:autoSpaceDN w:val="0"/>
        <w:adjustRightInd w:val="0"/>
        <w:spacing w:after="0" w:line="240" w:lineRule="auto"/>
        <w:jc w:val="right"/>
        <w:rPr>
          <w:rFonts w:cs="Times New Roman"/>
          <w:b/>
          <w:sz w:val="22"/>
          <w:szCs w:val="28"/>
        </w:rPr>
      </w:pPr>
      <w:r w:rsidRPr="0099397F">
        <w:rPr>
          <w:rFonts w:cs="Times New Roman"/>
          <w:b/>
          <w:sz w:val="22"/>
          <w:szCs w:val="28"/>
        </w:rPr>
        <w:t>Prognozes 2020. gadam</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5400"/>
        <w:gridCol w:w="2817"/>
      </w:tblGrid>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b/>
                <w:sz w:val="24"/>
                <w:szCs w:val="24"/>
              </w:rPr>
            </w:pPr>
            <w:r w:rsidRPr="00924EF5">
              <w:rPr>
                <w:rFonts w:cs="Times New Roman"/>
                <w:b/>
                <w:sz w:val="24"/>
                <w:szCs w:val="24"/>
              </w:rPr>
              <w:t>Rādītāji</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b/>
                <w:i/>
                <w:sz w:val="24"/>
                <w:szCs w:val="24"/>
              </w:rPr>
              <w:t>PJ</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Kopējais primārās enerģijas patēriņš 2020. gadā</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sz w:val="24"/>
                <w:szCs w:val="24"/>
              </w:rPr>
              <w:t>223,9</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Kopējais enerģijas galapatēriņš</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sz w:val="24"/>
                <w:szCs w:val="24"/>
              </w:rPr>
              <w:t>187,6</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Enerģijas galapatēriņš – rūpniecība+ būvniecība</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color w:val="000000" w:themeColor="text1"/>
                <w:sz w:val="24"/>
                <w:szCs w:val="24"/>
              </w:rPr>
              <w:t>44,1</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Enerģijas galapatēriņš - transports</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color w:val="000000" w:themeColor="text1"/>
                <w:sz w:val="24"/>
                <w:szCs w:val="24"/>
              </w:rPr>
              <w:t>47,0</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Enerģijas galapatēriņš - mājsaimniecības</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color w:val="000000" w:themeColor="text1"/>
                <w:sz w:val="24"/>
                <w:szCs w:val="24"/>
              </w:rPr>
              <w:t>61,3</w:t>
            </w:r>
          </w:p>
        </w:tc>
      </w:tr>
      <w:tr w:rsidR="00924EF5" w:rsidRPr="00924EF5" w:rsidTr="00924EF5">
        <w:trPr>
          <w:cantSplit/>
          <w:trHeight w:val="113"/>
        </w:trPr>
        <w:tc>
          <w:tcPr>
            <w:tcW w:w="5400" w:type="dxa"/>
            <w:vAlign w:val="center"/>
          </w:tcPr>
          <w:p w:rsidR="00924EF5" w:rsidRPr="00924EF5" w:rsidRDefault="00924EF5" w:rsidP="00FF52C7">
            <w:pPr>
              <w:spacing w:after="0" w:line="360" w:lineRule="auto"/>
              <w:ind w:left="134"/>
              <w:rPr>
                <w:rFonts w:cs="Times New Roman"/>
                <w:sz w:val="24"/>
                <w:szCs w:val="24"/>
              </w:rPr>
            </w:pPr>
            <w:r w:rsidRPr="00924EF5">
              <w:rPr>
                <w:rFonts w:cs="Times New Roman"/>
                <w:sz w:val="24"/>
                <w:szCs w:val="24"/>
              </w:rPr>
              <w:t>Enerģijas galapatēriņš - pakalpojumi</w:t>
            </w:r>
          </w:p>
        </w:tc>
        <w:tc>
          <w:tcPr>
            <w:tcW w:w="2817" w:type="dxa"/>
            <w:vAlign w:val="center"/>
          </w:tcPr>
          <w:p w:rsidR="00924EF5" w:rsidRPr="00924EF5" w:rsidRDefault="00924EF5" w:rsidP="00FF52C7">
            <w:pPr>
              <w:spacing w:after="0" w:line="360" w:lineRule="auto"/>
              <w:ind w:left="131"/>
              <w:rPr>
                <w:rFonts w:cs="Times New Roman"/>
                <w:sz w:val="24"/>
                <w:szCs w:val="24"/>
              </w:rPr>
            </w:pPr>
            <w:r w:rsidRPr="00924EF5">
              <w:rPr>
                <w:rFonts w:cs="Times New Roman"/>
                <w:color w:val="000000" w:themeColor="text1"/>
                <w:sz w:val="24"/>
                <w:szCs w:val="24"/>
              </w:rPr>
              <w:t>27,9</w:t>
            </w:r>
          </w:p>
        </w:tc>
      </w:tr>
      <w:tr w:rsidR="00924EF5" w:rsidRPr="00924EF5" w:rsidTr="00924EF5">
        <w:trPr>
          <w:cantSplit/>
          <w:trHeight w:val="113"/>
        </w:trPr>
        <w:tc>
          <w:tcPr>
            <w:tcW w:w="5400" w:type="dxa"/>
            <w:vAlign w:val="center"/>
          </w:tcPr>
          <w:p w:rsidR="00924EF5" w:rsidRPr="00924EF5" w:rsidRDefault="00924EF5" w:rsidP="00FF52C7">
            <w:pPr>
              <w:spacing w:after="0" w:line="240" w:lineRule="auto"/>
              <w:rPr>
                <w:rFonts w:cs="Times New Roman"/>
                <w:color w:val="000000" w:themeColor="text1"/>
                <w:sz w:val="24"/>
                <w:szCs w:val="24"/>
              </w:rPr>
            </w:pPr>
            <w:r w:rsidRPr="00924EF5">
              <w:rPr>
                <w:rFonts w:cs="Times New Roman"/>
                <w:sz w:val="24"/>
                <w:szCs w:val="24"/>
              </w:rPr>
              <w:t xml:space="preserve">Enerģijas galapatēriņš - </w:t>
            </w:r>
            <w:r w:rsidRPr="00924EF5">
              <w:rPr>
                <w:rFonts w:cs="Times New Roman"/>
                <w:color w:val="000000" w:themeColor="text1"/>
                <w:sz w:val="24"/>
                <w:szCs w:val="24"/>
              </w:rPr>
              <w:t xml:space="preserve">lauksaimniecība, mežsaimniecība, </w:t>
            </w:r>
          </w:p>
          <w:p w:rsidR="00924EF5" w:rsidRPr="00924EF5" w:rsidRDefault="00924EF5" w:rsidP="00FF52C7">
            <w:pPr>
              <w:spacing w:after="0" w:line="240" w:lineRule="auto"/>
              <w:rPr>
                <w:rFonts w:cs="Times New Roman"/>
                <w:sz w:val="24"/>
                <w:szCs w:val="24"/>
              </w:rPr>
            </w:pPr>
            <w:r w:rsidRPr="00924EF5">
              <w:rPr>
                <w:rFonts w:cs="Times New Roman"/>
                <w:color w:val="000000" w:themeColor="text1"/>
                <w:sz w:val="24"/>
                <w:szCs w:val="24"/>
              </w:rPr>
              <w:t>medniecība, zivsaimniecība</w:t>
            </w:r>
          </w:p>
        </w:tc>
        <w:tc>
          <w:tcPr>
            <w:tcW w:w="2817" w:type="dxa"/>
            <w:vAlign w:val="center"/>
          </w:tcPr>
          <w:p w:rsidR="00924EF5" w:rsidRPr="00924EF5" w:rsidRDefault="00924EF5" w:rsidP="00FF52C7">
            <w:pPr>
              <w:spacing w:after="0" w:line="360" w:lineRule="auto"/>
              <w:ind w:left="131"/>
              <w:rPr>
                <w:rFonts w:cs="Times New Roman"/>
                <w:color w:val="000000" w:themeColor="text1"/>
                <w:sz w:val="24"/>
                <w:szCs w:val="24"/>
              </w:rPr>
            </w:pPr>
            <w:r w:rsidRPr="00924EF5">
              <w:rPr>
                <w:rFonts w:cs="Times New Roman"/>
                <w:color w:val="000000" w:themeColor="text1"/>
                <w:sz w:val="24"/>
                <w:szCs w:val="24"/>
              </w:rPr>
              <w:t>7,3</w:t>
            </w:r>
          </w:p>
        </w:tc>
      </w:tr>
    </w:tbl>
    <w:p w:rsidR="00924EF5" w:rsidRPr="003D48F5" w:rsidRDefault="00924EF5" w:rsidP="0066561B">
      <w:pPr>
        <w:autoSpaceDE w:val="0"/>
        <w:autoSpaceDN w:val="0"/>
        <w:adjustRightInd w:val="0"/>
        <w:spacing w:after="0" w:line="240" w:lineRule="auto"/>
        <w:jc w:val="both"/>
        <w:rPr>
          <w:rFonts w:cs="Times New Roman"/>
          <w:b/>
          <w:sz w:val="24"/>
          <w:szCs w:val="28"/>
        </w:rPr>
      </w:pPr>
    </w:p>
    <w:p w:rsidR="00AA70E3" w:rsidRPr="003D48F5" w:rsidRDefault="00AA70E3" w:rsidP="00611B34">
      <w:pPr>
        <w:pStyle w:val="Heading2"/>
        <w:spacing w:after="120"/>
      </w:pPr>
      <w:bookmarkStart w:id="11" w:name="_Toc387237957"/>
      <w:r w:rsidRPr="003D48F5">
        <w:t>2.2. Papildu energoefektivitātes mērķi</w:t>
      </w:r>
      <w:bookmarkEnd w:id="11"/>
    </w:p>
    <w:p w:rsidR="00110928" w:rsidRPr="00110928" w:rsidRDefault="00110928" w:rsidP="0066561B">
      <w:pPr>
        <w:autoSpaceDE w:val="0"/>
        <w:autoSpaceDN w:val="0"/>
        <w:adjustRightInd w:val="0"/>
        <w:spacing w:after="0" w:line="240" w:lineRule="auto"/>
        <w:jc w:val="both"/>
        <w:rPr>
          <w:rFonts w:cs="Times New Roman"/>
          <w:szCs w:val="28"/>
        </w:rPr>
      </w:pPr>
      <w:r>
        <w:rPr>
          <w:rFonts w:cs="Times New Roman"/>
          <w:sz w:val="24"/>
          <w:szCs w:val="24"/>
        </w:rPr>
        <w:tab/>
      </w:r>
      <w:r w:rsidRPr="00110928">
        <w:rPr>
          <w:rFonts w:cs="Times New Roman"/>
          <w:szCs w:val="28"/>
        </w:rPr>
        <w:t xml:space="preserve">Uz tautsaimniecību kopumā attiecas </w:t>
      </w:r>
      <w:r w:rsidR="00611B34">
        <w:rPr>
          <w:rFonts w:cs="Times New Roman"/>
          <w:szCs w:val="28"/>
        </w:rPr>
        <w:t xml:space="preserve">arī </w:t>
      </w:r>
      <w:r w:rsidRPr="00110928">
        <w:rPr>
          <w:rFonts w:cs="Times New Roman"/>
          <w:szCs w:val="28"/>
        </w:rPr>
        <w:t>šādi energoefektivitātes mērķi:</w:t>
      </w:r>
    </w:p>
    <w:p w:rsidR="00F905DE" w:rsidRPr="00F905DE" w:rsidRDefault="0022524E" w:rsidP="0022524E">
      <w:pPr>
        <w:pStyle w:val="ListParagraph"/>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u w:val="single"/>
        </w:rPr>
        <w:t xml:space="preserve">1) </w:t>
      </w:r>
      <w:r w:rsidR="00F905DE" w:rsidRPr="00F905DE">
        <w:rPr>
          <w:rFonts w:ascii="Times New Roman" w:hAnsi="Times New Roman" w:cs="Times New Roman"/>
          <w:sz w:val="28"/>
          <w:szCs w:val="28"/>
          <w:u w:val="single"/>
        </w:rPr>
        <w:t>valsts indikatīvas enerģijas galapatēriņa ietaupījuma mērķis 2016.</w:t>
      </w:r>
      <w:r w:rsidR="00F2302B">
        <w:rPr>
          <w:rFonts w:ascii="Times New Roman" w:hAnsi="Times New Roman" w:cs="Times New Roman"/>
          <w:sz w:val="28"/>
          <w:szCs w:val="28"/>
          <w:u w:val="single"/>
        </w:rPr>
        <w:t> </w:t>
      </w:r>
      <w:r w:rsidR="00F905DE" w:rsidRPr="00F905DE">
        <w:rPr>
          <w:rFonts w:ascii="Times New Roman" w:hAnsi="Times New Roman" w:cs="Times New Roman"/>
          <w:sz w:val="28"/>
          <w:szCs w:val="28"/>
          <w:u w:val="single"/>
        </w:rPr>
        <w:t>gadam</w:t>
      </w:r>
      <w:r w:rsidR="00F905DE" w:rsidRPr="00F905DE">
        <w:rPr>
          <w:rFonts w:ascii="Times New Roman" w:hAnsi="Times New Roman" w:cs="Times New Roman"/>
          <w:sz w:val="28"/>
          <w:szCs w:val="28"/>
        </w:rPr>
        <w:t>,</w:t>
      </w:r>
      <w:r w:rsidR="00274912">
        <w:rPr>
          <w:rFonts w:ascii="Times New Roman" w:hAnsi="Times New Roman" w:cs="Times New Roman"/>
          <w:sz w:val="28"/>
          <w:szCs w:val="28"/>
        </w:rPr>
        <w:t xml:space="preserve"> </w:t>
      </w:r>
      <w:r w:rsidR="00F905DE" w:rsidRPr="00F905DE">
        <w:rPr>
          <w:rFonts w:ascii="Times New Roman" w:hAnsi="Times New Roman" w:cs="Times New Roman"/>
          <w:sz w:val="28"/>
          <w:szCs w:val="28"/>
        </w:rPr>
        <w:t>atbilstoši Eiropas Parlamenta un Padomes Direktīvas 2006/32/EK (2006.</w:t>
      </w:r>
      <w:r w:rsidR="00F905DE">
        <w:rPr>
          <w:rFonts w:ascii="Times New Roman" w:hAnsi="Times New Roman" w:cs="Times New Roman"/>
          <w:sz w:val="28"/>
          <w:szCs w:val="28"/>
        </w:rPr>
        <w:t> </w:t>
      </w:r>
      <w:r w:rsidR="00F905DE" w:rsidRPr="00F905DE">
        <w:rPr>
          <w:rFonts w:ascii="Times New Roman" w:hAnsi="Times New Roman" w:cs="Times New Roman"/>
          <w:sz w:val="28"/>
          <w:szCs w:val="28"/>
        </w:rPr>
        <w:t>gada 5.</w:t>
      </w:r>
      <w:r w:rsidR="00F905DE">
        <w:rPr>
          <w:rFonts w:ascii="Times New Roman" w:hAnsi="Times New Roman" w:cs="Times New Roman"/>
          <w:sz w:val="28"/>
          <w:szCs w:val="28"/>
        </w:rPr>
        <w:t> </w:t>
      </w:r>
      <w:r w:rsidR="00F905DE" w:rsidRPr="00F905DE">
        <w:rPr>
          <w:rFonts w:ascii="Times New Roman" w:hAnsi="Times New Roman" w:cs="Times New Roman"/>
          <w:sz w:val="28"/>
          <w:szCs w:val="28"/>
        </w:rPr>
        <w:t>aprīlis) par enerģijas galapatēriņa efektivitāti un energoefektivitātes pakalpojumiem un ar ko atceļ Padomes Direktīvu 93/76/EEK (turpmāk - Direktīva 2006/32/EK) 4.</w:t>
      </w:r>
      <w:r w:rsidR="00F905DE">
        <w:rPr>
          <w:rFonts w:ascii="Times New Roman" w:hAnsi="Times New Roman" w:cs="Times New Roman"/>
          <w:sz w:val="28"/>
          <w:szCs w:val="28"/>
        </w:rPr>
        <w:t> </w:t>
      </w:r>
      <w:r w:rsidR="00F905DE" w:rsidRPr="00F905DE">
        <w:rPr>
          <w:rFonts w:ascii="Times New Roman" w:hAnsi="Times New Roman" w:cs="Times New Roman"/>
          <w:sz w:val="28"/>
          <w:szCs w:val="28"/>
        </w:rPr>
        <w:t>panta 1.</w:t>
      </w:r>
      <w:r w:rsidR="00F905DE">
        <w:rPr>
          <w:rFonts w:ascii="Times New Roman" w:hAnsi="Times New Roman" w:cs="Times New Roman"/>
          <w:sz w:val="28"/>
          <w:szCs w:val="28"/>
        </w:rPr>
        <w:t> </w:t>
      </w:r>
      <w:r w:rsidR="00F905DE" w:rsidRPr="00F905DE">
        <w:rPr>
          <w:rFonts w:ascii="Times New Roman" w:hAnsi="Times New Roman" w:cs="Times New Roman"/>
          <w:sz w:val="28"/>
          <w:szCs w:val="28"/>
        </w:rPr>
        <w:t xml:space="preserve">punkta prasībām – 3483 </w:t>
      </w:r>
      <w:proofErr w:type="spellStart"/>
      <w:r w:rsidR="00F905DE" w:rsidRPr="00F905DE">
        <w:rPr>
          <w:rFonts w:ascii="Times New Roman" w:hAnsi="Times New Roman" w:cs="Times New Roman"/>
          <w:sz w:val="28"/>
          <w:szCs w:val="28"/>
        </w:rPr>
        <w:t>GWh</w:t>
      </w:r>
      <w:proofErr w:type="spellEnd"/>
      <w:r w:rsidR="00F905DE">
        <w:rPr>
          <w:rFonts w:ascii="Times New Roman" w:hAnsi="Times New Roman" w:cs="Times New Roman"/>
          <w:sz w:val="28"/>
          <w:szCs w:val="28"/>
        </w:rPr>
        <w:t>;</w:t>
      </w:r>
    </w:p>
    <w:p w:rsidR="00821DD0" w:rsidRPr="003D48F5" w:rsidRDefault="0022524E" w:rsidP="0022524E">
      <w:pPr>
        <w:pStyle w:val="ListParagraph"/>
        <w:spacing w:after="0" w:line="240" w:lineRule="auto"/>
        <w:ind w:left="0"/>
        <w:contextualSpacing w:val="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u w:val="single"/>
        </w:rPr>
        <w:t xml:space="preserve">2) </w:t>
      </w:r>
      <w:r w:rsidR="00821DD0" w:rsidRPr="003D48F5">
        <w:rPr>
          <w:rFonts w:ascii="Times New Roman" w:eastAsiaTheme="majorEastAsia" w:hAnsi="Times New Roman" w:cs="Times New Roman"/>
          <w:bCs/>
          <w:sz w:val="28"/>
          <w:szCs w:val="28"/>
          <w:u w:val="single"/>
        </w:rPr>
        <w:t>kopējais valsts indikatīvais energoefektivitātes mērķis</w:t>
      </w:r>
      <w:r w:rsidR="00821DD0" w:rsidRPr="003D48F5">
        <w:rPr>
          <w:rStyle w:val="FootnoteReference"/>
          <w:rFonts w:ascii="Times New Roman" w:eastAsiaTheme="majorEastAsia" w:hAnsi="Times New Roman" w:cs="Times New Roman"/>
          <w:bCs/>
          <w:sz w:val="28"/>
          <w:szCs w:val="28"/>
        </w:rPr>
        <w:footnoteReference w:id="3"/>
      </w:r>
      <w:r w:rsidR="00821DD0" w:rsidRPr="003D48F5">
        <w:rPr>
          <w:rFonts w:ascii="Times New Roman" w:eastAsiaTheme="majorEastAsia" w:hAnsi="Times New Roman" w:cs="Times New Roman"/>
          <w:bCs/>
          <w:sz w:val="28"/>
          <w:szCs w:val="28"/>
        </w:rPr>
        <w:t xml:space="preserve"> - primārās enerģijas ietaupījums 2020. gadā - 0,670 </w:t>
      </w:r>
      <w:proofErr w:type="spellStart"/>
      <w:r w:rsidR="00821DD0" w:rsidRPr="003D48F5">
        <w:rPr>
          <w:rFonts w:ascii="Times New Roman" w:eastAsiaTheme="majorEastAsia" w:hAnsi="Times New Roman" w:cs="Times New Roman"/>
          <w:bCs/>
          <w:sz w:val="28"/>
          <w:szCs w:val="28"/>
        </w:rPr>
        <w:t>Mtoe</w:t>
      </w:r>
      <w:proofErr w:type="spellEnd"/>
      <w:r w:rsidR="00821DD0" w:rsidRPr="003D48F5">
        <w:rPr>
          <w:rFonts w:ascii="Times New Roman" w:eastAsiaTheme="majorEastAsia" w:hAnsi="Times New Roman" w:cs="Times New Roman"/>
          <w:bCs/>
          <w:sz w:val="28"/>
          <w:szCs w:val="28"/>
        </w:rPr>
        <w:t xml:space="preserve"> (28 PJ);</w:t>
      </w:r>
    </w:p>
    <w:p w:rsidR="00821DD0" w:rsidRPr="003D48F5" w:rsidRDefault="0022524E" w:rsidP="0022524E">
      <w:pPr>
        <w:pStyle w:val="ListParagraph"/>
        <w:spacing w:after="0" w:line="240" w:lineRule="auto"/>
        <w:ind w:left="0"/>
        <w:contextualSpacing w:val="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u w:val="single"/>
        </w:rPr>
        <w:lastRenderedPageBreak/>
        <w:t xml:space="preserve">3) </w:t>
      </w:r>
      <w:r w:rsidR="00F905DE">
        <w:rPr>
          <w:rFonts w:ascii="Times New Roman" w:eastAsiaTheme="majorEastAsia" w:hAnsi="Times New Roman" w:cs="Times New Roman"/>
          <w:bCs/>
          <w:sz w:val="28"/>
          <w:szCs w:val="28"/>
          <w:u w:val="single"/>
        </w:rPr>
        <w:t>obligātais ikgadējais</w:t>
      </w:r>
      <w:r w:rsidR="00821DD0" w:rsidRPr="003D48F5">
        <w:rPr>
          <w:rFonts w:ascii="Times New Roman" w:eastAsiaTheme="majorEastAsia" w:hAnsi="Times New Roman" w:cs="Times New Roman"/>
          <w:bCs/>
          <w:sz w:val="28"/>
          <w:szCs w:val="28"/>
          <w:u w:val="single"/>
        </w:rPr>
        <w:t xml:space="preserve"> 1,5% gala enerģijas ietaupījuma</w:t>
      </w:r>
      <w:r w:rsidR="00F905DE">
        <w:rPr>
          <w:rFonts w:ascii="Times New Roman" w:eastAsiaTheme="majorEastAsia" w:hAnsi="Times New Roman" w:cs="Times New Roman"/>
          <w:bCs/>
          <w:sz w:val="28"/>
          <w:szCs w:val="28"/>
          <w:u w:val="single"/>
        </w:rPr>
        <w:t xml:space="preserve"> kumulatīvais</w:t>
      </w:r>
      <w:r w:rsidR="00821DD0" w:rsidRPr="003D48F5">
        <w:rPr>
          <w:rFonts w:ascii="Times New Roman" w:eastAsiaTheme="majorEastAsia" w:hAnsi="Times New Roman" w:cs="Times New Roman"/>
          <w:bCs/>
          <w:sz w:val="28"/>
          <w:szCs w:val="28"/>
          <w:u w:val="single"/>
        </w:rPr>
        <w:t xml:space="preserve"> mērķis</w:t>
      </w:r>
      <w:r w:rsidR="00821DD0" w:rsidRPr="003D48F5">
        <w:rPr>
          <w:rStyle w:val="FootnoteReference"/>
          <w:rFonts w:ascii="Times New Roman" w:eastAsiaTheme="majorEastAsia" w:hAnsi="Times New Roman" w:cs="Times New Roman"/>
          <w:bCs/>
          <w:sz w:val="28"/>
          <w:szCs w:val="28"/>
        </w:rPr>
        <w:footnoteReference w:id="4"/>
      </w:r>
      <w:r w:rsidR="00274912">
        <w:rPr>
          <w:rFonts w:ascii="Times New Roman" w:eastAsiaTheme="majorEastAsia" w:hAnsi="Times New Roman" w:cs="Times New Roman"/>
          <w:bCs/>
          <w:sz w:val="28"/>
          <w:szCs w:val="28"/>
        </w:rPr>
        <w:t xml:space="preserve"> </w:t>
      </w:r>
      <w:r w:rsidR="00821DD0" w:rsidRPr="003D48F5">
        <w:rPr>
          <w:rFonts w:ascii="Times New Roman" w:eastAsiaTheme="majorEastAsia" w:hAnsi="Times New Roman" w:cs="Times New Roman"/>
          <w:bCs/>
          <w:sz w:val="28"/>
          <w:szCs w:val="28"/>
        </w:rPr>
        <w:t>- 1,5% apjomā no galalietotājiem piegādātās enerģijas – kopā līdz 2</w:t>
      </w:r>
      <w:r w:rsidR="00110928">
        <w:rPr>
          <w:rFonts w:ascii="Times New Roman" w:eastAsiaTheme="majorEastAsia" w:hAnsi="Times New Roman" w:cs="Times New Roman"/>
          <w:bCs/>
          <w:sz w:val="28"/>
          <w:szCs w:val="28"/>
        </w:rPr>
        <w:t>020.</w:t>
      </w:r>
      <w:r w:rsidR="00F905DE">
        <w:rPr>
          <w:rFonts w:ascii="Times New Roman" w:eastAsiaTheme="majorEastAsia" w:hAnsi="Times New Roman" w:cs="Times New Roman"/>
          <w:bCs/>
          <w:sz w:val="28"/>
          <w:szCs w:val="28"/>
        </w:rPr>
        <w:t> </w:t>
      </w:r>
      <w:r w:rsidR="00110928">
        <w:rPr>
          <w:rFonts w:ascii="Times New Roman" w:eastAsiaTheme="majorEastAsia" w:hAnsi="Times New Roman" w:cs="Times New Roman"/>
          <w:bCs/>
          <w:sz w:val="28"/>
          <w:szCs w:val="28"/>
        </w:rPr>
        <w:t>gadam-</w:t>
      </w:r>
      <w:r w:rsidR="00274912">
        <w:rPr>
          <w:rFonts w:ascii="Times New Roman" w:eastAsiaTheme="majorEastAsia" w:hAnsi="Times New Roman" w:cs="Times New Roman"/>
          <w:bCs/>
          <w:sz w:val="28"/>
          <w:szCs w:val="28"/>
        </w:rPr>
        <w:t xml:space="preserve"> </w:t>
      </w:r>
      <w:r w:rsidR="00110928">
        <w:rPr>
          <w:rFonts w:ascii="Times New Roman" w:eastAsiaTheme="majorEastAsia" w:hAnsi="Times New Roman" w:cs="Times New Roman"/>
          <w:bCs/>
          <w:sz w:val="28"/>
          <w:szCs w:val="28"/>
        </w:rPr>
        <w:t xml:space="preserve">0,213 </w:t>
      </w:r>
      <w:proofErr w:type="spellStart"/>
      <w:r w:rsidR="00110928">
        <w:rPr>
          <w:rFonts w:ascii="Times New Roman" w:eastAsiaTheme="majorEastAsia" w:hAnsi="Times New Roman" w:cs="Times New Roman"/>
          <w:bCs/>
          <w:sz w:val="28"/>
          <w:szCs w:val="28"/>
        </w:rPr>
        <w:t>Mtoe</w:t>
      </w:r>
      <w:proofErr w:type="spellEnd"/>
      <w:r w:rsidR="00110928">
        <w:rPr>
          <w:rFonts w:ascii="Times New Roman" w:eastAsiaTheme="majorEastAsia" w:hAnsi="Times New Roman" w:cs="Times New Roman"/>
          <w:bCs/>
          <w:sz w:val="28"/>
          <w:szCs w:val="28"/>
        </w:rPr>
        <w:t xml:space="preserve"> (8,9 PJ);</w:t>
      </w:r>
      <w:r w:rsidR="00821DD0" w:rsidRPr="003D48F5">
        <w:rPr>
          <w:rFonts w:ascii="Times New Roman" w:eastAsiaTheme="majorEastAsia" w:hAnsi="Times New Roman" w:cs="Times New Roman"/>
          <w:bCs/>
          <w:sz w:val="28"/>
          <w:szCs w:val="28"/>
        </w:rPr>
        <w:t xml:space="preserve"> </w:t>
      </w:r>
    </w:p>
    <w:p w:rsidR="00821DD0" w:rsidRDefault="0022524E" w:rsidP="0022524E">
      <w:pPr>
        <w:pStyle w:val="ListParagraph"/>
        <w:spacing w:after="0" w:line="240" w:lineRule="auto"/>
        <w:ind w:left="0"/>
        <w:contextualSpacing w:val="0"/>
        <w:jc w:val="both"/>
        <w:rPr>
          <w:rFonts w:ascii="Times New Roman" w:hAnsi="Times New Roman" w:cs="Times New Roman"/>
          <w:sz w:val="28"/>
          <w:szCs w:val="28"/>
        </w:rPr>
      </w:pPr>
      <w:r>
        <w:rPr>
          <w:rFonts w:ascii="Times New Roman" w:eastAsiaTheme="majorEastAsia" w:hAnsi="Times New Roman" w:cs="Times New Roman"/>
          <w:bCs/>
          <w:sz w:val="28"/>
          <w:szCs w:val="28"/>
          <w:u w:val="single"/>
        </w:rPr>
        <w:t xml:space="preserve">4) </w:t>
      </w:r>
      <w:r w:rsidR="00821DD0" w:rsidRPr="003D48F5">
        <w:rPr>
          <w:rFonts w:ascii="Times New Roman" w:eastAsiaTheme="majorEastAsia" w:hAnsi="Times New Roman" w:cs="Times New Roman"/>
          <w:bCs/>
          <w:sz w:val="28"/>
          <w:szCs w:val="28"/>
          <w:u w:val="single"/>
        </w:rPr>
        <w:t>ikgada centrālās valdības</w:t>
      </w:r>
      <w:r w:rsidR="00274912">
        <w:rPr>
          <w:rFonts w:ascii="Times New Roman" w:eastAsiaTheme="majorEastAsia" w:hAnsi="Times New Roman" w:cs="Times New Roman"/>
          <w:bCs/>
          <w:sz w:val="28"/>
          <w:szCs w:val="28"/>
          <w:u w:val="single"/>
        </w:rPr>
        <w:t xml:space="preserve"> </w:t>
      </w:r>
      <w:r w:rsidR="00821DD0" w:rsidRPr="003D48F5">
        <w:rPr>
          <w:rFonts w:ascii="Times New Roman" w:eastAsiaTheme="majorEastAsia" w:hAnsi="Times New Roman" w:cs="Times New Roman"/>
          <w:bCs/>
          <w:sz w:val="28"/>
          <w:szCs w:val="28"/>
          <w:u w:val="single"/>
        </w:rPr>
        <w:t>ēku 3% platības renovācijas mērķis</w:t>
      </w:r>
      <w:r w:rsidR="00821DD0" w:rsidRPr="003D48F5">
        <w:rPr>
          <w:rFonts w:ascii="Times New Roman" w:eastAsiaTheme="majorEastAsia" w:hAnsi="Times New Roman" w:cs="Times New Roman"/>
          <w:bCs/>
          <w:sz w:val="28"/>
          <w:szCs w:val="28"/>
        </w:rPr>
        <w:t xml:space="preserve"> (maksimālās aplēses – kopā 678 460 m</w:t>
      </w:r>
      <w:r w:rsidR="00821DD0" w:rsidRPr="003D48F5">
        <w:rPr>
          <w:rFonts w:ascii="Times New Roman" w:eastAsiaTheme="majorEastAsia" w:hAnsi="Times New Roman" w:cs="Times New Roman"/>
          <w:bCs/>
          <w:sz w:val="28"/>
          <w:szCs w:val="28"/>
          <w:vertAlign w:val="superscript"/>
        </w:rPr>
        <w:t>2</w:t>
      </w:r>
      <w:r w:rsidR="00821DD0" w:rsidRPr="003D48F5">
        <w:rPr>
          <w:rFonts w:ascii="Times New Roman" w:eastAsiaTheme="majorEastAsia" w:hAnsi="Times New Roman" w:cs="Times New Roman"/>
          <w:bCs/>
          <w:sz w:val="28"/>
          <w:szCs w:val="28"/>
        </w:rPr>
        <w:t xml:space="preserve">), </w:t>
      </w:r>
      <w:r w:rsidR="00821DD0" w:rsidRPr="003D48F5">
        <w:rPr>
          <w:rFonts w:ascii="Times New Roman" w:hAnsi="Times New Roman" w:cs="Times New Roman"/>
          <w:sz w:val="28"/>
          <w:szCs w:val="28"/>
        </w:rPr>
        <w:t xml:space="preserve">kas kopā ar pašvaldību ēku renovāciju dod 0,016 </w:t>
      </w:r>
      <w:proofErr w:type="spellStart"/>
      <w:r w:rsidR="00821DD0" w:rsidRPr="003D48F5">
        <w:rPr>
          <w:rFonts w:ascii="Times New Roman" w:hAnsi="Times New Roman" w:cs="Times New Roman"/>
          <w:sz w:val="28"/>
          <w:szCs w:val="28"/>
        </w:rPr>
        <w:t>Mtoe</w:t>
      </w:r>
      <w:proofErr w:type="spellEnd"/>
      <w:r w:rsidR="00821DD0" w:rsidRPr="003D48F5">
        <w:rPr>
          <w:rFonts w:ascii="Times New Roman" w:hAnsi="Times New Roman" w:cs="Times New Roman"/>
          <w:sz w:val="28"/>
          <w:szCs w:val="28"/>
        </w:rPr>
        <w:t xml:space="preserve"> (0,67 PJ, 186 </w:t>
      </w:r>
      <w:proofErr w:type="spellStart"/>
      <w:r w:rsidR="00821DD0" w:rsidRPr="003D48F5">
        <w:rPr>
          <w:rFonts w:ascii="Times New Roman" w:hAnsi="Times New Roman" w:cs="Times New Roman"/>
          <w:sz w:val="28"/>
          <w:szCs w:val="28"/>
        </w:rPr>
        <w:t>GWh</w:t>
      </w:r>
      <w:proofErr w:type="spellEnd"/>
      <w:r w:rsidR="00821DD0" w:rsidRPr="003D48F5">
        <w:rPr>
          <w:rFonts w:ascii="Times New Roman" w:hAnsi="Times New Roman" w:cs="Times New Roman"/>
          <w:sz w:val="28"/>
          <w:szCs w:val="28"/>
        </w:rPr>
        <w:t>) enerģijas ietaupījum</w:t>
      </w:r>
      <w:r w:rsidR="00F905DE">
        <w:rPr>
          <w:rFonts w:ascii="Times New Roman" w:hAnsi="Times New Roman" w:cs="Times New Roman"/>
          <w:sz w:val="28"/>
          <w:szCs w:val="28"/>
        </w:rPr>
        <w:t>u</w:t>
      </w:r>
      <w:r w:rsidR="00821DD0" w:rsidRPr="003D48F5">
        <w:rPr>
          <w:rFonts w:ascii="Times New Roman" w:hAnsi="Times New Roman" w:cs="Times New Roman"/>
          <w:sz w:val="28"/>
          <w:szCs w:val="28"/>
        </w:rPr>
        <w:t xml:space="preserve"> </w:t>
      </w:r>
      <w:r w:rsidR="00DB672A">
        <w:rPr>
          <w:rFonts w:ascii="Times New Roman" w:hAnsi="Times New Roman" w:cs="Times New Roman"/>
          <w:sz w:val="28"/>
          <w:szCs w:val="28"/>
        </w:rPr>
        <w:t xml:space="preserve">visā 2014. </w:t>
      </w:r>
      <w:r w:rsidR="00F905DE">
        <w:rPr>
          <w:rFonts w:ascii="Times New Roman" w:hAnsi="Times New Roman" w:cs="Times New Roman"/>
          <w:sz w:val="28"/>
          <w:szCs w:val="28"/>
        </w:rPr>
        <w:t>-</w:t>
      </w:r>
      <w:r w:rsidR="00DB672A">
        <w:rPr>
          <w:rFonts w:ascii="Times New Roman" w:hAnsi="Times New Roman" w:cs="Times New Roman"/>
          <w:sz w:val="28"/>
          <w:szCs w:val="28"/>
        </w:rPr>
        <w:t xml:space="preserve"> </w:t>
      </w:r>
      <w:r w:rsidR="00F905DE">
        <w:rPr>
          <w:rFonts w:ascii="Times New Roman" w:hAnsi="Times New Roman" w:cs="Times New Roman"/>
          <w:sz w:val="28"/>
          <w:szCs w:val="28"/>
        </w:rPr>
        <w:t>2020. gada periodā;</w:t>
      </w:r>
    </w:p>
    <w:p w:rsidR="00F905DE" w:rsidRPr="00F905DE" w:rsidRDefault="0022524E" w:rsidP="0022524E">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u w:val="single"/>
        </w:rPr>
        <w:t xml:space="preserve">5) </w:t>
      </w:r>
      <w:r w:rsidR="00F905DE" w:rsidRPr="00F905DE">
        <w:rPr>
          <w:rFonts w:ascii="Times New Roman" w:hAnsi="Times New Roman" w:cs="Times New Roman"/>
          <w:sz w:val="28"/>
          <w:szCs w:val="28"/>
          <w:u w:val="single"/>
        </w:rPr>
        <w:t>līdz 2030. gadam vidējais siltumenerģijas patēriņš apkurei tiek samazināts par 50% pret pašreizējo rādītāju</w:t>
      </w:r>
      <w:r w:rsidR="00F905DE" w:rsidRPr="00F905DE">
        <w:rPr>
          <w:rFonts w:ascii="Times New Roman" w:hAnsi="Times New Roman" w:cs="Times New Roman"/>
          <w:sz w:val="28"/>
          <w:szCs w:val="28"/>
        </w:rPr>
        <w:t>, kas ar klimata korekciju ir aptuveni 200</w:t>
      </w:r>
      <w:r w:rsidR="00DB672A">
        <w:rPr>
          <w:rFonts w:ascii="Times New Roman" w:hAnsi="Times New Roman" w:cs="Times New Roman"/>
          <w:sz w:val="28"/>
          <w:szCs w:val="28"/>
        </w:rPr>
        <w:t xml:space="preserve"> </w:t>
      </w:r>
      <w:r w:rsidR="00F905DE" w:rsidRPr="00F905DE">
        <w:rPr>
          <w:rFonts w:ascii="Times New Roman" w:hAnsi="Times New Roman" w:cs="Times New Roman"/>
          <w:sz w:val="28"/>
          <w:szCs w:val="28"/>
        </w:rPr>
        <w:t>kWh/m</w:t>
      </w:r>
      <w:r w:rsidR="00F905DE" w:rsidRPr="00F905DE">
        <w:rPr>
          <w:rFonts w:ascii="Times New Roman" w:hAnsi="Times New Roman" w:cs="Times New Roman"/>
          <w:sz w:val="28"/>
          <w:szCs w:val="28"/>
          <w:vertAlign w:val="superscript"/>
        </w:rPr>
        <w:t>2</w:t>
      </w:r>
      <w:r w:rsidR="00F905DE" w:rsidRPr="00F905DE">
        <w:rPr>
          <w:rFonts w:ascii="Times New Roman" w:hAnsi="Times New Roman" w:cs="Times New Roman"/>
          <w:sz w:val="28"/>
          <w:szCs w:val="28"/>
        </w:rPr>
        <w:t xml:space="preserve"> gadā (</w:t>
      </w:r>
      <w:r w:rsidR="00F905DE" w:rsidRPr="00F905DE">
        <w:rPr>
          <w:rFonts w:ascii="Times New Roman" w:hAnsi="Times New Roman" w:cs="Times New Roman"/>
          <w:sz w:val="28"/>
          <w:szCs w:val="28"/>
          <w:lang w:eastAsia="lv-LV"/>
        </w:rPr>
        <w:t>noteikts Stratēģijā 2030</w:t>
      </w:r>
      <w:r w:rsidR="00F905DE">
        <w:rPr>
          <w:rStyle w:val="FootnoteReference"/>
          <w:rFonts w:ascii="Times New Roman" w:hAnsi="Times New Roman" w:cs="Times New Roman"/>
          <w:sz w:val="28"/>
          <w:szCs w:val="28"/>
          <w:lang w:eastAsia="lv-LV"/>
        </w:rPr>
        <w:footnoteReference w:id="5"/>
      </w:r>
      <w:r w:rsidR="00F905DE">
        <w:rPr>
          <w:rFonts w:ascii="Times New Roman" w:hAnsi="Times New Roman" w:cs="Times New Roman"/>
          <w:sz w:val="28"/>
          <w:szCs w:val="28"/>
          <w:lang w:eastAsia="lv-LV"/>
        </w:rPr>
        <w:t>)</w:t>
      </w:r>
      <w:r w:rsidR="00F905DE" w:rsidRPr="00F905DE">
        <w:rPr>
          <w:rFonts w:ascii="Times New Roman" w:hAnsi="Times New Roman" w:cs="Times New Roman"/>
          <w:sz w:val="28"/>
          <w:szCs w:val="28"/>
          <w:lang w:eastAsia="lv-LV"/>
        </w:rPr>
        <w:t>.</w:t>
      </w:r>
    </w:p>
    <w:p w:rsidR="00682BBB" w:rsidRPr="00614176" w:rsidRDefault="00632F0D" w:rsidP="00790910">
      <w:pPr>
        <w:spacing w:after="0" w:line="240" w:lineRule="auto"/>
        <w:jc w:val="both"/>
        <w:rPr>
          <w:rFonts w:cs="Times New Roman"/>
          <w:color w:val="000000" w:themeColor="text1"/>
          <w:szCs w:val="28"/>
        </w:rPr>
      </w:pPr>
      <w:r w:rsidRPr="003D48F5">
        <w:rPr>
          <w:szCs w:val="28"/>
        </w:rPr>
        <w:tab/>
      </w:r>
      <w:r w:rsidR="00614176" w:rsidRPr="00614176">
        <w:rPr>
          <w:rFonts w:cs="Times New Roman"/>
          <w:color w:val="000000" w:themeColor="text1"/>
          <w:szCs w:val="28"/>
        </w:rPr>
        <w:t>L</w:t>
      </w:r>
      <w:r w:rsidR="00CD1A5A">
        <w:rPr>
          <w:rFonts w:cs="Times New Roman"/>
          <w:color w:val="000000" w:themeColor="text1"/>
          <w:szCs w:val="28"/>
        </w:rPr>
        <w:t>atvija vēl nav noteikusi mērķi „</w:t>
      </w:r>
      <w:r w:rsidR="00614176" w:rsidRPr="00614176">
        <w:rPr>
          <w:rFonts w:cs="Times New Roman"/>
          <w:color w:val="000000" w:themeColor="text1"/>
          <w:szCs w:val="28"/>
        </w:rPr>
        <w:t xml:space="preserve">gandrīz nulles” enerģijas patēriņa ēku attīstībai. „Gandrīz nulles” enerģijas ēka ir definēta Ēku energoefektivitātes likuma 1. panta 6. punktā un Ministru kabineta 2013. gada 9. jūlija noteikumu Nr.383 „Noteikumi par ēku </w:t>
      </w:r>
      <w:proofErr w:type="spellStart"/>
      <w:r w:rsidR="00614176" w:rsidRPr="00614176">
        <w:rPr>
          <w:rFonts w:cs="Times New Roman"/>
          <w:color w:val="000000" w:themeColor="text1"/>
          <w:szCs w:val="28"/>
        </w:rPr>
        <w:t>energosertifikāciju</w:t>
      </w:r>
      <w:proofErr w:type="spellEnd"/>
      <w:r w:rsidR="00614176" w:rsidRPr="00614176">
        <w:rPr>
          <w:rFonts w:cs="Times New Roman"/>
          <w:color w:val="000000" w:themeColor="text1"/>
          <w:szCs w:val="28"/>
        </w:rPr>
        <w:t xml:space="preserve">” 17. punktā. Stratēģijā 2030 viens no energoefektivitātes veicināšanas priekšnosacījumiem ir </w:t>
      </w:r>
      <w:proofErr w:type="spellStart"/>
      <w:r w:rsidR="00614176" w:rsidRPr="00614176">
        <w:rPr>
          <w:rFonts w:cs="Times New Roman"/>
          <w:color w:val="000000" w:themeColor="text1"/>
          <w:szCs w:val="28"/>
        </w:rPr>
        <w:t>īstermiņā</w:t>
      </w:r>
      <w:proofErr w:type="spellEnd"/>
      <w:r w:rsidR="00614176" w:rsidRPr="00614176">
        <w:rPr>
          <w:rFonts w:cs="Times New Roman"/>
          <w:color w:val="000000" w:themeColor="text1"/>
          <w:szCs w:val="28"/>
        </w:rPr>
        <w:t xml:space="preserve"> noteikt ievērojami augstākas izmaksu ziņā efektīvas obligātas būvnormatīvu klases jaunu un renovētu ēku </w:t>
      </w:r>
      <w:proofErr w:type="spellStart"/>
      <w:r w:rsidR="00614176" w:rsidRPr="00614176">
        <w:rPr>
          <w:rFonts w:cs="Times New Roman"/>
          <w:color w:val="000000" w:themeColor="text1"/>
          <w:szCs w:val="28"/>
        </w:rPr>
        <w:t>siltumnoturībai</w:t>
      </w:r>
      <w:proofErr w:type="spellEnd"/>
      <w:r w:rsidR="00614176" w:rsidRPr="00614176">
        <w:rPr>
          <w:rFonts w:cs="Times New Roman"/>
          <w:color w:val="000000" w:themeColor="text1"/>
          <w:szCs w:val="28"/>
        </w:rPr>
        <w:t xml:space="preserve">, kā arī brīvprātīgas klases, </w:t>
      </w:r>
      <w:proofErr w:type="spellStart"/>
      <w:r w:rsidR="00614176" w:rsidRPr="00614176">
        <w:rPr>
          <w:rFonts w:cs="Times New Roman"/>
          <w:color w:val="000000" w:themeColor="text1"/>
          <w:szCs w:val="28"/>
        </w:rPr>
        <w:t>t.sk</w:t>
      </w:r>
      <w:proofErr w:type="spellEnd"/>
      <w:r w:rsidR="00614176" w:rsidRPr="00614176">
        <w:rPr>
          <w:rFonts w:cs="Times New Roman"/>
          <w:color w:val="000000" w:themeColor="text1"/>
          <w:szCs w:val="28"/>
        </w:rPr>
        <w:t>., 0 enerģijas patēriņa ēkas.</w:t>
      </w:r>
    </w:p>
    <w:p w:rsidR="00911C04" w:rsidRPr="00911C04" w:rsidRDefault="00911C04" w:rsidP="00911C04">
      <w:pPr>
        <w:spacing w:after="0" w:line="240" w:lineRule="auto"/>
        <w:jc w:val="both"/>
        <w:rPr>
          <w:rFonts w:cs="Times New Roman"/>
          <w:color w:val="000000" w:themeColor="text1"/>
          <w:szCs w:val="28"/>
        </w:rPr>
      </w:pPr>
      <w:r>
        <w:rPr>
          <w:rFonts w:cs="Times New Roman"/>
          <w:color w:val="000000" w:themeColor="text1"/>
          <w:szCs w:val="28"/>
        </w:rPr>
        <w:tab/>
      </w:r>
      <w:r w:rsidRPr="00911C04">
        <w:rPr>
          <w:rFonts w:cs="Times New Roman"/>
          <w:color w:val="000000" w:themeColor="text1"/>
          <w:szCs w:val="28"/>
        </w:rPr>
        <w:t>Ņemot vērā, ka Latvi</w:t>
      </w:r>
      <w:r w:rsidR="007F7ECF">
        <w:rPr>
          <w:rFonts w:cs="Times New Roman"/>
          <w:color w:val="000000" w:themeColor="text1"/>
          <w:szCs w:val="28"/>
        </w:rPr>
        <w:t>jai nav iepriekšējas pieredzes „</w:t>
      </w:r>
      <w:r w:rsidRPr="00911C04">
        <w:rPr>
          <w:rFonts w:cs="Times New Roman"/>
          <w:color w:val="000000" w:themeColor="text1"/>
          <w:szCs w:val="28"/>
        </w:rPr>
        <w:t>gandrīz nulles</w:t>
      </w:r>
      <w:r w:rsidR="007F7ECF">
        <w:rPr>
          <w:rFonts w:cs="Times New Roman"/>
          <w:color w:val="000000" w:themeColor="text1"/>
          <w:szCs w:val="28"/>
        </w:rPr>
        <w:t>”</w:t>
      </w:r>
      <w:r w:rsidRPr="00911C04">
        <w:rPr>
          <w:rFonts w:cs="Times New Roman"/>
          <w:color w:val="000000" w:themeColor="text1"/>
          <w:szCs w:val="28"/>
        </w:rPr>
        <w:t xml:space="preserve"> enerģijas patēriņa ēku būvniecībā, konkrētu mērķu noteikšan</w:t>
      </w:r>
      <w:r w:rsidR="00CF55BC">
        <w:rPr>
          <w:rFonts w:cs="Times New Roman"/>
          <w:color w:val="000000" w:themeColor="text1"/>
          <w:szCs w:val="28"/>
        </w:rPr>
        <w:t>a vēl ir izpētes stadijā. 2011. </w:t>
      </w:r>
      <w:r w:rsidR="00A85CA5">
        <w:rPr>
          <w:rFonts w:cs="Times New Roman"/>
          <w:color w:val="000000" w:themeColor="text1"/>
          <w:szCs w:val="28"/>
        </w:rPr>
        <w:t>g</w:t>
      </w:r>
      <w:r w:rsidRPr="00911C04">
        <w:rPr>
          <w:rFonts w:cs="Times New Roman"/>
          <w:color w:val="000000" w:themeColor="text1"/>
          <w:szCs w:val="28"/>
        </w:rPr>
        <w:t>adā</w:t>
      </w:r>
      <w:r w:rsidR="00A85CA5">
        <w:rPr>
          <w:rFonts w:cs="Times New Roman"/>
          <w:color w:val="000000" w:themeColor="text1"/>
          <w:szCs w:val="28"/>
        </w:rPr>
        <w:t>,</w:t>
      </w:r>
      <w:r w:rsidRPr="00911C04">
        <w:rPr>
          <w:rFonts w:cs="Times New Roman"/>
          <w:color w:val="000000" w:themeColor="text1"/>
          <w:szCs w:val="28"/>
        </w:rPr>
        <w:t xml:space="preserve"> sas</w:t>
      </w:r>
      <w:r w:rsidR="00CF55BC">
        <w:rPr>
          <w:rFonts w:cs="Times New Roman"/>
          <w:color w:val="000000" w:themeColor="text1"/>
          <w:szCs w:val="28"/>
        </w:rPr>
        <w:t>kaņā ar Ministru kabineta 2010. gada 28. decembra noteikumiem Nr.</w:t>
      </w:r>
      <w:r w:rsidRPr="00911C04">
        <w:rPr>
          <w:rFonts w:cs="Times New Roman"/>
          <w:color w:val="000000" w:themeColor="text1"/>
          <w:szCs w:val="28"/>
        </w:rPr>
        <w:t xml:space="preserve">1185 </w:t>
      </w:r>
      <w:r w:rsidR="00A85CA5">
        <w:rPr>
          <w:rFonts w:cs="Times New Roman"/>
          <w:color w:val="000000" w:themeColor="text1"/>
          <w:szCs w:val="28"/>
        </w:rPr>
        <w:t>„</w:t>
      </w:r>
      <w:r w:rsidRPr="00911C04">
        <w:rPr>
          <w:rFonts w:cs="Times New Roman"/>
          <w:color w:val="000000" w:themeColor="text1"/>
          <w:szCs w:val="28"/>
        </w:rPr>
        <w:t>KPFI finan</w:t>
      </w:r>
      <w:r w:rsidR="007F7ECF">
        <w:rPr>
          <w:rFonts w:cs="Times New Roman"/>
          <w:color w:val="000000" w:themeColor="text1"/>
          <w:szCs w:val="28"/>
        </w:rPr>
        <w:t>sēto projektu atklāta konkursa „</w:t>
      </w:r>
      <w:r w:rsidRPr="00911C04">
        <w:rPr>
          <w:rFonts w:cs="Times New Roman"/>
          <w:color w:val="000000" w:themeColor="text1"/>
          <w:szCs w:val="28"/>
        </w:rPr>
        <w:t>Zema enerģijas patēriņa ēkas”</w:t>
      </w:r>
      <w:r>
        <w:rPr>
          <w:rFonts w:cs="Times New Roman"/>
          <w:color w:val="000000" w:themeColor="text1"/>
          <w:szCs w:val="28"/>
        </w:rPr>
        <w:t xml:space="preserve"> </w:t>
      </w:r>
      <w:r w:rsidRPr="00911C04">
        <w:rPr>
          <w:rFonts w:cs="Times New Roman"/>
          <w:color w:val="000000" w:themeColor="text1"/>
          <w:szCs w:val="28"/>
        </w:rPr>
        <w:t>nolikums</w:t>
      </w:r>
      <w:r w:rsidR="00A85CA5">
        <w:rPr>
          <w:rFonts w:cs="Times New Roman"/>
          <w:color w:val="000000" w:themeColor="text1"/>
          <w:szCs w:val="28"/>
        </w:rPr>
        <w:t>”,</w:t>
      </w:r>
      <w:r w:rsidRPr="00911C04">
        <w:rPr>
          <w:rFonts w:cs="Times New Roman"/>
          <w:color w:val="000000" w:themeColor="text1"/>
          <w:szCs w:val="28"/>
        </w:rPr>
        <w:t xml:space="preserve"> </w:t>
      </w:r>
      <w:r w:rsidR="007F7ECF">
        <w:rPr>
          <w:rFonts w:cs="Times New Roman"/>
          <w:color w:val="000000" w:themeColor="text1"/>
          <w:szCs w:val="28"/>
        </w:rPr>
        <w:t>tika izsludināts KPFI konkurss „</w:t>
      </w:r>
      <w:r w:rsidRPr="00911C04">
        <w:rPr>
          <w:rFonts w:cs="Times New Roman"/>
          <w:color w:val="000000" w:themeColor="text1"/>
          <w:szCs w:val="28"/>
        </w:rPr>
        <w:t>Zema enerģijas patēriņa ēkas”. Konkursa mērķis bija oglekļa dioksīda emisiju samazināšana, veicot zema enerģijas patēriņa ēku būvniecību, kā arī esošu ēku rekonstrukciju vai vienkāršotu r</w:t>
      </w:r>
      <w:r>
        <w:rPr>
          <w:rFonts w:cs="Times New Roman"/>
          <w:color w:val="000000" w:themeColor="text1"/>
          <w:szCs w:val="28"/>
        </w:rPr>
        <w:t>enovāciju. Konkursa ietvaros ti</w:t>
      </w:r>
      <w:r w:rsidR="00FC6268">
        <w:rPr>
          <w:rFonts w:cs="Times New Roman"/>
          <w:color w:val="000000" w:themeColor="text1"/>
          <w:szCs w:val="28"/>
        </w:rPr>
        <w:t>ek</w:t>
      </w:r>
      <w:r w:rsidRPr="00911C04">
        <w:rPr>
          <w:rFonts w:cs="Times New Roman"/>
          <w:color w:val="000000" w:themeColor="text1"/>
          <w:szCs w:val="28"/>
        </w:rPr>
        <w:t xml:space="preserve"> </w:t>
      </w:r>
      <w:r w:rsidR="001E3335">
        <w:rPr>
          <w:rFonts w:cs="Times New Roman"/>
          <w:color w:val="000000" w:themeColor="text1"/>
          <w:szCs w:val="28"/>
        </w:rPr>
        <w:t>īstenoti</w:t>
      </w:r>
      <w:r w:rsidRPr="00911C04">
        <w:rPr>
          <w:rFonts w:cs="Times New Roman"/>
          <w:color w:val="000000" w:themeColor="text1"/>
          <w:szCs w:val="28"/>
        </w:rPr>
        <w:t xml:space="preserve"> 14 projekti zema enerģijas patēriņa ēku būvniecībai vai esošo ēku renovācijai, no kur</w:t>
      </w:r>
      <w:r w:rsidR="00CF55BC">
        <w:rPr>
          <w:rFonts w:cs="Times New Roman"/>
          <w:color w:val="000000" w:themeColor="text1"/>
          <w:szCs w:val="28"/>
        </w:rPr>
        <w:t>iem lielākā daļa īstenota 2013. </w:t>
      </w:r>
      <w:r w:rsidRPr="00911C04">
        <w:rPr>
          <w:rFonts w:cs="Times New Roman"/>
          <w:color w:val="000000" w:themeColor="text1"/>
          <w:szCs w:val="28"/>
        </w:rPr>
        <w:t>gadā. Konkursa rezultāti pēc uzbūvēto un renovēto ēku viena gada eks</w:t>
      </w:r>
      <w:r w:rsidR="00CF55BC">
        <w:rPr>
          <w:rFonts w:cs="Times New Roman"/>
          <w:color w:val="000000" w:themeColor="text1"/>
          <w:szCs w:val="28"/>
        </w:rPr>
        <w:t>pluatācijas, t. i., 2014. </w:t>
      </w:r>
      <w:r w:rsidRPr="00911C04">
        <w:rPr>
          <w:rFonts w:cs="Times New Roman"/>
          <w:color w:val="000000" w:themeColor="text1"/>
          <w:szCs w:val="28"/>
        </w:rPr>
        <w:t xml:space="preserve">gada beigās tiks izvērtēti un ļaus </w:t>
      </w:r>
      <w:r w:rsidR="007F7ECF">
        <w:rPr>
          <w:rFonts w:cs="Times New Roman"/>
          <w:color w:val="000000" w:themeColor="text1"/>
          <w:szCs w:val="28"/>
        </w:rPr>
        <w:t>labāk izstrādāt tālākos plānus „</w:t>
      </w:r>
      <w:r w:rsidRPr="00911C04">
        <w:rPr>
          <w:rFonts w:cs="Times New Roman"/>
          <w:color w:val="000000" w:themeColor="text1"/>
          <w:szCs w:val="28"/>
        </w:rPr>
        <w:t xml:space="preserve">gandrīz nulles” enerģijas ēku būvniecībā. </w:t>
      </w:r>
    </w:p>
    <w:p w:rsidR="00AA70E3" w:rsidRPr="003D48F5" w:rsidRDefault="00AA70E3" w:rsidP="00AD08C8">
      <w:pPr>
        <w:pStyle w:val="Heading2"/>
        <w:spacing w:after="120"/>
      </w:pPr>
      <w:bookmarkStart w:id="12" w:name="_Toc387237958"/>
      <w:r w:rsidRPr="003D48F5">
        <w:t xml:space="preserve">2.3. </w:t>
      </w:r>
      <w:r w:rsidRPr="00E878C0">
        <w:t>Primārās</w:t>
      </w:r>
      <w:r w:rsidRPr="003D48F5">
        <w:t xml:space="preserve"> enerģijas ietaupījums</w:t>
      </w:r>
      <w:bookmarkEnd w:id="12"/>
    </w:p>
    <w:p w:rsidR="00EF1D2E" w:rsidRPr="00766AC6" w:rsidRDefault="002B28FE" w:rsidP="00614176">
      <w:pPr>
        <w:spacing w:after="0" w:line="240" w:lineRule="auto"/>
        <w:jc w:val="both"/>
        <w:rPr>
          <w:rFonts w:cs="Times New Roman"/>
          <w:szCs w:val="28"/>
        </w:rPr>
      </w:pPr>
      <w:r w:rsidRPr="003D48F5">
        <w:tab/>
      </w:r>
      <w:r w:rsidR="00EF1D2E" w:rsidRPr="00766AC6">
        <w:rPr>
          <w:rFonts w:cs="Times New Roman"/>
          <w:szCs w:val="28"/>
        </w:rPr>
        <w:t xml:space="preserve">Lai īstenotu energoefektivitātes paaugstināšanas pasākumus siltumenerģijas ražošanā, kā arī veicinātu enerģijas ražošanu no AER, </w:t>
      </w:r>
      <w:r w:rsidR="00EF1D2E" w:rsidRPr="00766AC6">
        <w:t>ES fondu 2007.</w:t>
      </w:r>
      <w:r w:rsidR="00DB672A">
        <w:t xml:space="preserve"> </w:t>
      </w:r>
      <w:r w:rsidR="00EF1D2E" w:rsidRPr="00766AC6">
        <w:t>–</w:t>
      </w:r>
      <w:r w:rsidR="00DB672A">
        <w:t xml:space="preserve"> </w:t>
      </w:r>
      <w:r w:rsidR="00EF1D2E" w:rsidRPr="00766AC6">
        <w:t>2013.</w:t>
      </w:r>
      <w:r w:rsidR="00CF55BC">
        <w:t> </w:t>
      </w:r>
      <w:r w:rsidR="00EF1D2E" w:rsidRPr="00766AC6">
        <w:t>gada plānošanas perioda ietvaros</w:t>
      </w:r>
      <w:r w:rsidR="00EF1D2E" w:rsidRPr="00766AC6" w:rsidDel="00C9171D">
        <w:rPr>
          <w:rFonts w:cs="Times New Roman"/>
          <w:szCs w:val="28"/>
        </w:rPr>
        <w:t xml:space="preserve"> </w:t>
      </w:r>
      <w:r w:rsidR="00EF1D2E" w:rsidRPr="00766AC6">
        <w:rPr>
          <w:rFonts w:cs="Times New Roman"/>
          <w:szCs w:val="28"/>
        </w:rPr>
        <w:t>tiek īstenotas programmas centralizēto siltumapgādes sistēmu, kā arī koģenerācijas staciju izveidei un modernizācijai.</w:t>
      </w:r>
    </w:p>
    <w:p w:rsidR="00EF1D2E" w:rsidRPr="00614176" w:rsidRDefault="00614176" w:rsidP="003C24D2">
      <w:pPr>
        <w:spacing w:after="0" w:line="240" w:lineRule="auto"/>
        <w:ind w:firstLine="720"/>
        <w:jc w:val="both"/>
      </w:pPr>
      <w:r w:rsidRPr="00614176">
        <w:t>Līdz 2014. gada 14. aprīlim darbības programmas "Infrastruktūra un pakalpojumi" papildinājuma 3.5.2.1.1. </w:t>
      </w:r>
      <w:proofErr w:type="spellStart"/>
      <w:r w:rsidRPr="00614176">
        <w:t>apakšaktivitātē</w:t>
      </w:r>
      <w:proofErr w:type="spellEnd"/>
      <w:r w:rsidRPr="00614176">
        <w:t xml:space="preserve"> „Pasākumi centralizētās </w:t>
      </w:r>
      <w:r w:rsidRPr="00614176">
        <w:lastRenderedPageBreak/>
        <w:t>siltumapgādes sistēmu efektivitātes paaugstināšanā” (turpmāk – 3.5.2.1.1. </w:t>
      </w:r>
      <w:proofErr w:type="spellStart"/>
      <w:r w:rsidRPr="00614176">
        <w:t>apakšaktivitāte</w:t>
      </w:r>
      <w:proofErr w:type="spellEnd"/>
      <w:r w:rsidRPr="00614176">
        <w:t xml:space="preserve">) ir apstiprināti 115 projekti par KF finansējumu 75,68 </w:t>
      </w:r>
      <w:proofErr w:type="spellStart"/>
      <w:r w:rsidRPr="00614176">
        <w:t>milj</w:t>
      </w:r>
      <w:proofErr w:type="spellEnd"/>
      <w:r w:rsidRPr="00614176">
        <w:t xml:space="preserve">. EUR apmērā, no tiem ir pabeigti 36 projekti par KF finansējumu 28,83 </w:t>
      </w:r>
      <w:proofErr w:type="spellStart"/>
      <w:r w:rsidRPr="00614176">
        <w:t>milj</w:t>
      </w:r>
      <w:proofErr w:type="spellEnd"/>
      <w:r w:rsidRPr="00614176">
        <w:t>. EUR. Projektu īstenošanas rezultātā plānots uzstādīt 323 MW siltuma jaudas, kā arī rekonstruēt siltumtrases 168 km garumā. Atbilstoši darbības programmas „Infrastruktūra un pakalpojumi” papildinājumam (turpmāk – DPP), 3.5.2.1.1. </w:t>
      </w:r>
      <w:proofErr w:type="spellStart"/>
      <w:r w:rsidRPr="00614176">
        <w:t>apakšaktivitātei</w:t>
      </w:r>
      <w:proofErr w:type="spellEnd"/>
      <w:r w:rsidRPr="00614176">
        <w:t xml:space="preserve"> pieejams KF finansējums 84 448 883 EUR apmērā.</w:t>
      </w:r>
    </w:p>
    <w:p w:rsidR="00FC6268" w:rsidRPr="00766AC6" w:rsidRDefault="00614176" w:rsidP="003C24D2">
      <w:pPr>
        <w:spacing w:after="0" w:line="240" w:lineRule="auto"/>
        <w:jc w:val="both"/>
      </w:pPr>
      <w:r w:rsidRPr="00614176">
        <w:t xml:space="preserve">DPP </w:t>
      </w:r>
      <w:r w:rsidR="00EF1D2E" w:rsidRPr="00614176">
        <w:t>3.5.2.2.</w:t>
      </w:r>
      <w:r w:rsidR="007F7ECF" w:rsidRPr="00614176">
        <w:t> </w:t>
      </w:r>
      <w:r w:rsidR="00EF1D2E" w:rsidRPr="00614176">
        <w:t>aktivitātē „Atjaunojamo energoresursu izmantojošu koģenerācijas elektrostaciju attīstībai</w:t>
      </w:r>
      <w:r w:rsidR="00EF1D2E" w:rsidRPr="00766AC6">
        <w:rPr>
          <w:color w:val="000000" w:themeColor="text1"/>
        </w:rPr>
        <w:t xml:space="preserve">” ir noslēgti 10 līgumi par KF finansējumu 29,58 </w:t>
      </w:r>
      <w:proofErr w:type="spellStart"/>
      <w:r w:rsidR="00EF1D2E" w:rsidRPr="00766AC6">
        <w:rPr>
          <w:color w:val="000000" w:themeColor="text1"/>
        </w:rPr>
        <w:t>milj</w:t>
      </w:r>
      <w:proofErr w:type="spellEnd"/>
      <w:r w:rsidR="00EF1D2E" w:rsidRPr="00766AC6">
        <w:rPr>
          <w:color w:val="000000" w:themeColor="text1"/>
        </w:rPr>
        <w:t xml:space="preserve">. EUR, no tiem ir pabeigti 7 projekti par KF finansējumu 16,33 </w:t>
      </w:r>
      <w:proofErr w:type="spellStart"/>
      <w:r w:rsidR="00EF1D2E" w:rsidRPr="00766AC6">
        <w:rPr>
          <w:color w:val="000000" w:themeColor="text1"/>
        </w:rPr>
        <w:t>milj</w:t>
      </w:r>
      <w:proofErr w:type="spellEnd"/>
      <w:r w:rsidR="00EF1D2E" w:rsidRPr="00766AC6">
        <w:rPr>
          <w:color w:val="000000" w:themeColor="text1"/>
        </w:rPr>
        <w:t xml:space="preserve">. EUR. Projektu īstenošanas ietvaros plānotā uzstādītā elektriskā jauda 36 </w:t>
      </w:r>
      <w:proofErr w:type="spellStart"/>
      <w:r w:rsidR="00EF1D2E" w:rsidRPr="00766AC6">
        <w:rPr>
          <w:color w:val="000000" w:themeColor="text1"/>
        </w:rPr>
        <w:t>MWel</w:t>
      </w:r>
      <w:proofErr w:type="spellEnd"/>
      <w:r w:rsidR="00EF1D2E" w:rsidRPr="00766AC6">
        <w:rPr>
          <w:color w:val="000000" w:themeColor="text1"/>
        </w:rPr>
        <w:t xml:space="preserve"> un siltuma jauda 105 MW.</w:t>
      </w:r>
    </w:p>
    <w:p w:rsidR="007F7ECF" w:rsidRDefault="00FC6268" w:rsidP="00FC6268">
      <w:pPr>
        <w:spacing w:after="0" w:line="240" w:lineRule="auto"/>
        <w:ind w:firstLine="567"/>
        <w:jc w:val="both"/>
      </w:pPr>
      <w:r w:rsidRPr="009E37D3">
        <w:rPr>
          <w:rFonts w:cs="Times New Roman"/>
          <w:szCs w:val="28"/>
        </w:rPr>
        <w:t xml:space="preserve">Pārskats par projektu īstenošanas progresu pieejams: </w:t>
      </w:r>
      <w:hyperlink r:id="rId16" w:history="1">
        <w:r w:rsidR="007F7ECF" w:rsidRPr="005611A0">
          <w:rPr>
            <w:rStyle w:val="Hyperlink"/>
            <w:rFonts w:cs="Times New Roman"/>
            <w:szCs w:val="28"/>
          </w:rPr>
          <w:t>http://em.gov.lv/em/2nd/?cat=30252</w:t>
        </w:r>
      </w:hyperlink>
      <w:r w:rsidR="00965689" w:rsidRPr="007F7ECF">
        <w:rPr>
          <w:rFonts w:cs="Times New Roman"/>
          <w:szCs w:val="28"/>
        </w:rPr>
        <w:t>.</w:t>
      </w:r>
      <w:r w:rsidR="007F7ECF" w:rsidRPr="007F7ECF">
        <w:rPr>
          <w:rFonts w:cs="Times New Roman"/>
          <w:szCs w:val="28"/>
        </w:rPr>
        <w:t xml:space="preserve"> </w:t>
      </w:r>
      <w:r w:rsidR="00965689" w:rsidRPr="007F7ECF">
        <w:t>Kopējie</w:t>
      </w:r>
      <w:r w:rsidR="00965689">
        <w:t xml:space="preserve"> plānotie primārās enerģijas ietaupījumi 2020.gadā ir 7779 </w:t>
      </w:r>
      <w:proofErr w:type="spellStart"/>
      <w:r w:rsidR="00965689">
        <w:t>GWh</w:t>
      </w:r>
      <w:proofErr w:type="spellEnd"/>
      <w:r w:rsidR="00965689">
        <w:t xml:space="preserve"> (28,0 PJ).</w:t>
      </w:r>
    </w:p>
    <w:p w:rsidR="00FC6268" w:rsidRPr="009E37D3" w:rsidRDefault="00FC6268" w:rsidP="00FC6268">
      <w:pPr>
        <w:spacing w:after="0" w:line="240" w:lineRule="auto"/>
        <w:ind w:firstLine="567"/>
        <w:jc w:val="both"/>
        <w:rPr>
          <w:rFonts w:cs="Times New Roman"/>
          <w:szCs w:val="28"/>
        </w:rPr>
      </w:pPr>
      <w:r w:rsidRPr="009E37D3">
        <w:rPr>
          <w:rFonts w:eastAsia="Times New Roman" w:cs="Times New Roman"/>
          <w:bCs/>
          <w:szCs w:val="28"/>
          <w:lang w:eastAsia="lv-LV"/>
        </w:rPr>
        <w:t>Atbilstoši Ministru kabineta</w:t>
      </w:r>
      <w:r w:rsidR="00A34D5D">
        <w:rPr>
          <w:rFonts w:eastAsia="Times New Roman" w:cs="Times New Roman"/>
          <w:bCs/>
          <w:szCs w:val="28"/>
          <w:lang w:eastAsia="lv-LV"/>
        </w:rPr>
        <w:t xml:space="preserve"> </w:t>
      </w:r>
      <w:r w:rsidR="00A34D5D" w:rsidRPr="009179E5">
        <w:rPr>
          <w:szCs w:val="28"/>
        </w:rPr>
        <w:t>2010.</w:t>
      </w:r>
      <w:r w:rsidR="007F7ECF">
        <w:rPr>
          <w:szCs w:val="28"/>
        </w:rPr>
        <w:t> </w:t>
      </w:r>
      <w:r w:rsidR="00A34D5D" w:rsidRPr="009179E5">
        <w:rPr>
          <w:szCs w:val="28"/>
        </w:rPr>
        <w:t>gada 30.</w:t>
      </w:r>
      <w:r w:rsidR="007F7ECF">
        <w:rPr>
          <w:szCs w:val="28"/>
        </w:rPr>
        <w:t> </w:t>
      </w:r>
      <w:r w:rsidR="00A34D5D" w:rsidRPr="009179E5">
        <w:rPr>
          <w:szCs w:val="28"/>
        </w:rPr>
        <w:t>septembra</w:t>
      </w:r>
      <w:r w:rsidRPr="009E37D3">
        <w:rPr>
          <w:rFonts w:eastAsia="Times New Roman" w:cs="Times New Roman"/>
          <w:bCs/>
          <w:szCs w:val="28"/>
          <w:lang w:eastAsia="lv-LV"/>
        </w:rPr>
        <w:t xml:space="preserve"> noteikumiem Nr.923</w:t>
      </w:r>
      <w:r w:rsidRPr="009E37D3">
        <w:rPr>
          <w:rFonts w:eastAsia="Times New Roman" w:cs="Times New Roman"/>
          <w:szCs w:val="28"/>
          <w:lang w:eastAsia="lv-LV"/>
        </w:rPr>
        <w:t xml:space="preserve"> „Kārtība, kādā uzskaita valsts enerģijas galapatēriņa ietaupījumu un nodrošina energoefektivitātes monitoringa sistēmas darbību”, kas izdoti saskaņā ar </w:t>
      </w:r>
      <w:r w:rsidRPr="00FC6268">
        <w:rPr>
          <w:rFonts w:eastAsia="Times New Roman" w:cs="Times New Roman"/>
          <w:szCs w:val="28"/>
          <w:lang w:eastAsia="lv-LV"/>
        </w:rPr>
        <w:t>Enerģijas galapatēriņa efektivitātes</w:t>
      </w:r>
      <w:r>
        <w:rPr>
          <w:rStyle w:val="FootnoteReference"/>
          <w:rFonts w:eastAsia="Times New Roman" w:cs="Times New Roman"/>
          <w:szCs w:val="28"/>
          <w:lang w:eastAsia="lv-LV"/>
        </w:rPr>
        <w:footnoteReference w:id="6"/>
      </w:r>
      <w:r w:rsidRPr="00FC6268">
        <w:rPr>
          <w:rFonts w:eastAsia="Times New Roman" w:cs="Times New Roman"/>
          <w:szCs w:val="28"/>
          <w:lang w:eastAsia="lv-LV"/>
        </w:rPr>
        <w:t xml:space="preserve"> likuma</w:t>
      </w:r>
      <w:r w:rsidRPr="009E37D3">
        <w:rPr>
          <w:rFonts w:eastAsia="Times New Roman" w:cs="Times New Roman"/>
          <w:szCs w:val="28"/>
          <w:lang w:eastAsia="lv-LV"/>
        </w:rPr>
        <w:t xml:space="preserve"> 4.</w:t>
      </w:r>
      <w:r>
        <w:rPr>
          <w:rFonts w:eastAsia="Times New Roman" w:cs="Times New Roman"/>
          <w:szCs w:val="28"/>
          <w:lang w:eastAsia="lv-LV"/>
        </w:rPr>
        <w:t> </w:t>
      </w:r>
      <w:r w:rsidRPr="009E37D3">
        <w:rPr>
          <w:rFonts w:eastAsia="Times New Roman" w:cs="Times New Roman"/>
          <w:szCs w:val="28"/>
          <w:lang w:eastAsia="lv-LV"/>
        </w:rPr>
        <w:t>panta trešo daļu un 5.</w:t>
      </w:r>
      <w:r>
        <w:rPr>
          <w:rFonts w:eastAsia="Times New Roman" w:cs="Times New Roman"/>
          <w:szCs w:val="28"/>
          <w:lang w:eastAsia="lv-LV"/>
        </w:rPr>
        <w:t> </w:t>
      </w:r>
      <w:r w:rsidRPr="009E37D3">
        <w:rPr>
          <w:rFonts w:eastAsia="Times New Roman" w:cs="Times New Roman"/>
          <w:szCs w:val="28"/>
          <w:lang w:eastAsia="lv-LV"/>
        </w:rPr>
        <w:t>panta pirmo daļu, esošā monitoringa sistēma nodrošina tikai enerģijas galapatēriņa monitoringu. Šobrīd tiek izstrādāts jauns likumprojekts „Energoefektivitātes likums”, kas noteiks enerģijas ietaupījumu uzskaites kārtību valsts indikatīvo un obligāto mērķu sasniegšanai, kā arī vispārējo energoefektivitātes monitoringa kārtību, kas ietvers arī primārās enerģijas ietaupījuma monitoringu.</w:t>
      </w:r>
    </w:p>
    <w:p w:rsidR="00AA70E3" w:rsidRPr="003D48F5" w:rsidRDefault="00AA70E3" w:rsidP="00485AA4">
      <w:pPr>
        <w:pStyle w:val="Heading2"/>
        <w:spacing w:after="120" w:line="240" w:lineRule="auto"/>
      </w:pPr>
      <w:bookmarkStart w:id="13" w:name="_Toc387237959"/>
      <w:r w:rsidRPr="003D48F5">
        <w:t xml:space="preserve">2.4. </w:t>
      </w:r>
      <w:r w:rsidR="00485AA4">
        <w:t>Sasniegtais g</w:t>
      </w:r>
      <w:r w:rsidRPr="003D48F5">
        <w:t xml:space="preserve">ala </w:t>
      </w:r>
      <w:r w:rsidRPr="00E878C0">
        <w:t>enerģijas</w:t>
      </w:r>
      <w:r w:rsidRPr="003D48F5">
        <w:t xml:space="preserve"> ietaupījums</w:t>
      </w:r>
      <w:r w:rsidR="00485AA4">
        <w:t xml:space="preserve"> un ietaupījumu prognoze</w:t>
      </w:r>
      <w:bookmarkEnd w:id="13"/>
    </w:p>
    <w:p w:rsidR="00030A21" w:rsidRPr="003D48F5" w:rsidRDefault="00791DBA" w:rsidP="00790910">
      <w:pPr>
        <w:spacing w:after="0" w:line="240" w:lineRule="auto"/>
        <w:jc w:val="both"/>
        <w:rPr>
          <w:szCs w:val="28"/>
        </w:rPr>
      </w:pPr>
      <w:r w:rsidRPr="003D48F5">
        <w:rPr>
          <w:szCs w:val="28"/>
        </w:rPr>
        <w:tab/>
      </w:r>
      <w:r w:rsidR="00030A21" w:rsidRPr="003D48F5">
        <w:rPr>
          <w:szCs w:val="28"/>
        </w:rPr>
        <w:t>Izstrādājot 1.</w:t>
      </w:r>
      <w:r w:rsidR="00D027CC" w:rsidRPr="003D48F5">
        <w:rPr>
          <w:szCs w:val="28"/>
        </w:rPr>
        <w:t> </w:t>
      </w:r>
      <w:r w:rsidR="00030A21" w:rsidRPr="003D48F5">
        <w:rPr>
          <w:szCs w:val="28"/>
        </w:rPr>
        <w:t>EERP, tika aprēķināts valsts indikatīvais enerģijas ietaupījuma mērķis 2016.</w:t>
      </w:r>
      <w:r w:rsidR="00D027CC" w:rsidRPr="003D48F5">
        <w:rPr>
          <w:szCs w:val="28"/>
        </w:rPr>
        <w:t> </w:t>
      </w:r>
      <w:r w:rsidR="00030A21" w:rsidRPr="003D48F5">
        <w:rPr>
          <w:szCs w:val="28"/>
        </w:rPr>
        <w:t>gadam saskaņā ar Direktīvas 2006/32/EK I pielikuma metodiku. Aprēķinātais indikatīvais enerģijas ietaupījuma mērķis Latvijai 2016.</w:t>
      </w:r>
      <w:r w:rsidR="00D027CC" w:rsidRPr="003D48F5">
        <w:rPr>
          <w:szCs w:val="28"/>
        </w:rPr>
        <w:t> </w:t>
      </w:r>
      <w:r w:rsidR="00030A21" w:rsidRPr="003D48F5">
        <w:rPr>
          <w:szCs w:val="28"/>
        </w:rPr>
        <w:t xml:space="preserve">gadam ir 3 483 </w:t>
      </w:r>
      <w:proofErr w:type="spellStart"/>
      <w:r w:rsidR="00030A21" w:rsidRPr="003D48F5">
        <w:rPr>
          <w:szCs w:val="28"/>
        </w:rPr>
        <w:t>GWh</w:t>
      </w:r>
      <w:proofErr w:type="spellEnd"/>
      <w:r w:rsidR="009E2483" w:rsidRPr="003D48F5">
        <w:rPr>
          <w:szCs w:val="28"/>
        </w:rPr>
        <w:t>,</w:t>
      </w:r>
      <w:r w:rsidR="00030A21" w:rsidRPr="003D48F5">
        <w:rPr>
          <w:szCs w:val="28"/>
        </w:rPr>
        <w:t xml:space="preserve"> un 2.</w:t>
      </w:r>
      <w:r w:rsidR="00D027CC" w:rsidRPr="003D48F5">
        <w:rPr>
          <w:szCs w:val="28"/>
        </w:rPr>
        <w:t> </w:t>
      </w:r>
      <w:r w:rsidR="00030A21" w:rsidRPr="003D48F5">
        <w:rPr>
          <w:szCs w:val="28"/>
        </w:rPr>
        <w:t xml:space="preserve">EERP </w:t>
      </w:r>
      <w:r w:rsidR="00145E90">
        <w:rPr>
          <w:szCs w:val="28"/>
        </w:rPr>
        <w:t xml:space="preserve">aprēķinātais </w:t>
      </w:r>
      <w:r w:rsidR="00030A21" w:rsidRPr="003D48F5">
        <w:rPr>
          <w:szCs w:val="28"/>
        </w:rPr>
        <w:t>enerģijas ietaupījuma mērķis netik</w:t>
      </w:r>
      <w:r w:rsidR="00DF7390" w:rsidRPr="003D48F5">
        <w:rPr>
          <w:szCs w:val="28"/>
        </w:rPr>
        <w:t>a</w:t>
      </w:r>
      <w:r w:rsidR="00030A21" w:rsidRPr="003D48F5">
        <w:rPr>
          <w:szCs w:val="28"/>
        </w:rPr>
        <w:t xml:space="preserve"> mainīts.</w:t>
      </w:r>
      <w:r w:rsidR="00782B93" w:rsidRPr="003D48F5">
        <w:rPr>
          <w:szCs w:val="28"/>
        </w:rPr>
        <w:t xml:space="preserve"> </w:t>
      </w:r>
    </w:p>
    <w:p w:rsidR="00030A21" w:rsidRPr="003D48F5" w:rsidRDefault="00791DBA" w:rsidP="00790910">
      <w:pPr>
        <w:spacing w:after="0" w:line="240" w:lineRule="auto"/>
        <w:jc w:val="both"/>
        <w:rPr>
          <w:szCs w:val="28"/>
        </w:rPr>
      </w:pPr>
      <w:r w:rsidRPr="003D48F5">
        <w:rPr>
          <w:szCs w:val="28"/>
        </w:rPr>
        <w:tab/>
      </w:r>
      <w:r w:rsidR="001A3FA9">
        <w:rPr>
          <w:szCs w:val="28"/>
        </w:rPr>
        <w:t>A</w:t>
      </w:r>
      <w:r w:rsidR="00030A21" w:rsidRPr="003D48F5">
        <w:rPr>
          <w:szCs w:val="28"/>
        </w:rPr>
        <w:t>prēķinātais enerģijas ietaupījuma mērķis no 2008.</w:t>
      </w:r>
      <w:r w:rsidR="00D027CC" w:rsidRPr="003D48F5">
        <w:rPr>
          <w:szCs w:val="28"/>
        </w:rPr>
        <w:t> </w:t>
      </w:r>
      <w:r w:rsidR="00030A21" w:rsidRPr="003D48F5">
        <w:rPr>
          <w:szCs w:val="28"/>
        </w:rPr>
        <w:t>-</w:t>
      </w:r>
      <w:r w:rsidR="00D027CC" w:rsidRPr="003D48F5">
        <w:rPr>
          <w:szCs w:val="28"/>
        </w:rPr>
        <w:t> </w:t>
      </w:r>
      <w:r w:rsidR="00030A21" w:rsidRPr="003D48F5">
        <w:rPr>
          <w:szCs w:val="28"/>
        </w:rPr>
        <w:t>2016.</w:t>
      </w:r>
      <w:r w:rsidR="00D027CC" w:rsidRPr="003D48F5">
        <w:rPr>
          <w:szCs w:val="28"/>
        </w:rPr>
        <w:t> </w:t>
      </w:r>
      <w:r w:rsidR="00030A21" w:rsidRPr="003D48F5">
        <w:rPr>
          <w:szCs w:val="28"/>
        </w:rPr>
        <w:t xml:space="preserve">gadam atsevišķos tautsaimniecības sektoros parādīts </w:t>
      </w:r>
      <w:r w:rsidR="00C138E2" w:rsidRPr="003D48F5">
        <w:rPr>
          <w:szCs w:val="28"/>
        </w:rPr>
        <w:t>4</w:t>
      </w:r>
      <w:r w:rsidR="00030A21" w:rsidRPr="003D48F5">
        <w:rPr>
          <w:szCs w:val="28"/>
        </w:rPr>
        <w:t>.</w:t>
      </w:r>
      <w:r w:rsidR="00657CBB" w:rsidRPr="003D48F5">
        <w:rPr>
          <w:szCs w:val="28"/>
        </w:rPr>
        <w:t> </w:t>
      </w:r>
      <w:r w:rsidR="00030A21" w:rsidRPr="003D48F5">
        <w:rPr>
          <w:szCs w:val="28"/>
        </w:rPr>
        <w:t>tabulā. Enerģijas ietaupījuma attēlošanai katrā gadā ir izmantota kumulatīvā (summārā uzkrājuma) metode, salīdzinājumam ar bāzes gadu (bāzes gads – 2008.</w:t>
      </w:r>
      <w:r w:rsidR="00D027CC" w:rsidRPr="003D48F5">
        <w:rPr>
          <w:szCs w:val="28"/>
        </w:rPr>
        <w:t> </w:t>
      </w:r>
      <w:r w:rsidR="00030A21" w:rsidRPr="003D48F5">
        <w:rPr>
          <w:szCs w:val="28"/>
        </w:rPr>
        <w:t>gads).</w:t>
      </w:r>
    </w:p>
    <w:p w:rsidR="00030A21" w:rsidRPr="0099397F" w:rsidRDefault="00102D47" w:rsidP="005A664D">
      <w:pPr>
        <w:spacing w:before="240" w:after="0" w:line="240" w:lineRule="auto"/>
        <w:jc w:val="right"/>
        <w:rPr>
          <w:b/>
          <w:sz w:val="22"/>
          <w:szCs w:val="24"/>
        </w:rPr>
      </w:pPr>
      <w:r w:rsidRPr="0099397F">
        <w:rPr>
          <w:b/>
          <w:sz w:val="22"/>
          <w:szCs w:val="24"/>
        </w:rPr>
        <w:t>4</w:t>
      </w:r>
      <w:r w:rsidR="00030A21" w:rsidRPr="0099397F">
        <w:rPr>
          <w:b/>
          <w:sz w:val="22"/>
          <w:szCs w:val="24"/>
        </w:rPr>
        <w:t>.</w:t>
      </w:r>
      <w:r w:rsidR="00D027CC" w:rsidRPr="0099397F">
        <w:rPr>
          <w:b/>
          <w:sz w:val="22"/>
          <w:szCs w:val="24"/>
        </w:rPr>
        <w:t> </w:t>
      </w:r>
      <w:r w:rsidR="00030A21" w:rsidRPr="0099397F">
        <w:rPr>
          <w:b/>
          <w:sz w:val="22"/>
          <w:szCs w:val="24"/>
        </w:rPr>
        <w:t>tabula</w:t>
      </w:r>
    </w:p>
    <w:p w:rsidR="00030A21" w:rsidRPr="0099397F" w:rsidRDefault="00030A21" w:rsidP="00CE55AA">
      <w:pPr>
        <w:spacing w:after="0" w:line="240" w:lineRule="auto"/>
        <w:jc w:val="right"/>
        <w:rPr>
          <w:b/>
          <w:sz w:val="24"/>
          <w:szCs w:val="28"/>
        </w:rPr>
      </w:pPr>
      <w:r w:rsidRPr="0099397F">
        <w:rPr>
          <w:b/>
          <w:sz w:val="22"/>
          <w:szCs w:val="24"/>
        </w:rPr>
        <w:t xml:space="preserve">Aprēķinātais valsts enerģijas ietaupījuma mērķis enerģijas galapatēriņa sektoros, </w:t>
      </w:r>
      <w:proofErr w:type="spellStart"/>
      <w:r w:rsidRPr="0099397F">
        <w:rPr>
          <w:b/>
          <w:sz w:val="22"/>
          <w:szCs w:val="24"/>
        </w:rPr>
        <w:t>GWh</w:t>
      </w:r>
      <w:proofErr w:type="spellEnd"/>
    </w:p>
    <w:tbl>
      <w:tblPr>
        <w:tblStyle w:val="TableGrid"/>
        <w:tblW w:w="9113" w:type="dxa"/>
        <w:tblLook w:val="0000" w:firstRow="0" w:lastRow="0" w:firstColumn="0" w:lastColumn="0" w:noHBand="0" w:noVBand="0"/>
      </w:tblPr>
      <w:tblGrid>
        <w:gridCol w:w="2129"/>
        <w:gridCol w:w="776"/>
        <w:gridCol w:w="776"/>
        <w:gridCol w:w="776"/>
        <w:gridCol w:w="776"/>
        <w:gridCol w:w="776"/>
        <w:gridCol w:w="776"/>
        <w:gridCol w:w="776"/>
        <w:gridCol w:w="776"/>
        <w:gridCol w:w="776"/>
      </w:tblGrid>
      <w:tr w:rsidR="00030A21" w:rsidRPr="00A07AC4" w:rsidTr="00AC0BA4">
        <w:trPr>
          <w:trHeight w:val="255"/>
        </w:trPr>
        <w:tc>
          <w:tcPr>
            <w:tcW w:w="2129" w:type="dxa"/>
            <w:noWrap/>
          </w:tcPr>
          <w:p w:rsidR="00030A21" w:rsidRPr="00A07AC4" w:rsidRDefault="00030A21" w:rsidP="00E029AE">
            <w:pPr>
              <w:jc w:val="both"/>
              <w:rPr>
                <w:sz w:val="22"/>
              </w:rPr>
            </w:pPr>
          </w:p>
        </w:tc>
        <w:tc>
          <w:tcPr>
            <w:tcW w:w="776" w:type="dxa"/>
            <w:noWrap/>
          </w:tcPr>
          <w:p w:rsidR="00030A21" w:rsidRPr="00A07AC4" w:rsidRDefault="00030A21" w:rsidP="00E029AE">
            <w:pPr>
              <w:jc w:val="center"/>
              <w:rPr>
                <w:b/>
                <w:sz w:val="22"/>
              </w:rPr>
            </w:pPr>
            <w:r w:rsidRPr="00A07AC4">
              <w:rPr>
                <w:b/>
                <w:sz w:val="22"/>
              </w:rPr>
              <w:t>2008</w:t>
            </w:r>
          </w:p>
        </w:tc>
        <w:tc>
          <w:tcPr>
            <w:tcW w:w="776" w:type="dxa"/>
            <w:noWrap/>
          </w:tcPr>
          <w:p w:rsidR="00030A21" w:rsidRPr="00A07AC4" w:rsidRDefault="00030A21" w:rsidP="00E029AE">
            <w:pPr>
              <w:jc w:val="center"/>
              <w:rPr>
                <w:b/>
                <w:sz w:val="22"/>
              </w:rPr>
            </w:pPr>
            <w:r w:rsidRPr="00A07AC4">
              <w:rPr>
                <w:b/>
                <w:sz w:val="22"/>
              </w:rPr>
              <w:t>2009</w:t>
            </w:r>
          </w:p>
        </w:tc>
        <w:tc>
          <w:tcPr>
            <w:tcW w:w="776" w:type="dxa"/>
            <w:noWrap/>
          </w:tcPr>
          <w:p w:rsidR="00030A21" w:rsidRPr="00A07AC4" w:rsidRDefault="00030A21" w:rsidP="00E029AE">
            <w:pPr>
              <w:jc w:val="center"/>
              <w:rPr>
                <w:b/>
                <w:sz w:val="22"/>
              </w:rPr>
            </w:pPr>
            <w:r w:rsidRPr="00A07AC4">
              <w:rPr>
                <w:b/>
                <w:sz w:val="22"/>
              </w:rPr>
              <w:t>2010</w:t>
            </w:r>
          </w:p>
        </w:tc>
        <w:tc>
          <w:tcPr>
            <w:tcW w:w="776" w:type="dxa"/>
            <w:noWrap/>
          </w:tcPr>
          <w:p w:rsidR="00030A21" w:rsidRPr="00A07AC4" w:rsidRDefault="00030A21" w:rsidP="00E029AE">
            <w:pPr>
              <w:jc w:val="center"/>
              <w:rPr>
                <w:b/>
                <w:sz w:val="22"/>
              </w:rPr>
            </w:pPr>
            <w:r w:rsidRPr="00A07AC4">
              <w:rPr>
                <w:b/>
                <w:sz w:val="22"/>
              </w:rPr>
              <w:t>2011</w:t>
            </w:r>
          </w:p>
        </w:tc>
        <w:tc>
          <w:tcPr>
            <w:tcW w:w="776" w:type="dxa"/>
            <w:noWrap/>
          </w:tcPr>
          <w:p w:rsidR="00030A21" w:rsidRPr="00A07AC4" w:rsidRDefault="00030A21" w:rsidP="00E029AE">
            <w:pPr>
              <w:jc w:val="center"/>
              <w:rPr>
                <w:b/>
                <w:sz w:val="22"/>
              </w:rPr>
            </w:pPr>
            <w:r w:rsidRPr="00A07AC4">
              <w:rPr>
                <w:b/>
                <w:sz w:val="22"/>
              </w:rPr>
              <w:t>2012</w:t>
            </w:r>
          </w:p>
        </w:tc>
        <w:tc>
          <w:tcPr>
            <w:tcW w:w="776" w:type="dxa"/>
            <w:noWrap/>
          </w:tcPr>
          <w:p w:rsidR="00030A21" w:rsidRPr="00A07AC4" w:rsidRDefault="00030A21" w:rsidP="00E029AE">
            <w:pPr>
              <w:jc w:val="center"/>
              <w:rPr>
                <w:b/>
                <w:sz w:val="22"/>
              </w:rPr>
            </w:pPr>
            <w:r w:rsidRPr="00A07AC4">
              <w:rPr>
                <w:b/>
                <w:sz w:val="22"/>
              </w:rPr>
              <w:t>2013</w:t>
            </w:r>
          </w:p>
        </w:tc>
        <w:tc>
          <w:tcPr>
            <w:tcW w:w="776" w:type="dxa"/>
            <w:noWrap/>
          </w:tcPr>
          <w:p w:rsidR="00030A21" w:rsidRPr="00A07AC4" w:rsidRDefault="00030A21" w:rsidP="00E029AE">
            <w:pPr>
              <w:jc w:val="center"/>
              <w:rPr>
                <w:b/>
                <w:sz w:val="22"/>
              </w:rPr>
            </w:pPr>
            <w:r w:rsidRPr="00A07AC4">
              <w:rPr>
                <w:b/>
                <w:sz w:val="22"/>
              </w:rPr>
              <w:t>2014</w:t>
            </w:r>
          </w:p>
        </w:tc>
        <w:tc>
          <w:tcPr>
            <w:tcW w:w="776" w:type="dxa"/>
            <w:noWrap/>
          </w:tcPr>
          <w:p w:rsidR="00030A21" w:rsidRPr="00A07AC4" w:rsidRDefault="00030A21" w:rsidP="00E029AE">
            <w:pPr>
              <w:jc w:val="center"/>
              <w:rPr>
                <w:b/>
                <w:sz w:val="22"/>
              </w:rPr>
            </w:pPr>
            <w:r w:rsidRPr="00A07AC4">
              <w:rPr>
                <w:b/>
                <w:sz w:val="22"/>
              </w:rPr>
              <w:t>2015</w:t>
            </w:r>
          </w:p>
        </w:tc>
        <w:tc>
          <w:tcPr>
            <w:tcW w:w="776" w:type="dxa"/>
            <w:noWrap/>
          </w:tcPr>
          <w:p w:rsidR="00030A21" w:rsidRPr="00A07AC4" w:rsidRDefault="00030A21" w:rsidP="00E029AE">
            <w:pPr>
              <w:jc w:val="center"/>
              <w:rPr>
                <w:b/>
                <w:sz w:val="22"/>
              </w:rPr>
            </w:pPr>
            <w:r w:rsidRPr="00A07AC4">
              <w:rPr>
                <w:b/>
                <w:sz w:val="22"/>
              </w:rPr>
              <w:t>2016</w:t>
            </w:r>
          </w:p>
        </w:tc>
      </w:tr>
      <w:tr w:rsidR="00030A21" w:rsidRPr="00A07AC4" w:rsidTr="00AC0BA4">
        <w:trPr>
          <w:trHeight w:val="255"/>
        </w:trPr>
        <w:tc>
          <w:tcPr>
            <w:tcW w:w="2129" w:type="dxa"/>
            <w:noWrap/>
          </w:tcPr>
          <w:p w:rsidR="00030A21" w:rsidRPr="00A07AC4" w:rsidRDefault="00030A21" w:rsidP="00E029AE">
            <w:pPr>
              <w:jc w:val="both"/>
              <w:rPr>
                <w:sz w:val="22"/>
              </w:rPr>
            </w:pPr>
            <w:r w:rsidRPr="00A07AC4">
              <w:rPr>
                <w:sz w:val="22"/>
              </w:rPr>
              <w:t>Mājsaimniecības</w:t>
            </w:r>
          </w:p>
        </w:tc>
        <w:tc>
          <w:tcPr>
            <w:tcW w:w="776" w:type="dxa"/>
            <w:noWrap/>
          </w:tcPr>
          <w:p w:rsidR="00030A21" w:rsidRPr="00A07AC4" w:rsidRDefault="00030A21" w:rsidP="00E029AE">
            <w:pPr>
              <w:jc w:val="right"/>
              <w:rPr>
                <w:sz w:val="22"/>
              </w:rPr>
            </w:pPr>
            <w:r w:rsidRPr="00A07AC4">
              <w:rPr>
                <w:sz w:val="22"/>
              </w:rPr>
              <w:t>3</w:t>
            </w:r>
          </w:p>
        </w:tc>
        <w:tc>
          <w:tcPr>
            <w:tcW w:w="776" w:type="dxa"/>
            <w:noWrap/>
          </w:tcPr>
          <w:p w:rsidR="00030A21" w:rsidRPr="00A07AC4" w:rsidRDefault="00030A21" w:rsidP="00E029AE">
            <w:pPr>
              <w:jc w:val="right"/>
              <w:rPr>
                <w:sz w:val="22"/>
              </w:rPr>
            </w:pPr>
            <w:r w:rsidRPr="00A07AC4">
              <w:rPr>
                <w:sz w:val="22"/>
              </w:rPr>
              <w:t>15</w:t>
            </w:r>
          </w:p>
        </w:tc>
        <w:tc>
          <w:tcPr>
            <w:tcW w:w="776" w:type="dxa"/>
            <w:noWrap/>
          </w:tcPr>
          <w:p w:rsidR="00030A21" w:rsidRPr="00A07AC4" w:rsidRDefault="00030A21" w:rsidP="00E029AE">
            <w:pPr>
              <w:jc w:val="right"/>
              <w:rPr>
                <w:sz w:val="22"/>
              </w:rPr>
            </w:pPr>
            <w:r w:rsidRPr="00A07AC4">
              <w:rPr>
                <w:sz w:val="22"/>
              </w:rPr>
              <w:t>52</w:t>
            </w:r>
          </w:p>
        </w:tc>
        <w:tc>
          <w:tcPr>
            <w:tcW w:w="776" w:type="dxa"/>
            <w:noWrap/>
          </w:tcPr>
          <w:p w:rsidR="00030A21" w:rsidRPr="00A07AC4" w:rsidRDefault="00030A21" w:rsidP="00E029AE">
            <w:pPr>
              <w:jc w:val="right"/>
              <w:rPr>
                <w:sz w:val="22"/>
              </w:rPr>
            </w:pPr>
            <w:r w:rsidRPr="00A07AC4">
              <w:rPr>
                <w:sz w:val="22"/>
              </w:rPr>
              <w:t>360</w:t>
            </w:r>
          </w:p>
        </w:tc>
        <w:tc>
          <w:tcPr>
            <w:tcW w:w="776" w:type="dxa"/>
            <w:noWrap/>
          </w:tcPr>
          <w:p w:rsidR="00030A21" w:rsidRPr="00A07AC4" w:rsidRDefault="00030A21" w:rsidP="00E029AE">
            <w:pPr>
              <w:jc w:val="right"/>
              <w:rPr>
                <w:sz w:val="22"/>
              </w:rPr>
            </w:pPr>
            <w:r w:rsidRPr="00A07AC4">
              <w:rPr>
                <w:sz w:val="22"/>
              </w:rPr>
              <w:t>900</w:t>
            </w:r>
          </w:p>
        </w:tc>
        <w:tc>
          <w:tcPr>
            <w:tcW w:w="776" w:type="dxa"/>
            <w:noWrap/>
          </w:tcPr>
          <w:p w:rsidR="00030A21" w:rsidRPr="00A07AC4" w:rsidRDefault="00030A21" w:rsidP="00E029AE">
            <w:pPr>
              <w:jc w:val="right"/>
              <w:rPr>
                <w:sz w:val="22"/>
              </w:rPr>
            </w:pPr>
            <w:r w:rsidRPr="00A07AC4">
              <w:rPr>
                <w:sz w:val="22"/>
              </w:rPr>
              <w:t>1471</w:t>
            </w:r>
          </w:p>
        </w:tc>
        <w:tc>
          <w:tcPr>
            <w:tcW w:w="776" w:type="dxa"/>
            <w:noWrap/>
          </w:tcPr>
          <w:p w:rsidR="00030A21" w:rsidRPr="00A07AC4" w:rsidRDefault="00030A21" w:rsidP="00E029AE">
            <w:pPr>
              <w:jc w:val="right"/>
              <w:rPr>
                <w:sz w:val="22"/>
              </w:rPr>
            </w:pPr>
            <w:r w:rsidRPr="00A07AC4">
              <w:rPr>
                <w:sz w:val="22"/>
              </w:rPr>
              <w:t>1921</w:t>
            </w:r>
          </w:p>
        </w:tc>
        <w:tc>
          <w:tcPr>
            <w:tcW w:w="776" w:type="dxa"/>
            <w:noWrap/>
          </w:tcPr>
          <w:p w:rsidR="00030A21" w:rsidRPr="00A07AC4" w:rsidRDefault="00030A21" w:rsidP="00E029AE">
            <w:pPr>
              <w:jc w:val="right"/>
              <w:rPr>
                <w:sz w:val="22"/>
              </w:rPr>
            </w:pPr>
            <w:r w:rsidRPr="00A07AC4">
              <w:rPr>
                <w:sz w:val="22"/>
              </w:rPr>
              <w:t>2311</w:t>
            </w:r>
          </w:p>
        </w:tc>
        <w:tc>
          <w:tcPr>
            <w:tcW w:w="776" w:type="dxa"/>
            <w:noWrap/>
          </w:tcPr>
          <w:p w:rsidR="00030A21" w:rsidRPr="00A07AC4" w:rsidRDefault="00030A21" w:rsidP="00E029AE">
            <w:pPr>
              <w:jc w:val="right"/>
              <w:rPr>
                <w:sz w:val="22"/>
              </w:rPr>
            </w:pPr>
            <w:r w:rsidRPr="00A07AC4">
              <w:rPr>
                <w:sz w:val="22"/>
              </w:rPr>
              <w:t>2701</w:t>
            </w:r>
          </w:p>
        </w:tc>
      </w:tr>
      <w:tr w:rsidR="00030A21" w:rsidRPr="00A07AC4" w:rsidTr="00AC0BA4">
        <w:trPr>
          <w:trHeight w:val="255"/>
        </w:trPr>
        <w:tc>
          <w:tcPr>
            <w:tcW w:w="2129" w:type="dxa"/>
            <w:noWrap/>
          </w:tcPr>
          <w:p w:rsidR="00030A21" w:rsidRPr="00A07AC4" w:rsidRDefault="00030A21" w:rsidP="00E029AE">
            <w:pPr>
              <w:jc w:val="both"/>
              <w:rPr>
                <w:sz w:val="22"/>
              </w:rPr>
            </w:pPr>
            <w:r w:rsidRPr="00A07AC4">
              <w:rPr>
                <w:sz w:val="22"/>
              </w:rPr>
              <w:t>Transports</w:t>
            </w:r>
          </w:p>
        </w:tc>
        <w:tc>
          <w:tcPr>
            <w:tcW w:w="776" w:type="dxa"/>
            <w:noWrap/>
          </w:tcPr>
          <w:p w:rsidR="00030A21" w:rsidRPr="00A07AC4" w:rsidRDefault="00030A21" w:rsidP="00E029AE">
            <w:pPr>
              <w:jc w:val="right"/>
              <w:rPr>
                <w:sz w:val="22"/>
              </w:rPr>
            </w:pPr>
            <w:r w:rsidRPr="00A07AC4">
              <w:rPr>
                <w:sz w:val="22"/>
              </w:rPr>
              <w:t>0</w:t>
            </w:r>
          </w:p>
        </w:tc>
        <w:tc>
          <w:tcPr>
            <w:tcW w:w="776" w:type="dxa"/>
            <w:noWrap/>
          </w:tcPr>
          <w:p w:rsidR="00030A21" w:rsidRPr="00A07AC4" w:rsidRDefault="00030A21" w:rsidP="00E029AE">
            <w:pPr>
              <w:jc w:val="right"/>
              <w:rPr>
                <w:sz w:val="22"/>
              </w:rPr>
            </w:pPr>
            <w:r w:rsidRPr="00A07AC4">
              <w:rPr>
                <w:sz w:val="22"/>
              </w:rPr>
              <w:t>1</w:t>
            </w:r>
          </w:p>
        </w:tc>
        <w:tc>
          <w:tcPr>
            <w:tcW w:w="776" w:type="dxa"/>
            <w:noWrap/>
          </w:tcPr>
          <w:p w:rsidR="00030A21" w:rsidRPr="00A07AC4" w:rsidRDefault="00030A21" w:rsidP="00E029AE">
            <w:pPr>
              <w:jc w:val="right"/>
              <w:rPr>
                <w:sz w:val="22"/>
              </w:rPr>
            </w:pPr>
            <w:r w:rsidRPr="00A07AC4">
              <w:rPr>
                <w:sz w:val="22"/>
              </w:rPr>
              <w:t>4</w:t>
            </w:r>
          </w:p>
        </w:tc>
        <w:tc>
          <w:tcPr>
            <w:tcW w:w="776" w:type="dxa"/>
            <w:noWrap/>
          </w:tcPr>
          <w:p w:rsidR="00030A21" w:rsidRPr="00A07AC4" w:rsidRDefault="00030A21" w:rsidP="00E029AE">
            <w:pPr>
              <w:jc w:val="right"/>
              <w:rPr>
                <w:sz w:val="22"/>
              </w:rPr>
            </w:pPr>
            <w:r w:rsidRPr="00A07AC4">
              <w:rPr>
                <w:sz w:val="22"/>
              </w:rPr>
              <w:t>26</w:t>
            </w:r>
          </w:p>
        </w:tc>
        <w:tc>
          <w:tcPr>
            <w:tcW w:w="776" w:type="dxa"/>
            <w:noWrap/>
          </w:tcPr>
          <w:p w:rsidR="00030A21" w:rsidRPr="00A07AC4" w:rsidRDefault="00030A21" w:rsidP="00E029AE">
            <w:pPr>
              <w:jc w:val="right"/>
              <w:rPr>
                <w:sz w:val="22"/>
              </w:rPr>
            </w:pPr>
            <w:r w:rsidRPr="00A07AC4">
              <w:rPr>
                <w:sz w:val="22"/>
              </w:rPr>
              <w:t>68</w:t>
            </w:r>
          </w:p>
        </w:tc>
        <w:tc>
          <w:tcPr>
            <w:tcW w:w="776" w:type="dxa"/>
            <w:noWrap/>
          </w:tcPr>
          <w:p w:rsidR="00030A21" w:rsidRPr="00A07AC4" w:rsidRDefault="00030A21" w:rsidP="00E029AE">
            <w:pPr>
              <w:jc w:val="right"/>
              <w:rPr>
                <w:sz w:val="22"/>
              </w:rPr>
            </w:pPr>
            <w:r w:rsidRPr="00A07AC4">
              <w:rPr>
                <w:sz w:val="22"/>
              </w:rPr>
              <w:t>111</w:t>
            </w:r>
          </w:p>
        </w:tc>
        <w:tc>
          <w:tcPr>
            <w:tcW w:w="776" w:type="dxa"/>
            <w:noWrap/>
          </w:tcPr>
          <w:p w:rsidR="00030A21" w:rsidRPr="00A07AC4" w:rsidRDefault="00030A21" w:rsidP="00E029AE">
            <w:pPr>
              <w:jc w:val="right"/>
              <w:rPr>
                <w:sz w:val="22"/>
              </w:rPr>
            </w:pPr>
            <w:r w:rsidRPr="00A07AC4">
              <w:rPr>
                <w:sz w:val="22"/>
              </w:rPr>
              <w:t>145</w:t>
            </w:r>
          </w:p>
        </w:tc>
        <w:tc>
          <w:tcPr>
            <w:tcW w:w="776" w:type="dxa"/>
            <w:noWrap/>
          </w:tcPr>
          <w:p w:rsidR="00030A21" w:rsidRPr="00A07AC4" w:rsidRDefault="00030A21" w:rsidP="00E029AE">
            <w:pPr>
              <w:jc w:val="right"/>
              <w:rPr>
                <w:sz w:val="22"/>
              </w:rPr>
            </w:pPr>
            <w:r w:rsidRPr="00A07AC4">
              <w:rPr>
                <w:sz w:val="22"/>
              </w:rPr>
              <w:t>175</w:t>
            </w:r>
          </w:p>
        </w:tc>
        <w:tc>
          <w:tcPr>
            <w:tcW w:w="776" w:type="dxa"/>
            <w:noWrap/>
          </w:tcPr>
          <w:p w:rsidR="00030A21" w:rsidRPr="00A07AC4" w:rsidRDefault="00030A21" w:rsidP="00E029AE">
            <w:pPr>
              <w:jc w:val="right"/>
              <w:rPr>
                <w:sz w:val="22"/>
              </w:rPr>
            </w:pPr>
            <w:r w:rsidRPr="00A07AC4">
              <w:rPr>
                <w:sz w:val="22"/>
              </w:rPr>
              <w:t>204</w:t>
            </w:r>
          </w:p>
        </w:tc>
      </w:tr>
      <w:tr w:rsidR="00030A21" w:rsidRPr="00A07AC4" w:rsidTr="00AC0BA4">
        <w:trPr>
          <w:trHeight w:val="255"/>
        </w:trPr>
        <w:tc>
          <w:tcPr>
            <w:tcW w:w="2129" w:type="dxa"/>
            <w:noWrap/>
          </w:tcPr>
          <w:p w:rsidR="00030A21" w:rsidRPr="00A07AC4" w:rsidRDefault="00030A21" w:rsidP="00E029AE">
            <w:pPr>
              <w:jc w:val="both"/>
              <w:rPr>
                <w:sz w:val="22"/>
              </w:rPr>
            </w:pPr>
            <w:r w:rsidRPr="00A07AC4">
              <w:rPr>
                <w:sz w:val="22"/>
              </w:rPr>
              <w:t>Rūpniecība un</w:t>
            </w:r>
          </w:p>
          <w:p w:rsidR="00030A21" w:rsidRPr="00A07AC4" w:rsidRDefault="00030A21" w:rsidP="00E029AE">
            <w:pPr>
              <w:jc w:val="both"/>
              <w:rPr>
                <w:sz w:val="22"/>
              </w:rPr>
            </w:pPr>
            <w:r w:rsidRPr="00A07AC4">
              <w:rPr>
                <w:sz w:val="22"/>
              </w:rPr>
              <w:t>Lauksaimniecība</w:t>
            </w:r>
          </w:p>
        </w:tc>
        <w:tc>
          <w:tcPr>
            <w:tcW w:w="776" w:type="dxa"/>
            <w:noWrap/>
          </w:tcPr>
          <w:p w:rsidR="00030A21" w:rsidRPr="00A07AC4" w:rsidRDefault="00030A21" w:rsidP="00E029AE">
            <w:pPr>
              <w:jc w:val="right"/>
              <w:rPr>
                <w:sz w:val="22"/>
              </w:rPr>
            </w:pPr>
            <w:r w:rsidRPr="00A07AC4">
              <w:rPr>
                <w:sz w:val="22"/>
              </w:rPr>
              <w:t>0</w:t>
            </w:r>
          </w:p>
        </w:tc>
        <w:tc>
          <w:tcPr>
            <w:tcW w:w="776" w:type="dxa"/>
            <w:noWrap/>
          </w:tcPr>
          <w:p w:rsidR="00030A21" w:rsidRPr="00A07AC4" w:rsidRDefault="00030A21" w:rsidP="00E029AE">
            <w:pPr>
              <w:jc w:val="right"/>
              <w:rPr>
                <w:sz w:val="22"/>
              </w:rPr>
            </w:pPr>
            <w:r w:rsidRPr="00A07AC4">
              <w:rPr>
                <w:sz w:val="22"/>
              </w:rPr>
              <w:t>1</w:t>
            </w:r>
          </w:p>
        </w:tc>
        <w:tc>
          <w:tcPr>
            <w:tcW w:w="776" w:type="dxa"/>
            <w:noWrap/>
          </w:tcPr>
          <w:p w:rsidR="00030A21" w:rsidRPr="00A07AC4" w:rsidRDefault="00030A21" w:rsidP="00E029AE">
            <w:pPr>
              <w:jc w:val="right"/>
              <w:rPr>
                <w:sz w:val="22"/>
              </w:rPr>
            </w:pPr>
            <w:r w:rsidRPr="00A07AC4">
              <w:rPr>
                <w:sz w:val="22"/>
              </w:rPr>
              <w:t>3</w:t>
            </w:r>
          </w:p>
        </w:tc>
        <w:tc>
          <w:tcPr>
            <w:tcW w:w="776" w:type="dxa"/>
            <w:noWrap/>
          </w:tcPr>
          <w:p w:rsidR="00030A21" w:rsidRPr="00A07AC4" w:rsidRDefault="00030A21" w:rsidP="00E029AE">
            <w:pPr>
              <w:jc w:val="right"/>
              <w:rPr>
                <w:sz w:val="22"/>
              </w:rPr>
            </w:pPr>
            <w:r w:rsidRPr="00A07AC4">
              <w:rPr>
                <w:sz w:val="22"/>
              </w:rPr>
              <w:t>23</w:t>
            </w:r>
          </w:p>
        </w:tc>
        <w:tc>
          <w:tcPr>
            <w:tcW w:w="776" w:type="dxa"/>
            <w:noWrap/>
          </w:tcPr>
          <w:p w:rsidR="00030A21" w:rsidRPr="00A07AC4" w:rsidRDefault="00030A21" w:rsidP="00E029AE">
            <w:pPr>
              <w:jc w:val="right"/>
              <w:rPr>
                <w:sz w:val="22"/>
              </w:rPr>
            </w:pPr>
            <w:r w:rsidRPr="00A07AC4">
              <w:rPr>
                <w:sz w:val="22"/>
              </w:rPr>
              <w:t>57</w:t>
            </w:r>
          </w:p>
        </w:tc>
        <w:tc>
          <w:tcPr>
            <w:tcW w:w="776" w:type="dxa"/>
            <w:noWrap/>
          </w:tcPr>
          <w:p w:rsidR="00030A21" w:rsidRPr="00A07AC4" w:rsidRDefault="00030A21" w:rsidP="00E029AE">
            <w:pPr>
              <w:jc w:val="right"/>
              <w:rPr>
                <w:sz w:val="22"/>
              </w:rPr>
            </w:pPr>
            <w:r w:rsidRPr="00A07AC4">
              <w:rPr>
                <w:sz w:val="22"/>
              </w:rPr>
              <w:t>92</w:t>
            </w:r>
          </w:p>
        </w:tc>
        <w:tc>
          <w:tcPr>
            <w:tcW w:w="776" w:type="dxa"/>
            <w:noWrap/>
          </w:tcPr>
          <w:p w:rsidR="00030A21" w:rsidRPr="00A07AC4" w:rsidRDefault="00030A21" w:rsidP="00E029AE">
            <w:pPr>
              <w:jc w:val="right"/>
              <w:rPr>
                <w:sz w:val="22"/>
              </w:rPr>
            </w:pPr>
            <w:r w:rsidRPr="00A07AC4">
              <w:rPr>
                <w:sz w:val="22"/>
              </w:rPr>
              <w:t>121</w:t>
            </w:r>
          </w:p>
        </w:tc>
        <w:tc>
          <w:tcPr>
            <w:tcW w:w="776" w:type="dxa"/>
            <w:noWrap/>
          </w:tcPr>
          <w:p w:rsidR="00030A21" w:rsidRPr="00A07AC4" w:rsidRDefault="00030A21" w:rsidP="00E029AE">
            <w:pPr>
              <w:jc w:val="right"/>
              <w:rPr>
                <w:sz w:val="22"/>
              </w:rPr>
            </w:pPr>
            <w:r w:rsidRPr="00A07AC4">
              <w:rPr>
                <w:sz w:val="22"/>
              </w:rPr>
              <w:t>147</w:t>
            </w:r>
          </w:p>
        </w:tc>
        <w:tc>
          <w:tcPr>
            <w:tcW w:w="776" w:type="dxa"/>
            <w:noWrap/>
          </w:tcPr>
          <w:p w:rsidR="00030A21" w:rsidRPr="00A07AC4" w:rsidRDefault="00030A21" w:rsidP="00E029AE">
            <w:pPr>
              <w:jc w:val="right"/>
              <w:rPr>
                <w:sz w:val="22"/>
              </w:rPr>
            </w:pPr>
            <w:r w:rsidRPr="00A07AC4">
              <w:rPr>
                <w:sz w:val="22"/>
              </w:rPr>
              <w:t>170</w:t>
            </w:r>
          </w:p>
        </w:tc>
      </w:tr>
      <w:tr w:rsidR="00030A21" w:rsidRPr="00A07AC4" w:rsidTr="00AC0BA4">
        <w:trPr>
          <w:trHeight w:val="255"/>
        </w:trPr>
        <w:tc>
          <w:tcPr>
            <w:tcW w:w="2129" w:type="dxa"/>
            <w:noWrap/>
          </w:tcPr>
          <w:p w:rsidR="00030A21" w:rsidRPr="00A07AC4" w:rsidRDefault="00030A21" w:rsidP="00E029AE">
            <w:pPr>
              <w:jc w:val="both"/>
              <w:rPr>
                <w:sz w:val="22"/>
              </w:rPr>
            </w:pPr>
            <w:r w:rsidRPr="00A07AC4">
              <w:rPr>
                <w:sz w:val="22"/>
              </w:rPr>
              <w:lastRenderedPageBreak/>
              <w:t>Pakalpojumi</w:t>
            </w:r>
          </w:p>
        </w:tc>
        <w:tc>
          <w:tcPr>
            <w:tcW w:w="776" w:type="dxa"/>
            <w:noWrap/>
          </w:tcPr>
          <w:p w:rsidR="00030A21" w:rsidRPr="00A07AC4" w:rsidRDefault="00030A21" w:rsidP="00E029AE">
            <w:pPr>
              <w:jc w:val="right"/>
              <w:rPr>
                <w:sz w:val="22"/>
              </w:rPr>
            </w:pPr>
            <w:r w:rsidRPr="00A07AC4">
              <w:rPr>
                <w:sz w:val="22"/>
              </w:rPr>
              <w:t>1</w:t>
            </w:r>
          </w:p>
        </w:tc>
        <w:tc>
          <w:tcPr>
            <w:tcW w:w="776" w:type="dxa"/>
            <w:noWrap/>
          </w:tcPr>
          <w:p w:rsidR="00030A21" w:rsidRPr="00A07AC4" w:rsidRDefault="00030A21" w:rsidP="00E029AE">
            <w:pPr>
              <w:jc w:val="right"/>
              <w:rPr>
                <w:sz w:val="22"/>
              </w:rPr>
            </w:pPr>
            <w:r w:rsidRPr="00A07AC4">
              <w:rPr>
                <w:sz w:val="22"/>
              </w:rPr>
              <w:t>2</w:t>
            </w:r>
          </w:p>
        </w:tc>
        <w:tc>
          <w:tcPr>
            <w:tcW w:w="776" w:type="dxa"/>
            <w:noWrap/>
          </w:tcPr>
          <w:p w:rsidR="00030A21" w:rsidRPr="00A07AC4" w:rsidRDefault="00030A21" w:rsidP="00E029AE">
            <w:pPr>
              <w:jc w:val="right"/>
              <w:rPr>
                <w:sz w:val="22"/>
              </w:rPr>
            </w:pPr>
            <w:r w:rsidRPr="00A07AC4">
              <w:rPr>
                <w:sz w:val="22"/>
              </w:rPr>
              <w:t>8</w:t>
            </w:r>
          </w:p>
        </w:tc>
        <w:tc>
          <w:tcPr>
            <w:tcW w:w="776" w:type="dxa"/>
            <w:noWrap/>
          </w:tcPr>
          <w:p w:rsidR="00030A21" w:rsidRPr="00A07AC4" w:rsidRDefault="00030A21" w:rsidP="00E029AE">
            <w:pPr>
              <w:jc w:val="right"/>
              <w:rPr>
                <w:sz w:val="22"/>
              </w:rPr>
            </w:pPr>
            <w:r w:rsidRPr="00A07AC4">
              <w:rPr>
                <w:sz w:val="22"/>
              </w:rPr>
              <w:t>54</w:t>
            </w:r>
          </w:p>
        </w:tc>
        <w:tc>
          <w:tcPr>
            <w:tcW w:w="776" w:type="dxa"/>
            <w:noWrap/>
          </w:tcPr>
          <w:p w:rsidR="00030A21" w:rsidRPr="00A07AC4" w:rsidRDefault="00030A21" w:rsidP="00E029AE">
            <w:pPr>
              <w:jc w:val="right"/>
              <w:rPr>
                <w:sz w:val="22"/>
              </w:rPr>
            </w:pPr>
            <w:r w:rsidRPr="00A07AC4">
              <w:rPr>
                <w:sz w:val="22"/>
              </w:rPr>
              <w:t>136</w:t>
            </w:r>
          </w:p>
        </w:tc>
        <w:tc>
          <w:tcPr>
            <w:tcW w:w="776" w:type="dxa"/>
            <w:noWrap/>
          </w:tcPr>
          <w:p w:rsidR="00030A21" w:rsidRPr="00A07AC4" w:rsidRDefault="00030A21" w:rsidP="00E029AE">
            <w:pPr>
              <w:jc w:val="right"/>
              <w:rPr>
                <w:sz w:val="22"/>
              </w:rPr>
            </w:pPr>
            <w:r w:rsidRPr="00A07AC4">
              <w:rPr>
                <w:sz w:val="22"/>
              </w:rPr>
              <w:t>222</w:t>
            </w:r>
          </w:p>
        </w:tc>
        <w:tc>
          <w:tcPr>
            <w:tcW w:w="776" w:type="dxa"/>
            <w:noWrap/>
          </w:tcPr>
          <w:p w:rsidR="00030A21" w:rsidRPr="00A07AC4" w:rsidRDefault="00030A21" w:rsidP="00E029AE">
            <w:pPr>
              <w:jc w:val="right"/>
              <w:rPr>
                <w:sz w:val="22"/>
              </w:rPr>
            </w:pPr>
            <w:r w:rsidRPr="00A07AC4">
              <w:rPr>
                <w:sz w:val="22"/>
              </w:rPr>
              <w:t>290</w:t>
            </w:r>
          </w:p>
        </w:tc>
        <w:tc>
          <w:tcPr>
            <w:tcW w:w="776" w:type="dxa"/>
            <w:noWrap/>
          </w:tcPr>
          <w:p w:rsidR="00030A21" w:rsidRPr="00A07AC4" w:rsidRDefault="00030A21" w:rsidP="00E029AE">
            <w:pPr>
              <w:jc w:val="right"/>
              <w:rPr>
                <w:sz w:val="22"/>
              </w:rPr>
            </w:pPr>
            <w:r w:rsidRPr="00A07AC4">
              <w:rPr>
                <w:sz w:val="22"/>
              </w:rPr>
              <w:t>349</w:t>
            </w:r>
          </w:p>
        </w:tc>
        <w:tc>
          <w:tcPr>
            <w:tcW w:w="776" w:type="dxa"/>
            <w:noWrap/>
          </w:tcPr>
          <w:p w:rsidR="00030A21" w:rsidRPr="00A07AC4" w:rsidRDefault="00030A21" w:rsidP="00E029AE">
            <w:pPr>
              <w:jc w:val="right"/>
              <w:rPr>
                <w:sz w:val="22"/>
              </w:rPr>
            </w:pPr>
            <w:r w:rsidRPr="00A07AC4">
              <w:rPr>
                <w:sz w:val="22"/>
              </w:rPr>
              <w:t>408</w:t>
            </w:r>
          </w:p>
        </w:tc>
      </w:tr>
      <w:tr w:rsidR="00030A21" w:rsidRPr="00A07AC4" w:rsidTr="00AC0BA4">
        <w:trPr>
          <w:trHeight w:val="255"/>
        </w:trPr>
        <w:tc>
          <w:tcPr>
            <w:tcW w:w="2129" w:type="dxa"/>
            <w:noWrap/>
          </w:tcPr>
          <w:p w:rsidR="00030A21" w:rsidRPr="00A07AC4" w:rsidRDefault="00030A21" w:rsidP="00E029AE">
            <w:pPr>
              <w:jc w:val="both"/>
              <w:rPr>
                <w:b/>
                <w:sz w:val="22"/>
              </w:rPr>
            </w:pPr>
            <w:r w:rsidRPr="00A07AC4">
              <w:rPr>
                <w:b/>
                <w:sz w:val="22"/>
              </w:rPr>
              <w:t>KOPĀ:</w:t>
            </w:r>
          </w:p>
        </w:tc>
        <w:tc>
          <w:tcPr>
            <w:tcW w:w="776" w:type="dxa"/>
            <w:noWrap/>
          </w:tcPr>
          <w:p w:rsidR="00030A21" w:rsidRPr="00A07AC4" w:rsidRDefault="00030A21" w:rsidP="00E029AE">
            <w:pPr>
              <w:jc w:val="right"/>
              <w:rPr>
                <w:b/>
                <w:sz w:val="22"/>
              </w:rPr>
            </w:pPr>
            <w:r w:rsidRPr="00A07AC4">
              <w:rPr>
                <w:b/>
                <w:sz w:val="22"/>
              </w:rPr>
              <w:t>4</w:t>
            </w:r>
          </w:p>
        </w:tc>
        <w:tc>
          <w:tcPr>
            <w:tcW w:w="776" w:type="dxa"/>
            <w:noWrap/>
          </w:tcPr>
          <w:p w:rsidR="00030A21" w:rsidRPr="00A07AC4" w:rsidRDefault="00030A21" w:rsidP="00E029AE">
            <w:pPr>
              <w:jc w:val="right"/>
              <w:rPr>
                <w:b/>
                <w:sz w:val="22"/>
              </w:rPr>
            </w:pPr>
            <w:r w:rsidRPr="00A07AC4">
              <w:rPr>
                <w:b/>
                <w:sz w:val="22"/>
              </w:rPr>
              <w:t>19</w:t>
            </w:r>
          </w:p>
        </w:tc>
        <w:tc>
          <w:tcPr>
            <w:tcW w:w="776" w:type="dxa"/>
            <w:noWrap/>
          </w:tcPr>
          <w:p w:rsidR="00030A21" w:rsidRPr="00A07AC4" w:rsidRDefault="00030A21" w:rsidP="00E029AE">
            <w:pPr>
              <w:jc w:val="right"/>
              <w:rPr>
                <w:b/>
                <w:sz w:val="22"/>
              </w:rPr>
            </w:pPr>
            <w:r w:rsidRPr="00A07AC4">
              <w:rPr>
                <w:b/>
                <w:sz w:val="22"/>
              </w:rPr>
              <w:t>67</w:t>
            </w:r>
          </w:p>
        </w:tc>
        <w:tc>
          <w:tcPr>
            <w:tcW w:w="776" w:type="dxa"/>
            <w:noWrap/>
          </w:tcPr>
          <w:p w:rsidR="00030A21" w:rsidRPr="00A07AC4" w:rsidRDefault="00030A21" w:rsidP="002A2353">
            <w:pPr>
              <w:jc w:val="right"/>
              <w:rPr>
                <w:b/>
                <w:sz w:val="22"/>
              </w:rPr>
            </w:pPr>
            <w:r w:rsidRPr="00A07AC4">
              <w:rPr>
                <w:b/>
                <w:sz w:val="22"/>
              </w:rPr>
              <w:t>46</w:t>
            </w:r>
            <w:r w:rsidR="002A2353">
              <w:rPr>
                <w:b/>
                <w:sz w:val="22"/>
              </w:rPr>
              <w:t>3</w:t>
            </w:r>
          </w:p>
        </w:tc>
        <w:tc>
          <w:tcPr>
            <w:tcW w:w="776" w:type="dxa"/>
            <w:noWrap/>
          </w:tcPr>
          <w:p w:rsidR="00030A21" w:rsidRPr="00A07AC4" w:rsidRDefault="00030A21" w:rsidP="00E029AE">
            <w:pPr>
              <w:jc w:val="right"/>
              <w:rPr>
                <w:b/>
                <w:sz w:val="22"/>
              </w:rPr>
            </w:pPr>
            <w:r w:rsidRPr="00A07AC4">
              <w:rPr>
                <w:b/>
                <w:sz w:val="22"/>
              </w:rPr>
              <w:t>1161</w:t>
            </w:r>
          </w:p>
        </w:tc>
        <w:tc>
          <w:tcPr>
            <w:tcW w:w="776" w:type="dxa"/>
            <w:noWrap/>
          </w:tcPr>
          <w:p w:rsidR="00030A21" w:rsidRPr="00A07AC4" w:rsidRDefault="00030A21" w:rsidP="00E029AE">
            <w:pPr>
              <w:jc w:val="right"/>
              <w:rPr>
                <w:b/>
                <w:sz w:val="22"/>
              </w:rPr>
            </w:pPr>
            <w:r w:rsidRPr="00A07AC4">
              <w:rPr>
                <w:b/>
                <w:sz w:val="22"/>
              </w:rPr>
              <w:t>1896</w:t>
            </w:r>
          </w:p>
        </w:tc>
        <w:tc>
          <w:tcPr>
            <w:tcW w:w="776" w:type="dxa"/>
            <w:noWrap/>
          </w:tcPr>
          <w:p w:rsidR="00030A21" w:rsidRPr="00A07AC4" w:rsidRDefault="00030A21" w:rsidP="00E029AE">
            <w:pPr>
              <w:jc w:val="right"/>
              <w:rPr>
                <w:b/>
                <w:sz w:val="22"/>
              </w:rPr>
            </w:pPr>
            <w:r w:rsidRPr="00A07AC4">
              <w:rPr>
                <w:b/>
                <w:sz w:val="22"/>
              </w:rPr>
              <w:t>2477</w:t>
            </w:r>
          </w:p>
        </w:tc>
        <w:tc>
          <w:tcPr>
            <w:tcW w:w="776" w:type="dxa"/>
            <w:noWrap/>
          </w:tcPr>
          <w:p w:rsidR="00030A21" w:rsidRPr="00A07AC4" w:rsidRDefault="00030A21" w:rsidP="002A2353">
            <w:pPr>
              <w:jc w:val="right"/>
              <w:rPr>
                <w:b/>
                <w:sz w:val="22"/>
              </w:rPr>
            </w:pPr>
            <w:r w:rsidRPr="00A07AC4">
              <w:rPr>
                <w:b/>
                <w:sz w:val="22"/>
              </w:rPr>
              <w:t>298</w:t>
            </w:r>
            <w:r w:rsidR="002A2353">
              <w:rPr>
                <w:b/>
                <w:sz w:val="22"/>
              </w:rPr>
              <w:t>2</w:t>
            </w:r>
          </w:p>
        </w:tc>
        <w:tc>
          <w:tcPr>
            <w:tcW w:w="776" w:type="dxa"/>
            <w:noWrap/>
          </w:tcPr>
          <w:p w:rsidR="00030A21" w:rsidRPr="00A07AC4" w:rsidRDefault="00030A21" w:rsidP="00E029AE">
            <w:pPr>
              <w:jc w:val="right"/>
              <w:rPr>
                <w:b/>
                <w:sz w:val="22"/>
              </w:rPr>
            </w:pPr>
            <w:r w:rsidRPr="00A07AC4">
              <w:rPr>
                <w:b/>
                <w:sz w:val="22"/>
              </w:rPr>
              <w:t>3483</w:t>
            </w:r>
          </w:p>
        </w:tc>
      </w:tr>
    </w:tbl>
    <w:p w:rsidR="00030A21" w:rsidRPr="003D48F5" w:rsidRDefault="00791DBA" w:rsidP="003C7864">
      <w:pPr>
        <w:spacing w:before="240" w:after="0" w:line="240" w:lineRule="auto"/>
        <w:jc w:val="both"/>
        <w:rPr>
          <w:szCs w:val="28"/>
        </w:rPr>
      </w:pPr>
      <w:r w:rsidRPr="003D48F5">
        <w:rPr>
          <w:szCs w:val="28"/>
        </w:rPr>
        <w:tab/>
      </w:r>
      <w:r w:rsidR="00030A21" w:rsidRPr="003D48F5">
        <w:rPr>
          <w:szCs w:val="28"/>
        </w:rPr>
        <w:t>Aprēķinot un nosakot enerģijas ietaupījuma mērķi 2020.</w:t>
      </w:r>
      <w:r w:rsidR="00D027CC" w:rsidRPr="003D48F5">
        <w:rPr>
          <w:szCs w:val="28"/>
        </w:rPr>
        <w:t> </w:t>
      </w:r>
      <w:r w:rsidR="00030A21" w:rsidRPr="003D48F5">
        <w:rPr>
          <w:szCs w:val="28"/>
        </w:rPr>
        <w:t xml:space="preserve">gadam, </w:t>
      </w:r>
      <w:r w:rsidR="00AD2FDF" w:rsidRPr="003D48F5">
        <w:rPr>
          <w:szCs w:val="28"/>
        </w:rPr>
        <w:t>tiek ņemts vērā EK</w:t>
      </w:r>
      <w:r w:rsidR="00030A21" w:rsidRPr="003D48F5">
        <w:rPr>
          <w:szCs w:val="28"/>
        </w:rPr>
        <w:t xml:space="preserve"> vadlīniju ieteikums novērtēt iespējamos enerģijas ietaupījumus arī pārveidošanas sektorā. Enerģijas ietaupījuma mērķis 2020.</w:t>
      </w:r>
      <w:r w:rsidR="00D027CC" w:rsidRPr="003D48F5">
        <w:rPr>
          <w:szCs w:val="28"/>
        </w:rPr>
        <w:t> </w:t>
      </w:r>
      <w:r w:rsidR="00030A21" w:rsidRPr="003D48F5">
        <w:rPr>
          <w:szCs w:val="28"/>
        </w:rPr>
        <w:t xml:space="preserve">gadam </w:t>
      </w:r>
      <w:r w:rsidR="007C7AD8">
        <w:rPr>
          <w:szCs w:val="28"/>
        </w:rPr>
        <w:t>ti</w:t>
      </w:r>
      <w:r w:rsidR="00030A21" w:rsidRPr="003D48F5">
        <w:rPr>
          <w:szCs w:val="28"/>
        </w:rPr>
        <w:t>k</w:t>
      </w:r>
      <w:r w:rsidR="007C7AD8">
        <w:rPr>
          <w:szCs w:val="28"/>
        </w:rPr>
        <w:t>a</w:t>
      </w:r>
      <w:r w:rsidR="00030A21" w:rsidRPr="003D48F5">
        <w:rPr>
          <w:szCs w:val="28"/>
        </w:rPr>
        <w:t xml:space="preserve"> noteikts gan enerģijas galapatēriņa sektoriem, gan primārajiem energoresursiem</w:t>
      </w:r>
      <w:r w:rsidR="007C7AD8">
        <w:rPr>
          <w:szCs w:val="28"/>
        </w:rPr>
        <w:t xml:space="preserve"> un ar „Progresa ziņojumu par Latvijas nacionālās reformu programmas „Eiropa 2020” stratēģijas kontekstā īstenošanu”</w:t>
      </w:r>
      <w:r w:rsidR="00B37820">
        <w:rPr>
          <w:szCs w:val="28"/>
        </w:rPr>
        <w:t xml:space="preserve"> (apstiprināts Ministru kabineta 2013.</w:t>
      </w:r>
      <w:r w:rsidR="007F7ECF">
        <w:rPr>
          <w:szCs w:val="28"/>
        </w:rPr>
        <w:t> </w:t>
      </w:r>
      <w:r w:rsidR="00B37820">
        <w:rPr>
          <w:szCs w:val="28"/>
        </w:rPr>
        <w:t>gada 29.</w:t>
      </w:r>
      <w:r w:rsidR="007F7ECF">
        <w:rPr>
          <w:szCs w:val="28"/>
        </w:rPr>
        <w:t> </w:t>
      </w:r>
      <w:r w:rsidR="00B37820">
        <w:rPr>
          <w:szCs w:val="28"/>
        </w:rPr>
        <w:t>aprīļa ārkārtas sēdē, protokols Nr.25 2</w:t>
      </w:r>
      <w:r w:rsidR="00B37820">
        <w:rPr>
          <w:rFonts w:cs="Times New Roman"/>
          <w:szCs w:val="28"/>
        </w:rPr>
        <w:t>§</w:t>
      </w:r>
      <w:r w:rsidR="00B37820">
        <w:rPr>
          <w:szCs w:val="28"/>
        </w:rPr>
        <w:t>)</w:t>
      </w:r>
      <w:r w:rsidR="007C7AD8">
        <w:rPr>
          <w:szCs w:val="28"/>
        </w:rPr>
        <w:t xml:space="preserve"> ziņots EK</w:t>
      </w:r>
      <w:r w:rsidR="00030A21" w:rsidRPr="003D48F5">
        <w:rPr>
          <w:szCs w:val="28"/>
        </w:rPr>
        <w:t>.</w:t>
      </w:r>
      <w:r w:rsidR="00E17351">
        <w:rPr>
          <w:szCs w:val="28"/>
        </w:rPr>
        <w:t xml:space="preserve"> </w:t>
      </w:r>
      <w:r w:rsidRPr="003D48F5">
        <w:rPr>
          <w:szCs w:val="28"/>
        </w:rPr>
        <w:tab/>
      </w:r>
      <w:r w:rsidR="00030A21" w:rsidRPr="003D48F5">
        <w:rPr>
          <w:szCs w:val="28"/>
        </w:rPr>
        <w:t>Plānotie un iegūtie enerģijas ietaupījumi enerģijas galapatēriņa sektoros un plānotie kopējie enerģijas ietaupījumi (enerģijas ietaupījums gan galapatēriņa sektoros, gan primārās enerģijas ietaupījums) 2020.</w:t>
      </w:r>
      <w:r w:rsidR="00D027CC" w:rsidRPr="003D48F5">
        <w:rPr>
          <w:szCs w:val="28"/>
        </w:rPr>
        <w:t> </w:t>
      </w:r>
      <w:r w:rsidR="00030A21" w:rsidRPr="003D48F5">
        <w:rPr>
          <w:szCs w:val="28"/>
        </w:rPr>
        <w:t xml:space="preserve">gadam apkopoti </w:t>
      </w:r>
      <w:r w:rsidR="00C138E2" w:rsidRPr="003D48F5">
        <w:rPr>
          <w:szCs w:val="28"/>
        </w:rPr>
        <w:t>5</w:t>
      </w:r>
      <w:r w:rsidR="00030A21" w:rsidRPr="003D48F5">
        <w:rPr>
          <w:szCs w:val="28"/>
        </w:rPr>
        <w:t>.</w:t>
      </w:r>
      <w:r w:rsidR="00D027CC" w:rsidRPr="003D48F5">
        <w:rPr>
          <w:szCs w:val="28"/>
        </w:rPr>
        <w:t> </w:t>
      </w:r>
      <w:r w:rsidR="00030A21" w:rsidRPr="003D48F5">
        <w:rPr>
          <w:szCs w:val="28"/>
        </w:rPr>
        <w:t>tabulā.</w:t>
      </w:r>
    </w:p>
    <w:p w:rsidR="00030A21" w:rsidRPr="0099397F" w:rsidRDefault="00102D47" w:rsidP="005A664D">
      <w:pPr>
        <w:spacing w:before="240" w:after="0" w:line="240" w:lineRule="auto"/>
        <w:jc w:val="right"/>
        <w:rPr>
          <w:sz w:val="24"/>
          <w:szCs w:val="28"/>
        </w:rPr>
      </w:pPr>
      <w:r w:rsidRPr="0099397F">
        <w:rPr>
          <w:b/>
          <w:sz w:val="22"/>
          <w:szCs w:val="24"/>
        </w:rPr>
        <w:t>5</w:t>
      </w:r>
      <w:r w:rsidR="00030A21" w:rsidRPr="0099397F">
        <w:rPr>
          <w:b/>
          <w:sz w:val="22"/>
          <w:szCs w:val="24"/>
        </w:rPr>
        <w:t>.</w:t>
      </w:r>
      <w:r w:rsidR="00D027CC" w:rsidRPr="0099397F">
        <w:rPr>
          <w:b/>
          <w:sz w:val="22"/>
          <w:szCs w:val="24"/>
        </w:rPr>
        <w:t> </w:t>
      </w:r>
      <w:r w:rsidR="00030A21" w:rsidRPr="0099397F">
        <w:rPr>
          <w:b/>
          <w:sz w:val="22"/>
          <w:szCs w:val="24"/>
        </w:rPr>
        <w:t>tabula</w:t>
      </w:r>
    </w:p>
    <w:p w:rsidR="00030A21" w:rsidRPr="0099397F" w:rsidRDefault="00030A21" w:rsidP="00D628C6">
      <w:pPr>
        <w:spacing w:after="0" w:line="240" w:lineRule="auto"/>
        <w:jc w:val="right"/>
        <w:rPr>
          <w:sz w:val="22"/>
          <w:szCs w:val="24"/>
        </w:rPr>
      </w:pPr>
      <w:r w:rsidRPr="0099397F">
        <w:rPr>
          <w:b/>
          <w:sz w:val="22"/>
          <w:szCs w:val="24"/>
        </w:rPr>
        <w:t>Kopējā enerģijas ietaupījuma mērķis (gan gala</w:t>
      </w:r>
      <w:r w:rsidR="00551247" w:rsidRPr="0099397F">
        <w:rPr>
          <w:b/>
          <w:sz w:val="22"/>
          <w:szCs w:val="24"/>
        </w:rPr>
        <w:t xml:space="preserve">patēriņa sektoros, gan primārās </w:t>
      </w:r>
      <w:r w:rsidRPr="0099397F">
        <w:rPr>
          <w:b/>
          <w:sz w:val="22"/>
          <w:szCs w:val="24"/>
        </w:rPr>
        <w:t>enerģijas ietaupījums) 2010., 2016. un 2020.</w:t>
      </w:r>
      <w:r w:rsidR="00D027CC" w:rsidRPr="0099397F">
        <w:rPr>
          <w:b/>
          <w:sz w:val="22"/>
          <w:szCs w:val="24"/>
        </w:rPr>
        <w:t> </w:t>
      </w:r>
      <w:r w:rsidRPr="0099397F">
        <w:rPr>
          <w:b/>
          <w:sz w:val="22"/>
          <w:szCs w:val="24"/>
        </w:rPr>
        <w:t>gadam</w:t>
      </w:r>
    </w:p>
    <w:tbl>
      <w:tblPr>
        <w:tblW w:w="0" w:type="auto"/>
        <w:jc w:val="center"/>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422"/>
        <w:gridCol w:w="2533"/>
        <w:gridCol w:w="2754"/>
      </w:tblGrid>
      <w:tr w:rsidR="00030A21" w:rsidRPr="00A07AC4" w:rsidTr="00E029AE">
        <w:trPr>
          <w:jc w:val="center"/>
        </w:trPr>
        <w:tc>
          <w:tcPr>
            <w:tcW w:w="923" w:type="dxa"/>
          </w:tcPr>
          <w:p w:rsidR="00030A21" w:rsidRPr="00A07AC4" w:rsidRDefault="00030A21" w:rsidP="00E029AE">
            <w:pPr>
              <w:spacing w:after="0" w:line="240" w:lineRule="auto"/>
              <w:jc w:val="both"/>
              <w:rPr>
                <w:sz w:val="22"/>
              </w:rPr>
            </w:pPr>
          </w:p>
        </w:tc>
        <w:tc>
          <w:tcPr>
            <w:tcW w:w="2422" w:type="dxa"/>
            <w:vAlign w:val="center"/>
          </w:tcPr>
          <w:p w:rsidR="00030A21" w:rsidRPr="00A07AC4" w:rsidRDefault="00030A21" w:rsidP="00E029AE">
            <w:pPr>
              <w:spacing w:after="0" w:line="240" w:lineRule="auto"/>
              <w:jc w:val="both"/>
              <w:rPr>
                <w:b/>
                <w:sz w:val="22"/>
              </w:rPr>
            </w:pPr>
            <w:r w:rsidRPr="00A07AC4">
              <w:rPr>
                <w:b/>
                <w:sz w:val="22"/>
              </w:rPr>
              <w:t xml:space="preserve">Plānotie enerģijas ietaupījumi galapatēriņa sektoros, </w:t>
            </w:r>
            <w:proofErr w:type="spellStart"/>
            <w:r w:rsidRPr="00A07AC4">
              <w:rPr>
                <w:b/>
                <w:sz w:val="22"/>
              </w:rPr>
              <w:t>GWh</w:t>
            </w:r>
            <w:proofErr w:type="spellEnd"/>
            <w:r w:rsidRPr="00A07AC4">
              <w:rPr>
                <w:b/>
                <w:sz w:val="22"/>
              </w:rPr>
              <w:t xml:space="preserve"> (PJ)</w:t>
            </w:r>
          </w:p>
        </w:tc>
        <w:tc>
          <w:tcPr>
            <w:tcW w:w="2533" w:type="dxa"/>
            <w:vAlign w:val="center"/>
          </w:tcPr>
          <w:p w:rsidR="00030A21" w:rsidRPr="00A07AC4" w:rsidRDefault="00030A21" w:rsidP="00E029AE">
            <w:pPr>
              <w:spacing w:after="0" w:line="240" w:lineRule="auto"/>
              <w:jc w:val="both"/>
              <w:rPr>
                <w:b/>
                <w:sz w:val="22"/>
              </w:rPr>
            </w:pPr>
            <w:r w:rsidRPr="00A07AC4">
              <w:rPr>
                <w:b/>
                <w:sz w:val="22"/>
              </w:rPr>
              <w:t xml:space="preserve">Iegūtie enerģijas ietaupījumi galapatēriņa sektoros, </w:t>
            </w:r>
            <w:proofErr w:type="spellStart"/>
            <w:r w:rsidRPr="00A07AC4">
              <w:rPr>
                <w:b/>
                <w:sz w:val="22"/>
              </w:rPr>
              <w:t>GWh</w:t>
            </w:r>
            <w:proofErr w:type="spellEnd"/>
            <w:r w:rsidRPr="00A07AC4">
              <w:rPr>
                <w:b/>
                <w:sz w:val="22"/>
              </w:rPr>
              <w:t xml:space="preserve"> (PJ)</w:t>
            </w:r>
          </w:p>
        </w:tc>
        <w:tc>
          <w:tcPr>
            <w:tcW w:w="2754" w:type="dxa"/>
            <w:vAlign w:val="center"/>
          </w:tcPr>
          <w:p w:rsidR="00030A21" w:rsidRPr="00A07AC4" w:rsidRDefault="00030A21" w:rsidP="00E029AE">
            <w:pPr>
              <w:spacing w:after="0" w:line="240" w:lineRule="auto"/>
              <w:jc w:val="both"/>
              <w:rPr>
                <w:b/>
                <w:sz w:val="22"/>
              </w:rPr>
            </w:pPr>
            <w:r w:rsidRPr="00A07AC4">
              <w:rPr>
                <w:b/>
                <w:sz w:val="22"/>
              </w:rPr>
              <w:t xml:space="preserve">Plānotie kopējie enerģijas ietaupījumi, </w:t>
            </w:r>
            <w:proofErr w:type="spellStart"/>
            <w:r w:rsidRPr="00A07AC4">
              <w:rPr>
                <w:b/>
                <w:sz w:val="22"/>
              </w:rPr>
              <w:t>GWh</w:t>
            </w:r>
            <w:proofErr w:type="spellEnd"/>
            <w:r w:rsidRPr="00A07AC4">
              <w:rPr>
                <w:b/>
                <w:sz w:val="22"/>
              </w:rPr>
              <w:t xml:space="preserve"> (PJ)</w:t>
            </w:r>
          </w:p>
        </w:tc>
      </w:tr>
      <w:tr w:rsidR="00030A21" w:rsidRPr="00A07AC4" w:rsidTr="00E029AE">
        <w:trPr>
          <w:jc w:val="center"/>
        </w:trPr>
        <w:tc>
          <w:tcPr>
            <w:tcW w:w="923" w:type="dxa"/>
          </w:tcPr>
          <w:p w:rsidR="00030A21" w:rsidRPr="00A07AC4" w:rsidRDefault="00030A21" w:rsidP="00E029AE">
            <w:pPr>
              <w:spacing w:after="0" w:line="240" w:lineRule="auto"/>
              <w:jc w:val="both"/>
              <w:rPr>
                <w:b/>
                <w:sz w:val="22"/>
              </w:rPr>
            </w:pPr>
            <w:r w:rsidRPr="00A07AC4">
              <w:rPr>
                <w:b/>
                <w:sz w:val="22"/>
              </w:rPr>
              <w:t>2010</w:t>
            </w:r>
          </w:p>
        </w:tc>
        <w:tc>
          <w:tcPr>
            <w:tcW w:w="2422" w:type="dxa"/>
          </w:tcPr>
          <w:p w:rsidR="00030A21" w:rsidRPr="00A07AC4" w:rsidRDefault="00030A21" w:rsidP="00E029AE">
            <w:pPr>
              <w:spacing w:after="0" w:line="240" w:lineRule="auto"/>
              <w:jc w:val="both"/>
              <w:rPr>
                <w:sz w:val="22"/>
              </w:rPr>
            </w:pPr>
            <w:r w:rsidRPr="00A07AC4">
              <w:rPr>
                <w:sz w:val="22"/>
              </w:rPr>
              <w:t>67 (0,24)</w:t>
            </w:r>
          </w:p>
        </w:tc>
        <w:tc>
          <w:tcPr>
            <w:tcW w:w="2533" w:type="dxa"/>
          </w:tcPr>
          <w:p w:rsidR="00030A21" w:rsidRPr="00A07AC4" w:rsidRDefault="00145E90" w:rsidP="00145E90">
            <w:pPr>
              <w:spacing w:after="0" w:line="240" w:lineRule="auto"/>
              <w:jc w:val="both"/>
              <w:rPr>
                <w:sz w:val="22"/>
              </w:rPr>
            </w:pPr>
            <w:r>
              <w:rPr>
                <w:sz w:val="22"/>
              </w:rPr>
              <w:t>2069*</w:t>
            </w:r>
            <w:r w:rsidR="00030A21" w:rsidRPr="00A07AC4">
              <w:rPr>
                <w:sz w:val="22"/>
              </w:rPr>
              <w:t xml:space="preserve"> (</w:t>
            </w:r>
            <w:r>
              <w:rPr>
                <w:sz w:val="22"/>
              </w:rPr>
              <w:t>7,4</w:t>
            </w:r>
            <w:r w:rsidR="00030A21" w:rsidRPr="00A07AC4">
              <w:rPr>
                <w:sz w:val="22"/>
              </w:rPr>
              <w:t>)</w:t>
            </w:r>
          </w:p>
        </w:tc>
        <w:tc>
          <w:tcPr>
            <w:tcW w:w="2754" w:type="dxa"/>
          </w:tcPr>
          <w:p w:rsidR="00030A21" w:rsidRPr="00A07AC4" w:rsidRDefault="00030A21" w:rsidP="00E029AE">
            <w:pPr>
              <w:spacing w:after="0" w:line="240" w:lineRule="auto"/>
              <w:jc w:val="both"/>
              <w:rPr>
                <w:sz w:val="22"/>
              </w:rPr>
            </w:pPr>
            <w:r w:rsidRPr="00A07AC4">
              <w:rPr>
                <w:sz w:val="22"/>
              </w:rPr>
              <w:t>Nav zināmi</w:t>
            </w:r>
          </w:p>
        </w:tc>
      </w:tr>
      <w:tr w:rsidR="00030A21" w:rsidRPr="00A07AC4" w:rsidTr="00E029AE">
        <w:trPr>
          <w:jc w:val="center"/>
        </w:trPr>
        <w:tc>
          <w:tcPr>
            <w:tcW w:w="923" w:type="dxa"/>
          </w:tcPr>
          <w:p w:rsidR="00030A21" w:rsidRPr="00A07AC4" w:rsidRDefault="00030A21" w:rsidP="00E029AE">
            <w:pPr>
              <w:spacing w:after="0" w:line="240" w:lineRule="auto"/>
              <w:jc w:val="both"/>
              <w:rPr>
                <w:b/>
                <w:sz w:val="22"/>
              </w:rPr>
            </w:pPr>
            <w:r w:rsidRPr="00A07AC4">
              <w:rPr>
                <w:b/>
                <w:sz w:val="22"/>
              </w:rPr>
              <w:t>2016</w:t>
            </w:r>
          </w:p>
        </w:tc>
        <w:tc>
          <w:tcPr>
            <w:tcW w:w="2422" w:type="dxa"/>
          </w:tcPr>
          <w:p w:rsidR="00030A21" w:rsidRPr="00A07AC4" w:rsidRDefault="00030A21" w:rsidP="00E029AE">
            <w:pPr>
              <w:spacing w:after="0" w:line="240" w:lineRule="auto"/>
              <w:jc w:val="both"/>
              <w:rPr>
                <w:sz w:val="22"/>
              </w:rPr>
            </w:pPr>
            <w:r w:rsidRPr="00A07AC4">
              <w:rPr>
                <w:sz w:val="22"/>
              </w:rPr>
              <w:t>3483 (12,55 )</w:t>
            </w:r>
          </w:p>
        </w:tc>
        <w:tc>
          <w:tcPr>
            <w:tcW w:w="2533" w:type="dxa"/>
          </w:tcPr>
          <w:p w:rsidR="00030A21" w:rsidRPr="00A07AC4" w:rsidRDefault="00030A21" w:rsidP="00E029AE">
            <w:pPr>
              <w:spacing w:after="0" w:line="240" w:lineRule="auto"/>
              <w:jc w:val="both"/>
              <w:rPr>
                <w:sz w:val="22"/>
              </w:rPr>
            </w:pPr>
            <w:r w:rsidRPr="00A07AC4">
              <w:rPr>
                <w:sz w:val="22"/>
              </w:rPr>
              <w:t>Nav zināmi</w:t>
            </w:r>
          </w:p>
        </w:tc>
        <w:tc>
          <w:tcPr>
            <w:tcW w:w="2754" w:type="dxa"/>
          </w:tcPr>
          <w:p w:rsidR="00030A21" w:rsidRPr="00A07AC4" w:rsidRDefault="00030A21" w:rsidP="00E029AE">
            <w:pPr>
              <w:spacing w:after="0" w:line="240" w:lineRule="auto"/>
              <w:jc w:val="both"/>
              <w:rPr>
                <w:sz w:val="22"/>
              </w:rPr>
            </w:pPr>
            <w:r w:rsidRPr="00A07AC4">
              <w:rPr>
                <w:sz w:val="22"/>
              </w:rPr>
              <w:t>Nav zināmi</w:t>
            </w:r>
          </w:p>
        </w:tc>
      </w:tr>
      <w:tr w:rsidR="00030A21" w:rsidRPr="00A07AC4" w:rsidTr="00E029AE">
        <w:trPr>
          <w:jc w:val="center"/>
        </w:trPr>
        <w:tc>
          <w:tcPr>
            <w:tcW w:w="923" w:type="dxa"/>
          </w:tcPr>
          <w:p w:rsidR="00030A21" w:rsidRPr="00A07AC4" w:rsidRDefault="00030A21" w:rsidP="00E029AE">
            <w:pPr>
              <w:spacing w:after="0" w:line="240" w:lineRule="auto"/>
              <w:jc w:val="both"/>
              <w:rPr>
                <w:b/>
                <w:sz w:val="22"/>
              </w:rPr>
            </w:pPr>
            <w:r w:rsidRPr="00A07AC4">
              <w:rPr>
                <w:b/>
                <w:sz w:val="22"/>
              </w:rPr>
              <w:t>2020</w:t>
            </w:r>
          </w:p>
        </w:tc>
        <w:tc>
          <w:tcPr>
            <w:tcW w:w="2422" w:type="dxa"/>
          </w:tcPr>
          <w:p w:rsidR="00030A21" w:rsidRPr="00A07AC4" w:rsidRDefault="00030A21" w:rsidP="00E029AE">
            <w:pPr>
              <w:spacing w:after="0" w:line="240" w:lineRule="auto"/>
              <w:jc w:val="both"/>
              <w:rPr>
                <w:sz w:val="22"/>
              </w:rPr>
            </w:pPr>
            <w:r w:rsidRPr="00A07AC4">
              <w:rPr>
                <w:sz w:val="22"/>
              </w:rPr>
              <w:t>6050 (21,78)</w:t>
            </w:r>
          </w:p>
        </w:tc>
        <w:tc>
          <w:tcPr>
            <w:tcW w:w="2533" w:type="dxa"/>
          </w:tcPr>
          <w:p w:rsidR="00030A21" w:rsidRPr="00A07AC4" w:rsidRDefault="00030A21" w:rsidP="00E029AE">
            <w:pPr>
              <w:spacing w:after="0" w:line="240" w:lineRule="auto"/>
              <w:jc w:val="both"/>
              <w:rPr>
                <w:sz w:val="22"/>
              </w:rPr>
            </w:pPr>
            <w:r w:rsidRPr="00A07AC4">
              <w:rPr>
                <w:sz w:val="22"/>
              </w:rPr>
              <w:t>Nav zināmi</w:t>
            </w:r>
          </w:p>
        </w:tc>
        <w:tc>
          <w:tcPr>
            <w:tcW w:w="2754" w:type="dxa"/>
          </w:tcPr>
          <w:p w:rsidR="00030A21" w:rsidRPr="00A07AC4" w:rsidRDefault="00030A21" w:rsidP="00E029AE">
            <w:pPr>
              <w:spacing w:after="0" w:line="240" w:lineRule="auto"/>
              <w:jc w:val="both"/>
              <w:rPr>
                <w:sz w:val="22"/>
              </w:rPr>
            </w:pPr>
            <w:r w:rsidRPr="00A07AC4">
              <w:rPr>
                <w:sz w:val="22"/>
              </w:rPr>
              <w:t>7779 (28,00)</w:t>
            </w:r>
          </w:p>
        </w:tc>
      </w:tr>
    </w:tbl>
    <w:p w:rsidR="00145E90" w:rsidRPr="001A3E41" w:rsidRDefault="00145E90" w:rsidP="00145E90">
      <w:pPr>
        <w:spacing w:after="0" w:line="240" w:lineRule="auto"/>
        <w:ind w:firstLine="709"/>
        <w:jc w:val="both"/>
        <w:rPr>
          <w:rFonts w:cs="Times New Roman"/>
          <w:sz w:val="20"/>
          <w:szCs w:val="20"/>
        </w:rPr>
      </w:pPr>
      <w:r w:rsidRPr="001A3E41">
        <w:rPr>
          <w:rFonts w:cs="Times New Roman"/>
          <w:sz w:val="20"/>
          <w:szCs w:val="20"/>
        </w:rPr>
        <w:t>*-</w:t>
      </w:r>
      <w:r w:rsidRPr="001A3E41">
        <w:rPr>
          <w:sz w:val="20"/>
          <w:szCs w:val="20"/>
        </w:rPr>
        <w:t xml:space="preserve">koriģētie </w:t>
      </w:r>
      <w:r w:rsidRPr="001A3E41">
        <w:rPr>
          <w:i/>
          <w:iCs/>
          <w:sz w:val="20"/>
          <w:szCs w:val="20"/>
        </w:rPr>
        <w:t>Latvijas Republikas Pirmā energoefektivitātes rīcības plāna 2007.</w:t>
      </w:r>
      <w:r>
        <w:rPr>
          <w:i/>
          <w:iCs/>
          <w:sz w:val="20"/>
          <w:szCs w:val="20"/>
        </w:rPr>
        <w:t xml:space="preserve"> </w:t>
      </w:r>
      <w:r w:rsidRPr="001A3E41">
        <w:rPr>
          <w:i/>
          <w:iCs/>
          <w:sz w:val="20"/>
          <w:szCs w:val="20"/>
        </w:rPr>
        <w:t>–</w:t>
      </w:r>
      <w:r>
        <w:rPr>
          <w:i/>
          <w:iCs/>
          <w:sz w:val="20"/>
          <w:szCs w:val="20"/>
        </w:rPr>
        <w:t xml:space="preserve"> </w:t>
      </w:r>
      <w:r w:rsidRPr="001A3E41">
        <w:rPr>
          <w:i/>
          <w:iCs/>
          <w:sz w:val="20"/>
          <w:szCs w:val="20"/>
        </w:rPr>
        <w:t>2010.</w:t>
      </w:r>
      <w:r>
        <w:rPr>
          <w:i/>
          <w:iCs/>
          <w:sz w:val="20"/>
          <w:szCs w:val="20"/>
        </w:rPr>
        <w:t> </w:t>
      </w:r>
      <w:r w:rsidRPr="001A3E41">
        <w:rPr>
          <w:i/>
          <w:iCs/>
          <w:sz w:val="20"/>
          <w:szCs w:val="20"/>
        </w:rPr>
        <w:t>gadam rezultāti iesniegti Eiropas Komisijai ar 2013.</w:t>
      </w:r>
      <w:r>
        <w:rPr>
          <w:i/>
          <w:iCs/>
          <w:sz w:val="20"/>
          <w:szCs w:val="20"/>
        </w:rPr>
        <w:t> </w:t>
      </w:r>
      <w:r w:rsidRPr="001A3E41">
        <w:rPr>
          <w:i/>
          <w:iCs/>
          <w:sz w:val="20"/>
          <w:szCs w:val="20"/>
        </w:rPr>
        <w:t xml:space="preserve">gada </w:t>
      </w:r>
      <w:r w:rsidRPr="001A3E41">
        <w:rPr>
          <w:sz w:val="20"/>
          <w:szCs w:val="20"/>
        </w:rPr>
        <w:t xml:space="preserve">Progresa ziņojumu par Latvijas nacionālās reformu programmas </w:t>
      </w:r>
      <w:r w:rsidRPr="001A3E41">
        <w:rPr>
          <w:sz w:val="20"/>
          <w:szCs w:val="20"/>
          <w:lang w:val="en-US"/>
        </w:rPr>
        <w:t>„</w:t>
      </w:r>
      <w:r w:rsidRPr="001A3E41">
        <w:rPr>
          <w:sz w:val="20"/>
          <w:szCs w:val="20"/>
        </w:rPr>
        <w:t>Eiropa 2020</w:t>
      </w:r>
      <w:r w:rsidRPr="001A3E41">
        <w:rPr>
          <w:sz w:val="20"/>
          <w:szCs w:val="20"/>
          <w:lang w:val="en-US"/>
        </w:rPr>
        <w:t>”</w:t>
      </w:r>
      <w:r w:rsidRPr="001A3E41">
        <w:rPr>
          <w:sz w:val="20"/>
          <w:szCs w:val="20"/>
        </w:rPr>
        <w:t>stratēģijas kontekstā īstenošanu</w:t>
      </w:r>
      <w:r>
        <w:rPr>
          <w:sz w:val="20"/>
          <w:szCs w:val="20"/>
        </w:rPr>
        <w:t>.</w:t>
      </w:r>
    </w:p>
    <w:p w:rsidR="008C31B8" w:rsidRDefault="008C31B8" w:rsidP="00614176">
      <w:pPr>
        <w:spacing w:after="0" w:line="240" w:lineRule="auto"/>
        <w:ind w:firstLine="709"/>
        <w:jc w:val="both"/>
        <w:rPr>
          <w:rFonts w:cs="Times New Roman"/>
          <w:szCs w:val="28"/>
        </w:rPr>
      </w:pPr>
      <w:r w:rsidRPr="009E37D3">
        <w:rPr>
          <w:rFonts w:cs="Times New Roman"/>
          <w:szCs w:val="28"/>
        </w:rPr>
        <w:t xml:space="preserve">Ar augšupvērsto metodi ir novērtēti enerģijas ietaupījumi, kuri ir iegūti, </w:t>
      </w:r>
      <w:r w:rsidR="001E3335">
        <w:rPr>
          <w:rFonts w:cs="Times New Roman"/>
          <w:szCs w:val="28"/>
        </w:rPr>
        <w:t>īstenojot</w:t>
      </w:r>
      <w:r w:rsidRPr="009E37D3">
        <w:rPr>
          <w:rFonts w:cs="Times New Roman"/>
          <w:szCs w:val="28"/>
        </w:rPr>
        <w:t xml:space="preserve"> 144 energoefektivitātes paaugstināšanas projektus 2012.</w:t>
      </w:r>
      <w:r>
        <w:rPr>
          <w:rFonts w:cs="Times New Roman"/>
          <w:szCs w:val="28"/>
        </w:rPr>
        <w:t> </w:t>
      </w:r>
      <w:r w:rsidRPr="009E37D3">
        <w:rPr>
          <w:rFonts w:cs="Times New Roman"/>
          <w:szCs w:val="28"/>
        </w:rPr>
        <w:t>gadā š</w:t>
      </w:r>
      <w:r>
        <w:rPr>
          <w:rFonts w:cs="Times New Roman"/>
          <w:szCs w:val="28"/>
        </w:rPr>
        <w:t>ādu atbalsta programmu ietvaros</w:t>
      </w:r>
      <w:r w:rsidRPr="009E37D3">
        <w:rPr>
          <w:rFonts w:cs="Times New Roman"/>
          <w:szCs w:val="28"/>
        </w:rPr>
        <w:t>:</w:t>
      </w:r>
    </w:p>
    <w:p w:rsidR="00EF1D2E" w:rsidRPr="00614176" w:rsidRDefault="00614176" w:rsidP="00614176">
      <w:pPr>
        <w:spacing w:after="0" w:line="240" w:lineRule="auto"/>
        <w:ind w:firstLine="709"/>
        <w:jc w:val="both"/>
        <w:rPr>
          <w:rFonts w:cs="Times New Roman"/>
          <w:szCs w:val="28"/>
        </w:rPr>
      </w:pPr>
      <w:r w:rsidRPr="00614176">
        <w:rPr>
          <w:rFonts w:cs="Times New Roman"/>
          <w:szCs w:val="28"/>
        </w:rPr>
        <w:t xml:space="preserve">1. (Eiropas Savienības struktūrfondi un Kohēzijas fonds (turpmāk – ES fondi)) 3. darbības programmas „Infrastruktūra un pakalpojumi” papildinājuma 3.4.4.1. aktivitātes „Daudzdzīvokļu māju </w:t>
      </w:r>
      <w:proofErr w:type="spellStart"/>
      <w:r w:rsidRPr="00614176">
        <w:rPr>
          <w:rFonts w:cs="Times New Roman"/>
          <w:szCs w:val="28"/>
        </w:rPr>
        <w:t>siltumnoturības</w:t>
      </w:r>
      <w:proofErr w:type="spellEnd"/>
      <w:r w:rsidRPr="00614176">
        <w:rPr>
          <w:rFonts w:cs="Times New Roman"/>
          <w:szCs w:val="28"/>
        </w:rPr>
        <w:t xml:space="preserve"> uzlabošanas pasākumi” (turpmāk – aktivitāte 3.4.4.1.).</w:t>
      </w:r>
    </w:p>
    <w:p w:rsidR="00EF1D2E" w:rsidRPr="009E37D3" w:rsidRDefault="00EF1D2E" w:rsidP="00614176">
      <w:pPr>
        <w:spacing w:after="0" w:line="240" w:lineRule="auto"/>
        <w:ind w:firstLine="709"/>
        <w:jc w:val="both"/>
        <w:rPr>
          <w:rFonts w:cs="Times New Roman"/>
          <w:szCs w:val="28"/>
        </w:rPr>
      </w:pPr>
      <w:r w:rsidRPr="00766AC6">
        <w:rPr>
          <w:rFonts w:cs="Times New Roman"/>
          <w:szCs w:val="28"/>
        </w:rPr>
        <w:t>2</w:t>
      </w:r>
      <w:r w:rsidR="00614176">
        <w:rPr>
          <w:rFonts w:cs="Times New Roman"/>
          <w:szCs w:val="28"/>
        </w:rPr>
        <w:t xml:space="preserve">. </w:t>
      </w:r>
      <w:r w:rsidR="00614176" w:rsidRPr="00614176">
        <w:rPr>
          <w:rFonts w:cs="Times New Roman"/>
          <w:szCs w:val="28"/>
        </w:rPr>
        <w:t xml:space="preserve">(ES fondi) 3. darbības programmas „Infrastruktūra un pakalpojumi” papildinājuma 3.4.4.2. aktivitātes „Sociālo dzīvojamo māju </w:t>
      </w:r>
      <w:proofErr w:type="spellStart"/>
      <w:r w:rsidR="00614176" w:rsidRPr="00614176">
        <w:rPr>
          <w:rFonts w:cs="Times New Roman"/>
          <w:szCs w:val="28"/>
        </w:rPr>
        <w:t>siltumnoturības</w:t>
      </w:r>
      <w:proofErr w:type="spellEnd"/>
      <w:r w:rsidR="00614176" w:rsidRPr="00614176">
        <w:rPr>
          <w:rFonts w:cs="Times New Roman"/>
          <w:szCs w:val="28"/>
        </w:rPr>
        <w:t xml:space="preserve"> uzlabošanas pasākumi” (turpmāk - aktivitāte 3.4.4.2.).”</w:t>
      </w:r>
    </w:p>
    <w:p w:rsidR="008C31B8" w:rsidRPr="0022524E" w:rsidRDefault="0022524E" w:rsidP="00614176">
      <w:pPr>
        <w:spacing w:after="0" w:line="240" w:lineRule="auto"/>
        <w:ind w:firstLine="709"/>
        <w:jc w:val="both"/>
        <w:rPr>
          <w:rFonts w:cs="Times New Roman"/>
          <w:szCs w:val="28"/>
        </w:rPr>
      </w:pPr>
      <w:r>
        <w:rPr>
          <w:rFonts w:cs="Times New Roman"/>
          <w:szCs w:val="28"/>
        </w:rPr>
        <w:t xml:space="preserve">3. </w:t>
      </w:r>
      <w:r w:rsidR="008C31B8" w:rsidRPr="0022524E">
        <w:rPr>
          <w:rFonts w:cs="Times New Roman"/>
          <w:szCs w:val="28"/>
        </w:rPr>
        <w:t xml:space="preserve">KPFI finansētais konkurss „Energoefektivitātes paaugstināšana pašvaldību ēkās I kārta”. </w:t>
      </w:r>
    </w:p>
    <w:p w:rsidR="00791DBA" w:rsidRPr="003D48F5" w:rsidRDefault="00102D47" w:rsidP="005A664D">
      <w:pPr>
        <w:spacing w:before="240" w:after="0" w:line="240" w:lineRule="auto"/>
        <w:jc w:val="right"/>
        <w:rPr>
          <w:b/>
          <w:sz w:val="22"/>
        </w:rPr>
      </w:pPr>
      <w:r w:rsidRPr="003D48F5">
        <w:rPr>
          <w:b/>
          <w:sz w:val="22"/>
        </w:rPr>
        <w:t>6</w:t>
      </w:r>
      <w:r w:rsidR="00943EAC" w:rsidRPr="003D48F5">
        <w:rPr>
          <w:b/>
          <w:sz w:val="22"/>
        </w:rPr>
        <w:t xml:space="preserve">. tabula </w:t>
      </w:r>
    </w:p>
    <w:p w:rsidR="00943EAC" w:rsidRPr="003D48F5" w:rsidRDefault="008C31B8" w:rsidP="00CE55AA">
      <w:pPr>
        <w:spacing w:after="0" w:line="240" w:lineRule="auto"/>
        <w:jc w:val="right"/>
      </w:pPr>
      <w:r>
        <w:rPr>
          <w:b/>
          <w:sz w:val="22"/>
        </w:rPr>
        <w:t>Iegūtais</w:t>
      </w:r>
      <w:r w:rsidR="00943EAC" w:rsidRPr="003D48F5">
        <w:rPr>
          <w:b/>
          <w:sz w:val="22"/>
        </w:rPr>
        <w:t xml:space="preserve"> enerģijas ietaupījum</w:t>
      </w:r>
      <w:r>
        <w:rPr>
          <w:b/>
          <w:sz w:val="22"/>
        </w:rPr>
        <w:t>s 2012. gadā (pamatojoties uz iesniegtajām enerģijas ietaupījumu atskaitēm)</w:t>
      </w:r>
      <w:r>
        <w:rPr>
          <w:rStyle w:val="FootnoteReference"/>
          <w:b/>
          <w:sz w:val="22"/>
        </w:rPr>
        <w:footnoteReference w:id="7"/>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02"/>
        <w:gridCol w:w="1418"/>
        <w:gridCol w:w="1843"/>
        <w:gridCol w:w="1134"/>
      </w:tblGrid>
      <w:tr w:rsidR="008C31B8" w:rsidRPr="008C31B8" w:rsidTr="00110069">
        <w:tc>
          <w:tcPr>
            <w:tcW w:w="2660" w:type="dxa"/>
            <w:shd w:val="clear" w:color="auto" w:fill="auto"/>
          </w:tcPr>
          <w:p w:rsidR="008C31B8" w:rsidRPr="008C31B8" w:rsidRDefault="008C31B8" w:rsidP="008C31B8">
            <w:pPr>
              <w:autoSpaceDE w:val="0"/>
              <w:autoSpaceDN w:val="0"/>
              <w:adjustRightInd w:val="0"/>
              <w:spacing w:after="0" w:line="240" w:lineRule="auto"/>
              <w:rPr>
                <w:rFonts w:cs="Times New Roman"/>
                <w:b/>
                <w:sz w:val="24"/>
                <w:szCs w:val="24"/>
              </w:rPr>
            </w:pPr>
          </w:p>
          <w:p w:rsidR="008C31B8" w:rsidRPr="008C31B8" w:rsidRDefault="008C31B8" w:rsidP="008C31B8">
            <w:pPr>
              <w:autoSpaceDE w:val="0"/>
              <w:autoSpaceDN w:val="0"/>
              <w:adjustRightInd w:val="0"/>
              <w:spacing w:after="0" w:line="240" w:lineRule="auto"/>
              <w:rPr>
                <w:rFonts w:cs="Times New Roman"/>
                <w:b/>
                <w:sz w:val="24"/>
                <w:szCs w:val="24"/>
              </w:rPr>
            </w:pPr>
            <w:r w:rsidRPr="008C31B8">
              <w:rPr>
                <w:rFonts w:cs="Times New Roman"/>
                <w:b/>
                <w:sz w:val="24"/>
                <w:szCs w:val="24"/>
              </w:rPr>
              <w:t>Energoefektivitātes programma</w:t>
            </w:r>
          </w:p>
        </w:tc>
        <w:tc>
          <w:tcPr>
            <w:tcW w:w="2102" w:type="dxa"/>
            <w:shd w:val="clear" w:color="auto" w:fill="auto"/>
          </w:tcPr>
          <w:p w:rsidR="008C31B8" w:rsidRPr="008C31B8" w:rsidRDefault="008C31B8" w:rsidP="008C31B8">
            <w:pPr>
              <w:autoSpaceDE w:val="0"/>
              <w:autoSpaceDN w:val="0"/>
              <w:adjustRightInd w:val="0"/>
              <w:spacing w:after="0" w:line="240" w:lineRule="auto"/>
              <w:rPr>
                <w:rFonts w:cs="Times New Roman"/>
                <w:b/>
                <w:sz w:val="24"/>
                <w:szCs w:val="24"/>
              </w:rPr>
            </w:pPr>
          </w:p>
          <w:p w:rsidR="008C31B8" w:rsidRPr="008C31B8" w:rsidRDefault="008C31B8" w:rsidP="008C31B8">
            <w:pPr>
              <w:autoSpaceDE w:val="0"/>
              <w:autoSpaceDN w:val="0"/>
              <w:adjustRightInd w:val="0"/>
              <w:spacing w:after="0" w:line="240" w:lineRule="auto"/>
              <w:rPr>
                <w:rFonts w:cs="Times New Roman"/>
                <w:b/>
                <w:sz w:val="24"/>
                <w:szCs w:val="24"/>
              </w:rPr>
            </w:pPr>
            <w:r w:rsidRPr="008C31B8">
              <w:rPr>
                <w:rFonts w:cs="Times New Roman"/>
                <w:b/>
                <w:sz w:val="24"/>
                <w:szCs w:val="24"/>
              </w:rPr>
              <w:t>Sektors, kurā ietaupīta enerģija</w:t>
            </w:r>
          </w:p>
        </w:tc>
        <w:tc>
          <w:tcPr>
            <w:tcW w:w="1418" w:type="dxa"/>
            <w:shd w:val="clear" w:color="auto" w:fill="auto"/>
          </w:tcPr>
          <w:p w:rsidR="008C31B8" w:rsidRPr="008C31B8" w:rsidRDefault="008C31B8" w:rsidP="008C31B8">
            <w:pPr>
              <w:autoSpaceDE w:val="0"/>
              <w:autoSpaceDN w:val="0"/>
              <w:adjustRightInd w:val="0"/>
              <w:spacing w:after="0" w:line="240" w:lineRule="auto"/>
              <w:rPr>
                <w:rFonts w:cs="Times New Roman"/>
                <w:b/>
                <w:sz w:val="24"/>
                <w:szCs w:val="24"/>
              </w:rPr>
            </w:pPr>
            <w:r w:rsidRPr="008C31B8">
              <w:rPr>
                <w:rFonts w:cs="Times New Roman"/>
                <w:b/>
                <w:sz w:val="24"/>
                <w:szCs w:val="24"/>
              </w:rPr>
              <w:t xml:space="preserve">Ietaupītā enerģija apkurei, </w:t>
            </w:r>
            <w:proofErr w:type="spellStart"/>
            <w:r w:rsidRPr="008C31B8">
              <w:rPr>
                <w:rFonts w:cs="Times New Roman"/>
                <w:b/>
                <w:sz w:val="24"/>
                <w:szCs w:val="24"/>
              </w:rPr>
              <w:lastRenderedPageBreak/>
              <w:t>GWh</w:t>
            </w:r>
            <w:proofErr w:type="spellEnd"/>
          </w:p>
        </w:tc>
        <w:tc>
          <w:tcPr>
            <w:tcW w:w="1843" w:type="dxa"/>
            <w:shd w:val="clear" w:color="auto" w:fill="auto"/>
          </w:tcPr>
          <w:p w:rsidR="008C31B8" w:rsidRPr="008C31B8" w:rsidRDefault="008C31B8" w:rsidP="008C31B8">
            <w:pPr>
              <w:autoSpaceDE w:val="0"/>
              <w:autoSpaceDN w:val="0"/>
              <w:adjustRightInd w:val="0"/>
              <w:spacing w:after="0" w:line="240" w:lineRule="auto"/>
              <w:rPr>
                <w:rFonts w:cs="Times New Roman"/>
                <w:b/>
                <w:sz w:val="24"/>
                <w:szCs w:val="24"/>
              </w:rPr>
            </w:pPr>
            <w:r w:rsidRPr="008C31B8">
              <w:rPr>
                <w:rFonts w:cs="Times New Roman"/>
                <w:b/>
                <w:sz w:val="24"/>
                <w:szCs w:val="24"/>
              </w:rPr>
              <w:lastRenderedPageBreak/>
              <w:t xml:space="preserve">Ietaupītā enerģija siltā ūdens </w:t>
            </w:r>
            <w:r w:rsidRPr="008C31B8">
              <w:rPr>
                <w:rFonts w:cs="Times New Roman"/>
                <w:b/>
                <w:sz w:val="24"/>
                <w:szCs w:val="24"/>
              </w:rPr>
              <w:lastRenderedPageBreak/>
              <w:t>sagatavošanā,</w:t>
            </w:r>
            <w:r>
              <w:rPr>
                <w:rFonts w:cs="Times New Roman"/>
                <w:b/>
                <w:sz w:val="24"/>
                <w:szCs w:val="24"/>
              </w:rPr>
              <w:t xml:space="preserve"> </w:t>
            </w:r>
            <w:proofErr w:type="spellStart"/>
            <w:r w:rsidRPr="008C31B8">
              <w:rPr>
                <w:rFonts w:cs="Times New Roman"/>
                <w:b/>
                <w:sz w:val="24"/>
                <w:szCs w:val="24"/>
              </w:rPr>
              <w:t>GWh</w:t>
            </w:r>
            <w:proofErr w:type="spellEnd"/>
          </w:p>
        </w:tc>
        <w:tc>
          <w:tcPr>
            <w:tcW w:w="1134" w:type="dxa"/>
            <w:shd w:val="clear" w:color="auto" w:fill="auto"/>
          </w:tcPr>
          <w:p w:rsidR="008C31B8" w:rsidRPr="008C31B8" w:rsidRDefault="008C31B8" w:rsidP="008C31B8">
            <w:pPr>
              <w:autoSpaceDE w:val="0"/>
              <w:autoSpaceDN w:val="0"/>
              <w:adjustRightInd w:val="0"/>
              <w:spacing w:after="0" w:line="240" w:lineRule="auto"/>
              <w:rPr>
                <w:rFonts w:cs="Times New Roman"/>
                <w:b/>
                <w:sz w:val="24"/>
                <w:szCs w:val="24"/>
              </w:rPr>
            </w:pPr>
            <w:r w:rsidRPr="008C31B8">
              <w:rPr>
                <w:rFonts w:cs="Times New Roman"/>
                <w:b/>
                <w:sz w:val="24"/>
                <w:szCs w:val="24"/>
              </w:rPr>
              <w:lastRenderedPageBreak/>
              <w:t xml:space="preserve">Kopējā ietaupītā enerģija, </w:t>
            </w:r>
            <w:proofErr w:type="spellStart"/>
            <w:r w:rsidRPr="008C31B8">
              <w:rPr>
                <w:rFonts w:cs="Times New Roman"/>
                <w:b/>
                <w:sz w:val="24"/>
                <w:szCs w:val="24"/>
              </w:rPr>
              <w:lastRenderedPageBreak/>
              <w:t>GWh</w:t>
            </w:r>
            <w:proofErr w:type="spellEnd"/>
          </w:p>
        </w:tc>
      </w:tr>
      <w:tr w:rsidR="008C31B8" w:rsidRPr="008C31B8" w:rsidTr="00110069">
        <w:tc>
          <w:tcPr>
            <w:tcW w:w="2660" w:type="dxa"/>
            <w:shd w:val="clear" w:color="auto" w:fill="auto"/>
          </w:tcPr>
          <w:p w:rsidR="008C31B8" w:rsidRPr="008C31B8" w:rsidRDefault="008C31B8" w:rsidP="008C31B8">
            <w:pPr>
              <w:autoSpaceDE w:val="0"/>
              <w:autoSpaceDN w:val="0"/>
              <w:adjustRightInd w:val="0"/>
              <w:spacing w:after="0" w:line="240" w:lineRule="auto"/>
              <w:rPr>
                <w:rFonts w:cs="Times New Roman"/>
                <w:sz w:val="24"/>
                <w:szCs w:val="24"/>
              </w:rPr>
            </w:pPr>
            <w:r w:rsidRPr="008C31B8">
              <w:rPr>
                <w:rFonts w:cs="Times New Roman"/>
                <w:sz w:val="24"/>
                <w:szCs w:val="24"/>
              </w:rPr>
              <w:lastRenderedPageBreak/>
              <w:t>Energoefektivitāte</w:t>
            </w:r>
            <w:r>
              <w:rPr>
                <w:rFonts w:cs="Times New Roman"/>
                <w:sz w:val="24"/>
                <w:szCs w:val="24"/>
              </w:rPr>
              <w:t>s paaugstināšana sociālās mājās</w:t>
            </w:r>
          </w:p>
        </w:tc>
        <w:tc>
          <w:tcPr>
            <w:tcW w:w="2102" w:type="dxa"/>
            <w:shd w:val="clear" w:color="auto" w:fill="auto"/>
          </w:tcPr>
          <w:p w:rsidR="008C31B8" w:rsidRPr="008C31B8" w:rsidRDefault="007C57DE" w:rsidP="008C31B8">
            <w:pPr>
              <w:autoSpaceDE w:val="0"/>
              <w:autoSpaceDN w:val="0"/>
              <w:adjustRightInd w:val="0"/>
              <w:spacing w:after="0" w:line="240" w:lineRule="auto"/>
              <w:rPr>
                <w:rFonts w:cs="Times New Roman"/>
                <w:sz w:val="24"/>
                <w:szCs w:val="24"/>
              </w:rPr>
            </w:pPr>
            <w:r>
              <w:rPr>
                <w:rFonts w:cs="Times New Roman"/>
                <w:sz w:val="24"/>
                <w:szCs w:val="24"/>
              </w:rPr>
              <w:t>M</w:t>
            </w:r>
            <w:r w:rsidR="008C31B8" w:rsidRPr="008C31B8">
              <w:rPr>
                <w:rFonts w:cs="Times New Roman"/>
                <w:sz w:val="24"/>
                <w:szCs w:val="24"/>
              </w:rPr>
              <w:t>ājsaimniecības</w:t>
            </w:r>
          </w:p>
        </w:tc>
        <w:tc>
          <w:tcPr>
            <w:tcW w:w="1418"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0,42</w:t>
            </w:r>
          </w:p>
        </w:tc>
        <w:tc>
          <w:tcPr>
            <w:tcW w:w="1843"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0,21</w:t>
            </w:r>
          </w:p>
        </w:tc>
        <w:tc>
          <w:tcPr>
            <w:tcW w:w="1134"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0,63</w:t>
            </w:r>
          </w:p>
        </w:tc>
      </w:tr>
      <w:tr w:rsidR="008C31B8" w:rsidRPr="008C31B8" w:rsidTr="00110069">
        <w:tc>
          <w:tcPr>
            <w:tcW w:w="2660" w:type="dxa"/>
            <w:shd w:val="clear" w:color="auto" w:fill="auto"/>
          </w:tcPr>
          <w:p w:rsidR="008C31B8" w:rsidRPr="008C31B8" w:rsidRDefault="008C31B8" w:rsidP="008C31B8">
            <w:pPr>
              <w:autoSpaceDE w:val="0"/>
              <w:autoSpaceDN w:val="0"/>
              <w:adjustRightInd w:val="0"/>
              <w:spacing w:after="0" w:line="240" w:lineRule="auto"/>
              <w:rPr>
                <w:rFonts w:cs="Times New Roman"/>
                <w:sz w:val="24"/>
                <w:szCs w:val="24"/>
              </w:rPr>
            </w:pPr>
            <w:r w:rsidRPr="008C31B8">
              <w:rPr>
                <w:rFonts w:cs="Times New Roman"/>
                <w:sz w:val="24"/>
                <w:szCs w:val="24"/>
              </w:rPr>
              <w:t xml:space="preserve">Energoefektivitātes </w:t>
            </w:r>
            <w:r>
              <w:rPr>
                <w:rFonts w:cs="Times New Roman"/>
                <w:sz w:val="24"/>
                <w:szCs w:val="24"/>
              </w:rPr>
              <w:t>paaugstināšana dzīvojamās mājās</w:t>
            </w:r>
          </w:p>
        </w:tc>
        <w:tc>
          <w:tcPr>
            <w:tcW w:w="2102" w:type="dxa"/>
            <w:shd w:val="clear" w:color="auto" w:fill="auto"/>
          </w:tcPr>
          <w:p w:rsidR="008C31B8" w:rsidRPr="008C31B8" w:rsidRDefault="007C57DE" w:rsidP="008C31B8">
            <w:pPr>
              <w:autoSpaceDE w:val="0"/>
              <w:autoSpaceDN w:val="0"/>
              <w:adjustRightInd w:val="0"/>
              <w:spacing w:after="0" w:line="240" w:lineRule="auto"/>
              <w:rPr>
                <w:rFonts w:cs="Times New Roman"/>
                <w:sz w:val="24"/>
                <w:szCs w:val="24"/>
              </w:rPr>
            </w:pPr>
            <w:r>
              <w:rPr>
                <w:rFonts w:cs="Times New Roman"/>
                <w:sz w:val="24"/>
                <w:szCs w:val="24"/>
              </w:rPr>
              <w:t>M</w:t>
            </w:r>
            <w:r w:rsidR="008C31B8" w:rsidRPr="008C31B8">
              <w:rPr>
                <w:rFonts w:cs="Times New Roman"/>
                <w:sz w:val="24"/>
                <w:szCs w:val="24"/>
              </w:rPr>
              <w:t>ājsaimniecības</w:t>
            </w:r>
          </w:p>
        </w:tc>
        <w:tc>
          <w:tcPr>
            <w:tcW w:w="1418"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33,3</w:t>
            </w:r>
          </w:p>
        </w:tc>
        <w:tc>
          <w:tcPr>
            <w:tcW w:w="1843"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0,12</w:t>
            </w:r>
          </w:p>
        </w:tc>
        <w:tc>
          <w:tcPr>
            <w:tcW w:w="1134"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33,42</w:t>
            </w:r>
          </w:p>
        </w:tc>
      </w:tr>
      <w:tr w:rsidR="008C31B8" w:rsidRPr="008C31B8" w:rsidTr="00110069">
        <w:tc>
          <w:tcPr>
            <w:tcW w:w="2660" w:type="dxa"/>
            <w:shd w:val="clear" w:color="auto" w:fill="auto"/>
          </w:tcPr>
          <w:p w:rsidR="008C31B8" w:rsidRPr="008C31B8" w:rsidRDefault="008C31B8" w:rsidP="008C31B8">
            <w:pPr>
              <w:autoSpaceDE w:val="0"/>
              <w:autoSpaceDN w:val="0"/>
              <w:adjustRightInd w:val="0"/>
              <w:spacing w:after="0" w:line="240" w:lineRule="auto"/>
              <w:rPr>
                <w:rFonts w:cs="Times New Roman"/>
                <w:sz w:val="24"/>
                <w:szCs w:val="24"/>
              </w:rPr>
            </w:pPr>
            <w:r w:rsidRPr="008C31B8">
              <w:rPr>
                <w:rFonts w:cs="Times New Roman"/>
                <w:sz w:val="24"/>
                <w:szCs w:val="24"/>
              </w:rPr>
              <w:t>Energoefektivitātes paaugstināšana izglītības iestādēs un p</w:t>
            </w:r>
            <w:r>
              <w:rPr>
                <w:rFonts w:cs="Times New Roman"/>
                <w:sz w:val="24"/>
                <w:szCs w:val="24"/>
              </w:rPr>
              <w:t>ašvaldības administrācijas ēkās</w:t>
            </w:r>
          </w:p>
        </w:tc>
        <w:tc>
          <w:tcPr>
            <w:tcW w:w="2102" w:type="dxa"/>
            <w:shd w:val="clear" w:color="auto" w:fill="auto"/>
          </w:tcPr>
          <w:p w:rsidR="008C31B8" w:rsidRPr="008C31B8" w:rsidRDefault="008C31B8" w:rsidP="008C31B8">
            <w:pPr>
              <w:autoSpaceDE w:val="0"/>
              <w:autoSpaceDN w:val="0"/>
              <w:adjustRightInd w:val="0"/>
              <w:spacing w:after="0" w:line="240" w:lineRule="auto"/>
              <w:rPr>
                <w:rFonts w:cs="Times New Roman"/>
                <w:sz w:val="24"/>
                <w:szCs w:val="24"/>
              </w:rPr>
            </w:pPr>
            <w:r w:rsidRPr="008C31B8">
              <w:rPr>
                <w:rFonts w:cs="Times New Roman"/>
                <w:sz w:val="24"/>
                <w:szCs w:val="24"/>
              </w:rPr>
              <w:t>Pašvaldība un valsts iestādes</w:t>
            </w:r>
          </w:p>
        </w:tc>
        <w:tc>
          <w:tcPr>
            <w:tcW w:w="1418"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25,1</w:t>
            </w:r>
          </w:p>
        </w:tc>
        <w:tc>
          <w:tcPr>
            <w:tcW w:w="1843"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w:t>
            </w:r>
          </w:p>
        </w:tc>
        <w:tc>
          <w:tcPr>
            <w:tcW w:w="1134"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25,1</w:t>
            </w:r>
          </w:p>
        </w:tc>
      </w:tr>
      <w:tr w:rsidR="008C31B8" w:rsidRPr="008C31B8" w:rsidTr="00110069">
        <w:tc>
          <w:tcPr>
            <w:tcW w:w="2660" w:type="dxa"/>
            <w:shd w:val="clear" w:color="auto" w:fill="auto"/>
          </w:tcPr>
          <w:p w:rsidR="008C31B8" w:rsidRPr="008C31B8" w:rsidRDefault="008C31B8" w:rsidP="008C31B8">
            <w:pPr>
              <w:autoSpaceDE w:val="0"/>
              <w:autoSpaceDN w:val="0"/>
              <w:adjustRightInd w:val="0"/>
              <w:spacing w:after="0" w:line="240" w:lineRule="auto"/>
              <w:jc w:val="right"/>
              <w:rPr>
                <w:rFonts w:cs="Times New Roman"/>
                <w:b/>
                <w:sz w:val="24"/>
                <w:szCs w:val="24"/>
              </w:rPr>
            </w:pPr>
            <w:r w:rsidRPr="008C31B8">
              <w:rPr>
                <w:rFonts w:cs="Times New Roman"/>
                <w:b/>
                <w:sz w:val="24"/>
                <w:szCs w:val="24"/>
              </w:rPr>
              <w:t>Kopā</w:t>
            </w:r>
          </w:p>
        </w:tc>
        <w:tc>
          <w:tcPr>
            <w:tcW w:w="2102" w:type="dxa"/>
            <w:shd w:val="clear" w:color="auto" w:fill="auto"/>
          </w:tcPr>
          <w:p w:rsidR="008C31B8" w:rsidRPr="008C31B8" w:rsidRDefault="008C31B8" w:rsidP="008C31B8">
            <w:pPr>
              <w:autoSpaceDE w:val="0"/>
              <w:autoSpaceDN w:val="0"/>
              <w:adjustRightInd w:val="0"/>
              <w:spacing w:after="0" w:line="240" w:lineRule="auto"/>
              <w:rPr>
                <w:rFonts w:cs="Times New Roman"/>
                <w:sz w:val="24"/>
                <w:szCs w:val="24"/>
              </w:rPr>
            </w:pPr>
          </w:p>
        </w:tc>
        <w:tc>
          <w:tcPr>
            <w:tcW w:w="1418"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58,82</w:t>
            </w:r>
          </w:p>
        </w:tc>
        <w:tc>
          <w:tcPr>
            <w:tcW w:w="1843" w:type="dxa"/>
            <w:shd w:val="clear" w:color="auto" w:fill="auto"/>
          </w:tcPr>
          <w:p w:rsidR="008C31B8" w:rsidRPr="008C31B8" w:rsidRDefault="008C31B8" w:rsidP="008C31B8">
            <w:pPr>
              <w:autoSpaceDE w:val="0"/>
              <w:autoSpaceDN w:val="0"/>
              <w:adjustRightInd w:val="0"/>
              <w:spacing w:after="0" w:line="240" w:lineRule="auto"/>
              <w:jc w:val="center"/>
              <w:rPr>
                <w:rFonts w:cs="Times New Roman"/>
                <w:sz w:val="24"/>
                <w:szCs w:val="24"/>
              </w:rPr>
            </w:pPr>
            <w:r w:rsidRPr="008C31B8">
              <w:rPr>
                <w:rFonts w:cs="Times New Roman"/>
                <w:sz w:val="24"/>
                <w:szCs w:val="24"/>
              </w:rPr>
              <w:t>0,33</w:t>
            </w:r>
          </w:p>
        </w:tc>
        <w:tc>
          <w:tcPr>
            <w:tcW w:w="1134" w:type="dxa"/>
            <w:shd w:val="clear" w:color="auto" w:fill="auto"/>
          </w:tcPr>
          <w:p w:rsidR="008C31B8" w:rsidRPr="008C31B8" w:rsidRDefault="008C31B8" w:rsidP="008C31B8">
            <w:pPr>
              <w:autoSpaceDE w:val="0"/>
              <w:autoSpaceDN w:val="0"/>
              <w:adjustRightInd w:val="0"/>
              <w:spacing w:after="0" w:line="240" w:lineRule="auto"/>
              <w:jc w:val="center"/>
              <w:rPr>
                <w:rFonts w:cs="Times New Roman"/>
                <w:b/>
                <w:sz w:val="24"/>
                <w:szCs w:val="24"/>
              </w:rPr>
            </w:pPr>
            <w:r w:rsidRPr="008C31B8">
              <w:rPr>
                <w:rFonts w:cs="Times New Roman"/>
                <w:b/>
                <w:sz w:val="24"/>
                <w:szCs w:val="24"/>
              </w:rPr>
              <w:t>59,15</w:t>
            </w:r>
          </w:p>
        </w:tc>
      </w:tr>
    </w:tbl>
    <w:p w:rsidR="008C31B8" w:rsidRDefault="00791DBA" w:rsidP="008C31B8">
      <w:pPr>
        <w:spacing w:before="240" w:after="0" w:line="240" w:lineRule="auto"/>
        <w:jc w:val="right"/>
        <w:rPr>
          <w:b/>
          <w:sz w:val="22"/>
        </w:rPr>
      </w:pPr>
      <w:r w:rsidRPr="003D48F5">
        <w:tab/>
      </w:r>
      <w:r w:rsidR="008C31B8" w:rsidRPr="008C31B8">
        <w:rPr>
          <w:b/>
          <w:sz w:val="22"/>
        </w:rPr>
        <w:t>7</w:t>
      </w:r>
      <w:r w:rsidR="008C31B8" w:rsidRPr="003D48F5">
        <w:rPr>
          <w:b/>
          <w:sz w:val="22"/>
        </w:rPr>
        <w:t>. tabula</w:t>
      </w:r>
    </w:p>
    <w:p w:rsidR="00B3065A" w:rsidRPr="00B215A2" w:rsidRDefault="00B3065A" w:rsidP="00B3065A">
      <w:pPr>
        <w:pStyle w:val="NoSpacing"/>
        <w:jc w:val="right"/>
        <w:rPr>
          <w:rFonts w:ascii="Times New Roman" w:hAnsi="Times New Roman"/>
          <w:b/>
        </w:rPr>
      </w:pPr>
      <w:r w:rsidRPr="00B215A2">
        <w:rPr>
          <w:rFonts w:ascii="Times New Roman" w:hAnsi="Times New Roman"/>
          <w:b/>
        </w:rPr>
        <w:t>Aprēķinātais enerģijas ietaupījums gala patēriņā 2012.</w:t>
      </w:r>
      <w:r>
        <w:rPr>
          <w:rFonts w:ascii="Times New Roman" w:hAnsi="Times New Roman"/>
          <w:b/>
        </w:rPr>
        <w:t> </w:t>
      </w:r>
      <w:r w:rsidRPr="00B215A2">
        <w:rPr>
          <w:rFonts w:ascii="Times New Roman" w:hAnsi="Times New Roman"/>
          <w:b/>
        </w:rPr>
        <w:t xml:space="preserve">gadā izmantojot </w:t>
      </w:r>
      <w:r>
        <w:rPr>
          <w:rFonts w:ascii="Times New Roman" w:hAnsi="Times New Roman"/>
          <w:b/>
        </w:rPr>
        <w:t>CSP</w:t>
      </w:r>
      <w:r w:rsidRPr="00B215A2">
        <w:rPr>
          <w:rFonts w:ascii="Times New Roman" w:hAnsi="Times New Roman"/>
          <w:b/>
        </w:rPr>
        <w:t xml:space="preserve"> datus </w:t>
      </w:r>
    </w:p>
    <w:tbl>
      <w:tblPr>
        <w:tblW w:w="8330" w:type="dxa"/>
        <w:tblCellMar>
          <w:left w:w="0" w:type="dxa"/>
          <w:right w:w="0" w:type="dxa"/>
        </w:tblCellMar>
        <w:tblLook w:val="04A0" w:firstRow="1" w:lastRow="0" w:firstColumn="1" w:lastColumn="0" w:noHBand="0" w:noVBand="1"/>
      </w:tblPr>
      <w:tblGrid>
        <w:gridCol w:w="3240"/>
        <w:gridCol w:w="1620"/>
        <w:gridCol w:w="3470"/>
      </w:tblGrid>
      <w:tr w:rsidR="00B3065A" w:rsidTr="00520F08">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065A" w:rsidRPr="00B3065A" w:rsidRDefault="00B3065A" w:rsidP="00186017">
            <w:pPr>
              <w:pStyle w:val="Tabletext"/>
              <w:spacing w:before="0" w:after="0" w:line="240" w:lineRule="auto"/>
              <w:rPr>
                <w:rFonts w:ascii="Times New Roman" w:hAnsi="Times New Roman" w:cs="Times New Roman"/>
                <w:b/>
                <w:bCs/>
                <w:sz w:val="22"/>
                <w:szCs w:val="24"/>
              </w:rPr>
            </w:pPr>
            <w:r w:rsidRPr="00B3065A">
              <w:rPr>
                <w:rFonts w:ascii="Times New Roman" w:hAnsi="Times New Roman" w:cs="Times New Roman"/>
                <w:b/>
                <w:bCs/>
                <w:sz w:val="22"/>
                <w:szCs w:val="24"/>
              </w:rPr>
              <w:t>Sektors/</w:t>
            </w:r>
            <w:proofErr w:type="spellStart"/>
            <w:r w:rsidRPr="00B3065A">
              <w:rPr>
                <w:rFonts w:ascii="Times New Roman" w:hAnsi="Times New Roman" w:cs="Times New Roman"/>
                <w:b/>
                <w:bCs/>
                <w:sz w:val="22"/>
                <w:szCs w:val="24"/>
              </w:rPr>
              <w:t>apakšsektors</w:t>
            </w:r>
            <w:proofErr w:type="spell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spacing w:before="0" w:after="0" w:line="240" w:lineRule="auto"/>
              <w:rPr>
                <w:rFonts w:ascii="Times New Roman" w:hAnsi="Times New Roman" w:cs="Times New Roman"/>
                <w:b/>
                <w:bCs/>
                <w:sz w:val="22"/>
                <w:szCs w:val="24"/>
              </w:rPr>
            </w:pPr>
            <w:r w:rsidRPr="00B3065A">
              <w:rPr>
                <w:rFonts w:ascii="Times New Roman" w:hAnsi="Times New Roman" w:cs="Times New Roman"/>
                <w:b/>
                <w:bCs/>
                <w:sz w:val="22"/>
                <w:szCs w:val="24"/>
              </w:rPr>
              <w:t xml:space="preserve">Aprēķina metodika </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spacing w:before="0" w:after="0" w:line="240" w:lineRule="auto"/>
              <w:rPr>
                <w:rFonts w:ascii="Times New Roman" w:hAnsi="Times New Roman" w:cs="Times New Roman"/>
                <w:b/>
                <w:bCs/>
                <w:sz w:val="22"/>
                <w:szCs w:val="24"/>
              </w:rPr>
            </w:pPr>
            <w:r w:rsidRPr="00B3065A">
              <w:rPr>
                <w:rFonts w:ascii="Times New Roman" w:hAnsi="Times New Roman" w:cs="Times New Roman"/>
                <w:b/>
                <w:bCs/>
                <w:sz w:val="22"/>
                <w:szCs w:val="24"/>
              </w:rPr>
              <w:t>Sasniegtie enerģijas ietaupījumi 2012 (</w:t>
            </w:r>
            <w:proofErr w:type="spellStart"/>
            <w:r w:rsidRPr="00B3065A">
              <w:rPr>
                <w:rFonts w:ascii="Times New Roman" w:hAnsi="Times New Roman" w:cs="Times New Roman"/>
                <w:b/>
                <w:bCs/>
                <w:sz w:val="22"/>
                <w:szCs w:val="24"/>
              </w:rPr>
              <w:t>GWh</w:t>
            </w:r>
            <w:proofErr w:type="spellEnd"/>
            <w:r w:rsidRPr="00B3065A">
              <w:rPr>
                <w:rFonts w:ascii="Times New Roman" w:hAnsi="Times New Roman" w:cs="Times New Roman"/>
                <w:b/>
                <w:bCs/>
                <w:sz w:val="22"/>
                <w:szCs w:val="24"/>
              </w:rPr>
              <w:t>)</w:t>
            </w:r>
          </w:p>
        </w:tc>
      </w:tr>
      <w:tr w:rsidR="00B3065A" w:rsidTr="00520F08">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shd w:val="clear" w:color="auto" w:fill="FFFFFF"/>
              <w:jc w:val="both"/>
              <w:rPr>
                <w:b/>
                <w:bCs/>
                <w:sz w:val="22"/>
                <w:szCs w:val="24"/>
              </w:rPr>
            </w:pPr>
            <w:r w:rsidRPr="00B3065A">
              <w:rPr>
                <w:b/>
                <w:bCs/>
                <w:sz w:val="22"/>
                <w:szCs w:val="24"/>
              </w:rPr>
              <w:t xml:space="preserve">Mājsaimniecības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rPr>
            </w:pPr>
            <w:r w:rsidRPr="00B3065A">
              <w:rPr>
                <w:rFonts w:ascii="Times New Roman" w:hAnsi="Times New Roman" w:cs="Times New Roman"/>
                <w:sz w:val="22"/>
                <w:szCs w:val="24"/>
              </w:rPr>
              <w:t xml:space="preserve">lejupvērstā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highlight w:val="yellow"/>
              </w:rPr>
            </w:pPr>
            <w:r w:rsidRPr="00B3065A">
              <w:rPr>
                <w:rFonts w:ascii="Times New Roman" w:hAnsi="Times New Roman" w:cs="Times New Roman"/>
                <w:sz w:val="22"/>
                <w:szCs w:val="24"/>
              </w:rPr>
              <w:t>1869</w:t>
            </w:r>
          </w:p>
        </w:tc>
      </w:tr>
      <w:tr w:rsidR="00B3065A" w:rsidTr="00520F08">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shd w:val="clear" w:color="auto" w:fill="FFFFFF"/>
              <w:jc w:val="both"/>
              <w:rPr>
                <w:b/>
                <w:bCs/>
                <w:sz w:val="22"/>
                <w:szCs w:val="24"/>
              </w:rPr>
            </w:pPr>
            <w:r w:rsidRPr="00B3065A">
              <w:rPr>
                <w:b/>
                <w:bCs/>
                <w:sz w:val="22"/>
                <w:szCs w:val="24"/>
              </w:rPr>
              <w:t>Pakalpojumi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rPr>
            </w:pPr>
            <w:r w:rsidRPr="00B3065A">
              <w:rPr>
                <w:rFonts w:ascii="Times New Roman" w:hAnsi="Times New Roman" w:cs="Times New Roman"/>
                <w:sz w:val="22"/>
                <w:szCs w:val="24"/>
              </w:rPr>
              <w:t xml:space="preserve">lejupvērstā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highlight w:val="yellow"/>
              </w:rPr>
            </w:pPr>
            <w:r w:rsidRPr="00B3065A">
              <w:rPr>
                <w:rFonts w:ascii="Times New Roman" w:hAnsi="Times New Roman" w:cs="Times New Roman"/>
                <w:sz w:val="22"/>
                <w:szCs w:val="24"/>
              </w:rPr>
              <w:t>-76(enerģijas ietaupījumi nav iegūti)</w:t>
            </w:r>
          </w:p>
        </w:tc>
      </w:tr>
      <w:tr w:rsidR="00B3065A" w:rsidTr="00520F08">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shd w:val="clear" w:color="auto" w:fill="FFFFFF"/>
              <w:jc w:val="both"/>
              <w:rPr>
                <w:b/>
                <w:bCs/>
                <w:sz w:val="22"/>
                <w:szCs w:val="24"/>
              </w:rPr>
            </w:pPr>
            <w:r w:rsidRPr="00B3065A">
              <w:rPr>
                <w:b/>
                <w:bCs/>
                <w:sz w:val="22"/>
                <w:szCs w:val="24"/>
              </w:rPr>
              <w:t>Rūpniecība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rPr>
            </w:pPr>
            <w:r w:rsidRPr="00B3065A">
              <w:rPr>
                <w:rFonts w:ascii="Times New Roman" w:hAnsi="Times New Roman" w:cs="Times New Roman"/>
                <w:sz w:val="22"/>
                <w:szCs w:val="24"/>
              </w:rPr>
              <w:t>lejupvērstā</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B3065A" w:rsidRPr="00B3065A" w:rsidRDefault="00B3065A" w:rsidP="00520F08">
            <w:pPr>
              <w:rPr>
                <w:sz w:val="22"/>
                <w:szCs w:val="24"/>
              </w:rPr>
            </w:pPr>
            <w:r w:rsidRPr="00B3065A">
              <w:rPr>
                <w:sz w:val="22"/>
                <w:szCs w:val="24"/>
              </w:rPr>
              <w:t>-1029 (enerģijas ietaupījumi nav iegūti)</w:t>
            </w:r>
          </w:p>
        </w:tc>
      </w:tr>
      <w:tr w:rsidR="00B3065A" w:rsidTr="00B3065A">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065A" w:rsidRPr="00B3065A" w:rsidRDefault="00B3065A" w:rsidP="00520F08">
            <w:pPr>
              <w:shd w:val="clear" w:color="auto" w:fill="FFFFFF"/>
              <w:jc w:val="both"/>
              <w:rPr>
                <w:b/>
                <w:bCs/>
                <w:sz w:val="22"/>
                <w:szCs w:val="24"/>
              </w:rPr>
            </w:pPr>
            <w:r w:rsidRPr="00B3065A">
              <w:rPr>
                <w:b/>
                <w:bCs/>
                <w:sz w:val="22"/>
                <w:szCs w:val="24"/>
              </w:rPr>
              <w:t>Transports</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rPr>
            </w:pPr>
            <w:r w:rsidRPr="00B3065A">
              <w:rPr>
                <w:rFonts w:ascii="Times New Roman" w:hAnsi="Times New Roman" w:cs="Times New Roman"/>
                <w:sz w:val="22"/>
                <w:szCs w:val="24"/>
              </w:rPr>
              <w:t>lejupvērstā</w:t>
            </w:r>
          </w:p>
        </w:tc>
        <w:tc>
          <w:tcPr>
            <w:tcW w:w="3470" w:type="dxa"/>
            <w:tcBorders>
              <w:top w:val="nil"/>
              <w:left w:val="nil"/>
              <w:bottom w:val="single" w:sz="4" w:space="0" w:color="auto"/>
              <w:right w:val="single" w:sz="8" w:space="0" w:color="auto"/>
            </w:tcBorders>
            <w:tcMar>
              <w:top w:w="0" w:type="dxa"/>
              <w:left w:w="108" w:type="dxa"/>
              <w:bottom w:w="0" w:type="dxa"/>
              <w:right w:w="108" w:type="dxa"/>
            </w:tcMar>
            <w:hideMark/>
          </w:tcPr>
          <w:p w:rsidR="00B3065A" w:rsidRPr="00B3065A" w:rsidRDefault="00B3065A" w:rsidP="00520F08">
            <w:pPr>
              <w:pStyle w:val="Tabletext"/>
              <w:rPr>
                <w:rFonts w:ascii="Times New Roman" w:hAnsi="Times New Roman" w:cs="Times New Roman"/>
                <w:sz w:val="22"/>
                <w:szCs w:val="24"/>
                <w:highlight w:val="yellow"/>
              </w:rPr>
            </w:pPr>
            <w:r w:rsidRPr="00B3065A">
              <w:rPr>
                <w:rFonts w:ascii="Times New Roman" w:hAnsi="Times New Roman" w:cs="Times New Roman"/>
                <w:sz w:val="22"/>
                <w:szCs w:val="24"/>
              </w:rPr>
              <w:t>1037</w:t>
            </w:r>
          </w:p>
        </w:tc>
      </w:tr>
      <w:tr w:rsidR="00B3065A" w:rsidTr="00B3065A">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65A" w:rsidRPr="00B3065A" w:rsidRDefault="00B3065A" w:rsidP="00520F08">
            <w:pPr>
              <w:shd w:val="clear" w:color="auto" w:fill="FFFFFF"/>
              <w:jc w:val="both"/>
              <w:rPr>
                <w:b/>
                <w:bCs/>
                <w:sz w:val="22"/>
                <w:szCs w:val="24"/>
              </w:rPr>
            </w:pPr>
            <w:r w:rsidRPr="00B3065A">
              <w:rPr>
                <w:b/>
                <w:bCs/>
                <w:sz w:val="22"/>
                <w:szCs w:val="24"/>
              </w:rPr>
              <w:t>Kopā</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65A" w:rsidRPr="00B3065A" w:rsidRDefault="00B3065A" w:rsidP="00520F08">
            <w:pPr>
              <w:pStyle w:val="Tabletext"/>
              <w:rPr>
                <w:rFonts w:ascii="Times New Roman" w:hAnsi="Times New Roman" w:cs="Times New Roman"/>
                <w:sz w:val="22"/>
                <w:szCs w:val="24"/>
              </w:rPr>
            </w:pP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65A" w:rsidRPr="00B3065A" w:rsidRDefault="00B3065A" w:rsidP="00520F08">
            <w:pPr>
              <w:rPr>
                <w:sz w:val="22"/>
                <w:szCs w:val="24"/>
              </w:rPr>
            </w:pPr>
            <w:r w:rsidRPr="00B3065A">
              <w:rPr>
                <w:sz w:val="22"/>
                <w:szCs w:val="24"/>
              </w:rPr>
              <w:t>1801</w:t>
            </w:r>
          </w:p>
        </w:tc>
      </w:tr>
    </w:tbl>
    <w:p w:rsidR="00145E90" w:rsidRDefault="008C31B8" w:rsidP="00485AA4">
      <w:pPr>
        <w:autoSpaceDE w:val="0"/>
        <w:autoSpaceDN w:val="0"/>
        <w:adjustRightInd w:val="0"/>
        <w:spacing w:before="120" w:after="0" w:line="240" w:lineRule="auto"/>
        <w:jc w:val="both"/>
        <w:rPr>
          <w:rFonts w:cs="Times New Roman"/>
          <w:szCs w:val="28"/>
        </w:rPr>
      </w:pPr>
      <w:r>
        <w:rPr>
          <w:rFonts w:cs="Times New Roman"/>
          <w:szCs w:val="28"/>
        </w:rPr>
        <w:tab/>
      </w:r>
      <w:r w:rsidR="00145E90">
        <w:rPr>
          <w:rFonts w:cs="Times New Roman"/>
          <w:szCs w:val="28"/>
        </w:rPr>
        <w:t>Kopumā laika periodā no 2008. līdz 2012. gadam ir iegūtais enerģijas galapatēriņa ietaupījums ir 1801GWh (6,48 PJ), kas pārsniedz plānoto enerģijas galapatēriņa ietaupījuma mērķa sasniegšanas trajektoriju.</w:t>
      </w:r>
    </w:p>
    <w:p w:rsidR="008C31B8" w:rsidRPr="00485AA4" w:rsidRDefault="00343C7A" w:rsidP="00145E90">
      <w:pPr>
        <w:autoSpaceDE w:val="0"/>
        <w:autoSpaceDN w:val="0"/>
        <w:adjustRightInd w:val="0"/>
        <w:spacing w:before="120" w:after="0" w:line="240" w:lineRule="auto"/>
        <w:ind w:firstLine="720"/>
        <w:jc w:val="both"/>
        <w:rPr>
          <w:color w:val="000000"/>
        </w:rPr>
      </w:pPr>
      <w:r>
        <w:rPr>
          <w:rFonts w:cs="Times New Roman"/>
          <w:szCs w:val="28"/>
        </w:rPr>
        <w:t xml:space="preserve">Informatīvajam ziņojumam </w:t>
      </w:r>
      <w:r w:rsidR="00727E0D">
        <w:rPr>
          <w:rFonts w:cs="Times New Roman"/>
          <w:szCs w:val="28"/>
        </w:rPr>
        <w:t>atbilstoši EK vadlīnijām</w:t>
      </w:r>
      <w:r w:rsidR="00727E0D">
        <w:rPr>
          <w:rStyle w:val="FootnoteReference"/>
          <w:rFonts w:cs="Times New Roman"/>
          <w:szCs w:val="28"/>
        </w:rPr>
        <w:footnoteReference w:id="8"/>
      </w:r>
      <w:r w:rsidR="00727E0D">
        <w:rPr>
          <w:rFonts w:cs="Times New Roman"/>
          <w:szCs w:val="28"/>
        </w:rPr>
        <w:t xml:space="preserve"> </w:t>
      </w:r>
      <w:r>
        <w:rPr>
          <w:rFonts w:cs="Times New Roman"/>
          <w:szCs w:val="28"/>
        </w:rPr>
        <w:t>ir pievienots p</w:t>
      </w:r>
      <w:r w:rsidR="008C31B8" w:rsidRPr="009E37D3">
        <w:rPr>
          <w:rFonts w:cs="Times New Roman"/>
          <w:szCs w:val="28"/>
        </w:rPr>
        <w:t>ielik</w:t>
      </w:r>
      <w:r>
        <w:rPr>
          <w:rFonts w:cs="Times New Roman"/>
          <w:szCs w:val="28"/>
        </w:rPr>
        <w:t>ums</w:t>
      </w:r>
      <w:r w:rsidR="008C31B8">
        <w:rPr>
          <w:rFonts w:cs="Times New Roman"/>
          <w:szCs w:val="28"/>
        </w:rPr>
        <w:t xml:space="preserve"> Nr.1</w:t>
      </w:r>
      <w:r w:rsidR="00A16F3F">
        <w:rPr>
          <w:rFonts w:cs="Times New Roman"/>
          <w:szCs w:val="28"/>
        </w:rPr>
        <w:t xml:space="preserve"> </w:t>
      </w:r>
      <w:r w:rsidR="008C31B8">
        <w:rPr>
          <w:rFonts w:cs="Times New Roman"/>
          <w:szCs w:val="28"/>
        </w:rPr>
        <w:t>„</w:t>
      </w:r>
      <w:r w:rsidR="008C31B8" w:rsidRPr="009E37D3">
        <w:rPr>
          <w:rFonts w:cs="Times New Roman"/>
          <w:szCs w:val="28"/>
        </w:rPr>
        <w:t>Metodikas apraksts enerģijas ietaupījumu aprēķināšanai atbilstoši Eiro</w:t>
      </w:r>
      <w:r w:rsidR="00CF55BC">
        <w:rPr>
          <w:rFonts w:cs="Times New Roman"/>
          <w:szCs w:val="28"/>
        </w:rPr>
        <w:t>pas Parlamenta un Padomes 2006. gada 5. </w:t>
      </w:r>
      <w:r w:rsidR="008C31B8" w:rsidRPr="009E37D3">
        <w:rPr>
          <w:rFonts w:cs="Times New Roman"/>
          <w:szCs w:val="28"/>
        </w:rPr>
        <w:t>aprīļa Direktīvas 2006/32/EK par enerģijas gala patēriņa efektivitāti un pakalpojumiem prasībām</w:t>
      </w:r>
      <w:r w:rsidR="008C31B8">
        <w:rPr>
          <w:rFonts w:cs="Times New Roman"/>
          <w:szCs w:val="28"/>
        </w:rPr>
        <w:t>”.</w:t>
      </w:r>
      <w:r w:rsidR="00791DBA" w:rsidRPr="003D48F5">
        <w:rPr>
          <w:szCs w:val="28"/>
        </w:rPr>
        <w:tab/>
      </w:r>
    </w:p>
    <w:p w:rsidR="004F315F" w:rsidRPr="003D48F5" w:rsidRDefault="004F315F" w:rsidP="00790910">
      <w:pPr>
        <w:spacing w:after="0" w:line="240" w:lineRule="auto"/>
        <w:jc w:val="both"/>
        <w:rPr>
          <w:sz w:val="24"/>
          <w:szCs w:val="24"/>
        </w:rPr>
      </w:pPr>
      <w:r w:rsidRPr="003D48F5">
        <w:rPr>
          <w:sz w:val="24"/>
          <w:szCs w:val="24"/>
        </w:rPr>
        <w:t xml:space="preserve"> </w:t>
      </w:r>
    </w:p>
    <w:p w:rsidR="004F315F" w:rsidRPr="003D48F5" w:rsidRDefault="004F315F" w:rsidP="008C31B8">
      <w:pPr>
        <w:spacing w:after="0" w:line="240" w:lineRule="auto"/>
        <w:jc w:val="both"/>
        <w:rPr>
          <w:rStyle w:val="Emphasis"/>
          <w:rFonts w:eastAsia="Calibri"/>
          <w:i w:val="0"/>
          <w:szCs w:val="28"/>
        </w:rPr>
      </w:pPr>
    </w:p>
    <w:p w:rsidR="00AA70E3" w:rsidRPr="003D48F5" w:rsidRDefault="00AA70E3">
      <w:pPr>
        <w:rPr>
          <w:rFonts w:cs="Times New Roman"/>
          <w:sz w:val="24"/>
          <w:szCs w:val="24"/>
        </w:rPr>
      </w:pPr>
      <w:r w:rsidRPr="003D48F5">
        <w:rPr>
          <w:rFonts w:cs="Times New Roman"/>
          <w:sz w:val="24"/>
          <w:szCs w:val="24"/>
        </w:rPr>
        <w:br w:type="page"/>
      </w:r>
    </w:p>
    <w:p w:rsidR="00AA70E3" w:rsidRPr="003D48F5" w:rsidRDefault="00AA70E3" w:rsidP="00AA70E3">
      <w:pPr>
        <w:pStyle w:val="Heading1"/>
        <w:rPr>
          <w:rFonts w:cs="Times New Roman"/>
        </w:rPr>
      </w:pPr>
      <w:bookmarkStart w:id="14" w:name="_Toc387237960"/>
      <w:r w:rsidRPr="003D48F5">
        <w:rPr>
          <w:rFonts w:cs="Times New Roman"/>
        </w:rPr>
        <w:lastRenderedPageBreak/>
        <w:t>3. E</w:t>
      </w:r>
      <w:r w:rsidR="001A3FA9">
        <w:rPr>
          <w:rFonts w:cs="Times New Roman"/>
        </w:rPr>
        <w:t>NERGOEFEKTIVITĀTES</w:t>
      </w:r>
      <w:r w:rsidRPr="003D48F5">
        <w:rPr>
          <w:rFonts w:cs="Times New Roman"/>
        </w:rPr>
        <w:t xml:space="preserve"> POLITIKAS PASĀKUMU ĪSTENOŠANA</w:t>
      </w:r>
      <w:bookmarkEnd w:id="14"/>
    </w:p>
    <w:p w:rsidR="00AA70E3" w:rsidRPr="003D48F5" w:rsidRDefault="00AA70E3" w:rsidP="00611B34">
      <w:pPr>
        <w:pStyle w:val="Heading2"/>
      </w:pPr>
      <w:bookmarkStart w:id="15" w:name="_Toc387237961"/>
      <w:r w:rsidRPr="003D48F5">
        <w:t xml:space="preserve">3.1. Horizontālie </w:t>
      </w:r>
      <w:r w:rsidRPr="00611B34">
        <w:t>pasākumi</w:t>
      </w:r>
      <w:bookmarkEnd w:id="15"/>
    </w:p>
    <w:p w:rsidR="00611B34" w:rsidRPr="00611B34" w:rsidRDefault="00AA70E3" w:rsidP="00611B34">
      <w:pPr>
        <w:pStyle w:val="Heading3"/>
        <w:spacing w:after="120"/>
      </w:pPr>
      <w:bookmarkStart w:id="16" w:name="_Toc387237962"/>
      <w:r w:rsidRPr="00611B34">
        <w:rPr>
          <w:rStyle w:val="Heading3Char"/>
          <w:b/>
          <w:bCs/>
        </w:rPr>
        <w:t xml:space="preserve">3.1.1. </w:t>
      </w:r>
      <w:r w:rsidR="00611B34" w:rsidRPr="00611B34">
        <w:rPr>
          <w:rStyle w:val="Heading3Char"/>
          <w:b/>
          <w:bCs/>
        </w:rPr>
        <w:t>Enerģijas ietaupījuma apjoms pienākuma periodā</w:t>
      </w:r>
      <w:bookmarkEnd w:id="16"/>
      <w:r w:rsidRPr="00611B34">
        <w:t xml:space="preserve"> </w:t>
      </w:r>
    </w:p>
    <w:p w:rsidR="001A3FA9" w:rsidRPr="00C33E2E" w:rsidRDefault="00791DBA" w:rsidP="001A3FA9">
      <w:pPr>
        <w:spacing w:after="0" w:line="240" w:lineRule="auto"/>
        <w:jc w:val="both"/>
        <w:rPr>
          <w:rFonts w:cs="Times New Roman"/>
          <w:szCs w:val="28"/>
        </w:rPr>
      </w:pPr>
      <w:r w:rsidRPr="003D48F5">
        <w:rPr>
          <w:rFonts w:eastAsia="Times New Roman" w:cs="Times New Roman"/>
          <w:color w:val="000000"/>
          <w:szCs w:val="28"/>
          <w:lang w:eastAsia="lv-LV"/>
        </w:rPr>
        <w:tab/>
      </w:r>
      <w:r w:rsidR="00A47F0E" w:rsidRPr="003D48F5">
        <w:rPr>
          <w:rFonts w:eastAsia="Times New Roman" w:cs="Times New Roman"/>
          <w:color w:val="000000"/>
          <w:szCs w:val="28"/>
          <w:lang w:eastAsia="lv-LV"/>
        </w:rPr>
        <w:t>Direktīva</w:t>
      </w:r>
      <w:r w:rsidR="00572326">
        <w:rPr>
          <w:rFonts w:eastAsia="Times New Roman" w:cs="Times New Roman"/>
          <w:color w:val="000000"/>
          <w:szCs w:val="28"/>
          <w:lang w:eastAsia="lv-LV"/>
        </w:rPr>
        <w:t>s</w:t>
      </w:r>
      <w:r w:rsidR="00A47F0E" w:rsidRPr="003D48F5">
        <w:rPr>
          <w:rFonts w:eastAsia="Times New Roman" w:cs="Times New Roman"/>
          <w:color w:val="000000"/>
          <w:szCs w:val="28"/>
          <w:lang w:eastAsia="lv-LV"/>
        </w:rPr>
        <w:t xml:space="preserve"> 2012/27/ES</w:t>
      </w:r>
      <w:r w:rsidR="00572326">
        <w:rPr>
          <w:rFonts w:eastAsia="Times New Roman" w:cs="Times New Roman"/>
          <w:color w:val="000000"/>
          <w:szCs w:val="28"/>
          <w:lang w:eastAsia="lv-LV"/>
        </w:rPr>
        <w:t xml:space="preserve"> 7.</w:t>
      </w:r>
      <w:r w:rsidR="007F7ECF">
        <w:rPr>
          <w:rFonts w:eastAsia="Times New Roman" w:cs="Times New Roman"/>
          <w:color w:val="000000"/>
          <w:szCs w:val="28"/>
          <w:lang w:eastAsia="lv-LV"/>
        </w:rPr>
        <w:t> </w:t>
      </w:r>
      <w:r w:rsidR="00572326">
        <w:rPr>
          <w:rFonts w:eastAsia="Times New Roman" w:cs="Times New Roman"/>
          <w:color w:val="000000"/>
          <w:szCs w:val="28"/>
          <w:lang w:eastAsia="lv-LV"/>
        </w:rPr>
        <w:t>pants</w:t>
      </w:r>
      <w:r w:rsidR="00A47F0E" w:rsidRPr="003D48F5">
        <w:rPr>
          <w:rFonts w:eastAsia="Times New Roman" w:cs="Times New Roman"/>
          <w:color w:val="000000"/>
          <w:szCs w:val="28"/>
          <w:lang w:eastAsia="lv-LV"/>
        </w:rPr>
        <w:t xml:space="preserve"> </w:t>
      </w:r>
      <w:r w:rsidR="005E22EF">
        <w:rPr>
          <w:rFonts w:eastAsia="Times New Roman" w:cs="Times New Roman"/>
          <w:color w:val="000000"/>
          <w:szCs w:val="28"/>
          <w:lang w:eastAsia="lv-LV"/>
        </w:rPr>
        <w:t>paredz</w:t>
      </w:r>
      <w:r w:rsidR="00A47F0E" w:rsidRPr="003D48F5">
        <w:rPr>
          <w:rFonts w:eastAsia="Times New Roman" w:cs="Times New Roman"/>
          <w:color w:val="000000"/>
          <w:szCs w:val="28"/>
          <w:lang w:eastAsia="lv-LV"/>
        </w:rPr>
        <w:t xml:space="preserve"> valst</w:t>
      </w:r>
      <w:r w:rsidR="005E22EF">
        <w:rPr>
          <w:rFonts w:eastAsia="Times New Roman" w:cs="Times New Roman"/>
          <w:color w:val="000000"/>
          <w:szCs w:val="28"/>
          <w:lang w:eastAsia="lv-LV"/>
        </w:rPr>
        <w:t>s</w:t>
      </w:r>
      <w:r w:rsidR="00A47F0E" w:rsidRPr="003D48F5">
        <w:rPr>
          <w:rFonts w:eastAsia="Times New Roman" w:cs="Times New Roman"/>
          <w:color w:val="000000"/>
          <w:szCs w:val="28"/>
          <w:lang w:eastAsia="lv-LV"/>
        </w:rPr>
        <w:t xml:space="preserve"> pienākumu samazināt enerģijas galalietotājiem pārdotās enerģijas apjomu, nosakot obligātu mērķi (turpmāk - obligātais mērķis). Ar katru nākamo gadu jauni enerģijas ietaupījumi tiek rēķināti kā 1,5 % no bāzes vērtības, kuru aprēķina kā vidējo no 2010., 2011. un 2012.</w:t>
      </w:r>
      <w:r w:rsidR="00CF55BC">
        <w:rPr>
          <w:rFonts w:eastAsia="Times New Roman" w:cs="Times New Roman"/>
          <w:color w:val="000000"/>
          <w:szCs w:val="28"/>
          <w:lang w:eastAsia="lv-LV"/>
        </w:rPr>
        <w:t> </w:t>
      </w:r>
      <w:r w:rsidR="00A47F0E" w:rsidRPr="003D48F5">
        <w:rPr>
          <w:rFonts w:eastAsia="Times New Roman" w:cs="Times New Roman"/>
          <w:color w:val="000000"/>
          <w:szCs w:val="28"/>
          <w:lang w:eastAsia="lv-LV"/>
        </w:rPr>
        <w:t>gadā galalietotājiem pārdotā enerģijas apjoma. Šī bāzes vērt</w:t>
      </w:r>
      <w:r w:rsidR="00CF55BC">
        <w:rPr>
          <w:rFonts w:eastAsia="Times New Roman" w:cs="Times New Roman"/>
          <w:color w:val="000000"/>
          <w:szCs w:val="28"/>
          <w:lang w:eastAsia="lv-LV"/>
        </w:rPr>
        <w:t>ība paliek nemainīga līdz 2020. </w:t>
      </w:r>
      <w:r w:rsidR="00A47F0E" w:rsidRPr="003D48F5">
        <w:rPr>
          <w:rFonts w:eastAsia="Times New Roman" w:cs="Times New Roman"/>
          <w:color w:val="000000"/>
          <w:szCs w:val="28"/>
          <w:lang w:eastAsia="lv-LV"/>
        </w:rPr>
        <w:t>gada 31.</w:t>
      </w:r>
      <w:r w:rsidR="00CF55BC">
        <w:rPr>
          <w:rFonts w:eastAsia="Times New Roman" w:cs="Times New Roman"/>
          <w:color w:val="000000"/>
          <w:szCs w:val="28"/>
          <w:lang w:eastAsia="lv-LV"/>
        </w:rPr>
        <w:t> </w:t>
      </w:r>
      <w:r w:rsidR="00A47F0E" w:rsidRPr="003D48F5">
        <w:rPr>
          <w:rFonts w:eastAsia="Times New Roman" w:cs="Times New Roman"/>
          <w:color w:val="000000"/>
          <w:szCs w:val="28"/>
          <w:lang w:eastAsia="lv-LV"/>
        </w:rPr>
        <w:t>decembrim.</w:t>
      </w:r>
      <w:r w:rsidR="00740530">
        <w:rPr>
          <w:rFonts w:eastAsia="Times New Roman" w:cs="Times New Roman"/>
          <w:color w:val="000000"/>
          <w:szCs w:val="28"/>
          <w:lang w:eastAsia="lv-LV"/>
        </w:rPr>
        <w:t xml:space="preserve"> </w:t>
      </w:r>
      <w:r w:rsidR="001A3FA9" w:rsidRPr="00C33E2E">
        <w:rPr>
          <w:rFonts w:cs="Times New Roman"/>
          <w:szCs w:val="28"/>
        </w:rPr>
        <w:t xml:space="preserve">EPS </w:t>
      </w:r>
      <w:r w:rsidR="001A3FA9">
        <w:rPr>
          <w:rFonts w:cs="Times New Roman"/>
          <w:szCs w:val="28"/>
        </w:rPr>
        <w:t xml:space="preserve">kumulatīvā </w:t>
      </w:r>
      <w:r w:rsidR="001A3FA9" w:rsidRPr="00C33E2E">
        <w:rPr>
          <w:rFonts w:cs="Times New Roman"/>
          <w:szCs w:val="28"/>
        </w:rPr>
        <w:t>mērķa aprēķināšanai ir izmatoti šādi datu avoti:</w:t>
      </w:r>
    </w:p>
    <w:p w:rsidR="00740530" w:rsidRPr="00740530" w:rsidRDefault="0022524E" w:rsidP="0022524E">
      <w:pPr>
        <w:pStyle w:val="ListParagraph"/>
        <w:spacing w:after="120" w:line="240" w:lineRule="auto"/>
        <w:ind w:left="426"/>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 </w:t>
      </w:r>
      <w:r w:rsidR="001A3FA9">
        <w:rPr>
          <w:rFonts w:ascii="Times New Roman" w:eastAsia="Times New Roman" w:hAnsi="Times New Roman" w:cs="Times New Roman"/>
          <w:color w:val="000000"/>
          <w:sz w:val="28"/>
          <w:szCs w:val="28"/>
          <w:lang w:eastAsia="lv-LV"/>
        </w:rPr>
        <w:t>e</w:t>
      </w:r>
      <w:r w:rsidR="001A3FA9" w:rsidRPr="001A3FA9">
        <w:rPr>
          <w:rFonts w:ascii="Times New Roman" w:eastAsia="Times New Roman" w:hAnsi="Times New Roman" w:cs="Times New Roman"/>
          <w:color w:val="000000"/>
          <w:sz w:val="28"/>
          <w:szCs w:val="28"/>
          <w:lang w:eastAsia="lv-LV"/>
        </w:rPr>
        <w:t>nerģētikas bilances dati no</w:t>
      </w:r>
      <w:r w:rsidR="001A3FA9" w:rsidRPr="00740530">
        <w:rPr>
          <w:rFonts w:ascii="Times New Roman" w:eastAsia="Times New Roman" w:hAnsi="Times New Roman" w:cs="Times New Roman"/>
          <w:color w:val="000000"/>
          <w:sz w:val="28"/>
          <w:szCs w:val="28"/>
          <w:lang w:eastAsia="lv-LV"/>
        </w:rPr>
        <w:t xml:space="preserve"> </w:t>
      </w:r>
      <w:r w:rsidR="00740530" w:rsidRPr="00740530">
        <w:rPr>
          <w:rFonts w:ascii="Times New Roman" w:eastAsia="Times New Roman" w:hAnsi="Times New Roman" w:cs="Times New Roman"/>
          <w:color w:val="000000"/>
          <w:sz w:val="28"/>
          <w:szCs w:val="28"/>
          <w:lang w:eastAsia="lv-LV"/>
        </w:rPr>
        <w:t>CSP</w:t>
      </w:r>
      <w:r w:rsidR="00740530">
        <w:rPr>
          <w:rStyle w:val="FootnoteReference"/>
          <w:rFonts w:ascii="Times New Roman" w:eastAsia="Times New Roman" w:hAnsi="Times New Roman" w:cs="Times New Roman"/>
          <w:color w:val="000000"/>
          <w:sz w:val="28"/>
          <w:szCs w:val="28"/>
          <w:lang w:eastAsia="lv-LV"/>
        </w:rPr>
        <w:footnoteReference w:id="9"/>
      </w:r>
      <w:r w:rsidR="00740530">
        <w:rPr>
          <w:rFonts w:ascii="Times New Roman" w:eastAsia="Times New Roman" w:hAnsi="Times New Roman" w:cs="Times New Roman"/>
          <w:color w:val="000000"/>
          <w:sz w:val="28"/>
          <w:szCs w:val="28"/>
          <w:lang w:eastAsia="lv-LV"/>
        </w:rPr>
        <w:t>;</w:t>
      </w:r>
    </w:p>
    <w:p w:rsidR="00740530" w:rsidRPr="00740530" w:rsidRDefault="0022524E" w:rsidP="0022524E">
      <w:pPr>
        <w:pStyle w:val="ListParagraph"/>
        <w:spacing w:after="120" w:line="240" w:lineRule="auto"/>
        <w:ind w:left="426"/>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 </w:t>
      </w:r>
      <w:r w:rsidR="001A3FA9">
        <w:rPr>
          <w:rFonts w:ascii="Times New Roman" w:eastAsia="Times New Roman" w:hAnsi="Times New Roman" w:cs="Times New Roman"/>
          <w:color w:val="000000"/>
          <w:sz w:val="28"/>
          <w:szCs w:val="28"/>
          <w:lang w:eastAsia="lv-LV"/>
        </w:rPr>
        <w:t>d</w:t>
      </w:r>
      <w:r w:rsidR="001A3FA9" w:rsidRPr="001A3FA9">
        <w:rPr>
          <w:rFonts w:ascii="Times New Roman" w:eastAsia="Times New Roman" w:hAnsi="Times New Roman" w:cs="Times New Roman"/>
          <w:color w:val="000000"/>
          <w:sz w:val="28"/>
          <w:szCs w:val="28"/>
          <w:lang w:eastAsia="lv-LV"/>
        </w:rPr>
        <w:t xml:space="preserve">ati par </w:t>
      </w:r>
      <w:proofErr w:type="spellStart"/>
      <w:r w:rsidR="001A3FA9" w:rsidRPr="001A3FA9">
        <w:rPr>
          <w:rFonts w:ascii="Times New Roman" w:eastAsia="Times New Roman" w:hAnsi="Times New Roman" w:cs="Times New Roman"/>
          <w:color w:val="000000"/>
          <w:sz w:val="28"/>
          <w:szCs w:val="28"/>
          <w:lang w:eastAsia="lv-LV"/>
        </w:rPr>
        <w:t>pašsagatavotās</w:t>
      </w:r>
      <w:proofErr w:type="spellEnd"/>
      <w:r w:rsidR="001A3FA9" w:rsidRPr="001A3FA9">
        <w:rPr>
          <w:rFonts w:ascii="Times New Roman" w:eastAsia="Times New Roman" w:hAnsi="Times New Roman" w:cs="Times New Roman"/>
          <w:color w:val="000000"/>
          <w:sz w:val="28"/>
          <w:szCs w:val="28"/>
          <w:lang w:eastAsia="lv-LV"/>
        </w:rPr>
        <w:t xml:space="preserve"> koksnes izmantošanu mājsaimniecībās no CSP datu bāzes par mājsaimniecību aptaujām (1996, 2001, 2006, 2010)</w:t>
      </w:r>
      <w:r w:rsidR="00740530">
        <w:rPr>
          <w:rStyle w:val="FootnoteReference"/>
          <w:rFonts w:ascii="Times New Roman" w:eastAsia="Times New Roman" w:hAnsi="Times New Roman" w:cs="Times New Roman"/>
          <w:color w:val="000000"/>
          <w:sz w:val="28"/>
          <w:szCs w:val="28"/>
          <w:lang w:eastAsia="lv-LV"/>
        </w:rPr>
        <w:footnoteReference w:id="10"/>
      </w:r>
      <w:r w:rsidR="00740530">
        <w:rPr>
          <w:rFonts w:ascii="Times New Roman" w:eastAsia="Times New Roman" w:hAnsi="Times New Roman" w:cs="Times New Roman"/>
          <w:color w:val="000000"/>
          <w:sz w:val="28"/>
          <w:szCs w:val="28"/>
          <w:lang w:eastAsia="lv-LV"/>
        </w:rPr>
        <w:t>;</w:t>
      </w:r>
    </w:p>
    <w:p w:rsidR="00740530" w:rsidRPr="00740530" w:rsidRDefault="0022524E" w:rsidP="0022524E">
      <w:pPr>
        <w:pStyle w:val="ListParagraph"/>
        <w:spacing w:after="120" w:line="240" w:lineRule="auto"/>
        <w:ind w:left="426"/>
        <w:jc w:val="both"/>
        <w:rPr>
          <w:rFonts w:ascii="Times New Roman" w:eastAsia="Times New Roman" w:hAnsi="Times New Roman" w:cs="Times New Roman"/>
          <w:color w:val="000000"/>
          <w:sz w:val="28"/>
          <w:szCs w:val="28"/>
          <w:lang w:eastAsia="lv-LV"/>
        </w:rPr>
      </w:pPr>
      <w:r>
        <w:rPr>
          <w:rFonts w:ascii="Times New Roman" w:eastAsia="Times New Roman" w:hAnsi="Times New Roman"/>
          <w:color w:val="000000"/>
          <w:sz w:val="28"/>
          <w:lang w:eastAsia="lv-LV"/>
        </w:rPr>
        <w:t xml:space="preserve">3) </w:t>
      </w:r>
      <w:r w:rsidR="001A3FA9">
        <w:rPr>
          <w:rFonts w:ascii="Times New Roman" w:eastAsia="Times New Roman" w:hAnsi="Times New Roman"/>
          <w:color w:val="000000"/>
          <w:sz w:val="28"/>
          <w:lang w:eastAsia="lv-LV"/>
        </w:rPr>
        <w:t>d</w:t>
      </w:r>
      <w:r w:rsidR="001A3FA9" w:rsidRPr="001A3FA9">
        <w:rPr>
          <w:rFonts w:ascii="Times New Roman" w:eastAsia="Times New Roman" w:hAnsi="Times New Roman"/>
          <w:color w:val="000000"/>
          <w:sz w:val="28"/>
          <w:lang w:eastAsia="lv-LV"/>
        </w:rPr>
        <w:t>ati par enerģijas izmantošanu rūpnieciskajās aktivitātēs</w:t>
      </w:r>
      <w:r w:rsidR="001A3FA9" w:rsidRPr="001A3FA9">
        <w:rPr>
          <w:rFonts w:ascii="Times New Roman" w:eastAsia="Times New Roman" w:hAnsi="Times New Roman"/>
          <w:color w:val="000000"/>
          <w:sz w:val="28"/>
          <w:szCs w:val="28"/>
          <w:lang w:eastAsia="lv-LV"/>
        </w:rPr>
        <w:t>,</w:t>
      </w:r>
      <w:r w:rsidR="001A3FA9" w:rsidRPr="001A3FA9">
        <w:rPr>
          <w:rFonts w:ascii="Times New Roman" w:eastAsia="Times New Roman" w:hAnsi="Times New Roman"/>
          <w:color w:val="000000"/>
          <w:sz w:val="28"/>
          <w:lang w:eastAsia="lv-LV"/>
        </w:rPr>
        <w:t xml:space="preserve"> kas uzskaitītas Direktīvas 2003/87/EK I</w:t>
      </w:r>
      <w:r w:rsidR="001A3FA9">
        <w:rPr>
          <w:rFonts w:ascii="Times New Roman" w:eastAsia="Times New Roman" w:hAnsi="Times New Roman"/>
          <w:color w:val="000000"/>
          <w:sz w:val="28"/>
          <w:lang w:eastAsia="lv-LV"/>
        </w:rPr>
        <w:t xml:space="preserve"> </w:t>
      </w:r>
      <w:r w:rsidR="001A3FA9" w:rsidRPr="001A3FA9">
        <w:rPr>
          <w:rFonts w:ascii="Times New Roman" w:eastAsia="Times New Roman" w:hAnsi="Times New Roman"/>
          <w:color w:val="000000"/>
          <w:sz w:val="28"/>
          <w:lang w:eastAsia="lv-LV"/>
        </w:rPr>
        <w:t>pielikumā</w:t>
      </w:r>
      <w:r w:rsidR="001A3FA9" w:rsidRPr="001A3FA9">
        <w:rPr>
          <w:rFonts w:ascii="Times New Roman" w:eastAsia="Times New Roman" w:hAnsi="Times New Roman"/>
          <w:color w:val="000000"/>
          <w:sz w:val="28"/>
          <w:szCs w:val="28"/>
          <w:lang w:eastAsia="lv-LV"/>
        </w:rPr>
        <w:t>,</w:t>
      </w:r>
      <w:r w:rsidR="001A3FA9" w:rsidRPr="001A3FA9">
        <w:rPr>
          <w:rFonts w:ascii="Times New Roman" w:eastAsia="Times New Roman" w:hAnsi="Times New Roman"/>
          <w:color w:val="000000"/>
          <w:sz w:val="28"/>
          <w:lang w:eastAsia="lv-LV"/>
        </w:rPr>
        <w:t xml:space="preserve"> no Latvijas Nacionālā</w:t>
      </w:r>
      <w:r w:rsidR="00274912">
        <w:rPr>
          <w:rFonts w:ascii="Times New Roman" w:eastAsia="Times New Roman" w:hAnsi="Times New Roman"/>
          <w:color w:val="000000"/>
          <w:sz w:val="28"/>
          <w:lang w:eastAsia="lv-LV"/>
        </w:rPr>
        <w:t xml:space="preserve"> </w:t>
      </w:r>
      <w:r w:rsidR="001A3FA9" w:rsidRPr="001A3FA9">
        <w:rPr>
          <w:rFonts w:ascii="Times New Roman" w:eastAsia="Times New Roman" w:hAnsi="Times New Roman"/>
          <w:color w:val="000000"/>
          <w:sz w:val="28"/>
          <w:lang w:eastAsia="lv-LV"/>
        </w:rPr>
        <w:t>Metroloģijas centra datu bāzes</w:t>
      </w:r>
      <w:r w:rsidR="00740530">
        <w:rPr>
          <w:rStyle w:val="FootnoteReference"/>
          <w:rFonts w:ascii="Times New Roman" w:eastAsia="Times New Roman" w:hAnsi="Times New Roman" w:cs="Times New Roman"/>
          <w:color w:val="000000"/>
          <w:sz w:val="28"/>
          <w:szCs w:val="28"/>
          <w:lang w:eastAsia="lv-LV"/>
        </w:rPr>
        <w:footnoteReference w:id="11"/>
      </w:r>
      <w:r w:rsidR="00740530" w:rsidRPr="00740530">
        <w:rPr>
          <w:rFonts w:ascii="Times New Roman" w:eastAsia="Times New Roman" w:hAnsi="Times New Roman" w:cs="Times New Roman"/>
          <w:color w:val="000000"/>
          <w:sz w:val="28"/>
          <w:szCs w:val="28"/>
          <w:lang w:eastAsia="lv-LV"/>
        </w:rPr>
        <w:t xml:space="preserve">. </w:t>
      </w:r>
    </w:p>
    <w:p w:rsidR="00485AA4" w:rsidRDefault="0012336D" w:rsidP="00485AA4">
      <w:pPr>
        <w:spacing w:after="120" w:line="240" w:lineRule="auto"/>
        <w:jc w:val="both"/>
        <w:rPr>
          <w:rFonts w:eastAsia="Times New Roman" w:cs="Times New Roman"/>
          <w:color w:val="000000"/>
          <w:szCs w:val="28"/>
          <w:lang w:eastAsia="lv-LV"/>
        </w:rPr>
      </w:pPr>
      <w:r>
        <w:rPr>
          <w:rFonts w:eastAsia="Times New Roman"/>
          <w:color w:val="000000"/>
          <w:szCs w:val="28"/>
          <w:lang w:eastAsia="lv-LV"/>
        </w:rPr>
        <w:tab/>
      </w:r>
      <w:r w:rsidR="00485AA4" w:rsidRPr="009E37D3">
        <w:rPr>
          <w:rFonts w:eastAsia="Times New Roman" w:cs="Times New Roman"/>
          <w:b/>
          <w:color w:val="000000"/>
          <w:szCs w:val="28"/>
          <w:lang w:eastAsia="lv-LV"/>
        </w:rPr>
        <w:t xml:space="preserve">Kumulatīvā enerģijas ietaupījumu mērķa aprēķina gaita </w:t>
      </w:r>
      <w:r w:rsidR="00485AA4" w:rsidRPr="00485AA4">
        <w:rPr>
          <w:rFonts w:eastAsia="Times New Roman" w:cs="Times New Roman"/>
          <w:color w:val="000000"/>
          <w:szCs w:val="28"/>
          <w:lang w:eastAsia="lv-LV"/>
        </w:rPr>
        <w:t>(</w:t>
      </w:r>
      <w:proofErr w:type="spellStart"/>
      <w:r w:rsidR="00485AA4" w:rsidRPr="00485AA4">
        <w:rPr>
          <w:rFonts w:eastAsia="Times New Roman" w:cs="Times New Roman"/>
          <w:color w:val="000000"/>
          <w:szCs w:val="28"/>
          <w:lang w:eastAsia="lv-LV"/>
        </w:rPr>
        <w:t>sk</w:t>
      </w:r>
      <w:proofErr w:type="spellEnd"/>
      <w:r w:rsidR="00485AA4" w:rsidRPr="00485AA4">
        <w:rPr>
          <w:rFonts w:eastAsia="Times New Roman" w:cs="Times New Roman"/>
          <w:color w:val="000000"/>
          <w:szCs w:val="28"/>
          <w:lang w:eastAsia="lv-LV"/>
        </w:rPr>
        <w:t xml:space="preserve">. </w:t>
      </w:r>
      <w:r w:rsidR="008D30B9">
        <w:rPr>
          <w:rFonts w:eastAsia="Times New Roman" w:cs="Times New Roman"/>
          <w:color w:val="000000"/>
          <w:szCs w:val="28"/>
          <w:lang w:eastAsia="lv-LV"/>
        </w:rPr>
        <w:t>6</w:t>
      </w:r>
      <w:r w:rsidR="00485AA4" w:rsidRPr="009E37D3">
        <w:rPr>
          <w:rFonts w:eastAsia="Times New Roman" w:cs="Times New Roman"/>
          <w:color w:val="000000"/>
          <w:szCs w:val="28"/>
          <w:lang w:eastAsia="lv-LV"/>
        </w:rPr>
        <w:t>.</w:t>
      </w:r>
      <w:r w:rsidR="00A376A0">
        <w:rPr>
          <w:rFonts w:eastAsia="Times New Roman" w:cs="Times New Roman"/>
          <w:color w:val="000000"/>
          <w:szCs w:val="28"/>
          <w:lang w:eastAsia="lv-LV"/>
        </w:rPr>
        <w:t> </w:t>
      </w:r>
      <w:r w:rsidR="00485AA4">
        <w:rPr>
          <w:rFonts w:eastAsia="Times New Roman" w:cs="Times New Roman"/>
          <w:color w:val="000000"/>
          <w:szCs w:val="28"/>
          <w:lang w:eastAsia="lv-LV"/>
        </w:rPr>
        <w:t>a</w:t>
      </w:r>
      <w:r w:rsidR="00485AA4" w:rsidRPr="009E37D3">
        <w:rPr>
          <w:rFonts w:eastAsia="Times New Roman" w:cs="Times New Roman"/>
          <w:color w:val="000000"/>
          <w:szCs w:val="28"/>
          <w:lang w:eastAsia="lv-LV"/>
        </w:rPr>
        <w:t>ttēl</w:t>
      </w:r>
      <w:r w:rsidR="00485AA4">
        <w:rPr>
          <w:rFonts w:eastAsia="Times New Roman" w:cs="Times New Roman"/>
          <w:color w:val="000000"/>
          <w:szCs w:val="28"/>
          <w:lang w:eastAsia="lv-LV"/>
        </w:rPr>
        <w:t>u</w:t>
      </w:r>
      <w:r w:rsidR="00485AA4" w:rsidRPr="009E37D3">
        <w:rPr>
          <w:rFonts w:eastAsia="Times New Roman" w:cs="Times New Roman"/>
          <w:color w:val="000000"/>
          <w:szCs w:val="28"/>
          <w:lang w:eastAsia="lv-LV"/>
        </w:rPr>
        <w:t>)</w:t>
      </w:r>
      <w:r w:rsidR="00485AA4">
        <w:rPr>
          <w:rFonts w:eastAsia="Times New Roman" w:cs="Times New Roman"/>
          <w:color w:val="000000"/>
          <w:szCs w:val="28"/>
          <w:lang w:eastAsia="lv-LV"/>
        </w:rPr>
        <w:t>:</w:t>
      </w:r>
    </w:p>
    <w:p w:rsidR="00485AA4" w:rsidRPr="009E37D3" w:rsidRDefault="0022524E" w:rsidP="0022524E">
      <w:pPr>
        <w:pStyle w:val="No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110069">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w:t>
      </w:r>
      <w:r w:rsidR="00485AA4" w:rsidRPr="009E37D3">
        <w:rPr>
          <w:rFonts w:ascii="Times New Roman" w:eastAsia="Times New Roman" w:hAnsi="Times New Roman"/>
          <w:color w:val="000000"/>
          <w:sz w:val="28"/>
          <w:szCs w:val="28"/>
          <w:lang w:eastAsia="lv-LV"/>
        </w:rPr>
        <w:t xml:space="preserve">Latvijai sākotnēji aprēķinātais kopējais kumulatīvais enerģijas gala patēriņš 2014. – 2020. gadam ir 19391 </w:t>
      </w:r>
      <w:proofErr w:type="spellStart"/>
      <w:r w:rsidR="00485AA4" w:rsidRPr="009E37D3">
        <w:rPr>
          <w:rFonts w:ascii="Times New Roman" w:eastAsia="Times New Roman" w:hAnsi="Times New Roman"/>
          <w:color w:val="000000"/>
          <w:sz w:val="28"/>
          <w:szCs w:val="28"/>
          <w:lang w:eastAsia="lv-LV"/>
        </w:rPr>
        <w:t>GWh</w:t>
      </w:r>
      <w:proofErr w:type="spellEnd"/>
      <w:r w:rsidR="00485AA4" w:rsidRPr="009E37D3">
        <w:rPr>
          <w:rFonts w:ascii="Times New Roman" w:eastAsia="Times New Roman" w:hAnsi="Times New Roman"/>
          <w:color w:val="000000"/>
          <w:sz w:val="28"/>
          <w:szCs w:val="28"/>
          <w:lang w:eastAsia="lv-LV"/>
        </w:rPr>
        <w:t xml:space="preserve"> (1,667 </w:t>
      </w:r>
      <w:proofErr w:type="spellStart"/>
      <w:r w:rsidR="00485AA4" w:rsidRPr="009E37D3">
        <w:rPr>
          <w:rFonts w:ascii="Times New Roman" w:eastAsia="Times New Roman" w:hAnsi="Times New Roman"/>
          <w:color w:val="000000"/>
          <w:sz w:val="28"/>
          <w:szCs w:val="28"/>
          <w:lang w:eastAsia="lv-LV"/>
        </w:rPr>
        <w:t>Mtoe</w:t>
      </w:r>
      <w:proofErr w:type="spellEnd"/>
      <w:r w:rsidR="00485AA4" w:rsidRPr="009E37D3">
        <w:rPr>
          <w:rFonts w:ascii="Times New Roman" w:eastAsia="Times New Roman" w:hAnsi="Times New Roman"/>
          <w:color w:val="000000"/>
          <w:sz w:val="28"/>
          <w:szCs w:val="28"/>
          <w:lang w:eastAsia="lv-LV"/>
        </w:rPr>
        <w:t xml:space="preserve">; 69,8 PJ). </w:t>
      </w:r>
    </w:p>
    <w:p w:rsidR="00485AA4" w:rsidRPr="009E37D3" w:rsidRDefault="0022524E" w:rsidP="0022524E">
      <w:pPr>
        <w:pStyle w:val="No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2</w:t>
      </w:r>
      <w:r w:rsidR="00110069">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w:t>
      </w:r>
      <w:r w:rsidR="00485AA4" w:rsidRPr="009E37D3">
        <w:rPr>
          <w:rFonts w:ascii="Times New Roman" w:eastAsia="Times New Roman" w:hAnsi="Times New Roman"/>
          <w:color w:val="000000"/>
          <w:sz w:val="28"/>
          <w:szCs w:val="28"/>
          <w:lang w:eastAsia="lv-LV"/>
        </w:rPr>
        <w:t>Direktīva</w:t>
      </w:r>
      <w:r w:rsidR="00572326">
        <w:rPr>
          <w:rFonts w:ascii="Times New Roman" w:eastAsia="Times New Roman" w:hAnsi="Times New Roman"/>
          <w:color w:val="000000"/>
          <w:sz w:val="28"/>
          <w:szCs w:val="28"/>
          <w:lang w:eastAsia="lv-LV"/>
        </w:rPr>
        <w:t>s</w:t>
      </w:r>
      <w:r w:rsidR="00485AA4" w:rsidRPr="009E37D3">
        <w:rPr>
          <w:rFonts w:ascii="Times New Roman" w:eastAsia="Times New Roman" w:hAnsi="Times New Roman"/>
          <w:color w:val="000000"/>
          <w:sz w:val="28"/>
          <w:szCs w:val="28"/>
          <w:lang w:eastAsia="lv-LV"/>
        </w:rPr>
        <w:t xml:space="preserve"> 2012/27/ES</w:t>
      </w:r>
      <w:r w:rsidR="00572326">
        <w:rPr>
          <w:rFonts w:ascii="Times New Roman" w:eastAsia="Times New Roman" w:hAnsi="Times New Roman"/>
          <w:color w:val="000000"/>
          <w:sz w:val="28"/>
          <w:szCs w:val="28"/>
          <w:lang w:eastAsia="lv-LV"/>
        </w:rPr>
        <w:t xml:space="preserve"> 7.</w:t>
      </w:r>
      <w:r w:rsidR="007F7ECF">
        <w:rPr>
          <w:rFonts w:ascii="Times New Roman" w:eastAsia="Times New Roman" w:hAnsi="Times New Roman"/>
          <w:color w:val="000000"/>
          <w:sz w:val="28"/>
          <w:szCs w:val="28"/>
          <w:lang w:eastAsia="lv-LV"/>
        </w:rPr>
        <w:t> </w:t>
      </w:r>
      <w:r w:rsidR="00572326">
        <w:rPr>
          <w:rFonts w:ascii="Times New Roman" w:eastAsia="Times New Roman" w:hAnsi="Times New Roman"/>
          <w:color w:val="000000"/>
          <w:sz w:val="28"/>
          <w:szCs w:val="28"/>
          <w:lang w:eastAsia="lv-LV"/>
        </w:rPr>
        <w:t>panta pirmais punkts</w:t>
      </w:r>
      <w:r w:rsidR="00485AA4" w:rsidRPr="009E37D3">
        <w:rPr>
          <w:rFonts w:ascii="Times New Roman" w:eastAsia="Times New Roman" w:hAnsi="Times New Roman"/>
          <w:color w:val="000000"/>
          <w:sz w:val="28"/>
          <w:szCs w:val="28"/>
          <w:lang w:eastAsia="lv-LV"/>
        </w:rPr>
        <w:t xml:space="preserve"> piedāvā iespēju obligātā mērķa aprēķinā neiekļaut pārdotās enerģijas apjomu, ko izmanto transportam. Izmantojot šo iespēju, kopējais kumulatīvais enerģijas gala patēriņš 2014. – 2020.</w:t>
      </w:r>
      <w:r w:rsidR="00CF55BC">
        <w:rPr>
          <w:rFonts w:ascii="Times New Roman" w:eastAsia="Times New Roman" w:hAnsi="Times New Roman"/>
          <w:color w:val="000000"/>
          <w:sz w:val="28"/>
          <w:szCs w:val="28"/>
          <w:lang w:eastAsia="lv-LV"/>
        </w:rPr>
        <w:t> </w:t>
      </w:r>
      <w:r w:rsidR="00485AA4" w:rsidRPr="009E37D3">
        <w:rPr>
          <w:rFonts w:ascii="Times New Roman" w:eastAsia="Times New Roman" w:hAnsi="Times New Roman"/>
          <w:color w:val="000000"/>
          <w:sz w:val="28"/>
          <w:szCs w:val="28"/>
          <w:lang w:eastAsia="lv-LV"/>
        </w:rPr>
        <w:t xml:space="preserve">gadam bez transporta sektora ir 13971 </w:t>
      </w:r>
      <w:proofErr w:type="spellStart"/>
      <w:r w:rsidR="00485AA4" w:rsidRPr="009E37D3">
        <w:rPr>
          <w:rFonts w:ascii="Times New Roman" w:eastAsia="Times New Roman" w:hAnsi="Times New Roman"/>
          <w:color w:val="000000"/>
          <w:sz w:val="28"/>
          <w:szCs w:val="28"/>
          <w:lang w:eastAsia="lv-LV"/>
        </w:rPr>
        <w:t>GWh</w:t>
      </w:r>
      <w:proofErr w:type="spellEnd"/>
      <w:r w:rsidR="00485AA4" w:rsidRPr="009E37D3">
        <w:rPr>
          <w:rFonts w:ascii="Times New Roman" w:eastAsia="Times New Roman" w:hAnsi="Times New Roman"/>
          <w:color w:val="000000"/>
          <w:sz w:val="28"/>
          <w:szCs w:val="28"/>
          <w:lang w:eastAsia="lv-LV"/>
        </w:rPr>
        <w:t xml:space="preserve"> (1,2 </w:t>
      </w:r>
      <w:proofErr w:type="spellStart"/>
      <w:r w:rsidR="00485AA4" w:rsidRPr="009E37D3">
        <w:rPr>
          <w:rFonts w:ascii="Times New Roman" w:eastAsia="Times New Roman" w:hAnsi="Times New Roman"/>
          <w:color w:val="000000"/>
          <w:sz w:val="28"/>
          <w:szCs w:val="28"/>
          <w:lang w:eastAsia="lv-LV"/>
        </w:rPr>
        <w:t>Mtoe</w:t>
      </w:r>
      <w:proofErr w:type="spellEnd"/>
      <w:r w:rsidR="00485AA4" w:rsidRPr="009E37D3">
        <w:rPr>
          <w:rFonts w:ascii="Times New Roman" w:eastAsia="Times New Roman" w:hAnsi="Times New Roman"/>
          <w:color w:val="000000"/>
          <w:sz w:val="28"/>
          <w:szCs w:val="28"/>
          <w:lang w:eastAsia="lv-LV"/>
        </w:rPr>
        <w:t xml:space="preserve">; 50,3 PJ). </w:t>
      </w:r>
    </w:p>
    <w:p w:rsidR="00485AA4" w:rsidRPr="009E37D3" w:rsidRDefault="0022524E" w:rsidP="0022524E">
      <w:pPr>
        <w:pStyle w:val="No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110069">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w:t>
      </w:r>
      <w:r w:rsidR="00485AA4" w:rsidRPr="009E37D3">
        <w:rPr>
          <w:rFonts w:ascii="Times New Roman" w:eastAsia="Times New Roman" w:hAnsi="Times New Roman"/>
          <w:color w:val="000000"/>
          <w:sz w:val="28"/>
          <w:szCs w:val="28"/>
          <w:lang w:eastAsia="lv-LV"/>
        </w:rPr>
        <w:t xml:space="preserve">Tā kā obligāto mērķi aprēķina, kā jaunus ietaupījumus 1,5 % apmērā no tā enerģijas apjoma, kuru ik gadu pārdod visu enerģijas sadales uzņēmumu vai visu enerģijas mazumtirdzniecības uzņēmumu galalietotājiem, tad no aprēķina var izslēgt enerģijas patēriņu, kas rodas no </w:t>
      </w:r>
      <w:proofErr w:type="spellStart"/>
      <w:r w:rsidR="00485AA4" w:rsidRPr="009E37D3">
        <w:rPr>
          <w:rFonts w:ascii="Times New Roman" w:eastAsia="Times New Roman" w:hAnsi="Times New Roman"/>
          <w:color w:val="000000"/>
          <w:sz w:val="28"/>
          <w:szCs w:val="28"/>
          <w:lang w:eastAsia="lv-LV"/>
        </w:rPr>
        <w:t>pašsagatavotās</w:t>
      </w:r>
      <w:proofErr w:type="spellEnd"/>
      <w:r w:rsidR="00485AA4" w:rsidRPr="009E37D3">
        <w:rPr>
          <w:rFonts w:ascii="Times New Roman" w:eastAsia="Times New Roman" w:hAnsi="Times New Roman"/>
          <w:color w:val="000000"/>
          <w:sz w:val="28"/>
          <w:szCs w:val="28"/>
          <w:lang w:eastAsia="lv-LV"/>
        </w:rPr>
        <w:t xml:space="preserve"> koksnes izmantošanas mājsaimniecībās. Rezultātā kumulatīvais enerģ</w:t>
      </w:r>
      <w:r w:rsidR="00CF55BC">
        <w:rPr>
          <w:rFonts w:ascii="Times New Roman" w:eastAsia="Times New Roman" w:hAnsi="Times New Roman"/>
          <w:color w:val="000000"/>
          <w:sz w:val="28"/>
          <w:szCs w:val="28"/>
          <w:lang w:eastAsia="lv-LV"/>
        </w:rPr>
        <w:t>ijas galapatēriņš 2014. – 2020. </w:t>
      </w:r>
      <w:r w:rsidR="00485AA4" w:rsidRPr="009E37D3">
        <w:rPr>
          <w:rFonts w:ascii="Times New Roman" w:eastAsia="Times New Roman" w:hAnsi="Times New Roman"/>
          <w:color w:val="000000"/>
          <w:sz w:val="28"/>
          <w:szCs w:val="28"/>
          <w:lang w:eastAsia="lv-LV"/>
        </w:rPr>
        <w:t xml:space="preserve">gadam bez transporta sektora un </w:t>
      </w:r>
      <w:proofErr w:type="spellStart"/>
      <w:r w:rsidR="00485AA4" w:rsidRPr="009E37D3">
        <w:rPr>
          <w:rFonts w:ascii="Times New Roman" w:eastAsia="Times New Roman" w:hAnsi="Times New Roman"/>
          <w:color w:val="000000"/>
          <w:sz w:val="28"/>
          <w:szCs w:val="28"/>
          <w:lang w:eastAsia="lv-LV"/>
        </w:rPr>
        <w:t>pašsagatavotās</w:t>
      </w:r>
      <w:proofErr w:type="spellEnd"/>
      <w:r w:rsidR="00485AA4" w:rsidRPr="009E37D3">
        <w:rPr>
          <w:rFonts w:ascii="Times New Roman" w:eastAsia="Times New Roman" w:hAnsi="Times New Roman"/>
          <w:color w:val="000000"/>
          <w:sz w:val="28"/>
          <w:szCs w:val="28"/>
          <w:lang w:eastAsia="lv-LV"/>
        </w:rPr>
        <w:t xml:space="preserve"> koksnes izmantošanas mājsaimniecībās būs </w:t>
      </w:r>
      <w:r w:rsidR="00485AA4" w:rsidRPr="006C2540">
        <w:rPr>
          <w:rFonts w:ascii="Times New Roman" w:eastAsia="Times New Roman" w:hAnsi="Times New Roman"/>
          <w:b/>
          <w:color w:val="000000"/>
          <w:sz w:val="28"/>
          <w:szCs w:val="28"/>
          <w:lang w:eastAsia="lv-LV"/>
        </w:rPr>
        <w:t xml:space="preserve">13194 </w:t>
      </w:r>
      <w:proofErr w:type="spellStart"/>
      <w:r w:rsidR="00485AA4" w:rsidRPr="006C2540">
        <w:rPr>
          <w:rFonts w:ascii="Times New Roman" w:eastAsia="Times New Roman" w:hAnsi="Times New Roman"/>
          <w:b/>
          <w:color w:val="000000"/>
          <w:sz w:val="28"/>
          <w:szCs w:val="28"/>
          <w:lang w:eastAsia="lv-LV"/>
        </w:rPr>
        <w:t>GWh</w:t>
      </w:r>
      <w:proofErr w:type="spellEnd"/>
      <w:r w:rsidR="00485AA4" w:rsidRPr="009E37D3">
        <w:rPr>
          <w:rFonts w:ascii="Times New Roman" w:eastAsia="Times New Roman" w:hAnsi="Times New Roman"/>
          <w:color w:val="000000"/>
          <w:sz w:val="28"/>
          <w:szCs w:val="28"/>
          <w:lang w:eastAsia="lv-LV"/>
        </w:rPr>
        <w:t xml:space="preserve"> (1,13 </w:t>
      </w:r>
      <w:proofErr w:type="spellStart"/>
      <w:r w:rsidR="00485AA4" w:rsidRPr="009E37D3">
        <w:rPr>
          <w:rFonts w:ascii="Times New Roman" w:eastAsia="Times New Roman" w:hAnsi="Times New Roman"/>
          <w:color w:val="000000"/>
          <w:sz w:val="28"/>
          <w:szCs w:val="28"/>
          <w:lang w:eastAsia="lv-LV"/>
        </w:rPr>
        <w:t>Mtoe</w:t>
      </w:r>
      <w:proofErr w:type="spellEnd"/>
      <w:r w:rsidR="00485AA4" w:rsidRPr="009E37D3">
        <w:rPr>
          <w:rFonts w:ascii="Times New Roman" w:eastAsia="Times New Roman" w:hAnsi="Times New Roman"/>
          <w:color w:val="000000"/>
          <w:sz w:val="28"/>
          <w:szCs w:val="28"/>
          <w:lang w:eastAsia="lv-LV"/>
        </w:rPr>
        <w:t>; 47,5 PJ).</w:t>
      </w:r>
    </w:p>
    <w:p w:rsidR="00A47F0E" w:rsidRPr="008D30B9" w:rsidRDefault="0022524E" w:rsidP="0022524E">
      <w:pPr>
        <w:pStyle w:val="NoSpacing"/>
        <w:spacing w:after="1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w:t>
      </w:r>
      <w:r w:rsidR="00110069">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 xml:space="preserve"> </w:t>
      </w:r>
      <w:r w:rsidR="00485AA4" w:rsidRPr="009E37D3">
        <w:rPr>
          <w:rFonts w:ascii="Times New Roman" w:eastAsia="Times New Roman" w:hAnsi="Times New Roman"/>
          <w:color w:val="000000"/>
          <w:sz w:val="28"/>
          <w:szCs w:val="28"/>
          <w:lang w:eastAsia="lv-LV"/>
        </w:rPr>
        <w:t>Direktīva 2012/27/ES</w:t>
      </w:r>
      <w:r w:rsidR="00572326">
        <w:rPr>
          <w:rFonts w:ascii="Times New Roman" w:eastAsia="Times New Roman" w:hAnsi="Times New Roman"/>
          <w:color w:val="000000"/>
          <w:sz w:val="28"/>
          <w:szCs w:val="28"/>
          <w:lang w:eastAsia="lv-LV"/>
        </w:rPr>
        <w:t xml:space="preserve"> 7.</w:t>
      </w:r>
      <w:r w:rsidR="007F7ECF">
        <w:rPr>
          <w:rFonts w:ascii="Times New Roman" w:eastAsia="Times New Roman" w:hAnsi="Times New Roman"/>
          <w:color w:val="000000"/>
          <w:sz w:val="28"/>
          <w:szCs w:val="28"/>
          <w:lang w:eastAsia="lv-LV"/>
        </w:rPr>
        <w:t> </w:t>
      </w:r>
      <w:r w:rsidR="00572326">
        <w:rPr>
          <w:rFonts w:ascii="Times New Roman" w:eastAsia="Times New Roman" w:hAnsi="Times New Roman"/>
          <w:color w:val="000000"/>
          <w:sz w:val="28"/>
          <w:szCs w:val="28"/>
          <w:lang w:eastAsia="lv-LV"/>
        </w:rPr>
        <w:t>panta otrais un trešais punkts</w:t>
      </w:r>
      <w:r w:rsidR="00485AA4" w:rsidRPr="009E37D3">
        <w:rPr>
          <w:rFonts w:ascii="Times New Roman" w:eastAsia="Times New Roman" w:hAnsi="Times New Roman"/>
          <w:color w:val="000000"/>
          <w:sz w:val="28"/>
          <w:szCs w:val="28"/>
          <w:lang w:eastAsia="lv-LV"/>
        </w:rPr>
        <w:t xml:space="preserve"> piedāvā piemērot vairākus variantus, kas ļauj samazināt obligātā mērķī noteikto enerģijas ietaupījumu, bet ne vairāk kā par 25%. Pielietojot samazināto ikgadējo jauno ietaupījumu likmi gala enerģijas patēriņam, no kura tiek izskaitīt</w:t>
      </w:r>
      <w:r w:rsidR="00420A79">
        <w:rPr>
          <w:rFonts w:ascii="Times New Roman" w:eastAsia="Times New Roman" w:hAnsi="Times New Roman"/>
          <w:color w:val="000000"/>
          <w:sz w:val="28"/>
          <w:szCs w:val="28"/>
          <w:lang w:eastAsia="lv-LV"/>
        </w:rPr>
        <w:t>s enerģijas apjoms</w:t>
      </w:r>
      <w:r w:rsidR="00485AA4" w:rsidRPr="009E37D3">
        <w:rPr>
          <w:rFonts w:ascii="Times New Roman" w:eastAsia="Times New Roman" w:hAnsi="Times New Roman"/>
          <w:color w:val="000000"/>
          <w:sz w:val="28"/>
          <w:szCs w:val="28"/>
          <w:lang w:eastAsia="lv-LV"/>
        </w:rPr>
        <w:t xml:space="preserve">, kas pārdots izmantošanai rūpnieciskās darbībās, kuras uzskaitītas </w:t>
      </w:r>
      <w:r w:rsidR="00485AA4" w:rsidRPr="009E37D3">
        <w:rPr>
          <w:rFonts w:ascii="Times New Roman" w:eastAsia="Times New Roman" w:hAnsi="Times New Roman"/>
          <w:color w:val="000000"/>
          <w:sz w:val="28"/>
          <w:szCs w:val="28"/>
          <w:lang w:eastAsia="lv-LV"/>
        </w:rPr>
        <w:lastRenderedPageBreak/>
        <w:t>Eiropas Parlamenta un Padomes 2003.</w:t>
      </w:r>
      <w:r w:rsidR="00C254ED">
        <w:rPr>
          <w:rFonts w:ascii="Times New Roman" w:eastAsia="Times New Roman" w:hAnsi="Times New Roman"/>
          <w:color w:val="000000"/>
          <w:sz w:val="28"/>
          <w:szCs w:val="28"/>
          <w:lang w:eastAsia="lv-LV"/>
        </w:rPr>
        <w:t> </w:t>
      </w:r>
      <w:r w:rsidR="00485AA4" w:rsidRPr="009E37D3">
        <w:rPr>
          <w:rFonts w:ascii="Times New Roman" w:eastAsia="Times New Roman" w:hAnsi="Times New Roman"/>
          <w:color w:val="000000"/>
          <w:sz w:val="28"/>
          <w:szCs w:val="28"/>
          <w:lang w:eastAsia="lv-LV"/>
        </w:rPr>
        <w:t>gada 13.</w:t>
      </w:r>
      <w:r w:rsidR="00C254ED">
        <w:rPr>
          <w:rFonts w:ascii="Times New Roman" w:eastAsia="Times New Roman" w:hAnsi="Times New Roman"/>
          <w:color w:val="000000"/>
          <w:sz w:val="28"/>
          <w:szCs w:val="28"/>
          <w:lang w:eastAsia="lv-LV"/>
        </w:rPr>
        <w:t> </w:t>
      </w:r>
      <w:r w:rsidR="00485AA4" w:rsidRPr="009E37D3">
        <w:rPr>
          <w:rFonts w:ascii="Times New Roman" w:eastAsia="Times New Roman" w:hAnsi="Times New Roman"/>
          <w:color w:val="000000"/>
          <w:sz w:val="28"/>
          <w:szCs w:val="28"/>
          <w:lang w:eastAsia="lv-LV"/>
        </w:rPr>
        <w:t xml:space="preserve">oktobra Direktīvas 2003/87/EK, ar kuru nosaka siltumnīcefekta radīto gāzu emisijas kvotu tirdzniecības sistēmas izveidi Kopienā un groza Padomes Direktīvu 96/61/EK I pielikumā, kumulatīvais obligātais mērķis 2014. – 2020. gadam atbilst enerģijas ietaupījumam 9897 </w:t>
      </w:r>
      <w:proofErr w:type="spellStart"/>
      <w:r w:rsidR="00485AA4" w:rsidRPr="009E37D3">
        <w:rPr>
          <w:rFonts w:ascii="Times New Roman" w:eastAsia="Times New Roman" w:hAnsi="Times New Roman"/>
          <w:color w:val="000000"/>
          <w:sz w:val="28"/>
          <w:szCs w:val="28"/>
          <w:lang w:eastAsia="lv-LV"/>
        </w:rPr>
        <w:t>GWh</w:t>
      </w:r>
      <w:proofErr w:type="spellEnd"/>
      <w:r w:rsidR="00485AA4" w:rsidRPr="009E37D3">
        <w:rPr>
          <w:rFonts w:ascii="Times New Roman" w:eastAsia="Times New Roman" w:hAnsi="Times New Roman"/>
          <w:color w:val="000000"/>
          <w:sz w:val="28"/>
          <w:szCs w:val="28"/>
          <w:lang w:eastAsia="lv-LV"/>
        </w:rPr>
        <w:t xml:space="preserve"> (0,85 </w:t>
      </w:r>
      <w:proofErr w:type="spellStart"/>
      <w:r w:rsidR="00485AA4" w:rsidRPr="009E37D3">
        <w:rPr>
          <w:rFonts w:ascii="Times New Roman" w:eastAsia="Times New Roman" w:hAnsi="Times New Roman"/>
          <w:color w:val="000000"/>
          <w:sz w:val="28"/>
          <w:szCs w:val="28"/>
          <w:lang w:eastAsia="lv-LV"/>
        </w:rPr>
        <w:t>Mtoe</w:t>
      </w:r>
      <w:proofErr w:type="spellEnd"/>
      <w:r w:rsidR="00485AA4" w:rsidRPr="009E37D3">
        <w:rPr>
          <w:rFonts w:ascii="Times New Roman" w:eastAsia="Times New Roman" w:hAnsi="Times New Roman"/>
          <w:color w:val="000000"/>
          <w:sz w:val="28"/>
          <w:szCs w:val="28"/>
          <w:lang w:eastAsia="lv-LV"/>
        </w:rPr>
        <w:t xml:space="preserve">; 35,6 PJ) vai 2474 </w:t>
      </w:r>
      <w:proofErr w:type="spellStart"/>
      <w:r w:rsidR="00485AA4" w:rsidRPr="009E37D3">
        <w:rPr>
          <w:rFonts w:ascii="Times New Roman" w:eastAsia="Times New Roman" w:hAnsi="Times New Roman"/>
          <w:color w:val="000000"/>
          <w:sz w:val="28"/>
          <w:szCs w:val="28"/>
          <w:lang w:eastAsia="lv-LV"/>
        </w:rPr>
        <w:t>GWh</w:t>
      </w:r>
      <w:proofErr w:type="spellEnd"/>
      <w:r w:rsidR="00485AA4" w:rsidRPr="009E37D3">
        <w:rPr>
          <w:rFonts w:ascii="Times New Roman" w:eastAsia="Times New Roman" w:hAnsi="Times New Roman"/>
          <w:color w:val="000000"/>
          <w:sz w:val="28"/>
          <w:szCs w:val="28"/>
          <w:lang w:eastAsia="lv-LV"/>
        </w:rPr>
        <w:t xml:space="preserve"> (0,213 </w:t>
      </w:r>
      <w:proofErr w:type="spellStart"/>
      <w:r w:rsidR="00485AA4" w:rsidRPr="009E37D3">
        <w:rPr>
          <w:rFonts w:ascii="Times New Roman" w:eastAsia="Times New Roman" w:hAnsi="Times New Roman"/>
          <w:color w:val="000000"/>
          <w:sz w:val="28"/>
          <w:szCs w:val="28"/>
          <w:lang w:eastAsia="lv-LV"/>
        </w:rPr>
        <w:t>Mtoe</w:t>
      </w:r>
      <w:proofErr w:type="spellEnd"/>
      <w:r w:rsidR="00485AA4" w:rsidRPr="009E37D3">
        <w:rPr>
          <w:rFonts w:ascii="Times New Roman" w:eastAsia="Times New Roman" w:hAnsi="Times New Roman"/>
          <w:color w:val="000000"/>
          <w:sz w:val="28"/>
          <w:szCs w:val="28"/>
          <w:lang w:eastAsia="lv-LV"/>
        </w:rPr>
        <w:t xml:space="preserve">; 8,9 PJ) 2020. gadā. Šis aprēķins ir parādīts </w:t>
      </w:r>
      <w:r w:rsidR="008D30B9">
        <w:rPr>
          <w:rFonts w:ascii="Times New Roman" w:eastAsia="Times New Roman" w:hAnsi="Times New Roman"/>
          <w:color w:val="000000"/>
          <w:sz w:val="28"/>
          <w:szCs w:val="28"/>
          <w:lang w:eastAsia="lv-LV"/>
        </w:rPr>
        <w:t>6</w:t>
      </w:r>
      <w:r w:rsidR="00485AA4" w:rsidRPr="009E37D3">
        <w:rPr>
          <w:rFonts w:ascii="Times New Roman" w:eastAsia="Times New Roman" w:hAnsi="Times New Roman"/>
          <w:color w:val="000000"/>
          <w:sz w:val="28"/>
          <w:szCs w:val="28"/>
          <w:lang w:eastAsia="lv-LV"/>
        </w:rPr>
        <w:t>.</w:t>
      </w:r>
      <w:r w:rsidR="00420A79">
        <w:rPr>
          <w:rFonts w:ascii="Times New Roman" w:eastAsia="Times New Roman" w:hAnsi="Times New Roman"/>
          <w:color w:val="000000"/>
          <w:sz w:val="28"/>
          <w:szCs w:val="28"/>
          <w:lang w:eastAsia="lv-LV"/>
        </w:rPr>
        <w:t> </w:t>
      </w:r>
      <w:r w:rsidR="008D30B9">
        <w:rPr>
          <w:rFonts w:ascii="Times New Roman" w:eastAsia="Times New Roman" w:hAnsi="Times New Roman"/>
          <w:color w:val="000000"/>
          <w:sz w:val="28"/>
          <w:szCs w:val="28"/>
          <w:lang w:eastAsia="lv-LV"/>
        </w:rPr>
        <w:t>attēlā.</w:t>
      </w:r>
    </w:p>
    <w:p w:rsidR="00A47F0E" w:rsidRPr="003D48F5" w:rsidRDefault="000854E4" w:rsidP="00A47F0E">
      <w:pPr>
        <w:spacing w:after="240" w:line="240" w:lineRule="auto"/>
        <w:jc w:val="both"/>
        <w:rPr>
          <w:rFonts w:eastAsia="Times New Roman" w:cs="Times New Roman"/>
          <w:color w:val="000000"/>
          <w:szCs w:val="28"/>
          <w:lang w:eastAsia="lv-LV"/>
        </w:rPr>
      </w:pPr>
      <w:r>
        <w:rPr>
          <w:rFonts w:eastAsia="Times New Roman" w:cs="Times New Roman"/>
          <w:b/>
          <w:noProof/>
          <w:color w:val="000000"/>
          <w:sz w:val="24"/>
          <w:szCs w:val="28"/>
          <w:lang w:eastAsia="lv-LV"/>
        </w:rPr>
        <w:drawing>
          <wp:inline distT="0" distB="0" distL="0" distR="0" wp14:anchorId="09F9FFBC" wp14:editId="56D49341">
            <wp:extent cx="5731510" cy="33610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s pa soliem.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361055"/>
                    </a:xfrm>
                    <a:prstGeom prst="rect">
                      <a:avLst/>
                    </a:prstGeom>
                  </pic:spPr>
                </pic:pic>
              </a:graphicData>
            </a:graphic>
          </wp:inline>
        </w:drawing>
      </w:r>
      <w:r w:rsidR="008D30B9">
        <w:rPr>
          <w:rFonts w:eastAsia="Times New Roman" w:cs="Times New Roman"/>
          <w:b/>
          <w:color w:val="000000"/>
          <w:sz w:val="24"/>
          <w:szCs w:val="28"/>
          <w:lang w:eastAsia="lv-LV"/>
        </w:rPr>
        <w:t>6</w:t>
      </w:r>
      <w:r w:rsidR="00DB0B80" w:rsidRPr="003D48F5">
        <w:rPr>
          <w:rFonts w:eastAsia="Times New Roman" w:cs="Times New Roman"/>
          <w:b/>
          <w:color w:val="000000"/>
          <w:sz w:val="24"/>
          <w:szCs w:val="28"/>
          <w:lang w:eastAsia="lv-LV"/>
        </w:rPr>
        <w:t>. attēls. Obligātā kumulatīvā enerģijas ietaupījuma mērķa vērtības saistību periodā (2014. - 2020.) pie dažādiem mērķa aprēķinā pieļaujamiem</w:t>
      </w:r>
      <w:r w:rsidR="00274912">
        <w:rPr>
          <w:rFonts w:eastAsia="Times New Roman" w:cs="Times New Roman"/>
          <w:b/>
          <w:color w:val="000000"/>
          <w:sz w:val="24"/>
          <w:szCs w:val="28"/>
          <w:lang w:eastAsia="lv-LV"/>
        </w:rPr>
        <w:t xml:space="preserve"> </w:t>
      </w:r>
      <w:r w:rsidR="00DB0B80" w:rsidRPr="003D48F5">
        <w:rPr>
          <w:rFonts w:eastAsia="Times New Roman" w:cs="Times New Roman"/>
          <w:b/>
          <w:color w:val="000000"/>
          <w:sz w:val="24"/>
          <w:szCs w:val="28"/>
          <w:lang w:eastAsia="lv-LV"/>
        </w:rPr>
        <w:t>mērķa samazināšanas variantiem</w:t>
      </w:r>
    </w:p>
    <w:p w:rsidR="00611B34" w:rsidRDefault="00611B34" w:rsidP="00611B34">
      <w:pPr>
        <w:pStyle w:val="Heading3"/>
        <w:spacing w:after="120"/>
      </w:pPr>
      <w:bookmarkStart w:id="17" w:name="_Toc387237963"/>
      <w:r>
        <w:t>3.1.2. Valsts energoefektivitātes pienākuma shēma</w:t>
      </w:r>
      <w:bookmarkEnd w:id="17"/>
    </w:p>
    <w:p w:rsidR="00292922" w:rsidRPr="00355A90" w:rsidRDefault="00AD08C8" w:rsidP="00292922">
      <w:pPr>
        <w:spacing w:after="0" w:line="240" w:lineRule="auto"/>
        <w:jc w:val="both"/>
        <w:rPr>
          <w:rFonts w:cs="Times New Roman"/>
          <w:szCs w:val="28"/>
        </w:rPr>
      </w:pPr>
      <w:r>
        <w:rPr>
          <w:rFonts w:eastAsia="Times New Roman" w:cs="Times New Roman"/>
          <w:color w:val="000000"/>
          <w:szCs w:val="28"/>
          <w:lang w:eastAsia="lv-LV"/>
        </w:rPr>
        <w:tab/>
      </w:r>
      <w:r w:rsidR="00292922" w:rsidRPr="009E37D3">
        <w:rPr>
          <w:rFonts w:eastAsia="Times New Roman" w:cs="Times New Roman"/>
          <w:color w:val="000000"/>
          <w:szCs w:val="28"/>
          <w:lang w:eastAsia="lv-LV"/>
        </w:rPr>
        <w:t>Latvijai atšķirībā no daudzām citām valstīm nav pieredzes EPS vai tās elementu ieviešanā.</w:t>
      </w:r>
      <w:r w:rsidR="00292922" w:rsidRPr="009E37D3">
        <w:rPr>
          <w:rFonts w:cs="Times New Roman"/>
          <w:szCs w:val="28"/>
        </w:rPr>
        <w:t xml:space="preserve"> Citu valstu pieredze rāda, ka sekmīgai obligātā mērķa izpildei nepieciešamie priekšnoteikumi ir enerģijas sektora komersantu sadarbība ar enerģijas galapatērētājiem, galapatērētāju enerģijas patēriņa analīze,</w:t>
      </w:r>
      <w:r w:rsidR="00292922">
        <w:rPr>
          <w:rFonts w:cs="Times New Roman"/>
          <w:szCs w:val="28"/>
        </w:rPr>
        <w:t xml:space="preserve"> </w:t>
      </w:r>
      <w:r w:rsidR="00292922" w:rsidRPr="009E37D3">
        <w:rPr>
          <w:rFonts w:cs="Times New Roman"/>
          <w:szCs w:val="28"/>
        </w:rPr>
        <w:t xml:space="preserve">izmaksu efektīvu un inovatīvu energoefektivitātes pasākumu </w:t>
      </w:r>
      <w:r w:rsidR="001E3335">
        <w:rPr>
          <w:rFonts w:cs="Times New Roman"/>
          <w:szCs w:val="28"/>
        </w:rPr>
        <w:t>īstenošana</w:t>
      </w:r>
      <w:r w:rsidR="00292922" w:rsidRPr="009E37D3">
        <w:rPr>
          <w:rFonts w:cs="Times New Roman"/>
          <w:szCs w:val="28"/>
        </w:rPr>
        <w:t xml:space="preserve"> un atbilstoša enerģijas ietaupījumu mērījumu, kontroles un verifikācijas sistēma.</w:t>
      </w:r>
      <w:r w:rsidR="00355A90">
        <w:rPr>
          <w:rFonts w:cs="Times New Roman"/>
          <w:szCs w:val="28"/>
        </w:rPr>
        <w:t xml:space="preserve"> Latvijā šie priekšnoteikumi šobrīd neīstenojas. </w:t>
      </w:r>
      <w:r w:rsidR="00292922" w:rsidRPr="009E37D3">
        <w:rPr>
          <w:rFonts w:cs="Times New Roman"/>
          <w:color w:val="000000"/>
          <w:szCs w:val="28"/>
        </w:rPr>
        <w:t>Direktīva</w:t>
      </w:r>
      <w:r w:rsidR="00572326">
        <w:rPr>
          <w:rFonts w:cs="Times New Roman"/>
          <w:color w:val="000000"/>
          <w:szCs w:val="28"/>
        </w:rPr>
        <w:t>s</w:t>
      </w:r>
      <w:r w:rsidR="00292922" w:rsidRPr="009E37D3">
        <w:rPr>
          <w:rFonts w:cs="Times New Roman"/>
          <w:color w:val="000000"/>
          <w:szCs w:val="28"/>
        </w:rPr>
        <w:t xml:space="preserve"> 2012/27/ES</w:t>
      </w:r>
      <w:r w:rsidR="00572326">
        <w:rPr>
          <w:rFonts w:cs="Times New Roman"/>
          <w:color w:val="000000"/>
          <w:szCs w:val="28"/>
        </w:rPr>
        <w:t xml:space="preserve"> 7.</w:t>
      </w:r>
      <w:r w:rsidR="007F7ECF">
        <w:rPr>
          <w:rFonts w:cs="Times New Roman"/>
          <w:color w:val="000000"/>
          <w:szCs w:val="28"/>
        </w:rPr>
        <w:t> </w:t>
      </w:r>
      <w:r w:rsidR="00572326">
        <w:rPr>
          <w:rFonts w:cs="Times New Roman"/>
          <w:color w:val="000000"/>
          <w:szCs w:val="28"/>
        </w:rPr>
        <w:t>panta devītais punkts</w:t>
      </w:r>
      <w:r w:rsidR="00292922" w:rsidRPr="009E37D3">
        <w:rPr>
          <w:rFonts w:cs="Times New Roman"/>
          <w:color w:val="000000"/>
          <w:szCs w:val="28"/>
        </w:rPr>
        <w:t xml:space="preserve"> pieļauj, ka valsts var izvēlēties alternatīvu ceļu 1,5% mērķa sasniegšanai – kombinēt EPS ar alternatīviem pasākumiem (šajā gadījumā uzņēmumiem uzliktais pienākumu apjoms samazinās) vai arī EPS vispār neieviest, sasniedzot visu nepieciešamo enerģijas ietaupījumu tikai</w:t>
      </w:r>
      <w:r w:rsidR="00274912">
        <w:rPr>
          <w:rFonts w:cs="Times New Roman"/>
          <w:color w:val="000000"/>
          <w:szCs w:val="28"/>
        </w:rPr>
        <w:t xml:space="preserve"> </w:t>
      </w:r>
      <w:r w:rsidR="00355A90">
        <w:rPr>
          <w:rFonts w:cs="Times New Roman"/>
          <w:color w:val="000000"/>
          <w:szCs w:val="28"/>
        </w:rPr>
        <w:t>ar alternatīvajiem pasākumiem. Direktīva</w:t>
      </w:r>
      <w:r w:rsidR="005E4A07">
        <w:rPr>
          <w:rFonts w:cs="Times New Roman"/>
          <w:color w:val="000000"/>
          <w:szCs w:val="28"/>
        </w:rPr>
        <w:t>s</w:t>
      </w:r>
      <w:r w:rsidR="00355A90">
        <w:rPr>
          <w:rFonts w:cs="Times New Roman"/>
          <w:color w:val="000000"/>
          <w:szCs w:val="28"/>
        </w:rPr>
        <w:t xml:space="preserve"> 2012/27/ES 7.</w:t>
      </w:r>
      <w:r w:rsidR="00CF55BC">
        <w:rPr>
          <w:rFonts w:cs="Times New Roman"/>
          <w:color w:val="000000"/>
          <w:szCs w:val="28"/>
        </w:rPr>
        <w:t> </w:t>
      </w:r>
      <w:r w:rsidR="00355A90">
        <w:rPr>
          <w:rFonts w:cs="Times New Roman"/>
          <w:color w:val="000000"/>
          <w:szCs w:val="28"/>
        </w:rPr>
        <w:t>panta ceturtais punkts nosaka, ka EPS atbildīgās puses izraugās</w:t>
      </w:r>
      <w:r w:rsidR="00110069">
        <w:rPr>
          <w:rFonts w:cs="Times New Roman"/>
          <w:color w:val="000000"/>
          <w:szCs w:val="28"/>
        </w:rPr>
        <w:t>,</w:t>
      </w:r>
      <w:r w:rsidR="00355A90">
        <w:rPr>
          <w:rFonts w:cs="Times New Roman"/>
          <w:color w:val="000000"/>
          <w:szCs w:val="28"/>
        </w:rPr>
        <w:t xml:space="preserve"> pamatojoties uz objektīviem un nediskriminējošiem kritērijiem</w:t>
      </w:r>
      <w:r w:rsidR="00110069">
        <w:rPr>
          <w:rFonts w:cs="Times New Roman"/>
          <w:color w:val="000000"/>
          <w:szCs w:val="28"/>
        </w:rPr>
        <w:t>,</w:t>
      </w:r>
      <w:r w:rsidR="00355A90">
        <w:rPr>
          <w:rFonts w:cs="Times New Roman"/>
          <w:color w:val="000000"/>
          <w:szCs w:val="28"/>
        </w:rPr>
        <w:t xml:space="preserve"> un tās var būt enerģijas sadales uzņēmumi un/vai enerģijas mazumtirdzniecības uzņēmumi un to vidū var būt </w:t>
      </w:r>
      <w:r w:rsidR="00355A90">
        <w:rPr>
          <w:rFonts w:cs="Times New Roman"/>
          <w:color w:val="000000"/>
          <w:szCs w:val="28"/>
        </w:rPr>
        <w:lastRenderedPageBreak/>
        <w:t xml:space="preserve">transportlīdzekļu degvielas sadales uzņēmumi vai transportlīdzekļu degvielas mazumtirdzniecības uzņēmumi, kas darbojas valsts teritorijā. Atbildīgās puses varēs veikt energoefektivitātes pasākumus pašas vai ieskaitīt sertificētus enerģijas ietaupījumus, kurus veikuši energopakalpojumu sniedzēji vai citas trešās personas. Reizi gadā atbildīgā valsts struktūra publicēs katras atbildīgās puses panākto enerģijas ietaupījumu. </w:t>
      </w:r>
    </w:p>
    <w:p w:rsidR="00292922" w:rsidRPr="009E37D3" w:rsidRDefault="00292922" w:rsidP="00292922">
      <w:pPr>
        <w:spacing w:after="0" w:line="240" w:lineRule="auto"/>
        <w:jc w:val="both"/>
        <w:rPr>
          <w:rFonts w:cs="Times New Roman"/>
          <w:szCs w:val="28"/>
        </w:rPr>
      </w:pPr>
      <w:r>
        <w:rPr>
          <w:rFonts w:cs="Times New Roman"/>
          <w:color w:val="000000"/>
          <w:szCs w:val="28"/>
        </w:rPr>
        <w:tab/>
      </w:r>
      <w:r w:rsidRPr="009E37D3">
        <w:rPr>
          <w:rFonts w:cs="Times New Roman"/>
          <w:color w:val="000000"/>
          <w:szCs w:val="28"/>
        </w:rPr>
        <w:t>Latvija ir izvēlējusies ieviest EPS kombinācijā ar alternatīvajiem pasākumiem</w:t>
      </w:r>
      <w:r w:rsidR="00E51252">
        <w:rPr>
          <w:rFonts w:cs="Times New Roman"/>
          <w:color w:val="000000"/>
          <w:szCs w:val="28"/>
        </w:rPr>
        <w:t>,</w:t>
      </w:r>
      <w:r w:rsidRPr="009E37D3">
        <w:rPr>
          <w:rFonts w:cs="Times New Roman"/>
          <w:color w:val="000000"/>
          <w:szCs w:val="28"/>
        </w:rPr>
        <w:t xml:space="preserve"> kuru </w:t>
      </w:r>
      <w:r w:rsidR="001E3335">
        <w:rPr>
          <w:rFonts w:cs="Times New Roman"/>
          <w:color w:val="000000"/>
          <w:szCs w:val="28"/>
        </w:rPr>
        <w:t>īstenošanas</w:t>
      </w:r>
      <w:r w:rsidRPr="009E37D3">
        <w:rPr>
          <w:rFonts w:cs="Times New Roman"/>
          <w:color w:val="000000"/>
          <w:szCs w:val="28"/>
        </w:rPr>
        <w:t xml:space="preserve"> pamatā ir </w:t>
      </w:r>
      <w:r w:rsidR="00614176">
        <w:rPr>
          <w:rFonts w:cs="Times New Roman"/>
          <w:color w:val="000000"/>
          <w:szCs w:val="28"/>
        </w:rPr>
        <w:t>ES fondu</w:t>
      </w:r>
      <w:r w:rsidRPr="009E37D3">
        <w:rPr>
          <w:rFonts w:cs="Times New Roman"/>
          <w:color w:val="000000"/>
          <w:szCs w:val="28"/>
        </w:rPr>
        <w:t xml:space="preserve"> finansējums. Lēmums par EPS izveidošanu apstiprināts ar Ministru </w:t>
      </w:r>
      <w:r w:rsidR="00084389">
        <w:rPr>
          <w:rFonts w:cs="Times New Roman"/>
          <w:color w:val="000000"/>
          <w:szCs w:val="28"/>
        </w:rPr>
        <w:t>kabineta</w:t>
      </w:r>
      <w:r w:rsidR="00084389" w:rsidRPr="009E37D3">
        <w:rPr>
          <w:rFonts w:cs="Times New Roman"/>
          <w:color w:val="000000"/>
          <w:szCs w:val="28"/>
        </w:rPr>
        <w:t xml:space="preserve"> </w:t>
      </w:r>
      <w:r w:rsidRPr="009E37D3">
        <w:rPr>
          <w:rFonts w:cs="Times New Roman"/>
          <w:szCs w:val="28"/>
        </w:rPr>
        <w:t>2013.</w:t>
      </w:r>
      <w:r>
        <w:rPr>
          <w:rFonts w:cs="Times New Roman"/>
          <w:szCs w:val="28"/>
        </w:rPr>
        <w:t> </w:t>
      </w:r>
      <w:r w:rsidRPr="009E37D3">
        <w:rPr>
          <w:rFonts w:cs="Times New Roman"/>
          <w:szCs w:val="28"/>
        </w:rPr>
        <w:t>gada 2.</w:t>
      </w:r>
      <w:r>
        <w:rPr>
          <w:rFonts w:cs="Times New Roman"/>
          <w:szCs w:val="28"/>
        </w:rPr>
        <w:t xml:space="preserve"> decembra </w:t>
      </w:r>
      <w:r w:rsidRPr="009E37D3">
        <w:rPr>
          <w:rFonts w:cs="Times New Roman"/>
          <w:szCs w:val="28"/>
        </w:rPr>
        <w:t xml:space="preserve">rīkojuma </w:t>
      </w:r>
      <w:r w:rsidR="00CF55BC">
        <w:rPr>
          <w:rFonts w:cs="Times New Roman"/>
          <w:szCs w:val="28"/>
        </w:rPr>
        <w:t>Nr.</w:t>
      </w:r>
      <w:r w:rsidRPr="009E37D3">
        <w:rPr>
          <w:rFonts w:cs="Times New Roman"/>
          <w:szCs w:val="28"/>
        </w:rPr>
        <w:t>587</w:t>
      </w:r>
      <w:r>
        <w:rPr>
          <w:rFonts w:cs="Times New Roman"/>
          <w:szCs w:val="28"/>
        </w:rPr>
        <w:t xml:space="preserve"> </w:t>
      </w:r>
      <w:r w:rsidRPr="009E37D3">
        <w:rPr>
          <w:rFonts w:cs="Times New Roman"/>
          <w:szCs w:val="28"/>
        </w:rPr>
        <w:t>(</w:t>
      </w:r>
      <w:proofErr w:type="spellStart"/>
      <w:r w:rsidRPr="009E37D3">
        <w:rPr>
          <w:rFonts w:cs="Times New Roman"/>
          <w:szCs w:val="28"/>
        </w:rPr>
        <w:t>prot</w:t>
      </w:r>
      <w:proofErr w:type="spellEnd"/>
      <w:r w:rsidRPr="009E37D3">
        <w:rPr>
          <w:rFonts w:cs="Times New Roman"/>
          <w:szCs w:val="28"/>
        </w:rPr>
        <w:t xml:space="preserve">. </w:t>
      </w:r>
      <w:proofErr w:type="spellStart"/>
      <w:r w:rsidRPr="009E37D3">
        <w:rPr>
          <w:rFonts w:cs="Times New Roman"/>
          <w:szCs w:val="28"/>
        </w:rPr>
        <w:t>Nr</w:t>
      </w:r>
      <w:proofErr w:type="spellEnd"/>
      <w:r w:rsidRPr="009E37D3">
        <w:rPr>
          <w:rFonts w:cs="Times New Roman"/>
          <w:szCs w:val="28"/>
        </w:rPr>
        <w:t>. 63 52.§) „Par Koncepciju par Eiropas Parlamenta un Padomes 2012.</w:t>
      </w:r>
      <w:r>
        <w:rPr>
          <w:rFonts w:cs="Times New Roman"/>
          <w:szCs w:val="28"/>
        </w:rPr>
        <w:t> </w:t>
      </w:r>
      <w:r w:rsidRPr="009E37D3">
        <w:rPr>
          <w:rFonts w:cs="Times New Roman"/>
          <w:szCs w:val="28"/>
        </w:rPr>
        <w:t>gada 25.</w:t>
      </w:r>
      <w:r>
        <w:rPr>
          <w:rFonts w:cs="Times New Roman"/>
          <w:szCs w:val="28"/>
        </w:rPr>
        <w:t> </w:t>
      </w:r>
      <w:r w:rsidRPr="009E37D3">
        <w:rPr>
          <w:rFonts w:cs="Times New Roman"/>
          <w:szCs w:val="28"/>
        </w:rPr>
        <w:t>oktobra Direktīvas 2012/27/ES par energoefektivitāti, ar ko groza Direktīvas 2009/125/EK un 2010/30/ES un atceļ Direktīvas 2004/8/EK un 2006/32/EK, prasību pārņemšanu normatīvajos aktos”</w:t>
      </w:r>
      <w:r>
        <w:rPr>
          <w:rFonts w:cs="Times New Roman"/>
          <w:szCs w:val="28"/>
        </w:rPr>
        <w:t xml:space="preserve"> (turpmāk – Rīkojums par Koncepciju)</w:t>
      </w:r>
      <w:r w:rsidRPr="009E37D3">
        <w:rPr>
          <w:rFonts w:cs="Times New Roman"/>
          <w:szCs w:val="28"/>
        </w:rPr>
        <w:t xml:space="preserve"> 1.</w:t>
      </w:r>
      <w:r>
        <w:rPr>
          <w:rFonts w:cs="Times New Roman"/>
          <w:szCs w:val="28"/>
        </w:rPr>
        <w:t> </w:t>
      </w:r>
      <w:r w:rsidRPr="009E37D3">
        <w:rPr>
          <w:rFonts w:cs="Times New Roman"/>
          <w:szCs w:val="28"/>
        </w:rPr>
        <w:t>punkta 1.2.</w:t>
      </w:r>
      <w:r>
        <w:rPr>
          <w:rFonts w:cs="Times New Roman"/>
          <w:szCs w:val="28"/>
        </w:rPr>
        <w:t> </w:t>
      </w:r>
      <w:r w:rsidRPr="009E37D3">
        <w:rPr>
          <w:rFonts w:cs="Times New Roman"/>
          <w:szCs w:val="28"/>
        </w:rPr>
        <w:t>apakšpunktu.</w:t>
      </w:r>
      <w:r w:rsidR="00274912">
        <w:rPr>
          <w:rFonts w:cs="Times New Roman"/>
          <w:szCs w:val="28"/>
        </w:rPr>
        <w:t xml:space="preserve"> </w:t>
      </w:r>
    </w:p>
    <w:p w:rsidR="00292922" w:rsidRPr="009E37D3" w:rsidRDefault="00292922" w:rsidP="00292922">
      <w:pPr>
        <w:spacing w:after="0" w:line="240" w:lineRule="auto"/>
        <w:jc w:val="both"/>
        <w:rPr>
          <w:rFonts w:cs="Times New Roman"/>
          <w:szCs w:val="28"/>
        </w:rPr>
      </w:pPr>
      <w:r>
        <w:rPr>
          <w:rFonts w:cs="Times New Roman"/>
          <w:szCs w:val="28"/>
        </w:rPr>
        <w:tab/>
      </w:r>
      <w:r w:rsidRPr="009E37D3">
        <w:rPr>
          <w:rFonts w:cs="Times New Roman"/>
          <w:szCs w:val="28"/>
        </w:rPr>
        <w:t>Kā iesaistīšanai EPS piemērotākās atbildīgās puses nosakāmas:</w:t>
      </w:r>
    </w:p>
    <w:p w:rsidR="002044BA" w:rsidRPr="00C16318" w:rsidRDefault="0022524E" w:rsidP="002044B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2044BA" w:rsidRPr="00292922">
        <w:rPr>
          <w:rFonts w:ascii="Times New Roman" w:hAnsi="Times New Roman" w:cs="Times New Roman"/>
          <w:sz w:val="28"/>
          <w:szCs w:val="28"/>
        </w:rPr>
        <w:t xml:space="preserve">elektroenerģijas piegādes gadījumā </w:t>
      </w:r>
      <w:r w:rsidR="002044BA">
        <w:rPr>
          <w:rFonts w:ascii="Times New Roman" w:hAnsi="Times New Roman" w:cs="Times New Roman"/>
          <w:sz w:val="28"/>
          <w:szCs w:val="28"/>
        </w:rPr>
        <w:t>–</w:t>
      </w:r>
      <w:r w:rsidR="002044BA" w:rsidRPr="00292922">
        <w:rPr>
          <w:rFonts w:ascii="Times New Roman" w:hAnsi="Times New Roman" w:cs="Times New Roman"/>
          <w:sz w:val="28"/>
          <w:szCs w:val="28"/>
        </w:rPr>
        <w:t xml:space="preserve"> </w:t>
      </w:r>
      <w:r w:rsidR="002044BA">
        <w:rPr>
          <w:rFonts w:ascii="Times New Roman" w:hAnsi="Times New Roman" w:cs="Times New Roman"/>
          <w:sz w:val="28"/>
          <w:szCs w:val="28"/>
        </w:rPr>
        <w:t xml:space="preserve">elektroenerģijas tirgotāji un sadales operatori. </w:t>
      </w:r>
      <w:r w:rsidR="002044BA" w:rsidRPr="00292922">
        <w:rPr>
          <w:rFonts w:ascii="Times New Roman" w:hAnsi="Times New Roman" w:cs="Times New Roman"/>
          <w:sz w:val="28"/>
          <w:szCs w:val="28"/>
        </w:rPr>
        <w:t>AS "Sadales tīkls"</w:t>
      </w:r>
      <w:r w:rsidR="002044BA">
        <w:rPr>
          <w:rFonts w:ascii="Times New Roman" w:hAnsi="Times New Roman" w:cs="Times New Roman"/>
          <w:sz w:val="28"/>
          <w:szCs w:val="28"/>
        </w:rPr>
        <w:t xml:space="preserve"> </w:t>
      </w:r>
      <w:r w:rsidR="002044BA" w:rsidRPr="00292922">
        <w:rPr>
          <w:rFonts w:ascii="Times New Roman" w:hAnsi="Times New Roman" w:cs="Times New Roman"/>
          <w:sz w:val="28"/>
          <w:szCs w:val="28"/>
        </w:rPr>
        <w:t xml:space="preserve">nodrošina elektroenerģijas piegādi vairāk nekā vienam miljonam elektroenerģijas lietotāju, aptverot 99% no valsts teritorijas. </w:t>
      </w:r>
      <w:r w:rsidR="002044BA" w:rsidRPr="00C16318">
        <w:rPr>
          <w:rFonts w:ascii="Times New Roman" w:hAnsi="Times New Roman" w:cs="Times New Roman"/>
          <w:sz w:val="28"/>
          <w:szCs w:val="28"/>
        </w:rPr>
        <w:t>AS "Sadales tīkls" bez citiem uzdevumiem veic arī zudumu samazināšanas pasākumus, piegādātās enerģijas uzskaiti, kā arī</w:t>
      </w:r>
      <w:r w:rsidR="00AE48AD">
        <w:rPr>
          <w:rFonts w:ascii="Times New Roman" w:hAnsi="Times New Roman" w:cs="Times New Roman"/>
          <w:sz w:val="28"/>
          <w:szCs w:val="28"/>
        </w:rPr>
        <w:t xml:space="preserve"> </w:t>
      </w:r>
      <w:r w:rsidR="002044BA" w:rsidRPr="00C16318">
        <w:rPr>
          <w:rFonts w:ascii="Times New Roman" w:hAnsi="Times New Roman" w:cs="Times New Roman"/>
          <w:sz w:val="28"/>
          <w:szCs w:val="28"/>
        </w:rPr>
        <w:t xml:space="preserve">nosaka objektos pielietojamos sistēmas pakalpojumu tarifus atbilstoši </w:t>
      </w:r>
      <w:r w:rsidR="00110069" w:rsidRPr="00C16318">
        <w:rPr>
          <w:rFonts w:ascii="Times New Roman" w:hAnsi="Times New Roman" w:cs="Times New Roman"/>
          <w:sz w:val="28"/>
          <w:szCs w:val="28"/>
        </w:rPr>
        <w:t>elektroenerģijas</w:t>
      </w:r>
      <w:r w:rsidR="002044BA" w:rsidRPr="00C16318">
        <w:rPr>
          <w:rFonts w:ascii="Times New Roman" w:hAnsi="Times New Roman" w:cs="Times New Roman"/>
          <w:sz w:val="28"/>
          <w:szCs w:val="28"/>
        </w:rPr>
        <w:t xml:space="preserve"> lietošanas veidam (piemēram: S-1 </w:t>
      </w:r>
      <w:r w:rsidR="002044BA">
        <w:rPr>
          <w:rFonts w:ascii="Times New Roman" w:hAnsi="Times New Roman" w:cs="Times New Roman"/>
          <w:sz w:val="28"/>
          <w:szCs w:val="28"/>
        </w:rPr>
        <w:t>–</w:t>
      </w:r>
      <w:r w:rsidR="002044BA" w:rsidRPr="00C16318">
        <w:rPr>
          <w:rFonts w:ascii="Times New Roman" w:hAnsi="Times New Roman" w:cs="Times New Roman"/>
          <w:sz w:val="28"/>
          <w:szCs w:val="28"/>
        </w:rPr>
        <w:t xml:space="preserve"> mājsaimniecības</w:t>
      </w:r>
      <w:r w:rsidR="002044BA">
        <w:rPr>
          <w:rFonts w:ascii="Times New Roman" w:hAnsi="Times New Roman" w:cs="Times New Roman"/>
          <w:sz w:val="28"/>
          <w:szCs w:val="28"/>
        </w:rPr>
        <w:t>)</w:t>
      </w:r>
      <w:r w:rsidR="002044BA" w:rsidRPr="00C16318">
        <w:rPr>
          <w:rFonts w:ascii="Times New Roman" w:hAnsi="Times New Roman" w:cs="Times New Roman"/>
          <w:sz w:val="28"/>
          <w:szCs w:val="28"/>
        </w:rPr>
        <w:t>;</w:t>
      </w:r>
    </w:p>
    <w:p w:rsidR="00BB1AC9" w:rsidRDefault="0022524E" w:rsidP="0022524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BB1AC9" w:rsidRPr="00BB1AC9">
        <w:rPr>
          <w:rFonts w:ascii="Times New Roman" w:hAnsi="Times New Roman" w:cs="Times New Roman"/>
          <w:sz w:val="28"/>
          <w:szCs w:val="28"/>
        </w:rPr>
        <w:t xml:space="preserve">centralizētās siltumapgādes sistēmas gadījumā piemērotākā atbildīgā puse EPS ir centralizētās siltumapgādes komersants vai centralizētās siltumapgādes sistēmas operators gadījumos, ja sistēmās ir vairāki siltumenerģijas ražotāji, no kuriem vismaz viens ir neatkarīgais ražotājs. EPS atbildīgā puse ir tie centralizētās siltumapgādes komersanti, kas ir reģistrējušies un kuru darbību regulēt saskaņā ar likumu “Par sabiedrisko pakalpojumu regulatoriem”. </w:t>
      </w:r>
      <w:r w:rsidR="00292922" w:rsidRPr="00BB1AC9">
        <w:rPr>
          <w:rFonts w:ascii="Times New Roman" w:hAnsi="Times New Roman" w:cs="Times New Roman"/>
          <w:sz w:val="28"/>
          <w:szCs w:val="28"/>
        </w:rPr>
        <w:t xml:space="preserve">Lai aptvertu pēc iespējas lielāku </w:t>
      </w:r>
      <w:r w:rsidR="00A376A0">
        <w:rPr>
          <w:rFonts w:ascii="Times New Roman" w:hAnsi="Times New Roman" w:cs="Times New Roman"/>
          <w:sz w:val="28"/>
          <w:szCs w:val="28"/>
        </w:rPr>
        <w:t>centralizētās siltumapgādes</w:t>
      </w:r>
      <w:r w:rsidR="00292922" w:rsidRPr="00BB1AC9">
        <w:rPr>
          <w:rFonts w:ascii="Times New Roman" w:hAnsi="Times New Roman" w:cs="Times New Roman"/>
          <w:sz w:val="28"/>
          <w:szCs w:val="28"/>
        </w:rPr>
        <w:t xml:space="preserve"> daļu, bet vienlaicīgi ņemtu vērā </w:t>
      </w:r>
      <w:r w:rsidR="00A376A0">
        <w:rPr>
          <w:rFonts w:ascii="Times New Roman" w:hAnsi="Times New Roman" w:cs="Times New Roman"/>
          <w:sz w:val="28"/>
          <w:szCs w:val="28"/>
        </w:rPr>
        <w:t>centralizētās siltumapgādes</w:t>
      </w:r>
      <w:r w:rsidR="00292922" w:rsidRPr="00BB1AC9">
        <w:rPr>
          <w:rFonts w:ascii="Times New Roman" w:hAnsi="Times New Roman" w:cs="Times New Roman"/>
          <w:sz w:val="28"/>
          <w:szCs w:val="28"/>
        </w:rPr>
        <w:t xml:space="preserve"> piegādes uzņēmuma administratīvo kapacitāti EPS darbības nodrošināšanai, enerģijas piegādes komersantu iesaistīšanai EPS plānots</w:t>
      </w:r>
      <w:r w:rsidR="00274912">
        <w:rPr>
          <w:rFonts w:ascii="Times New Roman" w:hAnsi="Times New Roman" w:cs="Times New Roman"/>
          <w:sz w:val="28"/>
          <w:szCs w:val="28"/>
        </w:rPr>
        <w:t xml:space="preserve"> </w:t>
      </w:r>
      <w:r w:rsidR="00292922" w:rsidRPr="00BB1AC9">
        <w:rPr>
          <w:rFonts w:ascii="Times New Roman" w:hAnsi="Times New Roman" w:cs="Times New Roman"/>
          <w:sz w:val="28"/>
          <w:szCs w:val="28"/>
        </w:rPr>
        <w:t>noteikt slieksni - ikgadējais siltumenerģijas realizācijas apjoms</w:t>
      </w:r>
      <w:r w:rsidR="00C64746">
        <w:rPr>
          <w:rFonts w:ascii="Times New Roman" w:hAnsi="Times New Roman" w:cs="Times New Roman"/>
          <w:sz w:val="28"/>
          <w:szCs w:val="28"/>
        </w:rPr>
        <w:t>.</w:t>
      </w:r>
    </w:p>
    <w:p w:rsidR="00F83ADA" w:rsidRDefault="002044BA" w:rsidP="002044BA">
      <w:pPr>
        <w:autoSpaceDE w:val="0"/>
        <w:autoSpaceDN w:val="0"/>
        <w:adjustRightInd w:val="0"/>
        <w:spacing w:after="0" w:line="240" w:lineRule="auto"/>
        <w:jc w:val="both"/>
        <w:rPr>
          <w:rFonts w:cs="Times New Roman"/>
          <w:szCs w:val="28"/>
        </w:rPr>
      </w:pPr>
      <w:r>
        <w:rPr>
          <w:rFonts w:cs="Times New Roman"/>
          <w:szCs w:val="28"/>
        </w:rPr>
        <w:t>3)</w:t>
      </w:r>
      <w:r w:rsidR="008F7181">
        <w:rPr>
          <w:rFonts w:cs="Times New Roman"/>
          <w:szCs w:val="28"/>
        </w:rPr>
        <w:t xml:space="preserve"> </w:t>
      </w:r>
      <w:r w:rsidR="00BB1AC9" w:rsidRPr="00BB1AC9">
        <w:rPr>
          <w:rFonts w:cs="Times New Roman"/>
          <w:szCs w:val="28"/>
        </w:rPr>
        <w:t xml:space="preserve">EPS atbildīgās puses piemērošanai dabas gāzes piegādes gadījumā, ņemot vērā Enerģētikas likumu 42. pantu un </w:t>
      </w:r>
      <w:r w:rsidR="00CF55BC">
        <w:rPr>
          <w:rFonts w:cs="Times New Roman"/>
          <w:szCs w:val="28"/>
        </w:rPr>
        <w:t>Ministru kabineta 2008. </w:t>
      </w:r>
      <w:r w:rsidR="00BB1AC9" w:rsidRPr="00BB1AC9">
        <w:rPr>
          <w:rFonts w:cs="Times New Roman"/>
          <w:szCs w:val="28"/>
        </w:rPr>
        <w:t>gada 16.</w:t>
      </w:r>
      <w:r w:rsidR="00CF55BC">
        <w:rPr>
          <w:rFonts w:cs="Times New Roman"/>
          <w:szCs w:val="28"/>
        </w:rPr>
        <w:t> </w:t>
      </w:r>
      <w:r w:rsidR="00BB1AC9" w:rsidRPr="00BB1AC9">
        <w:rPr>
          <w:rFonts w:cs="Times New Roman"/>
          <w:szCs w:val="28"/>
        </w:rPr>
        <w:t>decembra noteikumu Nr.1048 „Dabas gāzes piegādes un</w:t>
      </w:r>
      <w:r w:rsidR="00CF55BC">
        <w:rPr>
          <w:rFonts w:cs="Times New Roman"/>
          <w:szCs w:val="28"/>
        </w:rPr>
        <w:t xml:space="preserve"> lietošanas noteikumi” 1. un 3. </w:t>
      </w:r>
      <w:r w:rsidR="00FB6F95">
        <w:rPr>
          <w:rFonts w:cs="Times New Roman"/>
          <w:szCs w:val="28"/>
        </w:rPr>
        <w:t>p</w:t>
      </w:r>
      <w:r w:rsidR="007F7ECF">
        <w:rPr>
          <w:rFonts w:cs="Times New Roman"/>
          <w:szCs w:val="28"/>
        </w:rPr>
        <w:t>unktu</w:t>
      </w:r>
      <w:r w:rsidR="00BB1AC9" w:rsidRPr="00BB1AC9">
        <w:rPr>
          <w:rFonts w:cs="Times New Roman"/>
          <w:szCs w:val="28"/>
        </w:rPr>
        <w:t>, piemērotākais enerģijas piegādes komersants ir dabas gāzes sistēmas operators.</w:t>
      </w:r>
      <w:r w:rsidR="00F83ADA" w:rsidRPr="00F83ADA">
        <w:rPr>
          <w:rFonts w:cs="Times New Roman"/>
          <w:szCs w:val="28"/>
        </w:rPr>
        <w:t xml:space="preserve"> </w:t>
      </w:r>
    </w:p>
    <w:p w:rsidR="002044BA" w:rsidRDefault="002044BA" w:rsidP="002044BA">
      <w:pPr>
        <w:autoSpaceDE w:val="0"/>
        <w:autoSpaceDN w:val="0"/>
        <w:adjustRightInd w:val="0"/>
        <w:spacing w:after="0" w:line="240" w:lineRule="auto"/>
        <w:jc w:val="both"/>
        <w:rPr>
          <w:rFonts w:cs="Times New Roman"/>
          <w:szCs w:val="28"/>
        </w:rPr>
      </w:pPr>
      <w:r>
        <w:rPr>
          <w:rFonts w:cs="Times New Roman"/>
          <w:szCs w:val="28"/>
        </w:rPr>
        <w:t>Energoapgādes komersantiem, kuri tiks izraudzīti kā atbildīgās puses EPS, līdz 2020.</w:t>
      </w:r>
      <w:r w:rsidR="00CF55BC">
        <w:rPr>
          <w:rFonts w:cs="Times New Roman"/>
          <w:szCs w:val="28"/>
        </w:rPr>
        <w:t> </w:t>
      </w:r>
      <w:r>
        <w:rPr>
          <w:rFonts w:cs="Times New Roman"/>
          <w:szCs w:val="28"/>
        </w:rPr>
        <w:t xml:space="preserve">gadam būs jāiegūst kumulatīvi (uzkrāti) enerģijas ietaupījumi jebkurā enerģijas galapatēriņa sektorā. Šos ietaupījumus atbildīgās puses varēs sasniegt </w:t>
      </w:r>
      <w:r w:rsidR="00995B9D">
        <w:rPr>
          <w:rFonts w:cs="Times New Roman"/>
          <w:szCs w:val="28"/>
        </w:rPr>
        <w:t xml:space="preserve">paši vai iesaistot trešās puses, realizējot energoefektivitātes pasākumus, kā, </w:t>
      </w:r>
      <w:r w:rsidR="00995B9D">
        <w:rPr>
          <w:rFonts w:cs="Times New Roman"/>
          <w:szCs w:val="28"/>
        </w:rPr>
        <w:lastRenderedPageBreak/>
        <w:t xml:space="preserve">piemēram, sniedzot atbalstu komersantiem apgaismojuma nomaiņai uz efektīvāku vai iedzīvotājiem </w:t>
      </w:r>
      <w:proofErr w:type="spellStart"/>
      <w:r w:rsidR="00995B9D">
        <w:rPr>
          <w:rFonts w:cs="Times New Roman"/>
          <w:szCs w:val="28"/>
        </w:rPr>
        <w:t>energoefektīvāku</w:t>
      </w:r>
      <w:proofErr w:type="spellEnd"/>
      <w:r w:rsidR="00995B9D">
        <w:rPr>
          <w:rFonts w:cs="Times New Roman"/>
          <w:szCs w:val="28"/>
        </w:rPr>
        <w:t xml:space="preserve"> elektropreču nomaiņai.</w:t>
      </w:r>
    </w:p>
    <w:p w:rsidR="00BB1AC9" w:rsidRPr="00BB1AC9" w:rsidRDefault="00F83ADA" w:rsidP="00F83ADA">
      <w:pPr>
        <w:autoSpaceDE w:val="0"/>
        <w:autoSpaceDN w:val="0"/>
        <w:adjustRightInd w:val="0"/>
        <w:spacing w:after="0" w:line="240" w:lineRule="auto"/>
        <w:ind w:firstLine="720"/>
        <w:jc w:val="both"/>
        <w:rPr>
          <w:rFonts w:cs="Times New Roman"/>
          <w:szCs w:val="28"/>
        </w:rPr>
      </w:pPr>
      <w:r>
        <w:rPr>
          <w:rFonts w:cs="Times New Roman"/>
          <w:szCs w:val="28"/>
        </w:rPr>
        <w:t xml:space="preserve">Lai vienotos par EPS ieviešanas labāko variantu, notiek konsultācijas ar </w:t>
      </w:r>
      <w:proofErr w:type="spellStart"/>
      <w:r>
        <w:rPr>
          <w:rFonts w:cs="Times New Roman"/>
          <w:szCs w:val="28"/>
        </w:rPr>
        <w:t>energokomersantu</w:t>
      </w:r>
      <w:proofErr w:type="spellEnd"/>
      <w:r>
        <w:rPr>
          <w:rFonts w:cs="Times New Roman"/>
          <w:szCs w:val="28"/>
        </w:rPr>
        <w:t xml:space="preserve"> pārstāvjiem.</w:t>
      </w:r>
    </w:p>
    <w:p w:rsidR="004D4449" w:rsidRDefault="00BB1AC9" w:rsidP="00292922">
      <w:pPr>
        <w:spacing w:after="0" w:line="240" w:lineRule="auto"/>
        <w:jc w:val="both"/>
      </w:pPr>
      <w:r>
        <w:rPr>
          <w:rFonts w:cs="Times New Roman"/>
          <w:szCs w:val="28"/>
        </w:rPr>
        <w:tab/>
      </w:r>
      <w:r w:rsidR="00292922" w:rsidRPr="009E37D3">
        <w:rPr>
          <w:rFonts w:cs="Times New Roman"/>
          <w:szCs w:val="28"/>
        </w:rPr>
        <w:t>Šobrīd notiek likumprojekta „Energoefektivitātes likums” izstrāde, kas paredz arī EPS ieviešanu, kuras izveidošanas un uzraudzības principus detalizēti noteiks ar atbilstošiem Ministru kabineta noteikumiem.</w:t>
      </w:r>
      <w:r w:rsidR="00274912">
        <w:rPr>
          <w:rFonts w:cs="Times New Roman"/>
          <w:szCs w:val="28"/>
        </w:rPr>
        <w:t xml:space="preserve"> </w:t>
      </w:r>
    </w:p>
    <w:p w:rsidR="00260956" w:rsidRDefault="00260956" w:rsidP="00260956">
      <w:pPr>
        <w:pStyle w:val="Heading3"/>
        <w:spacing w:after="120"/>
      </w:pPr>
      <w:bookmarkStart w:id="18" w:name="_Toc387237964"/>
      <w:r>
        <w:t xml:space="preserve">3.1.3. Ar </w:t>
      </w:r>
      <w:r w:rsidR="00136C55">
        <w:t>EPS</w:t>
      </w:r>
      <w:r>
        <w:t xml:space="preserve"> sasniedzamie ietaupījumi</w:t>
      </w:r>
      <w:bookmarkEnd w:id="18"/>
    </w:p>
    <w:p w:rsidR="001A12A4" w:rsidRPr="00766AC6" w:rsidRDefault="00136C55" w:rsidP="001A12A4">
      <w:pPr>
        <w:pStyle w:val="tv20787921"/>
        <w:spacing w:after="0" w:line="240" w:lineRule="auto"/>
        <w:jc w:val="both"/>
        <w:rPr>
          <w:rStyle w:val="c1"/>
          <w:rFonts w:ascii="Times New Roman" w:hAnsi="Times New Roman"/>
          <w:b w:val="0"/>
          <w:bCs w:val="0"/>
          <w:color w:val="auto"/>
        </w:rPr>
      </w:pPr>
      <w:r>
        <w:tab/>
      </w:r>
      <w:r w:rsidRPr="001A12A4">
        <w:rPr>
          <w:rFonts w:ascii="Times New Roman" w:hAnsi="Times New Roman"/>
          <w:b w:val="0"/>
        </w:rPr>
        <w:t>EPS ietvaros sasniedzamo mērķi var sadalīt starp atbildīgām pusēm dažādos variantos. Kamēr nav pieņemts lēmums par kritērijiem atbildīgo pušu izvēlei, enerģijas ietaupījuma mērķa sadalījums starp enerģijas veidu piegādātājiem tiek aprēķināts, pieņemot, ka visi attiecīgā enerģijas veida</w:t>
      </w:r>
      <w:r w:rsidR="001A12A4" w:rsidRPr="001A12A4">
        <w:rPr>
          <w:rFonts w:ascii="Times New Roman" w:hAnsi="Times New Roman"/>
          <w:b w:val="0"/>
        </w:rPr>
        <w:t xml:space="preserve"> piegādātāji tiek iekļauti EPS</w:t>
      </w:r>
      <w:r w:rsidR="001A12A4" w:rsidRPr="00766AC6">
        <w:rPr>
          <w:rFonts w:ascii="Times New Roman" w:hAnsi="Times New Roman"/>
          <w:b w:val="0"/>
        </w:rPr>
        <w:t xml:space="preserve">. </w:t>
      </w:r>
      <w:r w:rsidR="001A12A4" w:rsidRPr="00766AC6">
        <w:rPr>
          <w:rStyle w:val="c1"/>
          <w:rFonts w:ascii="Times New Roman" w:hAnsi="Times New Roman"/>
          <w:b w:val="0"/>
          <w:bCs w:val="0"/>
          <w:color w:val="auto"/>
        </w:rPr>
        <w:t xml:space="preserve">Kumulatīvā enerģijas ietaupījuma mērķa iespējamā trajektorija iegūta aprēķinu ceļā, ko izstrādājis Fizikālās enerģētikas institūts. Ar kumulatīvā enerģijas ietaupījuma mērķa aprēķinu var iepazīties Ziņojumā par Eiropas Parlamenta un padomes Direktīvas 2012/27/ES (2012. gada 25. oktobris) par energoefektivitāti, ar ko groza Direktīvas 2009/125/EK un 2010/30/ES un atceļ Direktīvas 2004/8/EK un 2006/32/EK 7. panta prasību izpildi, kas pieejams Ekonomikas ministrijas </w:t>
      </w:r>
      <w:r w:rsidR="00E64429">
        <w:rPr>
          <w:rStyle w:val="c1"/>
          <w:rFonts w:ascii="Times New Roman" w:hAnsi="Times New Roman"/>
          <w:b w:val="0"/>
          <w:bCs w:val="0"/>
          <w:color w:val="auto"/>
        </w:rPr>
        <w:t>tīmekļa vietnē</w:t>
      </w:r>
      <w:r w:rsidR="001A12A4" w:rsidRPr="00766AC6">
        <w:rPr>
          <w:rStyle w:val="c1"/>
          <w:rFonts w:ascii="Times New Roman" w:hAnsi="Times New Roman"/>
          <w:b w:val="0"/>
          <w:bCs w:val="0"/>
          <w:color w:val="auto"/>
        </w:rPr>
        <w:t>.</w:t>
      </w:r>
    </w:p>
    <w:p w:rsidR="00260956" w:rsidRPr="001A12A4" w:rsidRDefault="004D126E" w:rsidP="001A12A4">
      <w:pPr>
        <w:pStyle w:val="BodyTEXT0"/>
      </w:pPr>
      <w:hyperlink r:id="rId18" w:history="1">
        <w:r w:rsidR="007F7ECF" w:rsidRPr="005611A0">
          <w:rPr>
            <w:rStyle w:val="Hyperlink"/>
            <w:bCs/>
          </w:rPr>
          <w:t>http://www.em.gov.lv/em/2nd/?cat=30173</w:t>
        </w:r>
      </w:hyperlink>
    </w:p>
    <w:p w:rsidR="00260956" w:rsidRPr="0099397F" w:rsidRDefault="00D322B9" w:rsidP="00260956">
      <w:pPr>
        <w:pStyle w:val="Caption"/>
        <w:spacing w:before="240" w:after="0" w:line="240" w:lineRule="auto"/>
        <w:jc w:val="right"/>
        <w:rPr>
          <w:rFonts w:ascii="Times New Roman" w:eastAsiaTheme="minorHAnsi" w:hAnsi="Times New Roman" w:cstheme="minorBidi"/>
          <w:b/>
          <w:caps w:val="0"/>
          <w:spacing w:val="0"/>
          <w:sz w:val="22"/>
          <w:szCs w:val="22"/>
          <w:lang w:val="lv-LV" w:bidi="ar-SA"/>
        </w:rPr>
      </w:pPr>
      <w:r w:rsidRPr="0099397F">
        <w:rPr>
          <w:rFonts w:ascii="Times New Roman" w:eastAsiaTheme="minorHAnsi" w:hAnsi="Times New Roman" w:cstheme="minorBidi"/>
          <w:b/>
          <w:caps w:val="0"/>
          <w:spacing w:val="0"/>
          <w:sz w:val="22"/>
          <w:szCs w:val="22"/>
          <w:lang w:val="lv-LV" w:bidi="ar-SA"/>
        </w:rPr>
        <w:t>8</w:t>
      </w:r>
      <w:r w:rsidR="00260956" w:rsidRPr="0099397F">
        <w:rPr>
          <w:rFonts w:ascii="Times New Roman" w:eastAsiaTheme="minorHAnsi" w:hAnsi="Times New Roman" w:cstheme="minorBidi"/>
          <w:b/>
          <w:caps w:val="0"/>
          <w:spacing w:val="0"/>
          <w:sz w:val="22"/>
          <w:szCs w:val="22"/>
          <w:lang w:val="lv-LV" w:bidi="ar-SA"/>
        </w:rPr>
        <w:t xml:space="preserve">. tabula </w:t>
      </w:r>
    </w:p>
    <w:p w:rsidR="00260956" w:rsidRPr="0099397F" w:rsidRDefault="00260956" w:rsidP="00260956">
      <w:pPr>
        <w:pStyle w:val="Caption"/>
        <w:spacing w:after="0" w:line="240" w:lineRule="auto"/>
        <w:jc w:val="right"/>
        <w:rPr>
          <w:rFonts w:ascii="Times New Roman" w:eastAsiaTheme="minorHAnsi" w:hAnsi="Times New Roman" w:cstheme="minorBidi"/>
          <w:b/>
          <w:caps w:val="0"/>
          <w:spacing w:val="0"/>
          <w:sz w:val="22"/>
          <w:szCs w:val="22"/>
          <w:lang w:val="lv-LV" w:bidi="ar-SA"/>
        </w:rPr>
      </w:pPr>
      <w:r w:rsidRPr="0099397F">
        <w:rPr>
          <w:rFonts w:ascii="Times New Roman" w:eastAsiaTheme="minorHAnsi" w:hAnsi="Times New Roman" w:cstheme="minorBidi"/>
          <w:b/>
          <w:caps w:val="0"/>
          <w:spacing w:val="0"/>
          <w:sz w:val="22"/>
          <w:szCs w:val="22"/>
          <w:lang w:val="lv-LV" w:bidi="ar-SA"/>
        </w:rPr>
        <w:t>Kopējā kumulatīvā enerģijas ietaupījuma mērķa periodā izpildes iespējamā trajektorija</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45"/>
        <w:gridCol w:w="1080"/>
        <w:gridCol w:w="900"/>
        <w:gridCol w:w="900"/>
        <w:gridCol w:w="900"/>
        <w:gridCol w:w="900"/>
        <w:gridCol w:w="900"/>
        <w:gridCol w:w="831"/>
      </w:tblGrid>
      <w:tr w:rsidR="009A36BA" w:rsidRPr="00A07AC4" w:rsidTr="009A36BA">
        <w:trPr>
          <w:trHeight w:val="248"/>
        </w:trPr>
        <w:tc>
          <w:tcPr>
            <w:tcW w:w="1276" w:type="dxa"/>
            <w:vMerge w:val="restart"/>
            <w:shd w:val="clear" w:color="auto" w:fill="auto"/>
            <w:noWrap/>
            <w:vAlign w:val="bottom"/>
          </w:tcPr>
          <w:p w:rsidR="009A36BA" w:rsidRPr="00A07AC4" w:rsidRDefault="009A36BA" w:rsidP="00A114A8">
            <w:pPr>
              <w:jc w:val="center"/>
              <w:rPr>
                <w:rFonts w:cs="Times New Roman"/>
                <w:b/>
                <w:sz w:val="22"/>
              </w:rPr>
            </w:pPr>
            <w:r w:rsidRPr="00A07AC4">
              <w:rPr>
                <w:rFonts w:cs="Times New Roman"/>
                <w:b/>
                <w:sz w:val="22"/>
              </w:rPr>
              <w:t>Gads</w:t>
            </w:r>
          </w:p>
        </w:tc>
        <w:tc>
          <w:tcPr>
            <w:tcW w:w="6825" w:type="dxa"/>
            <w:gridSpan w:val="7"/>
            <w:shd w:val="clear" w:color="auto" w:fill="auto"/>
            <w:noWrap/>
            <w:vAlign w:val="bottom"/>
          </w:tcPr>
          <w:p w:rsidR="009A36BA" w:rsidRPr="00A07AC4" w:rsidRDefault="009A36BA" w:rsidP="00A114A8">
            <w:pPr>
              <w:jc w:val="center"/>
              <w:rPr>
                <w:rFonts w:cs="Times New Roman"/>
                <w:b/>
                <w:sz w:val="22"/>
              </w:rPr>
            </w:pPr>
            <w:r w:rsidRPr="00A07AC4">
              <w:rPr>
                <w:rFonts w:cs="Times New Roman"/>
                <w:b/>
                <w:sz w:val="22"/>
              </w:rPr>
              <w:t>Enerģijas ietaupījums (</w:t>
            </w:r>
            <w:proofErr w:type="spellStart"/>
            <w:r w:rsidRPr="00A07AC4">
              <w:rPr>
                <w:rFonts w:cs="Times New Roman"/>
                <w:b/>
                <w:sz w:val="22"/>
              </w:rPr>
              <w:t>GWh</w:t>
            </w:r>
            <w:proofErr w:type="spellEnd"/>
            <w:r w:rsidRPr="00A07AC4">
              <w:rPr>
                <w:rFonts w:cs="Times New Roman"/>
                <w:b/>
                <w:sz w:val="22"/>
              </w:rPr>
              <w:t>)</w:t>
            </w:r>
          </w:p>
        </w:tc>
        <w:tc>
          <w:tcPr>
            <w:tcW w:w="831" w:type="dxa"/>
            <w:vMerge w:val="restart"/>
            <w:shd w:val="clear" w:color="auto" w:fill="auto"/>
            <w:noWrap/>
            <w:vAlign w:val="bottom"/>
          </w:tcPr>
          <w:p w:rsidR="009A36BA" w:rsidRPr="00A07AC4" w:rsidRDefault="009A36BA" w:rsidP="00A114A8">
            <w:pPr>
              <w:jc w:val="center"/>
              <w:rPr>
                <w:rFonts w:cs="Times New Roman"/>
                <w:b/>
                <w:sz w:val="22"/>
              </w:rPr>
            </w:pPr>
            <w:r w:rsidRPr="00A07AC4">
              <w:rPr>
                <w:rFonts w:cs="Times New Roman"/>
                <w:b/>
                <w:sz w:val="22"/>
              </w:rPr>
              <w:t>Kopā</w:t>
            </w:r>
          </w:p>
        </w:tc>
      </w:tr>
      <w:tr w:rsidR="009A36BA" w:rsidRPr="00A07AC4" w:rsidTr="009A36BA">
        <w:trPr>
          <w:trHeight w:val="170"/>
        </w:trPr>
        <w:tc>
          <w:tcPr>
            <w:tcW w:w="1276" w:type="dxa"/>
            <w:vMerge/>
            <w:shd w:val="clear" w:color="auto" w:fill="auto"/>
            <w:noWrap/>
            <w:vAlign w:val="bottom"/>
          </w:tcPr>
          <w:p w:rsidR="009A36BA" w:rsidRPr="00A07AC4" w:rsidRDefault="009A36BA" w:rsidP="00A114A8">
            <w:pPr>
              <w:jc w:val="center"/>
              <w:rPr>
                <w:rFonts w:cs="Times New Roman"/>
                <w:b/>
                <w:sz w:val="22"/>
              </w:rPr>
            </w:pPr>
          </w:p>
        </w:tc>
        <w:tc>
          <w:tcPr>
            <w:tcW w:w="6825" w:type="dxa"/>
            <w:gridSpan w:val="7"/>
            <w:shd w:val="clear" w:color="auto" w:fill="auto"/>
            <w:noWrap/>
            <w:vAlign w:val="bottom"/>
          </w:tcPr>
          <w:p w:rsidR="009A36BA" w:rsidRPr="00A07AC4" w:rsidRDefault="009A36BA" w:rsidP="00A114A8">
            <w:pPr>
              <w:jc w:val="center"/>
              <w:rPr>
                <w:rFonts w:cs="Times New Roman"/>
                <w:b/>
                <w:sz w:val="22"/>
              </w:rPr>
            </w:pPr>
            <w:r>
              <w:rPr>
                <w:rFonts w:cs="Times New Roman"/>
                <w:b/>
                <w:sz w:val="22"/>
              </w:rPr>
              <w:t>gadā</w:t>
            </w:r>
          </w:p>
        </w:tc>
        <w:tc>
          <w:tcPr>
            <w:tcW w:w="831" w:type="dxa"/>
            <w:vMerge/>
            <w:shd w:val="clear" w:color="auto" w:fill="auto"/>
            <w:noWrap/>
            <w:vAlign w:val="bottom"/>
          </w:tcPr>
          <w:p w:rsidR="009A36BA" w:rsidRPr="00A07AC4" w:rsidRDefault="009A36BA" w:rsidP="00A114A8">
            <w:pPr>
              <w:jc w:val="center"/>
              <w:rPr>
                <w:rFonts w:cs="Times New Roman"/>
                <w:b/>
                <w:sz w:val="22"/>
              </w:rPr>
            </w:pPr>
          </w:p>
        </w:tc>
      </w:tr>
      <w:tr w:rsidR="009A36BA" w:rsidRPr="00A07AC4" w:rsidTr="009A36BA">
        <w:trPr>
          <w:trHeight w:val="247"/>
        </w:trPr>
        <w:tc>
          <w:tcPr>
            <w:tcW w:w="1276" w:type="dxa"/>
            <w:vMerge/>
            <w:shd w:val="clear" w:color="auto" w:fill="auto"/>
            <w:noWrap/>
            <w:vAlign w:val="bottom"/>
          </w:tcPr>
          <w:p w:rsidR="009A36BA" w:rsidRPr="00A07AC4" w:rsidRDefault="009A36BA" w:rsidP="00A114A8">
            <w:pPr>
              <w:jc w:val="center"/>
              <w:rPr>
                <w:rFonts w:cs="Times New Roman"/>
                <w:b/>
                <w:sz w:val="22"/>
              </w:rPr>
            </w:pPr>
          </w:p>
        </w:tc>
        <w:tc>
          <w:tcPr>
            <w:tcW w:w="1245" w:type="dxa"/>
            <w:shd w:val="clear" w:color="auto" w:fill="auto"/>
            <w:noWrap/>
            <w:vAlign w:val="bottom"/>
          </w:tcPr>
          <w:p w:rsidR="009A36BA" w:rsidRPr="00A07AC4" w:rsidRDefault="009A36BA" w:rsidP="00A114A8">
            <w:pPr>
              <w:jc w:val="center"/>
              <w:rPr>
                <w:rFonts w:cs="Times New Roman"/>
                <w:b/>
                <w:sz w:val="22"/>
              </w:rPr>
            </w:pPr>
            <w:r>
              <w:rPr>
                <w:rFonts w:cs="Times New Roman"/>
                <w:b/>
                <w:sz w:val="22"/>
              </w:rPr>
              <w:t>2014</w:t>
            </w:r>
          </w:p>
        </w:tc>
        <w:tc>
          <w:tcPr>
            <w:tcW w:w="1080" w:type="dxa"/>
            <w:shd w:val="clear" w:color="auto" w:fill="auto"/>
            <w:vAlign w:val="bottom"/>
          </w:tcPr>
          <w:p w:rsidR="009A36BA" w:rsidRPr="00A07AC4" w:rsidRDefault="009A36BA" w:rsidP="00A114A8">
            <w:pPr>
              <w:jc w:val="center"/>
              <w:rPr>
                <w:rFonts w:cs="Times New Roman"/>
                <w:b/>
                <w:sz w:val="22"/>
              </w:rPr>
            </w:pPr>
            <w:r>
              <w:rPr>
                <w:rFonts w:cs="Times New Roman"/>
                <w:b/>
                <w:sz w:val="22"/>
              </w:rPr>
              <w:t>2015</w:t>
            </w:r>
          </w:p>
        </w:tc>
        <w:tc>
          <w:tcPr>
            <w:tcW w:w="900" w:type="dxa"/>
            <w:shd w:val="clear" w:color="auto" w:fill="auto"/>
            <w:vAlign w:val="bottom"/>
          </w:tcPr>
          <w:p w:rsidR="009A36BA" w:rsidRPr="00A07AC4" w:rsidRDefault="009A36BA" w:rsidP="00A114A8">
            <w:pPr>
              <w:jc w:val="center"/>
              <w:rPr>
                <w:rFonts w:cs="Times New Roman"/>
                <w:b/>
                <w:sz w:val="22"/>
              </w:rPr>
            </w:pPr>
            <w:r>
              <w:rPr>
                <w:rFonts w:cs="Times New Roman"/>
                <w:b/>
                <w:sz w:val="22"/>
              </w:rPr>
              <w:t>2016</w:t>
            </w:r>
          </w:p>
        </w:tc>
        <w:tc>
          <w:tcPr>
            <w:tcW w:w="900" w:type="dxa"/>
            <w:shd w:val="clear" w:color="auto" w:fill="auto"/>
            <w:vAlign w:val="bottom"/>
          </w:tcPr>
          <w:p w:rsidR="009A36BA" w:rsidRPr="00A07AC4" w:rsidRDefault="009A36BA" w:rsidP="00A114A8">
            <w:pPr>
              <w:jc w:val="center"/>
              <w:rPr>
                <w:rFonts w:cs="Times New Roman"/>
                <w:b/>
                <w:sz w:val="22"/>
              </w:rPr>
            </w:pPr>
            <w:r>
              <w:rPr>
                <w:rFonts w:cs="Times New Roman"/>
                <w:b/>
                <w:sz w:val="22"/>
              </w:rPr>
              <w:t>2017</w:t>
            </w:r>
          </w:p>
        </w:tc>
        <w:tc>
          <w:tcPr>
            <w:tcW w:w="900" w:type="dxa"/>
            <w:shd w:val="clear" w:color="auto" w:fill="auto"/>
            <w:vAlign w:val="bottom"/>
          </w:tcPr>
          <w:p w:rsidR="009A36BA" w:rsidRPr="00A07AC4" w:rsidRDefault="009A36BA" w:rsidP="00A114A8">
            <w:pPr>
              <w:jc w:val="center"/>
              <w:rPr>
                <w:rFonts w:cs="Times New Roman"/>
                <w:b/>
                <w:sz w:val="22"/>
              </w:rPr>
            </w:pPr>
            <w:r>
              <w:rPr>
                <w:rFonts w:cs="Times New Roman"/>
                <w:b/>
                <w:sz w:val="22"/>
              </w:rPr>
              <w:t>2018</w:t>
            </w:r>
          </w:p>
        </w:tc>
        <w:tc>
          <w:tcPr>
            <w:tcW w:w="900" w:type="dxa"/>
            <w:shd w:val="clear" w:color="auto" w:fill="auto"/>
            <w:vAlign w:val="bottom"/>
          </w:tcPr>
          <w:p w:rsidR="009A36BA" w:rsidRPr="00A07AC4" w:rsidRDefault="009A36BA" w:rsidP="00A114A8">
            <w:pPr>
              <w:jc w:val="center"/>
              <w:rPr>
                <w:rFonts w:cs="Times New Roman"/>
                <w:b/>
                <w:sz w:val="22"/>
              </w:rPr>
            </w:pPr>
            <w:r>
              <w:rPr>
                <w:rFonts w:cs="Times New Roman"/>
                <w:b/>
                <w:sz w:val="22"/>
              </w:rPr>
              <w:t>2019</w:t>
            </w:r>
          </w:p>
        </w:tc>
        <w:tc>
          <w:tcPr>
            <w:tcW w:w="900" w:type="dxa"/>
            <w:shd w:val="clear" w:color="auto" w:fill="auto"/>
            <w:vAlign w:val="bottom"/>
          </w:tcPr>
          <w:p w:rsidR="009A36BA" w:rsidRPr="00A07AC4" w:rsidRDefault="009A36BA" w:rsidP="00A114A8">
            <w:pPr>
              <w:jc w:val="center"/>
              <w:rPr>
                <w:rFonts w:cs="Times New Roman"/>
                <w:b/>
                <w:sz w:val="22"/>
              </w:rPr>
            </w:pPr>
            <w:r>
              <w:rPr>
                <w:rFonts w:cs="Times New Roman"/>
                <w:b/>
                <w:sz w:val="22"/>
              </w:rPr>
              <w:t>2020</w:t>
            </w:r>
          </w:p>
        </w:tc>
        <w:tc>
          <w:tcPr>
            <w:tcW w:w="831" w:type="dxa"/>
            <w:vMerge/>
            <w:shd w:val="clear" w:color="auto" w:fill="auto"/>
            <w:noWrap/>
            <w:vAlign w:val="bottom"/>
          </w:tcPr>
          <w:p w:rsidR="009A36BA" w:rsidRPr="00A07AC4" w:rsidRDefault="009A36BA" w:rsidP="00A114A8">
            <w:pPr>
              <w:jc w:val="center"/>
              <w:rPr>
                <w:rFonts w:cs="Times New Roman"/>
                <w:b/>
                <w:sz w:val="22"/>
              </w:rPr>
            </w:pP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2014</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2015</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175</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2016</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315</w:t>
            </w: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490</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2017</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315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535</w:t>
            </w: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1025</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2018</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315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535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755</w:t>
            </w: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1780</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2019</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315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535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906</w:t>
            </w: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2686</w:t>
            </w:r>
          </w:p>
        </w:tc>
      </w:tr>
      <w:tr w:rsidR="00260956" w:rsidRPr="00A07AC4" w:rsidTr="009A36BA">
        <w:trPr>
          <w:trHeight w:val="300"/>
        </w:trPr>
        <w:tc>
          <w:tcPr>
            <w:tcW w:w="1276"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2020</w:t>
            </w:r>
          </w:p>
        </w:tc>
        <w:tc>
          <w:tcPr>
            <w:tcW w:w="1245"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w:t>
            </w:r>
          </w:p>
        </w:tc>
        <w:tc>
          <w:tcPr>
            <w:tcW w:w="108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100</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315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535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755</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906</w:t>
            </w:r>
          </w:p>
        </w:tc>
        <w:tc>
          <w:tcPr>
            <w:tcW w:w="900"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979</w:t>
            </w:r>
          </w:p>
        </w:tc>
        <w:tc>
          <w:tcPr>
            <w:tcW w:w="831" w:type="dxa"/>
            <w:shd w:val="clear" w:color="auto" w:fill="auto"/>
            <w:noWrap/>
            <w:vAlign w:val="bottom"/>
          </w:tcPr>
          <w:p w:rsidR="00260956" w:rsidRPr="00A07AC4" w:rsidRDefault="00260956" w:rsidP="00A114A8">
            <w:pPr>
              <w:jc w:val="right"/>
              <w:rPr>
                <w:rFonts w:cs="Times New Roman"/>
                <w:sz w:val="22"/>
              </w:rPr>
            </w:pPr>
            <w:r w:rsidRPr="00A07AC4">
              <w:rPr>
                <w:rFonts w:cs="Times New Roman"/>
                <w:sz w:val="22"/>
              </w:rPr>
              <w:t>3665</w:t>
            </w:r>
          </w:p>
        </w:tc>
      </w:tr>
      <w:tr w:rsidR="00260956" w:rsidRPr="00A07AC4" w:rsidTr="009A36BA">
        <w:trPr>
          <w:trHeight w:val="300"/>
        </w:trPr>
        <w:tc>
          <w:tcPr>
            <w:tcW w:w="1276" w:type="dxa"/>
            <w:shd w:val="clear" w:color="auto" w:fill="auto"/>
            <w:noWrap/>
            <w:vAlign w:val="bottom"/>
          </w:tcPr>
          <w:p w:rsidR="00260956" w:rsidRPr="00A07AC4" w:rsidRDefault="00260956" w:rsidP="00A114A8">
            <w:pPr>
              <w:rPr>
                <w:rFonts w:cs="Times New Roman"/>
                <w:b/>
                <w:sz w:val="22"/>
              </w:rPr>
            </w:pPr>
            <w:r w:rsidRPr="00A07AC4">
              <w:rPr>
                <w:rFonts w:cs="Times New Roman"/>
                <w:b/>
                <w:sz w:val="22"/>
              </w:rPr>
              <w:t>Kopā kumulatīvi periodā</w:t>
            </w:r>
          </w:p>
        </w:tc>
        <w:tc>
          <w:tcPr>
            <w:tcW w:w="1245" w:type="dxa"/>
            <w:shd w:val="clear" w:color="auto" w:fill="auto"/>
            <w:noWrap/>
            <w:vAlign w:val="bottom"/>
          </w:tcPr>
          <w:p w:rsidR="00260956" w:rsidRPr="00A07AC4" w:rsidRDefault="00260956" w:rsidP="00A114A8">
            <w:pPr>
              <w:rPr>
                <w:rFonts w:cs="Times New Roman"/>
                <w:sz w:val="22"/>
              </w:rPr>
            </w:pPr>
          </w:p>
        </w:tc>
        <w:tc>
          <w:tcPr>
            <w:tcW w:w="108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900" w:type="dxa"/>
            <w:shd w:val="clear" w:color="auto" w:fill="auto"/>
            <w:noWrap/>
            <w:vAlign w:val="bottom"/>
          </w:tcPr>
          <w:p w:rsidR="00260956" w:rsidRPr="00A07AC4" w:rsidRDefault="00260956" w:rsidP="00A114A8">
            <w:pPr>
              <w:rPr>
                <w:rFonts w:cs="Times New Roman"/>
                <w:sz w:val="22"/>
              </w:rPr>
            </w:pPr>
          </w:p>
        </w:tc>
        <w:tc>
          <w:tcPr>
            <w:tcW w:w="831" w:type="dxa"/>
            <w:shd w:val="clear" w:color="auto" w:fill="auto"/>
            <w:noWrap/>
            <w:vAlign w:val="bottom"/>
          </w:tcPr>
          <w:p w:rsidR="00260956" w:rsidRPr="00A07AC4" w:rsidRDefault="00260956" w:rsidP="00A114A8">
            <w:pPr>
              <w:jc w:val="right"/>
              <w:rPr>
                <w:rFonts w:cs="Times New Roman"/>
                <w:b/>
                <w:sz w:val="22"/>
              </w:rPr>
            </w:pPr>
            <w:r w:rsidRPr="00A07AC4">
              <w:rPr>
                <w:rFonts w:cs="Times New Roman"/>
                <w:b/>
                <w:sz w:val="22"/>
              </w:rPr>
              <w:t>9896</w:t>
            </w:r>
          </w:p>
        </w:tc>
      </w:tr>
    </w:tbl>
    <w:p w:rsidR="00D03548" w:rsidRDefault="00D03548" w:rsidP="00D03548">
      <w:pPr>
        <w:ind w:firstLine="709"/>
        <w:jc w:val="both"/>
        <w:rPr>
          <w:lang w:eastAsia="lv-LV"/>
        </w:rPr>
      </w:pPr>
      <w:bookmarkStart w:id="19" w:name="_Toc387237965"/>
    </w:p>
    <w:p w:rsidR="00D03548" w:rsidRPr="00D03548" w:rsidRDefault="00D03548" w:rsidP="00F64D53">
      <w:pPr>
        <w:spacing w:after="0" w:line="240" w:lineRule="auto"/>
        <w:ind w:firstLine="709"/>
        <w:jc w:val="both"/>
        <w:rPr>
          <w:lang w:eastAsia="lv-LV"/>
        </w:rPr>
      </w:pPr>
      <w:r>
        <w:rPr>
          <w:lang w:eastAsia="lv-LV"/>
        </w:rPr>
        <w:lastRenderedPageBreak/>
        <w:t xml:space="preserve">Kumulatīvo enerģijas ietaupījuma </w:t>
      </w:r>
      <w:r w:rsidRPr="00D03548">
        <w:rPr>
          <w:lang w:eastAsia="lv-LV"/>
        </w:rPr>
        <w:t>mērķi aprēķina valsts līmenī un tas ir vismaz līdz</w:t>
      </w:r>
      <w:r>
        <w:rPr>
          <w:lang w:eastAsia="lv-LV"/>
        </w:rPr>
        <w:t>vērtīgs mērķim ik gadu no 2014. gada 1. </w:t>
      </w:r>
      <w:r w:rsidRPr="00D03548">
        <w:rPr>
          <w:lang w:eastAsia="lv-LV"/>
        </w:rPr>
        <w:t>janvāra līdz 2020.</w:t>
      </w:r>
      <w:r>
        <w:rPr>
          <w:lang w:eastAsia="lv-LV"/>
        </w:rPr>
        <w:t> </w:t>
      </w:r>
      <w:r w:rsidRPr="00D03548">
        <w:rPr>
          <w:lang w:eastAsia="lv-LV"/>
        </w:rPr>
        <w:t>gada 31.</w:t>
      </w:r>
      <w:r>
        <w:rPr>
          <w:lang w:eastAsia="lv-LV"/>
        </w:rPr>
        <w:t> </w:t>
      </w:r>
      <w:r w:rsidRPr="00D03548">
        <w:rPr>
          <w:lang w:eastAsia="lv-LV"/>
        </w:rPr>
        <w:t>decembrim</w:t>
      </w:r>
      <w:r>
        <w:rPr>
          <w:lang w:eastAsia="lv-LV"/>
        </w:rPr>
        <w:t xml:space="preserve"> panākt jaunus ietaupījumus 1,5</w:t>
      </w:r>
      <w:r w:rsidRPr="00D03548">
        <w:rPr>
          <w:lang w:eastAsia="lv-LV"/>
        </w:rPr>
        <w:t>% apmērā no tā enerģijas apjoma – aprēķinot to kā vidējo no pēdējo triju gadu rādītājiem pirms 2013.</w:t>
      </w:r>
      <w:r>
        <w:rPr>
          <w:lang w:eastAsia="lv-LV"/>
        </w:rPr>
        <w:t> </w:t>
      </w:r>
      <w:r w:rsidRPr="00D03548">
        <w:rPr>
          <w:lang w:eastAsia="lv-LV"/>
        </w:rPr>
        <w:t>gada 1.</w:t>
      </w:r>
      <w:r>
        <w:rPr>
          <w:lang w:eastAsia="lv-LV"/>
        </w:rPr>
        <w:t> </w:t>
      </w:r>
      <w:r w:rsidRPr="00D03548">
        <w:rPr>
          <w:lang w:eastAsia="lv-LV"/>
        </w:rPr>
        <w:t xml:space="preserve">janvāra –, kuru ik gadu pārdod visu </w:t>
      </w:r>
      <w:r w:rsidR="00376FC3">
        <w:rPr>
          <w:lang w:eastAsia="lv-LV"/>
        </w:rPr>
        <w:t>EPS atbildīgo pušu</w:t>
      </w:r>
      <w:r w:rsidRPr="00D03548">
        <w:rPr>
          <w:lang w:eastAsia="lv-LV"/>
        </w:rPr>
        <w:t xml:space="preserve"> galalietotājiem. Minētajā aprēķinā var daļēji vai pilnībā neiekļaut pārdotās enerģijas apjomu, ko izmanto transportam.</w:t>
      </w:r>
    </w:p>
    <w:p w:rsidR="00611B34" w:rsidRDefault="00260956" w:rsidP="00611B34">
      <w:pPr>
        <w:pStyle w:val="Heading3"/>
        <w:spacing w:after="120"/>
      </w:pPr>
      <w:r>
        <w:t>3.1.4</w:t>
      </w:r>
      <w:r w:rsidR="00611B34">
        <w:t xml:space="preserve">. </w:t>
      </w:r>
      <w:r w:rsidR="001B6D88">
        <w:t>Īstenotie a</w:t>
      </w:r>
      <w:r w:rsidR="00611B34">
        <w:t>lternatīvie politikas pasākumi</w:t>
      </w:r>
      <w:bookmarkEnd w:id="19"/>
    </w:p>
    <w:p w:rsidR="00E4571E" w:rsidRDefault="00E4571E" w:rsidP="00E4571E">
      <w:pPr>
        <w:spacing w:after="0" w:line="240" w:lineRule="auto"/>
        <w:jc w:val="both"/>
        <w:rPr>
          <w:rFonts w:eastAsia="Times New Roman" w:cs="Times New Roman"/>
          <w:bCs/>
          <w:color w:val="000000"/>
          <w:szCs w:val="28"/>
          <w:lang w:eastAsia="lv-LV"/>
        </w:rPr>
      </w:pPr>
      <w:r>
        <w:rPr>
          <w:rFonts w:eastAsia="Times New Roman" w:cs="Times New Roman"/>
          <w:color w:val="000000"/>
          <w:szCs w:val="28"/>
          <w:lang w:eastAsia="lv-LV"/>
        </w:rPr>
        <w:tab/>
      </w:r>
      <w:r w:rsidRPr="009E37D3">
        <w:rPr>
          <w:rFonts w:eastAsia="Times New Roman" w:cs="Times New Roman"/>
          <w:color w:val="000000"/>
          <w:szCs w:val="28"/>
          <w:lang w:eastAsia="lv-LV"/>
        </w:rPr>
        <w:t xml:space="preserve">Lai samazinātu enerģijas </w:t>
      </w:r>
      <w:r w:rsidR="00BD48ED">
        <w:rPr>
          <w:rFonts w:eastAsia="Times New Roman" w:cs="Times New Roman"/>
          <w:color w:val="000000"/>
          <w:szCs w:val="28"/>
          <w:lang w:eastAsia="lv-LV"/>
        </w:rPr>
        <w:t xml:space="preserve">sadales </w:t>
      </w:r>
      <w:r w:rsidRPr="009E37D3">
        <w:rPr>
          <w:rFonts w:eastAsia="Times New Roman" w:cs="Times New Roman"/>
          <w:color w:val="000000"/>
          <w:szCs w:val="28"/>
          <w:lang w:eastAsia="lv-LV"/>
        </w:rPr>
        <w:t>un mazumtirdzniecības uzņēmumiem uzlikto mērķa slogu, daļu no aprēķinātā obligātā ietaupījumu mērķa plānots sasniegt ar alternatīviem pasākumiem. Alternatīvie pasākumi galvenokārt ir</w:t>
      </w:r>
      <w:r w:rsidR="00274912">
        <w:rPr>
          <w:rFonts w:eastAsia="Times New Roman" w:cs="Times New Roman"/>
          <w:color w:val="000000"/>
          <w:szCs w:val="28"/>
          <w:lang w:eastAsia="lv-LV"/>
        </w:rPr>
        <w:t xml:space="preserve"> </w:t>
      </w:r>
      <w:r w:rsidRPr="009E37D3">
        <w:rPr>
          <w:rFonts w:eastAsia="Times New Roman" w:cs="Times New Roman"/>
          <w:color w:val="000000"/>
          <w:szCs w:val="28"/>
          <w:lang w:eastAsia="lv-LV"/>
        </w:rPr>
        <w:t xml:space="preserve">NAP2020 iekļautās rīcības un to ieviešanai plānotās ES fondu programmas energoefektivitātes paaugstināšanai. </w:t>
      </w:r>
      <w:r w:rsidRPr="009E37D3">
        <w:rPr>
          <w:rFonts w:eastAsia="Times New Roman" w:cs="Times New Roman"/>
          <w:bCs/>
          <w:color w:val="000000"/>
          <w:szCs w:val="28"/>
          <w:lang w:eastAsia="lv-LV"/>
        </w:rPr>
        <w:t>Atbilstoši Direktīvas 2012/27/E</w:t>
      </w:r>
      <w:r w:rsidR="00CF55BC">
        <w:rPr>
          <w:rFonts w:eastAsia="Times New Roman" w:cs="Times New Roman"/>
          <w:bCs/>
          <w:color w:val="000000"/>
          <w:szCs w:val="28"/>
          <w:lang w:eastAsia="lv-LV"/>
        </w:rPr>
        <w:t xml:space="preserve">S </w:t>
      </w:r>
      <w:r w:rsidR="00FB6F95">
        <w:rPr>
          <w:rFonts w:eastAsia="Times New Roman" w:cs="Times New Roman"/>
          <w:bCs/>
          <w:color w:val="000000"/>
          <w:szCs w:val="28"/>
          <w:lang w:eastAsia="lv-LV"/>
        </w:rPr>
        <w:t>7.</w:t>
      </w:r>
      <w:r w:rsidR="001D2F15">
        <w:rPr>
          <w:rFonts w:eastAsia="Times New Roman" w:cs="Times New Roman"/>
          <w:bCs/>
          <w:color w:val="000000"/>
          <w:szCs w:val="28"/>
          <w:lang w:eastAsia="lv-LV"/>
        </w:rPr>
        <w:t> </w:t>
      </w:r>
      <w:r w:rsidR="00FB6F95">
        <w:rPr>
          <w:rFonts w:eastAsia="Times New Roman" w:cs="Times New Roman"/>
          <w:bCs/>
          <w:color w:val="000000"/>
          <w:szCs w:val="28"/>
          <w:lang w:eastAsia="lv-LV"/>
        </w:rPr>
        <w:t xml:space="preserve">panta pirmā punkta </w:t>
      </w:r>
      <w:r w:rsidR="00CF55BC">
        <w:rPr>
          <w:rFonts w:eastAsia="Times New Roman" w:cs="Times New Roman"/>
          <w:bCs/>
          <w:color w:val="000000"/>
          <w:szCs w:val="28"/>
          <w:lang w:eastAsia="lv-LV"/>
        </w:rPr>
        <w:t>prasībām, lai nodrošinātu 1,5</w:t>
      </w:r>
      <w:r w:rsidRPr="009E37D3">
        <w:rPr>
          <w:rFonts w:eastAsia="Times New Roman" w:cs="Times New Roman"/>
          <w:bCs/>
          <w:color w:val="000000"/>
          <w:szCs w:val="28"/>
          <w:lang w:eastAsia="lv-LV"/>
        </w:rPr>
        <w:t xml:space="preserve">% mērķa sasniegšanu, energoefektivitātes pasākumi </w:t>
      </w:r>
      <w:r w:rsidR="001E3335">
        <w:rPr>
          <w:rFonts w:eastAsia="Times New Roman" w:cs="Times New Roman"/>
          <w:bCs/>
          <w:color w:val="000000"/>
          <w:szCs w:val="28"/>
          <w:lang w:eastAsia="lv-LV"/>
        </w:rPr>
        <w:t>jāīsteno</w:t>
      </w:r>
      <w:r w:rsidRPr="009E37D3">
        <w:rPr>
          <w:rFonts w:eastAsia="Times New Roman" w:cs="Times New Roman"/>
          <w:bCs/>
          <w:color w:val="000000"/>
          <w:szCs w:val="28"/>
          <w:lang w:eastAsia="lv-LV"/>
        </w:rPr>
        <w:t xml:space="preserve"> pie enerģijas galalietotājiem, līdz ar to kā alternatīvi pasākumi nevar tikt ieskaitīti ES fondu finansētie enerģijas ražošanas un sadales energoefektivitātes pasākumi centralizētajā siltumapgādē – siltuma</w:t>
      </w:r>
      <w:r w:rsidR="00766AC6">
        <w:rPr>
          <w:rFonts w:eastAsia="Times New Roman" w:cs="Times New Roman"/>
          <w:bCs/>
          <w:color w:val="000000"/>
          <w:szCs w:val="28"/>
          <w:lang w:eastAsia="lv-LV"/>
        </w:rPr>
        <w:t xml:space="preserve"> a</w:t>
      </w:r>
      <w:r w:rsidRPr="009E37D3">
        <w:rPr>
          <w:rFonts w:eastAsia="Times New Roman" w:cs="Times New Roman"/>
          <w:bCs/>
          <w:color w:val="000000"/>
          <w:szCs w:val="28"/>
          <w:lang w:eastAsia="lv-LV"/>
        </w:rPr>
        <w:t>votu un siltumtrašu rekonstrukcija.</w:t>
      </w:r>
    </w:p>
    <w:p w:rsidR="00EF1D2E" w:rsidRPr="00110069" w:rsidRDefault="00EF1D2E" w:rsidP="00EF1D2E">
      <w:pPr>
        <w:spacing w:before="120" w:after="0" w:line="240" w:lineRule="auto"/>
        <w:jc w:val="both"/>
        <w:rPr>
          <w:b/>
          <w:u w:val="single"/>
        </w:rPr>
      </w:pPr>
      <w:r w:rsidRPr="00110069">
        <w:rPr>
          <w:b/>
          <w:u w:val="single"/>
        </w:rPr>
        <w:t>Daudzdzīvokļu un sociālās ēkas</w:t>
      </w:r>
    </w:p>
    <w:p w:rsidR="00EF1D2E" w:rsidRPr="00766AC6" w:rsidRDefault="00EF1D2E" w:rsidP="00EF1D2E">
      <w:pPr>
        <w:spacing w:after="0" w:line="240" w:lineRule="auto"/>
        <w:jc w:val="both"/>
      </w:pPr>
      <w:r w:rsidRPr="00766AC6">
        <w:tab/>
        <w:t>Viens no galvenajiem pasākumiem energoefektivitātes veicināšanai ir mājokļu siltināšana. Šī pasākuma mērķis ir mājokļu energoefektivitātes paaugstināšana dzīvojamās mājās, lai nodrošinātu dzīvojamā fonda ilgtspēju un energoresursu efektīvu izmantošanu.</w:t>
      </w:r>
    </w:p>
    <w:p w:rsidR="00EF1D2E" w:rsidRPr="00D851D5" w:rsidRDefault="00EF1D2E" w:rsidP="00EF1D2E">
      <w:pPr>
        <w:spacing w:after="0" w:line="240" w:lineRule="auto"/>
        <w:jc w:val="both"/>
      </w:pPr>
      <w:r w:rsidRPr="00766AC6">
        <w:tab/>
        <w:t>3.4.4.1.</w:t>
      </w:r>
      <w:r w:rsidR="00F74B31">
        <w:t> a</w:t>
      </w:r>
      <w:r w:rsidR="00F74B31" w:rsidRPr="00766AC6">
        <w:t xml:space="preserve">ktivitāte </w:t>
      </w:r>
      <w:r w:rsidRPr="00766AC6">
        <w:t>tika uzsākta 2009. gadā, bet projektu īstenošana turpināsies līdz 2015. g</w:t>
      </w:r>
      <w:r w:rsidR="00CF55BC">
        <w:t>adam. Plānots, ka 2014.</w:t>
      </w:r>
      <w:r w:rsidR="001D2F15">
        <w:t xml:space="preserve"> </w:t>
      </w:r>
      <w:r w:rsidR="00CF55BC">
        <w:t>-</w:t>
      </w:r>
      <w:r w:rsidR="001D2F15">
        <w:t xml:space="preserve"> </w:t>
      </w:r>
      <w:r w:rsidR="00CF55BC">
        <w:t>2015. </w:t>
      </w:r>
      <w:r w:rsidRPr="00766AC6">
        <w:t>ga</w:t>
      </w:r>
      <w:r w:rsidR="001D2F15">
        <w:t xml:space="preserve">dā tiks īstenoti 200 </w:t>
      </w:r>
      <w:r w:rsidRPr="00766AC6">
        <w:t>-</w:t>
      </w:r>
      <w:r w:rsidR="001D2F15">
        <w:t xml:space="preserve"> </w:t>
      </w:r>
      <w:r w:rsidRPr="00766AC6">
        <w:t>300 daudzdzīvokļu dzīvojamo ēku renovācijas projekti katru gadu. Līdz 2014. gada 14.</w:t>
      </w:r>
      <w:r w:rsidR="00CF55BC">
        <w:t> </w:t>
      </w:r>
      <w:r w:rsidRPr="00766AC6">
        <w:t xml:space="preserve">aprīlim noslēgti 915 līgumi par ERAF finansējumu 81,07 </w:t>
      </w:r>
      <w:proofErr w:type="spellStart"/>
      <w:r w:rsidRPr="00766AC6">
        <w:t>milj</w:t>
      </w:r>
      <w:proofErr w:type="spellEnd"/>
      <w:r w:rsidRPr="00766AC6">
        <w:t xml:space="preserve">. EUR, no tiem pabeigti 370 projekti par ERAF finansējumu 27,5 </w:t>
      </w:r>
      <w:proofErr w:type="spellStart"/>
      <w:r w:rsidRPr="00766AC6">
        <w:t>milj</w:t>
      </w:r>
      <w:proofErr w:type="spellEnd"/>
      <w:r w:rsidRPr="00766AC6">
        <w:t xml:space="preserve">. EUR. </w:t>
      </w:r>
      <w:r w:rsidR="00A95E24" w:rsidRPr="00A95E24">
        <w:t xml:space="preserve">Atbilstoši DPP noteiktajam, aktivitātē </w:t>
      </w:r>
      <w:r w:rsidR="009A0E18">
        <w:t>3</w:t>
      </w:r>
      <w:r w:rsidR="00A95E24" w:rsidRPr="00A95E24">
        <w:t xml:space="preserve">.4.4.1. pieejamais ERAF finansējums ir 67 956 285 EUR. </w:t>
      </w:r>
      <w:r w:rsidRPr="00766AC6">
        <w:t xml:space="preserve">Plānots, ka šo projektu īstenošana varētu dot </w:t>
      </w:r>
      <w:r w:rsidRPr="00766AC6">
        <w:rPr>
          <w:b/>
        </w:rPr>
        <w:t xml:space="preserve">kumulatīvo ietaupījumu periodā līdz 1050 </w:t>
      </w:r>
      <w:proofErr w:type="spellStart"/>
      <w:r w:rsidRPr="00766AC6">
        <w:rPr>
          <w:b/>
        </w:rPr>
        <w:t>GWh</w:t>
      </w:r>
      <w:proofErr w:type="spellEnd"/>
      <w:r w:rsidRPr="00766AC6">
        <w:t>. Aktivitātes popularizēšanai ir veikta apjomīga informatīvā kampaņa „Dzīvo siltāk!”, mudinot dzīvokļu īpašniekus iesaistīties mājokļu kopīpašuma apsaimniekošanā un ēku energoefektivitātes uzlabošanā.</w:t>
      </w:r>
      <w:r w:rsidRPr="00EF1D2E">
        <w:t xml:space="preserve"> </w:t>
      </w:r>
      <w:r>
        <w:t>Tāpat daudzdzīvokļu māju energoefektivitātes paaugstināšanas aktivitātes sekmīgu īstenošanu nodrošināja attiecīgo normatīvo aktu grozījumi, kas vienkāršoja administratīvās procedūras un paplašināja projektu iesniedzēju loku.</w:t>
      </w:r>
    </w:p>
    <w:p w:rsidR="00EF1D2E" w:rsidRPr="0004497B" w:rsidRDefault="00EF1D2E" w:rsidP="00EF1D2E">
      <w:pPr>
        <w:spacing w:after="0" w:line="240" w:lineRule="auto"/>
        <w:jc w:val="both"/>
        <w:rPr>
          <w:highlight w:val="yellow"/>
        </w:rPr>
      </w:pPr>
    </w:p>
    <w:p w:rsidR="00EF1D2E" w:rsidRDefault="00EF1D2E" w:rsidP="00EF1D2E">
      <w:pPr>
        <w:pStyle w:val="BodyTEXT0"/>
        <w:rPr>
          <w:b/>
        </w:rPr>
      </w:pPr>
      <w:r w:rsidRPr="00766AC6">
        <w:tab/>
        <w:t>3.4.4.2. </w:t>
      </w:r>
      <w:r w:rsidR="00F74B31">
        <w:t>a</w:t>
      </w:r>
      <w:r w:rsidR="00F74B31" w:rsidRPr="00766AC6">
        <w:t>ktivitāte</w:t>
      </w:r>
      <w:r w:rsidR="00F74B31" w:rsidRPr="00766AC6">
        <w:rPr>
          <w:lang w:eastAsia="lv-LV"/>
        </w:rPr>
        <w:t xml:space="preserve"> </w:t>
      </w:r>
      <w:r w:rsidRPr="00766AC6">
        <w:t>tiek īstenota no 2008. gada, bet projektu īstenošana turpināsies līdz 2015. gadam.</w:t>
      </w:r>
      <w:r w:rsidRPr="00766AC6">
        <w:rPr>
          <w:lang w:eastAsia="lv-LV"/>
        </w:rPr>
        <w:t xml:space="preserve"> </w:t>
      </w:r>
      <w:r w:rsidRPr="00766AC6">
        <w:t xml:space="preserve">Aktivitātes mērķis ir palielināt pašvaldības sociālā dzīvojamā fonda energoefektivitāti, vienlaikus ceļot tā kvalitāti un ilgtspēju un </w:t>
      </w:r>
      <w:r w:rsidRPr="00766AC6">
        <w:lastRenderedPageBreak/>
        <w:t>nodrošinot sociālās atstumtības riskam pakļautās iedzīvotāju grupas ar adekvātu mājokli. Līdz 2014. gada 14.</w:t>
      </w:r>
      <w:r w:rsidR="00CF55BC">
        <w:t> </w:t>
      </w:r>
      <w:r w:rsidRPr="00766AC6">
        <w:t>aprīlim noslēgti 55 līgumi par ERAF finansējumu 5,2</w:t>
      </w:r>
      <w:r w:rsidR="001D2F15">
        <w:t xml:space="preserve"> </w:t>
      </w:r>
      <w:proofErr w:type="spellStart"/>
      <w:r w:rsidR="001D2F15">
        <w:t>milj</w:t>
      </w:r>
      <w:proofErr w:type="spellEnd"/>
      <w:r w:rsidR="001D2F15">
        <w:t xml:space="preserve">. EUR, no tiem pabeigts 51 </w:t>
      </w:r>
      <w:r w:rsidRPr="00766AC6">
        <w:t xml:space="preserve">projekts par ERAF finansējumu 4,65 </w:t>
      </w:r>
      <w:proofErr w:type="spellStart"/>
      <w:r w:rsidRPr="00766AC6">
        <w:t>milj</w:t>
      </w:r>
      <w:proofErr w:type="spellEnd"/>
      <w:r w:rsidRPr="00766AC6">
        <w:t xml:space="preserve">. EUR. Plānots, ka šo projektu realizācija varētu dot </w:t>
      </w:r>
      <w:r w:rsidRPr="00766AC6">
        <w:rPr>
          <w:b/>
        </w:rPr>
        <w:t xml:space="preserve">kumulatīvo ietaupījumu periodā līdz 40 </w:t>
      </w:r>
      <w:proofErr w:type="spellStart"/>
      <w:r w:rsidRPr="00766AC6">
        <w:rPr>
          <w:b/>
        </w:rPr>
        <w:t>GWh</w:t>
      </w:r>
      <w:proofErr w:type="spellEnd"/>
      <w:r w:rsidRPr="00766AC6">
        <w:rPr>
          <w:b/>
        </w:rPr>
        <w:t>.</w:t>
      </w:r>
    </w:p>
    <w:p w:rsidR="00EF1D2E" w:rsidRPr="00896328" w:rsidRDefault="00EF1D2E" w:rsidP="00EF1D2E">
      <w:pPr>
        <w:pStyle w:val="BodyTEXT0"/>
        <w:rPr>
          <w:rStyle w:val="c1"/>
          <w:b/>
          <w:bCs/>
          <w:color w:val="auto"/>
        </w:rPr>
      </w:pPr>
      <w:r w:rsidRPr="009F296A">
        <w:t xml:space="preserve">Šobrīd no daudzdzīvokļu ēku kopējā skaita apmēram 2% ir renovētas. </w:t>
      </w:r>
      <w:r w:rsidRPr="00896328">
        <w:rPr>
          <w:rStyle w:val="c1"/>
          <w:bCs/>
          <w:color w:val="auto"/>
        </w:rPr>
        <w:t xml:space="preserve">Informācija par īstenotajiem pasākumiem daudzdzīvokļu ēku renovācijā ir pieejama Ekonomikas ministrijas </w:t>
      </w:r>
      <w:r w:rsidR="00E64429">
        <w:rPr>
          <w:rStyle w:val="c1"/>
          <w:bCs/>
          <w:color w:val="auto"/>
        </w:rPr>
        <w:t>tīmekļa vietnē</w:t>
      </w:r>
      <w:r w:rsidRPr="00896328">
        <w:rPr>
          <w:rStyle w:val="c1"/>
          <w:bCs/>
          <w:color w:val="auto"/>
        </w:rPr>
        <w:t xml:space="preserve"> zem saites „Renovēto daudzdzīvokļu māju e-karte”. </w:t>
      </w:r>
    </w:p>
    <w:p w:rsidR="00EF1D2E" w:rsidRDefault="004D126E" w:rsidP="00EF1D2E">
      <w:pPr>
        <w:pStyle w:val="tv20787921"/>
        <w:spacing w:after="0" w:line="240" w:lineRule="auto"/>
        <w:jc w:val="both"/>
        <w:rPr>
          <w:rStyle w:val="c1"/>
          <w:rFonts w:ascii="Times New Roman" w:hAnsi="Times New Roman"/>
          <w:b w:val="0"/>
          <w:bCs w:val="0"/>
          <w:sz w:val="22"/>
          <w:szCs w:val="22"/>
        </w:rPr>
      </w:pPr>
      <w:hyperlink r:id="rId19" w:history="1">
        <w:r w:rsidR="00EF1D2E" w:rsidRPr="00CF55BC">
          <w:rPr>
            <w:rStyle w:val="Hyperlink"/>
            <w:rFonts w:ascii="Times New Roman" w:hAnsi="Times New Roman"/>
            <w:b w:val="0"/>
            <w:bCs w:val="0"/>
          </w:rPr>
          <w:t>https://maps.google.com/maps/ms?ie=UTF8&amp;oe=UTF8&amp;msa=0&amp;msid=213222271689586106991.0004a8f95b35872d3242a&amp;dg=feature</w:t>
        </w:r>
      </w:hyperlink>
      <w:r w:rsidR="00EF1D2E">
        <w:rPr>
          <w:rStyle w:val="c1"/>
          <w:rFonts w:ascii="Times New Roman" w:hAnsi="Times New Roman"/>
          <w:b w:val="0"/>
          <w:bCs w:val="0"/>
          <w:sz w:val="22"/>
          <w:szCs w:val="22"/>
        </w:rPr>
        <w:t xml:space="preserve"> .</w:t>
      </w:r>
    </w:p>
    <w:p w:rsidR="00EF1D2E" w:rsidRPr="00522837" w:rsidRDefault="00EF1D2E" w:rsidP="00EF1D2E">
      <w:pPr>
        <w:spacing w:after="0" w:line="240" w:lineRule="auto"/>
        <w:jc w:val="both"/>
      </w:pPr>
      <w:r w:rsidRPr="00896328">
        <w:rPr>
          <w:rStyle w:val="c1"/>
          <w:bCs/>
          <w:color w:val="auto"/>
          <w:szCs w:val="28"/>
        </w:rPr>
        <w:t>Informācija par renovēto daudzdzīvokļu dzīvojamo ēku sadalījumu pa re</w:t>
      </w:r>
      <w:r w:rsidRPr="00896328">
        <w:rPr>
          <w:rStyle w:val="c1"/>
          <w:bCs/>
          <w:color w:val="auto"/>
        </w:rPr>
        <w:t xml:space="preserve">ģioniem pieejama: </w:t>
      </w:r>
      <w:hyperlink r:id="rId20" w:history="1">
        <w:r w:rsidRPr="00896328">
          <w:rPr>
            <w:rStyle w:val="Hyperlink"/>
            <w:color w:val="auto"/>
          </w:rPr>
          <w:t>http://em.gov.lv/em/2nd/?cat=30819</w:t>
        </w:r>
      </w:hyperlink>
      <w:r>
        <w:t>.</w:t>
      </w:r>
    </w:p>
    <w:p w:rsidR="00522837" w:rsidRPr="00E12D46" w:rsidRDefault="00522837" w:rsidP="00E12D46">
      <w:pPr>
        <w:spacing w:after="0" w:line="240" w:lineRule="auto"/>
        <w:jc w:val="both"/>
        <w:rPr>
          <w:rStyle w:val="c1"/>
          <w:color w:val="auto"/>
        </w:rPr>
      </w:pPr>
    </w:p>
    <w:p w:rsidR="001B6D88" w:rsidRPr="00522837" w:rsidRDefault="00B90F5D" w:rsidP="001B6D88">
      <w:pPr>
        <w:spacing w:after="0" w:line="240" w:lineRule="auto"/>
        <w:jc w:val="both"/>
        <w:rPr>
          <w:b/>
          <w:u w:val="single"/>
        </w:rPr>
      </w:pPr>
      <w:r w:rsidRPr="00522837">
        <w:rPr>
          <w:b/>
          <w:u w:val="single"/>
        </w:rPr>
        <w:t>Publiskās</w:t>
      </w:r>
      <w:r w:rsidR="001B6D88" w:rsidRPr="00522837">
        <w:rPr>
          <w:b/>
          <w:u w:val="single"/>
        </w:rPr>
        <w:t xml:space="preserve"> un ražošanas ēkas</w:t>
      </w:r>
    </w:p>
    <w:p w:rsidR="00B90F5D" w:rsidRPr="00B90F5D" w:rsidRDefault="00B90F5D" w:rsidP="00B90F5D">
      <w:pPr>
        <w:spacing w:after="0" w:line="240" w:lineRule="auto"/>
        <w:ind w:firstLine="720"/>
        <w:jc w:val="both"/>
      </w:pPr>
      <w:r w:rsidRPr="00B90F5D">
        <w:t>Viens no KPFI projektu konkursu mērķiem ir siltumnīcefekta gāzu emisiju samazināšana publiskajās un ražošanas ēkās, nodrošinot energoefektivitātes pasākumu īstenošanu. Projektu konkursu ietvaros ir atbalstīti arī kompleksi risinājumi – siltumenerģijas, elektroenerģijas patēriņa samazināšanai, efektīva ēku energoapgāde, kā arī zema enerģijas patēriņa ēku būvniecība u</w:t>
      </w:r>
      <w:r>
        <w:t>n rekonstrukcija. 2009. - 2013. </w:t>
      </w:r>
      <w:r w:rsidRPr="00B90F5D">
        <w:t xml:space="preserve">gadā kopējais KPFI finansējums energoefektivitātes pasākumu nodrošināšanai ēkās ir aptuveni 126 </w:t>
      </w:r>
      <w:proofErr w:type="spellStart"/>
      <w:r w:rsidRPr="00B90F5D">
        <w:t>milj</w:t>
      </w:r>
      <w:proofErr w:type="spellEnd"/>
      <w:r w:rsidRPr="00B90F5D">
        <w:t>. EUR, nodrošinot vismaz 205 projektu īstenošanu.</w:t>
      </w:r>
    </w:p>
    <w:p w:rsidR="001B6D88" w:rsidRPr="003D48F5" w:rsidRDefault="001B6D88" w:rsidP="001B6D88">
      <w:pPr>
        <w:spacing w:after="0" w:line="240" w:lineRule="auto"/>
        <w:jc w:val="both"/>
      </w:pPr>
      <w:r>
        <w:tab/>
      </w:r>
      <w:r w:rsidRPr="003D48F5">
        <w:t xml:space="preserve">Energoefektivitātes paaugstināšanas sabiedriskās un ražošanas ēkās mērķis ir sniegt finansiālu atbalstu sabiedrisko un ražošanas ēku energoefektivitātes paaugstināšanas projektiem, </w:t>
      </w:r>
      <w:r>
        <w:t>kā arī</w:t>
      </w:r>
      <w:r w:rsidR="00110069">
        <w:t>,</w:t>
      </w:r>
      <w:r>
        <w:t xml:space="preserve"> </w:t>
      </w:r>
      <w:r w:rsidRPr="003D48F5">
        <w:t>lai samazinātu SEG emisijas. Pasākuma ietvaros tiek atbalstīti arī kompleksi risinājumi – siltumenerģijas, elektroenerģijas patēriņa samazināšana, kā arī efektīva ēku energoapgāde. Pasākumu ieviešanai 2010.</w:t>
      </w:r>
      <w:r w:rsidR="001D2F15">
        <w:t xml:space="preserve"> </w:t>
      </w:r>
      <w:r w:rsidRPr="003D48F5">
        <w:t>-</w:t>
      </w:r>
      <w:r w:rsidR="001D2F15">
        <w:t xml:space="preserve"> </w:t>
      </w:r>
      <w:r w:rsidRPr="003D48F5">
        <w:t xml:space="preserve">2013. gadā kopējais KPFI finansējums 107,42 </w:t>
      </w:r>
      <w:proofErr w:type="spellStart"/>
      <w:r w:rsidRPr="003D48F5">
        <w:t>milj</w:t>
      </w:r>
      <w:proofErr w:type="spellEnd"/>
      <w:r w:rsidRPr="003D48F5">
        <w:t xml:space="preserve">. EUR. </w:t>
      </w:r>
    </w:p>
    <w:p w:rsidR="001B6D88" w:rsidRPr="003D48F5" w:rsidRDefault="001B6D88" w:rsidP="001B6D88">
      <w:pPr>
        <w:spacing w:after="0" w:line="240" w:lineRule="auto"/>
        <w:ind w:firstLine="567"/>
        <w:jc w:val="both"/>
      </w:pPr>
      <w:r w:rsidRPr="003D48F5">
        <w:t xml:space="preserve">2011. gadā energoefektivitātes paaugstināšanai sabiedriskajās ēkās </w:t>
      </w:r>
      <w:r>
        <w:t xml:space="preserve">tika </w:t>
      </w:r>
      <w:r w:rsidRPr="003D48F5">
        <w:t xml:space="preserve">uzsākta projektu īstenošana ar kopējo finansējumu 102,73 </w:t>
      </w:r>
      <w:proofErr w:type="spellStart"/>
      <w:r w:rsidRPr="003D48F5">
        <w:t>milj</w:t>
      </w:r>
      <w:proofErr w:type="spellEnd"/>
      <w:r w:rsidRPr="003D48F5">
        <w:t xml:space="preserve">. EUR, </w:t>
      </w:r>
      <w:proofErr w:type="spellStart"/>
      <w:r w:rsidRPr="003D48F5">
        <w:t>t.sk</w:t>
      </w:r>
      <w:proofErr w:type="spellEnd"/>
      <w:r w:rsidRPr="003D48F5">
        <w:t xml:space="preserve">. KPFI finansējumu 33,15 </w:t>
      </w:r>
      <w:proofErr w:type="spellStart"/>
      <w:r w:rsidRPr="003D48F5">
        <w:t>milj</w:t>
      </w:r>
      <w:proofErr w:type="spellEnd"/>
      <w:r w:rsidRPr="003D48F5">
        <w:t xml:space="preserve">. EUR un ES fondu finansējums 51,08 </w:t>
      </w:r>
      <w:proofErr w:type="spellStart"/>
      <w:r w:rsidRPr="003D48F5">
        <w:t>milj</w:t>
      </w:r>
      <w:proofErr w:type="spellEnd"/>
      <w:r w:rsidRPr="003D48F5">
        <w:t>. EUR. Konkursu ietvaros tiek atbalstīti kompleksie risinājumi ēku energoefektivitātes paaugstināšanai, kā arī zema enerģijas patēriņa ēku būvniecība un rekonstrukcija. Kopā ēku energoefektivitātes uzlabošanas pasākumi veikti 350 sabiedriskajās ēkās.</w:t>
      </w:r>
    </w:p>
    <w:p w:rsidR="001B6D88" w:rsidRPr="003D48F5" w:rsidRDefault="001B6D88" w:rsidP="001B6D88">
      <w:pPr>
        <w:spacing w:after="0" w:line="240" w:lineRule="auto"/>
        <w:ind w:firstLine="567"/>
        <w:jc w:val="both"/>
      </w:pPr>
      <w:r w:rsidRPr="003D48F5">
        <w:t>Lai nodrošinātu kompleksos risinājumus energoefektivitātes paaugstināšanai ražošanas uzņēmumos, līdz 2011. gada beigām īstenoti projekti ar k</w:t>
      </w:r>
      <w:r w:rsidR="001D2F15">
        <w:t xml:space="preserve">opējo publisko finansējumu 2,87 </w:t>
      </w:r>
      <w:proofErr w:type="spellStart"/>
      <w:r w:rsidRPr="003D48F5">
        <w:t>milj</w:t>
      </w:r>
      <w:proofErr w:type="spellEnd"/>
      <w:r w:rsidRPr="003D48F5">
        <w:t xml:space="preserve">. EUR (KPFI finansējums) un noslēgti līgumi 11,2 </w:t>
      </w:r>
      <w:proofErr w:type="spellStart"/>
      <w:r w:rsidRPr="003D48F5">
        <w:t>milj</w:t>
      </w:r>
      <w:proofErr w:type="spellEnd"/>
      <w:r w:rsidRPr="003D48F5">
        <w:t xml:space="preserve">. EUR apmērā. Projektu īstenošana ir pabeigta līdz 2012. gada beigām. 2012. gadā īstenoti 28 projekti ražošanas ēku energoefektivitātes paaugstināšanai par kopējo KPFI ieguldījumu 6,12 </w:t>
      </w:r>
      <w:proofErr w:type="spellStart"/>
      <w:r w:rsidRPr="003D48F5">
        <w:t>milj</w:t>
      </w:r>
      <w:proofErr w:type="spellEnd"/>
      <w:r w:rsidRPr="003D48F5">
        <w:t>. EUR.</w:t>
      </w:r>
    </w:p>
    <w:p w:rsidR="00D851D5" w:rsidRDefault="001B6D88" w:rsidP="00D851D5">
      <w:pPr>
        <w:spacing w:after="0" w:line="240" w:lineRule="auto"/>
        <w:ind w:firstLine="567"/>
        <w:jc w:val="both"/>
      </w:pPr>
      <w:r w:rsidRPr="003D48F5">
        <w:lastRenderedPageBreak/>
        <w:t>2013. gadā KPFI konkursa „Kompleksi risinājumi siltumnīcefekta gāzu emisiju samazināšanai” II kārtas ietvaros apstiprināja 54 projektu iesniegumus</w:t>
      </w:r>
      <w:r w:rsidR="00274912">
        <w:t xml:space="preserve"> </w:t>
      </w:r>
      <w:r w:rsidRPr="003D48F5">
        <w:t xml:space="preserve">ar kopējo KPFI finansējumu 11,36 </w:t>
      </w:r>
      <w:proofErr w:type="spellStart"/>
      <w:r w:rsidRPr="003D48F5">
        <w:t>milj</w:t>
      </w:r>
      <w:proofErr w:type="spellEnd"/>
      <w:r w:rsidRPr="003D48F5">
        <w:t>. EUR, no tiem 38 izglītības iestāžu projektus un 16 komersantu projektus. Projektu īstenoša</w:t>
      </w:r>
      <w:r w:rsidR="00CF55BC">
        <w:t>nas termiņš bija 2013. gada 31. </w:t>
      </w:r>
      <w:r w:rsidRPr="003D48F5">
        <w:t>oktobris un to ietvaros tika veikti ieguldījumi tehnoloģiskajās iekārtās un ēku energo</w:t>
      </w:r>
      <w:r w:rsidR="00CF55BC">
        <w:t>efektivitātes uzlabošanā. 2013. </w:t>
      </w:r>
      <w:r w:rsidRPr="003D48F5">
        <w:t xml:space="preserve">gada beigās notika pieteikšanās šī paša konkursa III kārtai. Tajā tika apstiprināti 168 projekti ar kopējo KPFI finansējumu 34 </w:t>
      </w:r>
      <w:proofErr w:type="spellStart"/>
      <w:r w:rsidRPr="003D48F5">
        <w:t>milj</w:t>
      </w:r>
      <w:proofErr w:type="spellEnd"/>
      <w:r w:rsidRPr="003D48F5">
        <w:t>. EUR. To skaitā 97 izglītības un kultūras iestāžu projekti, 62 komersantu projekti un 9 ārstniec</w:t>
      </w:r>
      <w:r w:rsidR="00EF1D2E">
        <w:t>ības</w:t>
      </w:r>
      <w:r w:rsidRPr="003D48F5">
        <w:t xml:space="preserve"> iestāžu projekti. Šīs kārtas projekti ir jāīsteno līdz 2014. gada 30. jūnijam. Pēc pieejamās informācijas ir novērtēts, ka</w:t>
      </w:r>
      <w:r>
        <w:t xml:space="preserve"> III kārtā</w:t>
      </w:r>
      <w:r w:rsidRPr="003D48F5">
        <w:t xml:space="preserve"> </w:t>
      </w:r>
      <w:r w:rsidRPr="00F83ADA">
        <w:rPr>
          <w:b/>
        </w:rPr>
        <w:t xml:space="preserve">kumulatīvais ietaupījums varētu sasniegt </w:t>
      </w:r>
      <w:r w:rsidRPr="00424986">
        <w:rPr>
          <w:b/>
        </w:rPr>
        <w:t xml:space="preserve">384 </w:t>
      </w:r>
      <w:proofErr w:type="spellStart"/>
      <w:r w:rsidRPr="00424986">
        <w:rPr>
          <w:b/>
        </w:rPr>
        <w:t>GWh</w:t>
      </w:r>
      <w:proofErr w:type="spellEnd"/>
      <w:r w:rsidR="00A15B53">
        <w:rPr>
          <w:rStyle w:val="FootnoteReference"/>
          <w:b/>
        </w:rPr>
        <w:footnoteReference w:id="12"/>
      </w:r>
      <w:r w:rsidR="00CF55BC">
        <w:t>. 2014. </w:t>
      </w:r>
      <w:r w:rsidRPr="003D48F5">
        <w:t xml:space="preserve">gada sākumā tika izsludināta nākamā IV kārta ar finansējumu </w:t>
      </w:r>
      <w:r>
        <w:t>14</w:t>
      </w:r>
      <w:r w:rsidRPr="003D48F5">
        <w:t xml:space="preserve">,5 </w:t>
      </w:r>
      <w:proofErr w:type="spellStart"/>
      <w:r w:rsidRPr="003D48F5">
        <w:t>milj</w:t>
      </w:r>
      <w:proofErr w:type="spellEnd"/>
      <w:r w:rsidRPr="003D48F5">
        <w:t>. EUR un īstenošanas termiņu līdz 2015.</w:t>
      </w:r>
      <w:r w:rsidR="00A94EEB">
        <w:t> </w:t>
      </w:r>
      <w:r w:rsidRPr="003D48F5">
        <w:t>gada 31.</w:t>
      </w:r>
      <w:r w:rsidR="00A94EEB">
        <w:t> </w:t>
      </w:r>
      <w:r w:rsidRPr="003D48F5">
        <w:t>janvārim.</w:t>
      </w:r>
      <w:r w:rsidR="00137C24">
        <w:t xml:space="preserve"> </w:t>
      </w:r>
      <w:r w:rsidR="00137C24" w:rsidRPr="003D48F5">
        <w:t xml:space="preserve">Konkursa mērķis ir </w:t>
      </w:r>
      <w:r w:rsidR="00A94EEB">
        <w:t>SEG</w:t>
      </w:r>
      <w:r w:rsidR="00137C24" w:rsidRPr="003D48F5">
        <w:t xml:space="preserve"> emisiju samazināšana, nodrošinot pāreju no tehnoloģijām, kurās izmanto fosilos energoresursus, uz tehnoloģijām, kurās izmanto atjaunojamos energoresursus, uzlabojot </w:t>
      </w:r>
      <w:r w:rsidR="00137C24">
        <w:t>pretendentu</w:t>
      </w:r>
      <w:r w:rsidR="00137C24" w:rsidRPr="003D48F5">
        <w:t xml:space="preserve"> ražošanas tehnoloģiskās iekārtas vai nomainot tās ar jaunām ražošanas tehnoloģiskām iekārtām un uzlabojot ēku energoefektivitāti.</w:t>
      </w:r>
      <w:r w:rsidR="00137C24">
        <w:t xml:space="preserve"> Projektu iesniedzējs var būt komersants, izglītības iestāde, kultūras institūcija vai ārstniecības iestāde.</w:t>
      </w:r>
    </w:p>
    <w:p w:rsidR="003A1FE6" w:rsidRPr="00110069" w:rsidRDefault="003A1FE6" w:rsidP="00D851D5">
      <w:pPr>
        <w:spacing w:after="0" w:line="240" w:lineRule="auto"/>
        <w:jc w:val="both"/>
        <w:rPr>
          <w:b/>
        </w:rPr>
      </w:pPr>
      <w:r w:rsidRPr="00110069">
        <w:rPr>
          <w:b/>
          <w:u w:val="single"/>
        </w:rPr>
        <w:t>Apgaismojuma infrastruktūra</w:t>
      </w:r>
    </w:p>
    <w:p w:rsidR="00624CEF" w:rsidRDefault="00070D61" w:rsidP="00137C24">
      <w:pPr>
        <w:pStyle w:val="NormalWeb"/>
        <w:spacing w:before="0" w:beforeAutospacing="0" w:after="0" w:afterAutospacing="0"/>
        <w:ind w:firstLine="720"/>
        <w:jc w:val="both"/>
        <w:rPr>
          <w:rFonts w:eastAsiaTheme="minorHAnsi" w:cstheme="minorBidi"/>
          <w:sz w:val="28"/>
          <w:szCs w:val="22"/>
          <w:lang w:eastAsia="en-US"/>
        </w:rPr>
      </w:pPr>
      <w:r w:rsidRPr="000A1961">
        <w:rPr>
          <w:rFonts w:eastAsiaTheme="minorHAnsi" w:cstheme="minorBidi"/>
          <w:sz w:val="28"/>
          <w:szCs w:val="28"/>
          <w:lang w:eastAsia="en-US"/>
        </w:rPr>
        <w:t>Efektīvas apgaismojuma infrastruktūras ieviešanas pašvaldību publiskajās teritorijās mērķis ir sniegt finansiālu atbalstu pašvaldībām</w:t>
      </w:r>
      <w:r w:rsidR="0088403A" w:rsidRPr="000A1961">
        <w:rPr>
          <w:rFonts w:eastAsiaTheme="minorHAnsi" w:cstheme="minorBidi"/>
          <w:sz w:val="28"/>
          <w:szCs w:val="28"/>
          <w:lang w:eastAsia="en-US"/>
        </w:rPr>
        <w:t>, tās iestādēm, aģentūrām vai komersantiem</w:t>
      </w:r>
      <w:r w:rsidRPr="000A1961">
        <w:rPr>
          <w:rFonts w:eastAsiaTheme="minorHAnsi" w:cstheme="minorBidi"/>
          <w:sz w:val="28"/>
          <w:szCs w:val="28"/>
          <w:lang w:eastAsia="en-US"/>
        </w:rPr>
        <w:t xml:space="preserve"> tādas apgaismojuma infrastruktūras ieviešanā, kas ļauj samazināt esošo elektroenerģijas patēriņu un samazināt SEG emisijas. </w:t>
      </w:r>
      <w:r w:rsidR="0065028B" w:rsidRPr="000A1961">
        <w:rPr>
          <w:sz w:val="28"/>
          <w:szCs w:val="28"/>
        </w:rPr>
        <w:t xml:space="preserve">KPFI projektu konkursa „Siltumnīcefekta gāzu emisiju samazināšana pašvaldību publisko teritoriju apgaismojuma infrastruktūrā” I un II kārtas ietvaros ir īstenoti 44 projekti par kopējo KPFI finansējumu </w:t>
      </w:r>
      <w:r w:rsidR="0065028B" w:rsidRPr="000A1961">
        <w:rPr>
          <w:color w:val="000000"/>
          <w:sz w:val="28"/>
          <w:szCs w:val="28"/>
        </w:rPr>
        <w:t xml:space="preserve">5 457 389 </w:t>
      </w:r>
      <w:r w:rsidR="0065028B" w:rsidRPr="000A1961">
        <w:rPr>
          <w:sz w:val="28"/>
          <w:szCs w:val="28"/>
        </w:rPr>
        <w:t>EUR apjomā. 2013.</w:t>
      </w:r>
      <w:r w:rsidR="00CF55BC">
        <w:rPr>
          <w:sz w:val="28"/>
          <w:szCs w:val="28"/>
        </w:rPr>
        <w:t> </w:t>
      </w:r>
      <w:r w:rsidR="0065028B" w:rsidRPr="000A1961">
        <w:rPr>
          <w:sz w:val="28"/>
          <w:szCs w:val="28"/>
        </w:rPr>
        <w:t xml:space="preserve">gadā notika pieteikšanās šīs aktivitātes III kārtai, kuras ietvaros tika apstiprināti 12 projekta iesniegumi par kopējo KPFI finansējumu 1,18 </w:t>
      </w:r>
      <w:proofErr w:type="spellStart"/>
      <w:r w:rsidR="0065028B" w:rsidRPr="000A1961">
        <w:rPr>
          <w:sz w:val="28"/>
          <w:szCs w:val="28"/>
        </w:rPr>
        <w:t>milj</w:t>
      </w:r>
      <w:proofErr w:type="spellEnd"/>
      <w:r w:rsidR="0065028B" w:rsidRPr="000A1961">
        <w:rPr>
          <w:sz w:val="28"/>
          <w:szCs w:val="28"/>
        </w:rPr>
        <w:t>. EUR apmēr</w:t>
      </w:r>
      <w:r w:rsidR="00CF55BC">
        <w:rPr>
          <w:sz w:val="28"/>
          <w:szCs w:val="28"/>
        </w:rPr>
        <w:t>ā, kas jāīsteno līdz 2014. </w:t>
      </w:r>
      <w:r w:rsidR="0065028B" w:rsidRPr="000A1961">
        <w:rPr>
          <w:sz w:val="28"/>
          <w:szCs w:val="28"/>
        </w:rPr>
        <w:t>gada 31.</w:t>
      </w:r>
      <w:r w:rsidR="00CF55BC">
        <w:rPr>
          <w:sz w:val="28"/>
          <w:szCs w:val="28"/>
        </w:rPr>
        <w:t> </w:t>
      </w:r>
      <w:r w:rsidR="0065028B" w:rsidRPr="000A1961">
        <w:rPr>
          <w:sz w:val="28"/>
          <w:szCs w:val="28"/>
        </w:rPr>
        <w:t xml:space="preserve">martam. Konkursa mērķis ir oglekļa dioksīda emisiju samazināšana pašvaldību publisko teritoriju apgaismojuma infrastruktūrā, izmantojot tādas tehnoloģijas un videi draudzīgus paņēmienus, kas ļauj samazināt esošo elektroenerģijas patēriņu. Pēc pieejamās informācijas ir novērtēts, ka elektroenerģijas ietaupījums projektu konkursa III kārtas īstenošanas rezultātā varētu sasniegt 1,2459 </w:t>
      </w:r>
      <w:proofErr w:type="spellStart"/>
      <w:r w:rsidR="0065028B" w:rsidRPr="000A1961">
        <w:rPr>
          <w:sz w:val="28"/>
          <w:szCs w:val="28"/>
        </w:rPr>
        <w:t>GWh</w:t>
      </w:r>
      <w:proofErr w:type="spellEnd"/>
      <w:r w:rsidR="00E16055">
        <w:rPr>
          <w:sz w:val="28"/>
          <w:szCs w:val="28"/>
        </w:rPr>
        <w:t>/</w:t>
      </w:r>
      <w:r w:rsidR="00766AC6">
        <w:rPr>
          <w:sz w:val="28"/>
          <w:szCs w:val="28"/>
        </w:rPr>
        <w:t>gadā</w:t>
      </w:r>
      <w:r w:rsidR="0065028B" w:rsidRPr="00766AC6">
        <w:rPr>
          <w:sz w:val="28"/>
          <w:szCs w:val="28"/>
        </w:rPr>
        <w:t>.</w:t>
      </w:r>
      <w:r w:rsidR="00766AC6" w:rsidRPr="00766AC6">
        <w:rPr>
          <w:rFonts w:eastAsiaTheme="minorHAnsi" w:cstheme="minorBidi"/>
          <w:sz w:val="28"/>
          <w:szCs w:val="22"/>
          <w:lang w:eastAsia="en-US"/>
        </w:rPr>
        <w:t xml:space="preserve"> Pēc pieejamās informācijas ir novērtēts, ka </w:t>
      </w:r>
      <w:r w:rsidR="00766AC6">
        <w:rPr>
          <w:rFonts w:eastAsiaTheme="minorHAnsi" w:cstheme="minorBidi"/>
          <w:sz w:val="28"/>
          <w:szCs w:val="22"/>
          <w:lang w:eastAsia="en-US"/>
        </w:rPr>
        <w:t xml:space="preserve">kopējais </w:t>
      </w:r>
      <w:r w:rsidR="00766AC6" w:rsidRPr="00766AC6">
        <w:rPr>
          <w:rFonts w:eastAsiaTheme="minorHAnsi" w:cstheme="minorBidi"/>
          <w:b/>
          <w:sz w:val="28"/>
          <w:szCs w:val="22"/>
          <w:lang w:eastAsia="en-US"/>
        </w:rPr>
        <w:t xml:space="preserve">kumulatīvais ietaupījums III kārtā varētu sasniegt 27 </w:t>
      </w:r>
      <w:proofErr w:type="spellStart"/>
      <w:r w:rsidR="00766AC6" w:rsidRPr="00766AC6">
        <w:rPr>
          <w:rFonts w:eastAsiaTheme="minorHAnsi" w:cstheme="minorBidi"/>
          <w:b/>
          <w:sz w:val="28"/>
          <w:szCs w:val="22"/>
          <w:lang w:eastAsia="en-US"/>
        </w:rPr>
        <w:t>GWh</w:t>
      </w:r>
      <w:proofErr w:type="spellEnd"/>
      <w:r w:rsidR="00A15B53">
        <w:rPr>
          <w:rStyle w:val="FootnoteReference"/>
          <w:rFonts w:eastAsiaTheme="minorHAnsi" w:cstheme="minorBidi"/>
          <w:b/>
          <w:sz w:val="28"/>
          <w:szCs w:val="22"/>
          <w:lang w:eastAsia="en-US"/>
        </w:rPr>
        <w:footnoteReference w:id="13"/>
      </w:r>
      <w:r w:rsidR="00766AC6" w:rsidRPr="00766AC6">
        <w:rPr>
          <w:rFonts w:eastAsiaTheme="minorHAnsi" w:cstheme="minorBidi"/>
          <w:sz w:val="28"/>
          <w:szCs w:val="22"/>
          <w:lang w:eastAsia="en-US"/>
        </w:rPr>
        <w:t>.</w:t>
      </w:r>
      <w:r w:rsidR="0065028B" w:rsidRPr="000A1961">
        <w:rPr>
          <w:sz w:val="28"/>
          <w:szCs w:val="28"/>
        </w:rPr>
        <w:t xml:space="preserve"> </w:t>
      </w:r>
    </w:p>
    <w:p w:rsidR="00137C24" w:rsidRPr="003D48F5" w:rsidRDefault="00137C24" w:rsidP="00D851D5">
      <w:pPr>
        <w:spacing w:after="0" w:line="240" w:lineRule="auto"/>
        <w:jc w:val="both"/>
      </w:pPr>
      <w:r>
        <w:tab/>
        <w:t>Centralizētās siltumapgādes</w:t>
      </w:r>
      <w:r w:rsidRPr="003D48F5">
        <w:t xml:space="preserve"> sistēmu efektivitātes paaugstināšanas mērķis ir būtiski paaugstināt siltumenerģijas ražošanas efektivitāti, samazināt siltumenerģijas zudumus pārvades un sadales sistēmās un sekmēt fosilā </w:t>
      </w:r>
      <w:r w:rsidRPr="003D48F5">
        <w:lastRenderedPageBreak/>
        <w:t xml:space="preserve">kurināmā veidu aizvietošanu ar atjaunojamiem kurināmiem. </w:t>
      </w:r>
      <w:r w:rsidR="00A95E24" w:rsidRPr="00A95E24">
        <w:t xml:space="preserve">Turpinās centralizētās siltumapgādes sistēmu efektivitātes paaugstināšanas pasākumu īstenošana DPP 3.5.2.1.1. </w:t>
      </w:r>
      <w:proofErr w:type="spellStart"/>
      <w:r w:rsidR="00A95E24" w:rsidRPr="00A95E24">
        <w:t>apakšaktivitātē</w:t>
      </w:r>
      <w:proofErr w:type="spellEnd"/>
      <w:r w:rsidR="00A95E24" w:rsidRPr="00A95E24">
        <w:t>. Atbilstoši DPP, 3.5.2.1.1. </w:t>
      </w:r>
      <w:proofErr w:type="spellStart"/>
      <w:r w:rsidR="00A95E24" w:rsidRPr="00A95E24">
        <w:t>apakšaktivitātei</w:t>
      </w:r>
      <w:proofErr w:type="spellEnd"/>
      <w:r w:rsidR="00A95E24" w:rsidRPr="00A95E24">
        <w:t xml:space="preserve"> pieejams KF finansējums 84 448 883 EUR apmērā. Līdz 2014. gada februārim piecu kārtu ietvaros ir noslēgti 108 līgumi par KF finansējumu 72,9 </w:t>
      </w:r>
      <w:proofErr w:type="spellStart"/>
      <w:r w:rsidR="00A95E24" w:rsidRPr="00A95E24">
        <w:t>milj</w:t>
      </w:r>
      <w:proofErr w:type="spellEnd"/>
      <w:r w:rsidR="00A95E24" w:rsidRPr="00A95E24">
        <w:t>. EUR apmērā</w:t>
      </w:r>
      <w:r w:rsidRPr="003D48F5">
        <w:t>.</w:t>
      </w:r>
    </w:p>
    <w:p w:rsidR="008F3E33" w:rsidRDefault="00260956" w:rsidP="00701C7F">
      <w:pPr>
        <w:pStyle w:val="Heading3"/>
        <w:spacing w:after="120"/>
      </w:pPr>
      <w:bookmarkStart w:id="20" w:name="_Toc387237966"/>
      <w:r>
        <w:t xml:space="preserve">3.1.5. </w:t>
      </w:r>
      <w:r w:rsidR="001B6D88">
        <w:t>Plānotie</w:t>
      </w:r>
      <w:r>
        <w:t xml:space="preserve"> alternatīvie </w:t>
      </w:r>
      <w:r w:rsidR="001B6D88">
        <w:t xml:space="preserve">politikas </w:t>
      </w:r>
      <w:r>
        <w:t>pasākumi</w:t>
      </w:r>
      <w:bookmarkEnd w:id="20"/>
    </w:p>
    <w:p w:rsidR="00110069" w:rsidRDefault="00EF1D2E" w:rsidP="00BF3D77">
      <w:pPr>
        <w:spacing w:after="0" w:line="240" w:lineRule="auto"/>
        <w:ind w:firstLine="567"/>
        <w:jc w:val="both"/>
        <w:rPr>
          <w:rFonts w:cs="Times New Roman"/>
          <w:szCs w:val="28"/>
        </w:rPr>
      </w:pPr>
      <w:r w:rsidRPr="00766AC6">
        <w:rPr>
          <w:rFonts w:cs="Times New Roman"/>
          <w:szCs w:val="28"/>
        </w:rPr>
        <w:t xml:space="preserve">Saskaņā ar </w:t>
      </w:r>
      <w:r w:rsidRPr="00766AC6">
        <w:rPr>
          <w:rFonts w:cs="Times New Roman"/>
          <w:bCs/>
          <w:szCs w:val="28"/>
        </w:rPr>
        <w:t>ES fondu 2014.</w:t>
      </w:r>
      <w:r w:rsidR="001D2F15">
        <w:rPr>
          <w:rFonts w:cs="Times New Roman"/>
          <w:bCs/>
          <w:szCs w:val="28"/>
        </w:rPr>
        <w:t xml:space="preserve"> </w:t>
      </w:r>
      <w:r w:rsidRPr="00766AC6">
        <w:rPr>
          <w:rFonts w:cs="Times New Roman"/>
          <w:bCs/>
          <w:szCs w:val="28"/>
        </w:rPr>
        <w:t>- 2</w:t>
      </w:r>
      <w:r w:rsidRPr="00766AC6">
        <w:rPr>
          <w:rFonts w:cs="Times New Roman"/>
          <w:szCs w:val="28"/>
        </w:rPr>
        <w:t>020. gada plānošan</w:t>
      </w:r>
      <w:r w:rsidR="00CF55BC">
        <w:rPr>
          <w:rFonts w:cs="Times New Roman"/>
          <w:szCs w:val="28"/>
        </w:rPr>
        <w:t>as dokumentiem no 2014.</w:t>
      </w:r>
      <w:r w:rsidR="001D2F15">
        <w:rPr>
          <w:rFonts w:cs="Times New Roman"/>
          <w:szCs w:val="28"/>
        </w:rPr>
        <w:t xml:space="preserve"> </w:t>
      </w:r>
      <w:r w:rsidR="00CF55BC">
        <w:rPr>
          <w:rFonts w:cs="Times New Roman"/>
          <w:szCs w:val="28"/>
        </w:rPr>
        <w:t>-</w:t>
      </w:r>
      <w:r w:rsidR="001D2F15">
        <w:rPr>
          <w:rFonts w:cs="Times New Roman"/>
          <w:szCs w:val="28"/>
        </w:rPr>
        <w:t xml:space="preserve"> </w:t>
      </w:r>
      <w:r w:rsidR="00CF55BC">
        <w:rPr>
          <w:rFonts w:cs="Times New Roman"/>
          <w:szCs w:val="28"/>
        </w:rPr>
        <w:t>2020. </w:t>
      </w:r>
      <w:r w:rsidRPr="00766AC6">
        <w:rPr>
          <w:rFonts w:cs="Times New Roman"/>
          <w:szCs w:val="28"/>
        </w:rPr>
        <w:t>gadam Latvijā ēku energoefektivitātei un AER izmantošanai plānoti</w:t>
      </w:r>
      <w:r w:rsidR="00AE48AD">
        <w:rPr>
          <w:rFonts w:cs="Times New Roman"/>
          <w:szCs w:val="28"/>
        </w:rPr>
        <w:t xml:space="preserve"> </w:t>
      </w:r>
      <w:r w:rsidRPr="00766AC6">
        <w:rPr>
          <w:rFonts w:cs="Times New Roman"/>
          <w:szCs w:val="28"/>
        </w:rPr>
        <w:t xml:space="preserve">indikatīvi 376,16 </w:t>
      </w:r>
      <w:proofErr w:type="spellStart"/>
      <w:r w:rsidRPr="00766AC6">
        <w:rPr>
          <w:rFonts w:cs="Times New Roman"/>
          <w:szCs w:val="28"/>
        </w:rPr>
        <w:t>milj</w:t>
      </w:r>
      <w:proofErr w:type="spellEnd"/>
      <w:r w:rsidRPr="00766AC6">
        <w:rPr>
          <w:rFonts w:cs="Times New Roman"/>
          <w:szCs w:val="28"/>
        </w:rPr>
        <w:t>. EUR, tajā skaitā:</w:t>
      </w:r>
    </w:p>
    <w:p w:rsidR="00110069" w:rsidRDefault="00CF55BC" w:rsidP="00110069">
      <w:pPr>
        <w:spacing w:after="0" w:line="240" w:lineRule="auto"/>
        <w:ind w:firstLine="567"/>
        <w:jc w:val="both"/>
        <w:rPr>
          <w:rFonts w:cs="Times New Roman"/>
          <w:szCs w:val="28"/>
        </w:rPr>
      </w:pPr>
      <w:r>
        <w:rPr>
          <w:rFonts w:cs="Times New Roman"/>
          <w:color w:val="000000"/>
          <w:szCs w:val="28"/>
        </w:rPr>
        <w:t xml:space="preserve">1) </w:t>
      </w:r>
      <w:r w:rsidR="00EF1D2E" w:rsidRPr="00766AC6">
        <w:rPr>
          <w:rFonts w:cs="Times New Roman"/>
          <w:color w:val="000000"/>
          <w:szCs w:val="28"/>
        </w:rPr>
        <w:t xml:space="preserve">industriālo ēku energoefektivitātei un AER izmantošanai– 32,56 </w:t>
      </w:r>
      <w:proofErr w:type="spellStart"/>
      <w:r w:rsidR="00EF1D2E" w:rsidRPr="00766AC6">
        <w:rPr>
          <w:rFonts w:cs="Times New Roman"/>
          <w:color w:val="000000"/>
          <w:szCs w:val="28"/>
        </w:rPr>
        <w:t>milj</w:t>
      </w:r>
      <w:proofErr w:type="spellEnd"/>
      <w:r w:rsidR="00EF1D2E" w:rsidRPr="00766AC6">
        <w:rPr>
          <w:rFonts w:cs="Times New Roman"/>
          <w:color w:val="000000"/>
          <w:szCs w:val="28"/>
        </w:rPr>
        <w:t>. EUR</w:t>
      </w:r>
      <w:r w:rsidR="00EF1D2E" w:rsidRPr="00766AC6">
        <w:rPr>
          <w:rFonts w:cs="Times New Roman"/>
          <w:bCs/>
          <w:color w:val="000000"/>
          <w:szCs w:val="28"/>
        </w:rPr>
        <w:t xml:space="preserve"> - </w:t>
      </w:r>
      <w:r w:rsidR="00EF1D2E" w:rsidRPr="00766AC6">
        <w:rPr>
          <w:rFonts w:cs="Times New Roman"/>
          <w:szCs w:val="28"/>
        </w:rPr>
        <w:t xml:space="preserve">mērķis - </w:t>
      </w:r>
      <w:r w:rsidR="00EF1D2E" w:rsidRPr="00766AC6">
        <w:rPr>
          <w:rFonts w:eastAsia="Times New Roman" w:cs="Times New Roman"/>
          <w:szCs w:val="28"/>
          <w:lang w:eastAsia="lv-LV"/>
        </w:rPr>
        <w:t>veicināt efektīvu energoresursu izmantošanu un enerģijas patēriņa samazināšanu apstrādes rūpniecības nozarē. Tiks uzlabota energoefektivitāte apstrādes rūpniecībā, nodrošinot energoresursu</w:t>
      </w:r>
      <w:r w:rsidR="00AE48AD">
        <w:rPr>
          <w:rFonts w:eastAsia="Times New Roman" w:cs="Times New Roman"/>
          <w:szCs w:val="28"/>
          <w:lang w:eastAsia="lv-LV"/>
        </w:rPr>
        <w:t xml:space="preserve"> </w:t>
      </w:r>
      <w:r w:rsidR="00EF1D2E" w:rsidRPr="00766AC6">
        <w:rPr>
          <w:rFonts w:eastAsia="Times New Roman" w:cs="Times New Roman"/>
          <w:szCs w:val="28"/>
          <w:lang w:eastAsia="lv-LV"/>
        </w:rPr>
        <w:t>ilgtspējīgu izmantošanu un veicinot apstrādes rūpniecības konkurētspēju;</w:t>
      </w:r>
    </w:p>
    <w:p w:rsidR="00110069" w:rsidRDefault="00110069" w:rsidP="00110069">
      <w:pPr>
        <w:spacing w:after="0" w:line="240" w:lineRule="auto"/>
        <w:ind w:firstLine="567"/>
        <w:jc w:val="both"/>
        <w:rPr>
          <w:rFonts w:cs="Times New Roman"/>
          <w:szCs w:val="28"/>
        </w:rPr>
      </w:pPr>
      <w:r>
        <w:rPr>
          <w:rFonts w:cs="Times New Roman"/>
          <w:bCs/>
          <w:color w:val="000000"/>
          <w:szCs w:val="28"/>
        </w:rPr>
        <w:t>2)</w:t>
      </w:r>
      <w:r w:rsidR="00CF55BC">
        <w:rPr>
          <w:rFonts w:cs="Times New Roman"/>
          <w:bCs/>
          <w:color w:val="000000"/>
          <w:szCs w:val="28"/>
        </w:rPr>
        <w:t xml:space="preserve"> </w:t>
      </w:r>
      <w:r w:rsidR="00EF1D2E" w:rsidRPr="00766AC6">
        <w:rPr>
          <w:rFonts w:cs="Times New Roman"/>
          <w:bCs/>
          <w:color w:val="000000"/>
          <w:szCs w:val="28"/>
        </w:rPr>
        <w:t xml:space="preserve">energoefektivitātes paaugstināšanai valsts ēkās - </w:t>
      </w:r>
      <w:r w:rsidR="00EF1D2E" w:rsidRPr="00766AC6">
        <w:rPr>
          <w:rFonts w:cs="Times New Roman"/>
          <w:color w:val="000000"/>
          <w:szCs w:val="28"/>
        </w:rPr>
        <w:t xml:space="preserve">97,86 </w:t>
      </w:r>
      <w:proofErr w:type="spellStart"/>
      <w:r w:rsidR="00EF1D2E" w:rsidRPr="00766AC6">
        <w:rPr>
          <w:rFonts w:cs="Times New Roman"/>
          <w:color w:val="000000"/>
          <w:szCs w:val="28"/>
        </w:rPr>
        <w:t>milj</w:t>
      </w:r>
      <w:proofErr w:type="spellEnd"/>
      <w:r w:rsidR="00EF1D2E" w:rsidRPr="00766AC6">
        <w:rPr>
          <w:rFonts w:cs="Times New Roman"/>
          <w:color w:val="000000"/>
          <w:szCs w:val="28"/>
        </w:rPr>
        <w:t>. EUR</w:t>
      </w:r>
      <w:r w:rsidR="00EF1D2E" w:rsidRPr="00766AC6">
        <w:rPr>
          <w:rFonts w:cs="Times New Roman"/>
          <w:bCs/>
          <w:color w:val="000000"/>
          <w:szCs w:val="28"/>
        </w:rPr>
        <w:t xml:space="preserve">. </w:t>
      </w:r>
      <w:r w:rsidR="00EF1D2E" w:rsidRPr="00766AC6">
        <w:rPr>
          <w:rFonts w:eastAsia="Times New Roman" w:cs="Times New Roman"/>
          <w:szCs w:val="28"/>
          <w:lang w:eastAsia="lv-LV"/>
        </w:rPr>
        <w:t xml:space="preserve">Plānots sākot no 2014. gada ik gadu renovēt trīs procentus centrālās valdības ēku platības, lai nodrošinātu to atbilstību minimālām energoefektivitātes prasībām. Valsts ēku renovācija nodrošinās publiskā sektora ēku vadošo lomu labā piemēra demonstrēšanā un sekmēs ēku </w:t>
      </w:r>
      <w:proofErr w:type="spellStart"/>
      <w:r w:rsidR="00EF1D2E" w:rsidRPr="00766AC6">
        <w:rPr>
          <w:rFonts w:eastAsia="Times New Roman" w:cs="Times New Roman"/>
          <w:szCs w:val="28"/>
          <w:lang w:eastAsia="lv-LV"/>
        </w:rPr>
        <w:t>energosertifikāciju</w:t>
      </w:r>
      <w:proofErr w:type="spellEnd"/>
      <w:r w:rsidR="00EF1D2E" w:rsidRPr="00766AC6">
        <w:rPr>
          <w:rFonts w:eastAsia="Times New Roman" w:cs="Times New Roman"/>
          <w:szCs w:val="28"/>
          <w:lang w:eastAsia="lv-LV"/>
        </w:rPr>
        <w:t>;</w:t>
      </w:r>
    </w:p>
    <w:p w:rsidR="00110069" w:rsidRDefault="00110069" w:rsidP="00110069">
      <w:pPr>
        <w:spacing w:after="0" w:line="240" w:lineRule="auto"/>
        <w:ind w:firstLine="567"/>
        <w:jc w:val="both"/>
        <w:rPr>
          <w:rFonts w:cs="Times New Roman"/>
          <w:szCs w:val="28"/>
        </w:rPr>
      </w:pPr>
      <w:r>
        <w:rPr>
          <w:rFonts w:cs="Times New Roman"/>
          <w:szCs w:val="28"/>
        </w:rPr>
        <w:t>3)</w:t>
      </w:r>
      <w:r w:rsidR="00CF55BC">
        <w:rPr>
          <w:rFonts w:cs="Times New Roman"/>
          <w:szCs w:val="28"/>
        </w:rPr>
        <w:t xml:space="preserve"> </w:t>
      </w:r>
      <w:r w:rsidR="00EF1D2E" w:rsidRPr="00766AC6">
        <w:rPr>
          <w:rFonts w:cs="Times New Roman"/>
          <w:bCs/>
          <w:color w:val="000000"/>
          <w:szCs w:val="28"/>
        </w:rPr>
        <w:t xml:space="preserve">dzīvojamo ēku energoefektivitātei - </w:t>
      </w:r>
      <w:r w:rsidR="00EF1D2E" w:rsidRPr="00766AC6">
        <w:rPr>
          <w:rFonts w:cs="Times New Roman"/>
          <w:color w:val="000000"/>
          <w:szCs w:val="28"/>
        </w:rPr>
        <w:t xml:space="preserve">150 </w:t>
      </w:r>
      <w:proofErr w:type="spellStart"/>
      <w:r w:rsidR="00EF1D2E" w:rsidRPr="00766AC6">
        <w:rPr>
          <w:rFonts w:cs="Times New Roman"/>
          <w:color w:val="000000"/>
          <w:szCs w:val="28"/>
        </w:rPr>
        <w:t>milj</w:t>
      </w:r>
      <w:proofErr w:type="spellEnd"/>
      <w:r w:rsidR="00EF1D2E" w:rsidRPr="00766AC6">
        <w:rPr>
          <w:rFonts w:cs="Times New Roman"/>
          <w:color w:val="000000"/>
          <w:szCs w:val="28"/>
        </w:rPr>
        <w:t>. EUR</w:t>
      </w:r>
      <w:r w:rsidR="00EF1D2E" w:rsidRPr="00766AC6">
        <w:rPr>
          <w:rFonts w:cs="Times New Roman"/>
          <w:bCs/>
          <w:color w:val="000000"/>
          <w:szCs w:val="28"/>
        </w:rPr>
        <w:t>;</w:t>
      </w:r>
    </w:p>
    <w:p w:rsidR="00110069" w:rsidRDefault="00110069" w:rsidP="00110069">
      <w:pPr>
        <w:spacing w:after="0" w:line="240" w:lineRule="auto"/>
        <w:ind w:firstLine="567"/>
        <w:jc w:val="both"/>
        <w:rPr>
          <w:rFonts w:cs="Times New Roman"/>
          <w:szCs w:val="28"/>
        </w:rPr>
      </w:pPr>
      <w:r>
        <w:rPr>
          <w:rFonts w:cs="Times New Roman"/>
          <w:szCs w:val="28"/>
        </w:rPr>
        <w:t>4)</w:t>
      </w:r>
      <w:r w:rsidR="00CF55BC">
        <w:rPr>
          <w:rFonts w:cs="Times New Roman"/>
          <w:szCs w:val="28"/>
        </w:rPr>
        <w:t xml:space="preserve"> </w:t>
      </w:r>
      <w:r w:rsidR="00EF1D2E" w:rsidRPr="00766AC6">
        <w:rPr>
          <w:rFonts w:cs="Times New Roman"/>
          <w:bCs/>
          <w:color w:val="000000"/>
          <w:szCs w:val="28"/>
        </w:rPr>
        <w:t xml:space="preserve">energoefektivitātes paaugstināšanai pašvaldību ēkās - </w:t>
      </w:r>
      <w:r w:rsidR="00EF1D2E" w:rsidRPr="00766AC6">
        <w:rPr>
          <w:rFonts w:cs="Times New Roman"/>
          <w:color w:val="000000"/>
          <w:szCs w:val="28"/>
        </w:rPr>
        <w:t>42,5</w:t>
      </w:r>
      <w:r w:rsidR="00481652">
        <w:rPr>
          <w:rFonts w:cs="Times New Roman"/>
          <w:color w:val="000000"/>
          <w:szCs w:val="28"/>
        </w:rPr>
        <w:t>6</w:t>
      </w:r>
      <w:r w:rsidR="00EF1D2E" w:rsidRPr="00766AC6">
        <w:rPr>
          <w:rFonts w:cs="Times New Roman"/>
          <w:color w:val="000000"/>
          <w:szCs w:val="28"/>
        </w:rPr>
        <w:t xml:space="preserve"> </w:t>
      </w:r>
      <w:proofErr w:type="spellStart"/>
      <w:r w:rsidR="00EF1D2E" w:rsidRPr="00766AC6">
        <w:rPr>
          <w:rFonts w:cs="Times New Roman"/>
          <w:color w:val="000000"/>
          <w:szCs w:val="28"/>
        </w:rPr>
        <w:t>milj</w:t>
      </w:r>
      <w:proofErr w:type="spellEnd"/>
      <w:r w:rsidR="00EF1D2E" w:rsidRPr="00766AC6">
        <w:rPr>
          <w:rFonts w:cs="Times New Roman"/>
          <w:color w:val="000000"/>
          <w:szCs w:val="28"/>
        </w:rPr>
        <w:t xml:space="preserve">. EUR </w:t>
      </w:r>
      <w:r w:rsidR="00EF1D2E" w:rsidRPr="00766AC6">
        <w:rPr>
          <w:rFonts w:cs="Times New Roman"/>
          <w:bCs/>
          <w:color w:val="000000"/>
          <w:szCs w:val="28"/>
        </w:rPr>
        <w:t>apmērā;</w:t>
      </w:r>
    </w:p>
    <w:p w:rsidR="00A72635" w:rsidRPr="00110069" w:rsidRDefault="00CF55BC" w:rsidP="00110069">
      <w:pPr>
        <w:spacing w:after="0" w:line="240" w:lineRule="auto"/>
        <w:ind w:firstLine="567"/>
        <w:jc w:val="both"/>
        <w:rPr>
          <w:rFonts w:cs="Times New Roman"/>
          <w:szCs w:val="28"/>
        </w:rPr>
      </w:pPr>
      <w:r>
        <w:rPr>
          <w:rFonts w:cs="Times New Roman"/>
          <w:szCs w:val="28"/>
        </w:rPr>
        <w:t xml:space="preserve">5) </w:t>
      </w:r>
      <w:r w:rsidR="00EF1D2E" w:rsidRPr="00110069">
        <w:rPr>
          <w:rFonts w:cs="Times New Roman"/>
          <w:bCs/>
          <w:color w:val="000000"/>
          <w:szCs w:val="28"/>
        </w:rPr>
        <w:t xml:space="preserve">energoefektivitātes veicināšanai un vietējo AER izmantošanai centralizētajā siltumapgādē – 53,19 </w:t>
      </w:r>
      <w:proofErr w:type="spellStart"/>
      <w:r w:rsidR="00EF1D2E" w:rsidRPr="00110069">
        <w:rPr>
          <w:rFonts w:cs="Times New Roman"/>
          <w:bCs/>
          <w:color w:val="000000"/>
          <w:szCs w:val="28"/>
        </w:rPr>
        <w:t>milj</w:t>
      </w:r>
      <w:proofErr w:type="spellEnd"/>
      <w:r w:rsidR="00EF1D2E" w:rsidRPr="00110069">
        <w:rPr>
          <w:rFonts w:cs="Times New Roman"/>
          <w:bCs/>
          <w:color w:val="000000"/>
          <w:szCs w:val="28"/>
        </w:rPr>
        <w:t>. EUR. Plānots atba</w:t>
      </w:r>
      <w:r w:rsidR="00145E90">
        <w:rPr>
          <w:rFonts w:cs="Times New Roman"/>
          <w:bCs/>
          <w:color w:val="000000"/>
          <w:szCs w:val="28"/>
        </w:rPr>
        <w:t>l</w:t>
      </w:r>
      <w:r w:rsidR="00EF1D2E" w:rsidRPr="00110069">
        <w:rPr>
          <w:rFonts w:cs="Times New Roman"/>
          <w:bCs/>
          <w:color w:val="000000"/>
          <w:szCs w:val="28"/>
        </w:rPr>
        <w:t xml:space="preserve">stīt </w:t>
      </w:r>
      <w:proofErr w:type="spellStart"/>
      <w:r w:rsidR="00EF1D2E" w:rsidRPr="00110069">
        <w:rPr>
          <w:rFonts w:cs="Times New Roman"/>
          <w:bCs/>
          <w:color w:val="000000"/>
          <w:szCs w:val="28"/>
        </w:rPr>
        <w:t>siltumavotu</w:t>
      </w:r>
      <w:proofErr w:type="spellEnd"/>
      <w:r w:rsidR="00EF1D2E" w:rsidRPr="00110069">
        <w:rPr>
          <w:rFonts w:cs="Times New Roman"/>
          <w:bCs/>
          <w:color w:val="000000"/>
          <w:szCs w:val="28"/>
        </w:rPr>
        <w:t xml:space="preserve"> rekonstrukciju, t</w:t>
      </w:r>
      <w:r w:rsidR="00145E90">
        <w:rPr>
          <w:rFonts w:cs="Times New Roman"/>
          <w:bCs/>
          <w:color w:val="000000"/>
          <w:szCs w:val="28"/>
        </w:rPr>
        <w:t>ostarp</w:t>
      </w:r>
      <w:r w:rsidR="00EF1D2E" w:rsidRPr="00110069">
        <w:rPr>
          <w:rFonts w:cs="Times New Roman"/>
          <w:bCs/>
          <w:color w:val="000000"/>
          <w:szCs w:val="28"/>
        </w:rPr>
        <w:t xml:space="preserve"> tehnoloģisko iekārtu iegādi un uzstādīšanu, kā arī siltumenerģijas pārvades un sadales sistēmu rekonstrukciju un būvniecību ar mērķi samazināt siltumenerģijas zudumus. </w:t>
      </w:r>
    </w:p>
    <w:p w:rsidR="00137C24" w:rsidRDefault="00137C24" w:rsidP="00766AC6">
      <w:pPr>
        <w:spacing w:after="0" w:line="240" w:lineRule="auto"/>
        <w:ind w:firstLine="720"/>
        <w:jc w:val="both"/>
      </w:pPr>
      <w:r>
        <w:t xml:space="preserve">Kā </w:t>
      </w:r>
      <w:r w:rsidRPr="00701C7F">
        <w:rPr>
          <w:u w:val="single"/>
        </w:rPr>
        <w:t>alternatīvie pasākumi</w:t>
      </w:r>
      <w:r>
        <w:t xml:space="preserve"> energoefektivitātes paaugstināšanai var tikt izskatīti šādi pasākumi:</w:t>
      </w:r>
    </w:p>
    <w:p w:rsidR="00137C24" w:rsidRPr="007274C0" w:rsidRDefault="007274C0" w:rsidP="00766AC6">
      <w:pPr>
        <w:spacing w:after="0" w:line="240" w:lineRule="auto"/>
        <w:ind w:firstLine="426"/>
        <w:jc w:val="both"/>
      </w:pPr>
      <w:r>
        <w:t xml:space="preserve">1) </w:t>
      </w:r>
      <w:r w:rsidR="00110069">
        <w:t>p</w:t>
      </w:r>
      <w:r w:rsidR="00137C24" w:rsidRPr="007274C0">
        <w:t>lašāk lietojamiem materiāliem un tehnoloģijām, ko izmanto ēku energoefektivitātes paaugstināšanā, piemēram, logiem, izstrādāt enerģijas patēriņa norādīšanas kārtību,</w:t>
      </w:r>
      <w:r w:rsidR="00274912">
        <w:t xml:space="preserve"> </w:t>
      </w:r>
      <w:r w:rsidR="00137C24" w:rsidRPr="007274C0">
        <w:t>izmantojot etiķetes un standarta informāciju par precēm. Tas līdzīgi kā jau eksistējošā kārtība mājsaimniecībās izmantojamām elektroiekārtām, dos informāciju patērētājiem par enerģijas efektivitāti pirms preces iegādāšanās. Tas palīdzēs enerģijas patērētājiem</w:t>
      </w:r>
      <w:r w:rsidR="00145E90">
        <w:t>,</w:t>
      </w:r>
      <w:r w:rsidR="00137C24" w:rsidRPr="007274C0">
        <w:t xml:space="preserve"> izvēloties produktus māju renovācijai</w:t>
      </w:r>
      <w:r w:rsidR="00145E90">
        <w:t>,</w:t>
      </w:r>
      <w:r w:rsidR="00137C24" w:rsidRPr="007274C0">
        <w:t xml:space="preserve"> pieņemt lēmumu pamatojoties ne tikai uz cenas informāciju, bet arī uz enerģijas efektivitātes rādītāju informāciju</w:t>
      </w:r>
      <w:r w:rsidR="00110069">
        <w:t>;</w:t>
      </w:r>
    </w:p>
    <w:p w:rsidR="00137C24" w:rsidRPr="007274C0" w:rsidRDefault="007274C0" w:rsidP="00766AC6">
      <w:pPr>
        <w:pStyle w:val="CM1"/>
        <w:ind w:firstLine="426"/>
        <w:jc w:val="both"/>
      </w:pPr>
      <w:r w:rsidRPr="002B6E0D">
        <w:rPr>
          <w:rFonts w:ascii="Times New Roman" w:hAnsi="Times New Roman"/>
          <w:sz w:val="28"/>
          <w:szCs w:val="22"/>
        </w:rPr>
        <w:t xml:space="preserve">2) </w:t>
      </w:r>
      <w:r w:rsidR="00110069">
        <w:rPr>
          <w:rFonts w:ascii="Times New Roman" w:hAnsi="Times New Roman"/>
          <w:sz w:val="28"/>
          <w:szCs w:val="22"/>
        </w:rPr>
        <w:t>n</w:t>
      </w:r>
      <w:r w:rsidR="00137C24" w:rsidRPr="002B6E0D">
        <w:rPr>
          <w:rFonts w:ascii="Times New Roman" w:hAnsi="Times New Roman"/>
          <w:sz w:val="28"/>
          <w:szCs w:val="22"/>
        </w:rPr>
        <w:t xml:space="preserve">oteikt obligātu ūdens skaitītāju uzstādīšanu visiem patērētājiem, kas ir pieslēgti centralizētās siltumapgādes sistēmai. Kā pierāda iepriekšējā prakse par skaitītāju uzstādīšanu, tad tas rada motivāciju patērētājiem ietaupīt enerģiju, jo viņiem ir iespēja sekot savam patēriņam, un izmaksas par enerģiju ir balstītas uz </w:t>
      </w:r>
      <w:r w:rsidR="00137C24" w:rsidRPr="002B6E0D">
        <w:rPr>
          <w:rFonts w:ascii="Times New Roman" w:hAnsi="Times New Roman"/>
          <w:sz w:val="28"/>
          <w:szCs w:val="22"/>
        </w:rPr>
        <w:lastRenderedPageBreak/>
        <w:t>patērēto enerģijas daudzumu.</w:t>
      </w:r>
      <w:r w:rsidR="002B6E0D" w:rsidRPr="002B6E0D">
        <w:rPr>
          <w:rFonts w:ascii="Times New Roman" w:hAnsi="Times New Roman"/>
          <w:sz w:val="28"/>
          <w:szCs w:val="22"/>
        </w:rPr>
        <w:t xml:space="preserve"> </w:t>
      </w:r>
      <w:r w:rsidR="0064475F">
        <w:rPr>
          <w:rFonts w:ascii="Times New Roman" w:hAnsi="Times New Roman"/>
          <w:sz w:val="28"/>
          <w:szCs w:val="22"/>
        </w:rPr>
        <w:t xml:space="preserve">Attiecībā uz daudzdzīvokļu ēkām un daudzfunkcionālām ēkām, </w:t>
      </w:r>
      <w:r w:rsidR="0064475F" w:rsidRPr="002B6E0D">
        <w:rPr>
          <w:rFonts w:ascii="Times New Roman" w:hAnsi="Times New Roman"/>
          <w:sz w:val="28"/>
          <w:szCs w:val="22"/>
        </w:rPr>
        <w:t xml:space="preserve">kam apkure/dzesēšana tiek nodrošināta no centralizēta avota, no centralizētas siltumapgādes tīkla vai no centrāla avota, kas apkalpo vairākas ēkas, </w:t>
      </w:r>
      <w:r w:rsidR="002B6E0D" w:rsidRPr="002B6E0D">
        <w:rPr>
          <w:rFonts w:ascii="Times New Roman" w:hAnsi="Times New Roman"/>
          <w:sz w:val="28"/>
          <w:szCs w:val="22"/>
        </w:rPr>
        <w:t xml:space="preserve">Direktīva 2012/27/ES nosaka, ka </w:t>
      </w:r>
      <w:r w:rsidR="0064475F">
        <w:rPr>
          <w:rFonts w:ascii="Times New Roman" w:hAnsi="Times New Roman"/>
          <w:sz w:val="28"/>
          <w:szCs w:val="22"/>
        </w:rPr>
        <w:t>jā</w:t>
      </w:r>
      <w:r w:rsidR="002B6E0D" w:rsidRPr="002B6E0D">
        <w:rPr>
          <w:rFonts w:ascii="Times New Roman" w:hAnsi="Times New Roman"/>
          <w:sz w:val="28"/>
          <w:szCs w:val="22"/>
        </w:rPr>
        <w:t>uzstāda individuālos patēriņa skaitītājus, kas uzskaita siltumenerģijas vai dzesēšanas enerģijas vai karstā ūdens patēriņu katrā vienībā, ja tas ir tehniski iespējams un rentabli.</w:t>
      </w:r>
      <w:r w:rsidR="002B6E0D">
        <w:rPr>
          <w:rFonts w:ascii="Times New Roman" w:hAnsi="Times New Roman"/>
          <w:sz w:val="28"/>
          <w:szCs w:val="22"/>
        </w:rPr>
        <w:t xml:space="preserve"> </w:t>
      </w:r>
      <w:r w:rsidR="002B6E0D" w:rsidRPr="002B6E0D">
        <w:rPr>
          <w:sz w:val="28"/>
          <w:szCs w:val="22"/>
        </w:rPr>
        <w:t xml:space="preserve">Ja individuālu siltuma patēriņa skaitītāju izmantošana nav tehniski iespējama vai nav rentabla, siltumenerģijas mērīšanai izmanto individuālus </w:t>
      </w:r>
      <w:proofErr w:type="spellStart"/>
      <w:r w:rsidR="002B6E0D" w:rsidRPr="002B6E0D">
        <w:rPr>
          <w:sz w:val="28"/>
          <w:szCs w:val="22"/>
        </w:rPr>
        <w:t>siltummaksas</w:t>
      </w:r>
      <w:proofErr w:type="spellEnd"/>
      <w:r w:rsidR="002B6E0D" w:rsidRPr="002B6E0D">
        <w:rPr>
          <w:sz w:val="28"/>
          <w:szCs w:val="22"/>
        </w:rPr>
        <w:t xml:space="preserve"> sadalītājus</w:t>
      </w:r>
      <w:r w:rsidR="00145E90">
        <w:rPr>
          <w:sz w:val="28"/>
          <w:szCs w:val="22"/>
        </w:rPr>
        <w:t xml:space="preserve"> (</w:t>
      </w:r>
      <w:proofErr w:type="spellStart"/>
      <w:r w:rsidR="00145E90">
        <w:rPr>
          <w:sz w:val="28"/>
          <w:szCs w:val="22"/>
        </w:rPr>
        <w:t>alokatorus</w:t>
      </w:r>
      <w:proofErr w:type="spellEnd"/>
      <w:r w:rsidR="00145E90">
        <w:rPr>
          <w:sz w:val="28"/>
          <w:szCs w:val="22"/>
        </w:rPr>
        <w:t>)</w:t>
      </w:r>
      <w:r w:rsidR="002B6E0D" w:rsidRPr="002B6E0D">
        <w:rPr>
          <w:sz w:val="28"/>
          <w:szCs w:val="22"/>
        </w:rPr>
        <w:t xml:space="preserve"> siltuma patēriņa uzskaitei katrā radiatorā, ja vien attiecīgā dalībvalsts nepierāda, ka šādu </w:t>
      </w:r>
      <w:proofErr w:type="spellStart"/>
      <w:r w:rsidR="002B6E0D" w:rsidRPr="002B6E0D">
        <w:rPr>
          <w:sz w:val="28"/>
          <w:szCs w:val="22"/>
        </w:rPr>
        <w:t>siltummaksas</w:t>
      </w:r>
      <w:proofErr w:type="spellEnd"/>
      <w:r w:rsidR="002B6E0D" w:rsidRPr="002B6E0D">
        <w:rPr>
          <w:sz w:val="28"/>
          <w:szCs w:val="22"/>
        </w:rPr>
        <w:t xml:space="preserve"> sadalītāju uzstādīšana nebūtu rentabla. Tādos gadījumos var apsvērt alternatīvas rentablas metodes siltuma patēriņa uzskaitei.</w:t>
      </w:r>
    </w:p>
    <w:p w:rsidR="00137C24" w:rsidRPr="007274C0" w:rsidRDefault="007274C0" w:rsidP="007274C0">
      <w:pPr>
        <w:spacing w:after="0" w:line="240" w:lineRule="auto"/>
        <w:ind w:firstLine="426"/>
        <w:jc w:val="both"/>
      </w:pPr>
      <w:r>
        <w:t xml:space="preserve">3) </w:t>
      </w:r>
      <w:r w:rsidR="00110069">
        <w:t>n</w:t>
      </w:r>
      <w:r w:rsidR="00137C24" w:rsidRPr="007274C0">
        <w:t>oslēgt brīvprātīgās vienošanās starp EM un pašvaldībām par enerģijas efektivitātes pasākumu veikšanu</w:t>
      </w:r>
      <w:r w:rsidR="003F46C6" w:rsidRPr="003F46C6">
        <w:rPr>
          <w:szCs w:val="28"/>
        </w:rPr>
        <w:t xml:space="preserve"> </w:t>
      </w:r>
      <w:r w:rsidR="003F46C6" w:rsidRPr="007274C0">
        <w:rPr>
          <w:szCs w:val="28"/>
        </w:rPr>
        <w:t>atbilstoši Mi</w:t>
      </w:r>
      <w:r w:rsidR="00CF55BC">
        <w:rPr>
          <w:szCs w:val="28"/>
        </w:rPr>
        <w:t>nistru kabineta</w:t>
      </w:r>
      <w:r w:rsidR="00B37820">
        <w:rPr>
          <w:szCs w:val="28"/>
        </w:rPr>
        <w:t xml:space="preserve"> </w:t>
      </w:r>
      <w:r w:rsidR="00B37820" w:rsidRPr="00235673">
        <w:rPr>
          <w:color w:val="000000"/>
          <w:szCs w:val="28"/>
        </w:rPr>
        <w:t>2011. gada 12. jūlija</w:t>
      </w:r>
      <w:r w:rsidR="00CF55BC">
        <w:rPr>
          <w:szCs w:val="28"/>
        </w:rPr>
        <w:t xml:space="preserve"> noteikumiem Nr.</w:t>
      </w:r>
      <w:r w:rsidR="003F46C6" w:rsidRPr="007274C0">
        <w:rPr>
          <w:szCs w:val="28"/>
        </w:rPr>
        <w:t>555 „Noteikumi par kārtību, kādā noslēdz un pārrauga vienošanās par energoefektivitātes paaugstināšanu”</w:t>
      </w:r>
      <w:r w:rsidR="00137C24" w:rsidRPr="007274C0">
        <w:t>. Izstrādāt atšķirīgus vienošanās veidus lielajām</w:t>
      </w:r>
      <w:r w:rsidR="00D62B8C">
        <w:t xml:space="preserve"> (Daugavpils, Jelgava, Jēkabpils, Jūrmala, Liepāja, Rēzekne, Rīga, Valmiera, Ventspils)</w:t>
      </w:r>
      <w:r w:rsidR="00137C24" w:rsidRPr="007274C0">
        <w:t xml:space="preserve"> un mazajām pašvaldībām. No valsts puses piedāvāt mazajām pašvaldībām metodisku palīdzību ilgtspējīgu enerģētikas attīstības plānu izstrādāšanā. Tas var ietvert piemērotu modeļu piedāvāšanu, apmācību modeļu izmantošanā un nepieciešamo datu apkopošanai.</w:t>
      </w:r>
      <w:r w:rsidR="003F46C6" w:rsidRPr="003F46C6">
        <w:rPr>
          <w:szCs w:val="28"/>
        </w:rPr>
        <w:t xml:space="preserve"> </w:t>
      </w:r>
      <w:r w:rsidR="003F46C6" w:rsidRPr="007274C0">
        <w:rPr>
          <w:szCs w:val="28"/>
        </w:rPr>
        <w:t xml:space="preserve">Plānotais </w:t>
      </w:r>
      <w:r w:rsidR="003F46C6" w:rsidRPr="007274C0">
        <w:rPr>
          <w:b/>
          <w:szCs w:val="28"/>
        </w:rPr>
        <w:t xml:space="preserve">kumulatīvais ietaupījums 2020. gadā varētu sasniegt 150 </w:t>
      </w:r>
      <w:proofErr w:type="spellStart"/>
      <w:r w:rsidR="003F46C6" w:rsidRPr="007274C0">
        <w:rPr>
          <w:b/>
          <w:szCs w:val="28"/>
        </w:rPr>
        <w:t>GWh</w:t>
      </w:r>
      <w:proofErr w:type="spellEnd"/>
      <w:r w:rsidR="00110069">
        <w:rPr>
          <w:b/>
          <w:szCs w:val="28"/>
        </w:rPr>
        <w:t>;</w:t>
      </w:r>
    </w:p>
    <w:p w:rsidR="00137C24" w:rsidRPr="007274C0" w:rsidRDefault="007274C0" w:rsidP="007274C0">
      <w:pPr>
        <w:spacing w:after="0" w:line="240" w:lineRule="auto"/>
        <w:ind w:firstLine="426"/>
        <w:jc w:val="both"/>
      </w:pPr>
      <w:r w:rsidRPr="007274C0">
        <w:t xml:space="preserve">4) </w:t>
      </w:r>
      <w:r w:rsidR="00110069">
        <w:t>l</w:t>
      </w:r>
      <w:r w:rsidR="00137C24" w:rsidRPr="007274C0">
        <w:t>ielajām pašvaldībām no valsts puses var piedāvāt metodisku palīdzību ilgtspējīgu enerģētikas attīstības plānu izstrādāšanā</w:t>
      </w:r>
      <w:r w:rsidR="00010C9F">
        <w:t>,</w:t>
      </w:r>
      <w:r w:rsidR="00137C24" w:rsidRPr="007274C0">
        <w:t xml:space="preserve"> </w:t>
      </w:r>
      <w:proofErr w:type="spellStart"/>
      <w:r w:rsidR="00137C24" w:rsidRPr="007274C0">
        <w:t>energoauditu</w:t>
      </w:r>
      <w:proofErr w:type="spellEnd"/>
      <w:r w:rsidR="00137C24" w:rsidRPr="007274C0">
        <w:t xml:space="preserve"> veikšanas atbalsta programm</w:t>
      </w:r>
      <w:r w:rsidR="00BC388A">
        <w:t>as</w:t>
      </w:r>
      <w:r w:rsidR="00010C9F">
        <w:t xml:space="preserve"> un atbalstu pilsētu rotācijas fondu veidošanā</w:t>
      </w:r>
      <w:r w:rsidR="00F85A58">
        <w:t xml:space="preserve"> ar aizdevum</w:t>
      </w:r>
      <w:r w:rsidR="00E12D46">
        <w:t>i</w:t>
      </w:r>
      <w:r w:rsidR="00110069">
        <w:t>em uz atvieglotiem nosacījumiem;</w:t>
      </w:r>
    </w:p>
    <w:p w:rsidR="00137C24" w:rsidRPr="007274C0" w:rsidRDefault="007274C0" w:rsidP="007274C0">
      <w:pPr>
        <w:spacing w:after="0" w:line="240" w:lineRule="auto"/>
        <w:ind w:firstLine="426"/>
        <w:jc w:val="both"/>
      </w:pPr>
      <w:r>
        <w:t xml:space="preserve">5) </w:t>
      </w:r>
      <w:r w:rsidR="00110069">
        <w:t>i</w:t>
      </w:r>
      <w:r w:rsidR="00137C24" w:rsidRPr="007274C0">
        <w:t>zstrādāt valsts īpašumā esošo un valsts centrālās valdības izmantojamo telpu izmantošanas efektivitātes plānus, kas nosaka, ka katrai ministrijai ir jāizstrādā plāni, kas paredz enerģijas efektivitātes uzlabošanu par 20 – 25%</w:t>
      </w:r>
      <w:r w:rsidR="00110069">
        <w:t>;</w:t>
      </w:r>
    </w:p>
    <w:p w:rsidR="002F5615" w:rsidRPr="007274C0" w:rsidRDefault="007274C0" w:rsidP="007274C0">
      <w:pPr>
        <w:spacing w:after="0" w:line="240" w:lineRule="auto"/>
        <w:ind w:firstLine="426"/>
        <w:jc w:val="both"/>
      </w:pPr>
      <w:r>
        <w:t xml:space="preserve">6) </w:t>
      </w:r>
      <w:r w:rsidR="00110069">
        <w:t>n</w:t>
      </w:r>
      <w:r w:rsidR="00137C24" w:rsidRPr="007274C0">
        <w:t>oslēgt vienošanos ar valsts īpašumā esošo ēku izmantotājiem par enerģijas efektivitātes pasākum</w:t>
      </w:r>
      <w:r w:rsidR="00CF55BC">
        <w:t>u īstenošanu, kas dod vismaz 25</w:t>
      </w:r>
      <w:r w:rsidR="00137C24" w:rsidRPr="007274C0">
        <w:t xml:space="preserve">% enerģijas efektivitātes uzlabošanu. </w:t>
      </w:r>
      <w:r w:rsidR="00145E90">
        <w:t xml:space="preserve">Energoefektivitātes pasākumu izvēlei un īstenošanai jābalstās uz ēkas </w:t>
      </w:r>
      <w:proofErr w:type="spellStart"/>
      <w:r w:rsidR="00145E90">
        <w:t>energosertifikātam</w:t>
      </w:r>
      <w:proofErr w:type="spellEnd"/>
      <w:r w:rsidR="00145E90">
        <w:t xml:space="preserve"> pievieno pārskatu, kurā norādīti ekonomiski pamatoti energoefektivitāti uzlabojoši pasākumi, kuru īstenošanas izmaksas ir rentablas paredzamajā (plānotajā) kalpošanas laikā. </w:t>
      </w:r>
      <w:r w:rsidR="00137C24" w:rsidRPr="007274C0">
        <w:t>Valsts var piedāvāt samazinātas īres maksas noteiktam periodam pēc ēkas energoefek</w:t>
      </w:r>
      <w:r w:rsidR="00145E90">
        <w:t>tivitātes pasākumu īstenošanas</w:t>
      </w:r>
      <w:r w:rsidR="00110069">
        <w:t>;</w:t>
      </w:r>
    </w:p>
    <w:p w:rsidR="00701C7F" w:rsidRPr="007274C0" w:rsidRDefault="003F46C6" w:rsidP="007274C0">
      <w:pPr>
        <w:spacing w:after="0" w:line="240" w:lineRule="auto"/>
        <w:ind w:firstLine="425"/>
        <w:jc w:val="both"/>
        <w:rPr>
          <w:szCs w:val="28"/>
        </w:rPr>
      </w:pPr>
      <w:r>
        <w:rPr>
          <w:szCs w:val="28"/>
        </w:rPr>
        <w:t>7</w:t>
      </w:r>
      <w:r w:rsidR="007274C0">
        <w:rPr>
          <w:szCs w:val="28"/>
        </w:rPr>
        <w:t xml:space="preserve">) </w:t>
      </w:r>
      <w:r w:rsidR="00110069">
        <w:rPr>
          <w:szCs w:val="28"/>
        </w:rPr>
        <w:t>e</w:t>
      </w:r>
      <w:r w:rsidR="00701C7F" w:rsidRPr="007274C0">
        <w:rPr>
          <w:szCs w:val="28"/>
        </w:rPr>
        <w:t xml:space="preserve">nergoefektivitātes kritēriju iekļaušana valsts atbalsta programmu nosacījumos. Stratēģijā 2030 norādīts, ka tās darbības periodā energoefektivitāte ir nacionāla prioritāte un ir ātrākais un izmaksu ziņā efektīvākais ilgtspējas un konkurētspējas risku samazināšanas veids, vienlaicīgi radot papildu darbavietas un veicinot izaugsmi. Tāpēc valstij savas intervences jomās svarīgi izmantot </w:t>
      </w:r>
      <w:r w:rsidR="00701C7F" w:rsidRPr="007274C0">
        <w:rPr>
          <w:szCs w:val="28"/>
        </w:rPr>
        <w:lastRenderedPageBreak/>
        <w:t>visas iespējas energoefektivitātes paaugstināšanai.</w:t>
      </w:r>
      <w:r w:rsidR="00682FFC">
        <w:rPr>
          <w:szCs w:val="28"/>
        </w:rPr>
        <w:t xml:space="preserve"> Jāapsver iespēja atjaunot energoefektivitātes prasības, nosakot tehnisko rādītāju līmeni energoapgādes komersantiem, kas nodarbojas ar siltumenerģijas ražošanu un centralizēto siltumapgādi. </w:t>
      </w:r>
    </w:p>
    <w:p w:rsidR="00137C24" w:rsidRPr="00110069" w:rsidRDefault="00137C24" w:rsidP="00137C24">
      <w:pPr>
        <w:autoSpaceDE w:val="0"/>
        <w:autoSpaceDN w:val="0"/>
        <w:adjustRightInd w:val="0"/>
        <w:spacing w:after="0" w:line="240" w:lineRule="auto"/>
        <w:jc w:val="both"/>
        <w:rPr>
          <w:b/>
          <w:u w:val="single"/>
        </w:rPr>
      </w:pPr>
      <w:r>
        <w:tab/>
      </w:r>
      <w:r w:rsidRPr="00110069">
        <w:rPr>
          <w:b/>
          <w:u w:val="single"/>
        </w:rPr>
        <w:t>Mājsaimniecību sektors</w:t>
      </w:r>
    </w:p>
    <w:p w:rsidR="00137C24" w:rsidRPr="003D48F5" w:rsidRDefault="00137C24" w:rsidP="00137C24">
      <w:pPr>
        <w:autoSpaceDE w:val="0"/>
        <w:autoSpaceDN w:val="0"/>
        <w:adjustRightInd w:val="0"/>
        <w:spacing w:after="0" w:line="240" w:lineRule="auto"/>
        <w:jc w:val="both"/>
      </w:pPr>
      <w:r>
        <w:tab/>
      </w:r>
      <w:r w:rsidRPr="003D48F5">
        <w:t xml:space="preserve">Līdz šim Latvijā mājsaimniecībām, kas </w:t>
      </w:r>
      <w:r w:rsidR="00B0623F">
        <w:t>atrodas privāt</w:t>
      </w:r>
      <w:r w:rsidRPr="003D48F5">
        <w:t>mājās</w:t>
      </w:r>
      <w:r w:rsidR="00110069">
        <w:t>,</w:t>
      </w:r>
      <w:r w:rsidRPr="003D48F5">
        <w:t xml:space="preserve"> ir bijušas mazas iespējas saņemt atbalstu energoefektivitātes pasākumu veikšanai. Tomēr privātmājas aizņem lielu daļu no kopējā mājsaimniecību dzīvojamā fonda. Lai stimulētu energoefektivitātes pasākumu veikšanu privātmājās, tādā veidā plašāk iesaistot privāto kapitālu energoefektivitātes pasākumos, nepieciešams izveidot atbalsta pasākumus arī šai grupai. </w:t>
      </w:r>
    </w:p>
    <w:p w:rsidR="00137C24" w:rsidRPr="003D48F5" w:rsidRDefault="00B65F2A" w:rsidP="00137C24">
      <w:pPr>
        <w:autoSpaceDE w:val="0"/>
        <w:autoSpaceDN w:val="0"/>
        <w:adjustRightInd w:val="0"/>
        <w:spacing w:after="0" w:line="240" w:lineRule="auto"/>
        <w:jc w:val="both"/>
      </w:pPr>
      <w:r>
        <w:tab/>
      </w:r>
      <w:r w:rsidR="00137C24" w:rsidRPr="003D48F5">
        <w:t xml:space="preserve">Pašvaldības var izveidot informācijas centru vai </w:t>
      </w:r>
      <w:r w:rsidR="00137C24">
        <w:t xml:space="preserve">nodrošināt </w:t>
      </w:r>
      <w:r w:rsidR="00137C24" w:rsidRPr="003D48F5">
        <w:t>ekspertu, kas sniedz bezmaksas konsultācijas iedzīvotājiem par iespējamiem risinājumiem</w:t>
      </w:r>
      <w:r w:rsidR="00274912">
        <w:t xml:space="preserve"> </w:t>
      </w:r>
      <w:r w:rsidR="00137C24" w:rsidRPr="003D48F5">
        <w:t>energoefektivitātes uzlabošanai mājsaimniecībās.</w:t>
      </w:r>
      <w:r w:rsidR="00B0232D">
        <w:t xml:space="preserve"> Šobrīd pašvaldībās darbojas divas enerģētikas aģentūras – „Rīgas enerģētikas aģentūra” un „Zemgales reģionālā enerģētikas aģentūra”, kas sniedz iedzīvotājiem bezmaksas konsultācijas par risinājumiem energoefektivitātes paaugstināšanā mājsaimniecībās.</w:t>
      </w:r>
    </w:p>
    <w:p w:rsidR="00137C24" w:rsidRPr="003D48F5" w:rsidRDefault="00137C24" w:rsidP="00137C24">
      <w:pPr>
        <w:autoSpaceDE w:val="0"/>
        <w:autoSpaceDN w:val="0"/>
        <w:adjustRightInd w:val="0"/>
        <w:spacing w:after="0" w:line="240" w:lineRule="auto"/>
        <w:jc w:val="both"/>
      </w:pPr>
      <w:r>
        <w:tab/>
      </w:r>
      <w:r w:rsidRPr="003D48F5">
        <w:t xml:space="preserve">Valsts vai pašvaldības var </w:t>
      </w:r>
      <w:r w:rsidR="00F27DA0">
        <w:t>sniegt</w:t>
      </w:r>
      <w:r w:rsidRPr="003D48F5">
        <w:t xml:space="preserve"> </w:t>
      </w:r>
      <w:r w:rsidR="00F27DA0">
        <w:t>a</w:t>
      </w:r>
      <w:r w:rsidRPr="003D48F5">
        <w:t>tbalst</w:t>
      </w:r>
      <w:r w:rsidR="00F27DA0">
        <w:t>u</w:t>
      </w:r>
      <w:r w:rsidRPr="003D48F5">
        <w:t xml:space="preserve"> mājsaimniecībām</w:t>
      </w:r>
      <w:r w:rsidR="00F27DA0">
        <w:t xml:space="preserve"> energoefektivitātes pasākumu veikšanai</w:t>
      </w:r>
      <w:r w:rsidRPr="003D48F5">
        <w:t>, līdzīgi</w:t>
      </w:r>
      <w:r w:rsidR="00F27DA0">
        <w:t xml:space="preserve"> kā tiek darīts, piemēram, Rīgā, Valmierā, Liepājā, </w:t>
      </w:r>
      <w:proofErr w:type="spellStart"/>
      <w:r w:rsidR="00F27DA0">
        <w:t>u</w:t>
      </w:r>
      <w:r w:rsidR="00145E90">
        <w:t>.</w:t>
      </w:r>
      <w:r w:rsidR="00F27DA0">
        <w:t>c</w:t>
      </w:r>
      <w:proofErr w:type="spellEnd"/>
      <w:r w:rsidR="00F27DA0">
        <w:t>.</w:t>
      </w:r>
      <w:r w:rsidRPr="003D48F5">
        <w:t xml:space="preserve"> </w:t>
      </w:r>
    </w:p>
    <w:p w:rsidR="00137C24" w:rsidRPr="00110069" w:rsidRDefault="00137C24" w:rsidP="00137C24">
      <w:pPr>
        <w:pStyle w:val="NoSpacing"/>
        <w:ind w:firstLine="720"/>
        <w:jc w:val="both"/>
        <w:rPr>
          <w:rFonts w:ascii="Times New Roman" w:eastAsiaTheme="minorHAnsi" w:hAnsi="Times New Roman" w:cstheme="minorBidi"/>
          <w:b/>
          <w:sz w:val="28"/>
          <w:u w:val="single"/>
        </w:rPr>
      </w:pPr>
      <w:r w:rsidRPr="00110069">
        <w:rPr>
          <w:rFonts w:ascii="Times New Roman" w:eastAsiaTheme="minorHAnsi" w:hAnsi="Times New Roman" w:cstheme="minorBidi"/>
          <w:b/>
          <w:sz w:val="28"/>
          <w:u w:val="single"/>
        </w:rPr>
        <w:t>Transporta sektors</w:t>
      </w:r>
    </w:p>
    <w:p w:rsidR="00137C24" w:rsidRPr="003D48F5" w:rsidRDefault="00137C24" w:rsidP="00137C24">
      <w:pPr>
        <w:pStyle w:val="NoSpacing"/>
        <w:ind w:firstLine="720"/>
        <w:jc w:val="both"/>
        <w:rPr>
          <w:rFonts w:ascii="Times New Roman" w:eastAsiaTheme="minorHAnsi" w:hAnsi="Times New Roman" w:cstheme="minorBidi"/>
          <w:sz w:val="28"/>
        </w:rPr>
      </w:pPr>
      <w:r w:rsidRPr="003D48F5">
        <w:rPr>
          <w:rFonts w:ascii="Times New Roman" w:eastAsiaTheme="minorHAnsi" w:hAnsi="Times New Roman" w:cstheme="minorBidi"/>
          <w:sz w:val="28"/>
        </w:rPr>
        <w:t>Saskaņā ar Satiksmes ministrijas izstrādāto un 2013. gada 19. novembrī Ministru kabinetā apstiprināto Informatīv</w:t>
      </w:r>
      <w:r w:rsidR="00B37820">
        <w:rPr>
          <w:rFonts w:ascii="Times New Roman" w:eastAsiaTheme="minorHAnsi" w:hAnsi="Times New Roman" w:cstheme="minorBidi"/>
          <w:sz w:val="28"/>
        </w:rPr>
        <w:t>o</w:t>
      </w:r>
      <w:r w:rsidRPr="003D48F5">
        <w:rPr>
          <w:rFonts w:ascii="Times New Roman" w:eastAsiaTheme="minorHAnsi" w:hAnsi="Times New Roman" w:cstheme="minorBidi"/>
          <w:sz w:val="28"/>
        </w:rPr>
        <w:t xml:space="preserve"> ziņojum</w:t>
      </w:r>
      <w:r w:rsidR="00B37820">
        <w:rPr>
          <w:rFonts w:ascii="Times New Roman" w:eastAsiaTheme="minorHAnsi" w:hAnsi="Times New Roman" w:cstheme="minorBidi"/>
          <w:sz w:val="28"/>
        </w:rPr>
        <w:t xml:space="preserve">u </w:t>
      </w:r>
      <w:r w:rsidRPr="003D48F5">
        <w:rPr>
          <w:rFonts w:ascii="Times New Roman" w:eastAsiaTheme="minorHAnsi" w:hAnsi="Times New Roman" w:cstheme="minorBidi"/>
          <w:sz w:val="28"/>
        </w:rPr>
        <w:t xml:space="preserve">par AS „Pasažieru vilciens” ritošā sastāva modernizāciju, </w:t>
      </w:r>
      <w:r w:rsidR="00941AC2">
        <w:rPr>
          <w:rFonts w:ascii="Times New Roman" w:eastAsiaTheme="minorHAnsi" w:hAnsi="Times New Roman" w:cstheme="minorBidi"/>
          <w:sz w:val="28"/>
        </w:rPr>
        <w:t>Satiksmes ministrija</w:t>
      </w:r>
      <w:r w:rsidRPr="003D48F5">
        <w:rPr>
          <w:rFonts w:ascii="Times New Roman" w:eastAsiaTheme="minorHAnsi" w:hAnsi="Times New Roman" w:cstheme="minorBidi"/>
          <w:sz w:val="28"/>
        </w:rPr>
        <w:t xml:space="preserve"> plāno atjaunot AS „Pasažieru vilciens” ritošo sastāvu, nomājot jaunus elektrovilcienus (24 – 45 vilcienus, 15 gadu laikā), un laika posmā no 2014. gada janvāra līdz 2015. gada augustam, modernizējot 19 esošos dīzeļvilcienus. Prognozētā energoresursu ekonomija, kas saistīta ar samazinātu energoresursu patēriņu un efektīvāku jaunā ritošā sastāva darbību, varētu būt 15%. </w:t>
      </w:r>
      <w:r w:rsidRPr="002F5615">
        <w:rPr>
          <w:rFonts w:ascii="Times New Roman" w:eastAsiaTheme="minorHAnsi" w:hAnsi="Times New Roman" w:cstheme="minorBidi"/>
          <w:b/>
          <w:sz w:val="28"/>
        </w:rPr>
        <w:t xml:space="preserve">Kumulatīvais ietaupījums uz 2020. gadu varētu sasniegt 31 </w:t>
      </w:r>
      <w:proofErr w:type="spellStart"/>
      <w:r w:rsidRPr="002F5615">
        <w:rPr>
          <w:rFonts w:ascii="Times New Roman" w:eastAsiaTheme="minorHAnsi" w:hAnsi="Times New Roman" w:cstheme="minorBidi"/>
          <w:b/>
          <w:sz w:val="28"/>
        </w:rPr>
        <w:t>GWh</w:t>
      </w:r>
      <w:proofErr w:type="spellEnd"/>
      <w:r w:rsidRPr="003D48F5">
        <w:rPr>
          <w:rFonts w:ascii="Times New Roman" w:eastAsiaTheme="minorHAnsi" w:hAnsi="Times New Roman" w:cstheme="minorBidi"/>
          <w:sz w:val="28"/>
        </w:rPr>
        <w:t>.</w:t>
      </w:r>
    </w:p>
    <w:p w:rsidR="00137C24" w:rsidRPr="003D48F5" w:rsidRDefault="00137C24" w:rsidP="00137C24">
      <w:pPr>
        <w:autoSpaceDE w:val="0"/>
        <w:autoSpaceDN w:val="0"/>
        <w:adjustRightInd w:val="0"/>
        <w:spacing w:after="0" w:line="240" w:lineRule="auto"/>
        <w:jc w:val="both"/>
      </w:pPr>
      <w:r>
        <w:tab/>
      </w:r>
      <w:r w:rsidRPr="003D48F5">
        <w:t>Automašīnu enerģijas efektivitātes uzlabošana var tikt īstenota, izmantojot sekojošus pasākumus:</w:t>
      </w:r>
    </w:p>
    <w:p w:rsidR="00137C24" w:rsidRPr="003D48F5" w:rsidRDefault="00137C24" w:rsidP="00137C24">
      <w:pPr>
        <w:numPr>
          <w:ilvl w:val="0"/>
          <w:numId w:val="6"/>
        </w:numPr>
        <w:autoSpaceDE w:val="0"/>
        <w:autoSpaceDN w:val="0"/>
        <w:adjustRightInd w:val="0"/>
        <w:spacing w:after="0" w:line="240" w:lineRule="auto"/>
        <w:jc w:val="both"/>
      </w:pPr>
      <w:r>
        <w:t>p</w:t>
      </w:r>
      <w:r w:rsidRPr="003D48F5">
        <w:t>ilnveidojot ES tiesisko regulējumu;</w:t>
      </w:r>
    </w:p>
    <w:p w:rsidR="00137C24" w:rsidRPr="003D48F5" w:rsidRDefault="00137C24" w:rsidP="00137C24">
      <w:pPr>
        <w:numPr>
          <w:ilvl w:val="0"/>
          <w:numId w:val="6"/>
        </w:numPr>
        <w:autoSpaceDE w:val="0"/>
        <w:autoSpaceDN w:val="0"/>
        <w:adjustRightInd w:val="0"/>
        <w:spacing w:after="0" w:line="240" w:lineRule="auto"/>
        <w:jc w:val="both"/>
      </w:pPr>
      <w:r>
        <w:t>p</w:t>
      </w:r>
      <w:r w:rsidRPr="003D48F5">
        <w:t>ilnveidojot nodokļu politiku;</w:t>
      </w:r>
    </w:p>
    <w:p w:rsidR="00137C24" w:rsidRPr="003D48F5" w:rsidRDefault="00137C24" w:rsidP="00137C24">
      <w:pPr>
        <w:numPr>
          <w:ilvl w:val="0"/>
          <w:numId w:val="6"/>
        </w:numPr>
        <w:autoSpaceDE w:val="0"/>
        <w:autoSpaceDN w:val="0"/>
        <w:adjustRightInd w:val="0"/>
        <w:spacing w:after="0" w:line="240" w:lineRule="auto"/>
        <w:jc w:val="both"/>
      </w:pPr>
      <w:r>
        <w:t>p</w:t>
      </w:r>
      <w:r w:rsidRPr="003D48F5">
        <w:t>ilnveidojot automašīnu izmantošanu ar informācijas izplatīšanas pasākumu palīdzību.</w:t>
      </w:r>
    </w:p>
    <w:p w:rsidR="00137C24" w:rsidRDefault="00137C24" w:rsidP="00137C24">
      <w:pPr>
        <w:autoSpaceDE w:val="0"/>
        <w:autoSpaceDN w:val="0"/>
        <w:adjustRightInd w:val="0"/>
        <w:spacing w:after="0" w:line="240" w:lineRule="auto"/>
        <w:jc w:val="both"/>
      </w:pPr>
      <w:r w:rsidRPr="003D48F5">
        <w:tab/>
        <w:t>Nacionālās programmas attiecas uz pēdējiem diviem minētiem pasākumu veidiem.</w:t>
      </w:r>
    </w:p>
    <w:p w:rsidR="00F27DA0" w:rsidRPr="003D48F5" w:rsidRDefault="00A1786C" w:rsidP="00534628">
      <w:pPr>
        <w:autoSpaceDE w:val="0"/>
        <w:autoSpaceDN w:val="0"/>
        <w:adjustRightInd w:val="0"/>
        <w:spacing w:after="0" w:line="240" w:lineRule="auto"/>
        <w:ind w:firstLine="720"/>
        <w:jc w:val="both"/>
      </w:pPr>
      <w:r w:rsidRPr="00A1786C">
        <w:t xml:space="preserve">Nodokļu politiku kontekstā Latvijā ir svarīgi nodrošināt atbilstoša līmeņa enerģijas vai CO2 nodokļus, kuru rezultātā mazinās tiešais enerģijas patēriņš, </w:t>
      </w:r>
      <w:r w:rsidR="00145E90">
        <w:t>kā tas noteikts Stratēģijā 2030</w:t>
      </w:r>
      <w:r w:rsidR="00534628">
        <w:t>.</w:t>
      </w:r>
      <w:r w:rsidR="00F27DA0">
        <w:t xml:space="preserve"> </w:t>
      </w:r>
    </w:p>
    <w:p w:rsidR="00137C24" w:rsidRPr="003D48F5" w:rsidRDefault="00137C24" w:rsidP="00137C24">
      <w:pPr>
        <w:autoSpaceDE w:val="0"/>
        <w:autoSpaceDN w:val="0"/>
        <w:adjustRightInd w:val="0"/>
        <w:spacing w:after="0" w:line="240" w:lineRule="auto"/>
        <w:ind w:firstLine="720"/>
        <w:jc w:val="both"/>
      </w:pPr>
      <w:r w:rsidRPr="003D48F5">
        <w:lastRenderedPageBreak/>
        <w:t>Izglītošanas un apmācības pasākum</w:t>
      </w:r>
      <w:r w:rsidR="009747D4">
        <w:t>us</w:t>
      </w:r>
      <w:r w:rsidRPr="003D48F5">
        <w:t xml:space="preserve"> autovadītājiem par </w:t>
      </w:r>
      <w:proofErr w:type="spellStart"/>
      <w:r w:rsidRPr="003D48F5">
        <w:t>energoefektīvu</w:t>
      </w:r>
      <w:proofErr w:type="spellEnd"/>
      <w:r w:rsidRPr="003D48F5">
        <w:t xml:space="preserve"> braukšanu gan iegūstot braukšanas apliecības, gan tāl</w:t>
      </w:r>
      <w:r w:rsidR="00F27DA0">
        <w:t>ākos speciālos apmācības kursos</w:t>
      </w:r>
      <w:r w:rsidR="009747D4">
        <w:t xml:space="preserve">, </w:t>
      </w:r>
      <w:r w:rsidR="00F27DA0">
        <w:t>piedāvā dažas autoskolas Latvijā.</w:t>
      </w:r>
      <w:r w:rsidRPr="003D48F5">
        <w:t xml:space="preserve"> Apmācības kursos nepieciešams veidot privātā transporta autovadītājiem un speciālām biznesa grupām, piemēram, kravas transporta vadītājiem, autobusa vadītājiem. Autovadītāju izglītošana var tikt veltīta gan automašīnas tehniskiem jautājumiem un nepieciešamo parametru ievērošanai, gan automašīnas vadīšanas stila ietekmei uz degvielas patēriņu. Jautājumi, kas tiek ietverti šādās izglītojošās informatīvās kampaņās varbūt sekojoši, bet ne tikai</w:t>
      </w:r>
      <w:r w:rsidR="00A1786C">
        <w:rPr>
          <w:rStyle w:val="FootnoteReference"/>
        </w:rPr>
        <w:footnoteReference w:id="14"/>
      </w:r>
      <w:r w:rsidRPr="003D48F5">
        <w:t xml:space="preserve">: </w:t>
      </w:r>
    </w:p>
    <w:p w:rsidR="00137C24" w:rsidRPr="003D48F5" w:rsidRDefault="00145E90" w:rsidP="00137C24">
      <w:pPr>
        <w:pStyle w:val="BodyText"/>
        <w:tabs>
          <w:tab w:val="left" w:pos="357"/>
          <w:tab w:val="left" w:pos="720"/>
        </w:tabs>
        <w:spacing w:after="0" w:line="240" w:lineRule="auto"/>
        <w:jc w:val="both"/>
        <w:rPr>
          <w:rFonts w:ascii="Times New Roman" w:eastAsiaTheme="minorHAnsi" w:hAnsi="Times New Roman" w:cstheme="minorBidi"/>
          <w:sz w:val="28"/>
          <w:szCs w:val="22"/>
          <w:lang w:bidi="ar-SA"/>
        </w:rPr>
      </w:pPr>
      <w:r>
        <w:rPr>
          <w:rFonts w:ascii="Times New Roman" w:eastAsiaTheme="minorHAnsi" w:hAnsi="Times New Roman" w:cstheme="minorBidi"/>
          <w:sz w:val="28"/>
          <w:szCs w:val="22"/>
          <w:lang w:bidi="ar-SA"/>
        </w:rPr>
        <w:tab/>
        <w:t xml:space="preserve">1) </w:t>
      </w:r>
      <w:r w:rsidR="00137C24" w:rsidRPr="003D48F5">
        <w:rPr>
          <w:rFonts w:ascii="Times New Roman" w:eastAsiaTheme="minorHAnsi" w:hAnsi="Times New Roman" w:cstheme="minorBidi"/>
          <w:sz w:val="28"/>
          <w:szCs w:val="22"/>
          <w:lang w:bidi="ar-SA"/>
        </w:rPr>
        <w:t>gaisa spiediena riepās kontrolēšana, lai nepieļautu degvielas patēriņa palielināšanos, piemēram:</w:t>
      </w:r>
    </w:p>
    <w:p w:rsidR="00137C24" w:rsidRPr="003D48F5" w:rsidRDefault="00137C24" w:rsidP="00137C24">
      <w:pPr>
        <w:pStyle w:val="BodyText"/>
        <w:numPr>
          <w:ilvl w:val="0"/>
          <w:numId w:val="5"/>
        </w:numPr>
        <w:spacing w:after="0" w:line="240" w:lineRule="auto"/>
        <w:jc w:val="both"/>
        <w:rPr>
          <w:rFonts w:ascii="Times New Roman" w:eastAsiaTheme="minorHAnsi" w:hAnsi="Times New Roman" w:cstheme="minorBidi"/>
          <w:sz w:val="28"/>
          <w:szCs w:val="22"/>
          <w:lang w:bidi="ar-SA"/>
        </w:rPr>
      </w:pPr>
      <w:r>
        <w:rPr>
          <w:rFonts w:ascii="Times New Roman" w:eastAsiaTheme="minorHAnsi" w:hAnsi="Times New Roman" w:cstheme="minorBidi"/>
          <w:sz w:val="28"/>
          <w:szCs w:val="22"/>
          <w:lang w:bidi="ar-SA"/>
        </w:rPr>
        <w:t>s</w:t>
      </w:r>
      <w:r w:rsidRPr="003D48F5">
        <w:rPr>
          <w:rFonts w:ascii="Times New Roman" w:eastAsiaTheme="minorHAnsi" w:hAnsi="Times New Roman" w:cstheme="minorBidi"/>
          <w:sz w:val="28"/>
          <w:szCs w:val="22"/>
          <w:lang w:bidi="ar-SA"/>
        </w:rPr>
        <w:t>piediens riepās zemāks par 0,2 bar nekā ieteiktais palielina degvielas patēriņu par 1%;</w:t>
      </w:r>
    </w:p>
    <w:p w:rsidR="00137C24" w:rsidRPr="003D48F5" w:rsidRDefault="00137C24" w:rsidP="00137C24">
      <w:pPr>
        <w:pStyle w:val="BodyText"/>
        <w:numPr>
          <w:ilvl w:val="0"/>
          <w:numId w:val="5"/>
        </w:numPr>
        <w:spacing w:after="0" w:line="240" w:lineRule="auto"/>
        <w:jc w:val="both"/>
        <w:rPr>
          <w:rFonts w:ascii="Times New Roman" w:eastAsiaTheme="minorHAnsi" w:hAnsi="Times New Roman" w:cstheme="minorBidi"/>
          <w:sz w:val="28"/>
          <w:szCs w:val="22"/>
          <w:lang w:bidi="ar-SA"/>
        </w:rPr>
      </w:pPr>
      <w:r>
        <w:rPr>
          <w:rFonts w:ascii="Times New Roman" w:eastAsiaTheme="minorHAnsi" w:hAnsi="Times New Roman" w:cstheme="minorBidi"/>
          <w:sz w:val="28"/>
          <w:szCs w:val="22"/>
          <w:lang w:bidi="ar-SA"/>
        </w:rPr>
        <w:t>s</w:t>
      </w:r>
      <w:r w:rsidRPr="003D48F5">
        <w:rPr>
          <w:rFonts w:ascii="Times New Roman" w:eastAsiaTheme="minorHAnsi" w:hAnsi="Times New Roman" w:cstheme="minorBidi"/>
          <w:sz w:val="28"/>
          <w:szCs w:val="22"/>
          <w:lang w:bidi="ar-SA"/>
        </w:rPr>
        <w:t>piediens riepās zemāks par 0,4 bar nekā ieteiktais palielina degvielas patēriņu par 2%;</w:t>
      </w:r>
    </w:p>
    <w:p w:rsidR="00137C24" w:rsidRPr="003D48F5" w:rsidRDefault="00137C24" w:rsidP="00137C24">
      <w:pPr>
        <w:numPr>
          <w:ilvl w:val="0"/>
          <w:numId w:val="5"/>
        </w:numPr>
        <w:spacing w:after="0" w:line="240" w:lineRule="auto"/>
        <w:jc w:val="both"/>
        <w:textAlignment w:val="top"/>
      </w:pPr>
      <w:r>
        <w:t>s</w:t>
      </w:r>
      <w:r w:rsidRPr="003D48F5">
        <w:t>piediens riepās zemāks par 0,6 bar nekā ieteiktais palielina degvielas patēriņu par 4%;</w:t>
      </w:r>
    </w:p>
    <w:p w:rsidR="00137C24" w:rsidRPr="003D48F5" w:rsidRDefault="00145E90" w:rsidP="00145E90">
      <w:pPr>
        <w:spacing w:after="0" w:line="240" w:lineRule="auto"/>
        <w:ind w:firstLine="357"/>
        <w:jc w:val="both"/>
        <w:textAlignment w:val="top"/>
      </w:pPr>
      <w:r>
        <w:t xml:space="preserve">2) </w:t>
      </w:r>
      <w:r w:rsidR="00137C24">
        <w:t>p</w:t>
      </w:r>
      <w:r w:rsidR="00137C24" w:rsidRPr="003D48F5">
        <w:t>alielināts ātrums palielina degvielas patēriņu, piemēram;</w:t>
      </w:r>
    </w:p>
    <w:p w:rsidR="00137C24" w:rsidRDefault="00137C24" w:rsidP="00137C24">
      <w:pPr>
        <w:numPr>
          <w:ilvl w:val="0"/>
          <w:numId w:val="5"/>
        </w:numPr>
        <w:spacing w:before="120" w:after="0" w:line="240" w:lineRule="auto"/>
        <w:jc w:val="both"/>
        <w:textAlignment w:val="top"/>
      </w:pPr>
      <w:r>
        <w:t>b</w:t>
      </w:r>
      <w:r w:rsidRPr="003D48F5">
        <w:t>raukšanas ātrums 105 km/h salīdzinot ar 90 km/h palielina degvielas patēriņu par apmēram 20%;</w:t>
      </w:r>
    </w:p>
    <w:p w:rsidR="003919C6" w:rsidRPr="003D48F5" w:rsidRDefault="00137C24" w:rsidP="00137C24">
      <w:pPr>
        <w:numPr>
          <w:ilvl w:val="0"/>
          <w:numId w:val="5"/>
        </w:numPr>
        <w:spacing w:before="120" w:after="0" w:line="240" w:lineRule="auto"/>
        <w:jc w:val="both"/>
        <w:textAlignment w:val="top"/>
      </w:pPr>
      <w:r>
        <w:t>b</w:t>
      </w:r>
      <w:r w:rsidRPr="003D48F5">
        <w:t>raukšanas ātrums 120 km/h palielina degvielas patēriņu par apmēram 25%.</w:t>
      </w:r>
    </w:p>
    <w:p w:rsidR="00FA69C4" w:rsidRDefault="00FA69C4" w:rsidP="00FA69C4">
      <w:pPr>
        <w:pStyle w:val="Heading3"/>
        <w:spacing w:after="120"/>
      </w:pPr>
      <w:bookmarkStart w:id="21" w:name="_Toc387237967"/>
      <w:r>
        <w:t>3.1.6. Pārrēķina koeficienti enerģijas veidiem</w:t>
      </w:r>
      <w:bookmarkEnd w:id="21"/>
    </w:p>
    <w:p w:rsidR="006C5056" w:rsidRPr="003D48F5" w:rsidRDefault="0079618A" w:rsidP="00AE6C6B">
      <w:pPr>
        <w:autoSpaceDE w:val="0"/>
        <w:autoSpaceDN w:val="0"/>
        <w:adjustRightInd w:val="0"/>
        <w:spacing w:after="0" w:line="240" w:lineRule="auto"/>
        <w:jc w:val="both"/>
      </w:pPr>
      <w:r w:rsidRPr="003D48F5">
        <w:tab/>
        <w:t>Lai salīdzinātu enerģijas ietaupījumu un veiktu pārrēķinu uz salīdzināmu vienību, tiek piemēroti gan Direktīvas 2012/27/ES IV pielikumā noteiktie pārrēķina koeficienti, gan atšķirīgi pārrēķina koeficienti, kas noteikti pamatojoties uz dalībvalst</w:t>
      </w:r>
      <w:r w:rsidR="00DD2F52" w:rsidRPr="003D48F5">
        <w:t>u atšķirīgo situāciju enerģētikas nozarē</w:t>
      </w:r>
      <w:r w:rsidRPr="003D48F5">
        <w:t xml:space="preserve">. </w:t>
      </w:r>
    </w:p>
    <w:p w:rsidR="006C5056" w:rsidRPr="003D48F5" w:rsidRDefault="006C5056" w:rsidP="00AE6C6B">
      <w:pPr>
        <w:spacing w:after="0" w:line="240" w:lineRule="auto"/>
        <w:jc w:val="both"/>
      </w:pPr>
      <w:r w:rsidRPr="003D48F5">
        <w:tab/>
        <w:t xml:space="preserve">Latvijas energoresursu patēriņa pārrēķināšanai izmantotie pārveidošanas koeficienti </w:t>
      </w:r>
      <w:r w:rsidR="00D322B9">
        <w:t>parādīti 9</w:t>
      </w:r>
      <w:r w:rsidR="00A44DD6">
        <w:t xml:space="preserve">. tabulā </w:t>
      </w:r>
      <w:r w:rsidRPr="003D48F5">
        <w:t>(iekrāsoti dzeltenā krāsā), ņemot vērā Direktīvas 2012/27/ES IV Pielikuma un Latvijas Republikas Centrālās statistikas pārvaldes izmantotās zemākās siltumspējas (</w:t>
      </w:r>
      <w:proofErr w:type="spellStart"/>
      <w:r w:rsidRPr="003D48F5">
        <w:t>Net</w:t>
      </w:r>
      <w:proofErr w:type="spellEnd"/>
      <w:r w:rsidRPr="003D48F5">
        <w:t xml:space="preserve"> </w:t>
      </w:r>
      <w:proofErr w:type="spellStart"/>
      <w:r w:rsidRPr="003D48F5">
        <w:t>calorific</w:t>
      </w:r>
      <w:proofErr w:type="spellEnd"/>
      <w:r w:rsidRPr="003D48F5">
        <w:t xml:space="preserve"> </w:t>
      </w:r>
      <w:proofErr w:type="spellStart"/>
      <w:r w:rsidRPr="003D48F5">
        <w:t>value</w:t>
      </w:r>
      <w:proofErr w:type="spellEnd"/>
      <w:r w:rsidRPr="003D48F5">
        <w:t>).</w:t>
      </w:r>
    </w:p>
    <w:p w:rsidR="006C5056" w:rsidRPr="0099397F" w:rsidRDefault="00D322B9" w:rsidP="002E17DC">
      <w:pPr>
        <w:spacing w:before="240" w:after="0" w:line="240" w:lineRule="auto"/>
        <w:jc w:val="right"/>
        <w:rPr>
          <w:b/>
          <w:sz w:val="22"/>
        </w:rPr>
      </w:pPr>
      <w:r w:rsidRPr="0099397F">
        <w:rPr>
          <w:b/>
          <w:sz w:val="22"/>
        </w:rPr>
        <w:t>9</w:t>
      </w:r>
      <w:r w:rsidR="006C5056" w:rsidRPr="0099397F">
        <w:rPr>
          <w:b/>
          <w:sz w:val="22"/>
        </w:rPr>
        <w:t>. tabula</w:t>
      </w:r>
    </w:p>
    <w:p w:rsidR="006C5056" w:rsidRPr="0099397F" w:rsidRDefault="006C5056" w:rsidP="00CE55AA">
      <w:pPr>
        <w:spacing w:after="0" w:line="240" w:lineRule="auto"/>
        <w:jc w:val="right"/>
        <w:rPr>
          <w:b/>
          <w:sz w:val="22"/>
        </w:rPr>
      </w:pPr>
      <w:r w:rsidRPr="0099397F">
        <w:rPr>
          <w:b/>
          <w:sz w:val="22"/>
        </w:rPr>
        <w:t>Izmantotās zemākās siltumspējas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848"/>
        <w:gridCol w:w="1751"/>
        <w:gridCol w:w="2195"/>
      </w:tblGrid>
      <w:tr w:rsidR="006C5056" w:rsidRPr="00EF5E13" w:rsidTr="00FF7FCA">
        <w:tc>
          <w:tcPr>
            <w:tcW w:w="3767" w:type="dxa"/>
            <w:vMerge w:val="restart"/>
            <w:shd w:val="clear" w:color="auto" w:fill="auto"/>
            <w:vAlign w:val="center"/>
          </w:tcPr>
          <w:p w:rsidR="006C5056" w:rsidRPr="00EF5E13" w:rsidRDefault="006C5056" w:rsidP="00FF7FCA">
            <w:pPr>
              <w:spacing w:after="0"/>
              <w:jc w:val="center"/>
              <w:rPr>
                <w:rFonts w:cs="Times New Roman"/>
                <w:b/>
                <w:sz w:val="22"/>
              </w:rPr>
            </w:pPr>
            <w:r w:rsidRPr="00EF5E13">
              <w:rPr>
                <w:rFonts w:cs="Times New Roman"/>
                <w:b/>
                <w:sz w:val="22"/>
              </w:rPr>
              <w:t>Energoresurss</w:t>
            </w:r>
          </w:p>
        </w:tc>
        <w:tc>
          <w:tcPr>
            <w:tcW w:w="1870" w:type="dxa"/>
            <w:vMerge w:val="restart"/>
            <w:shd w:val="clear" w:color="auto" w:fill="auto"/>
            <w:vAlign w:val="center"/>
          </w:tcPr>
          <w:p w:rsidR="006C5056" w:rsidRPr="00EF5E13" w:rsidRDefault="006C5056" w:rsidP="00FF7FCA">
            <w:pPr>
              <w:spacing w:after="0"/>
              <w:jc w:val="center"/>
              <w:rPr>
                <w:rFonts w:cs="Times New Roman"/>
                <w:b/>
                <w:sz w:val="22"/>
              </w:rPr>
            </w:pPr>
            <w:r w:rsidRPr="00EF5E13">
              <w:rPr>
                <w:rFonts w:cs="Times New Roman"/>
                <w:b/>
                <w:sz w:val="22"/>
              </w:rPr>
              <w:t>Mērvienība</w:t>
            </w:r>
          </w:p>
        </w:tc>
        <w:tc>
          <w:tcPr>
            <w:tcW w:w="4218" w:type="dxa"/>
            <w:gridSpan w:val="2"/>
            <w:shd w:val="clear" w:color="auto" w:fill="auto"/>
            <w:vAlign w:val="center"/>
          </w:tcPr>
          <w:p w:rsidR="006C5056" w:rsidRPr="00EF5E13" w:rsidRDefault="006C5056" w:rsidP="00FF7FCA">
            <w:pPr>
              <w:spacing w:after="0"/>
              <w:jc w:val="center"/>
              <w:rPr>
                <w:rFonts w:cs="Times New Roman"/>
                <w:b/>
                <w:sz w:val="22"/>
              </w:rPr>
            </w:pPr>
            <w:r w:rsidRPr="00EF5E13">
              <w:rPr>
                <w:rFonts w:cs="Times New Roman"/>
                <w:b/>
                <w:sz w:val="22"/>
              </w:rPr>
              <w:t>Zemākā siltumspēja (NCV)</w:t>
            </w:r>
          </w:p>
        </w:tc>
      </w:tr>
      <w:tr w:rsidR="006C5056" w:rsidRPr="00EF5E13" w:rsidTr="00FF7FCA">
        <w:tc>
          <w:tcPr>
            <w:tcW w:w="3767" w:type="dxa"/>
            <w:vMerge/>
            <w:shd w:val="clear" w:color="auto" w:fill="auto"/>
            <w:vAlign w:val="center"/>
          </w:tcPr>
          <w:p w:rsidR="006C5056" w:rsidRPr="00EF5E13" w:rsidRDefault="006C5056" w:rsidP="00FF7FCA">
            <w:pPr>
              <w:spacing w:after="0"/>
              <w:jc w:val="center"/>
              <w:rPr>
                <w:rFonts w:cs="Times New Roman"/>
                <w:sz w:val="22"/>
              </w:rPr>
            </w:pPr>
          </w:p>
        </w:tc>
        <w:tc>
          <w:tcPr>
            <w:tcW w:w="1870" w:type="dxa"/>
            <w:vMerge/>
            <w:shd w:val="clear" w:color="auto" w:fill="auto"/>
            <w:vAlign w:val="center"/>
          </w:tcPr>
          <w:p w:rsidR="006C5056" w:rsidRPr="00EF5E13" w:rsidRDefault="006C5056" w:rsidP="00FF7FCA">
            <w:pPr>
              <w:spacing w:after="0"/>
              <w:jc w:val="center"/>
              <w:rPr>
                <w:rFonts w:cs="Times New Roman"/>
                <w:sz w:val="22"/>
              </w:rPr>
            </w:pPr>
          </w:p>
        </w:tc>
        <w:tc>
          <w:tcPr>
            <w:tcW w:w="1842" w:type="dxa"/>
            <w:shd w:val="clear" w:color="auto" w:fill="auto"/>
            <w:vAlign w:val="center"/>
          </w:tcPr>
          <w:p w:rsidR="006C5056" w:rsidRPr="00EF5E13" w:rsidRDefault="006C5056" w:rsidP="00FF7FCA">
            <w:pPr>
              <w:spacing w:after="0"/>
              <w:jc w:val="center"/>
              <w:rPr>
                <w:rFonts w:cs="Times New Roman"/>
                <w:sz w:val="22"/>
              </w:rPr>
            </w:pPr>
            <w:r w:rsidRPr="00EF5E13">
              <w:rPr>
                <w:rFonts w:cs="Times New Roman"/>
                <w:sz w:val="22"/>
              </w:rPr>
              <w:t xml:space="preserve">pēc Direktīvas 2012/27/ES </w:t>
            </w:r>
          </w:p>
          <w:p w:rsidR="006C5056" w:rsidRPr="00EF5E13" w:rsidRDefault="006C5056" w:rsidP="00FF7FCA">
            <w:pPr>
              <w:spacing w:after="0"/>
              <w:jc w:val="center"/>
              <w:rPr>
                <w:rFonts w:cs="Times New Roman"/>
                <w:sz w:val="22"/>
              </w:rPr>
            </w:pPr>
            <w:r w:rsidRPr="00EF5E13">
              <w:rPr>
                <w:rFonts w:cs="Times New Roman"/>
                <w:sz w:val="22"/>
              </w:rPr>
              <w:t>IV Pielikuma</w:t>
            </w:r>
          </w:p>
        </w:tc>
        <w:tc>
          <w:tcPr>
            <w:tcW w:w="2376" w:type="dxa"/>
            <w:shd w:val="clear" w:color="auto" w:fill="auto"/>
            <w:vAlign w:val="center"/>
          </w:tcPr>
          <w:p w:rsidR="006C5056" w:rsidRPr="00EF5E13" w:rsidRDefault="006C5056" w:rsidP="00FF7FCA">
            <w:pPr>
              <w:spacing w:after="0"/>
              <w:jc w:val="center"/>
              <w:rPr>
                <w:rFonts w:cs="Times New Roman"/>
                <w:sz w:val="22"/>
              </w:rPr>
            </w:pPr>
            <w:r w:rsidRPr="00EF5E13">
              <w:rPr>
                <w:rFonts w:cs="Times New Roman"/>
                <w:sz w:val="22"/>
              </w:rPr>
              <w:t>pēc Latvijas Republikas Centrālās statistikas pārvaldes</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Ogles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17,2 - 30,7</w:t>
            </w: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26,22</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Kūdra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7,8 - 13,8</w:t>
            </w: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10,05</w:t>
            </w:r>
          </w:p>
        </w:tc>
      </w:tr>
      <w:tr w:rsidR="006C5056" w:rsidRPr="00EF5E13" w:rsidTr="00FF7FCA">
        <w:tc>
          <w:tcPr>
            <w:tcW w:w="3767" w:type="dxa"/>
            <w:shd w:val="clear" w:color="auto" w:fill="auto"/>
          </w:tcPr>
          <w:p w:rsidR="006C5056" w:rsidRPr="00EF5E13" w:rsidRDefault="006C5056" w:rsidP="00FF7FCA">
            <w:pPr>
              <w:spacing w:after="0"/>
              <w:rPr>
                <w:rFonts w:cs="Times New Roman"/>
                <w:bCs/>
                <w:sz w:val="22"/>
              </w:rPr>
            </w:pPr>
            <w:r w:rsidRPr="00EF5E13">
              <w:rPr>
                <w:rFonts w:cs="Times New Roman"/>
                <w:bCs/>
                <w:sz w:val="22"/>
              </w:rPr>
              <w:lastRenderedPageBreak/>
              <w:t>Kūdras briketes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FF"/>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16-16,8</w:t>
            </w: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15,49</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Kokss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28,5</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26,79</w:t>
            </w:r>
          </w:p>
        </w:tc>
      </w:tr>
      <w:tr w:rsidR="006C5056" w:rsidRPr="00EF5E13" w:rsidTr="00FF7FCA">
        <w:tc>
          <w:tcPr>
            <w:tcW w:w="3767" w:type="dxa"/>
            <w:shd w:val="clear" w:color="auto" w:fill="auto"/>
            <w:vAlign w:val="center"/>
          </w:tcPr>
          <w:p w:rsidR="006C5056" w:rsidRPr="00EF5E13" w:rsidRDefault="006C5056" w:rsidP="00FF7FCA">
            <w:pPr>
              <w:spacing w:after="0"/>
              <w:rPr>
                <w:rFonts w:cs="Times New Roman"/>
                <w:sz w:val="22"/>
              </w:rPr>
            </w:pPr>
            <w:r w:rsidRPr="00EF5E13">
              <w:rPr>
                <w:rFonts w:cs="Times New Roman"/>
                <w:sz w:val="22"/>
              </w:rPr>
              <w:t>Dabasgāze</w:t>
            </w:r>
          </w:p>
        </w:tc>
        <w:tc>
          <w:tcPr>
            <w:tcW w:w="1870" w:type="dxa"/>
            <w:shd w:val="clear" w:color="auto" w:fill="auto"/>
            <w:vAlign w:val="center"/>
          </w:tcPr>
          <w:p w:rsidR="006C5056" w:rsidRPr="00EF5E13" w:rsidRDefault="006C5056" w:rsidP="00FF7FCA">
            <w:pPr>
              <w:spacing w:after="0"/>
              <w:jc w:val="right"/>
              <w:rPr>
                <w:rFonts w:cs="Times New Roman"/>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sz w:val="22"/>
              </w:rPr>
            </w:pPr>
            <w:r w:rsidRPr="00EF5E13">
              <w:rPr>
                <w:rFonts w:cs="Times New Roman"/>
                <w:sz w:val="22"/>
              </w:rPr>
              <w:t>47,2</w:t>
            </w:r>
          </w:p>
        </w:tc>
        <w:tc>
          <w:tcPr>
            <w:tcW w:w="2376" w:type="dxa"/>
            <w:shd w:val="clear" w:color="auto" w:fill="auto"/>
            <w:vAlign w:val="center"/>
          </w:tcPr>
          <w:p w:rsidR="006C5056" w:rsidRPr="00EF5E13" w:rsidRDefault="006C5056" w:rsidP="00FF7FCA">
            <w:pPr>
              <w:spacing w:after="0"/>
              <w:jc w:val="center"/>
              <w:rPr>
                <w:rFonts w:cs="Times New Roman"/>
                <w:sz w:val="22"/>
              </w:rPr>
            </w:pPr>
            <w:r w:rsidRPr="00EF5E13">
              <w:rPr>
                <w:rFonts w:cs="Times New Roman"/>
                <w:sz w:val="22"/>
              </w:rPr>
              <w:t>2010.</w:t>
            </w:r>
            <w:r w:rsidR="00DB1ED4" w:rsidRPr="00EF5E13">
              <w:rPr>
                <w:rFonts w:cs="Times New Roman"/>
                <w:sz w:val="22"/>
              </w:rPr>
              <w:t> </w:t>
            </w:r>
            <w:r w:rsidRPr="00EF5E13">
              <w:rPr>
                <w:rFonts w:cs="Times New Roman"/>
                <w:sz w:val="22"/>
              </w:rPr>
              <w:t>gadā – 49,12</w:t>
            </w:r>
          </w:p>
          <w:p w:rsidR="006C5056" w:rsidRPr="00EF5E13" w:rsidRDefault="006C5056" w:rsidP="00FF7FCA">
            <w:pPr>
              <w:spacing w:after="0"/>
              <w:jc w:val="center"/>
              <w:rPr>
                <w:rFonts w:cs="Times New Roman"/>
                <w:sz w:val="22"/>
              </w:rPr>
            </w:pPr>
            <w:r w:rsidRPr="00EF5E13">
              <w:rPr>
                <w:rFonts w:cs="Times New Roman"/>
                <w:sz w:val="22"/>
              </w:rPr>
              <w:t>2011.</w:t>
            </w:r>
            <w:r w:rsidR="00DB1ED4" w:rsidRPr="00EF5E13">
              <w:rPr>
                <w:rFonts w:cs="Times New Roman"/>
                <w:sz w:val="22"/>
              </w:rPr>
              <w:t> </w:t>
            </w:r>
            <w:r w:rsidRPr="00EF5E13">
              <w:rPr>
                <w:rFonts w:cs="Times New Roman"/>
                <w:sz w:val="22"/>
              </w:rPr>
              <w:t>gadā – 49,14</w:t>
            </w:r>
          </w:p>
          <w:p w:rsidR="006C5056" w:rsidRPr="00EF5E13" w:rsidRDefault="006C5056" w:rsidP="00FF7FCA">
            <w:pPr>
              <w:spacing w:after="0"/>
              <w:jc w:val="center"/>
              <w:rPr>
                <w:rFonts w:cs="Times New Roman"/>
                <w:sz w:val="22"/>
              </w:rPr>
            </w:pPr>
            <w:r w:rsidRPr="00EF5E13">
              <w:rPr>
                <w:rFonts w:cs="Times New Roman"/>
                <w:sz w:val="22"/>
              </w:rPr>
              <w:t>2012.</w:t>
            </w:r>
            <w:r w:rsidR="00DB1ED4" w:rsidRPr="00EF5E13">
              <w:rPr>
                <w:rFonts w:cs="Times New Roman"/>
                <w:sz w:val="22"/>
              </w:rPr>
              <w:t> </w:t>
            </w:r>
            <w:r w:rsidRPr="00EF5E13">
              <w:rPr>
                <w:rFonts w:cs="Times New Roman"/>
                <w:sz w:val="22"/>
              </w:rPr>
              <w:t xml:space="preserve">gadā – 49,14 </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Degakmens eļļa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39,35</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Sašķidrinātā naftas gāze</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46</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45,54</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Auto un aviācijas benzīns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44</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43,97</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Benzīna veida reaktīvā degviela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44</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43,21</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Petrolejas veida reaktīvā degviela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44</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43,21</w:t>
            </w:r>
          </w:p>
        </w:tc>
      </w:tr>
      <w:tr w:rsidR="006C5056" w:rsidRPr="00EF5E13" w:rsidTr="00FF7FCA">
        <w:tc>
          <w:tcPr>
            <w:tcW w:w="3767" w:type="dxa"/>
            <w:shd w:val="clear" w:color="auto" w:fill="FFFFFF"/>
          </w:tcPr>
          <w:p w:rsidR="006C5056" w:rsidRPr="00EF5E13" w:rsidRDefault="006C5056" w:rsidP="00FF7FCA">
            <w:pPr>
              <w:spacing w:after="0"/>
              <w:rPr>
                <w:rFonts w:cs="Times New Roman"/>
                <w:bCs/>
                <w:sz w:val="22"/>
              </w:rPr>
            </w:pPr>
            <w:r w:rsidRPr="00EF5E13">
              <w:rPr>
                <w:rFonts w:cs="Times New Roman"/>
                <w:bCs/>
                <w:sz w:val="22"/>
              </w:rPr>
              <w:t>Petroleja</w:t>
            </w:r>
          </w:p>
        </w:tc>
        <w:tc>
          <w:tcPr>
            <w:tcW w:w="1870" w:type="dxa"/>
            <w:shd w:val="clear" w:color="auto" w:fill="FFFFFF"/>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44</w:t>
            </w:r>
          </w:p>
        </w:tc>
        <w:tc>
          <w:tcPr>
            <w:tcW w:w="2376" w:type="dxa"/>
            <w:shd w:val="clear" w:color="auto" w:fill="FFFFFF"/>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43,20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Dīzeļdegviela un sadzīves krāšņu kurināmais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42,3</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42,49</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Mazuts (degvieleļļa)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40</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40,60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proofErr w:type="spellStart"/>
            <w:r w:rsidRPr="00EF5E13">
              <w:rPr>
                <w:rFonts w:cs="Times New Roman"/>
                <w:bCs/>
                <w:color w:val="000000"/>
                <w:sz w:val="22"/>
              </w:rPr>
              <w:t>Lakbenzīns</w:t>
            </w:r>
            <w:proofErr w:type="spellEnd"/>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41,86</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Smērvielas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41,86</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Naftas bitumens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41,86</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Parafīna sveķi</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40</w:t>
            </w: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41,86</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Naftas kokss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32,98</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Atstrādātās eļļas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29,23</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Pārējie naftas produkti</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41,86</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Elektroenerģija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GWh</w:t>
            </w:r>
            <w:proofErr w:type="spellEnd"/>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3,6</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3,60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 xml:space="preserve">Siltumenerģija </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TJ/TJ</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1,00</w:t>
            </w:r>
          </w:p>
        </w:tc>
      </w:tr>
      <w:tr w:rsidR="006C5056" w:rsidRPr="00EF5E13" w:rsidTr="00FF7FCA">
        <w:tc>
          <w:tcPr>
            <w:tcW w:w="3767" w:type="dxa"/>
            <w:shd w:val="clear" w:color="auto" w:fill="auto"/>
            <w:vAlign w:val="center"/>
          </w:tcPr>
          <w:p w:rsidR="006C5056" w:rsidRPr="00EF5E13" w:rsidRDefault="006C5056" w:rsidP="00FF7FCA">
            <w:pPr>
              <w:spacing w:after="0"/>
              <w:rPr>
                <w:rFonts w:cs="Times New Roman"/>
                <w:bCs/>
                <w:color w:val="000000"/>
                <w:sz w:val="22"/>
              </w:rPr>
            </w:pPr>
            <w:r w:rsidRPr="00EF5E13">
              <w:rPr>
                <w:rFonts w:cs="Times New Roman"/>
                <w:bCs/>
                <w:color w:val="000000"/>
                <w:sz w:val="22"/>
              </w:rPr>
              <w:t>Sadzīves atkritumi kurināšanai</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7,4-10,7</w:t>
            </w:r>
          </w:p>
        </w:tc>
        <w:tc>
          <w:tcPr>
            <w:tcW w:w="2376" w:type="dxa"/>
            <w:shd w:val="clear" w:color="auto" w:fill="FFFF00"/>
            <w:vAlign w:val="center"/>
          </w:tcPr>
          <w:p w:rsidR="006C5056" w:rsidRPr="00EF5E13" w:rsidRDefault="006C5056" w:rsidP="00FF7FCA">
            <w:pPr>
              <w:spacing w:after="0"/>
              <w:jc w:val="center"/>
              <w:rPr>
                <w:rFonts w:cs="Times New Roman"/>
                <w:sz w:val="22"/>
              </w:rPr>
            </w:pPr>
            <w:r w:rsidRPr="00EF5E13">
              <w:rPr>
                <w:rFonts w:cs="Times New Roman"/>
                <w:sz w:val="22"/>
              </w:rPr>
              <w:t>2010.</w:t>
            </w:r>
            <w:r w:rsidR="00DB1ED4" w:rsidRPr="00EF5E13">
              <w:rPr>
                <w:rFonts w:cs="Times New Roman"/>
                <w:sz w:val="22"/>
              </w:rPr>
              <w:t> </w:t>
            </w:r>
            <w:r w:rsidRPr="00EF5E13">
              <w:rPr>
                <w:rFonts w:cs="Times New Roman"/>
                <w:sz w:val="22"/>
              </w:rPr>
              <w:t xml:space="preserve">gadā – 18,56 </w:t>
            </w:r>
          </w:p>
          <w:p w:rsidR="006C5056" w:rsidRPr="00EF5E13" w:rsidRDefault="006C5056" w:rsidP="00FF7FCA">
            <w:pPr>
              <w:spacing w:after="0"/>
              <w:jc w:val="center"/>
              <w:rPr>
                <w:rFonts w:cs="Times New Roman"/>
                <w:sz w:val="22"/>
              </w:rPr>
            </w:pPr>
            <w:r w:rsidRPr="00EF5E13">
              <w:rPr>
                <w:rFonts w:cs="Times New Roman"/>
                <w:sz w:val="22"/>
              </w:rPr>
              <w:t>2011.</w:t>
            </w:r>
            <w:r w:rsidR="00DB1ED4" w:rsidRPr="00EF5E13">
              <w:rPr>
                <w:rFonts w:cs="Times New Roman"/>
                <w:sz w:val="22"/>
              </w:rPr>
              <w:t> </w:t>
            </w:r>
            <w:r w:rsidRPr="00EF5E13">
              <w:rPr>
                <w:rFonts w:cs="Times New Roman"/>
                <w:sz w:val="22"/>
              </w:rPr>
              <w:t>gadā – 17,18</w:t>
            </w:r>
          </w:p>
          <w:p w:rsidR="006C5056" w:rsidRPr="00EF5E13" w:rsidRDefault="006C5056" w:rsidP="00FF7FCA">
            <w:pPr>
              <w:spacing w:after="0"/>
              <w:jc w:val="center"/>
              <w:rPr>
                <w:rFonts w:cs="Times New Roman"/>
                <w:color w:val="FF0000"/>
                <w:sz w:val="22"/>
              </w:rPr>
            </w:pPr>
            <w:r w:rsidRPr="00EF5E13">
              <w:rPr>
                <w:rFonts w:cs="Times New Roman"/>
                <w:sz w:val="22"/>
              </w:rPr>
              <w:t>2012.</w:t>
            </w:r>
            <w:r w:rsidR="00DB1ED4" w:rsidRPr="00EF5E13">
              <w:rPr>
                <w:rFonts w:cs="Times New Roman"/>
                <w:sz w:val="22"/>
              </w:rPr>
              <w:t> </w:t>
            </w:r>
            <w:r w:rsidRPr="00EF5E13">
              <w:rPr>
                <w:rFonts w:cs="Times New Roman"/>
                <w:sz w:val="22"/>
              </w:rPr>
              <w:t>gadā – 17,05</w:t>
            </w:r>
          </w:p>
        </w:tc>
      </w:tr>
      <w:tr w:rsidR="006C5056" w:rsidRPr="00EF5E13" w:rsidTr="00FF7FCA">
        <w:tc>
          <w:tcPr>
            <w:tcW w:w="3767" w:type="dxa"/>
            <w:shd w:val="clear" w:color="auto" w:fill="auto"/>
            <w:vAlign w:val="center"/>
          </w:tcPr>
          <w:p w:rsidR="006C5056" w:rsidRPr="00EF5E13" w:rsidRDefault="006C5056" w:rsidP="00FF7FCA">
            <w:pPr>
              <w:spacing w:after="0"/>
              <w:rPr>
                <w:rFonts w:cs="Times New Roman"/>
                <w:bCs/>
                <w:color w:val="000000"/>
                <w:sz w:val="22"/>
              </w:rPr>
            </w:pPr>
            <w:r w:rsidRPr="00EF5E13">
              <w:rPr>
                <w:rFonts w:cs="Times New Roman"/>
                <w:bCs/>
                <w:color w:val="000000"/>
                <w:sz w:val="22"/>
              </w:rPr>
              <w:t>Nolietotās riepas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7,4-10,7</w:t>
            </w:r>
          </w:p>
        </w:tc>
        <w:tc>
          <w:tcPr>
            <w:tcW w:w="2376" w:type="dxa"/>
            <w:shd w:val="clear" w:color="auto" w:fill="FFFF00"/>
            <w:vAlign w:val="center"/>
          </w:tcPr>
          <w:p w:rsidR="006C5056" w:rsidRPr="00EF5E13" w:rsidRDefault="006C5056" w:rsidP="00FF7FCA">
            <w:pPr>
              <w:spacing w:after="0"/>
              <w:jc w:val="center"/>
              <w:rPr>
                <w:rFonts w:cs="Times New Roman"/>
                <w:sz w:val="22"/>
              </w:rPr>
            </w:pPr>
            <w:r w:rsidRPr="00EF5E13">
              <w:rPr>
                <w:rFonts w:cs="Times New Roman"/>
                <w:sz w:val="22"/>
              </w:rPr>
              <w:t>2010.</w:t>
            </w:r>
            <w:r w:rsidR="00DB1ED4" w:rsidRPr="00EF5E13">
              <w:rPr>
                <w:rFonts w:cs="Times New Roman"/>
                <w:sz w:val="22"/>
              </w:rPr>
              <w:t> </w:t>
            </w:r>
            <w:r w:rsidRPr="00EF5E13">
              <w:rPr>
                <w:rFonts w:cs="Times New Roman"/>
                <w:sz w:val="22"/>
              </w:rPr>
              <w:t>gadā – 26,20</w:t>
            </w:r>
          </w:p>
          <w:p w:rsidR="006C5056" w:rsidRPr="00EF5E13" w:rsidRDefault="006C5056" w:rsidP="00FF7FCA">
            <w:pPr>
              <w:spacing w:after="0"/>
              <w:jc w:val="center"/>
              <w:rPr>
                <w:rFonts w:cs="Times New Roman"/>
                <w:sz w:val="22"/>
              </w:rPr>
            </w:pPr>
            <w:r w:rsidRPr="00EF5E13">
              <w:rPr>
                <w:rFonts w:cs="Times New Roman"/>
                <w:sz w:val="22"/>
              </w:rPr>
              <w:t>2011.</w:t>
            </w:r>
            <w:r w:rsidR="00DB1ED4" w:rsidRPr="00EF5E13">
              <w:rPr>
                <w:rFonts w:cs="Times New Roman"/>
                <w:sz w:val="22"/>
              </w:rPr>
              <w:t> </w:t>
            </w:r>
            <w:r w:rsidRPr="00EF5E13">
              <w:rPr>
                <w:rFonts w:cs="Times New Roman"/>
                <w:sz w:val="22"/>
              </w:rPr>
              <w:t>gadā – 27,98</w:t>
            </w:r>
          </w:p>
          <w:p w:rsidR="006C5056" w:rsidRPr="00EF5E13" w:rsidRDefault="006C5056" w:rsidP="00FF7FCA">
            <w:pPr>
              <w:spacing w:after="0"/>
              <w:jc w:val="center"/>
              <w:rPr>
                <w:rFonts w:cs="Times New Roman"/>
                <w:color w:val="FF0000"/>
                <w:sz w:val="22"/>
              </w:rPr>
            </w:pPr>
            <w:r w:rsidRPr="00EF5E13">
              <w:rPr>
                <w:rFonts w:cs="Times New Roman"/>
                <w:sz w:val="22"/>
              </w:rPr>
              <w:t>2012.</w:t>
            </w:r>
            <w:r w:rsidR="00DB1ED4" w:rsidRPr="00EF5E13">
              <w:rPr>
                <w:rFonts w:cs="Times New Roman"/>
                <w:sz w:val="22"/>
              </w:rPr>
              <w:t> </w:t>
            </w:r>
            <w:r w:rsidRPr="00EF5E13">
              <w:rPr>
                <w:rFonts w:cs="Times New Roman"/>
                <w:sz w:val="22"/>
              </w:rPr>
              <w:t>gadā – 27,98</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Kokogles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30,00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Bioetanols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0,0268</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Biodīzeļdegviela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TJ/t</w:t>
            </w:r>
          </w:p>
        </w:tc>
        <w:tc>
          <w:tcPr>
            <w:tcW w:w="1842" w:type="dxa"/>
            <w:shd w:val="clear" w:color="auto" w:fill="auto"/>
            <w:vAlign w:val="center"/>
          </w:tcPr>
          <w:p w:rsidR="006C5056" w:rsidRPr="00EF5E13" w:rsidRDefault="006C5056" w:rsidP="00FF7FCA">
            <w:pPr>
              <w:spacing w:after="0"/>
              <w:jc w:val="center"/>
              <w:rPr>
                <w:rFonts w:cs="Times New Roman"/>
                <w:color w:val="000000"/>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0,0372</w:t>
            </w:r>
          </w:p>
        </w:tc>
      </w:tr>
      <w:tr w:rsidR="006C5056" w:rsidRPr="00EF5E13" w:rsidTr="00FF7FCA">
        <w:tc>
          <w:tcPr>
            <w:tcW w:w="3767" w:type="dxa"/>
            <w:shd w:val="clear" w:color="auto" w:fill="auto"/>
            <w:vAlign w:val="center"/>
          </w:tcPr>
          <w:p w:rsidR="006C5056" w:rsidRPr="00EF5E13" w:rsidRDefault="006C5056" w:rsidP="00FF7FCA">
            <w:pPr>
              <w:spacing w:after="0"/>
              <w:rPr>
                <w:rFonts w:cs="Times New Roman"/>
                <w:bCs/>
                <w:color w:val="000000"/>
                <w:sz w:val="22"/>
              </w:rPr>
            </w:pPr>
            <w:r w:rsidRPr="00EF5E13">
              <w:rPr>
                <w:rFonts w:cs="Times New Roman"/>
                <w:bCs/>
                <w:color w:val="000000"/>
                <w:sz w:val="22"/>
              </w:rPr>
              <w:t>Atkritumu poligonu gāze</w:t>
            </w:r>
          </w:p>
        </w:tc>
        <w:tc>
          <w:tcPr>
            <w:tcW w:w="1870" w:type="dxa"/>
            <w:shd w:val="clear" w:color="auto" w:fill="auto"/>
            <w:vAlign w:val="center"/>
          </w:tcPr>
          <w:p w:rsidR="006C5056" w:rsidRPr="00EF5E13" w:rsidRDefault="006C5056" w:rsidP="00FF7FCA">
            <w:pPr>
              <w:spacing w:after="0"/>
              <w:jc w:val="right"/>
              <w:rPr>
                <w:rFonts w:cs="Times New Roman"/>
                <w:sz w:val="22"/>
              </w:rPr>
            </w:pPr>
            <w:r w:rsidRPr="00EF5E13">
              <w:rPr>
                <w:rFonts w:cs="Times New Roman"/>
                <w:sz w:val="22"/>
              </w:rPr>
              <w:t>TJ/</w:t>
            </w:r>
            <w:proofErr w:type="spellStart"/>
            <w:r w:rsidRPr="00EF5E13">
              <w:rPr>
                <w:rFonts w:cs="Times New Roman"/>
                <w:sz w:val="22"/>
              </w:rPr>
              <w:t>milj</w:t>
            </w:r>
            <w:proofErr w:type="spellEnd"/>
            <w:r w:rsidRPr="00EF5E13">
              <w:rPr>
                <w:rFonts w:cs="Times New Roman"/>
                <w:sz w:val="22"/>
              </w:rPr>
              <w:t>. m</w:t>
            </w:r>
            <w:r w:rsidRPr="00EF5E13">
              <w:rPr>
                <w:rFonts w:cs="Times New Roman"/>
                <w:sz w:val="22"/>
                <w:vertAlign w:val="superscript"/>
              </w:rPr>
              <w:t>3</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sz w:val="22"/>
              </w:rPr>
            </w:pPr>
            <w:r w:rsidRPr="00EF5E13">
              <w:rPr>
                <w:rFonts w:cs="Times New Roman"/>
                <w:sz w:val="22"/>
              </w:rPr>
              <w:t>2010.</w:t>
            </w:r>
            <w:r w:rsidR="00DB1ED4" w:rsidRPr="00EF5E13">
              <w:rPr>
                <w:rFonts w:cs="Times New Roman"/>
                <w:sz w:val="22"/>
              </w:rPr>
              <w:t> </w:t>
            </w:r>
            <w:r w:rsidRPr="00EF5E13">
              <w:rPr>
                <w:rFonts w:cs="Times New Roman"/>
                <w:sz w:val="22"/>
              </w:rPr>
              <w:t>gadā – 19,82</w:t>
            </w:r>
          </w:p>
          <w:p w:rsidR="006C5056" w:rsidRPr="00EF5E13" w:rsidRDefault="006C5056" w:rsidP="00FF7FCA">
            <w:pPr>
              <w:spacing w:after="0"/>
              <w:jc w:val="center"/>
              <w:rPr>
                <w:rFonts w:cs="Times New Roman"/>
                <w:sz w:val="22"/>
              </w:rPr>
            </w:pPr>
            <w:r w:rsidRPr="00EF5E13">
              <w:rPr>
                <w:rFonts w:cs="Times New Roman"/>
                <w:sz w:val="22"/>
              </w:rPr>
              <w:t>2011.</w:t>
            </w:r>
            <w:r w:rsidR="00DB1ED4" w:rsidRPr="00EF5E13">
              <w:rPr>
                <w:rFonts w:cs="Times New Roman"/>
                <w:sz w:val="22"/>
              </w:rPr>
              <w:t> </w:t>
            </w:r>
            <w:r w:rsidRPr="00EF5E13">
              <w:rPr>
                <w:rFonts w:cs="Times New Roman"/>
                <w:sz w:val="22"/>
              </w:rPr>
              <w:t>gadā – 19,03</w:t>
            </w:r>
          </w:p>
          <w:p w:rsidR="006C5056" w:rsidRPr="00EF5E13" w:rsidRDefault="006C5056" w:rsidP="00FF7FCA">
            <w:pPr>
              <w:spacing w:after="0"/>
              <w:jc w:val="center"/>
              <w:rPr>
                <w:rFonts w:cs="Times New Roman"/>
                <w:sz w:val="22"/>
              </w:rPr>
            </w:pPr>
            <w:r w:rsidRPr="00EF5E13">
              <w:rPr>
                <w:rFonts w:cs="Times New Roman"/>
                <w:sz w:val="22"/>
              </w:rPr>
              <w:t>2012.</w:t>
            </w:r>
            <w:r w:rsidR="00DB1ED4" w:rsidRPr="00EF5E13">
              <w:rPr>
                <w:rFonts w:cs="Times New Roman"/>
                <w:sz w:val="22"/>
              </w:rPr>
              <w:t> </w:t>
            </w:r>
            <w:r w:rsidRPr="00EF5E13">
              <w:rPr>
                <w:rFonts w:cs="Times New Roman"/>
                <w:sz w:val="22"/>
              </w:rPr>
              <w:t>gadā – 19,02</w:t>
            </w:r>
          </w:p>
        </w:tc>
      </w:tr>
      <w:tr w:rsidR="006C5056" w:rsidRPr="00EF5E13" w:rsidTr="00FF7FCA">
        <w:tc>
          <w:tcPr>
            <w:tcW w:w="3767" w:type="dxa"/>
            <w:shd w:val="clear" w:color="auto" w:fill="auto"/>
            <w:vAlign w:val="center"/>
          </w:tcPr>
          <w:p w:rsidR="006C5056" w:rsidRPr="00EF5E13" w:rsidRDefault="006C5056" w:rsidP="00FF7FCA">
            <w:pPr>
              <w:spacing w:after="0"/>
              <w:rPr>
                <w:rFonts w:cs="Times New Roman"/>
                <w:bCs/>
                <w:sz w:val="22"/>
              </w:rPr>
            </w:pPr>
            <w:r w:rsidRPr="00EF5E13">
              <w:rPr>
                <w:rFonts w:cs="Times New Roman"/>
                <w:bCs/>
                <w:sz w:val="22"/>
              </w:rPr>
              <w:t>Notekūdeņu dūņu gāze</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sz w:val="22"/>
              </w:rPr>
              <w:t>TJ/</w:t>
            </w:r>
            <w:proofErr w:type="spellStart"/>
            <w:r w:rsidRPr="00EF5E13">
              <w:rPr>
                <w:rFonts w:cs="Times New Roman"/>
                <w:sz w:val="22"/>
              </w:rPr>
              <w:t>milj</w:t>
            </w:r>
            <w:proofErr w:type="spellEnd"/>
            <w:r w:rsidRPr="00EF5E13">
              <w:rPr>
                <w:rFonts w:cs="Times New Roman"/>
                <w:sz w:val="22"/>
              </w:rPr>
              <w:t>. m</w:t>
            </w:r>
            <w:r w:rsidRPr="00EF5E13">
              <w:rPr>
                <w:rFonts w:cs="Times New Roman"/>
                <w:sz w:val="22"/>
                <w:vertAlign w:val="superscript"/>
              </w:rPr>
              <w:t>3</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2010.</w:t>
            </w:r>
            <w:r w:rsidR="00DB1ED4" w:rsidRPr="00EF5E13">
              <w:rPr>
                <w:rFonts w:cs="Times New Roman"/>
                <w:color w:val="000000"/>
                <w:sz w:val="22"/>
              </w:rPr>
              <w:t> </w:t>
            </w:r>
            <w:r w:rsidRPr="00EF5E13">
              <w:rPr>
                <w:rFonts w:cs="Times New Roman"/>
                <w:color w:val="000000"/>
                <w:sz w:val="22"/>
              </w:rPr>
              <w:t>gadā – 22,80</w:t>
            </w:r>
          </w:p>
          <w:p w:rsidR="006C5056" w:rsidRPr="00EF5E13" w:rsidRDefault="006C5056" w:rsidP="00FF7FCA">
            <w:pPr>
              <w:spacing w:after="0"/>
              <w:jc w:val="center"/>
              <w:rPr>
                <w:rFonts w:cs="Times New Roman"/>
                <w:color w:val="000000"/>
                <w:sz w:val="22"/>
              </w:rPr>
            </w:pPr>
            <w:r w:rsidRPr="00EF5E13">
              <w:rPr>
                <w:rFonts w:cs="Times New Roman"/>
                <w:color w:val="000000"/>
                <w:sz w:val="22"/>
              </w:rPr>
              <w:t>2011.</w:t>
            </w:r>
            <w:r w:rsidR="00DB1ED4" w:rsidRPr="00EF5E13">
              <w:rPr>
                <w:rFonts w:cs="Times New Roman"/>
                <w:color w:val="000000"/>
                <w:sz w:val="22"/>
              </w:rPr>
              <w:t> </w:t>
            </w:r>
            <w:r w:rsidRPr="00EF5E13">
              <w:rPr>
                <w:rFonts w:cs="Times New Roman"/>
                <w:color w:val="000000"/>
                <w:sz w:val="22"/>
              </w:rPr>
              <w:t>gadā – 20,49</w:t>
            </w:r>
          </w:p>
          <w:p w:rsidR="006C5056" w:rsidRPr="00EF5E13" w:rsidRDefault="006C5056" w:rsidP="00FF7FCA">
            <w:pPr>
              <w:spacing w:after="0"/>
              <w:jc w:val="center"/>
              <w:rPr>
                <w:rFonts w:cs="Times New Roman"/>
                <w:color w:val="000000"/>
                <w:sz w:val="22"/>
              </w:rPr>
            </w:pPr>
            <w:r w:rsidRPr="00EF5E13">
              <w:rPr>
                <w:rFonts w:cs="Times New Roman"/>
                <w:color w:val="000000"/>
                <w:sz w:val="22"/>
              </w:rPr>
              <w:t>2012.</w:t>
            </w:r>
            <w:r w:rsidR="00DB1ED4" w:rsidRPr="00EF5E13">
              <w:rPr>
                <w:rFonts w:cs="Times New Roman"/>
                <w:color w:val="000000"/>
                <w:sz w:val="22"/>
              </w:rPr>
              <w:t> </w:t>
            </w:r>
            <w:r w:rsidRPr="00EF5E13">
              <w:rPr>
                <w:rFonts w:cs="Times New Roman"/>
                <w:color w:val="000000"/>
                <w:sz w:val="22"/>
              </w:rPr>
              <w:t>gadā – 20,49</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Salmi</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14,40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Malka</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cieš. m</w:t>
            </w:r>
            <w:r w:rsidRPr="00EF5E13">
              <w:rPr>
                <w:rFonts w:cs="Times New Roman"/>
                <w:color w:val="000000"/>
                <w:sz w:val="22"/>
                <w:vertAlign w:val="superscript"/>
              </w:rPr>
              <w:t>3</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6,70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Koksnes atlikumi</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ber. m</w:t>
            </w:r>
            <w:r w:rsidRPr="00EF5E13">
              <w:rPr>
                <w:rFonts w:cs="Times New Roman"/>
                <w:color w:val="000000"/>
                <w:sz w:val="22"/>
                <w:vertAlign w:val="superscript"/>
              </w:rPr>
              <w:t>3</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2,68</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Kurināmās šķeldas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ber. m</w:t>
            </w:r>
            <w:r w:rsidRPr="00EF5E13">
              <w:rPr>
                <w:rFonts w:cs="Times New Roman"/>
                <w:color w:val="000000"/>
                <w:sz w:val="22"/>
                <w:vertAlign w:val="superscript"/>
              </w:rPr>
              <w:t>3</w:t>
            </w:r>
          </w:p>
        </w:tc>
        <w:tc>
          <w:tcPr>
            <w:tcW w:w="1842" w:type="dxa"/>
            <w:shd w:val="clear" w:color="auto" w:fill="auto"/>
            <w:vAlign w:val="center"/>
          </w:tcPr>
          <w:p w:rsidR="006C5056" w:rsidRPr="00EF5E13" w:rsidRDefault="006C5056" w:rsidP="00FF7FCA">
            <w:pPr>
              <w:spacing w:after="0"/>
              <w:jc w:val="center"/>
              <w:rPr>
                <w:rFonts w:cs="Times New Roman"/>
                <w:sz w:val="22"/>
              </w:rPr>
            </w:pPr>
          </w:p>
        </w:tc>
        <w:tc>
          <w:tcPr>
            <w:tcW w:w="2376"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3,40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Koksnes briketes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16,8</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17,00</w:t>
            </w:r>
          </w:p>
        </w:tc>
      </w:tr>
      <w:tr w:rsidR="006C5056" w:rsidRPr="00EF5E13" w:rsidTr="00FF7FCA">
        <w:tc>
          <w:tcPr>
            <w:tcW w:w="3767" w:type="dxa"/>
            <w:shd w:val="clear" w:color="auto" w:fill="auto"/>
          </w:tcPr>
          <w:p w:rsidR="006C5056" w:rsidRPr="00EF5E13" w:rsidRDefault="006C5056" w:rsidP="00FF7FCA">
            <w:pPr>
              <w:spacing w:after="0"/>
              <w:rPr>
                <w:rFonts w:cs="Times New Roman"/>
                <w:bCs/>
                <w:color w:val="000000"/>
                <w:sz w:val="22"/>
              </w:rPr>
            </w:pPr>
            <w:r w:rsidRPr="00EF5E13">
              <w:rPr>
                <w:rFonts w:cs="Times New Roman"/>
                <w:bCs/>
                <w:color w:val="000000"/>
                <w:sz w:val="22"/>
              </w:rPr>
              <w:t>Koksnes granulas</w:t>
            </w:r>
          </w:p>
        </w:tc>
        <w:tc>
          <w:tcPr>
            <w:tcW w:w="1870" w:type="dxa"/>
            <w:shd w:val="clear" w:color="auto" w:fill="auto"/>
            <w:vAlign w:val="center"/>
          </w:tcPr>
          <w:p w:rsidR="006C5056" w:rsidRPr="00EF5E13" w:rsidRDefault="006C5056" w:rsidP="00FF7FCA">
            <w:pPr>
              <w:spacing w:after="0"/>
              <w:jc w:val="right"/>
              <w:rPr>
                <w:rFonts w:cs="Times New Roman"/>
                <w:color w:val="000000"/>
                <w:sz w:val="22"/>
              </w:rPr>
            </w:pPr>
            <w:r w:rsidRPr="00EF5E13">
              <w:rPr>
                <w:rFonts w:cs="Times New Roman"/>
                <w:color w:val="000000"/>
                <w:sz w:val="22"/>
              </w:rPr>
              <w:t>TJ/</w:t>
            </w:r>
            <w:proofErr w:type="spellStart"/>
            <w:r w:rsidRPr="00EF5E13">
              <w:rPr>
                <w:rFonts w:cs="Times New Roman"/>
                <w:color w:val="000000"/>
                <w:sz w:val="22"/>
              </w:rPr>
              <w:t>tūkst</w:t>
            </w:r>
            <w:proofErr w:type="spellEnd"/>
            <w:r w:rsidRPr="00EF5E13">
              <w:rPr>
                <w:rFonts w:cs="Times New Roman"/>
                <w:color w:val="000000"/>
                <w:sz w:val="22"/>
              </w:rPr>
              <w:t>. t</w:t>
            </w:r>
          </w:p>
        </w:tc>
        <w:tc>
          <w:tcPr>
            <w:tcW w:w="1842" w:type="dxa"/>
            <w:shd w:val="clear" w:color="auto" w:fill="FFFF00"/>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16,8</w:t>
            </w:r>
          </w:p>
        </w:tc>
        <w:tc>
          <w:tcPr>
            <w:tcW w:w="2376" w:type="dxa"/>
            <w:shd w:val="clear" w:color="auto" w:fill="auto"/>
            <w:vAlign w:val="center"/>
          </w:tcPr>
          <w:p w:rsidR="006C5056" w:rsidRPr="00EF5E13" w:rsidRDefault="006C5056" w:rsidP="00FF7FCA">
            <w:pPr>
              <w:spacing w:after="0"/>
              <w:jc w:val="center"/>
              <w:rPr>
                <w:rFonts w:cs="Times New Roman"/>
                <w:color w:val="000000"/>
                <w:sz w:val="22"/>
              </w:rPr>
            </w:pPr>
            <w:r w:rsidRPr="00EF5E13">
              <w:rPr>
                <w:rFonts w:cs="Times New Roman"/>
                <w:color w:val="000000"/>
                <w:sz w:val="22"/>
              </w:rPr>
              <w:t>18,00</w:t>
            </w:r>
          </w:p>
        </w:tc>
      </w:tr>
    </w:tbl>
    <w:p w:rsidR="00FA69C4" w:rsidRDefault="00FA69C4" w:rsidP="00FA69C4">
      <w:pPr>
        <w:pStyle w:val="Heading3"/>
        <w:spacing w:after="120"/>
      </w:pPr>
      <w:bookmarkStart w:id="22" w:name="_Toc387237968"/>
      <w:r>
        <w:lastRenderedPageBreak/>
        <w:t>3.1.7. Enerģijas ietaupījuma uzskaite</w:t>
      </w:r>
      <w:bookmarkEnd w:id="22"/>
    </w:p>
    <w:p w:rsidR="00A23DC4" w:rsidRPr="009E37D3" w:rsidRDefault="00004C3B" w:rsidP="00A23DC4">
      <w:pPr>
        <w:pStyle w:val="NoSpacing"/>
        <w:jc w:val="both"/>
        <w:rPr>
          <w:rFonts w:ascii="Times New Roman" w:eastAsia="Times New Roman" w:hAnsi="Times New Roman"/>
          <w:color w:val="000000"/>
          <w:sz w:val="28"/>
          <w:szCs w:val="28"/>
          <w:lang w:eastAsia="lv-LV"/>
        </w:rPr>
      </w:pPr>
      <w:bookmarkStart w:id="23" w:name="_Toc326047067"/>
      <w:bookmarkStart w:id="24" w:name="_Toc373843775"/>
      <w:r w:rsidRPr="003D48F5">
        <w:tab/>
      </w:r>
      <w:r w:rsidR="00A23DC4" w:rsidRPr="009E37D3">
        <w:rPr>
          <w:rFonts w:ascii="Times New Roman" w:eastAsia="Times New Roman" w:hAnsi="Times New Roman"/>
          <w:bCs/>
          <w:sz w:val="28"/>
          <w:szCs w:val="28"/>
          <w:lang w:eastAsia="lv-LV"/>
        </w:rPr>
        <w:t>Atbilstoši Ministru kabineta</w:t>
      </w:r>
      <w:r w:rsidR="00D22F57">
        <w:rPr>
          <w:rFonts w:ascii="Times New Roman" w:eastAsia="Times New Roman" w:hAnsi="Times New Roman"/>
          <w:bCs/>
          <w:sz w:val="28"/>
          <w:szCs w:val="28"/>
          <w:lang w:eastAsia="lv-LV"/>
        </w:rPr>
        <w:t xml:space="preserve"> </w:t>
      </w:r>
      <w:r w:rsidR="00D22F57" w:rsidRPr="001D2F15">
        <w:rPr>
          <w:rFonts w:ascii="Times New Roman" w:hAnsi="Times New Roman"/>
          <w:sz w:val="28"/>
          <w:szCs w:val="28"/>
        </w:rPr>
        <w:t>2010.</w:t>
      </w:r>
      <w:r w:rsidR="001D2F15">
        <w:rPr>
          <w:rFonts w:ascii="Times New Roman" w:hAnsi="Times New Roman"/>
          <w:sz w:val="28"/>
          <w:szCs w:val="28"/>
        </w:rPr>
        <w:t> </w:t>
      </w:r>
      <w:r w:rsidR="00D22F57" w:rsidRPr="001D2F15">
        <w:rPr>
          <w:rFonts w:ascii="Times New Roman" w:hAnsi="Times New Roman"/>
          <w:sz w:val="28"/>
          <w:szCs w:val="28"/>
        </w:rPr>
        <w:t>gada 30.</w:t>
      </w:r>
      <w:r w:rsidR="001D2F15">
        <w:rPr>
          <w:rFonts w:ascii="Times New Roman" w:hAnsi="Times New Roman"/>
          <w:sz w:val="28"/>
          <w:szCs w:val="28"/>
        </w:rPr>
        <w:t> </w:t>
      </w:r>
      <w:r w:rsidR="00D22F57" w:rsidRPr="001D2F15">
        <w:rPr>
          <w:rFonts w:ascii="Times New Roman" w:hAnsi="Times New Roman"/>
          <w:sz w:val="28"/>
          <w:szCs w:val="28"/>
        </w:rPr>
        <w:t>septembra</w:t>
      </w:r>
      <w:r w:rsidR="00A23DC4" w:rsidRPr="009E37D3">
        <w:rPr>
          <w:rFonts w:ascii="Times New Roman" w:eastAsia="Times New Roman" w:hAnsi="Times New Roman"/>
          <w:bCs/>
          <w:sz w:val="28"/>
          <w:szCs w:val="28"/>
          <w:lang w:eastAsia="lv-LV"/>
        </w:rPr>
        <w:t xml:space="preserve"> noteikumiem Nr.923</w:t>
      </w:r>
      <w:r w:rsidR="00A23DC4" w:rsidRPr="009E37D3">
        <w:rPr>
          <w:rFonts w:ascii="Times New Roman" w:eastAsia="Times New Roman" w:hAnsi="Times New Roman"/>
          <w:sz w:val="28"/>
          <w:szCs w:val="28"/>
          <w:lang w:eastAsia="lv-LV"/>
        </w:rPr>
        <w:t xml:space="preserve"> „Kārtība, kādā uzskaita valsts enerģijas galapatēriņa ietaupījumu un nodrošina energoefektivitātes monitoringa sistēmas darbību”, kas izdoti saskaņā ar</w:t>
      </w:r>
      <w:r w:rsidR="00A23DC4">
        <w:rPr>
          <w:rFonts w:ascii="Times New Roman" w:eastAsia="Times New Roman" w:hAnsi="Times New Roman"/>
          <w:sz w:val="28"/>
          <w:szCs w:val="28"/>
          <w:lang w:eastAsia="lv-LV"/>
        </w:rPr>
        <w:t xml:space="preserve"> Enerģijas galapatēriņa efektivitātes likuma</w:t>
      </w:r>
      <w:r w:rsidR="00A23DC4" w:rsidRPr="009E37D3">
        <w:rPr>
          <w:rFonts w:ascii="Times New Roman" w:eastAsia="Times New Roman" w:hAnsi="Times New Roman"/>
          <w:sz w:val="28"/>
          <w:szCs w:val="28"/>
          <w:lang w:eastAsia="lv-LV"/>
        </w:rPr>
        <w:t xml:space="preserve"> 4.</w:t>
      </w:r>
      <w:r w:rsidR="00A23DC4">
        <w:rPr>
          <w:rFonts w:ascii="Times New Roman" w:eastAsia="Times New Roman" w:hAnsi="Times New Roman"/>
          <w:sz w:val="28"/>
          <w:szCs w:val="28"/>
          <w:lang w:eastAsia="lv-LV"/>
        </w:rPr>
        <w:t> </w:t>
      </w:r>
      <w:r w:rsidR="00A23DC4" w:rsidRPr="009E37D3">
        <w:rPr>
          <w:rFonts w:ascii="Times New Roman" w:eastAsia="Times New Roman" w:hAnsi="Times New Roman"/>
          <w:sz w:val="28"/>
          <w:szCs w:val="28"/>
          <w:lang w:eastAsia="lv-LV"/>
        </w:rPr>
        <w:t>panta trešo daļu un 5.</w:t>
      </w:r>
      <w:r w:rsidR="00A23DC4">
        <w:rPr>
          <w:rFonts w:ascii="Times New Roman" w:eastAsia="Times New Roman" w:hAnsi="Times New Roman"/>
          <w:sz w:val="28"/>
          <w:szCs w:val="28"/>
          <w:lang w:eastAsia="lv-LV"/>
        </w:rPr>
        <w:t> </w:t>
      </w:r>
      <w:r w:rsidR="00A23DC4" w:rsidRPr="009E37D3">
        <w:rPr>
          <w:rFonts w:ascii="Times New Roman" w:eastAsia="Times New Roman" w:hAnsi="Times New Roman"/>
          <w:sz w:val="28"/>
          <w:szCs w:val="28"/>
          <w:lang w:eastAsia="lv-LV"/>
        </w:rPr>
        <w:t>panta pirmo daļu, esošā monitoringa sistēma nodrošina enerģijas galapatēriņa monitoringu</w:t>
      </w:r>
      <w:r w:rsidR="00A23DC4">
        <w:rPr>
          <w:rFonts w:ascii="Times New Roman" w:eastAsia="Times New Roman" w:hAnsi="Times New Roman"/>
          <w:sz w:val="28"/>
          <w:szCs w:val="28"/>
          <w:lang w:eastAsia="lv-LV"/>
        </w:rPr>
        <w:t>.</w:t>
      </w:r>
    </w:p>
    <w:p w:rsidR="0090493C" w:rsidRDefault="00A23DC4" w:rsidP="0090493C">
      <w:pPr>
        <w:pStyle w:val="No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b/>
      </w:r>
      <w:r w:rsidRPr="009E37D3">
        <w:rPr>
          <w:rFonts w:ascii="Times New Roman" w:eastAsia="Times New Roman" w:hAnsi="Times New Roman"/>
          <w:color w:val="000000"/>
          <w:sz w:val="28"/>
          <w:szCs w:val="28"/>
          <w:lang w:eastAsia="lv-LV"/>
        </w:rPr>
        <w:t>Enerģijas ietaupījumu aprēķināšanai tiks ievēroti kopējie principi un metodes, kas noteikti Direktīvas 2012/27/ES V pielikumā</w:t>
      </w:r>
      <w:r w:rsidR="0090493C">
        <w:rPr>
          <w:rFonts w:ascii="Times New Roman" w:eastAsia="Times New Roman" w:hAnsi="Times New Roman"/>
          <w:color w:val="000000"/>
          <w:sz w:val="28"/>
          <w:szCs w:val="28"/>
          <w:lang w:eastAsia="lv-LV"/>
        </w:rPr>
        <w:t>,</w:t>
      </w:r>
      <w:r w:rsidRPr="009E37D3">
        <w:rPr>
          <w:rFonts w:ascii="Times New Roman" w:eastAsia="Times New Roman" w:hAnsi="Times New Roman"/>
          <w:color w:val="000000"/>
          <w:sz w:val="28"/>
          <w:szCs w:val="28"/>
          <w:lang w:eastAsia="lv-LV"/>
        </w:rPr>
        <w:t xml:space="preserve"> </w:t>
      </w:r>
      <w:r w:rsidR="0090493C">
        <w:rPr>
          <w:rFonts w:ascii="Times New Roman" w:eastAsia="Times New Roman" w:hAnsi="Times New Roman"/>
          <w:color w:val="000000"/>
          <w:sz w:val="28"/>
          <w:szCs w:val="28"/>
          <w:lang w:eastAsia="lv-LV"/>
        </w:rPr>
        <w:t xml:space="preserve">tostarp ietaupījumu dzīves laiks un </w:t>
      </w:r>
      <w:proofErr w:type="spellStart"/>
      <w:r w:rsidR="0090493C">
        <w:rPr>
          <w:rFonts w:ascii="Times New Roman" w:eastAsia="Times New Roman" w:hAnsi="Times New Roman"/>
          <w:color w:val="000000"/>
          <w:sz w:val="28"/>
          <w:szCs w:val="28"/>
          <w:lang w:eastAsia="lv-LV"/>
        </w:rPr>
        <w:t>papildināmība</w:t>
      </w:r>
      <w:proofErr w:type="spellEnd"/>
      <w:r w:rsidR="0090493C">
        <w:rPr>
          <w:rFonts w:ascii="Times New Roman" w:eastAsia="Times New Roman" w:hAnsi="Times New Roman"/>
          <w:color w:val="000000"/>
          <w:sz w:val="28"/>
          <w:szCs w:val="28"/>
          <w:lang w:eastAsia="lv-LV"/>
        </w:rPr>
        <w:t xml:space="preserve">. </w:t>
      </w:r>
      <w:r w:rsidR="00A07047" w:rsidRPr="00A07047">
        <w:rPr>
          <w:rFonts w:ascii="Times New Roman" w:eastAsia="Times New Roman" w:hAnsi="Times New Roman"/>
          <w:color w:val="000000"/>
          <w:sz w:val="28"/>
          <w:szCs w:val="28"/>
          <w:lang w:eastAsia="lv-LV"/>
        </w:rPr>
        <w:t>Ēku siltināšanas rezultātā iegūto enerģijas ietaupījumu aprēķināšanā izmantots dzīves laiks atbilstoši Direktīvas 2006/32/EK IV</w:t>
      </w:r>
      <w:r w:rsidR="00A07047">
        <w:rPr>
          <w:rFonts w:ascii="Times New Roman" w:eastAsia="Times New Roman" w:hAnsi="Times New Roman"/>
          <w:color w:val="000000"/>
          <w:sz w:val="28"/>
          <w:szCs w:val="28"/>
          <w:lang w:eastAsia="lv-LV"/>
        </w:rPr>
        <w:t xml:space="preserve"> </w:t>
      </w:r>
      <w:r w:rsidR="00A07047" w:rsidRPr="00A07047">
        <w:rPr>
          <w:rFonts w:ascii="Times New Roman" w:eastAsia="Times New Roman" w:hAnsi="Times New Roman"/>
          <w:color w:val="000000"/>
          <w:sz w:val="28"/>
          <w:szCs w:val="28"/>
          <w:lang w:eastAsia="lv-LV"/>
        </w:rPr>
        <w:t>pielikuma 4.</w:t>
      </w:r>
      <w:r w:rsidR="00A07047">
        <w:rPr>
          <w:rFonts w:ascii="Times New Roman" w:eastAsia="Times New Roman" w:hAnsi="Times New Roman"/>
          <w:color w:val="000000"/>
          <w:sz w:val="28"/>
          <w:szCs w:val="28"/>
          <w:lang w:eastAsia="lv-LV"/>
        </w:rPr>
        <w:t> </w:t>
      </w:r>
      <w:r w:rsidR="00A07047" w:rsidRPr="00A07047">
        <w:rPr>
          <w:rFonts w:ascii="Times New Roman" w:eastAsia="Times New Roman" w:hAnsi="Times New Roman"/>
          <w:color w:val="000000"/>
          <w:sz w:val="28"/>
          <w:szCs w:val="28"/>
          <w:lang w:eastAsia="lv-LV"/>
        </w:rPr>
        <w:t xml:space="preserve">punktam, kas iekļauts </w:t>
      </w:r>
      <w:r w:rsidR="00A07047">
        <w:rPr>
          <w:rFonts w:ascii="Times New Roman" w:eastAsia="Times New Roman" w:hAnsi="Times New Roman"/>
          <w:color w:val="000000"/>
          <w:sz w:val="28"/>
          <w:szCs w:val="28"/>
          <w:lang w:eastAsia="lv-LV"/>
        </w:rPr>
        <w:t>1. </w:t>
      </w:r>
      <w:r w:rsidR="00A07047" w:rsidRPr="00A07047">
        <w:rPr>
          <w:rFonts w:ascii="Times New Roman" w:eastAsia="Times New Roman" w:hAnsi="Times New Roman"/>
          <w:color w:val="000000"/>
          <w:sz w:val="28"/>
          <w:szCs w:val="28"/>
          <w:lang w:eastAsia="lv-LV"/>
        </w:rPr>
        <w:t>pielikumā „Metodikas apraksts enerģijas ietaupījumu aprēķināšanai atbilstoši Eiropas Parlamenta un Padomes 2006.</w:t>
      </w:r>
      <w:r w:rsidR="00CF55BC">
        <w:rPr>
          <w:rFonts w:ascii="Times New Roman" w:eastAsia="Times New Roman" w:hAnsi="Times New Roman"/>
          <w:color w:val="000000"/>
          <w:sz w:val="28"/>
          <w:szCs w:val="28"/>
          <w:lang w:eastAsia="lv-LV"/>
        </w:rPr>
        <w:t> </w:t>
      </w:r>
      <w:r w:rsidR="00A07047" w:rsidRPr="00A07047">
        <w:rPr>
          <w:rFonts w:ascii="Times New Roman" w:eastAsia="Times New Roman" w:hAnsi="Times New Roman"/>
          <w:color w:val="000000"/>
          <w:sz w:val="28"/>
          <w:szCs w:val="28"/>
          <w:lang w:eastAsia="lv-LV"/>
        </w:rPr>
        <w:t>gada 5.</w:t>
      </w:r>
      <w:r w:rsidR="00CF55BC">
        <w:rPr>
          <w:rFonts w:ascii="Times New Roman" w:eastAsia="Times New Roman" w:hAnsi="Times New Roman"/>
          <w:color w:val="000000"/>
          <w:sz w:val="28"/>
          <w:szCs w:val="28"/>
          <w:lang w:eastAsia="lv-LV"/>
        </w:rPr>
        <w:t> </w:t>
      </w:r>
      <w:r w:rsidR="00A07047" w:rsidRPr="00A07047">
        <w:rPr>
          <w:rFonts w:ascii="Times New Roman" w:eastAsia="Times New Roman" w:hAnsi="Times New Roman"/>
          <w:color w:val="000000"/>
          <w:sz w:val="28"/>
          <w:szCs w:val="28"/>
          <w:lang w:eastAsia="lv-LV"/>
        </w:rPr>
        <w:t>aprīļa Direktīvas 2006/32/EK par enerģijas gala patēriņa efektivitāti un pakalpojumiem prasībām”.</w:t>
      </w:r>
    </w:p>
    <w:p w:rsidR="00A23DC4" w:rsidRPr="009E37D3" w:rsidRDefault="0090493C" w:rsidP="0090493C">
      <w:pPr>
        <w:pStyle w:val="No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ab/>
        <w:t>Atbilstoši Direktīvas 2010/31/ES</w:t>
      </w:r>
      <w:r w:rsidR="00D22F57">
        <w:rPr>
          <w:rFonts w:ascii="Times New Roman" w:eastAsia="Times New Roman" w:hAnsi="Times New Roman"/>
          <w:color w:val="000000"/>
          <w:sz w:val="28"/>
          <w:szCs w:val="28"/>
          <w:lang w:eastAsia="lv-LV"/>
        </w:rPr>
        <w:t xml:space="preserve"> 5.</w:t>
      </w:r>
      <w:r w:rsidR="001D2F15">
        <w:rPr>
          <w:rFonts w:ascii="Times New Roman" w:eastAsia="Times New Roman" w:hAnsi="Times New Roman"/>
          <w:color w:val="000000"/>
          <w:sz w:val="28"/>
          <w:szCs w:val="28"/>
          <w:lang w:eastAsia="lv-LV"/>
        </w:rPr>
        <w:t> </w:t>
      </w:r>
      <w:r w:rsidR="00D22F57">
        <w:rPr>
          <w:rFonts w:ascii="Times New Roman" w:eastAsia="Times New Roman" w:hAnsi="Times New Roman"/>
          <w:color w:val="000000"/>
          <w:sz w:val="28"/>
          <w:szCs w:val="28"/>
          <w:lang w:eastAsia="lv-LV"/>
        </w:rPr>
        <w:t>panta</w:t>
      </w:r>
      <w:r>
        <w:rPr>
          <w:rFonts w:ascii="Times New Roman" w:eastAsia="Times New Roman" w:hAnsi="Times New Roman"/>
          <w:color w:val="000000"/>
          <w:sz w:val="28"/>
          <w:szCs w:val="28"/>
          <w:lang w:eastAsia="lv-LV"/>
        </w:rPr>
        <w:t xml:space="preserve"> prasībām ir izstrādāts „Ziņojums par energoefektivitātes prasībām Latvijā jaunām un rekonstruējamām ēkām atbilstoši optimālo izmaksu līmenim (</w:t>
      </w:r>
      <w:proofErr w:type="spellStart"/>
      <w:r>
        <w:rPr>
          <w:rFonts w:ascii="Times New Roman" w:eastAsia="Times New Roman" w:hAnsi="Times New Roman"/>
          <w:color w:val="000000"/>
          <w:sz w:val="28"/>
          <w:szCs w:val="28"/>
          <w:lang w:eastAsia="lv-LV"/>
        </w:rPr>
        <w:t>cost</w:t>
      </w:r>
      <w:proofErr w:type="spellEnd"/>
      <w:r>
        <w:rPr>
          <w:rFonts w:ascii="Times New Roman" w:eastAsia="Times New Roman" w:hAnsi="Times New Roman"/>
          <w:color w:val="000000"/>
          <w:sz w:val="28"/>
          <w:szCs w:val="28"/>
          <w:lang w:eastAsia="lv-LV"/>
        </w:rPr>
        <w:t xml:space="preserve"> </w:t>
      </w:r>
      <w:proofErr w:type="spellStart"/>
      <w:r>
        <w:rPr>
          <w:rFonts w:ascii="Times New Roman" w:eastAsia="Times New Roman" w:hAnsi="Times New Roman"/>
          <w:color w:val="000000"/>
          <w:sz w:val="28"/>
          <w:szCs w:val="28"/>
          <w:lang w:eastAsia="lv-LV"/>
        </w:rPr>
        <w:t>optimal</w:t>
      </w:r>
      <w:proofErr w:type="spellEnd"/>
      <w:r>
        <w:rPr>
          <w:rFonts w:ascii="Times New Roman" w:eastAsia="Times New Roman" w:hAnsi="Times New Roman"/>
          <w:color w:val="000000"/>
          <w:sz w:val="28"/>
          <w:szCs w:val="28"/>
          <w:lang w:eastAsia="lv-LV"/>
        </w:rPr>
        <w:t>) saskaņā ar Direktīvas 2010/31/ES par ēku energoefektivitāti 5.</w:t>
      </w:r>
      <w:r w:rsidR="00FC54B0">
        <w:rPr>
          <w:rFonts w:ascii="Times New Roman" w:eastAsia="Times New Roman" w:hAnsi="Times New Roman"/>
          <w:color w:val="000000"/>
          <w:sz w:val="28"/>
          <w:szCs w:val="28"/>
          <w:lang w:eastAsia="lv-LV"/>
        </w:rPr>
        <w:t> </w:t>
      </w:r>
      <w:r>
        <w:rPr>
          <w:rFonts w:ascii="Times New Roman" w:eastAsia="Times New Roman" w:hAnsi="Times New Roman"/>
          <w:color w:val="000000"/>
          <w:sz w:val="28"/>
          <w:szCs w:val="28"/>
          <w:lang w:eastAsia="lv-LV"/>
        </w:rPr>
        <w:t>pantu”</w:t>
      </w:r>
      <w:r>
        <w:rPr>
          <w:rStyle w:val="FootnoteReference"/>
          <w:rFonts w:ascii="Times New Roman" w:eastAsia="Times New Roman" w:hAnsi="Times New Roman"/>
          <w:color w:val="000000"/>
          <w:sz w:val="28"/>
          <w:szCs w:val="28"/>
          <w:lang w:eastAsia="lv-LV"/>
        </w:rPr>
        <w:footnoteReference w:id="15"/>
      </w:r>
      <w:r>
        <w:rPr>
          <w:rFonts w:ascii="Times New Roman" w:eastAsia="Times New Roman" w:hAnsi="Times New Roman"/>
          <w:color w:val="000000"/>
          <w:sz w:val="28"/>
          <w:szCs w:val="28"/>
          <w:lang w:eastAsia="lv-LV"/>
        </w:rPr>
        <w:t>.</w:t>
      </w:r>
      <w:r w:rsidR="00A07047">
        <w:rPr>
          <w:rFonts w:ascii="Times New Roman" w:eastAsia="Times New Roman" w:hAnsi="Times New Roman"/>
          <w:color w:val="000000"/>
          <w:sz w:val="28"/>
          <w:szCs w:val="28"/>
          <w:lang w:eastAsia="lv-LV"/>
        </w:rPr>
        <w:t xml:space="preserve"> Enerģijas ietaupījumu aprēķins rekonstruētajām ēkām tiks veikts pamatojoties uz</w:t>
      </w:r>
      <w:r w:rsidR="00274912">
        <w:rPr>
          <w:rFonts w:ascii="Times New Roman" w:eastAsia="Times New Roman" w:hAnsi="Times New Roman"/>
          <w:color w:val="000000"/>
          <w:sz w:val="28"/>
          <w:szCs w:val="28"/>
          <w:lang w:eastAsia="lv-LV"/>
        </w:rPr>
        <w:t xml:space="preserve"> </w:t>
      </w:r>
      <w:r w:rsidR="00A07047">
        <w:rPr>
          <w:rFonts w:ascii="Times New Roman" w:eastAsia="Times New Roman" w:hAnsi="Times New Roman"/>
          <w:color w:val="000000"/>
          <w:sz w:val="28"/>
          <w:szCs w:val="28"/>
          <w:lang w:eastAsia="lv-LV"/>
        </w:rPr>
        <w:t>Ziņojumā noteikto optimālo izmaksu līmeni.</w:t>
      </w:r>
    </w:p>
    <w:p w:rsidR="00FA69C4" w:rsidRPr="00FA69C4" w:rsidRDefault="00AA70E3" w:rsidP="00FA69C4">
      <w:pPr>
        <w:pStyle w:val="Heading3"/>
        <w:spacing w:after="120"/>
      </w:pPr>
      <w:bookmarkStart w:id="25" w:name="_Toc387237969"/>
      <w:bookmarkEnd w:id="23"/>
      <w:bookmarkEnd w:id="24"/>
      <w:r w:rsidRPr="00FA69C4">
        <w:rPr>
          <w:rStyle w:val="Heading3Char"/>
          <w:b/>
          <w:bCs/>
        </w:rPr>
        <w:t>3.1.</w:t>
      </w:r>
      <w:r w:rsidR="00FA69C4" w:rsidRPr="00FA69C4">
        <w:rPr>
          <w:rStyle w:val="Heading3Char"/>
          <w:b/>
          <w:bCs/>
        </w:rPr>
        <w:t>8</w:t>
      </w:r>
      <w:r w:rsidRPr="00FA69C4">
        <w:rPr>
          <w:rStyle w:val="Heading3Char"/>
          <w:b/>
          <w:bCs/>
        </w:rPr>
        <w:t xml:space="preserve">. </w:t>
      </w:r>
      <w:proofErr w:type="spellStart"/>
      <w:r w:rsidRPr="00FA69C4">
        <w:rPr>
          <w:rStyle w:val="Heading3Char"/>
          <w:b/>
          <w:bCs/>
        </w:rPr>
        <w:t>Energoauditi</w:t>
      </w:r>
      <w:proofErr w:type="spellEnd"/>
      <w:r w:rsidRPr="00FA69C4">
        <w:rPr>
          <w:rStyle w:val="Heading3Char"/>
          <w:b/>
          <w:bCs/>
        </w:rPr>
        <w:t xml:space="preserve"> un </w:t>
      </w:r>
      <w:proofErr w:type="spellStart"/>
      <w:r w:rsidRPr="00FA69C4">
        <w:rPr>
          <w:rStyle w:val="Heading3Char"/>
          <w:b/>
          <w:bCs/>
        </w:rPr>
        <w:t>energovadības</w:t>
      </w:r>
      <w:proofErr w:type="spellEnd"/>
      <w:r w:rsidRPr="00FA69C4">
        <w:rPr>
          <w:rStyle w:val="Heading3Char"/>
          <w:b/>
          <w:bCs/>
        </w:rPr>
        <w:t xml:space="preserve"> sistēmas</w:t>
      </w:r>
      <w:bookmarkEnd w:id="25"/>
      <w:r w:rsidRPr="00FA69C4">
        <w:t xml:space="preserve"> </w:t>
      </w:r>
    </w:p>
    <w:p w:rsidR="00311DB6" w:rsidRPr="003D48F5" w:rsidRDefault="00FA69C4" w:rsidP="00FA69C4">
      <w:pPr>
        <w:autoSpaceDE w:val="0"/>
        <w:autoSpaceDN w:val="0"/>
        <w:adjustRightInd w:val="0"/>
        <w:spacing w:after="0" w:line="240" w:lineRule="auto"/>
        <w:jc w:val="both"/>
        <w:rPr>
          <w:rFonts w:eastAsia="Times New Roman"/>
          <w:color w:val="000000"/>
          <w:szCs w:val="28"/>
          <w:lang w:eastAsia="lv-LV"/>
        </w:rPr>
      </w:pPr>
      <w:r>
        <w:rPr>
          <w:rFonts w:cs="Times New Roman"/>
          <w:i/>
          <w:iCs/>
          <w:sz w:val="24"/>
          <w:szCs w:val="24"/>
        </w:rPr>
        <w:tab/>
      </w:r>
      <w:r w:rsidR="00AE6C6B" w:rsidRPr="003D48F5">
        <w:rPr>
          <w:rFonts w:eastAsia="Times New Roman"/>
          <w:color w:val="000000"/>
          <w:szCs w:val="28"/>
          <w:lang w:eastAsia="lv-LV"/>
        </w:rPr>
        <w:t>Stratēģijā 2030</w:t>
      </w:r>
      <w:r w:rsidR="00D64776" w:rsidRPr="003D48F5">
        <w:rPr>
          <w:rFonts w:eastAsia="Times New Roman"/>
          <w:color w:val="000000"/>
          <w:szCs w:val="28"/>
          <w:lang w:eastAsia="lv-LV"/>
        </w:rPr>
        <w:t xml:space="preserve">, lai veicinātu energoefektivitāti, noteikts </w:t>
      </w:r>
      <w:r w:rsidR="00311DB6" w:rsidRPr="003D48F5">
        <w:rPr>
          <w:rFonts w:eastAsia="Times New Roman"/>
          <w:color w:val="000000"/>
          <w:szCs w:val="28"/>
          <w:lang w:eastAsia="lv-LV"/>
        </w:rPr>
        <w:t xml:space="preserve">veicināt mazo un vidējo uzņēmumu darbības energoefektivitātes paaugstināšanu, ieviešot </w:t>
      </w:r>
      <w:proofErr w:type="spellStart"/>
      <w:r w:rsidR="00311DB6" w:rsidRPr="003D48F5">
        <w:rPr>
          <w:rFonts w:eastAsia="Times New Roman"/>
          <w:color w:val="000000"/>
          <w:szCs w:val="28"/>
          <w:lang w:eastAsia="lv-LV"/>
        </w:rPr>
        <w:t>energoauditu</w:t>
      </w:r>
      <w:proofErr w:type="spellEnd"/>
      <w:r w:rsidR="00311DB6" w:rsidRPr="003D48F5">
        <w:rPr>
          <w:rFonts w:eastAsia="Times New Roman"/>
          <w:color w:val="000000"/>
          <w:szCs w:val="28"/>
          <w:lang w:eastAsia="lv-LV"/>
        </w:rPr>
        <w:t xml:space="preserve"> un </w:t>
      </w:r>
      <w:proofErr w:type="spellStart"/>
      <w:r w:rsidR="00311DB6" w:rsidRPr="003D48F5">
        <w:rPr>
          <w:rFonts w:eastAsia="Times New Roman"/>
          <w:color w:val="000000"/>
          <w:szCs w:val="28"/>
          <w:lang w:eastAsia="lv-LV"/>
        </w:rPr>
        <w:t>energovadības</w:t>
      </w:r>
      <w:proofErr w:type="spellEnd"/>
      <w:r w:rsidR="00311DB6" w:rsidRPr="003D48F5">
        <w:rPr>
          <w:rFonts w:eastAsia="Times New Roman"/>
          <w:color w:val="000000"/>
          <w:szCs w:val="28"/>
          <w:lang w:eastAsia="lv-LV"/>
        </w:rPr>
        <w:t xml:space="preserve"> sistēmu. Būtiski ir aktivizēt nozares asociācijas lomu energoefektivitātes veicināšanai, rosinot diskusiju par enerģijas patēriņa </w:t>
      </w:r>
      <w:proofErr w:type="spellStart"/>
      <w:r w:rsidR="00311DB6" w:rsidRPr="003D48F5">
        <w:rPr>
          <w:rFonts w:eastAsia="Times New Roman"/>
          <w:color w:val="000000"/>
          <w:szCs w:val="28"/>
          <w:lang w:eastAsia="lv-LV"/>
        </w:rPr>
        <w:t>līmeņatzīmju</w:t>
      </w:r>
      <w:proofErr w:type="spellEnd"/>
      <w:r w:rsidR="00311DB6" w:rsidRPr="003D48F5">
        <w:rPr>
          <w:rFonts w:eastAsia="Times New Roman"/>
          <w:color w:val="000000"/>
          <w:szCs w:val="28"/>
          <w:lang w:eastAsia="lv-LV"/>
        </w:rPr>
        <w:t xml:space="preserve"> noteikšanu nozarē. Tāpat </w:t>
      </w:r>
      <w:r w:rsidR="00E435A9">
        <w:rPr>
          <w:rFonts w:eastAsia="Times New Roman"/>
          <w:color w:val="000000"/>
          <w:szCs w:val="28"/>
          <w:lang w:eastAsia="lv-LV"/>
        </w:rPr>
        <w:t>nākamajā plānošanas periodā</w:t>
      </w:r>
      <w:r w:rsidR="00311DB6" w:rsidRPr="003D48F5">
        <w:rPr>
          <w:rFonts w:eastAsia="Times New Roman"/>
          <w:color w:val="000000"/>
          <w:szCs w:val="28"/>
          <w:lang w:eastAsia="lv-LV"/>
        </w:rPr>
        <w:t xml:space="preserve"> plānots īstenot valsts atbalstu energoefektivitātes paaugstināšanas pasākumu ieviešanai rūpniecībā</w:t>
      </w:r>
      <w:r w:rsidR="00833D71" w:rsidRPr="003D48F5">
        <w:rPr>
          <w:rFonts w:eastAsia="Times New Roman"/>
          <w:color w:val="000000"/>
          <w:szCs w:val="28"/>
          <w:lang w:eastAsia="lv-LV"/>
        </w:rPr>
        <w:t>.</w:t>
      </w:r>
    </w:p>
    <w:p w:rsidR="00A23DC4" w:rsidRPr="00A23DC4" w:rsidRDefault="00A23DC4" w:rsidP="00A23DC4">
      <w:pPr>
        <w:spacing w:after="0" w:line="240" w:lineRule="auto"/>
        <w:jc w:val="both"/>
        <w:rPr>
          <w:rFonts w:eastAsia="Times New Roman" w:cs="Times New Roman"/>
          <w:color w:val="000000"/>
          <w:szCs w:val="28"/>
          <w:lang w:eastAsia="lv-LV"/>
        </w:rPr>
      </w:pPr>
      <w:r>
        <w:rPr>
          <w:rFonts w:eastAsia="Times New Roman" w:cs="Times New Roman"/>
          <w:color w:val="000000"/>
          <w:szCs w:val="28"/>
          <w:lang w:eastAsia="lv-LV"/>
        </w:rPr>
        <w:tab/>
      </w:r>
      <w:r w:rsidRPr="00A23DC4">
        <w:rPr>
          <w:rFonts w:eastAsia="Times New Roman" w:cs="Times New Roman"/>
          <w:color w:val="000000"/>
          <w:szCs w:val="28"/>
          <w:lang w:eastAsia="lv-LV"/>
        </w:rPr>
        <w:t>Enerģijas galapatēriņa efektivitātes likuma 12. pants nosaka, ka</w:t>
      </w:r>
      <w:r w:rsidR="00274912">
        <w:rPr>
          <w:rFonts w:eastAsia="Times New Roman" w:cs="Times New Roman"/>
          <w:color w:val="000000"/>
          <w:szCs w:val="28"/>
          <w:lang w:eastAsia="lv-LV"/>
        </w:rPr>
        <w:t xml:space="preserve"> </w:t>
      </w:r>
      <w:r w:rsidRPr="00A23DC4">
        <w:rPr>
          <w:rFonts w:cs="Times New Roman"/>
          <w:szCs w:val="28"/>
        </w:rPr>
        <w:t>nozaru asociācijas, komersanti vai pašvaldības var noslēgt līgumus ar valsti par energoefektivitātes paaugstināšanas pasākumu īstenošanu un</w:t>
      </w:r>
      <w:r w:rsidRPr="00A23DC4">
        <w:rPr>
          <w:rFonts w:eastAsia="Times New Roman" w:cs="Times New Roman"/>
          <w:color w:val="000000"/>
          <w:szCs w:val="28"/>
          <w:lang w:eastAsia="lv-LV"/>
        </w:rPr>
        <w:t xml:space="preserve"> 12. panta otrās daļas otrais punkts paredz, valstij ir iespējams noteikt subsīdijas </w:t>
      </w:r>
      <w:proofErr w:type="spellStart"/>
      <w:r w:rsidRPr="00A23DC4">
        <w:rPr>
          <w:rFonts w:eastAsia="Times New Roman" w:cs="Times New Roman"/>
          <w:color w:val="000000"/>
          <w:szCs w:val="28"/>
          <w:lang w:eastAsia="lv-LV"/>
        </w:rPr>
        <w:t>energoauditiem</w:t>
      </w:r>
      <w:proofErr w:type="spellEnd"/>
      <w:r w:rsidRPr="00A23DC4">
        <w:rPr>
          <w:rFonts w:eastAsia="Times New Roman" w:cs="Times New Roman"/>
          <w:color w:val="000000"/>
          <w:szCs w:val="28"/>
          <w:lang w:eastAsia="lv-LV"/>
        </w:rPr>
        <w:t xml:space="preserve"> un atsevišķiem energoefektivitātes paaugstināšanas pasākumiem, kas tiek īstenoti saskaņā ar šo vienošanos. </w:t>
      </w:r>
    </w:p>
    <w:p w:rsidR="00553FB6" w:rsidRDefault="00E17151" w:rsidP="00AE6C6B">
      <w:pPr>
        <w:autoSpaceDE w:val="0"/>
        <w:autoSpaceDN w:val="0"/>
        <w:adjustRightInd w:val="0"/>
        <w:spacing w:after="0" w:line="240" w:lineRule="auto"/>
        <w:jc w:val="both"/>
        <w:rPr>
          <w:rFonts w:eastAsia="Times New Roman" w:cs="Times New Roman"/>
          <w:color w:val="000000"/>
          <w:szCs w:val="28"/>
          <w:lang w:eastAsia="lv-LV"/>
        </w:rPr>
      </w:pPr>
      <w:r w:rsidRPr="003D48F5">
        <w:rPr>
          <w:rFonts w:eastAsia="Times New Roman" w:cs="Times New Roman"/>
          <w:color w:val="000000"/>
          <w:szCs w:val="28"/>
          <w:lang w:eastAsia="lv-LV"/>
        </w:rPr>
        <w:tab/>
      </w:r>
      <w:r w:rsidR="00553FB6" w:rsidRPr="003D48F5">
        <w:rPr>
          <w:rFonts w:eastAsia="Times New Roman" w:cs="Times New Roman"/>
          <w:color w:val="000000"/>
          <w:szCs w:val="28"/>
          <w:lang w:eastAsia="lv-LV"/>
        </w:rPr>
        <w:t xml:space="preserve">Ja valsts kā </w:t>
      </w:r>
      <w:r w:rsidR="00A23DC4">
        <w:rPr>
          <w:rFonts w:eastAsia="Times New Roman" w:cs="Times New Roman"/>
          <w:color w:val="000000"/>
          <w:szCs w:val="28"/>
          <w:lang w:eastAsia="lv-LV"/>
        </w:rPr>
        <w:t>vienu no alternatīvajiem</w:t>
      </w:r>
      <w:r w:rsidR="00553FB6" w:rsidRPr="003D48F5">
        <w:rPr>
          <w:rFonts w:eastAsia="Times New Roman" w:cs="Times New Roman"/>
          <w:color w:val="000000"/>
          <w:szCs w:val="28"/>
          <w:lang w:eastAsia="lv-LV"/>
        </w:rPr>
        <w:t xml:space="preserve"> pasākum</w:t>
      </w:r>
      <w:r w:rsidR="00A23DC4">
        <w:rPr>
          <w:rFonts w:eastAsia="Times New Roman" w:cs="Times New Roman"/>
          <w:color w:val="000000"/>
          <w:szCs w:val="28"/>
          <w:lang w:eastAsia="lv-LV"/>
        </w:rPr>
        <w:t xml:space="preserve">iem EPS ieviešanai noteiks </w:t>
      </w:r>
      <w:r w:rsidR="00553FB6" w:rsidRPr="003D48F5">
        <w:rPr>
          <w:rFonts w:eastAsia="Times New Roman" w:cs="Times New Roman"/>
          <w:color w:val="000000"/>
          <w:szCs w:val="28"/>
          <w:lang w:eastAsia="lv-LV"/>
        </w:rPr>
        <w:t xml:space="preserve">vienošanās par enerģijas ietaupījumiem, tad komersantu iesaistīšanās </w:t>
      </w:r>
      <w:r w:rsidR="00553FB6" w:rsidRPr="003D48F5">
        <w:rPr>
          <w:rFonts w:eastAsia="Times New Roman" w:cs="Times New Roman"/>
          <w:color w:val="000000"/>
          <w:szCs w:val="28"/>
          <w:lang w:eastAsia="lv-LV"/>
        </w:rPr>
        <w:lastRenderedPageBreak/>
        <w:t xml:space="preserve">veicināšanai valsts varētu </w:t>
      </w:r>
      <w:r w:rsidR="00553FB6" w:rsidRPr="007C5859">
        <w:rPr>
          <w:rFonts w:eastAsia="Times New Roman" w:cs="Times New Roman"/>
          <w:color w:val="000000"/>
          <w:szCs w:val="28"/>
          <w:lang w:eastAsia="lv-LV"/>
        </w:rPr>
        <w:t>segt līdz pat</w:t>
      </w:r>
      <w:r w:rsidR="00274912" w:rsidRPr="007C5859">
        <w:rPr>
          <w:rFonts w:eastAsia="Times New Roman" w:cs="Times New Roman"/>
          <w:color w:val="000000"/>
          <w:szCs w:val="28"/>
          <w:lang w:eastAsia="lv-LV"/>
        </w:rPr>
        <w:t xml:space="preserve"> </w:t>
      </w:r>
      <w:r w:rsidR="00553FB6" w:rsidRPr="007C5859">
        <w:rPr>
          <w:rFonts w:eastAsia="Times New Roman" w:cs="Times New Roman"/>
          <w:color w:val="000000"/>
          <w:szCs w:val="28"/>
          <w:lang w:eastAsia="lv-LV"/>
        </w:rPr>
        <w:t xml:space="preserve">60% no </w:t>
      </w:r>
      <w:proofErr w:type="spellStart"/>
      <w:r w:rsidR="00553FB6" w:rsidRPr="007C5859">
        <w:rPr>
          <w:rFonts w:eastAsia="Times New Roman" w:cs="Times New Roman"/>
          <w:color w:val="000000"/>
          <w:szCs w:val="28"/>
          <w:lang w:eastAsia="lv-LV"/>
        </w:rPr>
        <w:t>energoauditu</w:t>
      </w:r>
      <w:proofErr w:type="spellEnd"/>
      <w:r w:rsidR="00553FB6" w:rsidRPr="007C5859">
        <w:rPr>
          <w:rFonts w:eastAsia="Times New Roman" w:cs="Times New Roman"/>
          <w:color w:val="000000"/>
          <w:szCs w:val="28"/>
          <w:lang w:eastAsia="lv-LV"/>
        </w:rPr>
        <w:t xml:space="preserve"> izmaksām rūpniecībā, kas kopā veidotu 324 41</w:t>
      </w:r>
      <w:r w:rsidR="00A8317B" w:rsidRPr="007C5859">
        <w:rPr>
          <w:rFonts w:eastAsia="Times New Roman" w:cs="Times New Roman"/>
          <w:color w:val="000000"/>
          <w:szCs w:val="28"/>
          <w:lang w:eastAsia="lv-LV"/>
        </w:rPr>
        <w:t>5</w:t>
      </w:r>
      <w:r w:rsidR="00553FB6" w:rsidRPr="007C5859">
        <w:rPr>
          <w:rFonts w:eastAsia="Times New Roman" w:cs="Times New Roman"/>
          <w:color w:val="000000"/>
          <w:szCs w:val="28"/>
          <w:lang w:eastAsia="lv-LV"/>
        </w:rPr>
        <w:t xml:space="preserve"> EUR</w:t>
      </w:r>
      <w:r w:rsidR="003C0326" w:rsidRPr="007C5859">
        <w:rPr>
          <w:rFonts w:eastAsia="Times New Roman" w:cs="Times New Roman"/>
          <w:color w:val="000000"/>
          <w:szCs w:val="28"/>
          <w:vertAlign w:val="superscript"/>
          <w:lang w:eastAsia="lv-LV"/>
        </w:rPr>
        <w:footnoteReference w:id="16"/>
      </w:r>
      <w:r w:rsidR="00553FB6" w:rsidRPr="007C5859">
        <w:rPr>
          <w:rFonts w:eastAsia="Times New Roman" w:cs="Times New Roman"/>
          <w:color w:val="000000"/>
          <w:szCs w:val="28"/>
          <w:lang w:eastAsia="lv-LV"/>
        </w:rPr>
        <w:t xml:space="preserve"> laikā</w:t>
      </w:r>
      <w:r w:rsidR="00553FB6" w:rsidRPr="003D48F5">
        <w:rPr>
          <w:rFonts w:eastAsia="Times New Roman" w:cs="Times New Roman"/>
          <w:color w:val="000000"/>
          <w:szCs w:val="28"/>
          <w:lang w:eastAsia="lv-LV"/>
        </w:rPr>
        <w:t xml:space="preserve"> no 2014.</w:t>
      </w:r>
      <w:r w:rsidR="001D2F15">
        <w:rPr>
          <w:rFonts w:eastAsia="Times New Roman" w:cs="Times New Roman"/>
          <w:color w:val="000000"/>
          <w:szCs w:val="28"/>
          <w:lang w:eastAsia="lv-LV"/>
        </w:rPr>
        <w:t xml:space="preserve"> </w:t>
      </w:r>
      <w:r w:rsidR="00553FB6" w:rsidRPr="003D48F5">
        <w:rPr>
          <w:rFonts w:eastAsia="Times New Roman" w:cs="Times New Roman"/>
          <w:color w:val="000000"/>
          <w:szCs w:val="28"/>
          <w:lang w:eastAsia="lv-LV"/>
        </w:rPr>
        <w:t>-</w:t>
      </w:r>
      <w:r w:rsidR="001D2F15">
        <w:rPr>
          <w:rFonts w:eastAsia="Times New Roman" w:cs="Times New Roman"/>
          <w:color w:val="000000"/>
          <w:szCs w:val="28"/>
          <w:lang w:eastAsia="lv-LV"/>
        </w:rPr>
        <w:t xml:space="preserve"> </w:t>
      </w:r>
      <w:r w:rsidR="00553FB6" w:rsidRPr="003D48F5">
        <w:rPr>
          <w:rFonts w:eastAsia="Times New Roman" w:cs="Times New Roman"/>
          <w:color w:val="000000"/>
          <w:szCs w:val="28"/>
          <w:lang w:eastAsia="lv-LV"/>
        </w:rPr>
        <w:t>2020. gadam.</w:t>
      </w:r>
    </w:p>
    <w:p w:rsidR="00A23DC4" w:rsidRPr="009E37D3" w:rsidRDefault="00A23DC4" w:rsidP="00A23DC4">
      <w:pPr>
        <w:pStyle w:val="tv213"/>
        <w:spacing w:before="0" w:beforeAutospacing="0" w:after="0" w:afterAutospacing="0"/>
        <w:jc w:val="both"/>
        <w:rPr>
          <w:sz w:val="28"/>
          <w:szCs w:val="28"/>
        </w:rPr>
      </w:pPr>
      <w:r>
        <w:rPr>
          <w:sz w:val="28"/>
          <w:szCs w:val="28"/>
        </w:rPr>
        <w:tab/>
      </w:r>
      <w:r w:rsidRPr="009E37D3">
        <w:rPr>
          <w:sz w:val="28"/>
          <w:szCs w:val="28"/>
        </w:rPr>
        <w:t>Saskaņā ar Enerģijas galapatēriņa efektivitātes likuma 15.</w:t>
      </w:r>
      <w:r>
        <w:rPr>
          <w:sz w:val="28"/>
          <w:szCs w:val="28"/>
        </w:rPr>
        <w:t> </w:t>
      </w:r>
      <w:r w:rsidRPr="009E37D3">
        <w:rPr>
          <w:sz w:val="28"/>
          <w:szCs w:val="28"/>
        </w:rPr>
        <w:t>panta trešo daļu un likuma „Par atbilstības novērtēšanu” 7.</w:t>
      </w:r>
      <w:r>
        <w:rPr>
          <w:sz w:val="28"/>
          <w:szCs w:val="28"/>
        </w:rPr>
        <w:t> </w:t>
      </w:r>
      <w:r w:rsidRPr="009E37D3">
        <w:rPr>
          <w:sz w:val="28"/>
          <w:szCs w:val="28"/>
        </w:rPr>
        <w:t>panta pirmo daļu ir pieņemti Ministru kabineta</w:t>
      </w:r>
      <w:r w:rsidR="00D22F57">
        <w:rPr>
          <w:sz w:val="28"/>
          <w:szCs w:val="28"/>
        </w:rPr>
        <w:t xml:space="preserve"> </w:t>
      </w:r>
      <w:r w:rsidR="00D22F57" w:rsidRPr="001D2F15">
        <w:rPr>
          <w:sz w:val="28"/>
          <w:szCs w:val="28"/>
        </w:rPr>
        <w:t>2013.</w:t>
      </w:r>
      <w:r w:rsidR="001D2F15">
        <w:rPr>
          <w:sz w:val="28"/>
          <w:szCs w:val="28"/>
        </w:rPr>
        <w:t> </w:t>
      </w:r>
      <w:r w:rsidR="00D22F57" w:rsidRPr="001D2F15">
        <w:rPr>
          <w:sz w:val="28"/>
          <w:szCs w:val="28"/>
        </w:rPr>
        <w:t>gada 12.</w:t>
      </w:r>
      <w:r w:rsidR="001D2F15">
        <w:rPr>
          <w:sz w:val="28"/>
          <w:szCs w:val="28"/>
        </w:rPr>
        <w:t> </w:t>
      </w:r>
      <w:r w:rsidR="00D22F57" w:rsidRPr="001D2F15">
        <w:rPr>
          <w:sz w:val="28"/>
          <w:szCs w:val="28"/>
        </w:rPr>
        <w:t>marta</w:t>
      </w:r>
      <w:r w:rsidRPr="009E37D3">
        <w:rPr>
          <w:sz w:val="28"/>
          <w:szCs w:val="28"/>
        </w:rPr>
        <w:t xml:space="preserve"> noteikumi Nr.138 „Noteikumi par rūpniecisko </w:t>
      </w:r>
      <w:proofErr w:type="spellStart"/>
      <w:r w:rsidRPr="009E37D3">
        <w:rPr>
          <w:sz w:val="28"/>
          <w:szCs w:val="28"/>
        </w:rPr>
        <w:t>energoauditu</w:t>
      </w:r>
      <w:proofErr w:type="spellEnd"/>
      <w:r w:rsidRPr="009E37D3">
        <w:rPr>
          <w:sz w:val="28"/>
          <w:szCs w:val="28"/>
        </w:rPr>
        <w:t xml:space="preserve">” (turpmāk – MK noteikumi </w:t>
      </w:r>
      <w:proofErr w:type="spellStart"/>
      <w:r w:rsidRPr="009E37D3">
        <w:rPr>
          <w:sz w:val="28"/>
          <w:szCs w:val="28"/>
        </w:rPr>
        <w:t>Nr</w:t>
      </w:r>
      <w:proofErr w:type="spellEnd"/>
      <w:r w:rsidRPr="009E37D3">
        <w:rPr>
          <w:sz w:val="28"/>
          <w:szCs w:val="28"/>
        </w:rPr>
        <w:t>.</w:t>
      </w:r>
      <w:r>
        <w:rPr>
          <w:sz w:val="28"/>
          <w:szCs w:val="28"/>
        </w:rPr>
        <w:t> </w:t>
      </w:r>
      <w:r w:rsidRPr="009E37D3">
        <w:rPr>
          <w:sz w:val="28"/>
          <w:szCs w:val="28"/>
        </w:rPr>
        <w:t>138)</w:t>
      </w:r>
      <w:r>
        <w:rPr>
          <w:sz w:val="28"/>
          <w:szCs w:val="28"/>
        </w:rPr>
        <w:t>, kas no</w:t>
      </w:r>
      <w:r w:rsidRPr="009E37D3">
        <w:rPr>
          <w:sz w:val="28"/>
          <w:szCs w:val="28"/>
        </w:rPr>
        <w:t xml:space="preserve">saka kārtību, kādā veicams rūpnieciskais </w:t>
      </w:r>
      <w:proofErr w:type="spellStart"/>
      <w:r w:rsidRPr="009E37D3">
        <w:rPr>
          <w:sz w:val="28"/>
          <w:szCs w:val="28"/>
        </w:rPr>
        <w:t>energoaudits</w:t>
      </w:r>
      <w:proofErr w:type="spellEnd"/>
      <w:r w:rsidRPr="009E37D3">
        <w:rPr>
          <w:sz w:val="28"/>
          <w:szCs w:val="28"/>
        </w:rPr>
        <w:t xml:space="preserve"> lielajos rūpniecības nozaru uzņēmumos, juridiskajām personām izvirzāmās prasības rūpniecisko </w:t>
      </w:r>
      <w:proofErr w:type="spellStart"/>
      <w:r w:rsidRPr="009E37D3">
        <w:rPr>
          <w:sz w:val="28"/>
          <w:szCs w:val="28"/>
        </w:rPr>
        <w:t>energoauditu</w:t>
      </w:r>
      <w:proofErr w:type="spellEnd"/>
      <w:r w:rsidRPr="009E37D3">
        <w:rPr>
          <w:sz w:val="28"/>
          <w:szCs w:val="28"/>
        </w:rPr>
        <w:t xml:space="preserve"> veikšanai, </w:t>
      </w:r>
      <w:proofErr w:type="spellStart"/>
      <w:r w:rsidRPr="009E37D3">
        <w:rPr>
          <w:sz w:val="28"/>
          <w:szCs w:val="28"/>
        </w:rPr>
        <w:t>energoauditora</w:t>
      </w:r>
      <w:proofErr w:type="spellEnd"/>
      <w:r w:rsidRPr="009E37D3">
        <w:rPr>
          <w:sz w:val="28"/>
          <w:szCs w:val="28"/>
        </w:rPr>
        <w:t xml:space="preserve"> atbilstības novērtēšanas būtiskās prasības un kārtību, kādā īsteno šo prasību ievērošanas uzraudzību.</w:t>
      </w:r>
    </w:p>
    <w:p w:rsidR="00A23DC4" w:rsidRPr="009E37D3" w:rsidRDefault="00A23DC4" w:rsidP="00A23DC4">
      <w:pPr>
        <w:spacing w:after="0" w:line="240" w:lineRule="auto"/>
        <w:jc w:val="both"/>
        <w:rPr>
          <w:rFonts w:cs="Times New Roman"/>
          <w:szCs w:val="28"/>
        </w:rPr>
      </w:pPr>
      <w:r w:rsidRPr="009E37D3">
        <w:rPr>
          <w:rFonts w:cs="Times New Roman"/>
          <w:szCs w:val="28"/>
        </w:rPr>
        <w:tab/>
      </w:r>
      <w:r w:rsidRPr="009E37D3">
        <w:rPr>
          <w:rFonts w:eastAsia="Times New Roman" w:cs="Times New Roman"/>
          <w:szCs w:val="28"/>
          <w:lang w:eastAsia="lv-LV"/>
        </w:rPr>
        <w:t>Saskaņā ar Ēku energoefektivitātes likuma 12.</w:t>
      </w:r>
      <w:r>
        <w:rPr>
          <w:rFonts w:eastAsia="Times New Roman" w:cs="Times New Roman"/>
          <w:szCs w:val="28"/>
          <w:lang w:eastAsia="lv-LV"/>
        </w:rPr>
        <w:t> </w:t>
      </w:r>
      <w:r w:rsidRPr="009E37D3">
        <w:rPr>
          <w:rFonts w:eastAsia="Times New Roman" w:cs="Times New Roman"/>
          <w:szCs w:val="28"/>
          <w:lang w:eastAsia="lv-LV"/>
        </w:rPr>
        <w:t>panta ceturto daļu pieņemti Ministru kabineta</w:t>
      </w:r>
      <w:r w:rsidR="00D22F57">
        <w:rPr>
          <w:rFonts w:eastAsia="Times New Roman" w:cs="Times New Roman"/>
          <w:szCs w:val="28"/>
          <w:lang w:eastAsia="lv-LV"/>
        </w:rPr>
        <w:t xml:space="preserve"> </w:t>
      </w:r>
      <w:r w:rsidR="00D22F57">
        <w:t>2013.</w:t>
      </w:r>
      <w:r w:rsidR="001D2F15">
        <w:t> </w:t>
      </w:r>
      <w:r w:rsidR="00D22F57">
        <w:t>gada 9.</w:t>
      </w:r>
      <w:r w:rsidR="001D2F15">
        <w:t> </w:t>
      </w:r>
      <w:r w:rsidR="00D22F57">
        <w:t>jūlija</w:t>
      </w:r>
      <w:r w:rsidRPr="009E37D3">
        <w:rPr>
          <w:rFonts w:eastAsia="Times New Roman" w:cs="Times New Roman"/>
          <w:szCs w:val="28"/>
          <w:lang w:eastAsia="lv-LV"/>
        </w:rPr>
        <w:t xml:space="preserve"> noteikumi Nr.382 </w:t>
      </w:r>
      <w:r w:rsidR="001D2F15">
        <w:rPr>
          <w:rFonts w:eastAsia="Times New Roman" w:cs="Times New Roman"/>
          <w:szCs w:val="28"/>
          <w:lang w:eastAsia="lv-LV"/>
        </w:rPr>
        <w:t>„</w:t>
      </w:r>
      <w:r w:rsidRPr="009E37D3">
        <w:rPr>
          <w:rFonts w:eastAsia="Times New Roman" w:cs="Times New Roman"/>
          <w:szCs w:val="28"/>
          <w:lang w:eastAsia="lv-LV"/>
        </w:rPr>
        <w:t>Noteikumi par neatkarīgiem ekspertiem ēku energoefektivitātes jomā”</w:t>
      </w:r>
      <w:bookmarkStart w:id="26" w:name="p1"/>
      <w:bookmarkStart w:id="27" w:name="p-475469"/>
      <w:bookmarkEnd w:id="26"/>
      <w:bookmarkEnd w:id="27"/>
      <w:r w:rsidRPr="009E37D3">
        <w:rPr>
          <w:rFonts w:eastAsia="Times New Roman" w:cs="Times New Roman"/>
          <w:szCs w:val="28"/>
          <w:lang w:eastAsia="lv-LV"/>
        </w:rPr>
        <w:t xml:space="preserve"> </w:t>
      </w:r>
      <w:r w:rsidRPr="009E37D3">
        <w:rPr>
          <w:rFonts w:cs="Times New Roman"/>
          <w:szCs w:val="28"/>
        </w:rPr>
        <w:t>(turpmāk – MK noteikumi Nr.382)</w:t>
      </w:r>
      <w:r w:rsidRPr="009E37D3">
        <w:rPr>
          <w:rFonts w:eastAsia="Times New Roman" w:cs="Times New Roman"/>
          <w:szCs w:val="28"/>
          <w:lang w:eastAsia="lv-LV"/>
        </w:rPr>
        <w:t>, kas nosaka neatkarīga eksperta kompetences prasības un kompetences apliecināšanas kārtību.</w:t>
      </w:r>
      <w:r>
        <w:rPr>
          <w:rFonts w:eastAsia="Times New Roman" w:cs="Times New Roman"/>
          <w:szCs w:val="28"/>
          <w:lang w:eastAsia="lv-LV"/>
        </w:rPr>
        <w:t xml:space="preserve"> </w:t>
      </w:r>
      <w:r w:rsidRPr="009E37D3">
        <w:rPr>
          <w:rFonts w:cs="Times New Roman"/>
          <w:szCs w:val="28"/>
        </w:rPr>
        <w:t>Neatkarīgo ekspertu saraksts, kurā ir reģistrēti 108 neatkarīgie eksperti ēku energoefektivitātes jomā,</w:t>
      </w:r>
      <w:r w:rsidR="00274912">
        <w:rPr>
          <w:rFonts w:cs="Times New Roman"/>
          <w:szCs w:val="28"/>
        </w:rPr>
        <w:t xml:space="preserve"> </w:t>
      </w:r>
      <w:r w:rsidRPr="009E37D3">
        <w:rPr>
          <w:rFonts w:cs="Times New Roman"/>
          <w:szCs w:val="28"/>
        </w:rPr>
        <w:t xml:space="preserve">atrodams šeit: </w:t>
      </w:r>
      <w:hyperlink r:id="rId21" w:history="1">
        <w:r w:rsidRPr="009E37D3">
          <w:rPr>
            <w:rStyle w:val="Hyperlink"/>
            <w:rFonts w:cs="Times New Roman"/>
            <w:szCs w:val="28"/>
          </w:rPr>
          <w:t>http://www.em.gov.lv/em/2nd/?cat=30272</w:t>
        </w:r>
      </w:hyperlink>
      <w:r w:rsidRPr="009E37D3">
        <w:rPr>
          <w:rFonts w:cs="Times New Roman"/>
          <w:szCs w:val="28"/>
        </w:rPr>
        <w:t>.</w:t>
      </w:r>
    </w:p>
    <w:p w:rsidR="00A23DC4" w:rsidRPr="002E7BEB" w:rsidRDefault="00A23DC4" w:rsidP="00A23DC4">
      <w:pPr>
        <w:spacing w:after="0" w:line="240" w:lineRule="auto"/>
        <w:jc w:val="both"/>
        <w:rPr>
          <w:rFonts w:eastAsia="Times New Roman" w:cs="Times New Roman"/>
          <w:szCs w:val="28"/>
          <w:lang w:eastAsia="lv-LV"/>
        </w:rPr>
      </w:pPr>
      <w:r>
        <w:rPr>
          <w:rFonts w:cs="Times New Roman"/>
          <w:szCs w:val="28"/>
        </w:rPr>
        <w:tab/>
      </w:r>
      <w:r w:rsidRPr="009E37D3">
        <w:rPr>
          <w:rFonts w:cs="Times New Roman"/>
          <w:szCs w:val="28"/>
        </w:rPr>
        <w:t>Šobrīd, Ekonomikas ministrija sadarbībā ar CSP, izstrādā to lielo komersantu sarakstu, kuriem tiks uzlikts pienākums līdz 2015.</w:t>
      </w:r>
      <w:r>
        <w:rPr>
          <w:rFonts w:cs="Times New Roman"/>
          <w:szCs w:val="28"/>
        </w:rPr>
        <w:t> </w:t>
      </w:r>
      <w:r w:rsidRPr="009E37D3">
        <w:rPr>
          <w:rFonts w:cs="Times New Roman"/>
          <w:szCs w:val="28"/>
        </w:rPr>
        <w:t>gada 5.</w:t>
      </w:r>
      <w:r>
        <w:rPr>
          <w:rFonts w:cs="Times New Roman"/>
          <w:szCs w:val="28"/>
        </w:rPr>
        <w:t> </w:t>
      </w:r>
      <w:r w:rsidRPr="009E37D3">
        <w:rPr>
          <w:rFonts w:cs="Times New Roman"/>
          <w:szCs w:val="28"/>
        </w:rPr>
        <w:t>decembrim un pēc tam ik pēc č</w:t>
      </w:r>
      <w:r>
        <w:rPr>
          <w:rFonts w:cs="Times New Roman"/>
          <w:szCs w:val="28"/>
        </w:rPr>
        <w:t>e</w:t>
      </w:r>
      <w:r w:rsidRPr="009E37D3">
        <w:rPr>
          <w:rFonts w:cs="Times New Roman"/>
          <w:szCs w:val="28"/>
        </w:rPr>
        <w:t xml:space="preserve">triem gadiem veikt obligātu </w:t>
      </w:r>
      <w:proofErr w:type="spellStart"/>
      <w:r w:rsidRPr="009E37D3">
        <w:rPr>
          <w:rFonts w:cs="Times New Roman"/>
          <w:szCs w:val="28"/>
        </w:rPr>
        <w:t>energoauditu</w:t>
      </w:r>
      <w:proofErr w:type="spellEnd"/>
      <w:r w:rsidRPr="009E37D3">
        <w:rPr>
          <w:rFonts w:cs="Times New Roman"/>
          <w:szCs w:val="28"/>
        </w:rPr>
        <w:t>.</w:t>
      </w:r>
    </w:p>
    <w:p w:rsidR="00FA69C4" w:rsidRPr="00FA69C4" w:rsidRDefault="00AA70E3" w:rsidP="00FA69C4">
      <w:pPr>
        <w:pStyle w:val="Heading3"/>
        <w:spacing w:after="120"/>
      </w:pPr>
      <w:bookmarkStart w:id="28" w:name="_Toc387237970"/>
      <w:r w:rsidRPr="00FA69C4">
        <w:rPr>
          <w:rStyle w:val="Heading3Char"/>
          <w:b/>
          <w:bCs/>
        </w:rPr>
        <w:t>3.1.</w:t>
      </w:r>
      <w:r w:rsidR="00FA69C4" w:rsidRPr="00FA69C4">
        <w:rPr>
          <w:rStyle w:val="Heading3Char"/>
          <w:b/>
          <w:bCs/>
        </w:rPr>
        <w:t>9</w:t>
      </w:r>
      <w:r w:rsidRPr="00FA69C4">
        <w:rPr>
          <w:rStyle w:val="Heading3Char"/>
          <w:b/>
          <w:bCs/>
        </w:rPr>
        <w:t>. Uzskaite un rēķinu izrakstīšana</w:t>
      </w:r>
      <w:bookmarkEnd w:id="28"/>
      <w:r w:rsidRPr="00FA69C4">
        <w:t xml:space="preserve"> </w:t>
      </w:r>
    </w:p>
    <w:p w:rsidR="00311DB6" w:rsidRPr="003D48F5" w:rsidRDefault="00E17151" w:rsidP="00AE6C6B">
      <w:pPr>
        <w:spacing w:after="0" w:line="240" w:lineRule="auto"/>
        <w:jc w:val="both"/>
        <w:rPr>
          <w:lang w:eastAsia="lv-LV"/>
        </w:rPr>
      </w:pPr>
      <w:r w:rsidRPr="003D48F5">
        <w:rPr>
          <w:lang w:eastAsia="lv-LV"/>
        </w:rPr>
        <w:tab/>
      </w:r>
      <w:r w:rsidR="00533F03" w:rsidRPr="003D48F5">
        <w:rPr>
          <w:lang w:eastAsia="lv-LV"/>
        </w:rPr>
        <w:t>Stratēģijā 2030</w:t>
      </w:r>
      <w:r w:rsidR="00D64776" w:rsidRPr="003D48F5">
        <w:rPr>
          <w:lang w:eastAsia="lv-LV"/>
        </w:rPr>
        <w:t xml:space="preserve">, lai veicinātu energoefektivitāti, noteikts </w:t>
      </w:r>
      <w:r w:rsidR="00311DB6" w:rsidRPr="003D48F5">
        <w:rPr>
          <w:lang w:eastAsia="lv-LV"/>
        </w:rPr>
        <w:t xml:space="preserve">veicināt viedo skaitītāju ieviešanu, palielinot patērētāju izpratni par savu enerģijas patēriņu un radot iespēju to regulēt un samazināt </w:t>
      </w:r>
      <w:r w:rsidR="00833D71" w:rsidRPr="003D48F5">
        <w:rPr>
          <w:lang w:eastAsia="lv-LV"/>
        </w:rPr>
        <w:t>patērēto energoresursu daudzumu.</w:t>
      </w:r>
    </w:p>
    <w:p w:rsidR="00A23DC4" w:rsidRPr="009E37D3" w:rsidRDefault="00E17151" w:rsidP="00A23DC4">
      <w:pPr>
        <w:spacing w:after="0" w:line="240" w:lineRule="auto"/>
        <w:jc w:val="both"/>
        <w:rPr>
          <w:rFonts w:cs="Times New Roman"/>
          <w:szCs w:val="28"/>
        </w:rPr>
      </w:pPr>
      <w:r w:rsidRPr="003D48F5">
        <w:rPr>
          <w:lang w:eastAsia="lv-LV"/>
        </w:rPr>
        <w:tab/>
      </w:r>
      <w:r w:rsidR="00A23DC4" w:rsidRPr="009E37D3">
        <w:rPr>
          <w:rFonts w:cs="Times New Roman"/>
          <w:szCs w:val="28"/>
        </w:rPr>
        <w:t>Atbilstoši Enerģijas galapatēriņa efektivitātes likuma 16.</w:t>
      </w:r>
      <w:r w:rsidR="00A23DC4">
        <w:rPr>
          <w:rFonts w:cs="Times New Roman"/>
          <w:szCs w:val="28"/>
        </w:rPr>
        <w:t> </w:t>
      </w:r>
      <w:r w:rsidR="00A23DC4" w:rsidRPr="009E37D3">
        <w:rPr>
          <w:rFonts w:cs="Times New Roman"/>
          <w:szCs w:val="28"/>
        </w:rPr>
        <w:t>panta ceturtajai daļai, ciktāl tas ir tehniski iespējams, ekonomiski pamatoti un samērīgi ar iespējamo enerģijas ietaupījumu, energopakalpojumu sniedzējs uzstāda individuālus elektroenerģijas un siltumenerģijas skaitītājus, kas precīzi ataino tiešā patērētāja faktisko enerģijas patēriņu un sniedz informāciju par faktisko izmantošanas laiku. Šādus skaitītājus uzstāda visos gadījumos, kad tiek izdarīts pieslēgums jaunai ēkai vai veikta pilnīga ēkas rekonstrukcija saskaņā ar Ēku energoefektivitātes likumu.</w:t>
      </w:r>
      <w:r w:rsidR="00A23DC4">
        <w:rPr>
          <w:rFonts w:cs="Times New Roman"/>
          <w:szCs w:val="28"/>
        </w:rPr>
        <w:t xml:space="preserve"> </w:t>
      </w:r>
      <w:r w:rsidR="00A23DC4" w:rsidRPr="00674694">
        <w:rPr>
          <w:rFonts w:cs="Times New Roman"/>
          <w:szCs w:val="28"/>
        </w:rPr>
        <w:t>AS “Latvenergo” ir izstrādājis viedo tīklu koncepciju</w:t>
      </w:r>
      <w:r w:rsidR="00A23DC4" w:rsidRPr="002E7BEB">
        <w:rPr>
          <w:rFonts w:cs="Times New Roman"/>
          <w:szCs w:val="28"/>
        </w:rPr>
        <w:t xml:space="preserve"> (apstiprināta 2011.</w:t>
      </w:r>
      <w:r w:rsidR="00A23DC4">
        <w:rPr>
          <w:rFonts w:cs="Times New Roman"/>
          <w:szCs w:val="28"/>
        </w:rPr>
        <w:t> </w:t>
      </w:r>
      <w:r w:rsidR="00A23DC4" w:rsidRPr="002E7BEB">
        <w:rPr>
          <w:rFonts w:cs="Times New Roman"/>
          <w:szCs w:val="28"/>
        </w:rPr>
        <w:t>gada 1.</w:t>
      </w:r>
      <w:r w:rsidR="00A23DC4">
        <w:rPr>
          <w:rFonts w:cs="Times New Roman"/>
          <w:szCs w:val="28"/>
        </w:rPr>
        <w:t> </w:t>
      </w:r>
      <w:r w:rsidR="00A23DC4" w:rsidRPr="002E7BEB">
        <w:rPr>
          <w:rFonts w:cs="Times New Roman"/>
          <w:szCs w:val="28"/>
        </w:rPr>
        <w:t>martā ar Latvenergo valdes lēmumu</w:t>
      </w:r>
      <w:r w:rsidR="00A23DC4" w:rsidRPr="009E37D3">
        <w:rPr>
          <w:rFonts w:cs="Times New Roman"/>
          <w:szCs w:val="28"/>
        </w:rPr>
        <w:t xml:space="preserve">). Viedo tīklu koncepcijas izstrādāšana ir viena no sadales tīkla attīstības sadaļām. Galvenais virzītājspēks viedo tīklu attīstībai ir zaļās iniciatīvas, atjaunojamo </w:t>
      </w:r>
      <w:r w:rsidR="00A23DC4" w:rsidRPr="009E37D3">
        <w:rPr>
          <w:rFonts w:cs="Times New Roman"/>
          <w:szCs w:val="28"/>
        </w:rPr>
        <w:lastRenderedPageBreak/>
        <w:t>energoresursu attīstība un energoefektivitāte – pieņēmums, ka labāk informēts patērētājs lietos mazāk enerģijas.</w:t>
      </w:r>
    </w:p>
    <w:p w:rsidR="00A23DC4" w:rsidRPr="009E37D3" w:rsidRDefault="00A23DC4" w:rsidP="00A23DC4">
      <w:pPr>
        <w:pStyle w:val="Default"/>
        <w:jc w:val="both"/>
        <w:rPr>
          <w:color w:val="auto"/>
          <w:sz w:val="28"/>
          <w:szCs w:val="28"/>
        </w:rPr>
      </w:pPr>
      <w:r>
        <w:rPr>
          <w:color w:val="auto"/>
          <w:sz w:val="28"/>
          <w:szCs w:val="28"/>
        </w:rPr>
        <w:tab/>
      </w:r>
      <w:r w:rsidRPr="009E37D3">
        <w:rPr>
          <w:color w:val="auto"/>
          <w:sz w:val="28"/>
          <w:szCs w:val="28"/>
        </w:rPr>
        <w:t xml:space="preserve">Lai uzlabotu patērētāju līdzdalību sistēmas efektivitātē, nepieciešams ieviest viedo mēraparātu sistēmas. Atbilstoši AS „Sadales tīkls” sniegtajiem datiem, pašreiz uzņēmuma skaitītāju parku veido 1,099 miljoni elektroenerģijas skaitītāju, juridiskajiem klientiem tiek uzstādīti gan vienkāršie (uzskaita patēriņu vienā vai arī vairākās tarifu zonās, skaitītājam nav interfeisa attālinātai datu nolasīšanai), gan arī viedie elektroenerģijas skaitītāji (skaitītājs uzskaita gan diennakts gan mēneša patēriņu pa tarifu zonām, veido slodžu profilus, reģistrē notikumus (sprieguma atslēgumi, nesankcionēta skaitītāja mehānisma vāka noņemšana </w:t>
      </w:r>
      <w:proofErr w:type="spellStart"/>
      <w:r w:rsidRPr="009E37D3">
        <w:rPr>
          <w:color w:val="auto"/>
          <w:sz w:val="28"/>
          <w:szCs w:val="28"/>
        </w:rPr>
        <w:t>u.c</w:t>
      </w:r>
      <w:proofErr w:type="spellEnd"/>
      <w:r>
        <w:rPr>
          <w:color w:val="auto"/>
          <w:sz w:val="28"/>
          <w:szCs w:val="28"/>
        </w:rPr>
        <w:t>.</w:t>
      </w:r>
      <w:r w:rsidRPr="009E37D3">
        <w:rPr>
          <w:color w:val="auto"/>
          <w:sz w:val="28"/>
          <w:szCs w:val="28"/>
        </w:rPr>
        <w:t xml:space="preserve">) žurnālā, reģistrē momentānās vērtības un tam ir komunikāciju interfeisi attālinātai datu nolasīšanai). </w:t>
      </w:r>
    </w:p>
    <w:p w:rsidR="00A23DC4" w:rsidRPr="00FC54B0" w:rsidRDefault="00A23DC4" w:rsidP="00A23DC4">
      <w:pPr>
        <w:pStyle w:val="Default"/>
        <w:spacing w:before="240"/>
        <w:jc w:val="right"/>
        <w:rPr>
          <w:b/>
          <w:color w:val="auto"/>
          <w:szCs w:val="28"/>
        </w:rPr>
      </w:pPr>
      <w:r w:rsidRPr="00FC54B0">
        <w:rPr>
          <w:b/>
          <w:color w:val="auto"/>
          <w:szCs w:val="28"/>
        </w:rPr>
        <w:t>1</w:t>
      </w:r>
      <w:r w:rsidR="00D322B9" w:rsidRPr="00FC54B0">
        <w:rPr>
          <w:b/>
          <w:color w:val="auto"/>
          <w:szCs w:val="28"/>
        </w:rPr>
        <w:t>0</w:t>
      </w:r>
      <w:r w:rsidRPr="00FC54B0">
        <w:rPr>
          <w:b/>
          <w:color w:val="auto"/>
          <w:szCs w:val="28"/>
        </w:rPr>
        <w:t xml:space="preserve">. tabula </w:t>
      </w:r>
    </w:p>
    <w:p w:rsidR="00A23DC4" w:rsidRPr="00FC54B0" w:rsidRDefault="00A23DC4" w:rsidP="00A23DC4">
      <w:pPr>
        <w:pStyle w:val="Default"/>
        <w:jc w:val="right"/>
        <w:rPr>
          <w:szCs w:val="28"/>
        </w:rPr>
      </w:pPr>
      <w:r w:rsidRPr="00FC54B0">
        <w:rPr>
          <w:b/>
          <w:color w:val="auto"/>
          <w:szCs w:val="28"/>
        </w:rPr>
        <w:t xml:space="preserve">Uzstādīto elektroenerģijas skaitītāju skaits un sadalījums </w:t>
      </w:r>
    </w:p>
    <w:tbl>
      <w:tblPr>
        <w:tblStyle w:val="TableGrid"/>
        <w:tblW w:w="0" w:type="auto"/>
        <w:tblLayout w:type="fixed"/>
        <w:tblLook w:val="0000" w:firstRow="0" w:lastRow="0" w:firstColumn="0" w:lastColumn="0" w:noHBand="0" w:noVBand="0"/>
      </w:tblPr>
      <w:tblGrid>
        <w:gridCol w:w="6487"/>
        <w:gridCol w:w="2552"/>
      </w:tblGrid>
      <w:tr w:rsidR="00A23DC4" w:rsidRPr="009E37D3" w:rsidTr="00FF52C7">
        <w:trPr>
          <w:trHeight w:val="107"/>
        </w:trPr>
        <w:tc>
          <w:tcPr>
            <w:tcW w:w="6487" w:type="dxa"/>
          </w:tcPr>
          <w:p w:rsidR="00A23DC4" w:rsidRPr="00FC54B0" w:rsidRDefault="00A23DC4" w:rsidP="00FF52C7">
            <w:pPr>
              <w:pStyle w:val="Default"/>
              <w:rPr>
                <w:sz w:val="22"/>
                <w:szCs w:val="28"/>
              </w:rPr>
            </w:pPr>
            <w:r w:rsidRPr="00FC54B0">
              <w:rPr>
                <w:b/>
                <w:bCs/>
                <w:sz w:val="22"/>
                <w:szCs w:val="28"/>
              </w:rPr>
              <w:t xml:space="preserve">AS „Sadales tīkls” elektroenerģijas skaitītāju skaits Elektroenerģijas skaitītāja veids </w:t>
            </w:r>
          </w:p>
        </w:tc>
        <w:tc>
          <w:tcPr>
            <w:tcW w:w="2552" w:type="dxa"/>
          </w:tcPr>
          <w:p w:rsidR="00A23DC4" w:rsidRPr="00FC54B0" w:rsidRDefault="00A23DC4" w:rsidP="00FF52C7">
            <w:pPr>
              <w:pStyle w:val="Default"/>
              <w:rPr>
                <w:sz w:val="22"/>
                <w:szCs w:val="28"/>
              </w:rPr>
            </w:pPr>
            <w:r w:rsidRPr="00FC54B0">
              <w:rPr>
                <w:b/>
                <w:bCs/>
                <w:sz w:val="22"/>
                <w:szCs w:val="28"/>
              </w:rPr>
              <w:t xml:space="preserve">Skaits, </w:t>
            </w:r>
            <w:proofErr w:type="spellStart"/>
            <w:r w:rsidRPr="00FC54B0">
              <w:rPr>
                <w:b/>
                <w:bCs/>
                <w:sz w:val="22"/>
                <w:szCs w:val="28"/>
              </w:rPr>
              <w:t>gab</w:t>
            </w:r>
            <w:proofErr w:type="spellEnd"/>
            <w:r w:rsidRPr="00FC54B0">
              <w:rPr>
                <w:b/>
                <w:bCs/>
                <w:sz w:val="22"/>
                <w:szCs w:val="28"/>
              </w:rPr>
              <w:t xml:space="preserve">. </w:t>
            </w:r>
          </w:p>
        </w:tc>
      </w:tr>
      <w:tr w:rsidR="00A23DC4" w:rsidRPr="009E37D3" w:rsidTr="00FF52C7">
        <w:trPr>
          <w:trHeight w:val="107"/>
        </w:trPr>
        <w:tc>
          <w:tcPr>
            <w:tcW w:w="6487" w:type="dxa"/>
          </w:tcPr>
          <w:p w:rsidR="00A23DC4" w:rsidRPr="00FC54B0" w:rsidRDefault="00A23DC4" w:rsidP="00FF52C7">
            <w:pPr>
              <w:pStyle w:val="Default"/>
              <w:rPr>
                <w:sz w:val="22"/>
                <w:szCs w:val="28"/>
              </w:rPr>
            </w:pPr>
            <w:r w:rsidRPr="00FC54B0">
              <w:rPr>
                <w:b/>
                <w:bCs/>
                <w:sz w:val="22"/>
                <w:szCs w:val="28"/>
              </w:rPr>
              <w:t xml:space="preserve">Kopējais skaitītāju skaits, tajā skaitā: </w:t>
            </w:r>
          </w:p>
        </w:tc>
        <w:tc>
          <w:tcPr>
            <w:tcW w:w="2552" w:type="dxa"/>
          </w:tcPr>
          <w:p w:rsidR="00A23DC4" w:rsidRPr="00FC54B0" w:rsidRDefault="00A23DC4" w:rsidP="00FF52C7">
            <w:pPr>
              <w:pStyle w:val="Default"/>
              <w:rPr>
                <w:sz w:val="22"/>
                <w:szCs w:val="28"/>
              </w:rPr>
            </w:pPr>
            <w:r w:rsidRPr="00FC54B0">
              <w:rPr>
                <w:b/>
                <w:bCs/>
                <w:sz w:val="22"/>
                <w:szCs w:val="28"/>
              </w:rPr>
              <w:t xml:space="preserve">1 099 578 </w:t>
            </w:r>
          </w:p>
        </w:tc>
      </w:tr>
      <w:tr w:rsidR="00A23DC4" w:rsidRPr="009E37D3" w:rsidTr="00FF52C7">
        <w:trPr>
          <w:trHeight w:val="120"/>
        </w:trPr>
        <w:tc>
          <w:tcPr>
            <w:tcW w:w="6487" w:type="dxa"/>
          </w:tcPr>
          <w:p w:rsidR="00A23DC4" w:rsidRPr="00FC54B0" w:rsidRDefault="00A23DC4" w:rsidP="00FF52C7">
            <w:pPr>
              <w:pStyle w:val="Default"/>
              <w:rPr>
                <w:sz w:val="22"/>
                <w:szCs w:val="28"/>
              </w:rPr>
            </w:pPr>
            <w:r w:rsidRPr="00FC54B0">
              <w:rPr>
                <w:sz w:val="22"/>
                <w:szCs w:val="28"/>
              </w:rPr>
              <w:t xml:space="preserve">Vienfāzes indukcijas tipa </w:t>
            </w:r>
          </w:p>
        </w:tc>
        <w:tc>
          <w:tcPr>
            <w:tcW w:w="2552" w:type="dxa"/>
          </w:tcPr>
          <w:p w:rsidR="00A23DC4" w:rsidRPr="00FC54B0" w:rsidRDefault="00A23DC4" w:rsidP="00FF52C7">
            <w:pPr>
              <w:pStyle w:val="Default"/>
              <w:rPr>
                <w:sz w:val="22"/>
                <w:szCs w:val="28"/>
              </w:rPr>
            </w:pPr>
            <w:r w:rsidRPr="00FC54B0">
              <w:rPr>
                <w:sz w:val="22"/>
                <w:szCs w:val="28"/>
              </w:rPr>
              <w:t xml:space="preserve">646 794 </w:t>
            </w:r>
          </w:p>
        </w:tc>
      </w:tr>
      <w:tr w:rsidR="00A23DC4" w:rsidRPr="009E37D3" w:rsidTr="00FF52C7">
        <w:trPr>
          <w:trHeight w:val="120"/>
        </w:trPr>
        <w:tc>
          <w:tcPr>
            <w:tcW w:w="6487" w:type="dxa"/>
          </w:tcPr>
          <w:p w:rsidR="00A23DC4" w:rsidRPr="00FC54B0" w:rsidRDefault="00A23DC4" w:rsidP="00FF52C7">
            <w:pPr>
              <w:pStyle w:val="Default"/>
              <w:rPr>
                <w:sz w:val="22"/>
                <w:szCs w:val="28"/>
              </w:rPr>
            </w:pPr>
            <w:r w:rsidRPr="00FC54B0">
              <w:rPr>
                <w:sz w:val="22"/>
                <w:szCs w:val="28"/>
              </w:rPr>
              <w:t xml:space="preserve">Vienfāzes elektroniskie, vienkāršie </w:t>
            </w:r>
          </w:p>
        </w:tc>
        <w:tc>
          <w:tcPr>
            <w:tcW w:w="2552" w:type="dxa"/>
          </w:tcPr>
          <w:p w:rsidR="00A23DC4" w:rsidRPr="00FC54B0" w:rsidRDefault="00A23DC4" w:rsidP="00FF52C7">
            <w:pPr>
              <w:pStyle w:val="Default"/>
              <w:rPr>
                <w:sz w:val="22"/>
                <w:szCs w:val="28"/>
              </w:rPr>
            </w:pPr>
            <w:r w:rsidRPr="00FC54B0">
              <w:rPr>
                <w:sz w:val="22"/>
                <w:szCs w:val="28"/>
              </w:rPr>
              <w:t xml:space="preserve">132 671 </w:t>
            </w:r>
          </w:p>
        </w:tc>
      </w:tr>
      <w:tr w:rsidR="00A23DC4" w:rsidRPr="009E37D3" w:rsidTr="00FF52C7">
        <w:trPr>
          <w:trHeight w:val="120"/>
        </w:trPr>
        <w:tc>
          <w:tcPr>
            <w:tcW w:w="6487" w:type="dxa"/>
          </w:tcPr>
          <w:p w:rsidR="00A23DC4" w:rsidRPr="00FC54B0" w:rsidRDefault="00A23DC4" w:rsidP="00FF52C7">
            <w:pPr>
              <w:pStyle w:val="Default"/>
              <w:rPr>
                <w:sz w:val="22"/>
                <w:szCs w:val="28"/>
              </w:rPr>
            </w:pPr>
            <w:r w:rsidRPr="00FC54B0">
              <w:rPr>
                <w:sz w:val="22"/>
                <w:szCs w:val="28"/>
              </w:rPr>
              <w:t xml:space="preserve">Trīsfāzu indukcijas tipa </w:t>
            </w:r>
          </w:p>
        </w:tc>
        <w:tc>
          <w:tcPr>
            <w:tcW w:w="2552" w:type="dxa"/>
          </w:tcPr>
          <w:p w:rsidR="00A23DC4" w:rsidRPr="00FC54B0" w:rsidRDefault="00A23DC4" w:rsidP="00FF52C7">
            <w:pPr>
              <w:pStyle w:val="Default"/>
              <w:rPr>
                <w:sz w:val="22"/>
                <w:szCs w:val="28"/>
              </w:rPr>
            </w:pPr>
            <w:r w:rsidRPr="00FC54B0">
              <w:rPr>
                <w:sz w:val="22"/>
                <w:szCs w:val="28"/>
              </w:rPr>
              <w:t xml:space="preserve">232 243 </w:t>
            </w:r>
          </w:p>
        </w:tc>
      </w:tr>
      <w:tr w:rsidR="00A23DC4" w:rsidRPr="009E37D3" w:rsidTr="00FF52C7">
        <w:trPr>
          <w:trHeight w:val="120"/>
        </w:trPr>
        <w:tc>
          <w:tcPr>
            <w:tcW w:w="6487" w:type="dxa"/>
          </w:tcPr>
          <w:p w:rsidR="00A23DC4" w:rsidRPr="00FC54B0" w:rsidRDefault="00A23DC4" w:rsidP="00FF52C7">
            <w:pPr>
              <w:pStyle w:val="Default"/>
              <w:rPr>
                <w:sz w:val="22"/>
                <w:szCs w:val="28"/>
              </w:rPr>
            </w:pPr>
            <w:r w:rsidRPr="00FC54B0">
              <w:rPr>
                <w:sz w:val="22"/>
                <w:szCs w:val="28"/>
              </w:rPr>
              <w:t xml:space="preserve">Trīsfāzu elektroniskie, vienkāršie </w:t>
            </w:r>
          </w:p>
        </w:tc>
        <w:tc>
          <w:tcPr>
            <w:tcW w:w="2552" w:type="dxa"/>
          </w:tcPr>
          <w:p w:rsidR="00A23DC4" w:rsidRPr="00FC54B0" w:rsidRDefault="00A23DC4" w:rsidP="00FF52C7">
            <w:pPr>
              <w:pStyle w:val="Default"/>
              <w:rPr>
                <w:sz w:val="22"/>
                <w:szCs w:val="28"/>
              </w:rPr>
            </w:pPr>
            <w:r w:rsidRPr="00FC54B0">
              <w:rPr>
                <w:sz w:val="22"/>
                <w:szCs w:val="28"/>
              </w:rPr>
              <w:t xml:space="preserve">76 157 </w:t>
            </w:r>
          </w:p>
        </w:tc>
      </w:tr>
      <w:tr w:rsidR="00A23DC4" w:rsidRPr="009E37D3" w:rsidTr="00FF52C7">
        <w:trPr>
          <w:trHeight w:val="120"/>
        </w:trPr>
        <w:tc>
          <w:tcPr>
            <w:tcW w:w="6487" w:type="dxa"/>
          </w:tcPr>
          <w:p w:rsidR="00A23DC4" w:rsidRPr="00FC54B0" w:rsidRDefault="00A23DC4" w:rsidP="00FF52C7">
            <w:pPr>
              <w:pStyle w:val="Default"/>
              <w:rPr>
                <w:sz w:val="22"/>
                <w:szCs w:val="28"/>
              </w:rPr>
            </w:pPr>
            <w:r w:rsidRPr="00FC54B0">
              <w:rPr>
                <w:sz w:val="22"/>
                <w:szCs w:val="28"/>
              </w:rPr>
              <w:t xml:space="preserve">Trīsfāzu viedie elektroenerģijas skaitītāji </w:t>
            </w:r>
          </w:p>
        </w:tc>
        <w:tc>
          <w:tcPr>
            <w:tcW w:w="2552" w:type="dxa"/>
          </w:tcPr>
          <w:p w:rsidR="00A23DC4" w:rsidRPr="00FC54B0" w:rsidRDefault="00A23DC4" w:rsidP="00FF52C7">
            <w:pPr>
              <w:pStyle w:val="Default"/>
              <w:rPr>
                <w:sz w:val="22"/>
                <w:szCs w:val="28"/>
              </w:rPr>
            </w:pPr>
            <w:r w:rsidRPr="00FC54B0">
              <w:rPr>
                <w:sz w:val="22"/>
                <w:szCs w:val="28"/>
              </w:rPr>
              <w:t xml:space="preserve">11 713 </w:t>
            </w:r>
          </w:p>
        </w:tc>
      </w:tr>
    </w:tbl>
    <w:p w:rsidR="00A23DC4" w:rsidRPr="009E37D3" w:rsidRDefault="00A23DC4" w:rsidP="00A23DC4">
      <w:pPr>
        <w:pStyle w:val="Default"/>
        <w:spacing w:before="240"/>
        <w:jc w:val="both"/>
        <w:rPr>
          <w:color w:val="auto"/>
          <w:sz w:val="28"/>
          <w:szCs w:val="28"/>
        </w:rPr>
      </w:pPr>
      <w:r w:rsidRPr="009E37D3">
        <w:rPr>
          <w:color w:val="auto"/>
          <w:sz w:val="28"/>
          <w:szCs w:val="28"/>
        </w:rPr>
        <w:tab/>
      </w:r>
      <w:r w:rsidR="00B0232D" w:rsidRPr="00B0232D">
        <w:rPr>
          <w:color w:val="auto"/>
          <w:sz w:val="28"/>
          <w:szCs w:val="28"/>
        </w:rPr>
        <w:t>Ir ieviesta viedo elektroenerģijas skaitītāju uzstādīšana pie pilsētas lielajiem elektroenerģijas patērētājiem no 100kW un vairāk (200A un vairāk) ar distances datu nolasīšanas sistēmu. Tos pakāpeniski uzstāda AS „Sadales tīkls”</w:t>
      </w:r>
      <w:r w:rsidR="004310FA">
        <w:rPr>
          <w:color w:val="auto"/>
          <w:sz w:val="28"/>
          <w:szCs w:val="28"/>
        </w:rPr>
        <w:t xml:space="preserve"> </w:t>
      </w:r>
      <w:r w:rsidR="00B0232D" w:rsidRPr="00B0232D">
        <w:rPr>
          <w:color w:val="auto"/>
          <w:sz w:val="28"/>
          <w:szCs w:val="28"/>
        </w:rPr>
        <w:t>pie mājsaimniecībām, kuru elektroenerģijas patēriņš gadā sasniedz 2500 kWh.</w:t>
      </w:r>
      <w:r w:rsidR="00B0232D">
        <w:rPr>
          <w:sz w:val="22"/>
          <w:szCs w:val="22"/>
        </w:rPr>
        <w:t xml:space="preserve"> </w:t>
      </w:r>
      <w:r w:rsidR="00B0232D">
        <w:rPr>
          <w:color w:val="auto"/>
          <w:sz w:val="28"/>
          <w:szCs w:val="28"/>
        </w:rPr>
        <w:t>N</w:t>
      </w:r>
      <w:r w:rsidR="003015BD">
        <w:rPr>
          <w:color w:val="auto"/>
          <w:sz w:val="28"/>
          <w:szCs w:val="28"/>
        </w:rPr>
        <w:t>o 2015. </w:t>
      </w:r>
      <w:r w:rsidRPr="009E37D3">
        <w:rPr>
          <w:color w:val="auto"/>
          <w:sz w:val="28"/>
          <w:szCs w:val="28"/>
        </w:rPr>
        <w:t>gada AS „Sadales tīkls” lielā apjomā jāveic klientiem uzstādīto skaitītāju nomaiņa</w:t>
      </w:r>
      <w:r w:rsidR="00B0232D">
        <w:rPr>
          <w:color w:val="auto"/>
          <w:sz w:val="28"/>
          <w:szCs w:val="28"/>
        </w:rPr>
        <w:t>, tāpēc to uzstādīšana turpināsies.</w:t>
      </w:r>
    </w:p>
    <w:p w:rsidR="00A23DC4" w:rsidRPr="009E37D3" w:rsidRDefault="00A23DC4" w:rsidP="00A23DC4">
      <w:pPr>
        <w:autoSpaceDE w:val="0"/>
        <w:autoSpaceDN w:val="0"/>
        <w:adjustRightInd w:val="0"/>
        <w:spacing w:after="0" w:line="240" w:lineRule="auto"/>
        <w:jc w:val="both"/>
        <w:rPr>
          <w:rFonts w:cs="Times New Roman"/>
          <w:szCs w:val="28"/>
        </w:rPr>
      </w:pPr>
      <w:r w:rsidRPr="009E37D3">
        <w:rPr>
          <w:rFonts w:cs="Times New Roman"/>
          <w:szCs w:val="28"/>
        </w:rPr>
        <w:tab/>
        <w:t>Lai atbalstītu dinamisku cenu veidošanos, šobrīd elektroenerģijas patērētājiem tiek piedāvāti dažādi tarifu veidi atkarībā no diennakts laika, kad elektroenerģija tiek patērēta. Tāpat tiek ieviestas viedo mēraparātu sistēmas un tiks nodrošināta neto elektroenerģijas uzskaite.</w:t>
      </w:r>
    </w:p>
    <w:p w:rsidR="00A23DC4" w:rsidRPr="009E37D3" w:rsidRDefault="00A23DC4" w:rsidP="00A23DC4">
      <w:pPr>
        <w:autoSpaceDE w:val="0"/>
        <w:autoSpaceDN w:val="0"/>
        <w:adjustRightInd w:val="0"/>
        <w:spacing w:after="0" w:line="240" w:lineRule="auto"/>
        <w:jc w:val="both"/>
        <w:rPr>
          <w:rFonts w:eastAsiaTheme="majorEastAsia" w:cs="Times New Roman"/>
          <w:bCs/>
          <w:szCs w:val="28"/>
        </w:rPr>
      </w:pPr>
      <w:r w:rsidRPr="009E37D3">
        <w:rPr>
          <w:rFonts w:eastAsiaTheme="majorEastAsia" w:cs="Times New Roman"/>
          <w:bCs/>
          <w:szCs w:val="28"/>
        </w:rPr>
        <w:tab/>
        <w:t>Inovatīvas tehnoloģijas un iekārtas informācijas un komunikāciju jomā, tostarp viedo mērierīču (</w:t>
      </w:r>
      <w:proofErr w:type="spellStart"/>
      <w:r w:rsidRPr="009E37D3">
        <w:rPr>
          <w:rFonts w:eastAsiaTheme="majorEastAsia" w:cs="Times New Roman"/>
          <w:bCs/>
          <w:szCs w:val="28"/>
        </w:rPr>
        <w:t>smart</w:t>
      </w:r>
      <w:proofErr w:type="spellEnd"/>
      <w:r w:rsidRPr="009E37D3">
        <w:rPr>
          <w:rFonts w:eastAsiaTheme="majorEastAsia" w:cs="Times New Roman"/>
          <w:bCs/>
          <w:szCs w:val="28"/>
        </w:rPr>
        <w:t xml:space="preserve"> </w:t>
      </w:r>
      <w:proofErr w:type="spellStart"/>
      <w:r w:rsidRPr="009E37D3">
        <w:rPr>
          <w:rFonts w:eastAsiaTheme="majorEastAsia" w:cs="Times New Roman"/>
          <w:bCs/>
          <w:szCs w:val="28"/>
        </w:rPr>
        <w:t>metering</w:t>
      </w:r>
      <w:proofErr w:type="spellEnd"/>
      <w:r w:rsidRPr="009E37D3">
        <w:rPr>
          <w:rFonts w:eastAsiaTheme="majorEastAsia" w:cs="Times New Roman"/>
          <w:bCs/>
          <w:szCs w:val="28"/>
        </w:rPr>
        <w:t>) un viedo tīklu (</w:t>
      </w:r>
      <w:proofErr w:type="spellStart"/>
      <w:r w:rsidRPr="009E37D3">
        <w:rPr>
          <w:rFonts w:eastAsiaTheme="majorEastAsia" w:cs="Times New Roman"/>
          <w:bCs/>
          <w:szCs w:val="28"/>
        </w:rPr>
        <w:t>smart</w:t>
      </w:r>
      <w:proofErr w:type="spellEnd"/>
      <w:r w:rsidRPr="009E37D3">
        <w:rPr>
          <w:rFonts w:eastAsiaTheme="majorEastAsia" w:cs="Times New Roman"/>
          <w:bCs/>
          <w:szCs w:val="28"/>
        </w:rPr>
        <w:t xml:space="preserve"> </w:t>
      </w:r>
      <w:proofErr w:type="spellStart"/>
      <w:r w:rsidRPr="009E37D3">
        <w:rPr>
          <w:rFonts w:eastAsiaTheme="majorEastAsia" w:cs="Times New Roman"/>
          <w:bCs/>
          <w:szCs w:val="28"/>
        </w:rPr>
        <w:t>grids</w:t>
      </w:r>
      <w:proofErr w:type="spellEnd"/>
      <w:r w:rsidRPr="009E37D3">
        <w:rPr>
          <w:rFonts w:eastAsiaTheme="majorEastAsia" w:cs="Times New Roman"/>
          <w:bCs/>
          <w:szCs w:val="28"/>
        </w:rPr>
        <w:t>) ieviešana ļauj spert nopietnu soli uz viedo pilsētu (</w:t>
      </w:r>
      <w:proofErr w:type="spellStart"/>
      <w:r w:rsidRPr="009E37D3">
        <w:rPr>
          <w:rFonts w:eastAsiaTheme="majorEastAsia" w:cs="Times New Roman"/>
          <w:bCs/>
          <w:szCs w:val="28"/>
        </w:rPr>
        <w:t>Smart</w:t>
      </w:r>
      <w:proofErr w:type="spellEnd"/>
      <w:r w:rsidRPr="009E37D3">
        <w:rPr>
          <w:rFonts w:eastAsiaTheme="majorEastAsia" w:cs="Times New Roman"/>
          <w:bCs/>
          <w:szCs w:val="28"/>
        </w:rPr>
        <w:t xml:space="preserve"> </w:t>
      </w:r>
      <w:proofErr w:type="spellStart"/>
      <w:r w:rsidRPr="009E37D3">
        <w:rPr>
          <w:rFonts w:eastAsiaTheme="majorEastAsia" w:cs="Times New Roman"/>
          <w:bCs/>
          <w:szCs w:val="28"/>
        </w:rPr>
        <w:t>Cities</w:t>
      </w:r>
      <w:proofErr w:type="spellEnd"/>
      <w:r w:rsidRPr="009E37D3">
        <w:rPr>
          <w:rFonts w:eastAsiaTheme="majorEastAsia" w:cs="Times New Roman"/>
          <w:bCs/>
          <w:szCs w:val="28"/>
        </w:rPr>
        <w:t>) veidošanu. Tāds mērķis ir arī Rīgai un citām Latvijas pilsētām.</w:t>
      </w:r>
    </w:p>
    <w:p w:rsidR="009A46F9" w:rsidRPr="003D48F5" w:rsidRDefault="00A23DC4" w:rsidP="00A23DC4">
      <w:pPr>
        <w:spacing w:after="0" w:line="240" w:lineRule="auto"/>
        <w:jc w:val="both"/>
        <w:rPr>
          <w:lang w:eastAsia="lv-LV"/>
        </w:rPr>
      </w:pPr>
      <w:r w:rsidRPr="009E37D3">
        <w:rPr>
          <w:rFonts w:eastAsiaTheme="majorEastAsia" w:cs="Times New Roman"/>
          <w:bCs/>
          <w:szCs w:val="28"/>
        </w:rPr>
        <w:tab/>
        <w:t>AS "Latvenergo" īsteno projektu "Energoefektivitātes veicināšana mājsaimniecībās, izmantojot viedās tehnoloģijas". Šā projekta, kas ilgs piecus gadus, mērķis ir nodrošināt mājsaimniecības ar detalizētu informāciju par to enerģijas patēriņu, CO2 emisijām, kā arī samazināt to elektroenerģijas patēriņu par 10%. Kopumā projektā tiks iesaistītas 500 mājsaimniecības</w:t>
      </w:r>
      <w:r w:rsidR="008B361E">
        <w:rPr>
          <w:rFonts w:eastAsiaTheme="majorEastAsia" w:cs="Times New Roman"/>
          <w:bCs/>
          <w:szCs w:val="28"/>
        </w:rPr>
        <w:t>.</w:t>
      </w:r>
      <w:r w:rsidR="00B0232D">
        <w:rPr>
          <w:rFonts w:eastAsiaTheme="majorEastAsia" w:cs="Times New Roman"/>
          <w:bCs/>
          <w:szCs w:val="28"/>
        </w:rPr>
        <w:t xml:space="preserve"> 2012. gadā</w:t>
      </w:r>
      <w:r w:rsidR="008B361E">
        <w:rPr>
          <w:rFonts w:eastAsiaTheme="majorEastAsia" w:cs="Times New Roman"/>
          <w:bCs/>
          <w:szCs w:val="28"/>
        </w:rPr>
        <w:t xml:space="preserve"> </w:t>
      </w:r>
      <w:r w:rsidR="008B361E" w:rsidRPr="008B361E">
        <w:rPr>
          <w:rFonts w:eastAsiaTheme="majorEastAsia" w:cs="Times New Roman"/>
          <w:bCs/>
          <w:szCs w:val="28"/>
        </w:rPr>
        <w:t>uz modernu skaitītāju bāzes 8078 siltuma mezglos (7423 ēkās)</w:t>
      </w:r>
      <w:r w:rsidR="008B361E">
        <w:rPr>
          <w:rFonts w:eastAsiaTheme="majorEastAsia" w:cs="Times New Roman"/>
          <w:bCs/>
          <w:szCs w:val="28"/>
        </w:rPr>
        <w:t xml:space="preserve"> ir ieviesta </w:t>
      </w:r>
      <w:r w:rsidR="008B361E" w:rsidRPr="008B361E">
        <w:rPr>
          <w:rFonts w:eastAsiaTheme="majorEastAsia" w:cs="Times New Roman"/>
          <w:bCs/>
          <w:szCs w:val="28"/>
        </w:rPr>
        <w:t xml:space="preserve">automātiskā </w:t>
      </w:r>
      <w:proofErr w:type="spellStart"/>
      <w:r w:rsidR="008B361E" w:rsidRPr="008B361E">
        <w:rPr>
          <w:rFonts w:eastAsiaTheme="majorEastAsia" w:cs="Times New Roman"/>
          <w:bCs/>
          <w:szCs w:val="28"/>
        </w:rPr>
        <w:t>energopatēriņa</w:t>
      </w:r>
      <w:proofErr w:type="spellEnd"/>
      <w:r w:rsidR="008B361E" w:rsidRPr="008B361E">
        <w:rPr>
          <w:rFonts w:eastAsiaTheme="majorEastAsia" w:cs="Times New Roman"/>
          <w:bCs/>
          <w:szCs w:val="28"/>
        </w:rPr>
        <w:t xml:space="preserve"> datu nolasīšanas sistēma </w:t>
      </w:r>
      <w:r w:rsidR="008B361E">
        <w:rPr>
          <w:rFonts w:eastAsiaTheme="majorEastAsia" w:cs="Times New Roman"/>
          <w:bCs/>
          <w:szCs w:val="28"/>
        </w:rPr>
        <w:t xml:space="preserve">Rīgas </w:t>
      </w:r>
      <w:r w:rsidR="008B361E" w:rsidRPr="008B361E">
        <w:rPr>
          <w:rFonts w:eastAsiaTheme="majorEastAsia" w:cs="Times New Roman"/>
          <w:bCs/>
          <w:szCs w:val="28"/>
        </w:rPr>
        <w:t xml:space="preserve">pilsētas </w:t>
      </w:r>
      <w:r w:rsidR="008B361E" w:rsidRPr="008B361E">
        <w:rPr>
          <w:rFonts w:eastAsiaTheme="majorEastAsia" w:cs="Times New Roman"/>
          <w:bCs/>
          <w:szCs w:val="28"/>
        </w:rPr>
        <w:lastRenderedPageBreak/>
        <w:t xml:space="preserve">centralizētā siltumapgādē ar bezvadu distances datu pārraidi uz vienotu </w:t>
      </w:r>
      <w:proofErr w:type="spellStart"/>
      <w:r w:rsidR="008B361E" w:rsidRPr="008B361E">
        <w:rPr>
          <w:rFonts w:eastAsiaTheme="majorEastAsia" w:cs="Times New Roman"/>
          <w:bCs/>
          <w:szCs w:val="28"/>
        </w:rPr>
        <w:t>dispičercentru</w:t>
      </w:r>
      <w:proofErr w:type="spellEnd"/>
      <w:r w:rsidR="008B361E">
        <w:rPr>
          <w:rFonts w:eastAsiaTheme="majorEastAsia" w:cs="Times New Roman"/>
          <w:bCs/>
          <w:szCs w:val="28"/>
        </w:rPr>
        <w:t>, ko veica AS „Rīgas siltums”</w:t>
      </w:r>
      <w:r w:rsidR="008B361E" w:rsidRPr="008B361E">
        <w:rPr>
          <w:rFonts w:eastAsiaTheme="majorEastAsia" w:cs="Times New Roman"/>
          <w:bCs/>
          <w:szCs w:val="28"/>
        </w:rPr>
        <w:t>.</w:t>
      </w:r>
    </w:p>
    <w:p w:rsidR="00FA69C4" w:rsidRPr="00FA69C4" w:rsidRDefault="00AA70E3" w:rsidP="00FA69C4">
      <w:pPr>
        <w:pStyle w:val="Heading3"/>
        <w:spacing w:after="120"/>
      </w:pPr>
      <w:bookmarkStart w:id="29" w:name="_Toc387237971"/>
      <w:r w:rsidRPr="00FA69C4">
        <w:rPr>
          <w:rStyle w:val="Heading3Char"/>
          <w:b/>
          <w:bCs/>
        </w:rPr>
        <w:t>3.1.</w:t>
      </w:r>
      <w:r w:rsidR="00FA69C4" w:rsidRPr="00FA69C4">
        <w:rPr>
          <w:rStyle w:val="Heading3Char"/>
          <w:b/>
          <w:bCs/>
        </w:rPr>
        <w:t>1</w:t>
      </w:r>
      <w:r w:rsidR="001035E9">
        <w:rPr>
          <w:rStyle w:val="Heading3Char"/>
          <w:b/>
          <w:bCs/>
        </w:rPr>
        <w:t>0</w:t>
      </w:r>
      <w:r w:rsidRPr="00FA69C4">
        <w:rPr>
          <w:rStyle w:val="Heading3Char"/>
          <w:b/>
          <w:bCs/>
        </w:rPr>
        <w:t>. Kvalifikācijas, akreditācijas un sertifikācijas sistēmu pieejamība</w:t>
      </w:r>
      <w:bookmarkEnd w:id="29"/>
      <w:r w:rsidRPr="00FA69C4">
        <w:t xml:space="preserve"> </w:t>
      </w:r>
    </w:p>
    <w:p w:rsidR="00A114A8" w:rsidRPr="00F93CDA" w:rsidRDefault="00A114A8" w:rsidP="0066561B">
      <w:pPr>
        <w:autoSpaceDE w:val="0"/>
        <w:autoSpaceDN w:val="0"/>
        <w:adjustRightInd w:val="0"/>
        <w:spacing w:after="0" w:line="240" w:lineRule="auto"/>
        <w:jc w:val="both"/>
        <w:rPr>
          <w:lang w:eastAsia="lv-LV"/>
        </w:rPr>
      </w:pPr>
      <w:r>
        <w:rPr>
          <w:rFonts w:cs="Times New Roman"/>
          <w:sz w:val="24"/>
          <w:szCs w:val="24"/>
        </w:rPr>
        <w:tab/>
      </w:r>
      <w:r w:rsidR="00FF52C7">
        <w:rPr>
          <w:lang w:eastAsia="lv-LV"/>
        </w:rPr>
        <w:t>MK</w:t>
      </w:r>
      <w:r w:rsidR="00E33D0B" w:rsidRPr="00565880">
        <w:rPr>
          <w:lang w:eastAsia="lv-LV"/>
        </w:rPr>
        <w:t xml:space="preserve"> noteikumos Nr.138 ir noteikts, ka par </w:t>
      </w:r>
      <w:proofErr w:type="spellStart"/>
      <w:r w:rsidR="00E33D0B" w:rsidRPr="00565880">
        <w:rPr>
          <w:lang w:eastAsia="lv-LV"/>
        </w:rPr>
        <w:t>energoauditoru</w:t>
      </w:r>
      <w:proofErr w:type="spellEnd"/>
      <w:r w:rsidR="00E33D0B" w:rsidRPr="00565880">
        <w:rPr>
          <w:lang w:eastAsia="lv-LV"/>
        </w:rPr>
        <w:t xml:space="preserve"> sertificēšanas iestāžu akreditāciju atbildīgs ir Valsts sabiedrības ar ierobežotu atbildību "Standartizācijas, akreditācijas un metroloģijas centrs" Latvijas Nacionālais akreditācijas birojs. </w:t>
      </w:r>
      <w:r w:rsidRPr="00565880">
        <w:rPr>
          <w:lang w:eastAsia="lv-LV"/>
        </w:rPr>
        <w:t xml:space="preserve">Ar </w:t>
      </w:r>
      <w:proofErr w:type="spellStart"/>
      <w:r w:rsidRPr="00565880">
        <w:rPr>
          <w:lang w:eastAsia="lv-LV"/>
        </w:rPr>
        <w:t>energoauditoru</w:t>
      </w:r>
      <w:proofErr w:type="spellEnd"/>
      <w:r w:rsidRPr="00565880">
        <w:rPr>
          <w:lang w:eastAsia="lv-LV"/>
        </w:rPr>
        <w:t xml:space="preserve"> sertificēšanu Latvijā nodarbojas Latvijas </w:t>
      </w:r>
      <w:r w:rsidR="00E33D0B" w:rsidRPr="00565880">
        <w:rPr>
          <w:lang w:eastAsia="lv-LV"/>
        </w:rPr>
        <w:t>S</w:t>
      </w:r>
      <w:r w:rsidRPr="00565880">
        <w:rPr>
          <w:lang w:eastAsia="lv-LV"/>
        </w:rPr>
        <w:t>iltuma, gāzes un ūdens tehnoloģijas inženieru savienība</w:t>
      </w:r>
      <w:r w:rsidR="00BA4408" w:rsidRPr="00565880">
        <w:rPr>
          <w:lang w:eastAsia="lv-LV"/>
        </w:rPr>
        <w:t xml:space="preserve"> Būvniecības speciālistu sertificēšanas centrs</w:t>
      </w:r>
      <w:r w:rsidR="00D22F57">
        <w:rPr>
          <w:lang w:eastAsia="lv-LV"/>
        </w:rPr>
        <w:t xml:space="preserve"> un</w:t>
      </w:r>
      <w:r w:rsidRPr="00565880">
        <w:rPr>
          <w:lang w:eastAsia="lv-LV"/>
        </w:rPr>
        <w:t xml:space="preserve"> sertificēšanas birojs SIA „Mācību un konsultāciju centrs ABC”.</w:t>
      </w:r>
      <w:r w:rsidRPr="00F93CDA">
        <w:rPr>
          <w:lang w:eastAsia="lv-LV"/>
        </w:rPr>
        <w:t xml:space="preserve"> </w:t>
      </w:r>
      <w:r w:rsidR="004D68B4">
        <w:rPr>
          <w:lang w:eastAsia="lv-LV"/>
        </w:rPr>
        <w:t xml:space="preserve">Sertificēto </w:t>
      </w:r>
      <w:proofErr w:type="spellStart"/>
      <w:r w:rsidR="004D68B4">
        <w:rPr>
          <w:lang w:eastAsia="lv-LV"/>
        </w:rPr>
        <w:t>energoauditoru</w:t>
      </w:r>
      <w:proofErr w:type="spellEnd"/>
      <w:r w:rsidR="004D68B4">
        <w:rPr>
          <w:lang w:eastAsia="lv-LV"/>
        </w:rPr>
        <w:t xml:space="preserve"> saraksts un akreditēto sertificēšanas institūciju kontaktinformācija ir pieejama Ekonomikas ministrijas </w:t>
      </w:r>
      <w:r w:rsidR="001D2F15">
        <w:rPr>
          <w:lang w:eastAsia="lv-LV"/>
        </w:rPr>
        <w:t>tīmekļa vietnē</w:t>
      </w:r>
      <w:r w:rsidR="00151889">
        <w:rPr>
          <w:rStyle w:val="FootnoteReference"/>
          <w:lang w:eastAsia="lv-LV"/>
        </w:rPr>
        <w:footnoteReference w:id="17"/>
      </w:r>
      <w:r w:rsidR="004D68B4">
        <w:rPr>
          <w:lang w:eastAsia="lv-LV"/>
        </w:rPr>
        <w:t xml:space="preserve">. </w:t>
      </w:r>
    </w:p>
    <w:p w:rsidR="00F93CDA" w:rsidRDefault="00F93CDA" w:rsidP="0066561B">
      <w:pPr>
        <w:autoSpaceDE w:val="0"/>
        <w:autoSpaceDN w:val="0"/>
        <w:adjustRightInd w:val="0"/>
        <w:spacing w:after="0" w:line="240" w:lineRule="auto"/>
        <w:jc w:val="both"/>
        <w:rPr>
          <w:lang w:eastAsia="lv-LV"/>
        </w:rPr>
      </w:pPr>
      <w:r w:rsidRPr="00F93CDA">
        <w:rPr>
          <w:lang w:eastAsia="lv-LV"/>
        </w:rPr>
        <w:tab/>
        <w:t>Ministru kabineta 2008.</w:t>
      </w:r>
      <w:r w:rsidR="001D2F15">
        <w:rPr>
          <w:lang w:eastAsia="lv-LV"/>
        </w:rPr>
        <w:t> </w:t>
      </w:r>
      <w:r w:rsidRPr="00F93CDA">
        <w:rPr>
          <w:lang w:eastAsia="lv-LV"/>
        </w:rPr>
        <w:t>gada 9.</w:t>
      </w:r>
      <w:r w:rsidR="001D2F15">
        <w:rPr>
          <w:lang w:eastAsia="lv-LV"/>
        </w:rPr>
        <w:t> </w:t>
      </w:r>
      <w:r w:rsidRPr="00F93CDA">
        <w:rPr>
          <w:lang w:eastAsia="lv-LV"/>
        </w:rPr>
        <w:t xml:space="preserve">decembra noteikumos </w:t>
      </w:r>
      <w:r w:rsidR="00FF52C7">
        <w:rPr>
          <w:lang w:eastAsia="lv-LV"/>
        </w:rPr>
        <w:t xml:space="preserve">Nr.1013 </w:t>
      </w:r>
      <w:r w:rsidRPr="00F93CDA">
        <w:rPr>
          <w:lang w:eastAsia="lv-LV"/>
        </w:rPr>
        <w:t>„Kārtība, kādā dzīvokļa īpašnieks daudzdzīvokļu dzīvojamā mājā norēķinās par pakalpojumiem, kas saistīti ar dzīvokļa īpašuma lietošanu”</w:t>
      </w:r>
      <w:r w:rsidR="001D2F15">
        <w:rPr>
          <w:lang w:eastAsia="lv-LV"/>
        </w:rPr>
        <w:t xml:space="preserve"> </w:t>
      </w:r>
      <w:r w:rsidR="00D22F57">
        <w:rPr>
          <w:lang w:eastAsia="lv-LV"/>
        </w:rPr>
        <w:t xml:space="preserve">noteikts, </w:t>
      </w:r>
      <w:r w:rsidRPr="00F93CDA">
        <w:rPr>
          <w:lang w:eastAsia="lv-LV"/>
        </w:rPr>
        <w:t>ka, lai efektīvāk izmantotu siltumenerģiju, kā arī atvieglotu norēķinus, dzīvokļu īpašnieki var ievēlēt pārstāvi (</w:t>
      </w:r>
      <w:proofErr w:type="spellStart"/>
      <w:r w:rsidRPr="00F93CDA">
        <w:rPr>
          <w:lang w:eastAsia="lv-LV"/>
        </w:rPr>
        <w:t>energopārvaldnieku</w:t>
      </w:r>
      <w:proofErr w:type="spellEnd"/>
      <w:r w:rsidRPr="00F93CDA">
        <w:rPr>
          <w:lang w:eastAsia="lv-LV"/>
        </w:rPr>
        <w:t xml:space="preserve">), kas uzrauga siltumenerģijas režīmu, nolasa skaitītāju rādījumus un veic citus līgumā paredzētos pienākumus. Dzīvokļu īpašnieki slēdz līgumu ar </w:t>
      </w:r>
      <w:proofErr w:type="spellStart"/>
      <w:r w:rsidRPr="00F93CDA">
        <w:rPr>
          <w:lang w:eastAsia="lv-LV"/>
        </w:rPr>
        <w:t>energopārvaldnieku</w:t>
      </w:r>
      <w:proofErr w:type="spellEnd"/>
      <w:r w:rsidRPr="00F93CDA">
        <w:rPr>
          <w:lang w:eastAsia="lv-LV"/>
        </w:rPr>
        <w:t xml:space="preserve"> par iepriekšminēto pienākumu veikšanu</w:t>
      </w:r>
      <w:r w:rsidR="00662CCD">
        <w:rPr>
          <w:lang w:eastAsia="lv-LV"/>
        </w:rPr>
        <w:t xml:space="preserve"> un tajā nosaka </w:t>
      </w:r>
      <w:proofErr w:type="spellStart"/>
      <w:r w:rsidR="00662CCD">
        <w:rPr>
          <w:lang w:eastAsia="lv-LV"/>
        </w:rPr>
        <w:t>energopārvaldnieka</w:t>
      </w:r>
      <w:proofErr w:type="spellEnd"/>
      <w:r w:rsidRPr="00F93CDA">
        <w:rPr>
          <w:lang w:eastAsia="lv-LV"/>
        </w:rPr>
        <w:t xml:space="preserve"> tiesības, pienākumus un atbildību.</w:t>
      </w:r>
    </w:p>
    <w:p w:rsidR="00A23DC4" w:rsidRPr="009E37D3" w:rsidRDefault="00A23DC4" w:rsidP="00A23DC4">
      <w:pPr>
        <w:autoSpaceDE w:val="0"/>
        <w:autoSpaceDN w:val="0"/>
        <w:adjustRightInd w:val="0"/>
        <w:spacing w:after="0" w:line="240" w:lineRule="auto"/>
        <w:jc w:val="both"/>
        <w:rPr>
          <w:rFonts w:cs="Times New Roman"/>
          <w:szCs w:val="28"/>
        </w:rPr>
      </w:pPr>
      <w:r>
        <w:rPr>
          <w:rFonts w:cs="Times New Roman"/>
          <w:szCs w:val="28"/>
        </w:rPr>
        <w:tab/>
      </w:r>
      <w:r w:rsidRPr="009E37D3">
        <w:rPr>
          <w:rFonts w:cs="Times New Roman"/>
          <w:szCs w:val="28"/>
        </w:rPr>
        <w:t>Latvij</w:t>
      </w:r>
      <w:r w:rsidR="009076E1">
        <w:rPr>
          <w:rFonts w:cs="Times New Roman"/>
          <w:szCs w:val="28"/>
        </w:rPr>
        <w:t>ā</w:t>
      </w:r>
      <w:r w:rsidRPr="009E37D3">
        <w:rPr>
          <w:rFonts w:cs="Times New Roman"/>
          <w:szCs w:val="28"/>
        </w:rPr>
        <w:t xml:space="preserve"> tehniskās kompetences, objektivitātes un uzticamības līmenis, kā arī pieejamās dažāda līmeņa izglītības programmas ir pietiekamas un pieejamas visiem interesentiem, tostarp </w:t>
      </w:r>
      <w:proofErr w:type="spellStart"/>
      <w:r w:rsidRPr="009E37D3">
        <w:rPr>
          <w:rFonts w:cs="Times New Roman"/>
          <w:szCs w:val="28"/>
        </w:rPr>
        <w:t>energoapak</w:t>
      </w:r>
      <w:r>
        <w:rPr>
          <w:rFonts w:cs="Times New Roman"/>
          <w:szCs w:val="28"/>
        </w:rPr>
        <w:t>a</w:t>
      </w:r>
      <w:r w:rsidRPr="009E37D3">
        <w:rPr>
          <w:rFonts w:cs="Times New Roman"/>
          <w:szCs w:val="28"/>
        </w:rPr>
        <w:t>lpojumu</w:t>
      </w:r>
      <w:proofErr w:type="spellEnd"/>
      <w:r w:rsidRPr="009E37D3">
        <w:rPr>
          <w:rFonts w:cs="Times New Roman"/>
          <w:szCs w:val="28"/>
        </w:rPr>
        <w:t xml:space="preserve"> sniedzējiem, </w:t>
      </w:r>
      <w:proofErr w:type="spellStart"/>
      <w:r w:rsidRPr="009E37D3">
        <w:rPr>
          <w:rFonts w:cs="Times New Roman"/>
          <w:szCs w:val="28"/>
        </w:rPr>
        <w:t>energopārvaldniekiem</w:t>
      </w:r>
      <w:proofErr w:type="spellEnd"/>
      <w:r w:rsidRPr="009E37D3">
        <w:rPr>
          <w:rFonts w:cs="Times New Roman"/>
          <w:szCs w:val="28"/>
        </w:rPr>
        <w:t xml:space="preserve"> un ar enerģiju saistītu būves elementu uzstādītājiem.</w:t>
      </w:r>
    </w:p>
    <w:p w:rsidR="00A23DC4" w:rsidRPr="009E37D3" w:rsidRDefault="00A23DC4" w:rsidP="00A23DC4">
      <w:pPr>
        <w:autoSpaceDE w:val="0"/>
        <w:autoSpaceDN w:val="0"/>
        <w:spacing w:after="0" w:line="240" w:lineRule="auto"/>
        <w:ind w:firstLine="720"/>
        <w:jc w:val="both"/>
        <w:rPr>
          <w:rFonts w:cs="Times New Roman"/>
          <w:color w:val="000000"/>
          <w:szCs w:val="28"/>
        </w:rPr>
      </w:pPr>
      <w:r w:rsidRPr="009E37D3">
        <w:rPr>
          <w:rFonts w:cs="Times New Roman"/>
          <w:color w:val="000000"/>
          <w:szCs w:val="28"/>
        </w:rPr>
        <w:t xml:space="preserve">Ievērojot 2007. gada 13. decembra Profesionālās izglītības likuma 2. pantu, Latvijā </w:t>
      </w:r>
      <w:r w:rsidR="009076E1">
        <w:rPr>
          <w:rFonts w:cs="Times New Roman"/>
          <w:color w:val="000000"/>
          <w:szCs w:val="28"/>
        </w:rPr>
        <w:t>ir</w:t>
      </w:r>
      <w:r w:rsidRPr="009E37D3">
        <w:rPr>
          <w:rFonts w:cs="Times New Roman"/>
          <w:color w:val="000000"/>
          <w:szCs w:val="28"/>
        </w:rPr>
        <w:t xml:space="preserve"> noteiktas profesionālās izglītības pakāpes, profesionālās kvalifikācijas līmeņi un attiecīgās profesionālās kvalifikācijas ieguvei nepieciešamā izglītība. Latvijas izglītības sistēmā</w:t>
      </w:r>
      <w:r w:rsidR="00274912">
        <w:rPr>
          <w:rFonts w:cs="Times New Roman"/>
          <w:color w:val="000000"/>
          <w:szCs w:val="28"/>
        </w:rPr>
        <w:t xml:space="preserve"> </w:t>
      </w:r>
      <w:r w:rsidRPr="009E37D3">
        <w:rPr>
          <w:rFonts w:cs="Times New Roman"/>
          <w:color w:val="000000"/>
          <w:szCs w:val="28"/>
        </w:rPr>
        <w:t>ir noteikti pieci profesionālās kvalifikācijas līmeņi, kurus iegūst, sekmīgi pabeidzot akreditētās profesionālās izglītības programmas.</w:t>
      </w:r>
    </w:p>
    <w:p w:rsidR="00A23DC4" w:rsidRPr="009E37D3" w:rsidRDefault="00A23DC4" w:rsidP="00A23DC4">
      <w:pPr>
        <w:autoSpaceDE w:val="0"/>
        <w:autoSpaceDN w:val="0"/>
        <w:spacing w:after="0" w:line="240" w:lineRule="auto"/>
        <w:ind w:firstLine="709"/>
        <w:jc w:val="both"/>
        <w:rPr>
          <w:rFonts w:cs="Times New Roman"/>
          <w:color w:val="000000"/>
          <w:szCs w:val="28"/>
        </w:rPr>
      </w:pPr>
      <w:r w:rsidRPr="009E37D3">
        <w:rPr>
          <w:rFonts w:cs="Times New Roman"/>
          <w:color w:val="000000"/>
          <w:szCs w:val="28"/>
        </w:rPr>
        <w:t>Likuma „Par reglamentētajām profesijām un profesionālās kvalifi</w:t>
      </w:r>
      <w:r w:rsidR="001D2F15">
        <w:rPr>
          <w:rFonts w:cs="Times New Roman"/>
          <w:color w:val="000000"/>
          <w:szCs w:val="28"/>
        </w:rPr>
        <w:t xml:space="preserve">kācijas atzīšanu” 7. panta otrā </w:t>
      </w:r>
      <w:r w:rsidRPr="009E37D3">
        <w:rPr>
          <w:rFonts w:cs="Times New Roman"/>
          <w:color w:val="000000"/>
          <w:szCs w:val="28"/>
        </w:rPr>
        <w:t xml:space="preserve">daļa nosaka būvniecības jomā reglamentētās profesijas (būvinženieris un </w:t>
      </w:r>
      <w:proofErr w:type="spellStart"/>
      <w:r w:rsidRPr="009E37D3">
        <w:rPr>
          <w:rFonts w:cs="Times New Roman"/>
          <w:color w:val="000000"/>
          <w:szCs w:val="28"/>
        </w:rPr>
        <w:t>būvtehniķis</w:t>
      </w:r>
      <w:proofErr w:type="spellEnd"/>
      <w:r w:rsidRPr="009E37D3">
        <w:rPr>
          <w:rFonts w:cs="Times New Roman"/>
          <w:color w:val="000000"/>
          <w:szCs w:val="28"/>
        </w:rPr>
        <w:t xml:space="preserve">), </w:t>
      </w:r>
      <w:r w:rsidRPr="009E37D3">
        <w:rPr>
          <w:rFonts w:cs="Times New Roman"/>
          <w:color w:val="000000"/>
          <w:szCs w:val="28"/>
          <w:shd w:val="clear" w:color="auto" w:fill="FFFFFF"/>
        </w:rPr>
        <w:t>kurās kvalifikācijas prasības nosaka akreditētas</w:t>
      </w:r>
      <w:r w:rsidR="00274912">
        <w:rPr>
          <w:rFonts w:cs="Times New Roman"/>
          <w:color w:val="000000"/>
          <w:szCs w:val="28"/>
          <w:shd w:val="clear" w:color="auto" w:fill="FFFFFF"/>
        </w:rPr>
        <w:t xml:space="preserve"> </w:t>
      </w:r>
      <w:r w:rsidRPr="009E37D3">
        <w:rPr>
          <w:rFonts w:cs="Times New Roman"/>
          <w:color w:val="000000"/>
          <w:szCs w:val="28"/>
          <w:shd w:val="clear" w:color="auto" w:fill="FFFFFF"/>
        </w:rPr>
        <w:t>izglītības programmas un likumā noteiktajos gadījumos — profesi</w:t>
      </w:r>
      <w:r>
        <w:rPr>
          <w:rFonts w:cs="Times New Roman"/>
          <w:color w:val="000000"/>
          <w:szCs w:val="28"/>
          <w:shd w:val="clear" w:color="auto" w:fill="FFFFFF"/>
        </w:rPr>
        <w:t>onālās sertifikācijas noteikumi</w:t>
      </w:r>
      <w:r w:rsidRPr="009E37D3">
        <w:rPr>
          <w:rFonts w:cs="Times New Roman"/>
          <w:color w:val="000000"/>
          <w:szCs w:val="28"/>
        </w:rPr>
        <w:t>. Savukārt šā likuma 7.</w:t>
      </w:r>
      <w:r>
        <w:rPr>
          <w:rFonts w:cs="Times New Roman"/>
          <w:color w:val="000000"/>
          <w:szCs w:val="28"/>
        </w:rPr>
        <w:t> </w:t>
      </w:r>
      <w:r w:rsidRPr="009E37D3">
        <w:rPr>
          <w:rFonts w:cs="Times New Roman"/>
          <w:color w:val="000000"/>
          <w:szCs w:val="28"/>
        </w:rPr>
        <w:t>panta trešā daļa nosaka, ka a</w:t>
      </w:r>
      <w:r w:rsidRPr="009E37D3">
        <w:rPr>
          <w:rFonts w:cs="Times New Roman"/>
          <w:szCs w:val="28"/>
        </w:rPr>
        <w:t>rhitektūras un būvniecības jomā reglamentēta ir būvinspektora profesija, kurā kvalifikācijas prasības nosaka normatīvie akti būvniecības jomā.</w:t>
      </w:r>
    </w:p>
    <w:p w:rsidR="00A23DC4" w:rsidRPr="009E37D3" w:rsidRDefault="003015BD" w:rsidP="00A23DC4">
      <w:pPr>
        <w:autoSpaceDE w:val="0"/>
        <w:autoSpaceDN w:val="0"/>
        <w:spacing w:after="0" w:line="240" w:lineRule="auto"/>
        <w:ind w:firstLine="720"/>
        <w:jc w:val="both"/>
        <w:rPr>
          <w:rFonts w:cs="Times New Roman"/>
          <w:color w:val="000000"/>
          <w:szCs w:val="28"/>
        </w:rPr>
      </w:pPr>
      <w:r>
        <w:rPr>
          <w:rFonts w:cs="Times New Roman"/>
          <w:color w:val="000000"/>
          <w:szCs w:val="28"/>
        </w:rPr>
        <w:t>2013. gada 18. </w:t>
      </w:r>
      <w:r w:rsidR="00A23DC4" w:rsidRPr="009E37D3">
        <w:rPr>
          <w:rFonts w:cs="Times New Roman"/>
          <w:color w:val="000000"/>
          <w:szCs w:val="28"/>
        </w:rPr>
        <w:t>martā Latvijā</w:t>
      </w:r>
      <w:r w:rsidR="00274912">
        <w:rPr>
          <w:rFonts w:cs="Times New Roman"/>
          <w:color w:val="000000"/>
          <w:szCs w:val="28"/>
        </w:rPr>
        <w:t xml:space="preserve"> </w:t>
      </w:r>
      <w:r w:rsidR="00A23DC4" w:rsidRPr="009E37D3">
        <w:rPr>
          <w:rFonts w:cs="Times New Roman"/>
          <w:color w:val="000000"/>
          <w:szCs w:val="28"/>
        </w:rPr>
        <w:t xml:space="preserve">studiju virzienā </w:t>
      </w:r>
      <w:r w:rsidR="00A23DC4" w:rsidRPr="002E7BEB">
        <w:rPr>
          <w:rFonts w:cs="Times New Roman"/>
          <w:color w:val="000000"/>
          <w:szCs w:val="28"/>
        </w:rPr>
        <w:t>„</w:t>
      </w:r>
      <w:hyperlink r:id="rId22" w:history="1">
        <w:r w:rsidR="00A23DC4" w:rsidRPr="002E7BEB">
          <w:rPr>
            <w:rStyle w:val="Hyperlink"/>
            <w:rFonts w:cs="Times New Roman"/>
            <w:color w:val="000000"/>
            <w:szCs w:val="28"/>
            <w:u w:val="none"/>
          </w:rPr>
          <w:t xml:space="preserve">Enerģētika, izņemot siltumenerģētiku un siltumtehniku, Elektronika un automātika, izņemot </w:t>
        </w:r>
        <w:r w:rsidR="00A23DC4" w:rsidRPr="002E7BEB">
          <w:rPr>
            <w:rStyle w:val="Hyperlink"/>
            <w:rFonts w:cs="Times New Roman"/>
            <w:color w:val="000000"/>
            <w:szCs w:val="28"/>
            <w:u w:val="none"/>
          </w:rPr>
          <w:lastRenderedPageBreak/>
          <w:t>automātiku, datortehniku un telekomunikācijas</w:t>
        </w:r>
      </w:hyperlink>
      <w:r w:rsidR="00A23DC4" w:rsidRPr="009E37D3">
        <w:rPr>
          <w:rFonts w:cs="Times New Roman"/>
          <w:color w:val="000000"/>
          <w:szCs w:val="28"/>
        </w:rPr>
        <w:t>” ir</w:t>
      </w:r>
      <w:r w:rsidR="00D22F57">
        <w:rPr>
          <w:rFonts w:cs="Times New Roman"/>
          <w:color w:val="000000"/>
          <w:szCs w:val="28"/>
        </w:rPr>
        <w:t xml:space="preserve"> akreditētas</w:t>
      </w:r>
      <w:r w:rsidR="00A23DC4" w:rsidRPr="009E37D3">
        <w:rPr>
          <w:rFonts w:cs="Times New Roman"/>
          <w:color w:val="000000"/>
          <w:szCs w:val="28"/>
        </w:rPr>
        <w:t xml:space="preserve"> 29 studiju programmas. Programmu sadalījumu starp Latvijas izglītības iestādēm var skatīt AIKNC</w:t>
      </w:r>
      <w:r w:rsidR="00274912">
        <w:rPr>
          <w:rFonts w:cs="Times New Roman"/>
          <w:color w:val="000000"/>
          <w:szCs w:val="28"/>
        </w:rPr>
        <w:t xml:space="preserve"> </w:t>
      </w:r>
      <w:r w:rsidR="00A23DC4" w:rsidRPr="009E37D3">
        <w:rPr>
          <w:rFonts w:cs="Times New Roman"/>
          <w:color w:val="000000"/>
          <w:szCs w:val="28"/>
        </w:rPr>
        <w:t xml:space="preserve">tīmekļa vietnē: </w:t>
      </w:r>
      <w:r w:rsidR="00A23DC4" w:rsidRPr="002E7BEB">
        <w:rPr>
          <w:rFonts w:cs="Times New Roman"/>
          <w:color w:val="000000"/>
          <w:szCs w:val="28"/>
          <w:u w:val="single"/>
        </w:rPr>
        <w:t>(</w:t>
      </w:r>
      <w:hyperlink r:id="rId23" w:history="1">
        <w:r w:rsidR="00A23DC4" w:rsidRPr="002E7BEB">
          <w:rPr>
            <w:rStyle w:val="Hyperlink"/>
            <w:rFonts w:cs="Times New Roman"/>
            <w:color w:val="000000"/>
            <w:szCs w:val="28"/>
          </w:rPr>
          <w:t>http://www.aiknc.lv/lv/prog_aip_virziens.php?id=18</w:t>
        </w:r>
      </w:hyperlink>
      <w:r w:rsidR="00A23DC4" w:rsidRPr="009E37D3">
        <w:rPr>
          <w:rFonts w:cs="Times New Roman"/>
          <w:color w:val="000000"/>
          <w:szCs w:val="28"/>
        </w:rPr>
        <w:t>).</w:t>
      </w:r>
    </w:p>
    <w:p w:rsidR="00A23DC4" w:rsidRPr="009E37D3" w:rsidRDefault="009076E1" w:rsidP="00A23DC4">
      <w:pPr>
        <w:autoSpaceDE w:val="0"/>
        <w:autoSpaceDN w:val="0"/>
        <w:spacing w:after="0" w:line="240" w:lineRule="auto"/>
        <w:ind w:firstLine="720"/>
        <w:jc w:val="both"/>
        <w:rPr>
          <w:rFonts w:cs="Times New Roman"/>
          <w:color w:val="000000"/>
          <w:szCs w:val="28"/>
        </w:rPr>
      </w:pPr>
      <w:r>
        <w:rPr>
          <w:rFonts w:cs="Times New Roman"/>
          <w:color w:val="000000"/>
          <w:szCs w:val="28"/>
        </w:rPr>
        <w:t>S</w:t>
      </w:r>
      <w:r w:rsidR="00A23DC4" w:rsidRPr="009E37D3">
        <w:rPr>
          <w:rFonts w:cs="Times New Roman"/>
          <w:color w:val="000000"/>
          <w:szCs w:val="28"/>
        </w:rPr>
        <w:t>tudiju virzienā „</w:t>
      </w:r>
      <w:hyperlink r:id="rId24" w:history="1">
        <w:r w:rsidR="00A23DC4" w:rsidRPr="002E7BEB">
          <w:rPr>
            <w:rStyle w:val="Hyperlink"/>
            <w:rFonts w:cs="Times New Roman"/>
            <w:color w:val="000000"/>
            <w:szCs w:val="28"/>
            <w:u w:val="none"/>
          </w:rPr>
          <w:t>Arhitektūra</w:t>
        </w:r>
      </w:hyperlink>
      <w:r w:rsidR="00A23DC4" w:rsidRPr="009E37D3">
        <w:rPr>
          <w:rFonts w:cs="Times New Roman"/>
          <w:color w:val="000000"/>
          <w:szCs w:val="28"/>
        </w:rPr>
        <w:t xml:space="preserve"> un būvniecība” akreditētas ir 35 studiju programmas. Programmu sadalījumu starp Latvijas izglītības iestādēm var skatīt AIKNC tīmekļa vietnē: (</w:t>
      </w:r>
      <w:hyperlink r:id="rId25" w:history="1">
        <w:r w:rsidR="00A23DC4" w:rsidRPr="009E37D3">
          <w:rPr>
            <w:rStyle w:val="Hyperlink"/>
            <w:rFonts w:cs="Times New Roman"/>
            <w:color w:val="000000"/>
            <w:szCs w:val="28"/>
          </w:rPr>
          <w:t>http://www.aiknc.lv/lv/prog_aip_virziens.php?id=20</w:t>
        </w:r>
      </w:hyperlink>
      <w:r w:rsidR="00A23DC4" w:rsidRPr="009E37D3">
        <w:rPr>
          <w:rFonts w:cs="Times New Roman"/>
          <w:color w:val="000000"/>
          <w:szCs w:val="28"/>
        </w:rPr>
        <w:t>).</w:t>
      </w:r>
    </w:p>
    <w:p w:rsidR="00A23DC4" w:rsidRDefault="00A23DC4" w:rsidP="00A23DC4">
      <w:pPr>
        <w:autoSpaceDE w:val="0"/>
        <w:autoSpaceDN w:val="0"/>
        <w:spacing w:after="0" w:line="240" w:lineRule="auto"/>
        <w:ind w:firstLine="720"/>
        <w:jc w:val="both"/>
        <w:rPr>
          <w:rFonts w:cs="Times New Roman"/>
          <w:color w:val="000000"/>
          <w:szCs w:val="28"/>
        </w:rPr>
      </w:pPr>
      <w:r w:rsidRPr="009E37D3">
        <w:rPr>
          <w:rFonts w:cs="Times New Roman"/>
          <w:color w:val="000000"/>
          <w:szCs w:val="28"/>
        </w:rPr>
        <w:t>Piemēram, Rīgas Tehniskā universitātē studiju virzienā „</w:t>
      </w:r>
      <w:hyperlink r:id="rId26" w:history="1">
        <w:r w:rsidRPr="002E7BEB">
          <w:rPr>
            <w:rStyle w:val="Hyperlink"/>
            <w:rFonts w:cs="Times New Roman"/>
            <w:color w:val="000000"/>
            <w:szCs w:val="28"/>
            <w:u w:val="none"/>
          </w:rPr>
          <w:t>Arhitektūra</w:t>
        </w:r>
      </w:hyperlink>
      <w:r w:rsidRPr="009E37D3">
        <w:rPr>
          <w:rFonts w:cs="Times New Roman"/>
          <w:color w:val="000000"/>
          <w:szCs w:val="28"/>
        </w:rPr>
        <w:t xml:space="preserve"> un būvniecība” apgūstama bakalaura profesionālās studijas programma, par kuras sekmīgu apgūšanu piešķir grādu siltuma, gāzes un ūdens </w:t>
      </w:r>
      <w:proofErr w:type="spellStart"/>
      <w:r w:rsidRPr="009E37D3">
        <w:rPr>
          <w:rFonts w:cs="Times New Roman"/>
          <w:color w:val="000000"/>
          <w:szCs w:val="28"/>
        </w:rPr>
        <w:t>inženiersistēmās</w:t>
      </w:r>
      <w:proofErr w:type="spellEnd"/>
      <w:r w:rsidRPr="009E37D3">
        <w:rPr>
          <w:rFonts w:cs="Times New Roman"/>
          <w:color w:val="000000"/>
          <w:szCs w:val="28"/>
        </w:rPr>
        <w:t xml:space="preserve"> un inženiera kvalifikācija siltuma, gāzes un ūdens tehnoloģijā. Minētā studiju programma</w:t>
      </w:r>
      <w:r w:rsidR="00274912">
        <w:rPr>
          <w:rFonts w:cs="Times New Roman"/>
          <w:color w:val="000000"/>
          <w:szCs w:val="28"/>
        </w:rPr>
        <w:t xml:space="preserve"> </w:t>
      </w:r>
      <w:r w:rsidRPr="009E37D3">
        <w:rPr>
          <w:rFonts w:cs="Times New Roman"/>
          <w:color w:val="000000"/>
          <w:szCs w:val="28"/>
        </w:rPr>
        <w:t xml:space="preserve">apstiprināta ar RTU Senāta 2007. gada 29. janvāra lēmumu Nr.510 un studiju programmas izmaiņas apstiprinātas ar Būvniecības fakultātes domes 2008. gada 7. marta lēmumu Nr.003. Programmas ietvaros tiek pasniegts priekšmets - </w:t>
      </w:r>
      <w:hyperlink r:id="rId27" w:history="1">
        <w:r w:rsidRPr="002E7BEB">
          <w:rPr>
            <w:rStyle w:val="Hyperlink"/>
            <w:rFonts w:cs="Times New Roman"/>
            <w:color w:val="000000"/>
            <w:szCs w:val="28"/>
            <w:u w:val="none"/>
          </w:rPr>
          <w:t>Alternatīvie enerģijas avoti ēku siltumapgādei</w:t>
        </w:r>
      </w:hyperlink>
      <w:r w:rsidRPr="002E7BEB">
        <w:rPr>
          <w:rFonts w:cs="Times New Roman"/>
          <w:color w:val="000000"/>
          <w:szCs w:val="28"/>
        </w:rPr>
        <w:t xml:space="preserve">. </w:t>
      </w:r>
    </w:p>
    <w:p w:rsidR="00A23DC4" w:rsidRPr="00646462" w:rsidRDefault="00A23DC4" w:rsidP="00A23DC4">
      <w:pPr>
        <w:spacing w:after="0" w:line="240" w:lineRule="auto"/>
        <w:jc w:val="both"/>
        <w:rPr>
          <w:rFonts w:eastAsia="Times New Roman" w:cs="Times New Roman"/>
          <w:szCs w:val="28"/>
          <w:lang w:eastAsia="lv-LV"/>
        </w:rPr>
      </w:pPr>
      <w:r>
        <w:rPr>
          <w:rFonts w:eastAsia="Times New Roman" w:cs="Times New Roman"/>
          <w:szCs w:val="28"/>
          <w:lang w:eastAsia="lv-LV"/>
        </w:rPr>
        <w:tab/>
      </w:r>
      <w:r w:rsidRPr="00646462">
        <w:rPr>
          <w:rFonts w:eastAsia="Times New Roman" w:cs="Times New Roman"/>
          <w:szCs w:val="28"/>
          <w:lang w:eastAsia="lv-LV"/>
        </w:rPr>
        <w:t xml:space="preserve">Rīgas Tehniskās universitātes Būvniecības fakultātes Profesionālās Tālākizglītības centrs </w:t>
      </w:r>
      <w:r w:rsidR="009076E1">
        <w:rPr>
          <w:rFonts w:eastAsia="Times New Roman" w:cs="Times New Roman"/>
          <w:szCs w:val="28"/>
          <w:lang w:eastAsia="lv-LV"/>
        </w:rPr>
        <w:t>piedāvā</w:t>
      </w:r>
      <w:r w:rsidRPr="00646462">
        <w:rPr>
          <w:rFonts w:eastAsia="Times New Roman" w:cs="Times New Roman"/>
          <w:szCs w:val="28"/>
          <w:lang w:eastAsia="lv-LV"/>
        </w:rPr>
        <w:t xml:space="preserve"> licencētu profesionālas pilnveides izglītības programmu „Ēku un būvju energoefektivitātes audits” (LR IZM licence </w:t>
      </w:r>
      <w:proofErr w:type="spellStart"/>
      <w:r w:rsidRPr="00646462">
        <w:rPr>
          <w:rFonts w:eastAsia="Times New Roman" w:cs="Times New Roman"/>
          <w:szCs w:val="28"/>
          <w:lang w:eastAsia="lv-LV"/>
        </w:rPr>
        <w:t>Nr</w:t>
      </w:r>
      <w:proofErr w:type="spellEnd"/>
      <w:r w:rsidRPr="00646462">
        <w:rPr>
          <w:rFonts w:eastAsia="Times New Roman" w:cs="Times New Roman"/>
          <w:szCs w:val="28"/>
          <w:lang w:eastAsia="lv-LV"/>
        </w:rPr>
        <w:t xml:space="preserve">. P-34 no 07.08.2009). Nodarbību laikā </w:t>
      </w:r>
      <w:r>
        <w:rPr>
          <w:rFonts w:eastAsia="Times New Roman" w:cs="Times New Roman"/>
          <w:szCs w:val="28"/>
          <w:lang w:eastAsia="lv-LV"/>
        </w:rPr>
        <w:t>var apgūt sekojošus</w:t>
      </w:r>
      <w:r w:rsidRPr="00646462">
        <w:rPr>
          <w:rFonts w:eastAsia="Times New Roman" w:cs="Times New Roman"/>
          <w:szCs w:val="28"/>
          <w:lang w:eastAsia="lv-LV"/>
        </w:rPr>
        <w:t xml:space="preserve"> kursus</w:t>
      </w:r>
      <w:r>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 xml:space="preserve">Ēku un būvju </w:t>
      </w:r>
      <w:proofErr w:type="spellStart"/>
      <w:r w:rsidRPr="00646462">
        <w:rPr>
          <w:rFonts w:eastAsia="Times New Roman" w:cs="Times New Roman"/>
          <w:szCs w:val="28"/>
          <w:lang w:eastAsia="lv-LV"/>
        </w:rPr>
        <w:t>energoauditu</w:t>
      </w:r>
      <w:proofErr w:type="spellEnd"/>
      <w:r w:rsidRPr="00646462">
        <w:rPr>
          <w:rFonts w:eastAsia="Times New Roman" w:cs="Times New Roman"/>
          <w:szCs w:val="28"/>
          <w:lang w:eastAsia="lv-LV"/>
        </w:rPr>
        <w:t xml:space="preserve"> reglamentējošie normatīvie akti</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proofErr w:type="spellStart"/>
      <w:r w:rsidRPr="00646462">
        <w:rPr>
          <w:rFonts w:eastAsia="Times New Roman" w:cs="Times New Roman"/>
          <w:szCs w:val="28"/>
          <w:lang w:eastAsia="lv-LV"/>
        </w:rPr>
        <w:t>Siltumtehniskie</w:t>
      </w:r>
      <w:proofErr w:type="spellEnd"/>
      <w:r w:rsidRPr="00646462">
        <w:rPr>
          <w:rFonts w:eastAsia="Times New Roman" w:cs="Times New Roman"/>
          <w:szCs w:val="28"/>
          <w:lang w:eastAsia="lv-LV"/>
        </w:rPr>
        <w:t xml:space="preserve"> procesi mikroklimat</w:t>
      </w:r>
      <w:r w:rsidR="0098380F">
        <w:rPr>
          <w:rFonts w:eastAsia="Times New Roman" w:cs="Times New Roman"/>
          <w:szCs w:val="28"/>
          <w:lang w:eastAsia="lv-LV"/>
        </w:rPr>
        <w:t xml:space="preserve">a </w:t>
      </w:r>
      <w:proofErr w:type="spellStart"/>
      <w:r w:rsidR="0098380F">
        <w:rPr>
          <w:rFonts w:eastAsia="Times New Roman" w:cs="Times New Roman"/>
          <w:szCs w:val="28"/>
          <w:lang w:eastAsia="lv-LV"/>
        </w:rPr>
        <w:t>inženiersistēmās</w:t>
      </w:r>
      <w:proofErr w:type="spellEnd"/>
      <w:r w:rsidR="0098380F">
        <w:rPr>
          <w:rFonts w:eastAsia="Times New Roman" w:cs="Times New Roman"/>
          <w:szCs w:val="28"/>
          <w:lang w:eastAsia="lv-LV"/>
        </w:rPr>
        <w:t xml:space="preserve"> un </w:t>
      </w:r>
      <w:proofErr w:type="spellStart"/>
      <w:r w:rsidR="0098380F">
        <w:rPr>
          <w:rFonts w:eastAsia="Times New Roman" w:cs="Times New Roman"/>
          <w:szCs w:val="28"/>
          <w:lang w:eastAsia="lv-LV"/>
        </w:rPr>
        <w:t>videsziņa</w:t>
      </w:r>
      <w:proofErr w:type="spellEnd"/>
      <w:r w:rsidR="0098380F">
        <w:rPr>
          <w:rFonts w:eastAsia="Times New Roman" w:cs="Times New Roman"/>
          <w:szCs w:val="28"/>
          <w:lang w:eastAsia="lv-LV"/>
        </w:rPr>
        <w:t>.</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Siltumapgāde, karstā ūdens apgāde un apgaismojums</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Ēku un būvju apsekošana</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Ēku un būvju norobežojošās konstrukcijas</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Apkures katli un sistēmas</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Ventilācija un gaisa kondicionēšana</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Ēku un būvju energoefektivitātes aprēķinu metodika</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46462"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 xml:space="preserve">Ēku </w:t>
      </w:r>
      <w:proofErr w:type="spellStart"/>
      <w:r w:rsidRPr="00646462">
        <w:rPr>
          <w:rFonts w:eastAsia="Times New Roman" w:cs="Times New Roman"/>
          <w:szCs w:val="28"/>
          <w:lang w:eastAsia="lv-LV"/>
        </w:rPr>
        <w:t>energoaudita</w:t>
      </w:r>
      <w:proofErr w:type="spellEnd"/>
      <w:r w:rsidRPr="00646462">
        <w:rPr>
          <w:rFonts w:eastAsia="Times New Roman" w:cs="Times New Roman"/>
          <w:szCs w:val="28"/>
          <w:lang w:eastAsia="lv-LV"/>
        </w:rPr>
        <w:t xml:space="preserve"> pārskata izstrādāšana</w:t>
      </w:r>
      <w:r w:rsidR="0098380F">
        <w:rPr>
          <w:rFonts w:eastAsia="Times New Roman" w:cs="Times New Roman"/>
          <w:szCs w:val="28"/>
          <w:lang w:eastAsia="lv-LV"/>
        </w:rPr>
        <w:t>.</w:t>
      </w:r>
      <w:r w:rsidRPr="00646462">
        <w:rPr>
          <w:rFonts w:eastAsia="Times New Roman" w:cs="Times New Roman"/>
          <w:szCs w:val="28"/>
          <w:lang w:eastAsia="lv-LV"/>
        </w:rPr>
        <w:t xml:space="preserve"> </w:t>
      </w:r>
    </w:p>
    <w:p w:rsidR="00A23DC4" w:rsidRPr="00674694"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646462">
        <w:rPr>
          <w:rFonts w:eastAsia="Times New Roman" w:cs="Times New Roman"/>
          <w:szCs w:val="28"/>
          <w:lang w:eastAsia="lv-LV"/>
        </w:rPr>
        <w:t xml:space="preserve">Energoefektivitāti paaugstinoši materiāli, tehnoloģijas, projekti un tāmes. </w:t>
      </w:r>
    </w:p>
    <w:p w:rsidR="00A23DC4" w:rsidRDefault="00A23DC4" w:rsidP="00A23DC4">
      <w:pPr>
        <w:autoSpaceDE w:val="0"/>
        <w:autoSpaceDN w:val="0"/>
        <w:adjustRightInd w:val="0"/>
        <w:spacing w:after="0" w:line="240" w:lineRule="auto"/>
        <w:ind w:firstLine="720"/>
        <w:jc w:val="both"/>
        <w:rPr>
          <w:rFonts w:cs="Times New Roman"/>
          <w:szCs w:val="28"/>
        </w:rPr>
      </w:pPr>
      <w:r w:rsidRPr="009E37D3">
        <w:rPr>
          <w:rFonts w:cs="Times New Roman"/>
          <w:szCs w:val="28"/>
        </w:rPr>
        <w:t xml:space="preserve">MK noteikumi Nr.138 un MK noteikumi Nr.382 attiecīgi nosaka kvalifikācijas prasības rūpnieciskajiem </w:t>
      </w:r>
      <w:proofErr w:type="spellStart"/>
      <w:r w:rsidRPr="009E37D3">
        <w:rPr>
          <w:rFonts w:cs="Times New Roman"/>
          <w:szCs w:val="28"/>
        </w:rPr>
        <w:t>energoauditoriem</w:t>
      </w:r>
      <w:proofErr w:type="spellEnd"/>
      <w:r w:rsidRPr="009E37D3">
        <w:rPr>
          <w:rFonts w:cs="Times New Roman"/>
          <w:szCs w:val="28"/>
        </w:rPr>
        <w:t xml:space="preserve"> un neatkarīgajiem ekspertiem ēku energoefektivitātes jomā.</w:t>
      </w:r>
    </w:p>
    <w:p w:rsidR="007411DD" w:rsidRPr="007411DD" w:rsidRDefault="007411DD" w:rsidP="007411DD">
      <w:pPr>
        <w:pStyle w:val="tv20787921"/>
        <w:spacing w:after="0" w:line="240" w:lineRule="auto"/>
        <w:ind w:firstLine="720"/>
        <w:jc w:val="both"/>
        <w:rPr>
          <w:rStyle w:val="c1"/>
          <w:rFonts w:ascii="Times New Roman" w:hAnsi="Times New Roman"/>
          <w:b w:val="0"/>
          <w:bCs w:val="0"/>
          <w:color w:val="auto"/>
        </w:rPr>
      </w:pPr>
      <w:r w:rsidRPr="007411DD">
        <w:rPr>
          <w:rStyle w:val="c1"/>
          <w:rFonts w:ascii="Times New Roman" w:hAnsi="Times New Roman"/>
          <w:b w:val="0"/>
          <w:bCs w:val="0"/>
          <w:color w:val="auto"/>
        </w:rPr>
        <w:t>Šobrīd esošais kvalificēto speciālistu skaits energoefektivitātes jomā</w:t>
      </w:r>
      <w:r w:rsidR="00AE48AD">
        <w:rPr>
          <w:rStyle w:val="c1"/>
          <w:rFonts w:ascii="Times New Roman" w:hAnsi="Times New Roman"/>
          <w:b w:val="0"/>
          <w:bCs w:val="0"/>
          <w:color w:val="auto"/>
        </w:rPr>
        <w:t xml:space="preserve"> </w:t>
      </w:r>
      <w:r w:rsidRPr="007411DD">
        <w:rPr>
          <w:rStyle w:val="c1"/>
          <w:rFonts w:ascii="Times New Roman" w:hAnsi="Times New Roman"/>
          <w:b w:val="0"/>
          <w:bCs w:val="0"/>
          <w:color w:val="auto"/>
        </w:rPr>
        <w:t>ir piet</w:t>
      </w:r>
      <w:r>
        <w:rPr>
          <w:rStyle w:val="c1"/>
          <w:rFonts w:ascii="Times New Roman" w:hAnsi="Times New Roman"/>
          <w:b w:val="0"/>
          <w:bCs w:val="0"/>
          <w:color w:val="auto"/>
        </w:rPr>
        <w:t>ie</w:t>
      </w:r>
      <w:r w:rsidRPr="007411DD">
        <w:rPr>
          <w:rStyle w:val="c1"/>
          <w:rFonts w:ascii="Times New Roman" w:hAnsi="Times New Roman"/>
          <w:b w:val="0"/>
          <w:bCs w:val="0"/>
          <w:color w:val="auto"/>
        </w:rPr>
        <w:t>kams esošā pieprasījuma apmierināšanai. Ja pieprasījums pieaugs (piemēram, MVU sektorā), tad esošā sistēma pieļauj ātru papildus speciālistu izglītošanu un sertificēšanu.</w:t>
      </w:r>
    </w:p>
    <w:p w:rsidR="007411DD" w:rsidRPr="009E37D3" w:rsidRDefault="007411DD" w:rsidP="00A23DC4">
      <w:pPr>
        <w:autoSpaceDE w:val="0"/>
        <w:autoSpaceDN w:val="0"/>
        <w:adjustRightInd w:val="0"/>
        <w:spacing w:after="0" w:line="240" w:lineRule="auto"/>
        <w:ind w:firstLine="720"/>
        <w:jc w:val="both"/>
        <w:rPr>
          <w:rFonts w:cs="Times New Roman"/>
          <w:szCs w:val="28"/>
        </w:rPr>
      </w:pPr>
    </w:p>
    <w:p w:rsidR="00FA69C4" w:rsidRPr="00FA69C4" w:rsidRDefault="00AA70E3" w:rsidP="00FA69C4">
      <w:pPr>
        <w:pStyle w:val="Heading3"/>
        <w:spacing w:after="120"/>
      </w:pPr>
      <w:bookmarkStart w:id="30" w:name="_Toc387237972"/>
      <w:r w:rsidRPr="00FA69C4">
        <w:rPr>
          <w:rStyle w:val="Heading3Char"/>
          <w:b/>
          <w:bCs/>
        </w:rPr>
        <w:t>3.1.</w:t>
      </w:r>
      <w:r w:rsidR="00FA69C4" w:rsidRPr="00FA69C4">
        <w:rPr>
          <w:rStyle w:val="Heading3Char"/>
          <w:b/>
          <w:bCs/>
        </w:rPr>
        <w:t>1</w:t>
      </w:r>
      <w:r w:rsidR="002E2CB8">
        <w:rPr>
          <w:rStyle w:val="Heading3Char"/>
          <w:b/>
          <w:bCs/>
        </w:rPr>
        <w:t>1</w:t>
      </w:r>
      <w:r w:rsidRPr="00FA69C4">
        <w:rPr>
          <w:rStyle w:val="Heading3Char"/>
          <w:b/>
          <w:bCs/>
        </w:rPr>
        <w:t>. Energopakalpojumi</w:t>
      </w:r>
      <w:bookmarkEnd w:id="30"/>
      <w:r w:rsidRPr="00FA69C4">
        <w:t xml:space="preserve"> </w:t>
      </w:r>
    </w:p>
    <w:p w:rsidR="00A53AAE" w:rsidRPr="003D48F5" w:rsidRDefault="00E17151" w:rsidP="00AE6C6B">
      <w:pPr>
        <w:autoSpaceDE w:val="0"/>
        <w:autoSpaceDN w:val="0"/>
        <w:adjustRightInd w:val="0"/>
        <w:spacing w:after="0" w:line="240" w:lineRule="auto"/>
        <w:jc w:val="both"/>
        <w:rPr>
          <w:szCs w:val="28"/>
        </w:rPr>
      </w:pPr>
      <w:r w:rsidRPr="003D48F5">
        <w:rPr>
          <w:szCs w:val="28"/>
        </w:rPr>
        <w:tab/>
      </w:r>
      <w:r w:rsidR="00A53AAE" w:rsidRPr="003D48F5">
        <w:rPr>
          <w:szCs w:val="28"/>
        </w:rPr>
        <w:t>Enerģijas galapatēriņa efek</w:t>
      </w:r>
      <w:r w:rsidRPr="003D48F5">
        <w:rPr>
          <w:szCs w:val="28"/>
        </w:rPr>
        <w:t xml:space="preserve">tivitātes likuma </w:t>
      </w:r>
      <w:r w:rsidR="00A75B68">
        <w:rPr>
          <w:szCs w:val="28"/>
        </w:rPr>
        <w:t>14.</w:t>
      </w:r>
      <w:r w:rsidR="00A376A0">
        <w:rPr>
          <w:szCs w:val="28"/>
        </w:rPr>
        <w:t> </w:t>
      </w:r>
      <w:r w:rsidR="00A75B68">
        <w:rPr>
          <w:szCs w:val="28"/>
        </w:rPr>
        <w:t xml:space="preserve">pants nosaka </w:t>
      </w:r>
      <w:r w:rsidR="00A53AAE" w:rsidRPr="003D48F5">
        <w:rPr>
          <w:szCs w:val="28"/>
        </w:rPr>
        <w:t xml:space="preserve">energopakalpojumu </w:t>
      </w:r>
      <w:r w:rsidR="00A75B68">
        <w:rPr>
          <w:szCs w:val="28"/>
        </w:rPr>
        <w:t>sniegšanas un finansēšanas pamatprincipus</w:t>
      </w:r>
      <w:r w:rsidR="00A53AAE" w:rsidRPr="003D48F5">
        <w:rPr>
          <w:szCs w:val="28"/>
        </w:rPr>
        <w:t>.</w:t>
      </w:r>
    </w:p>
    <w:p w:rsidR="009734F1" w:rsidRPr="003D48F5" w:rsidRDefault="00E17151" w:rsidP="00AE6C6B">
      <w:pPr>
        <w:spacing w:after="0" w:line="240" w:lineRule="auto"/>
        <w:jc w:val="both"/>
        <w:rPr>
          <w:szCs w:val="28"/>
        </w:rPr>
      </w:pPr>
      <w:r w:rsidRPr="003D48F5">
        <w:rPr>
          <w:szCs w:val="28"/>
        </w:rPr>
        <w:tab/>
      </w:r>
      <w:r w:rsidR="009734F1" w:rsidRPr="003D48F5">
        <w:rPr>
          <w:szCs w:val="28"/>
        </w:rPr>
        <w:t>Pirmās ESKO Latvijā uzsāka savu darbību 2000.</w:t>
      </w:r>
      <w:r w:rsidR="007E5BD5" w:rsidRPr="003D48F5">
        <w:rPr>
          <w:szCs w:val="28"/>
        </w:rPr>
        <w:t> </w:t>
      </w:r>
      <w:r w:rsidR="009734F1" w:rsidRPr="003D48F5">
        <w:rPr>
          <w:szCs w:val="28"/>
        </w:rPr>
        <w:t xml:space="preserve">gadā, piedāvājot profesionālu servisu ielu apgaismošanā. Tomēr līgumu </w:t>
      </w:r>
      <w:r w:rsidR="0086646C">
        <w:rPr>
          <w:szCs w:val="28"/>
        </w:rPr>
        <w:t>īstenošanas</w:t>
      </w:r>
      <w:r w:rsidR="009734F1" w:rsidRPr="003D48F5">
        <w:rPr>
          <w:szCs w:val="28"/>
        </w:rPr>
        <w:t xml:space="preserve"> laikā parādījās galvenokārt juridiskas problēmas, kuras apgrūtināja līguma </w:t>
      </w:r>
      <w:r w:rsidR="0086646C">
        <w:rPr>
          <w:szCs w:val="28"/>
        </w:rPr>
        <w:t>izpildi</w:t>
      </w:r>
      <w:r w:rsidR="009734F1" w:rsidRPr="003D48F5">
        <w:rPr>
          <w:szCs w:val="28"/>
        </w:rPr>
        <w:t xml:space="preserve">. </w:t>
      </w:r>
    </w:p>
    <w:p w:rsidR="006271AF" w:rsidRDefault="007E5BD5" w:rsidP="00E51252">
      <w:pPr>
        <w:spacing w:after="0" w:line="240" w:lineRule="auto"/>
        <w:jc w:val="both"/>
        <w:rPr>
          <w:szCs w:val="28"/>
        </w:rPr>
      </w:pPr>
      <w:r w:rsidRPr="003D48F5">
        <w:rPr>
          <w:szCs w:val="28"/>
        </w:rPr>
        <w:lastRenderedPageBreak/>
        <w:tab/>
      </w:r>
      <w:r w:rsidR="009734F1" w:rsidRPr="003D48F5">
        <w:rPr>
          <w:szCs w:val="28"/>
        </w:rPr>
        <w:t xml:space="preserve">Energopakalpojumu tirgus attīstību kavē </w:t>
      </w:r>
      <w:r w:rsidR="00837CF0">
        <w:rPr>
          <w:szCs w:val="28"/>
        </w:rPr>
        <w:t xml:space="preserve">atsevišķi </w:t>
      </w:r>
      <w:r w:rsidR="009734F1" w:rsidRPr="003D48F5">
        <w:rPr>
          <w:szCs w:val="28"/>
        </w:rPr>
        <w:t>neskaidrie juridiskie jautājumi pakalpojumu līgumu slēgšanā</w:t>
      </w:r>
      <w:r w:rsidR="00837CF0">
        <w:rPr>
          <w:szCs w:val="28"/>
        </w:rPr>
        <w:t>, piemēram, par īpašumtiesībām uz uzstādītajām iekārtām</w:t>
      </w:r>
      <w:r w:rsidR="009734F1" w:rsidRPr="003D48F5">
        <w:rPr>
          <w:szCs w:val="28"/>
        </w:rPr>
        <w:t>, energoapgādes (</w:t>
      </w:r>
      <w:r w:rsidR="00BA29EF">
        <w:rPr>
          <w:szCs w:val="28"/>
        </w:rPr>
        <w:t>centralizētās siltumapgādes</w:t>
      </w:r>
      <w:r w:rsidR="009734F1" w:rsidRPr="003D48F5">
        <w:rPr>
          <w:szCs w:val="28"/>
        </w:rPr>
        <w:t xml:space="preserve">) uzņēmumu </w:t>
      </w:r>
      <w:proofErr w:type="spellStart"/>
      <w:r w:rsidR="009734F1" w:rsidRPr="003D48F5">
        <w:rPr>
          <w:szCs w:val="28"/>
        </w:rPr>
        <w:t>neieinteresētība</w:t>
      </w:r>
      <w:proofErr w:type="spellEnd"/>
      <w:r w:rsidR="009734F1" w:rsidRPr="003D48F5">
        <w:rPr>
          <w:szCs w:val="28"/>
        </w:rPr>
        <w:t xml:space="preserve"> </w:t>
      </w:r>
      <w:proofErr w:type="spellStart"/>
      <w:r w:rsidR="009734F1" w:rsidRPr="003D48F5">
        <w:rPr>
          <w:szCs w:val="28"/>
        </w:rPr>
        <w:t>energoservisa</w:t>
      </w:r>
      <w:proofErr w:type="spellEnd"/>
      <w:r w:rsidR="009734F1" w:rsidRPr="003D48F5">
        <w:rPr>
          <w:szCs w:val="28"/>
        </w:rPr>
        <w:t xml:space="preserve"> pakalpojumu sniegšanā, zema patērētāju informētība par ESKO kompāniju iespējām un pozitīvo piemēru trūkums.</w:t>
      </w:r>
      <w:r w:rsidR="00A00637">
        <w:rPr>
          <w:szCs w:val="28"/>
        </w:rPr>
        <w:t xml:space="preserve"> Lai novērstu trūkumus un stimulētu energopakalpojumu tirgu, tiek izstrādāts likumprojekts, kurā atsevišķa</w:t>
      </w:r>
      <w:r w:rsidR="009734F1" w:rsidRPr="003D48F5">
        <w:rPr>
          <w:szCs w:val="28"/>
        </w:rPr>
        <w:t xml:space="preserve"> </w:t>
      </w:r>
      <w:r w:rsidR="00A00637">
        <w:rPr>
          <w:szCs w:val="28"/>
        </w:rPr>
        <w:t xml:space="preserve">nodaļa veltīta enerģijas galapatēriņa efektivitātes un energopakalpojumu veicināšanai, kur tiks noteikts Ekonomikas ministrijas pienākums publicēt informāciju par pieejamiem energoefektivitātes līgumiem un noteikumiem, kas būtu jāiekļauj šādos līgumos, kā arī līgumu paraugu un informāciju par </w:t>
      </w:r>
      <w:r w:rsidR="006271AF">
        <w:rPr>
          <w:szCs w:val="28"/>
        </w:rPr>
        <w:t xml:space="preserve">energopakalpojumu sniedzējiem un </w:t>
      </w:r>
      <w:proofErr w:type="spellStart"/>
      <w:r w:rsidR="006271AF">
        <w:rPr>
          <w:szCs w:val="28"/>
        </w:rPr>
        <w:t>paraugpraksi</w:t>
      </w:r>
      <w:proofErr w:type="spellEnd"/>
      <w:r w:rsidR="006271AF">
        <w:rPr>
          <w:szCs w:val="28"/>
        </w:rPr>
        <w:t>.</w:t>
      </w:r>
    </w:p>
    <w:p w:rsidR="00602F52" w:rsidRDefault="009734F1" w:rsidP="00BF3D77">
      <w:pPr>
        <w:spacing w:after="0" w:line="240" w:lineRule="auto"/>
        <w:ind w:firstLine="720"/>
        <w:jc w:val="both"/>
        <w:rPr>
          <w:rFonts w:cs="Times New Roman"/>
          <w:szCs w:val="28"/>
        </w:rPr>
      </w:pPr>
      <w:r w:rsidRPr="003D48F5">
        <w:rPr>
          <w:szCs w:val="28"/>
        </w:rPr>
        <w:t>Energopakalpojumu tirgus attīstību kavē arī neskaidrie finanšu jautājumi saistībā ar ESKO ieviešanu</w:t>
      </w:r>
      <w:r w:rsidR="00837CF0">
        <w:rPr>
          <w:szCs w:val="28"/>
        </w:rPr>
        <w:t>, piemēram, par iegūtā finanšu ietaupījuma sadalīšanu starp iesaistītajām pusēm</w:t>
      </w:r>
      <w:r w:rsidRPr="003D48F5">
        <w:rPr>
          <w:szCs w:val="28"/>
        </w:rPr>
        <w:t xml:space="preserve">, kā arī </w:t>
      </w:r>
      <w:r w:rsidR="00F2092D">
        <w:rPr>
          <w:szCs w:val="28"/>
        </w:rPr>
        <w:t>par valsts garantiju sniegšanu ESKO kredītu izsniegšanai</w:t>
      </w:r>
      <w:r w:rsidRPr="003D48F5">
        <w:rPr>
          <w:szCs w:val="28"/>
        </w:rPr>
        <w:t>.</w:t>
      </w:r>
      <w:r w:rsidR="00E51252">
        <w:rPr>
          <w:szCs w:val="28"/>
        </w:rPr>
        <w:t xml:space="preserve"> </w:t>
      </w:r>
      <w:r w:rsidR="00602F52" w:rsidRPr="009E37D3">
        <w:rPr>
          <w:rFonts w:cs="Times New Roman"/>
          <w:szCs w:val="28"/>
        </w:rPr>
        <w:t xml:space="preserve">Šobrīd Latvijā sekmīgi darbojas viena energopakalpojumu kompānija SIA </w:t>
      </w:r>
      <w:r w:rsidR="00602F52">
        <w:rPr>
          <w:rFonts w:cs="Times New Roman"/>
          <w:szCs w:val="28"/>
        </w:rPr>
        <w:t>„</w:t>
      </w:r>
      <w:proofErr w:type="spellStart"/>
      <w:r w:rsidR="00602F52" w:rsidRPr="009E37D3">
        <w:rPr>
          <w:rFonts w:cs="Times New Roman"/>
          <w:szCs w:val="28"/>
        </w:rPr>
        <w:t>Renesco</w:t>
      </w:r>
      <w:proofErr w:type="spellEnd"/>
      <w:r w:rsidR="00602F52">
        <w:rPr>
          <w:rFonts w:cs="Times New Roman"/>
          <w:szCs w:val="28"/>
        </w:rPr>
        <w:t>”</w:t>
      </w:r>
      <w:r w:rsidR="00602F52" w:rsidRPr="009E37D3">
        <w:rPr>
          <w:rFonts w:cs="Times New Roman"/>
          <w:szCs w:val="28"/>
        </w:rPr>
        <w:t xml:space="preserve">, kas </w:t>
      </w:r>
      <w:r w:rsidR="001E3335">
        <w:rPr>
          <w:rFonts w:cs="Times New Roman"/>
          <w:szCs w:val="28"/>
        </w:rPr>
        <w:t>īsteno</w:t>
      </w:r>
      <w:r w:rsidR="00602F52" w:rsidRPr="009E37D3">
        <w:rPr>
          <w:rFonts w:cs="Times New Roman"/>
          <w:szCs w:val="28"/>
        </w:rPr>
        <w:t xml:space="preserve"> daudzdzīvokļu dzīvojamo māju renovācijas projektus. Detalizēta informācija pieejama</w:t>
      </w:r>
      <w:r w:rsidR="001B2D43">
        <w:rPr>
          <w:rFonts w:cs="Times New Roman"/>
          <w:szCs w:val="28"/>
        </w:rPr>
        <w:t xml:space="preserve"> tīmekļa vietnē</w:t>
      </w:r>
      <w:r w:rsidR="00602F52" w:rsidRPr="009E37D3">
        <w:rPr>
          <w:rFonts w:cs="Times New Roman"/>
          <w:szCs w:val="28"/>
        </w:rPr>
        <w:t xml:space="preserve">: </w:t>
      </w:r>
      <w:hyperlink r:id="rId28" w:history="1">
        <w:r w:rsidR="00602F52" w:rsidRPr="00DC4B30">
          <w:rPr>
            <w:rStyle w:val="Hyperlink"/>
            <w:rFonts w:cs="Times New Roman"/>
            <w:szCs w:val="28"/>
          </w:rPr>
          <w:t>http://www.renesco.lv</w:t>
        </w:r>
      </w:hyperlink>
      <w:r w:rsidR="00602F52">
        <w:rPr>
          <w:rFonts w:cs="Times New Roman"/>
          <w:szCs w:val="28"/>
        </w:rPr>
        <w:t xml:space="preserve">. </w:t>
      </w:r>
      <w:r w:rsidR="008B361E">
        <w:rPr>
          <w:rFonts w:cs="Times New Roman"/>
          <w:szCs w:val="28"/>
        </w:rPr>
        <w:t>Tomēr ir</w:t>
      </w:r>
      <w:r w:rsidR="008B361E" w:rsidRPr="008B361E">
        <w:rPr>
          <w:rFonts w:cs="Times New Roman"/>
          <w:szCs w:val="28"/>
        </w:rPr>
        <w:t xml:space="preserve"> mēģinājumi </w:t>
      </w:r>
      <w:r w:rsidR="008B361E">
        <w:rPr>
          <w:rFonts w:cs="Times New Roman"/>
          <w:szCs w:val="28"/>
        </w:rPr>
        <w:t>arī</w:t>
      </w:r>
      <w:r w:rsidR="008B361E" w:rsidRPr="008B361E">
        <w:rPr>
          <w:rFonts w:cs="Times New Roman"/>
          <w:szCs w:val="28"/>
        </w:rPr>
        <w:t xml:space="preserve"> no </w:t>
      </w:r>
      <w:r w:rsidR="008B361E">
        <w:rPr>
          <w:rFonts w:cs="Times New Roman"/>
          <w:szCs w:val="28"/>
        </w:rPr>
        <w:t xml:space="preserve">citām </w:t>
      </w:r>
      <w:r w:rsidR="008B361E" w:rsidRPr="008B361E">
        <w:rPr>
          <w:rFonts w:cs="Times New Roman"/>
          <w:szCs w:val="28"/>
        </w:rPr>
        <w:t xml:space="preserve">privātstruktūrām, piemēram, SIA „Latvijas namsaimnieks”, SIA „LATIO Namsaimnieks” </w:t>
      </w:r>
      <w:proofErr w:type="spellStart"/>
      <w:r w:rsidR="008B361E" w:rsidRPr="008B361E">
        <w:rPr>
          <w:rFonts w:cs="Times New Roman"/>
          <w:szCs w:val="28"/>
        </w:rPr>
        <w:t>u.c</w:t>
      </w:r>
      <w:proofErr w:type="spellEnd"/>
      <w:r w:rsidR="008B361E" w:rsidRPr="008B361E">
        <w:rPr>
          <w:rFonts w:cs="Times New Roman"/>
          <w:szCs w:val="28"/>
        </w:rPr>
        <w:t>., kas jau noslēgušas ESKO līgumus par vairāku māju renovāciju. Savukārt ar māju renovāciju pēc ESKO principiem darbojas arī daži pašvaldības namu apsaimniekošanas uzņēmumi (PEKO), tostarp SIA „Rīgas namu pārvaldnieks”, kas ar ESKO līgumu</w:t>
      </w:r>
      <w:r w:rsidR="008B361E">
        <w:rPr>
          <w:rFonts w:cs="Times New Roman"/>
          <w:szCs w:val="28"/>
        </w:rPr>
        <w:t xml:space="preserve"> 2013. gadā</w:t>
      </w:r>
      <w:r w:rsidR="008B361E" w:rsidRPr="008B361E">
        <w:rPr>
          <w:rFonts w:cs="Times New Roman"/>
          <w:szCs w:val="28"/>
        </w:rPr>
        <w:t xml:space="preserve"> ir renovējis vienu māju un noslēdzis vēl 10 līgumus.</w:t>
      </w:r>
      <w:r w:rsidR="007565F1">
        <w:rPr>
          <w:rFonts w:cs="Times New Roman"/>
          <w:szCs w:val="28"/>
        </w:rPr>
        <w:t xml:space="preserve"> </w:t>
      </w:r>
    </w:p>
    <w:p w:rsidR="007565F1" w:rsidRPr="009E37D3" w:rsidRDefault="007565F1" w:rsidP="00BF3D77">
      <w:pPr>
        <w:spacing w:after="0" w:line="240" w:lineRule="auto"/>
        <w:ind w:firstLine="720"/>
        <w:jc w:val="both"/>
        <w:rPr>
          <w:rFonts w:cs="Times New Roman"/>
          <w:szCs w:val="28"/>
        </w:rPr>
      </w:pPr>
      <w:r>
        <w:rPr>
          <w:rFonts w:cs="Times New Roman"/>
          <w:szCs w:val="28"/>
        </w:rPr>
        <w:t>Turpinās konsultācijas ar ieinteresētajām pusēm, tostarp banku sektoru, par ESKO attīstības veicināšanu.</w:t>
      </w:r>
    </w:p>
    <w:p w:rsidR="00FB5564" w:rsidRDefault="00FB5564" w:rsidP="00FB5564">
      <w:pPr>
        <w:pStyle w:val="Heading3"/>
        <w:spacing w:after="120"/>
      </w:pPr>
      <w:bookmarkStart w:id="31" w:name="_Toc387237973"/>
      <w:r>
        <w:t>3.1.1</w:t>
      </w:r>
      <w:r w:rsidR="009C6871">
        <w:t>2</w:t>
      </w:r>
      <w:r>
        <w:t>. Valsts energoefektivitātes fonds</w:t>
      </w:r>
      <w:bookmarkEnd w:id="31"/>
    </w:p>
    <w:p w:rsidR="006A6E0A" w:rsidRPr="003D48F5" w:rsidRDefault="006A6E0A" w:rsidP="006A6E0A">
      <w:pPr>
        <w:spacing w:after="0" w:line="240" w:lineRule="auto"/>
        <w:ind w:firstLine="720"/>
        <w:jc w:val="both"/>
        <w:rPr>
          <w:rFonts w:cs="Times New Roman"/>
          <w:szCs w:val="28"/>
        </w:rPr>
      </w:pPr>
      <w:r w:rsidRPr="003D48F5">
        <w:rPr>
          <w:rFonts w:cs="Times New Roman"/>
          <w:szCs w:val="28"/>
        </w:rPr>
        <w:t>Valsts energoefektivitātes fonda (turpmāk – VEEF) mērķis ir atbalstīt valsts iniciatīvas energoefektivitātes jomā</w:t>
      </w:r>
      <w:r w:rsidR="00A1786C">
        <w:rPr>
          <w:rFonts w:cs="Times New Roman"/>
          <w:szCs w:val="28"/>
        </w:rPr>
        <w:t xml:space="preserve"> </w:t>
      </w:r>
      <w:r w:rsidR="00A1786C" w:rsidRPr="00A1786C">
        <w:rPr>
          <w:rFonts w:cs="Times New Roman"/>
          <w:szCs w:val="28"/>
        </w:rPr>
        <w:t>visā galapatēriņa sektorā</w:t>
      </w:r>
      <w:r w:rsidRPr="003D48F5">
        <w:rPr>
          <w:rFonts w:cs="Times New Roman"/>
          <w:szCs w:val="28"/>
        </w:rPr>
        <w:t xml:space="preserve">. </w:t>
      </w:r>
      <w:r w:rsidRPr="004E183B">
        <w:rPr>
          <w:rFonts w:cs="Times New Roman"/>
          <w:szCs w:val="28"/>
        </w:rPr>
        <w:t>VEEF finanšu pamatu veido 2014.</w:t>
      </w:r>
      <w:r w:rsidR="001D2F15">
        <w:rPr>
          <w:rFonts w:cs="Times New Roman"/>
          <w:szCs w:val="28"/>
        </w:rPr>
        <w:t xml:space="preserve"> - </w:t>
      </w:r>
      <w:r w:rsidRPr="004E183B">
        <w:rPr>
          <w:rFonts w:cs="Times New Roman"/>
          <w:szCs w:val="28"/>
        </w:rPr>
        <w:t xml:space="preserve">2020. </w:t>
      </w:r>
      <w:r w:rsidR="00DE528A">
        <w:rPr>
          <w:rFonts w:cs="Times New Roman"/>
          <w:szCs w:val="28"/>
        </w:rPr>
        <w:t xml:space="preserve">gada </w:t>
      </w:r>
      <w:r w:rsidRPr="004E183B">
        <w:rPr>
          <w:rFonts w:cs="Times New Roman"/>
          <w:szCs w:val="28"/>
        </w:rPr>
        <w:t>ES fondu</w:t>
      </w:r>
      <w:r w:rsidRPr="003D48F5">
        <w:rPr>
          <w:rFonts w:cs="Times New Roman"/>
          <w:szCs w:val="28"/>
        </w:rPr>
        <w:t xml:space="preserve"> plānošanas periodā energoefektivitātei paredzētie ES fondu līdzekļi. </w:t>
      </w:r>
      <w:r w:rsidR="00DE528A">
        <w:rPr>
          <w:rFonts w:cs="Times New Roman"/>
          <w:szCs w:val="28"/>
        </w:rPr>
        <w:t>Tiek izskatīta iespēja ES fondu programmas apsaimniekošanu uzticēt ALTUM/AFI</w:t>
      </w:r>
      <w:r w:rsidR="00DE528A" w:rsidRPr="003D48F5">
        <w:rPr>
          <w:rFonts w:cs="Times New Roman"/>
          <w:szCs w:val="28"/>
        </w:rPr>
        <w:t xml:space="preserve">. </w:t>
      </w:r>
      <w:r w:rsidR="00DE528A">
        <w:rPr>
          <w:rFonts w:cs="Times New Roman"/>
          <w:szCs w:val="28"/>
        </w:rPr>
        <w:t xml:space="preserve">Plānots, ka </w:t>
      </w:r>
      <w:r w:rsidRPr="003D48F5">
        <w:rPr>
          <w:rFonts w:cs="Times New Roman"/>
          <w:szCs w:val="28"/>
        </w:rPr>
        <w:t>VEEF</w:t>
      </w:r>
      <w:r w:rsidR="00DE528A">
        <w:rPr>
          <w:rFonts w:cs="Times New Roman"/>
          <w:szCs w:val="28"/>
        </w:rPr>
        <w:t xml:space="preserve"> varēs</w:t>
      </w:r>
      <w:r w:rsidRPr="003D48F5">
        <w:rPr>
          <w:rFonts w:cs="Times New Roman"/>
          <w:szCs w:val="28"/>
        </w:rPr>
        <w:t xml:space="preserve"> piešķir</w:t>
      </w:r>
      <w:r w:rsidR="00DE528A">
        <w:rPr>
          <w:rFonts w:cs="Times New Roman"/>
          <w:szCs w:val="28"/>
        </w:rPr>
        <w:t>t</w:t>
      </w:r>
      <w:r w:rsidRPr="003D48F5">
        <w:rPr>
          <w:rFonts w:cs="Times New Roman"/>
          <w:szCs w:val="28"/>
        </w:rPr>
        <w:t xml:space="preserve"> finansējumu gan aizdevumu, gan grantu veidā. VEEF jānodrošina tās funkcijas, kas nepieciešamas Direktīvas 2012/27/ES prasību izpildei un viena no tām ir energopakalpojumu attīstības veicināšana.</w:t>
      </w:r>
    </w:p>
    <w:p w:rsidR="00EF1D2E" w:rsidRDefault="00601718" w:rsidP="00EF1D2E">
      <w:pPr>
        <w:spacing w:after="0" w:line="240" w:lineRule="auto"/>
        <w:ind w:firstLine="720"/>
        <w:jc w:val="both"/>
        <w:rPr>
          <w:rFonts w:cs="Times New Roman"/>
          <w:szCs w:val="28"/>
        </w:rPr>
      </w:pPr>
      <w:r w:rsidRPr="003D48F5">
        <w:rPr>
          <w:rFonts w:cs="Times New Roman"/>
          <w:szCs w:val="28"/>
        </w:rPr>
        <w:t>Latvijā pašlaik esošās finanšu institūcijas neveic funkcijas, kas nepieciešamas Direktīvas 2012/27/ES prasību izpildei. Fondam būtu jāsekmē jaunveidojamu vai spēkā esošu mehānismu izmantošana energoefektivitātes uzlabošanas pasākumiem, lai pēc iespējas palielinātu dažādu finansējumu plūsmu sniegtos ieguvumus.</w:t>
      </w:r>
      <w:r w:rsidR="00584139" w:rsidRPr="003D48F5">
        <w:rPr>
          <w:rFonts w:cs="Times New Roman"/>
          <w:szCs w:val="28"/>
        </w:rPr>
        <w:t xml:space="preserve"> </w:t>
      </w:r>
      <w:r w:rsidR="00A1786C" w:rsidRPr="00A1786C">
        <w:rPr>
          <w:rFonts w:cs="Times New Roman"/>
          <w:szCs w:val="28"/>
        </w:rPr>
        <w:t>Par ES fondu ieviešanas mehānismu joprojām turpinās diskusijas.</w:t>
      </w:r>
    </w:p>
    <w:p w:rsidR="00E12D46" w:rsidRPr="00245626" w:rsidRDefault="00EF1D2E" w:rsidP="00605C58">
      <w:pPr>
        <w:spacing w:after="0" w:line="240" w:lineRule="auto"/>
        <w:ind w:firstLine="720"/>
        <w:jc w:val="both"/>
        <w:rPr>
          <w:rFonts w:cs="Times New Roman"/>
          <w:szCs w:val="28"/>
        </w:rPr>
      </w:pPr>
      <w:r w:rsidRPr="00127099">
        <w:rPr>
          <w:rFonts w:cs="Times New Roman"/>
          <w:szCs w:val="28"/>
        </w:rPr>
        <w:lastRenderedPageBreak/>
        <w:t>Atbilstoši Rīkojuma par Koncepciju 3.2. apakšpunktam</w:t>
      </w:r>
      <w:r w:rsidR="00D37EA8">
        <w:rPr>
          <w:rStyle w:val="FootnoteReference"/>
          <w:rFonts w:cs="Times New Roman"/>
          <w:szCs w:val="28"/>
        </w:rPr>
        <w:footnoteReference w:id="18"/>
      </w:r>
      <w:r w:rsidRPr="00127099">
        <w:rPr>
          <w:rFonts w:cs="Times New Roman"/>
          <w:szCs w:val="28"/>
        </w:rPr>
        <w:t xml:space="preserve"> Ekonomikas ministrijai jāizstrādā un jāiesniedz Energoefektivitātes likumprojekts, kurā paredzēta energoefektivitātes fonda izveide.</w:t>
      </w:r>
      <w:r w:rsidRPr="00EF1D2E">
        <w:rPr>
          <w:rFonts w:cs="Times New Roman"/>
          <w:szCs w:val="28"/>
        </w:rPr>
        <w:t xml:space="preserve"> </w:t>
      </w:r>
      <w:r>
        <w:rPr>
          <w:rFonts w:cs="Times New Roman"/>
          <w:szCs w:val="28"/>
        </w:rPr>
        <w:t xml:space="preserve">Var tikt apsvērta iespēja veidot rotācijas fondu arī lielajās pilsētās ar </w:t>
      </w:r>
      <w:r w:rsidR="00E12D46" w:rsidRPr="00245626">
        <w:rPr>
          <w:rFonts w:cs="Times New Roman"/>
          <w:szCs w:val="28"/>
        </w:rPr>
        <w:t>aizdevumiem uz atvieglotiem nosacījumiem.</w:t>
      </w:r>
    </w:p>
    <w:p w:rsidR="00245626" w:rsidRPr="00245626" w:rsidRDefault="00245626" w:rsidP="00605C58">
      <w:pPr>
        <w:spacing w:after="0" w:line="240" w:lineRule="auto"/>
        <w:ind w:firstLine="720"/>
        <w:jc w:val="both"/>
        <w:rPr>
          <w:rFonts w:cs="Times New Roman"/>
          <w:szCs w:val="28"/>
        </w:rPr>
      </w:pPr>
      <w:r w:rsidRPr="00245626">
        <w:rPr>
          <w:rFonts w:cs="Times New Roman"/>
          <w:szCs w:val="28"/>
        </w:rPr>
        <w:t>Ņemot vērā ES fondu 2007.</w:t>
      </w:r>
      <w:r>
        <w:rPr>
          <w:rFonts w:cs="Times New Roman"/>
          <w:szCs w:val="28"/>
        </w:rPr>
        <w:t xml:space="preserve"> </w:t>
      </w:r>
      <w:r w:rsidRPr="00245626">
        <w:rPr>
          <w:rFonts w:cs="Times New Roman"/>
          <w:szCs w:val="28"/>
        </w:rPr>
        <w:t>-</w:t>
      </w:r>
      <w:r>
        <w:rPr>
          <w:rFonts w:cs="Times New Roman"/>
          <w:szCs w:val="28"/>
        </w:rPr>
        <w:t xml:space="preserve"> </w:t>
      </w:r>
      <w:r w:rsidRPr="00245626">
        <w:rPr>
          <w:rFonts w:cs="Times New Roman"/>
          <w:szCs w:val="28"/>
        </w:rPr>
        <w:t xml:space="preserve">2013. gada plānošanas pieredzi energoefektivitātes paaugstināšanas pasākumu veicināšanā daudzdzīvokļu ēkās, </w:t>
      </w:r>
      <w:proofErr w:type="spellStart"/>
      <w:r w:rsidRPr="00245626">
        <w:rPr>
          <w:rFonts w:cs="Times New Roman"/>
          <w:szCs w:val="28"/>
        </w:rPr>
        <w:t>t.sk</w:t>
      </w:r>
      <w:proofErr w:type="spellEnd"/>
      <w:r w:rsidRPr="00245626">
        <w:rPr>
          <w:rFonts w:cs="Times New Roman"/>
          <w:szCs w:val="28"/>
        </w:rPr>
        <w:t xml:space="preserve">. problēmas ar finansējuma pieejamību komercbankās, nākamajā plānošanas periodā ir būtiski nodrošināt tādu aktivitātes finansēšanas mehānismu, lai ekonomiski pamatotiem projektiem būtu pieejams finansējums to īstenošanai. Līdz ar to ir plānots atbalstu sniegt kā aizdevumus ar zemām procentu likmēm un </w:t>
      </w:r>
      <w:r w:rsidR="00DE528A">
        <w:rPr>
          <w:rFonts w:cs="Times New Roman"/>
          <w:szCs w:val="28"/>
        </w:rPr>
        <w:t xml:space="preserve">daļēju </w:t>
      </w:r>
      <w:r w:rsidRPr="00245626">
        <w:rPr>
          <w:rFonts w:cs="Times New Roman"/>
          <w:szCs w:val="28"/>
        </w:rPr>
        <w:t>aizdevuma pamatsummas dzēšanu, ja sasniegts noteikts energoefektivitātes līmenis.</w:t>
      </w:r>
    </w:p>
    <w:p w:rsidR="00245626" w:rsidRPr="00245626" w:rsidRDefault="00245626" w:rsidP="00605C58">
      <w:pPr>
        <w:spacing w:after="0" w:line="240" w:lineRule="auto"/>
        <w:ind w:firstLine="720"/>
        <w:jc w:val="both"/>
        <w:rPr>
          <w:rFonts w:cs="Times New Roman"/>
          <w:szCs w:val="28"/>
        </w:rPr>
      </w:pPr>
      <w:r w:rsidRPr="00245626">
        <w:rPr>
          <w:rFonts w:cs="Times New Roman"/>
          <w:szCs w:val="28"/>
        </w:rPr>
        <w:t>Papildus, finanšu instruments kā finansēšanas risinājums sabiedrisko ēku un dzīvojamā fonda energoefektivitātes palielināšanai ir ierosināts arī Ekonomikas ministrijas sagatavotajā politikas plānošanas dokumentā Stratēģija 2030.</w:t>
      </w:r>
    </w:p>
    <w:p w:rsidR="00EF1D2E" w:rsidRDefault="00245626" w:rsidP="00605C58">
      <w:pPr>
        <w:spacing w:after="0" w:line="240" w:lineRule="auto"/>
        <w:ind w:firstLine="720"/>
        <w:jc w:val="both"/>
        <w:rPr>
          <w:rFonts w:cs="Times New Roman"/>
          <w:szCs w:val="28"/>
        </w:rPr>
      </w:pPr>
      <w:r w:rsidRPr="00245626">
        <w:rPr>
          <w:rFonts w:cs="Times New Roman"/>
          <w:szCs w:val="28"/>
        </w:rPr>
        <w:t>Fonda darbības institucionālais modelis un nosacījumi tiek sagatavoti Energoefektivitātes likuma ietvaros</w:t>
      </w:r>
      <w:r w:rsidR="0024171F">
        <w:rPr>
          <w:rFonts w:cs="Times New Roman"/>
          <w:szCs w:val="28"/>
        </w:rPr>
        <w:t xml:space="preserve">. </w:t>
      </w:r>
      <w:r w:rsidRPr="00245626">
        <w:rPr>
          <w:rFonts w:cs="Times New Roman"/>
          <w:szCs w:val="28"/>
        </w:rPr>
        <w:t>Fondu iespējams veidot kā rotācijas fondu ilgtspējīgu finanšu investīciju projektu īstenošanai, nodrošinot projektu finansēšanai aizdevumus uz atvieglotiem nosacījumiem un kombinējot ar citiem atbalsta instrumentiem, kas tiek piešķirti atkarībā no sasniegtā enerģijas ietaupījuma konkrētajā projektā, pēc tā pabeigšanas</w:t>
      </w:r>
      <w:r w:rsidR="00D37EA8">
        <w:rPr>
          <w:rFonts w:cs="Times New Roman"/>
          <w:szCs w:val="28"/>
        </w:rPr>
        <w:t>.</w:t>
      </w:r>
    </w:p>
    <w:p w:rsidR="00145E90" w:rsidRDefault="00145E90" w:rsidP="00145E90">
      <w:pPr>
        <w:spacing w:after="0" w:line="240" w:lineRule="auto"/>
        <w:ind w:firstLine="720"/>
        <w:jc w:val="center"/>
        <w:rPr>
          <w:rFonts w:cs="Times New Roman"/>
          <w:b/>
          <w:sz w:val="24"/>
          <w:szCs w:val="24"/>
        </w:rPr>
      </w:pPr>
    </w:p>
    <w:p w:rsidR="00145E90" w:rsidRDefault="00145E90" w:rsidP="00145E90">
      <w:pPr>
        <w:pStyle w:val="Heading3"/>
      </w:pPr>
      <w:bookmarkStart w:id="32" w:name="_Toc387237974"/>
      <w:r w:rsidRPr="001A3E41">
        <w:t>3.1.13. Energoefektivitātes pasākumu atbilstība valsts atbalsta tiesiskajam regulējumam</w:t>
      </w:r>
      <w:bookmarkEnd w:id="32"/>
    </w:p>
    <w:p w:rsidR="00145E90" w:rsidRDefault="00145E90" w:rsidP="00145E90">
      <w:pPr>
        <w:spacing w:after="0" w:line="240" w:lineRule="auto"/>
        <w:ind w:firstLine="720"/>
        <w:jc w:val="center"/>
        <w:rPr>
          <w:rFonts w:cs="Times New Roman"/>
          <w:b/>
          <w:sz w:val="24"/>
          <w:szCs w:val="24"/>
        </w:rPr>
      </w:pPr>
    </w:p>
    <w:p w:rsidR="00145E90" w:rsidRPr="001A3E41" w:rsidRDefault="00145E90" w:rsidP="00145E90">
      <w:pPr>
        <w:spacing w:after="0" w:line="240" w:lineRule="auto"/>
        <w:ind w:firstLine="720"/>
        <w:jc w:val="both"/>
        <w:rPr>
          <w:rFonts w:cs="Times New Roman"/>
          <w:szCs w:val="28"/>
        </w:rPr>
      </w:pPr>
      <w:r w:rsidRPr="001A3E41">
        <w:rPr>
          <w:rFonts w:cs="Times New Roman"/>
          <w:szCs w:val="28"/>
        </w:rPr>
        <w:t>Informatīvajā ziņojumā ir uzskaitīti šādi iespējamie energoefektivitātes pasākumi, kuri būtu vērtējami valsts atbalsta kontekstā:</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t>energoefektivitātes pasākumi daudzdzīvokļu dzīvojamajās ēkās;</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t>samazinātas īres maksas noteikšana noteiktam periodam pēc ēkas energoefektivitātes pasākumu īstenošanas;</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r>
      <w:proofErr w:type="spellStart"/>
      <w:r w:rsidRPr="001A3E41">
        <w:rPr>
          <w:szCs w:val="28"/>
        </w:rPr>
        <w:t>energoauditu</w:t>
      </w:r>
      <w:proofErr w:type="spellEnd"/>
      <w:r w:rsidRPr="001A3E41">
        <w:rPr>
          <w:szCs w:val="28"/>
        </w:rPr>
        <w:t xml:space="preserve"> veikšanas atbalsta programmas (valsts varētu segt līdz pat 60% no </w:t>
      </w:r>
      <w:proofErr w:type="spellStart"/>
      <w:r w:rsidRPr="001A3E41">
        <w:rPr>
          <w:szCs w:val="28"/>
        </w:rPr>
        <w:t>energoaudita</w:t>
      </w:r>
      <w:proofErr w:type="spellEnd"/>
      <w:r w:rsidRPr="001A3E41">
        <w:rPr>
          <w:szCs w:val="28"/>
        </w:rPr>
        <w:t xml:space="preserve"> izmaksām rūpniecībā);</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t xml:space="preserve">apmācību pasākumi par </w:t>
      </w:r>
      <w:proofErr w:type="spellStart"/>
      <w:r w:rsidRPr="001A3E41">
        <w:rPr>
          <w:szCs w:val="28"/>
        </w:rPr>
        <w:t>energoefektīvu</w:t>
      </w:r>
      <w:proofErr w:type="spellEnd"/>
      <w:r w:rsidRPr="001A3E41">
        <w:rPr>
          <w:szCs w:val="28"/>
        </w:rPr>
        <w:t xml:space="preserve"> braukšanas tehniku speciālām biznesa grupām;</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t>valsts atbalsts energoefektivitātes paaugstināšanas pasākumu ieviešanai rūpniecībā;</w:t>
      </w:r>
    </w:p>
    <w:p w:rsidR="00145E90" w:rsidRPr="001A3E41" w:rsidRDefault="00145E90" w:rsidP="00145E90">
      <w:pPr>
        <w:spacing w:after="0" w:line="240" w:lineRule="auto"/>
        <w:ind w:firstLine="720"/>
        <w:jc w:val="both"/>
        <w:rPr>
          <w:szCs w:val="28"/>
        </w:rPr>
      </w:pPr>
      <w:r w:rsidRPr="001A3E41">
        <w:rPr>
          <w:szCs w:val="28"/>
        </w:rPr>
        <w:t>-</w:t>
      </w:r>
      <w:r w:rsidRPr="001A3E41">
        <w:rPr>
          <w:szCs w:val="28"/>
        </w:rPr>
        <w:tab/>
        <w:t>valsts energoefektivitātes (rotācijas) fonda izveide.</w:t>
      </w:r>
    </w:p>
    <w:p w:rsidR="00145E90" w:rsidRPr="001A3E41" w:rsidRDefault="00145E90" w:rsidP="00145E90">
      <w:pPr>
        <w:spacing w:after="0" w:line="240" w:lineRule="auto"/>
        <w:ind w:firstLine="720"/>
        <w:jc w:val="both"/>
        <w:rPr>
          <w:szCs w:val="28"/>
        </w:rPr>
      </w:pPr>
    </w:p>
    <w:p w:rsidR="00145E90" w:rsidRDefault="00145E90" w:rsidP="00145E90">
      <w:pPr>
        <w:spacing w:after="0" w:line="240" w:lineRule="auto"/>
        <w:ind w:firstLine="720"/>
        <w:jc w:val="both"/>
        <w:rPr>
          <w:rFonts w:cs="Times New Roman"/>
          <w:szCs w:val="28"/>
        </w:rPr>
      </w:pPr>
      <w:r w:rsidRPr="001A3E41">
        <w:rPr>
          <w:szCs w:val="28"/>
        </w:rPr>
        <w:t xml:space="preserve">Izvērtējot iespējas augstāk minētos energoefektivitātes pasākumus ieviest, lai nodrošinātu valsts indikatīvā un obligātā kumulatīvā enerģijas ietaupījuma </w:t>
      </w:r>
      <w:r w:rsidRPr="001A3E41">
        <w:rPr>
          <w:szCs w:val="28"/>
        </w:rPr>
        <w:lastRenderedPageBreak/>
        <w:t xml:space="preserve">mērķu sasniegšanu, tiks </w:t>
      </w:r>
      <w:r>
        <w:rPr>
          <w:szCs w:val="28"/>
        </w:rPr>
        <w:t xml:space="preserve">ievērotas </w:t>
      </w:r>
      <w:r w:rsidRPr="001A3E41">
        <w:rPr>
          <w:szCs w:val="28"/>
        </w:rPr>
        <w:t xml:space="preserve">Komercdarbības atbalsta kontroles likumā noteiktās normas, kā arī ES pieņemtās </w:t>
      </w:r>
      <w:r w:rsidR="00A324F8">
        <w:rPr>
          <w:szCs w:val="28"/>
        </w:rPr>
        <w:t>„Vides</w:t>
      </w:r>
      <w:r w:rsidRPr="00E62CF2">
        <w:rPr>
          <w:szCs w:val="28"/>
        </w:rPr>
        <w:t xml:space="preserve"> un Enerģijas valsts atbalsta pamatnostādnes 2014.</w:t>
      </w:r>
      <w:r>
        <w:rPr>
          <w:szCs w:val="28"/>
        </w:rPr>
        <w:t xml:space="preserve"> </w:t>
      </w:r>
      <w:r w:rsidRPr="00E62CF2">
        <w:rPr>
          <w:szCs w:val="28"/>
        </w:rPr>
        <w:t>-</w:t>
      </w:r>
      <w:r>
        <w:rPr>
          <w:szCs w:val="28"/>
        </w:rPr>
        <w:t xml:space="preserve"> </w:t>
      </w:r>
      <w:r w:rsidRPr="00E62CF2">
        <w:rPr>
          <w:szCs w:val="28"/>
        </w:rPr>
        <w:t>2020.</w:t>
      </w:r>
      <w:r>
        <w:rPr>
          <w:szCs w:val="28"/>
        </w:rPr>
        <w:t> </w:t>
      </w:r>
      <w:r w:rsidRPr="00E62CF2">
        <w:rPr>
          <w:szCs w:val="28"/>
        </w:rPr>
        <w:t>gadam”</w:t>
      </w:r>
      <w:r>
        <w:rPr>
          <w:szCs w:val="28"/>
        </w:rPr>
        <w:t>.</w:t>
      </w:r>
    </w:p>
    <w:p w:rsidR="00AA70E3" w:rsidRPr="00FB5564" w:rsidRDefault="00AA70E3" w:rsidP="00FB5564">
      <w:pPr>
        <w:pStyle w:val="Heading2"/>
      </w:pPr>
      <w:bookmarkStart w:id="33" w:name="_Toc387237975"/>
      <w:r w:rsidRPr="00FB5564">
        <w:t>3.2. Ēku energoefektivitāte</w:t>
      </w:r>
      <w:bookmarkEnd w:id="33"/>
    </w:p>
    <w:p w:rsidR="00FB5564" w:rsidRPr="00FB5564" w:rsidRDefault="00AA70E3" w:rsidP="00FB5564">
      <w:pPr>
        <w:pStyle w:val="Heading3"/>
        <w:spacing w:after="120"/>
      </w:pPr>
      <w:bookmarkStart w:id="34" w:name="_Toc387237976"/>
      <w:r w:rsidRPr="00FB5564">
        <w:rPr>
          <w:rStyle w:val="Heading3Char"/>
          <w:b/>
          <w:bCs/>
        </w:rPr>
        <w:t>3.2.1. Ēku renovācijas stratēģija</w:t>
      </w:r>
      <w:bookmarkEnd w:id="34"/>
      <w:r w:rsidRPr="00FB5564">
        <w:t xml:space="preserve"> </w:t>
      </w:r>
    </w:p>
    <w:p w:rsidR="00207044" w:rsidRPr="003D48F5" w:rsidRDefault="00FB5564" w:rsidP="00FB5564">
      <w:pPr>
        <w:autoSpaceDE w:val="0"/>
        <w:autoSpaceDN w:val="0"/>
        <w:adjustRightInd w:val="0"/>
        <w:spacing w:after="0" w:line="240" w:lineRule="auto"/>
        <w:jc w:val="both"/>
        <w:rPr>
          <w:szCs w:val="28"/>
        </w:rPr>
      </w:pPr>
      <w:r>
        <w:rPr>
          <w:szCs w:val="28"/>
        </w:rPr>
        <w:tab/>
      </w:r>
      <w:r w:rsidR="00207044" w:rsidRPr="003D48F5">
        <w:rPr>
          <w:szCs w:val="28"/>
        </w:rPr>
        <w:t xml:space="preserve">Saskaņā ar </w:t>
      </w:r>
      <w:r w:rsidR="004E183B">
        <w:rPr>
          <w:szCs w:val="28"/>
        </w:rPr>
        <w:t>D</w:t>
      </w:r>
      <w:r w:rsidR="00207044" w:rsidRPr="003D48F5">
        <w:rPr>
          <w:szCs w:val="28"/>
        </w:rPr>
        <w:t>irektīvas 2012/27/ES 4.</w:t>
      </w:r>
      <w:r w:rsidR="002C5CF8" w:rsidRPr="003D48F5">
        <w:rPr>
          <w:szCs w:val="28"/>
        </w:rPr>
        <w:t> </w:t>
      </w:r>
      <w:r w:rsidR="00207044" w:rsidRPr="003D48F5">
        <w:rPr>
          <w:szCs w:val="28"/>
        </w:rPr>
        <w:t xml:space="preserve">pantu, Latvijai kā Eiropas Savienības dalībvalstij ir jāizstrādā ēku ilgtermiņa stratēģiju, lai mobilizētu ieguldījumus gan valsts, gan privāto dzīvojamo ēku un </w:t>
      </w:r>
      <w:proofErr w:type="spellStart"/>
      <w:r w:rsidR="00207044" w:rsidRPr="003D48F5">
        <w:rPr>
          <w:szCs w:val="28"/>
        </w:rPr>
        <w:t>komercplatību</w:t>
      </w:r>
      <w:proofErr w:type="spellEnd"/>
      <w:r w:rsidR="00207044" w:rsidRPr="003D48F5">
        <w:rPr>
          <w:szCs w:val="28"/>
        </w:rPr>
        <w:t xml:space="preserve"> fonda renovācijā (turpmāk</w:t>
      </w:r>
      <w:r w:rsidR="004E183B">
        <w:rPr>
          <w:szCs w:val="28"/>
        </w:rPr>
        <w:t xml:space="preserve"> </w:t>
      </w:r>
      <w:r w:rsidR="00207044" w:rsidRPr="003D48F5">
        <w:rPr>
          <w:szCs w:val="28"/>
        </w:rPr>
        <w:t>-</w:t>
      </w:r>
      <w:r w:rsidR="004E183B">
        <w:rPr>
          <w:szCs w:val="28"/>
        </w:rPr>
        <w:t xml:space="preserve"> </w:t>
      </w:r>
      <w:r w:rsidR="00207044" w:rsidRPr="003D48F5">
        <w:rPr>
          <w:szCs w:val="28"/>
        </w:rPr>
        <w:t>Stratēģija).</w:t>
      </w:r>
    </w:p>
    <w:p w:rsidR="00207044" w:rsidRPr="003D48F5" w:rsidRDefault="00207044" w:rsidP="00AE6C6B">
      <w:pPr>
        <w:shd w:val="clear" w:color="auto" w:fill="FFFFFF"/>
        <w:spacing w:after="0" w:line="240" w:lineRule="auto"/>
        <w:ind w:firstLine="851"/>
        <w:jc w:val="both"/>
        <w:rPr>
          <w:szCs w:val="28"/>
        </w:rPr>
      </w:pPr>
      <w:r w:rsidRPr="003D48F5">
        <w:rPr>
          <w:szCs w:val="28"/>
        </w:rPr>
        <w:t xml:space="preserve">Stratēģijā </w:t>
      </w:r>
      <w:r w:rsidR="00E63A3E" w:rsidRPr="003D48F5">
        <w:rPr>
          <w:szCs w:val="28"/>
        </w:rPr>
        <w:t xml:space="preserve">būs </w:t>
      </w:r>
      <w:r w:rsidRPr="003D48F5">
        <w:rPr>
          <w:szCs w:val="28"/>
        </w:rPr>
        <w:t>iekļauts:</w:t>
      </w:r>
    </w:p>
    <w:p w:rsidR="00207044" w:rsidRPr="003D48F5" w:rsidRDefault="004E183B" w:rsidP="004E183B">
      <w:pPr>
        <w:numPr>
          <w:ilvl w:val="0"/>
          <w:numId w:val="14"/>
        </w:numPr>
        <w:shd w:val="clear" w:color="auto" w:fill="FFFFFF"/>
        <w:spacing w:after="0" w:line="240" w:lineRule="auto"/>
        <w:ind w:left="709" w:hanging="207"/>
        <w:jc w:val="both"/>
        <w:rPr>
          <w:szCs w:val="28"/>
        </w:rPr>
      </w:pPr>
      <w:r>
        <w:rPr>
          <w:szCs w:val="28"/>
        </w:rPr>
        <w:t>p</w:t>
      </w:r>
      <w:r w:rsidR="00207044" w:rsidRPr="003D48F5">
        <w:rPr>
          <w:szCs w:val="28"/>
        </w:rPr>
        <w:t>ārskats par valsts ēku fondu, kura pamatā attiecīgos gadījumos ir statistiska izlase;</w:t>
      </w:r>
    </w:p>
    <w:p w:rsidR="00207044" w:rsidRPr="003D48F5" w:rsidRDefault="004E183B" w:rsidP="004E183B">
      <w:pPr>
        <w:numPr>
          <w:ilvl w:val="0"/>
          <w:numId w:val="14"/>
        </w:numPr>
        <w:shd w:val="clear" w:color="auto" w:fill="FFFFFF"/>
        <w:spacing w:after="0" w:line="240" w:lineRule="auto"/>
        <w:ind w:left="709" w:hanging="207"/>
        <w:jc w:val="both"/>
        <w:rPr>
          <w:szCs w:val="28"/>
        </w:rPr>
      </w:pPr>
      <w:r>
        <w:rPr>
          <w:szCs w:val="28"/>
        </w:rPr>
        <w:t>r</w:t>
      </w:r>
      <w:r w:rsidR="00207044" w:rsidRPr="003D48F5">
        <w:rPr>
          <w:szCs w:val="28"/>
        </w:rPr>
        <w:t>entabla renovācijas pieeju noteikšana atkarībā no ēku veida un klimatiskās joslas;</w:t>
      </w:r>
    </w:p>
    <w:p w:rsidR="00207044" w:rsidRPr="003D48F5" w:rsidRDefault="004E183B" w:rsidP="004E183B">
      <w:pPr>
        <w:numPr>
          <w:ilvl w:val="0"/>
          <w:numId w:val="14"/>
        </w:numPr>
        <w:shd w:val="clear" w:color="auto" w:fill="FFFFFF"/>
        <w:spacing w:after="0" w:line="240" w:lineRule="auto"/>
        <w:ind w:left="709" w:hanging="207"/>
        <w:jc w:val="both"/>
        <w:rPr>
          <w:szCs w:val="28"/>
        </w:rPr>
      </w:pPr>
      <w:r>
        <w:rPr>
          <w:szCs w:val="28"/>
        </w:rPr>
        <w:t>p</w:t>
      </w:r>
      <w:r w:rsidR="00207044" w:rsidRPr="003D48F5">
        <w:rPr>
          <w:szCs w:val="28"/>
        </w:rPr>
        <w:t>olitikas jomas un pasākumi, lai veicinātu ēku rentablu pilnīgu renovāciju, tostarp pakāpenisku pilnīgu renovāciju;</w:t>
      </w:r>
    </w:p>
    <w:p w:rsidR="00207044" w:rsidRPr="003D48F5" w:rsidRDefault="004E183B" w:rsidP="004E183B">
      <w:pPr>
        <w:numPr>
          <w:ilvl w:val="0"/>
          <w:numId w:val="14"/>
        </w:numPr>
        <w:shd w:val="clear" w:color="auto" w:fill="FFFFFF"/>
        <w:spacing w:after="0" w:line="240" w:lineRule="auto"/>
        <w:ind w:left="709" w:hanging="207"/>
        <w:jc w:val="both"/>
        <w:rPr>
          <w:szCs w:val="28"/>
        </w:rPr>
      </w:pPr>
      <w:r>
        <w:rPr>
          <w:szCs w:val="28"/>
        </w:rPr>
        <w:t>i</w:t>
      </w:r>
      <w:r w:rsidR="00207044" w:rsidRPr="003D48F5">
        <w:rPr>
          <w:szCs w:val="28"/>
        </w:rPr>
        <w:t>lgtermiņa perspektīvas, kas privātpersonām, būvniecības nozarei un finanšu iestādēm palīdzētu pieņemt lēmumus par ieguldījumiem;</w:t>
      </w:r>
    </w:p>
    <w:p w:rsidR="00207044" w:rsidRPr="003D48F5" w:rsidRDefault="004E183B" w:rsidP="004E183B">
      <w:pPr>
        <w:numPr>
          <w:ilvl w:val="0"/>
          <w:numId w:val="14"/>
        </w:numPr>
        <w:shd w:val="clear" w:color="auto" w:fill="FFFFFF"/>
        <w:spacing w:after="0" w:line="240" w:lineRule="auto"/>
        <w:ind w:left="709" w:hanging="207"/>
        <w:jc w:val="both"/>
        <w:rPr>
          <w:szCs w:val="28"/>
        </w:rPr>
      </w:pPr>
      <w:r>
        <w:rPr>
          <w:szCs w:val="28"/>
        </w:rPr>
        <w:t>a</w:t>
      </w:r>
      <w:r w:rsidR="00207044" w:rsidRPr="003D48F5">
        <w:rPr>
          <w:szCs w:val="28"/>
        </w:rPr>
        <w:t xml:space="preserve">r pierādījumiem pamatotas aplēses par paredzēto enerģijas ietaupījumu un plašākiem ieguvumiem. </w:t>
      </w:r>
    </w:p>
    <w:p w:rsidR="00207044" w:rsidRPr="003D48F5" w:rsidRDefault="000F4254" w:rsidP="000F4254">
      <w:pPr>
        <w:shd w:val="clear" w:color="auto" w:fill="FFFFFF"/>
        <w:spacing w:after="0" w:line="240" w:lineRule="auto"/>
        <w:ind w:firstLine="851"/>
        <w:jc w:val="both"/>
        <w:rPr>
          <w:szCs w:val="28"/>
        </w:rPr>
      </w:pPr>
      <w:r w:rsidRPr="009E37D3">
        <w:rPr>
          <w:rFonts w:cs="Times New Roman"/>
          <w:szCs w:val="28"/>
        </w:rPr>
        <w:t>Stratēģijas pirmo versiju Latvijai skatīt pielikumā Nr.</w:t>
      </w:r>
      <w:r>
        <w:rPr>
          <w:rFonts w:cs="Times New Roman"/>
          <w:szCs w:val="28"/>
        </w:rPr>
        <w:t>2.</w:t>
      </w:r>
      <w:r w:rsidR="00207044" w:rsidRPr="003D48F5">
        <w:rPr>
          <w:szCs w:val="28"/>
        </w:rPr>
        <w:t xml:space="preserve"> </w:t>
      </w:r>
    </w:p>
    <w:p w:rsidR="00AA70E3" w:rsidRDefault="000F4254" w:rsidP="00FB5564">
      <w:pPr>
        <w:pStyle w:val="Heading3"/>
        <w:spacing w:after="120"/>
      </w:pPr>
      <w:bookmarkStart w:id="35" w:name="_Toc387237977"/>
      <w:r>
        <w:t xml:space="preserve">3.2.2. Citi pasākumi </w:t>
      </w:r>
      <w:r w:rsidR="00AA70E3" w:rsidRPr="00FB5564">
        <w:t>energoefektivitāte</w:t>
      </w:r>
      <w:r>
        <w:t>s veicināšanai ēku renovācijā</w:t>
      </w:r>
      <w:bookmarkEnd w:id="35"/>
    </w:p>
    <w:p w:rsidR="00EF1D2E" w:rsidRPr="00766AC6" w:rsidRDefault="00EF1D2E" w:rsidP="00EF1D2E">
      <w:pPr>
        <w:pStyle w:val="tv2131"/>
        <w:shd w:val="clear" w:color="auto" w:fill="FFFFFF"/>
        <w:spacing w:line="240" w:lineRule="auto"/>
        <w:ind w:firstLine="851"/>
        <w:jc w:val="both"/>
        <w:rPr>
          <w:rFonts w:eastAsiaTheme="minorHAnsi" w:cstheme="minorBidi"/>
          <w:color w:val="auto"/>
          <w:sz w:val="28"/>
          <w:szCs w:val="28"/>
          <w:lang w:eastAsia="en-US"/>
        </w:rPr>
      </w:pPr>
      <w:r w:rsidRPr="00766AC6">
        <w:rPr>
          <w:rFonts w:eastAsiaTheme="minorHAnsi" w:cstheme="minorBidi"/>
          <w:color w:val="auto"/>
          <w:sz w:val="28"/>
          <w:szCs w:val="28"/>
          <w:lang w:eastAsia="en-US"/>
        </w:rPr>
        <w:t>Vērtējot 2007.</w:t>
      </w:r>
      <w:r w:rsidR="001D2F15">
        <w:rPr>
          <w:rFonts w:eastAsiaTheme="minorHAnsi" w:cstheme="minorBidi"/>
          <w:color w:val="auto"/>
          <w:sz w:val="28"/>
          <w:szCs w:val="28"/>
          <w:lang w:eastAsia="en-US"/>
        </w:rPr>
        <w:t xml:space="preserve"> </w:t>
      </w:r>
      <w:r w:rsidRPr="00766AC6">
        <w:rPr>
          <w:rFonts w:eastAsiaTheme="minorHAnsi" w:cstheme="minorBidi"/>
          <w:color w:val="auto"/>
          <w:sz w:val="28"/>
          <w:szCs w:val="28"/>
          <w:lang w:eastAsia="en-US"/>
        </w:rPr>
        <w:t>-</w:t>
      </w:r>
      <w:r w:rsidR="001D2F15">
        <w:rPr>
          <w:rFonts w:eastAsiaTheme="minorHAnsi" w:cstheme="minorBidi"/>
          <w:color w:val="auto"/>
          <w:sz w:val="28"/>
          <w:szCs w:val="28"/>
          <w:lang w:eastAsia="en-US"/>
        </w:rPr>
        <w:t xml:space="preserve"> </w:t>
      </w:r>
      <w:r w:rsidRPr="00766AC6">
        <w:rPr>
          <w:rFonts w:eastAsiaTheme="minorHAnsi" w:cstheme="minorBidi"/>
          <w:color w:val="auto"/>
          <w:sz w:val="28"/>
          <w:szCs w:val="28"/>
          <w:lang w:eastAsia="en-US"/>
        </w:rPr>
        <w:t>2013. gada ES fondu projektu īstenošanas pieredzi ēku renovācijā</w:t>
      </w:r>
      <w:r w:rsidR="00AE48AD">
        <w:rPr>
          <w:rFonts w:eastAsiaTheme="minorHAnsi" w:cstheme="minorBidi"/>
          <w:color w:val="auto"/>
          <w:sz w:val="28"/>
          <w:szCs w:val="28"/>
          <w:lang w:eastAsia="en-US"/>
        </w:rPr>
        <w:t xml:space="preserve"> </w:t>
      </w:r>
      <w:r w:rsidRPr="00766AC6">
        <w:rPr>
          <w:rFonts w:eastAsiaTheme="minorHAnsi" w:cstheme="minorBidi"/>
          <w:color w:val="auto"/>
          <w:sz w:val="28"/>
          <w:szCs w:val="28"/>
          <w:lang w:eastAsia="en-US"/>
        </w:rPr>
        <w:t>secināms, ka</w:t>
      </w:r>
      <w:r w:rsidRPr="00766AC6">
        <w:rPr>
          <w:rFonts w:eastAsiaTheme="minorHAnsi"/>
          <w:color w:val="auto"/>
          <w:sz w:val="28"/>
          <w:szCs w:val="28"/>
          <w:lang w:eastAsia="en-US"/>
        </w:rPr>
        <w:t>, lai sekmīgi turpinātos ēku energoefektivitātes pasākumu realizācija</w:t>
      </w:r>
      <w:r w:rsidRPr="00766AC6">
        <w:rPr>
          <w:rFonts w:eastAsiaTheme="minorHAnsi" w:cstheme="minorBidi"/>
          <w:color w:val="auto"/>
          <w:sz w:val="28"/>
          <w:szCs w:val="28"/>
          <w:lang w:eastAsia="en-US"/>
        </w:rPr>
        <w:t xml:space="preserve"> ir</w:t>
      </w:r>
      <w:r w:rsidRPr="00766AC6">
        <w:rPr>
          <w:sz w:val="28"/>
          <w:szCs w:val="28"/>
        </w:rPr>
        <w:t xml:space="preserve"> jānodrošina</w:t>
      </w:r>
      <w:r w:rsidRPr="00766AC6">
        <w:rPr>
          <w:rFonts w:eastAsiaTheme="minorHAnsi" w:cstheme="minorBidi"/>
          <w:color w:val="auto"/>
          <w:sz w:val="28"/>
          <w:szCs w:val="28"/>
          <w:lang w:eastAsia="en-US"/>
        </w:rPr>
        <w:t>:</w:t>
      </w:r>
      <w:r w:rsidRPr="00766AC6">
        <w:rPr>
          <w:sz w:val="28"/>
          <w:szCs w:val="28"/>
        </w:rPr>
        <w:t xml:space="preserve"> </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r w:rsidRPr="00766AC6">
        <w:rPr>
          <w:rFonts w:ascii="Times New Roman" w:hAnsi="Times New Roman"/>
          <w:sz w:val="28"/>
          <w:szCs w:val="28"/>
        </w:rPr>
        <w:t xml:space="preserve">finansējuma pieejamība ekonomiski pamatotiem projektiem visā Latvijas teritorijā, </w:t>
      </w:r>
      <w:proofErr w:type="spellStart"/>
      <w:r w:rsidRPr="00766AC6">
        <w:rPr>
          <w:rFonts w:ascii="Times New Roman" w:hAnsi="Times New Roman"/>
          <w:sz w:val="28"/>
          <w:szCs w:val="28"/>
        </w:rPr>
        <w:t>t.sk</w:t>
      </w:r>
      <w:proofErr w:type="spellEnd"/>
      <w:r w:rsidRPr="00766AC6">
        <w:rPr>
          <w:rFonts w:ascii="Times New Roman" w:hAnsi="Times New Roman"/>
          <w:sz w:val="28"/>
          <w:szCs w:val="28"/>
        </w:rPr>
        <w:t>. reģionos;</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r w:rsidRPr="00766AC6">
        <w:rPr>
          <w:rFonts w:ascii="Times New Roman" w:hAnsi="Times New Roman"/>
          <w:sz w:val="28"/>
          <w:szCs w:val="28"/>
        </w:rPr>
        <w:t>kvalitatīva projektu vadība un uzraudzība;</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r w:rsidRPr="00766AC6">
        <w:rPr>
          <w:rFonts w:ascii="Times New Roman" w:hAnsi="Times New Roman"/>
          <w:sz w:val="28"/>
          <w:szCs w:val="28"/>
        </w:rPr>
        <w:t>aktivitāšu uzraudzības fokusēšana uz rezultātu, tai skaitā enerģijas ietaupījumu, sasniegšanu;</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r w:rsidRPr="00766AC6">
        <w:rPr>
          <w:rFonts w:ascii="Times New Roman" w:hAnsi="Times New Roman"/>
          <w:sz w:val="28"/>
          <w:szCs w:val="28"/>
        </w:rPr>
        <w:t>augstas energoefektivitātes un kvalitatīvas būvniecības sasniegšana;</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proofErr w:type="spellStart"/>
      <w:r w:rsidRPr="00766AC6">
        <w:rPr>
          <w:rFonts w:ascii="Times New Roman" w:hAnsi="Times New Roman"/>
          <w:sz w:val="28"/>
          <w:szCs w:val="28"/>
        </w:rPr>
        <w:t>būvkomersanta</w:t>
      </w:r>
      <w:proofErr w:type="spellEnd"/>
      <w:r w:rsidRPr="00766AC6">
        <w:rPr>
          <w:rFonts w:ascii="Times New Roman" w:hAnsi="Times New Roman"/>
          <w:sz w:val="28"/>
          <w:szCs w:val="28"/>
        </w:rPr>
        <w:t xml:space="preserve"> atlases procedūras uzlabošana;</w:t>
      </w:r>
    </w:p>
    <w:p w:rsidR="00EF1D2E" w:rsidRPr="00766AC6" w:rsidRDefault="00EF1D2E" w:rsidP="00EF1D2E">
      <w:pPr>
        <w:pStyle w:val="ListParagraph"/>
        <w:numPr>
          <w:ilvl w:val="0"/>
          <w:numId w:val="15"/>
        </w:numPr>
        <w:shd w:val="clear" w:color="auto" w:fill="FFFFFF"/>
        <w:suppressAutoHyphens/>
        <w:autoSpaceDN w:val="0"/>
        <w:spacing w:after="0" w:line="240" w:lineRule="auto"/>
        <w:contextualSpacing w:val="0"/>
        <w:jc w:val="both"/>
        <w:textAlignment w:val="baseline"/>
        <w:rPr>
          <w:rFonts w:ascii="Times New Roman" w:hAnsi="Times New Roman"/>
          <w:sz w:val="28"/>
          <w:szCs w:val="28"/>
        </w:rPr>
      </w:pPr>
      <w:r w:rsidRPr="00766AC6">
        <w:rPr>
          <w:rFonts w:ascii="Times New Roman" w:hAnsi="Times New Roman"/>
          <w:sz w:val="28"/>
          <w:szCs w:val="28"/>
        </w:rPr>
        <w:t>resursu izmaksu samazināšana.</w:t>
      </w:r>
    </w:p>
    <w:p w:rsidR="00DE528A" w:rsidRDefault="00DE528A" w:rsidP="00284624">
      <w:pPr>
        <w:pStyle w:val="tv2131"/>
        <w:shd w:val="clear" w:color="auto" w:fill="FFFFFF"/>
        <w:spacing w:line="240" w:lineRule="auto"/>
        <w:ind w:firstLine="851"/>
        <w:jc w:val="both"/>
        <w:rPr>
          <w:rFonts w:eastAsiaTheme="minorHAnsi" w:cstheme="minorBidi"/>
          <w:color w:val="auto"/>
          <w:sz w:val="28"/>
          <w:szCs w:val="28"/>
          <w:lang w:eastAsia="en-US"/>
        </w:rPr>
      </w:pPr>
      <w:r w:rsidRPr="00DE528A">
        <w:rPr>
          <w:rFonts w:eastAsiaTheme="minorHAnsi" w:cstheme="minorBidi"/>
          <w:color w:val="auto"/>
          <w:sz w:val="28"/>
          <w:szCs w:val="28"/>
          <w:lang w:eastAsia="en-US"/>
        </w:rPr>
        <w:t xml:space="preserve">Nākamajā 2014. – 2020. gada plānošanas periodā valsts un mājokļu energoefektivitātes paaugstināšanai </w:t>
      </w:r>
      <w:r w:rsidR="00481652">
        <w:rPr>
          <w:rFonts w:eastAsiaTheme="minorHAnsi" w:cstheme="minorBidi"/>
          <w:color w:val="auto"/>
          <w:sz w:val="28"/>
          <w:szCs w:val="28"/>
          <w:lang w:eastAsia="en-US"/>
        </w:rPr>
        <w:t>indikatīvi plānotais</w:t>
      </w:r>
      <w:r w:rsidRPr="00DE528A">
        <w:rPr>
          <w:rFonts w:eastAsiaTheme="minorHAnsi" w:cstheme="minorBidi"/>
          <w:color w:val="auto"/>
          <w:sz w:val="28"/>
          <w:szCs w:val="28"/>
          <w:lang w:eastAsia="en-US"/>
        </w:rPr>
        <w:t xml:space="preserve"> Kohēzijas politikas </w:t>
      </w:r>
      <w:r w:rsidR="00481652">
        <w:rPr>
          <w:rFonts w:eastAsiaTheme="minorHAnsi" w:cstheme="minorBidi"/>
          <w:color w:val="auto"/>
          <w:sz w:val="28"/>
          <w:szCs w:val="28"/>
          <w:lang w:eastAsia="en-US"/>
        </w:rPr>
        <w:t xml:space="preserve">finansējums ir 247,86 </w:t>
      </w:r>
      <w:proofErr w:type="spellStart"/>
      <w:r w:rsidR="00481652">
        <w:rPr>
          <w:rFonts w:eastAsiaTheme="minorHAnsi" w:cstheme="minorBidi"/>
          <w:color w:val="auto"/>
          <w:sz w:val="28"/>
          <w:szCs w:val="28"/>
          <w:lang w:eastAsia="en-US"/>
        </w:rPr>
        <w:t>milj</w:t>
      </w:r>
      <w:proofErr w:type="spellEnd"/>
      <w:r w:rsidR="00481652">
        <w:rPr>
          <w:rFonts w:eastAsiaTheme="minorHAnsi" w:cstheme="minorBidi"/>
          <w:color w:val="auto"/>
          <w:sz w:val="28"/>
          <w:szCs w:val="28"/>
          <w:lang w:eastAsia="en-US"/>
        </w:rPr>
        <w:t>. EUR</w:t>
      </w:r>
      <w:r w:rsidRPr="00DE528A">
        <w:rPr>
          <w:rFonts w:eastAsiaTheme="minorHAnsi" w:cstheme="minorBidi"/>
          <w:color w:val="auto"/>
          <w:sz w:val="28"/>
          <w:szCs w:val="28"/>
          <w:lang w:eastAsia="en-US"/>
        </w:rPr>
        <w:t>. Finansējums projektiem tiks nodrošināts atbilstoši aktivitātes ieviešanas noteikumiem, kuri pašlaik ir izstrādes stadijā. 2007-2013.</w:t>
      </w:r>
      <w:r>
        <w:rPr>
          <w:rFonts w:eastAsiaTheme="minorHAnsi" w:cstheme="minorBidi"/>
          <w:color w:val="auto"/>
          <w:sz w:val="28"/>
          <w:szCs w:val="28"/>
          <w:lang w:eastAsia="en-US"/>
        </w:rPr>
        <w:t> </w:t>
      </w:r>
      <w:r w:rsidRPr="00DE528A">
        <w:rPr>
          <w:rFonts w:eastAsiaTheme="minorHAnsi" w:cstheme="minorBidi"/>
          <w:color w:val="auto"/>
          <w:sz w:val="28"/>
          <w:szCs w:val="28"/>
          <w:lang w:eastAsia="en-US"/>
        </w:rPr>
        <w:t>gada plānošanas periodā iedzīvotājiem bija pieejami granti 50% līdz 60% apmērā.2014</w:t>
      </w:r>
      <w:r>
        <w:rPr>
          <w:rFonts w:eastAsiaTheme="minorHAnsi" w:cstheme="minorBidi"/>
          <w:color w:val="auto"/>
          <w:sz w:val="28"/>
          <w:szCs w:val="28"/>
          <w:lang w:eastAsia="en-US"/>
        </w:rPr>
        <w:t xml:space="preserve"> </w:t>
      </w:r>
      <w:r w:rsidRPr="00DE528A">
        <w:rPr>
          <w:rFonts w:eastAsiaTheme="minorHAnsi" w:cstheme="minorBidi"/>
          <w:color w:val="auto"/>
          <w:sz w:val="28"/>
          <w:szCs w:val="28"/>
          <w:lang w:eastAsia="en-US"/>
        </w:rPr>
        <w:t>-</w:t>
      </w:r>
      <w:r>
        <w:rPr>
          <w:rFonts w:eastAsiaTheme="minorHAnsi" w:cstheme="minorBidi"/>
          <w:color w:val="auto"/>
          <w:sz w:val="28"/>
          <w:szCs w:val="28"/>
          <w:lang w:eastAsia="en-US"/>
        </w:rPr>
        <w:t xml:space="preserve"> </w:t>
      </w:r>
      <w:r w:rsidRPr="00DE528A">
        <w:rPr>
          <w:rFonts w:eastAsiaTheme="minorHAnsi" w:cstheme="minorBidi"/>
          <w:color w:val="auto"/>
          <w:sz w:val="28"/>
          <w:szCs w:val="28"/>
          <w:lang w:eastAsia="en-US"/>
        </w:rPr>
        <w:t>2020.</w:t>
      </w:r>
      <w:r>
        <w:rPr>
          <w:rFonts w:eastAsiaTheme="minorHAnsi" w:cstheme="minorBidi"/>
          <w:color w:val="auto"/>
          <w:sz w:val="28"/>
          <w:szCs w:val="28"/>
          <w:lang w:eastAsia="en-US"/>
        </w:rPr>
        <w:t> </w:t>
      </w:r>
      <w:r w:rsidRPr="00DE528A">
        <w:rPr>
          <w:rFonts w:eastAsiaTheme="minorHAnsi" w:cstheme="minorBidi"/>
          <w:color w:val="auto"/>
          <w:sz w:val="28"/>
          <w:szCs w:val="28"/>
          <w:lang w:eastAsia="en-US"/>
        </w:rPr>
        <w:t xml:space="preserve">gada plānošanas periodā daudzdzīvokļu dzīvojamo ēku iedzīvotājiem plānots aizdevums ar samazinātām procentu likmēm </w:t>
      </w:r>
      <w:r w:rsidRPr="00DE528A">
        <w:rPr>
          <w:rFonts w:eastAsiaTheme="minorHAnsi" w:cstheme="minorBidi"/>
          <w:color w:val="auto"/>
          <w:sz w:val="28"/>
          <w:szCs w:val="28"/>
          <w:lang w:eastAsia="en-US"/>
        </w:rPr>
        <w:lastRenderedPageBreak/>
        <w:t>renovācijas darbiem un daļēja pamatsummas dzēšana līdz 35%, ja sasniegts konkrēts energoefektivitātes līmenis. Līdz ar to iedzīvotājiem garantēti būs pieejams finansējums projektu īstenošanai, pretēji šī brīža situācijai, kad daudzas mājas nevar saņemt aizdevumus renovācijas projektu realizēšanai komercbankās.</w:t>
      </w:r>
    </w:p>
    <w:p w:rsidR="00284624" w:rsidRDefault="00FE6757" w:rsidP="00284624">
      <w:pPr>
        <w:pStyle w:val="tv2131"/>
        <w:shd w:val="clear" w:color="auto" w:fill="FFFFFF"/>
        <w:spacing w:line="240" w:lineRule="auto"/>
        <w:ind w:firstLine="851"/>
        <w:jc w:val="both"/>
        <w:rPr>
          <w:rFonts w:eastAsiaTheme="minorHAnsi" w:cstheme="minorBidi"/>
          <w:color w:val="auto"/>
          <w:sz w:val="28"/>
          <w:szCs w:val="28"/>
          <w:lang w:eastAsia="en-US"/>
        </w:rPr>
      </w:pPr>
      <w:r w:rsidRPr="003D48F5">
        <w:rPr>
          <w:rFonts w:eastAsiaTheme="minorHAnsi" w:cstheme="minorBidi"/>
          <w:color w:val="auto"/>
          <w:sz w:val="28"/>
          <w:szCs w:val="28"/>
          <w:lang w:eastAsia="en-US"/>
        </w:rPr>
        <w:t>Lai nodrošināto minēto mērķu sasniegšanu ES fondu 2014. – 2020.</w:t>
      </w:r>
      <w:r w:rsidR="00DE528A">
        <w:rPr>
          <w:rFonts w:eastAsiaTheme="minorHAnsi" w:cstheme="minorBidi"/>
          <w:color w:val="auto"/>
          <w:sz w:val="28"/>
          <w:szCs w:val="28"/>
          <w:lang w:eastAsia="en-US"/>
        </w:rPr>
        <w:t> </w:t>
      </w:r>
      <w:r w:rsidRPr="003D48F5">
        <w:rPr>
          <w:rFonts w:eastAsiaTheme="minorHAnsi" w:cstheme="minorBidi"/>
          <w:color w:val="auto"/>
          <w:sz w:val="28"/>
          <w:szCs w:val="28"/>
          <w:lang w:eastAsia="en-US"/>
        </w:rPr>
        <w:t>gada plānošanas periodā</w:t>
      </w:r>
      <w:r w:rsidR="00FF2F30">
        <w:rPr>
          <w:rFonts w:eastAsiaTheme="minorHAnsi" w:cstheme="minorBidi"/>
          <w:color w:val="auto"/>
          <w:sz w:val="28"/>
          <w:szCs w:val="28"/>
          <w:lang w:eastAsia="en-US"/>
        </w:rPr>
        <w:t>,</w:t>
      </w:r>
      <w:r w:rsidRPr="003D48F5">
        <w:rPr>
          <w:rFonts w:eastAsiaTheme="minorHAnsi" w:cstheme="minorBidi"/>
          <w:color w:val="auto"/>
          <w:sz w:val="28"/>
          <w:szCs w:val="28"/>
          <w:lang w:eastAsia="en-US"/>
        </w:rPr>
        <w:t xml:space="preserve"> ir jāīsteno sekojošas aktivitātes:</w:t>
      </w:r>
    </w:p>
    <w:p w:rsidR="00FE6757" w:rsidRPr="003D48F5" w:rsidRDefault="0022524E" w:rsidP="0022524E">
      <w:pPr>
        <w:pStyle w:val="tv2131"/>
        <w:shd w:val="clear" w:color="auto" w:fill="FFFFFF"/>
        <w:spacing w:line="240" w:lineRule="auto"/>
        <w:ind w:firstLine="426"/>
        <w:jc w:val="both"/>
        <w:rPr>
          <w:rFonts w:eastAsiaTheme="minorHAnsi" w:cstheme="minorBidi"/>
          <w:color w:val="auto"/>
          <w:sz w:val="28"/>
          <w:szCs w:val="28"/>
          <w:lang w:eastAsia="en-US"/>
        </w:rPr>
      </w:pPr>
      <w:r>
        <w:rPr>
          <w:rFonts w:eastAsiaTheme="minorHAnsi" w:cstheme="minorBidi"/>
          <w:color w:val="auto"/>
          <w:sz w:val="28"/>
          <w:szCs w:val="28"/>
          <w:lang w:eastAsia="en-US"/>
        </w:rPr>
        <w:t xml:space="preserve">1) </w:t>
      </w:r>
      <w:r w:rsidR="00FE6757" w:rsidRPr="003D48F5">
        <w:rPr>
          <w:rFonts w:eastAsiaTheme="minorHAnsi" w:cstheme="minorBidi"/>
          <w:color w:val="auto"/>
          <w:sz w:val="28"/>
          <w:szCs w:val="28"/>
          <w:lang w:eastAsia="en-US"/>
        </w:rPr>
        <w:t xml:space="preserve">Jāveicina </w:t>
      </w:r>
      <w:proofErr w:type="spellStart"/>
      <w:r w:rsidR="00FF2F30">
        <w:rPr>
          <w:rFonts w:eastAsiaTheme="minorHAnsi" w:cstheme="minorBidi"/>
          <w:color w:val="auto"/>
          <w:sz w:val="28"/>
          <w:szCs w:val="28"/>
          <w:lang w:eastAsia="en-US"/>
        </w:rPr>
        <w:t>e</w:t>
      </w:r>
      <w:r w:rsidR="00FE6757" w:rsidRPr="003D48F5">
        <w:rPr>
          <w:rFonts w:eastAsiaTheme="minorHAnsi" w:cstheme="minorBidi"/>
          <w:color w:val="auto"/>
          <w:sz w:val="28"/>
          <w:szCs w:val="28"/>
          <w:lang w:eastAsia="en-US"/>
        </w:rPr>
        <w:t>nergokonsultantu</w:t>
      </w:r>
      <w:proofErr w:type="spellEnd"/>
      <w:r w:rsidR="00FF2F30">
        <w:rPr>
          <w:rFonts w:eastAsiaTheme="minorHAnsi" w:cstheme="minorBidi"/>
          <w:color w:val="auto"/>
          <w:sz w:val="28"/>
          <w:szCs w:val="28"/>
          <w:lang w:eastAsia="en-US"/>
        </w:rPr>
        <w:t xml:space="preserve"> pakalpojuma veidošanās.</w:t>
      </w:r>
      <w:r w:rsidR="00FE6757" w:rsidRPr="003D48F5">
        <w:rPr>
          <w:rFonts w:eastAsiaTheme="minorHAnsi" w:cstheme="minorBidi"/>
          <w:color w:val="auto"/>
          <w:sz w:val="28"/>
          <w:szCs w:val="28"/>
          <w:lang w:eastAsia="en-US"/>
        </w:rPr>
        <w:t xml:space="preserve"> (</w:t>
      </w:r>
      <w:r w:rsidR="00FF2F30">
        <w:rPr>
          <w:rFonts w:eastAsiaTheme="minorHAnsi" w:cstheme="minorBidi"/>
          <w:color w:val="auto"/>
          <w:sz w:val="28"/>
          <w:szCs w:val="28"/>
          <w:lang w:eastAsia="en-US"/>
        </w:rPr>
        <w:t xml:space="preserve">Ar </w:t>
      </w:r>
      <w:proofErr w:type="spellStart"/>
      <w:r w:rsidR="00FF2F30">
        <w:rPr>
          <w:rFonts w:eastAsiaTheme="minorHAnsi" w:cstheme="minorBidi"/>
          <w:color w:val="auto"/>
          <w:sz w:val="28"/>
          <w:szCs w:val="28"/>
          <w:lang w:eastAsia="en-US"/>
        </w:rPr>
        <w:t>energokonsultantu</w:t>
      </w:r>
      <w:proofErr w:type="spellEnd"/>
      <w:r w:rsidR="00FF2F30">
        <w:rPr>
          <w:rFonts w:eastAsiaTheme="minorHAnsi" w:cstheme="minorBidi"/>
          <w:color w:val="auto"/>
          <w:sz w:val="28"/>
          <w:szCs w:val="28"/>
          <w:lang w:eastAsia="en-US"/>
        </w:rPr>
        <w:t xml:space="preserve"> tiek </w:t>
      </w:r>
      <w:r w:rsidR="00FF2F30" w:rsidRPr="00766AC6">
        <w:rPr>
          <w:rFonts w:eastAsiaTheme="minorHAnsi" w:cstheme="minorBidi"/>
          <w:color w:val="auto"/>
          <w:sz w:val="28"/>
          <w:szCs w:val="28"/>
          <w:lang w:eastAsia="en-US"/>
        </w:rPr>
        <w:t xml:space="preserve">domāta </w:t>
      </w:r>
      <w:r w:rsidR="00FE6757" w:rsidRPr="00766AC6">
        <w:rPr>
          <w:rFonts w:eastAsiaTheme="minorHAnsi" w:cstheme="minorBidi"/>
          <w:color w:val="auto"/>
          <w:sz w:val="28"/>
          <w:szCs w:val="28"/>
          <w:lang w:eastAsia="en-US"/>
        </w:rPr>
        <w:t>juridiska</w:t>
      </w:r>
      <w:r w:rsidR="00FE6757" w:rsidRPr="003D48F5">
        <w:rPr>
          <w:rFonts w:eastAsiaTheme="minorHAnsi" w:cstheme="minorBidi"/>
          <w:color w:val="auto"/>
          <w:sz w:val="28"/>
          <w:szCs w:val="28"/>
          <w:lang w:eastAsia="en-US"/>
        </w:rPr>
        <w:t xml:space="preserve"> persona, kura nodrošina daudzdzīvokļu māju energoefektivitātes projekta vadību, nodrošinot šādus ekspertus: </w:t>
      </w:r>
      <w:proofErr w:type="spellStart"/>
      <w:r w:rsidR="00FE6757" w:rsidRPr="003D48F5">
        <w:rPr>
          <w:rFonts w:eastAsiaTheme="minorHAnsi" w:cstheme="minorBidi"/>
          <w:color w:val="auto"/>
          <w:sz w:val="28"/>
          <w:szCs w:val="28"/>
          <w:lang w:eastAsia="en-US"/>
        </w:rPr>
        <w:t>energoauditoru</w:t>
      </w:r>
      <w:proofErr w:type="spellEnd"/>
      <w:r w:rsidR="00FE6757" w:rsidRPr="003D48F5">
        <w:rPr>
          <w:rFonts w:eastAsiaTheme="minorHAnsi" w:cstheme="minorBidi"/>
          <w:color w:val="auto"/>
          <w:sz w:val="28"/>
          <w:szCs w:val="28"/>
          <w:lang w:eastAsia="en-US"/>
        </w:rPr>
        <w:t>, projektētāju, būvuzraugu, kuri atbilstoši savai kompetencei nodrošina, lai energoefektivitātes projekts tiktu sagatavots un ieviests atbilstoši iedzīvotāju vēlmēm un normatīvo aktu prasībām būvniecības un ēku energoefektivitātes jomā, kā arī tiktu sasniegts plānotais enerģijas ietaupījuma līmenis pēc renovācijas projekta pabeigšanas)</w:t>
      </w:r>
      <w:r w:rsidR="00FF2F30">
        <w:rPr>
          <w:rFonts w:eastAsiaTheme="minorHAnsi" w:cstheme="minorBidi"/>
          <w:color w:val="auto"/>
          <w:sz w:val="28"/>
          <w:szCs w:val="28"/>
          <w:lang w:eastAsia="en-US"/>
        </w:rPr>
        <w:t>.</w:t>
      </w:r>
      <w:r w:rsidR="00FE6757" w:rsidRPr="003D48F5">
        <w:rPr>
          <w:rFonts w:eastAsiaTheme="minorHAnsi" w:cstheme="minorBidi"/>
          <w:color w:val="auto"/>
          <w:sz w:val="28"/>
          <w:szCs w:val="28"/>
          <w:lang w:eastAsia="en-US"/>
        </w:rPr>
        <w:t xml:space="preserve"> </w:t>
      </w:r>
      <w:proofErr w:type="spellStart"/>
      <w:r w:rsidR="00FE6757" w:rsidRPr="003D48F5">
        <w:rPr>
          <w:rFonts w:eastAsiaTheme="minorHAnsi" w:cstheme="minorBidi"/>
          <w:color w:val="auto"/>
          <w:sz w:val="28"/>
          <w:szCs w:val="28"/>
          <w:lang w:eastAsia="en-US"/>
        </w:rPr>
        <w:t>Energokonsultants</w:t>
      </w:r>
      <w:proofErr w:type="spellEnd"/>
      <w:r w:rsidR="00FE6757" w:rsidRPr="003D48F5">
        <w:rPr>
          <w:rFonts w:eastAsiaTheme="minorHAnsi" w:cstheme="minorBidi"/>
          <w:color w:val="auto"/>
          <w:sz w:val="28"/>
          <w:szCs w:val="28"/>
          <w:lang w:eastAsia="en-US"/>
        </w:rPr>
        <w:t xml:space="preserve"> ar bankas garantiju vai apdrošināšanas polisi atbild par projekta ietvaros sasniedzamo energoefektivitātes līmeni. </w:t>
      </w:r>
      <w:proofErr w:type="spellStart"/>
      <w:r w:rsidR="00FE6757" w:rsidRPr="003D48F5">
        <w:rPr>
          <w:rFonts w:eastAsiaTheme="minorHAnsi" w:cstheme="minorBidi"/>
          <w:color w:val="auto"/>
          <w:sz w:val="28"/>
          <w:szCs w:val="28"/>
          <w:lang w:eastAsia="en-US"/>
        </w:rPr>
        <w:t>Energokonsultants</w:t>
      </w:r>
      <w:proofErr w:type="spellEnd"/>
      <w:r w:rsidR="00FE6757" w:rsidRPr="003D48F5">
        <w:rPr>
          <w:rFonts w:eastAsiaTheme="minorHAnsi" w:cstheme="minorBidi"/>
          <w:color w:val="auto"/>
          <w:sz w:val="28"/>
          <w:szCs w:val="28"/>
          <w:lang w:eastAsia="en-US"/>
        </w:rPr>
        <w:t xml:space="preserve"> atmaksā daudzdzīvokļu māju iedzīvotājiem radītos zaudējumus, ja</w:t>
      </w:r>
      <w:r w:rsidR="00274912">
        <w:rPr>
          <w:rFonts w:eastAsiaTheme="minorHAnsi" w:cstheme="minorBidi"/>
          <w:color w:val="auto"/>
          <w:sz w:val="28"/>
          <w:szCs w:val="28"/>
          <w:lang w:eastAsia="en-US"/>
        </w:rPr>
        <w:t xml:space="preserve"> </w:t>
      </w:r>
      <w:r w:rsidR="00FE6757" w:rsidRPr="003D48F5">
        <w:rPr>
          <w:rFonts w:eastAsiaTheme="minorHAnsi" w:cstheme="minorBidi"/>
          <w:color w:val="auto"/>
          <w:sz w:val="28"/>
          <w:szCs w:val="28"/>
          <w:lang w:eastAsia="en-US"/>
        </w:rPr>
        <w:t xml:space="preserve">pēc renovācijas projekta pabeigšanas netiek sasniegts noteiktais </w:t>
      </w:r>
      <w:proofErr w:type="spellStart"/>
      <w:r w:rsidR="00FE6757" w:rsidRPr="003D48F5">
        <w:rPr>
          <w:rFonts w:eastAsiaTheme="minorHAnsi" w:cstheme="minorBidi"/>
          <w:color w:val="auto"/>
          <w:sz w:val="28"/>
          <w:szCs w:val="28"/>
          <w:lang w:eastAsia="en-US"/>
        </w:rPr>
        <w:t>energotaupības</w:t>
      </w:r>
      <w:proofErr w:type="spellEnd"/>
      <w:r w:rsidR="00FE6757" w:rsidRPr="003D48F5">
        <w:rPr>
          <w:rFonts w:eastAsiaTheme="minorHAnsi" w:cstheme="minorBidi"/>
          <w:color w:val="auto"/>
          <w:sz w:val="28"/>
          <w:szCs w:val="28"/>
          <w:lang w:eastAsia="en-US"/>
        </w:rPr>
        <w:t xml:space="preserve"> līmenis</w:t>
      </w:r>
      <w:r w:rsidR="004E183B">
        <w:rPr>
          <w:rFonts w:eastAsiaTheme="minorHAnsi" w:cstheme="minorBidi"/>
          <w:color w:val="auto"/>
          <w:sz w:val="28"/>
          <w:szCs w:val="28"/>
          <w:lang w:eastAsia="en-US"/>
        </w:rPr>
        <w:t>.</w:t>
      </w:r>
      <w:r w:rsidR="0071203C">
        <w:rPr>
          <w:rFonts w:eastAsiaTheme="minorHAnsi" w:cstheme="minorBidi"/>
          <w:color w:val="auto"/>
          <w:sz w:val="28"/>
          <w:szCs w:val="28"/>
          <w:lang w:eastAsia="en-US"/>
        </w:rPr>
        <w:t xml:space="preserve"> Konsultatīvais atbalsts ir plānots VEEF ietvaros.</w:t>
      </w:r>
    </w:p>
    <w:p w:rsidR="00FE6757" w:rsidRPr="003D48F5" w:rsidRDefault="0022524E" w:rsidP="0022524E">
      <w:pPr>
        <w:pStyle w:val="tv2131"/>
        <w:shd w:val="clear" w:color="auto" w:fill="FFFFFF"/>
        <w:spacing w:line="240" w:lineRule="auto"/>
        <w:ind w:firstLine="426"/>
        <w:jc w:val="both"/>
        <w:rPr>
          <w:rFonts w:eastAsiaTheme="minorHAnsi" w:cstheme="minorBidi"/>
          <w:color w:val="auto"/>
          <w:sz w:val="28"/>
          <w:szCs w:val="28"/>
          <w:lang w:eastAsia="en-US"/>
        </w:rPr>
      </w:pPr>
      <w:r>
        <w:rPr>
          <w:rFonts w:eastAsiaTheme="minorHAnsi" w:cstheme="minorBidi"/>
          <w:color w:val="auto"/>
          <w:sz w:val="28"/>
          <w:szCs w:val="28"/>
          <w:lang w:eastAsia="en-US"/>
        </w:rPr>
        <w:t xml:space="preserve">2) </w:t>
      </w:r>
      <w:r w:rsidR="00FE6757" w:rsidRPr="003D48F5">
        <w:rPr>
          <w:rFonts w:eastAsiaTheme="minorHAnsi" w:cstheme="minorBidi"/>
          <w:color w:val="auto"/>
          <w:sz w:val="28"/>
          <w:szCs w:val="28"/>
          <w:lang w:eastAsia="en-US"/>
        </w:rPr>
        <w:t>Jāturpina</w:t>
      </w:r>
      <w:r w:rsidR="00274912">
        <w:rPr>
          <w:rFonts w:eastAsiaTheme="minorHAnsi" w:cstheme="minorBidi"/>
          <w:color w:val="auto"/>
          <w:sz w:val="28"/>
          <w:szCs w:val="28"/>
          <w:lang w:eastAsia="en-US"/>
        </w:rPr>
        <w:t xml:space="preserve"> </w:t>
      </w:r>
      <w:r w:rsidR="00FE6757" w:rsidRPr="00FF2F30">
        <w:rPr>
          <w:rFonts w:eastAsiaTheme="minorHAnsi" w:cstheme="minorBidi"/>
          <w:b/>
          <w:color w:val="auto"/>
          <w:sz w:val="28"/>
          <w:szCs w:val="28"/>
          <w:lang w:eastAsia="en-US"/>
        </w:rPr>
        <w:t>izglītot potenciālos projektu iesniedzējus un projektu īstenotājus</w:t>
      </w:r>
      <w:r w:rsidR="00FE6757" w:rsidRPr="003D48F5">
        <w:rPr>
          <w:rFonts w:eastAsiaTheme="minorHAnsi" w:cstheme="minorBidi"/>
          <w:color w:val="auto"/>
          <w:sz w:val="28"/>
          <w:szCs w:val="28"/>
          <w:lang w:eastAsia="en-US"/>
        </w:rPr>
        <w:t xml:space="preserve"> informatīvās kampaņas „Dzīvot siltāk” ietvaros, tai skaitā organizējot izglītojošus seminārus un konferences energoefektivitātes jomā ne tikai daudzdzīvokļu māju sektorā, bet arī publiskajā sektorā. Jānodrošina metodiskie materiāli</w:t>
      </w:r>
      <w:r w:rsidR="00274912">
        <w:rPr>
          <w:rFonts w:eastAsiaTheme="minorHAnsi" w:cstheme="minorBidi"/>
          <w:color w:val="auto"/>
          <w:sz w:val="28"/>
          <w:szCs w:val="28"/>
          <w:lang w:eastAsia="en-US"/>
        </w:rPr>
        <w:t xml:space="preserve"> </w:t>
      </w:r>
      <w:r w:rsidR="00FE6757" w:rsidRPr="003D48F5">
        <w:rPr>
          <w:rFonts w:eastAsiaTheme="minorHAnsi" w:cstheme="minorBidi"/>
          <w:color w:val="auto"/>
          <w:sz w:val="28"/>
          <w:szCs w:val="28"/>
          <w:lang w:eastAsia="en-US"/>
        </w:rPr>
        <w:t>par projekta sagatavošanas un ieviešanas jautājumiem, kā arī par ēkas ekspluatāciju pēc energoefektivitātes projekta pabeigšanas.</w:t>
      </w:r>
    </w:p>
    <w:p w:rsidR="004F656F" w:rsidRPr="0022524E" w:rsidRDefault="0022524E" w:rsidP="0022524E">
      <w:pPr>
        <w:spacing w:after="0" w:line="240" w:lineRule="auto"/>
        <w:ind w:firstLine="426"/>
        <w:jc w:val="both"/>
        <w:rPr>
          <w:szCs w:val="28"/>
        </w:rPr>
      </w:pPr>
      <w:r>
        <w:rPr>
          <w:szCs w:val="28"/>
        </w:rPr>
        <w:t xml:space="preserve">3) </w:t>
      </w:r>
      <w:r w:rsidR="004F656F" w:rsidRPr="0022524E">
        <w:rPr>
          <w:szCs w:val="28"/>
        </w:rPr>
        <w:t>201</w:t>
      </w:r>
      <w:r w:rsidR="00AC0128" w:rsidRPr="0022524E">
        <w:rPr>
          <w:szCs w:val="28"/>
        </w:rPr>
        <w:t>4</w:t>
      </w:r>
      <w:r w:rsidR="004F656F" w:rsidRPr="0022524E">
        <w:rPr>
          <w:szCs w:val="28"/>
        </w:rPr>
        <w:t xml:space="preserve">. gadā plānots pārskatīt minimālās ēku energoefektivitātes prasības (ēkas ārējo norobežojošo konstrukciju </w:t>
      </w:r>
      <w:proofErr w:type="spellStart"/>
      <w:r w:rsidR="004F656F" w:rsidRPr="0022524E">
        <w:rPr>
          <w:szCs w:val="28"/>
        </w:rPr>
        <w:t>būvelementiem</w:t>
      </w:r>
      <w:proofErr w:type="spellEnd"/>
      <w:r w:rsidR="004F656F" w:rsidRPr="0022524E">
        <w:rPr>
          <w:szCs w:val="28"/>
        </w:rPr>
        <w:t xml:space="preserve"> un ēk</w:t>
      </w:r>
      <w:r w:rsidR="00284624" w:rsidRPr="0022524E">
        <w:rPr>
          <w:szCs w:val="28"/>
        </w:rPr>
        <w:t>u inženiertehniskajām sistēmām)</w:t>
      </w:r>
      <w:r w:rsidR="004F656F" w:rsidRPr="0022524E">
        <w:rPr>
          <w:szCs w:val="28"/>
        </w:rPr>
        <w:t>. Minimālās ēku energoefektivitātes prasības tiks noteiktas, lai panāktu izmaksu ziņā optimālu līdzsvaru starp finanšu ieguldījumiem un ēkas dzīves cikla laikā i</w:t>
      </w:r>
      <w:r w:rsidR="004D5672" w:rsidRPr="0022524E">
        <w:rPr>
          <w:szCs w:val="28"/>
        </w:rPr>
        <w:t>etaupītajām enerģijas izmaksām.</w:t>
      </w:r>
    </w:p>
    <w:p w:rsidR="00AA70E3" w:rsidRPr="00FB5564" w:rsidRDefault="00AA70E3" w:rsidP="00FB5564">
      <w:pPr>
        <w:pStyle w:val="Heading2"/>
      </w:pPr>
      <w:bookmarkStart w:id="36" w:name="_Toc387237978"/>
      <w:r w:rsidRPr="00FB5564">
        <w:t>3.3. Publisko struktūru ēku energoefektivitāte</w:t>
      </w:r>
      <w:bookmarkEnd w:id="36"/>
    </w:p>
    <w:p w:rsidR="00EF1D2E" w:rsidRPr="00EF1D2E" w:rsidRDefault="00AA70E3" w:rsidP="00876AAA">
      <w:pPr>
        <w:pStyle w:val="Heading3"/>
        <w:spacing w:after="120"/>
      </w:pPr>
      <w:bookmarkStart w:id="37" w:name="_Toc387237979"/>
      <w:r w:rsidRPr="00FB5564">
        <w:rPr>
          <w:rStyle w:val="Heading3Char"/>
          <w:b/>
          <w:bCs/>
        </w:rPr>
        <w:t>3.3.1. Valsts sektora ēku energoefektivitāte</w:t>
      </w:r>
      <w:bookmarkEnd w:id="37"/>
      <w:r w:rsidRPr="00FB5564">
        <w:t xml:space="preserve"> </w:t>
      </w:r>
    </w:p>
    <w:p w:rsidR="00875AA9" w:rsidRPr="00875AA9" w:rsidRDefault="00875AA9" w:rsidP="00867B8E">
      <w:pPr>
        <w:pStyle w:val="ListParagraph"/>
        <w:tabs>
          <w:tab w:val="left" w:pos="2269"/>
        </w:tabs>
        <w:spacing w:after="0" w:line="240" w:lineRule="auto"/>
        <w:ind w:left="0" w:firstLine="851"/>
        <w:jc w:val="both"/>
        <w:rPr>
          <w:rFonts w:ascii="Times New Roman" w:eastAsiaTheme="majorEastAsia" w:hAnsi="Times New Roman" w:cs="Times New Roman"/>
          <w:bCs/>
          <w:sz w:val="28"/>
          <w:szCs w:val="28"/>
        </w:rPr>
      </w:pPr>
      <w:r w:rsidRPr="00875AA9">
        <w:rPr>
          <w:rFonts w:ascii="Times New Roman" w:eastAsiaTheme="majorEastAsia" w:hAnsi="Times New Roman" w:cs="Times New Roman"/>
          <w:bCs/>
          <w:sz w:val="28"/>
          <w:szCs w:val="28"/>
        </w:rPr>
        <w:t>Latvijai saistībā ar Direktīvas 2012/27/ES ieviešanu jāsasniedz indikatīvais valsts energoefektivitātes mērķis, kura ietvaros katru gadu jārenovē 3% valstij piederošo ēku platības, kas noteikts Direktīvas 2012/27/ES 5. pantā. Tā kā valsts ēkas veido daļu no valsts enerģijas galapatēriņa, tad centrālās valdības ēku 3% renovācijas mērķa izpilde dod ieguldījumu kopējā galapatēriņa 1,5% ietaupījuma mērķa sasniegšanā.</w:t>
      </w:r>
    </w:p>
    <w:p w:rsidR="00C10713" w:rsidRPr="003D48F5" w:rsidRDefault="00C10713" w:rsidP="00867B8E">
      <w:pPr>
        <w:pStyle w:val="ListParagraph"/>
        <w:tabs>
          <w:tab w:val="left" w:pos="2269"/>
        </w:tabs>
        <w:spacing w:after="0" w:line="240" w:lineRule="auto"/>
        <w:ind w:left="0" w:firstLine="851"/>
        <w:jc w:val="both"/>
        <w:rPr>
          <w:rFonts w:ascii="Times New Roman" w:hAnsi="Times New Roman" w:cs="Times New Roman"/>
          <w:sz w:val="28"/>
          <w:szCs w:val="28"/>
        </w:rPr>
      </w:pPr>
      <w:r w:rsidRPr="003D48F5">
        <w:rPr>
          <w:rFonts w:ascii="Times New Roman" w:hAnsi="Times New Roman" w:cs="Times New Roman"/>
          <w:sz w:val="28"/>
          <w:szCs w:val="28"/>
        </w:rPr>
        <w:t>Saskaņā ar Direktīvas 2010/27/ES 5.</w:t>
      </w:r>
      <w:r w:rsidR="002C5CF8" w:rsidRPr="003D48F5">
        <w:rPr>
          <w:rFonts w:ascii="Times New Roman" w:hAnsi="Times New Roman" w:cs="Times New Roman"/>
          <w:sz w:val="28"/>
          <w:szCs w:val="28"/>
        </w:rPr>
        <w:t> </w:t>
      </w:r>
      <w:r w:rsidRPr="003D48F5">
        <w:rPr>
          <w:rFonts w:ascii="Times New Roman" w:hAnsi="Times New Roman" w:cs="Times New Roman"/>
          <w:sz w:val="28"/>
          <w:szCs w:val="28"/>
        </w:rPr>
        <w:t xml:space="preserve">panta </w:t>
      </w:r>
      <w:r w:rsidR="0090103F">
        <w:rPr>
          <w:rFonts w:ascii="Times New Roman" w:hAnsi="Times New Roman" w:cs="Times New Roman"/>
          <w:sz w:val="28"/>
          <w:szCs w:val="28"/>
        </w:rPr>
        <w:t>piektā</w:t>
      </w:r>
      <w:r w:rsidR="0090103F" w:rsidRPr="003D48F5">
        <w:rPr>
          <w:rFonts w:ascii="Times New Roman" w:hAnsi="Times New Roman" w:cs="Times New Roman"/>
          <w:sz w:val="28"/>
          <w:szCs w:val="28"/>
        </w:rPr>
        <w:t xml:space="preserve"> punkta</w:t>
      </w:r>
      <w:r w:rsidRPr="003D48F5">
        <w:rPr>
          <w:rFonts w:ascii="Times New Roman" w:hAnsi="Times New Roman" w:cs="Times New Roman"/>
          <w:sz w:val="28"/>
          <w:szCs w:val="28"/>
        </w:rPr>
        <w:t xml:space="preserve"> prasībām Ekonomikas ministrijā tika sagatavots valsts institūciju īpašumā, valdījumā un </w:t>
      </w:r>
      <w:r w:rsidRPr="003D48F5">
        <w:rPr>
          <w:rFonts w:ascii="Times New Roman" w:hAnsi="Times New Roman" w:cs="Times New Roman"/>
          <w:sz w:val="28"/>
          <w:szCs w:val="28"/>
        </w:rPr>
        <w:lastRenderedPageBreak/>
        <w:t>lietojumā esošajām ēkām ar kopējo platību virs 500 m</w:t>
      </w:r>
      <w:r w:rsidRPr="003D48F5">
        <w:rPr>
          <w:rFonts w:ascii="Times New Roman" w:hAnsi="Times New Roman" w:cs="Times New Roman"/>
          <w:sz w:val="28"/>
          <w:szCs w:val="28"/>
          <w:vertAlign w:val="superscript"/>
        </w:rPr>
        <w:t>2</w:t>
      </w:r>
      <w:r w:rsidRPr="003D48F5">
        <w:rPr>
          <w:rFonts w:ascii="Times New Roman" w:hAnsi="Times New Roman" w:cs="Times New Roman"/>
          <w:sz w:val="28"/>
          <w:szCs w:val="28"/>
        </w:rPr>
        <w:t>. Apkopotie dati par izmantotajiem enerģijas nesējiem 904 valsts ēkās apkopoti 1</w:t>
      </w:r>
      <w:r w:rsidR="00D322B9">
        <w:rPr>
          <w:rFonts w:ascii="Times New Roman" w:hAnsi="Times New Roman" w:cs="Times New Roman"/>
          <w:sz w:val="28"/>
          <w:szCs w:val="28"/>
        </w:rPr>
        <w:t>1</w:t>
      </w:r>
      <w:r w:rsidRPr="003D48F5">
        <w:rPr>
          <w:rFonts w:ascii="Times New Roman" w:hAnsi="Times New Roman" w:cs="Times New Roman"/>
          <w:sz w:val="28"/>
          <w:szCs w:val="28"/>
        </w:rPr>
        <w:t>.</w:t>
      </w:r>
      <w:r w:rsidR="002C5CF8" w:rsidRPr="003D48F5">
        <w:rPr>
          <w:rFonts w:ascii="Times New Roman" w:hAnsi="Times New Roman" w:cs="Times New Roman"/>
          <w:sz w:val="28"/>
          <w:szCs w:val="28"/>
        </w:rPr>
        <w:t> </w:t>
      </w:r>
      <w:r w:rsidRPr="003D48F5">
        <w:rPr>
          <w:rFonts w:ascii="Times New Roman" w:hAnsi="Times New Roman" w:cs="Times New Roman"/>
          <w:sz w:val="28"/>
          <w:szCs w:val="28"/>
        </w:rPr>
        <w:t>tabulā. Pēc tabulas datiem redzams, ka gāze kā kurināmais tiek izmantots 192 valsts ēkās ar kopējo platību virs 500 m</w:t>
      </w:r>
      <w:r w:rsidRPr="003D48F5">
        <w:rPr>
          <w:rFonts w:ascii="Times New Roman" w:hAnsi="Times New Roman" w:cs="Times New Roman"/>
          <w:sz w:val="28"/>
          <w:szCs w:val="28"/>
          <w:vertAlign w:val="superscript"/>
        </w:rPr>
        <w:t>2</w:t>
      </w:r>
      <w:r w:rsidRPr="003D48F5">
        <w:rPr>
          <w:rFonts w:ascii="Times New Roman" w:hAnsi="Times New Roman" w:cs="Times New Roman"/>
          <w:sz w:val="28"/>
          <w:szCs w:val="28"/>
        </w:rPr>
        <w:t>, šķidrais kurināmais (dīzeļdegviela) – 31 ēkā, cietais kurināmais – 144 valsts ēkā, jauktais – 23 ēkās.</w:t>
      </w:r>
    </w:p>
    <w:p w:rsidR="00102D47" w:rsidRPr="0099397F" w:rsidRDefault="00C10713" w:rsidP="002E17DC">
      <w:pPr>
        <w:pStyle w:val="ListParagraph"/>
        <w:tabs>
          <w:tab w:val="left" w:pos="2269"/>
        </w:tabs>
        <w:spacing w:before="240" w:after="0" w:line="240" w:lineRule="auto"/>
        <w:ind w:left="0"/>
        <w:contextualSpacing w:val="0"/>
        <w:jc w:val="right"/>
        <w:rPr>
          <w:rFonts w:ascii="Times New Roman" w:hAnsi="Times New Roman" w:cs="Times New Roman"/>
          <w:b/>
          <w:szCs w:val="28"/>
        </w:rPr>
      </w:pPr>
      <w:r w:rsidRPr="0099397F">
        <w:rPr>
          <w:rFonts w:ascii="Times New Roman" w:hAnsi="Times New Roman" w:cs="Times New Roman"/>
          <w:b/>
          <w:szCs w:val="28"/>
        </w:rPr>
        <w:t>1</w:t>
      </w:r>
      <w:r w:rsidR="00D322B9" w:rsidRPr="0099397F">
        <w:rPr>
          <w:rFonts w:ascii="Times New Roman" w:hAnsi="Times New Roman" w:cs="Times New Roman"/>
          <w:b/>
          <w:szCs w:val="28"/>
        </w:rPr>
        <w:t>1</w:t>
      </w:r>
      <w:r w:rsidRPr="0099397F">
        <w:rPr>
          <w:rFonts w:ascii="Times New Roman" w:hAnsi="Times New Roman" w:cs="Times New Roman"/>
          <w:b/>
          <w:szCs w:val="28"/>
        </w:rPr>
        <w:t>.</w:t>
      </w:r>
      <w:r w:rsidR="00D628C6" w:rsidRPr="0099397F">
        <w:rPr>
          <w:rFonts w:ascii="Times New Roman" w:hAnsi="Times New Roman" w:cs="Times New Roman"/>
          <w:b/>
          <w:szCs w:val="28"/>
        </w:rPr>
        <w:t> </w:t>
      </w:r>
      <w:r w:rsidRPr="0099397F">
        <w:rPr>
          <w:rFonts w:ascii="Times New Roman" w:hAnsi="Times New Roman" w:cs="Times New Roman"/>
          <w:b/>
          <w:szCs w:val="28"/>
        </w:rPr>
        <w:t>tabula</w:t>
      </w:r>
      <w:r w:rsidR="00102D47" w:rsidRPr="0099397F">
        <w:rPr>
          <w:rFonts w:ascii="Times New Roman" w:hAnsi="Times New Roman" w:cs="Times New Roman"/>
          <w:b/>
          <w:szCs w:val="28"/>
        </w:rPr>
        <w:t xml:space="preserve"> </w:t>
      </w:r>
    </w:p>
    <w:p w:rsidR="00D628C6" w:rsidRPr="0099397F" w:rsidRDefault="00102D47" w:rsidP="00CE55AA">
      <w:pPr>
        <w:pStyle w:val="ListParagraph"/>
        <w:tabs>
          <w:tab w:val="left" w:pos="2269"/>
        </w:tabs>
        <w:spacing w:after="0" w:line="240" w:lineRule="auto"/>
        <w:ind w:left="0"/>
        <w:contextualSpacing w:val="0"/>
        <w:jc w:val="right"/>
        <w:rPr>
          <w:rFonts w:ascii="Times New Roman" w:hAnsi="Times New Roman" w:cs="Times New Roman"/>
          <w:b/>
          <w:szCs w:val="28"/>
        </w:rPr>
      </w:pPr>
      <w:r w:rsidRPr="0099397F">
        <w:rPr>
          <w:rFonts w:ascii="Times New Roman" w:hAnsi="Times New Roman" w:cs="Times New Roman"/>
          <w:b/>
          <w:szCs w:val="28"/>
        </w:rPr>
        <w:t>Kurināmā veids valsts ēkās ar kopējo platību virs 500 m</w:t>
      </w:r>
      <w:r w:rsidRPr="0099397F">
        <w:rPr>
          <w:rFonts w:ascii="Times New Roman" w:hAnsi="Times New Roman" w:cs="Times New Roman"/>
          <w:b/>
          <w:szCs w:val="28"/>
          <w:vertAlign w:val="superscript"/>
        </w:rPr>
        <w:t>2</w:t>
      </w:r>
      <w:r w:rsidRPr="0099397F">
        <w:rPr>
          <w:rFonts w:ascii="Times New Roman" w:hAnsi="Times New Roman" w:cs="Times New Roman"/>
          <w:b/>
          <w:szCs w:val="28"/>
        </w:rPr>
        <w:t>.</w:t>
      </w:r>
      <w:r w:rsidRPr="0099397F">
        <w:rPr>
          <w:rStyle w:val="FootnoteReference"/>
          <w:rFonts w:ascii="Times New Roman" w:hAnsi="Times New Roman" w:cs="Times New Roman"/>
          <w:b/>
          <w:szCs w:val="28"/>
        </w:rPr>
        <w:footnoteReference w:id="19"/>
      </w:r>
      <w:r w:rsidR="00C10713" w:rsidRPr="0099397F">
        <w:rPr>
          <w:rFonts w:ascii="Times New Roman" w:hAnsi="Times New Roman" w:cs="Times New Roman"/>
          <w:b/>
          <w:szCs w:val="28"/>
        </w:rPr>
        <w:t xml:space="preserve"> </w:t>
      </w:r>
    </w:p>
    <w:tbl>
      <w:tblPr>
        <w:tblW w:w="0" w:type="auto"/>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1278"/>
      </w:tblGrid>
      <w:tr w:rsidR="00C10713" w:rsidRPr="004E183B" w:rsidTr="00ED4AE6">
        <w:trPr>
          <w:trHeight w:val="272"/>
          <w:jc w:val="center"/>
        </w:trPr>
        <w:tc>
          <w:tcPr>
            <w:tcW w:w="5006" w:type="dxa"/>
            <w:shd w:val="clear" w:color="auto" w:fill="auto"/>
          </w:tcPr>
          <w:p w:rsidR="00C10713" w:rsidRPr="00A07AC4" w:rsidRDefault="00C10713" w:rsidP="00FF2F30">
            <w:pPr>
              <w:pStyle w:val="ListParagraph"/>
              <w:tabs>
                <w:tab w:val="left" w:pos="2269"/>
              </w:tabs>
              <w:spacing w:line="240" w:lineRule="auto"/>
              <w:ind w:left="0"/>
              <w:contextualSpacing w:val="0"/>
              <w:jc w:val="both"/>
              <w:rPr>
                <w:rFonts w:ascii="Times New Roman" w:hAnsi="Times New Roman" w:cs="Times New Roman"/>
                <w:b/>
                <w:bCs/>
                <w:color w:val="000000"/>
              </w:rPr>
            </w:pPr>
            <w:r w:rsidRPr="00A07AC4">
              <w:rPr>
                <w:rFonts w:ascii="Times New Roman" w:hAnsi="Times New Roman" w:cs="Times New Roman"/>
                <w:b/>
                <w:bCs/>
                <w:color w:val="000000"/>
              </w:rPr>
              <w:t>Kurināmā veids</w:t>
            </w:r>
          </w:p>
        </w:tc>
        <w:tc>
          <w:tcPr>
            <w:tcW w:w="1278" w:type="dxa"/>
            <w:shd w:val="clear" w:color="auto" w:fill="auto"/>
          </w:tcPr>
          <w:p w:rsidR="00C10713" w:rsidRPr="00A07AC4" w:rsidRDefault="00C10713" w:rsidP="00FF2F30">
            <w:pPr>
              <w:pStyle w:val="ListParagraph"/>
              <w:tabs>
                <w:tab w:val="left" w:pos="2269"/>
              </w:tabs>
              <w:spacing w:line="240" w:lineRule="auto"/>
              <w:ind w:left="0"/>
              <w:contextualSpacing w:val="0"/>
              <w:jc w:val="both"/>
              <w:rPr>
                <w:rFonts w:ascii="Times New Roman" w:hAnsi="Times New Roman" w:cs="Times New Roman"/>
                <w:b/>
                <w:bCs/>
                <w:color w:val="000000"/>
              </w:rPr>
            </w:pPr>
            <w:r w:rsidRPr="00A07AC4">
              <w:rPr>
                <w:rFonts w:ascii="Times New Roman" w:hAnsi="Times New Roman" w:cs="Times New Roman"/>
                <w:b/>
                <w:bCs/>
                <w:color w:val="000000"/>
              </w:rPr>
              <w:t>Skaits</w:t>
            </w:r>
          </w:p>
        </w:tc>
      </w:tr>
      <w:tr w:rsidR="00C10713" w:rsidRPr="004E183B" w:rsidTr="00ED4AE6">
        <w:trPr>
          <w:jc w:val="center"/>
        </w:trPr>
        <w:tc>
          <w:tcPr>
            <w:tcW w:w="6284" w:type="dxa"/>
            <w:gridSpan w:val="2"/>
            <w:shd w:val="clear" w:color="auto" w:fill="auto"/>
          </w:tcPr>
          <w:p w:rsidR="00C10713" w:rsidRPr="004E183B" w:rsidRDefault="00C10713" w:rsidP="00FF2F30">
            <w:pPr>
              <w:pStyle w:val="ListParagraph"/>
              <w:tabs>
                <w:tab w:val="left" w:pos="2269"/>
              </w:tabs>
              <w:spacing w:line="240" w:lineRule="auto"/>
              <w:ind w:left="0"/>
              <w:contextualSpacing w:val="0"/>
              <w:jc w:val="center"/>
              <w:rPr>
                <w:rFonts w:ascii="Times New Roman" w:hAnsi="Times New Roman" w:cs="Times New Roman"/>
                <w:bCs/>
                <w:color w:val="000000"/>
              </w:rPr>
            </w:pPr>
            <w:r w:rsidRPr="004E183B">
              <w:rPr>
                <w:rFonts w:ascii="Times New Roman" w:hAnsi="Times New Roman" w:cs="Times New Roman"/>
                <w:bCs/>
                <w:color w:val="000000"/>
              </w:rPr>
              <w:t>Gāze</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Dabasgāze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192</w:t>
            </w:r>
          </w:p>
        </w:tc>
      </w:tr>
      <w:tr w:rsidR="00C10713" w:rsidRPr="004E183B" w:rsidTr="00ED4AE6">
        <w:trPr>
          <w:jc w:val="center"/>
        </w:trPr>
        <w:tc>
          <w:tcPr>
            <w:tcW w:w="6284" w:type="dxa"/>
            <w:gridSpan w:val="2"/>
            <w:shd w:val="clear" w:color="auto" w:fill="auto"/>
          </w:tcPr>
          <w:p w:rsidR="00C10713" w:rsidRPr="004E183B" w:rsidRDefault="00C10713" w:rsidP="00FF2F30">
            <w:pPr>
              <w:pStyle w:val="ListParagraph"/>
              <w:tabs>
                <w:tab w:val="left" w:pos="2269"/>
              </w:tabs>
              <w:spacing w:line="240" w:lineRule="auto"/>
              <w:ind w:left="0"/>
              <w:contextualSpacing w:val="0"/>
              <w:jc w:val="center"/>
              <w:rPr>
                <w:rFonts w:ascii="Times New Roman" w:hAnsi="Times New Roman" w:cs="Times New Roman"/>
                <w:bCs/>
                <w:color w:val="000000"/>
              </w:rPr>
            </w:pPr>
            <w:r w:rsidRPr="004E183B">
              <w:rPr>
                <w:rFonts w:ascii="Times New Roman" w:hAnsi="Times New Roman" w:cs="Times New Roman"/>
                <w:bCs/>
                <w:color w:val="000000"/>
              </w:rPr>
              <w:t>Šķidrais kurināmais</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Dīzeļdegviela</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31</w:t>
            </w:r>
          </w:p>
        </w:tc>
      </w:tr>
      <w:tr w:rsidR="00C10713" w:rsidRPr="004E183B" w:rsidTr="00ED4AE6">
        <w:trPr>
          <w:jc w:val="center"/>
        </w:trPr>
        <w:tc>
          <w:tcPr>
            <w:tcW w:w="6284" w:type="dxa"/>
            <w:gridSpan w:val="2"/>
            <w:shd w:val="clear" w:color="auto" w:fill="auto"/>
          </w:tcPr>
          <w:p w:rsidR="00C10713" w:rsidRPr="004E183B" w:rsidRDefault="00C10713" w:rsidP="00FF2F30">
            <w:pPr>
              <w:pStyle w:val="ListParagraph"/>
              <w:tabs>
                <w:tab w:val="left" w:pos="2269"/>
              </w:tabs>
              <w:spacing w:line="240" w:lineRule="auto"/>
              <w:ind w:left="0"/>
              <w:contextualSpacing w:val="0"/>
              <w:jc w:val="center"/>
              <w:rPr>
                <w:rFonts w:ascii="Times New Roman" w:hAnsi="Times New Roman" w:cs="Times New Roman"/>
                <w:bCs/>
                <w:color w:val="000000"/>
              </w:rPr>
            </w:pPr>
            <w:r w:rsidRPr="004E183B">
              <w:rPr>
                <w:rFonts w:ascii="Times New Roman" w:hAnsi="Times New Roman" w:cs="Times New Roman"/>
                <w:bCs/>
                <w:color w:val="000000"/>
              </w:rPr>
              <w:t>Cietais kurināmais</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akmeņogles</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6</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Malka, granulas, šķelda, graudi</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107</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Ogles, granulas</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2</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Malka, akmeņogles</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29</w:t>
            </w:r>
          </w:p>
        </w:tc>
      </w:tr>
      <w:tr w:rsidR="00C10713" w:rsidRPr="004E183B" w:rsidTr="00ED4AE6">
        <w:trPr>
          <w:jc w:val="center"/>
        </w:trPr>
        <w:tc>
          <w:tcPr>
            <w:tcW w:w="6284" w:type="dxa"/>
            <w:gridSpan w:val="2"/>
            <w:shd w:val="clear" w:color="auto" w:fill="auto"/>
          </w:tcPr>
          <w:p w:rsidR="00C10713" w:rsidRPr="004E183B" w:rsidRDefault="00C10713" w:rsidP="0035562E">
            <w:pPr>
              <w:pStyle w:val="ListParagraph"/>
              <w:tabs>
                <w:tab w:val="left" w:pos="2269"/>
              </w:tabs>
              <w:spacing w:line="240" w:lineRule="auto"/>
              <w:ind w:left="0"/>
              <w:contextualSpacing w:val="0"/>
              <w:jc w:val="center"/>
              <w:rPr>
                <w:rFonts w:ascii="Times New Roman" w:hAnsi="Times New Roman" w:cs="Times New Roman"/>
                <w:bCs/>
                <w:color w:val="000000"/>
              </w:rPr>
            </w:pPr>
            <w:r w:rsidRPr="004E183B">
              <w:rPr>
                <w:rFonts w:ascii="Times New Roman" w:hAnsi="Times New Roman" w:cs="Times New Roman"/>
                <w:bCs/>
                <w:color w:val="000000"/>
              </w:rPr>
              <w:t xml:space="preserve">Citi </w:t>
            </w:r>
            <w:r w:rsidR="0035562E">
              <w:rPr>
                <w:rFonts w:ascii="Times New Roman" w:hAnsi="Times New Roman" w:cs="Times New Roman"/>
                <w:bCs/>
                <w:color w:val="000000"/>
              </w:rPr>
              <w:t>apkures</w:t>
            </w:r>
            <w:r w:rsidRPr="004E183B">
              <w:rPr>
                <w:rFonts w:ascii="Times New Roman" w:hAnsi="Times New Roman" w:cs="Times New Roman"/>
                <w:bCs/>
                <w:color w:val="000000"/>
              </w:rPr>
              <w:t xml:space="preserve"> veidi</w:t>
            </w:r>
          </w:p>
        </w:tc>
      </w:tr>
      <w:tr w:rsidR="00C10713" w:rsidRPr="004E183B" w:rsidTr="00ED4AE6">
        <w:trPr>
          <w:jc w:val="center"/>
        </w:trPr>
        <w:tc>
          <w:tcPr>
            <w:tcW w:w="5006" w:type="dxa"/>
            <w:shd w:val="clear" w:color="auto" w:fill="auto"/>
          </w:tcPr>
          <w:p w:rsidR="00C10713" w:rsidRPr="004E183B" w:rsidRDefault="0035562E" w:rsidP="00FF2F30">
            <w:pPr>
              <w:pStyle w:val="ListParagraph"/>
              <w:tabs>
                <w:tab w:val="left" w:pos="2269"/>
              </w:tabs>
              <w:spacing w:line="240" w:lineRule="auto"/>
              <w:ind w:left="0"/>
              <w:contextualSpacing w:val="0"/>
              <w:jc w:val="both"/>
              <w:rPr>
                <w:rFonts w:ascii="Times New Roman" w:hAnsi="Times New Roman" w:cs="Times New Roman"/>
                <w:bCs/>
                <w:color w:val="000000"/>
              </w:rPr>
            </w:pPr>
            <w:r>
              <w:rPr>
                <w:rFonts w:ascii="Times New Roman" w:hAnsi="Times New Roman" w:cs="Times New Roman"/>
                <w:bCs/>
                <w:color w:val="000000"/>
              </w:rPr>
              <w:t>Elektroenerģija</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5</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proofErr w:type="spellStart"/>
            <w:r w:rsidRPr="004E183B">
              <w:rPr>
                <w:rFonts w:ascii="Times New Roman" w:hAnsi="Times New Roman" w:cs="Times New Roman"/>
                <w:bCs/>
                <w:color w:val="000000"/>
              </w:rPr>
              <w:t>Siltumsūknis</w:t>
            </w:r>
            <w:proofErr w:type="spellEnd"/>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Centralizētā siltumapgāde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458</w:t>
            </w:r>
          </w:p>
        </w:tc>
      </w:tr>
      <w:tr w:rsidR="00C10713" w:rsidRPr="004E183B" w:rsidTr="00ED4AE6">
        <w:trPr>
          <w:jc w:val="center"/>
        </w:trPr>
        <w:tc>
          <w:tcPr>
            <w:tcW w:w="6284" w:type="dxa"/>
            <w:gridSpan w:val="2"/>
            <w:shd w:val="clear" w:color="auto" w:fill="auto"/>
          </w:tcPr>
          <w:p w:rsidR="00C10713" w:rsidRPr="004E183B" w:rsidRDefault="00C10713" w:rsidP="00FF2F30">
            <w:pPr>
              <w:pStyle w:val="ListParagraph"/>
              <w:tabs>
                <w:tab w:val="left" w:pos="2269"/>
              </w:tabs>
              <w:spacing w:line="240" w:lineRule="auto"/>
              <w:ind w:left="0"/>
              <w:contextualSpacing w:val="0"/>
              <w:jc w:val="center"/>
              <w:rPr>
                <w:rFonts w:ascii="Times New Roman" w:hAnsi="Times New Roman" w:cs="Times New Roman"/>
                <w:bCs/>
                <w:color w:val="000000"/>
              </w:rPr>
            </w:pPr>
            <w:r w:rsidRPr="004E183B">
              <w:rPr>
                <w:rFonts w:ascii="Times New Roman" w:hAnsi="Times New Roman" w:cs="Times New Roman"/>
                <w:bCs/>
                <w:color w:val="000000"/>
              </w:rPr>
              <w:t>Jauktais kurināmais</w:t>
            </w:r>
          </w:p>
        </w:tc>
      </w:tr>
      <w:tr w:rsidR="00C10713" w:rsidRPr="004E183B" w:rsidTr="00ED4AE6">
        <w:trPr>
          <w:jc w:val="center"/>
        </w:trPr>
        <w:tc>
          <w:tcPr>
            <w:tcW w:w="5006" w:type="dxa"/>
            <w:shd w:val="clear" w:color="auto" w:fill="auto"/>
          </w:tcPr>
          <w:p w:rsidR="00C10713" w:rsidRPr="004E183B" w:rsidRDefault="00C10713" w:rsidP="00FF2F30">
            <w:pPr>
              <w:spacing w:line="240" w:lineRule="auto"/>
              <w:jc w:val="both"/>
              <w:rPr>
                <w:rFonts w:cs="Times New Roman"/>
                <w:bCs/>
                <w:color w:val="000000"/>
                <w:sz w:val="22"/>
              </w:rPr>
            </w:pPr>
            <w:r w:rsidRPr="004E183B">
              <w:rPr>
                <w:rFonts w:cs="Times New Roman"/>
                <w:bCs/>
                <w:color w:val="000000"/>
                <w:sz w:val="22"/>
              </w:rPr>
              <w:t>Akmeņogles, dabasgāze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4</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Dabasgāze, dīzeļdegviela</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Dīzeļdegviela, dabasgāze, koksne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Dīzeļdegviela, koksne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2</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Gāze, centralizētā siltumapgāde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w:t>
            </w:r>
          </w:p>
        </w:tc>
      </w:tr>
      <w:tr w:rsidR="00C10713" w:rsidRPr="004E183B" w:rsidTr="00ED4AE6">
        <w:trPr>
          <w:jc w:val="center"/>
        </w:trPr>
        <w:tc>
          <w:tcPr>
            <w:tcW w:w="5006" w:type="dxa"/>
            <w:shd w:val="clear" w:color="auto" w:fill="auto"/>
          </w:tcPr>
          <w:p w:rsidR="00C10713" w:rsidRPr="004E183B" w:rsidRDefault="00A8693C" w:rsidP="00FF2F30">
            <w:pPr>
              <w:pStyle w:val="ListParagraph"/>
              <w:tabs>
                <w:tab w:val="left" w:pos="2269"/>
              </w:tabs>
              <w:spacing w:line="240" w:lineRule="auto"/>
              <w:ind w:left="0"/>
              <w:contextualSpacing w:val="0"/>
              <w:jc w:val="both"/>
              <w:rPr>
                <w:rFonts w:ascii="Times New Roman" w:hAnsi="Times New Roman" w:cs="Times New Roman"/>
                <w:bCs/>
                <w:color w:val="000000"/>
              </w:rPr>
            </w:pPr>
            <w:r>
              <w:rPr>
                <w:rFonts w:ascii="Times New Roman" w:hAnsi="Times New Roman" w:cs="Times New Roman"/>
                <w:bCs/>
                <w:color w:val="000000"/>
              </w:rPr>
              <w:t>G</w:t>
            </w:r>
            <w:r w:rsidR="00C10713" w:rsidRPr="004E183B">
              <w:rPr>
                <w:rFonts w:ascii="Times New Roman" w:hAnsi="Times New Roman" w:cs="Times New Roman"/>
                <w:bCs/>
                <w:color w:val="000000"/>
              </w:rPr>
              <w:t>āze, graudi</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2</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945"/>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Koksne, centralizētā siltumapgāde</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1</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945"/>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t>Naftas gāze, malka</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4</w:t>
            </w:r>
          </w:p>
        </w:tc>
      </w:tr>
      <w:tr w:rsidR="00C10713" w:rsidRPr="004E183B" w:rsidTr="00ED4AE6">
        <w:trPr>
          <w:jc w:val="center"/>
        </w:trPr>
        <w:tc>
          <w:tcPr>
            <w:tcW w:w="5006" w:type="dxa"/>
            <w:shd w:val="clear" w:color="auto" w:fill="auto"/>
          </w:tcPr>
          <w:p w:rsidR="00C10713" w:rsidRPr="004E183B" w:rsidRDefault="00C10713" w:rsidP="00FF2F30">
            <w:pPr>
              <w:pStyle w:val="ListParagraph"/>
              <w:tabs>
                <w:tab w:val="left" w:pos="945"/>
              </w:tabs>
              <w:spacing w:line="240" w:lineRule="auto"/>
              <w:ind w:left="0"/>
              <w:contextualSpacing w:val="0"/>
              <w:jc w:val="both"/>
              <w:rPr>
                <w:rFonts w:ascii="Times New Roman" w:hAnsi="Times New Roman" w:cs="Times New Roman"/>
                <w:bCs/>
                <w:color w:val="000000"/>
              </w:rPr>
            </w:pPr>
            <w:r w:rsidRPr="004E183B">
              <w:rPr>
                <w:rFonts w:ascii="Times New Roman" w:hAnsi="Times New Roman" w:cs="Times New Roman"/>
                <w:bCs/>
                <w:color w:val="000000"/>
              </w:rPr>
              <w:lastRenderedPageBreak/>
              <w:t xml:space="preserve">Maz kurina, trūkst datu </w:t>
            </w:r>
          </w:p>
        </w:tc>
        <w:tc>
          <w:tcPr>
            <w:tcW w:w="1278" w:type="dxa"/>
            <w:shd w:val="clear" w:color="auto" w:fill="auto"/>
          </w:tcPr>
          <w:p w:rsidR="00C10713" w:rsidRPr="004E183B" w:rsidRDefault="00C10713" w:rsidP="00FF2F30">
            <w:pPr>
              <w:pStyle w:val="ListParagraph"/>
              <w:tabs>
                <w:tab w:val="left" w:pos="2269"/>
              </w:tabs>
              <w:spacing w:line="240" w:lineRule="auto"/>
              <w:ind w:left="0"/>
              <w:contextualSpacing w:val="0"/>
              <w:jc w:val="both"/>
              <w:rPr>
                <w:rFonts w:ascii="Times New Roman" w:hAnsi="Times New Roman" w:cs="Times New Roman"/>
                <w:color w:val="000000"/>
              </w:rPr>
            </w:pPr>
            <w:r w:rsidRPr="004E183B">
              <w:rPr>
                <w:rFonts w:ascii="Times New Roman" w:hAnsi="Times New Roman" w:cs="Times New Roman"/>
                <w:color w:val="000000"/>
              </w:rPr>
              <w:t>7</w:t>
            </w:r>
          </w:p>
        </w:tc>
      </w:tr>
    </w:tbl>
    <w:p w:rsidR="00C10713" w:rsidRPr="006E7C86" w:rsidRDefault="009C049A" w:rsidP="009C049A">
      <w:pPr>
        <w:autoSpaceDE w:val="0"/>
        <w:autoSpaceDN w:val="0"/>
        <w:adjustRightInd w:val="0"/>
        <w:spacing w:before="120" w:after="0" w:line="240" w:lineRule="auto"/>
        <w:jc w:val="right"/>
        <w:rPr>
          <w:b/>
          <w:bCs/>
          <w:color w:val="000000"/>
          <w:sz w:val="22"/>
          <w:szCs w:val="20"/>
          <w:vertAlign w:val="superscript"/>
          <w:lang w:eastAsia="lv-LV"/>
        </w:rPr>
      </w:pPr>
      <w:r w:rsidRPr="006E7C86">
        <w:rPr>
          <w:b/>
          <w:bCs/>
          <w:color w:val="000000"/>
          <w:sz w:val="22"/>
          <w:szCs w:val="20"/>
          <w:lang w:eastAsia="lv-LV"/>
        </w:rPr>
        <w:t>12. tabula</w:t>
      </w:r>
      <w:r w:rsidRPr="006E7C86">
        <w:rPr>
          <w:b/>
          <w:bCs/>
          <w:color w:val="000000"/>
          <w:sz w:val="22"/>
          <w:szCs w:val="20"/>
          <w:lang w:eastAsia="lv-LV"/>
        </w:rPr>
        <w:br/>
        <w:t>Valsts ēkas ar platību virs 500 m</w:t>
      </w:r>
      <w:r w:rsidRPr="006E7C86">
        <w:rPr>
          <w:b/>
          <w:bCs/>
          <w:color w:val="000000"/>
          <w:sz w:val="22"/>
          <w:szCs w:val="20"/>
          <w:vertAlign w:val="superscript"/>
          <w:lang w:eastAsia="lv-LV"/>
        </w:rPr>
        <w:t>2</w:t>
      </w:r>
    </w:p>
    <w:tbl>
      <w:tblPr>
        <w:tblW w:w="0" w:type="auto"/>
        <w:tblCellMar>
          <w:left w:w="0" w:type="dxa"/>
          <w:right w:w="0" w:type="dxa"/>
        </w:tblCellMar>
        <w:tblLook w:val="04A0" w:firstRow="1" w:lastRow="0" w:firstColumn="1" w:lastColumn="0" w:noHBand="0" w:noVBand="1"/>
      </w:tblPr>
      <w:tblGrid>
        <w:gridCol w:w="1949"/>
        <w:gridCol w:w="1383"/>
        <w:gridCol w:w="2410"/>
        <w:gridCol w:w="3344"/>
      </w:tblGrid>
      <w:tr w:rsidR="009C049A" w:rsidRPr="009C049A" w:rsidTr="00520F08">
        <w:trPr>
          <w:trHeight w:val="446"/>
        </w:trPr>
        <w:tc>
          <w:tcPr>
            <w:tcW w:w="1949" w:type="dxa"/>
            <w:tcMar>
              <w:top w:w="0" w:type="dxa"/>
              <w:left w:w="30" w:type="dxa"/>
              <w:bottom w:w="0" w:type="dxa"/>
              <w:right w:w="30" w:type="dxa"/>
            </w:tcMar>
            <w:hideMark/>
          </w:tcPr>
          <w:p w:rsidR="009C049A" w:rsidRPr="009C049A" w:rsidRDefault="009C049A" w:rsidP="008C3320">
            <w:pPr>
              <w:autoSpaceDE w:val="0"/>
              <w:autoSpaceDN w:val="0"/>
              <w:rPr>
                <w:rFonts w:cs="Times New Roman"/>
                <w:b/>
                <w:bCs/>
                <w:color w:val="000000"/>
                <w:sz w:val="22"/>
                <w:lang w:eastAsia="lv-LV"/>
              </w:rPr>
            </w:pPr>
            <w:r w:rsidRPr="009C049A">
              <w:rPr>
                <w:rFonts w:cs="Times New Roman"/>
                <w:b/>
                <w:bCs/>
                <w:color w:val="000000"/>
                <w:sz w:val="22"/>
                <w:lang w:eastAsia="lv-LV"/>
              </w:rPr>
              <w:t>VALSTS ĒKAS ar platību VIRS 500 m</w:t>
            </w:r>
            <w:r w:rsidRPr="009C049A">
              <w:rPr>
                <w:rFonts w:cs="Times New Roman"/>
                <w:b/>
                <w:bCs/>
                <w:color w:val="000000"/>
                <w:sz w:val="22"/>
                <w:vertAlign w:val="superscript"/>
                <w:lang w:eastAsia="lv-LV"/>
              </w:rPr>
              <w:t>2</w:t>
            </w:r>
            <w:r w:rsidRPr="009C049A">
              <w:rPr>
                <w:rFonts w:cs="Times New Roman"/>
                <w:b/>
                <w:bCs/>
                <w:color w:val="000000"/>
                <w:sz w:val="22"/>
                <w:lang w:eastAsia="lv-LV"/>
              </w:rPr>
              <w:t>no tām:</w:t>
            </w:r>
          </w:p>
        </w:tc>
        <w:tc>
          <w:tcPr>
            <w:tcW w:w="138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Skaits</w:t>
            </w:r>
          </w:p>
        </w:tc>
        <w:tc>
          <w:tcPr>
            <w:tcW w:w="24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Kopējā platība, m</w:t>
            </w:r>
            <w:r w:rsidRPr="009C049A">
              <w:rPr>
                <w:rFonts w:cs="Times New Roman"/>
                <w:b/>
                <w:bCs/>
                <w:color w:val="000000"/>
                <w:sz w:val="22"/>
                <w:vertAlign w:val="superscript"/>
                <w:lang w:eastAsia="lv-LV"/>
              </w:rPr>
              <w:t>2</w:t>
            </w:r>
          </w:p>
        </w:tc>
        <w:tc>
          <w:tcPr>
            <w:tcW w:w="334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 xml:space="preserve">Piezīme </w:t>
            </w:r>
          </w:p>
        </w:tc>
      </w:tr>
      <w:tr w:rsidR="009C049A" w:rsidRPr="009C049A" w:rsidTr="00520F08">
        <w:trPr>
          <w:trHeight w:val="446"/>
        </w:trPr>
        <w:tc>
          <w:tcPr>
            <w:tcW w:w="19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biroju ēka</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229</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513018</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izglītības iestādes, mācību ēka,</w:t>
            </w:r>
            <w:r w:rsidR="00274912">
              <w:rPr>
                <w:rFonts w:cs="Times New Roman"/>
                <w:color w:val="000000"/>
                <w:sz w:val="22"/>
                <w:lang w:eastAsia="lv-LV"/>
              </w:rPr>
              <w:t xml:space="preserve"> </w:t>
            </w:r>
            <w:r w:rsidRPr="009C049A">
              <w:rPr>
                <w:rFonts w:cs="Times New Roman"/>
                <w:color w:val="000000"/>
                <w:sz w:val="22"/>
                <w:lang w:eastAsia="lv-LV"/>
              </w:rPr>
              <w:t>darbnīcas, mācību darbnīcas, laboratorija</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191</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702639</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194"/>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dzīvojamā ēka</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37</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73026</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dienesta viesnīcas, kazarmas</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120</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467426</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FB6F95" w:rsidP="008C3320">
            <w:pPr>
              <w:autoSpaceDE w:val="0"/>
              <w:autoSpaceDN w:val="0"/>
              <w:rPr>
                <w:rFonts w:cs="Times New Roman"/>
                <w:color w:val="000000"/>
                <w:sz w:val="22"/>
                <w:lang w:eastAsia="lv-LV"/>
              </w:rPr>
            </w:pPr>
            <w:r>
              <w:rPr>
                <w:rFonts w:cs="Times New Roman"/>
                <w:color w:val="000000"/>
                <w:sz w:val="22"/>
                <w:lang w:eastAsia="lv-LV"/>
              </w:rPr>
              <w:t>ā</w:t>
            </w:r>
            <w:r w:rsidR="009C049A" w:rsidRPr="009C049A">
              <w:rPr>
                <w:rFonts w:cs="Times New Roman"/>
                <w:color w:val="000000"/>
                <w:sz w:val="22"/>
                <w:lang w:eastAsia="lv-LV"/>
              </w:rPr>
              <w:t>rs</w:t>
            </w:r>
            <w:r>
              <w:rPr>
                <w:rFonts w:cs="Times New Roman"/>
                <w:color w:val="000000"/>
                <w:sz w:val="22"/>
                <w:lang w:eastAsia="lv-LV"/>
              </w:rPr>
              <w:t>t</w:t>
            </w:r>
            <w:r w:rsidR="009C049A" w:rsidRPr="009C049A">
              <w:rPr>
                <w:rFonts w:cs="Times New Roman"/>
                <w:color w:val="000000"/>
                <w:sz w:val="22"/>
                <w:lang w:eastAsia="lv-LV"/>
              </w:rPr>
              <w:t>niecības vai veselības</w:t>
            </w:r>
            <w:r w:rsidR="00274912">
              <w:rPr>
                <w:rFonts w:cs="Times New Roman"/>
                <w:color w:val="000000"/>
                <w:sz w:val="22"/>
                <w:lang w:eastAsia="lv-LV"/>
              </w:rPr>
              <w:t xml:space="preserve"> </w:t>
            </w:r>
            <w:r w:rsidR="009C049A" w:rsidRPr="009C049A">
              <w:rPr>
                <w:rFonts w:cs="Times New Roman"/>
                <w:color w:val="000000"/>
                <w:sz w:val="22"/>
                <w:lang w:eastAsia="lv-LV"/>
              </w:rPr>
              <w:t>aprūpes iestāžu ēkas</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84</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421435</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biroju ēka ar dzīvojamām telpām</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7120</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sporta ēka</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22</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45030</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 xml:space="preserve">muzeji un bibliotēkas, grāmatu krātuve, arhīva ēka, ēkas </w:t>
            </w:r>
            <w:proofErr w:type="spellStart"/>
            <w:r w:rsidRPr="009C049A">
              <w:rPr>
                <w:rFonts w:cs="Times New Roman"/>
                <w:color w:val="000000"/>
                <w:sz w:val="22"/>
                <w:lang w:eastAsia="lv-LV"/>
              </w:rPr>
              <w:t>plašizklaides</w:t>
            </w:r>
            <w:proofErr w:type="spellEnd"/>
            <w:r w:rsidRPr="009C049A">
              <w:rPr>
                <w:rFonts w:cs="Times New Roman"/>
                <w:color w:val="000000"/>
                <w:sz w:val="22"/>
                <w:lang w:eastAsia="lv-LV"/>
              </w:rPr>
              <w:t xml:space="preserve"> pasākumiem</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20</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43548</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rūpnieciskās ražošanas ēka (pie LLU, ZM, TM (pie cietumiem),</w:t>
            </w:r>
            <w:r w:rsidR="00D82FE5">
              <w:rPr>
                <w:rFonts w:cs="Times New Roman"/>
                <w:color w:val="000000"/>
                <w:sz w:val="22"/>
                <w:lang w:eastAsia="lv-LV"/>
              </w:rPr>
              <w:t xml:space="preserve"> </w:t>
            </w:r>
            <w:r w:rsidRPr="009C049A">
              <w:rPr>
                <w:rFonts w:cs="Times New Roman"/>
                <w:color w:val="000000"/>
                <w:sz w:val="22"/>
                <w:lang w:eastAsia="lv-LV"/>
              </w:rPr>
              <w:t>IZM un lauku saimniecību nedzīvojamās ēka</w:t>
            </w:r>
            <w:r w:rsidR="00274912">
              <w:rPr>
                <w:rFonts w:cs="Times New Roman"/>
                <w:color w:val="000000"/>
                <w:sz w:val="22"/>
                <w:lang w:eastAsia="lv-LV"/>
              </w:rPr>
              <w:t xml:space="preserve"> </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15</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27432</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 xml:space="preserve">saimniecības ēka (veļas mazgātavas, </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33</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35867</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ugunsdzēsēju depo</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29</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29490</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 xml:space="preserve">cita iepriekš neklasificēta ēka </w:t>
            </w:r>
            <w:r w:rsidRPr="009C049A">
              <w:rPr>
                <w:rFonts w:cs="Times New Roman"/>
                <w:color w:val="000000"/>
                <w:sz w:val="22"/>
                <w:lang w:eastAsia="lv-LV"/>
              </w:rPr>
              <w:lastRenderedPageBreak/>
              <w:t xml:space="preserve">(izolatori </w:t>
            </w:r>
            <w:proofErr w:type="spellStart"/>
            <w:r w:rsidRPr="009C049A">
              <w:rPr>
                <w:rFonts w:cs="Times New Roman"/>
                <w:color w:val="000000"/>
                <w:sz w:val="22"/>
                <w:lang w:eastAsia="lv-LV"/>
              </w:rPr>
              <w:t>u.tml</w:t>
            </w:r>
            <w:proofErr w:type="spellEnd"/>
            <w:r w:rsidRPr="009C049A">
              <w:rPr>
                <w:rFonts w:cs="Times New Roman"/>
                <w:color w:val="000000"/>
                <w:sz w:val="22"/>
                <w:lang w:eastAsia="lv-LV"/>
              </w:rPr>
              <w:t xml:space="preserve">) </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lastRenderedPageBreak/>
              <w:t>32</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41110</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520F08">
        <w:trPr>
          <w:trHeight w:val="446"/>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lastRenderedPageBreak/>
              <w:t>garāžas</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10</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22145</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p>
        </w:tc>
      </w:tr>
      <w:tr w:rsidR="009C049A" w:rsidRPr="009C049A" w:rsidTr="00A71DB3">
        <w:trPr>
          <w:trHeight w:val="6634"/>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kultūrvēsturiskais piemineklis</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140</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426819</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lang w:eastAsia="lv-LV"/>
              </w:rPr>
              <w:t>Saskaņā ar Direktīvas 2012/27</w:t>
            </w:r>
            <w:r w:rsidR="00FB6F95">
              <w:rPr>
                <w:rFonts w:cs="Times New Roman"/>
                <w:color w:val="000000"/>
                <w:sz w:val="22"/>
                <w:lang w:eastAsia="lv-LV"/>
              </w:rPr>
              <w:t>/ES</w:t>
            </w:r>
            <w:r w:rsidRPr="009C049A">
              <w:rPr>
                <w:rFonts w:cs="Times New Roman"/>
                <w:color w:val="000000"/>
                <w:sz w:val="22"/>
                <w:lang w:eastAsia="lv-LV"/>
              </w:rPr>
              <w:t xml:space="preserve"> 5.</w:t>
            </w:r>
            <w:r>
              <w:rPr>
                <w:rFonts w:cs="Times New Roman"/>
                <w:color w:val="000000"/>
                <w:sz w:val="22"/>
                <w:lang w:eastAsia="lv-LV"/>
              </w:rPr>
              <w:t> </w:t>
            </w:r>
            <w:r w:rsidRPr="009C049A">
              <w:rPr>
                <w:rFonts w:cs="Times New Roman"/>
                <w:color w:val="000000"/>
                <w:sz w:val="22"/>
                <w:lang w:eastAsia="lv-LV"/>
              </w:rPr>
              <w:t xml:space="preserve">panta </w:t>
            </w:r>
            <w:r w:rsidR="00FB6F95">
              <w:rPr>
                <w:rFonts w:cs="Times New Roman"/>
                <w:color w:val="000000"/>
                <w:sz w:val="22"/>
                <w:lang w:eastAsia="lv-LV"/>
              </w:rPr>
              <w:t>otro</w:t>
            </w:r>
            <w:r w:rsidR="0090103F">
              <w:rPr>
                <w:rFonts w:cs="Times New Roman"/>
                <w:color w:val="000000"/>
                <w:sz w:val="22"/>
                <w:lang w:eastAsia="lv-LV"/>
              </w:rPr>
              <w:t xml:space="preserve"> </w:t>
            </w:r>
            <w:r w:rsidRPr="009C049A">
              <w:rPr>
                <w:rFonts w:cs="Times New Roman"/>
                <w:color w:val="000000"/>
                <w:sz w:val="22"/>
                <w:lang w:eastAsia="lv-LV"/>
              </w:rPr>
              <w:t xml:space="preserve">punktu dalībvalstis var pieņemt lēmumu nenoteikt vai nepiemērot </w:t>
            </w:r>
            <w:r w:rsidR="00FB6F95">
              <w:rPr>
                <w:rFonts w:cs="Times New Roman"/>
                <w:color w:val="000000"/>
                <w:sz w:val="22"/>
                <w:lang w:eastAsia="lv-LV"/>
              </w:rPr>
              <w:t>pirmajā</w:t>
            </w:r>
            <w:r w:rsidRPr="009C049A">
              <w:rPr>
                <w:rFonts w:cs="Times New Roman"/>
                <w:color w:val="000000"/>
                <w:sz w:val="22"/>
                <w:lang w:eastAsia="lv-LV"/>
              </w:rPr>
              <w:t xml:space="preserve"> punktā minētās prasības šādām ēku kategorijām:</w:t>
            </w:r>
          </w:p>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u w:val="single"/>
                <w:lang w:eastAsia="lv-LV"/>
              </w:rPr>
              <w:t>- ēkām, ko oficiāli aizsargā kā daļu no klasificētas vides vai to īpašās arhitektūras un vēsturiskās vērtības dēļ, tiktāl, ciktāl konkrētu minimālo energoefektivitātes prasību izpilde nepieņemami izmainītu to raksturu vai izskatu;</w:t>
            </w:r>
          </w:p>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lang w:eastAsia="lv-LV"/>
              </w:rPr>
              <w:t>- ēkām, kuras ir bruņoto spēku vai centrālās valdības īpašumā un kalpo valsts aizsardzības mērķiem, izņemot bruņoto spēku un citu valsts aizsardzības iestāžu personālam paredzētas atsevišķas dzīvojamās telpas vai biroja ēkas;</w:t>
            </w:r>
          </w:p>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lang w:eastAsia="lv-LV"/>
              </w:rPr>
              <w:t>- ēkām, kas kalpo par kulta vietām un ko izmanto reliģiskām darbībām.</w:t>
            </w:r>
          </w:p>
        </w:tc>
      </w:tr>
      <w:tr w:rsidR="009C049A" w:rsidRPr="009C049A" w:rsidTr="00A71DB3">
        <w:trPr>
          <w:trHeight w:val="548"/>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ēka nodota e</w:t>
            </w:r>
            <w:r w:rsidR="00A8693C">
              <w:rPr>
                <w:rFonts w:cs="Times New Roman"/>
                <w:color w:val="000000"/>
                <w:sz w:val="22"/>
                <w:lang w:eastAsia="lv-LV"/>
              </w:rPr>
              <w:t>k</w:t>
            </w:r>
            <w:r w:rsidRPr="009C049A">
              <w:rPr>
                <w:rFonts w:cs="Times New Roman"/>
                <w:color w:val="000000"/>
                <w:sz w:val="22"/>
                <w:lang w:eastAsia="lv-LV"/>
              </w:rPr>
              <w:t>spluatācijā</w:t>
            </w:r>
            <w:r w:rsidR="00274912">
              <w:rPr>
                <w:rFonts w:cs="Times New Roman"/>
                <w:color w:val="000000"/>
                <w:sz w:val="22"/>
                <w:lang w:eastAsia="lv-LV"/>
              </w:rPr>
              <w:t xml:space="preserve"> </w:t>
            </w:r>
            <w:r w:rsidRPr="009C049A">
              <w:rPr>
                <w:rFonts w:cs="Times New Roman"/>
                <w:color w:val="000000"/>
                <w:sz w:val="22"/>
                <w:lang w:eastAsia="lv-LV"/>
              </w:rPr>
              <w:t>pēc 2003.</w:t>
            </w:r>
            <w:r>
              <w:rPr>
                <w:rFonts w:cs="Times New Roman"/>
                <w:color w:val="000000"/>
                <w:sz w:val="22"/>
                <w:lang w:eastAsia="lv-LV"/>
              </w:rPr>
              <w:t> </w:t>
            </w:r>
            <w:r w:rsidRPr="009C049A">
              <w:rPr>
                <w:rFonts w:cs="Times New Roman"/>
                <w:color w:val="000000"/>
                <w:sz w:val="22"/>
                <w:lang w:eastAsia="lv-LV"/>
              </w:rPr>
              <w:t>gada</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66</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142479</w:t>
            </w:r>
          </w:p>
        </w:tc>
        <w:tc>
          <w:tcPr>
            <w:tcW w:w="3344"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386287">
            <w:pPr>
              <w:autoSpaceDE w:val="0"/>
              <w:autoSpaceDN w:val="0"/>
              <w:spacing w:after="0" w:line="240" w:lineRule="auto"/>
              <w:rPr>
                <w:rFonts w:cs="Times New Roman"/>
                <w:color w:val="000000"/>
                <w:sz w:val="22"/>
                <w:lang w:eastAsia="lv-LV"/>
              </w:rPr>
            </w:pPr>
            <w:r w:rsidRPr="009C049A">
              <w:rPr>
                <w:rFonts w:cs="Times New Roman"/>
                <w:color w:val="000000"/>
                <w:sz w:val="22"/>
                <w:lang w:eastAsia="lv-LV"/>
              </w:rPr>
              <w:t>Saskaņā ar Direktīvas 2012/27</w:t>
            </w:r>
            <w:r w:rsidR="00FB6F95">
              <w:rPr>
                <w:rFonts w:cs="Times New Roman"/>
                <w:color w:val="000000"/>
                <w:sz w:val="22"/>
                <w:lang w:eastAsia="lv-LV"/>
              </w:rPr>
              <w:t>/ES</w:t>
            </w:r>
            <w:r w:rsidRPr="009C049A">
              <w:rPr>
                <w:rFonts w:cs="Times New Roman"/>
                <w:color w:val="000000"/>
                <w:sz w:val="22"/>
                <w:lang w:eastAsia="lv-LV"/>
              </w:rPr>
              <w:t xml:space="preserve"> par energoefektivitāti 1.</w:t>
            </w:r>
            <w:r>
              <w:rPr>
                <w:rFonts w:cs="Times New Roman"/>
                <w:color w:val="000000"/>
                <w:sz w:val="22"/>
                <w:lang w:eastAsia="lv-LV"/>
              </w:rPr>
              <w:t> </w:t>
            </w:r>
            <w:r w:rsidRPr="009C049A">
              <w:rPr>
                <w:rFonts w:cs="Times New Roman"/>
                <w:color w:val="000000"/>
                <w:sz w:val="22"/>
                <w:lang w:eastAsia="lv-LV"/>
              </w:rPr>
              <w:t xml:space="preserve">panta </w:t>
            </w:r>
            <w:r w:rsidR="00FB6F95">
              <w:rPr>
                <w:rFonts w:cs="Times New Roman"/>
                <w:color w:val="000000"/>
                <w:sz w:val="22"/>
                <w:lang w:eastAsia="lv-LV"/>
              </w:rPr>
              <w:t>otro</w:t>
            </w:r>
            <w:r w:rsidR="0090103F">
              <w:rPr>
                <w:rFonts w:cs="Times New Roman"/>
                <w:color w:val="000000"/>
                <w:sz w:val="22"/>
                <w:lang w:eastAsia="lv-LV"/>
              </w:rPr>
              <w:t xml:space="preserve"> </w:t>
            </w:r>
            <w:r w:rsidRPr="009C049A">
              <w:rPr>
                <w:rFonts w:cs="Times New Roman"/>
                <w:color w:val="000000"/>
                <w:sz w:val="22"/>
                <w:lang w:eastAsia="lv-LV"/>
              </w:rPr>
              <w:t>punktu 3% normu aprēķina, pamatojoties uz attiecīgās dalībvalsts centrālās valdības īpašumā esošo un izmantoto ēku, kuru kopējā izmantojamā platība ir lielāka par 500 m</w:t>
            </w:r>
            <w:r w:rsidRPr="009C049A">
              <w:rPr>
                <w:rFonts w:cs="Times New Roman"/>
                <w:color w:val="000000"/>
                <w:sz w:val="22"/>
                <w:vertAlign w:val="superscript"/>
                <w:lang w:eastAsia="lv-LV"/>
              </w:rPr>
              <w:t>2</w:t>
            </w:r>
            <w:r w:rsidRPr="009C049A">
              <w:rPr>
                <w:rFonts w:cs="Times New Roman"/>
                <w:color w:val="000000"/>
                <w:sz w:val="22"/>
                <w:lang w:eastAsia="lv-LV"/>
              </w:rPr>
              <w:t>, kopējo platību, kas katra gada 1.janvārī neatbilst valsts minimālajām energoefektivitātes prasībām, kuras noteiktas, piemērojot Direktīvas 2010/31/ES 4.</w:t>
            </w:r>
            <w:r>
              <w:rPr>
                <w:rFonts w:cs="Times New Roman"/>
                <w:color w:val="000000"/>
                <w:sz w:val="22"/>
                <w:lang w:eastAsia="lv-LV"/>
              </w:rPr>
              <w:t xml:space="preserve"> pantu (par </w:t>
            </w:r>
            <w:proofErr w:type="spellStart"/>
            <w:r>
              <w:rPr>
                <w:rFonts w:cs="Times New Roman"/>
                <w:color w:val="000000"/>
                <w:sz w:val="22"/>
                <w:lang w:eastAsia="lv-LV"/>
              </w:rPr>
              <w:t>Cost</w:t>
            </w:r>
            <w:proofErr w:type="spellEnd"/>
            <w:r>
              <w:rPr>
                <w:rFonts w:cs="Times New Roman"/>
                <w:color w:val="000000"/>
                <w:sz w:val="22"/>
                <w:lang w:eastAsia="lv-LV"/>
              </w:rPr>
              <w:t xml:space="preserve"> </w:t>
            </w:r>
            <w:proofErr w:type="spellStart"/>
            <w:r>
              <w:rPr>
                <w:rFonts w:cs="Times New Roman"/>
                <w:color w:val="000000"/>
                <w:sz w:val="22"/>
                <w:lang w:eastAsia="lv-LV"/>
              </w:rPr>
              <w:t>optimal</w:t>
            </w:r>
            <w:proofErr w:type="spellEnd"/>
            <w:r>
              <w:rPr>
                <w:rFonts w:cs="Times New Roman"/>
                <w:color w:val="000000"/>
                <w:sz w:val="22"/>
                <w:lang w:eastAsia="lv-LV"/>
              </w:rPr>
              <w:t>). energoefektivitātes prasībām.</w:t>
            </w:r>
          </w:p>
        </w:tc>
      </w:tr>
      <w:tr w:rsidR="009C049A" w:rsidRPr="009C049A" w:rsidTr="00A71DB3">
        <w:trPr>
          <w:trHeight w:val="556"/>
        </w:trPr>
        <w:tc>
          <w:tcPr>
            <w:tcW w:w="1949"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C049A" w:rsidRPr="009C049A" w:rsidRDefault="009C049A" w:rsidP="008C3320">
            <w:pPr>
              <w:autoSpaceDE w:val="0"/>
              <w:autoSpaceDN w:val="0"/>
              <w:rPr>
                <w:rFonts w:cs="Times New Roman"/>
                <w:color w:val="000000"/>
                <w:sz w:val="22"/>
                <w:lang w:eastAsia="lv-LV"/>
              </w:rPr>
            </w:pPr>
            <w:r w:rsidRPr="009C049A">
              <w:rPr>
                <w:rFonts w:cs="Times New Roman"/>
                <w:color w:val="000000"/>
                <w:sz w:val="22"/>
                <w:lang w:eastAsia="lv-LV"/>
              </w:rPr>
              <w:t>noliktavas, sakaru ēkas</w:t>
            </w:r>
          </w:p>
        </w:tc>
        <w:tc>
          <w:tcPr>
            <w:tcW w:w="138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11</w:t>
            </w:r>
          </w:p>
        </w:tc>
        <w:tc>
          <w:tcPr>
            <w:tcW w:w="241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16619</w:t>
            </w:r>
          </w:p>
        </w:tc>
        <w:tc>
          <w:tcPr>
            <w:tcW w:w="334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lang w:eastAsia="lv-LV"/>
              </w:rPr>
              <w:t>Nav atbilstošs lietošanas veids.</w:t>
            </w:r>
          </w:p>
        </w:tc>
      </w:tr>
      <w:tr w:rsidR="009C049A" w:rsidRPr="009C049A" w:rsidTr="00A71DB3">
        <w:trPr>
          <w:trHeight w:val="609"/>
        </w:trPr>
        <w:tc>
          <w:tcPr>
            <w:tcW w:w="194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C049A" w:rsidRPr="009C049A" w:rsidRDefault="009C049A" w:rsidP="00A71DB3">
            <w:pPr>
              <w:autoSpaceDE w:val="0"/>
              <w:autoSpaceDN w:val="0"/>
              <w:rPr>
                <w:rFonts w:cs="Times New Roman"/>
                <w:color w:val="000000"/>
                <w:sz w:val="22"/>
                <w:lang w:eastAsia="lv-LV"/>
              </w:rPr>
            </w:pPr>
            <w:r w:rsidRPr="009C049A">
              <w:rPr>
                <w:rFonts w:cs="Times New Roman"/>
                <w:color w:val="000000"/>
                <w:sz w:val="22"/>
                <w:lang w:eastAsia="lv-LV"/>
              </w:rPr>
              <w:t>nav skaidrs ēkas izmantošanas veids</w:t>
            </w:r>
          </w:p>
        </w:tc>
        <w:tc>
          <w:tcPr>
            <w:tcW w:w="1383"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1</w:t>
            </w:r>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9C049A" w:rsidRPr="009C049A" w:rsidRDefault="009C049A" w:rsidP="00520F08">
            <w:pPr>
              <w:autoSpaceDE w:val="0"/>
              <w:autoSpaceDN w:val="0"/>
              <w:jc w:val="right"/>
              <w:rPr>
                <w:rFonts w:cs="Times New Roman"/>
                <w:color w:val="000000"/>
                <w:sz w:val="22"/>
                <w:lang w:eastAsia="lv-LV"/>
              </w:rPr>
            </w:pPr>
            <w:r w:rsidRPr="009C049A">
              <w:rPr>
                <w:rFonts w:cs="Times New Roman"/>
                <w:color w:val="000000"/>
                <w:sz w:val="22"/>
                <w:lang w:eastAsia="lv-LV"/>
              </w:rPr>
              <w:t>940</w:t>
            </w:r>
          </w:p>
        </w:tc>
        <w:tc>
          <w:tcPr>
            <w:tcW w:w="3344" w:type="dxa"/>
            <w:tcBorders>
              <w:top w:val="nil"/>
              <w:left w:val="nil"/>
              <w:bottom w:val="single" w:sz="8" w:space="0" w:color="auto"/>
              <w:right w:val="single" w:sz="8" w:space="0" w:color="auto"/>
            </w:tcBorders>
            <w:tcMar>
              <w:top w:w="0" w:type="dxa"/>
              <w:left w:w="30" w:type="dxa"/>
              <w:bottom w:w="0" w:type="dxa"/>
              <w:right w:w="30" w:type="dxa"/>
            </w:tcMar>
          </w:tcPr>
          <w:p w:rsidR="009C049A" w:rsidRPr="009C049A" w:rsidRDefault="009C049A" w:rsidP="00520F08">
            <w:pPr>
              <w:autoSpaceDE w:val="0"/>
              <w:autoSpaceDN w:val="0"/>
              <w:rPr>
                <w:rFonts w:cs="Times New Roman"/>
                <w:color w:val="000000"/>
                <w:sz w:val="22"/>
                <w:lang w:eastAsia="lv-LV"/>
              </w:rPr>
            </w:pPr>
            <w:r w:rsidRPr="009C049A">
              <w:rPr>
                <w:rFonts w:cs="Times New Roman"/>
                <w:color w:val="000000"/>
                <w:sz w:val="22"/>
                <w:lang w:eastAsia="lv-LV"/>
              </w:rPr>
              <w:t>Nav atbilstošs lietošanas veids.</w:t>
            </w:r>
          </w:p>
        </w:tc>
      </w:tr>
      <w:tr w:rsidR="009C049A" w:rsidRPr="009C049A" w:rsidTr="00520F08">
        <w:trPr>
          <w:trHeight w:val="446"/>
        </w:trPr>
        <w:tc>
          <w:tcPr>
            <w:tcW w:w="1949" w:type="dxa"/>
            <w:tcMar>
              <w:top w:w="0" w:type="dxa"/>
              <w:left w:w="30" w:type="dxa"/>
              <w:bottom w:w="0" w:type="dxa"/>
              <w:right w:w="30" w:type="dxa"/>
            </w:tcMar>
            <w:hideMark/>
          </w:tcPr>
          <w:p w:rsidR="009C049A" w:rsidRPr="009C049A" w:rsidRDefault="009C049A" w:rsidP="008C3320">
            <w:pPr>
              <w:autoSpaceDE w:val="0"/>
              <w:autoSpaceDN w:val="0"/>
              <w:rPr>
                <w:rFonts w:cs="Times New Roman"/>
                <w:b/>
                <w:bCs/>
                <w:color w:val="000000"/>
                <w:sz w:val="22"/>
                <w:lang w:eastAsia="lv-LV"/>
              </w:rPr>
            </w:pPr>
            <w:r w:rsidRPr="009C049A">
              <w:rPr>
                <w:rFonts w:cs="Times New Roman"/>
                <w:b/>
                <w:bCs/>
                <w:color w:val="000000"/>
                <w:sz w:val="22"/>
                <w:lang w:eastAsia="lv-LV"/>
              </w:rPr>
              <w:t>KOPĀ:</w:t>
            </w:r>
          </w:p>
        </w:tc>
        <w:tc>
          <w:tcPr>
            <w:tcW w:w="1383" w:type="dxa"/>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1044</w:t>
            </w:r>
          </w:p>
        </w:tc>
        <w:tc>
          <w:tcPr>
            <w:tcW w:w="2410" w:type="dxa"/>
            <w:tcMar>
              <w:top w:w="0" w:type="dxa"/>
              <w:left w:w="30" w:type="dxa"/>
              <w:bottom w:w="0" w:type="dxa"/>
              <w:right w:w="30" w:type="dxa"/>
            </w:tcMar>
            <w:hideMark/>
          </w:tcPr>
          <w:p w:rsidR="009C049A" w:rsidRPr="009C049A" w:rsidRDefault="009C049A" w:rsidP="0057682B">
            <w:pPr>
              <w:autoSpaceDE w:val="0"/>
              <w:autoSpaceDN w:val="0"/>
              <w:jc w:val="center"/>
              <w:rPr>
                <w:rFonts w:cs="Times New Roman"/>
                <w:b/>
                <w:bCs/>
                <w:color w:val="000000"/>
                <w:sz w:val="22"/>
                <w:lang w:eastAsia="lv-LV"/>
              </w:rPr>
            </w:pPr>
            <w:r w:rsidRPr="009C049A">
              <w:rPr>
                <w:rFonts w:cs="Times New Roman"/>
                <w:b/>
                <w:bCs/>
                <w:color w:val="000000"/>
                <w:sz w:val="22"/>
                <w:lang w:eastAsia="lv-LV"/>
              </w:rPr>
              <w:t>3 016 14</w:t>
            </w:r>
            <w:r w:rsidR="0057682B">
              <w:rPr>
                <w:rFonts w:cs="Times New Roman"/>
                <w:b/>
                <w:bCs/>
                <w:color w:val="000000"/>
                <w:sz w:val="22"/>
                <w:lang w:eastAsia="lv-LV"/>
              </w:rPr>
              <w:t>3</w:t>
            </w:r>
          </w:p>
        </w:tc>
        <w:tc>
          <w:tcPr>
            <w:tcW w:w="3344" w:type="dxa"/>
            <w:tcMar>
              <w:top w:w="0" w:type="dxa"/>
              <w:left w:w="30" w:type="dxa"/>
              <w:bottom w:w="0" w:type="dxa"/>
              <w:right w:w="30" w:type="dxa"/>
            </w:tcMar>
          </w:tcPr>
          <w:p w:rsidR="009C049A" w:rsidRPr="009C049A" w:rsidRDefault="009C049A" w:rsidP="00520F08">
            <w:pPr>
              <w:autoSpaceDE w:val="0"/>
              <w:autoSpaceDN w:val="0"/>
              <w:jc w:val="right"/>
              <w:rPr>
                <w:rFonts w:cs="Times New Roman"/>
                <w:color w:val="000000"/>
                <w:sz w:val="22"/>
                <w:lang w:eastAsia="lv-LV"/>
              </w:rPr>
            </w:pPr>
          </w:p>
        </w:tc>
      </w:tr>
      <w:tr w:rsidR="009C049A" w:rsidRPr="009C049A" w:rsidTr="00520F08">
        <w:trPr>
          <w:trHeight w:val="446"/>
        </w:trPr>
        <w:tc>
          <w:tcPr>
            <w:tcW w:w="1949" w:type="dxa"/>
            <w:tcBorders>
              <w:top w:val="single" w:sz="8" w:space="0" w:color="auto"/>
              <w:left w:val="single" w:sz="8" w:space="0" w:color="auto"/>
              <w:bottom w:val="single" w:sz="8" w:space="0" w:color="auto"/>
              <w:right w:val="single" w:sz="8" w:space="0" w:color="auto"/>
            </w:tcBorders>
            <w:shd w:val="clear" w:color="auto" w:fill="FFFF00"/>
            <w:tcMar>
              <w:top w:w="0" w:type="dxa"/>
              <w:left w:w="30" w:type="dxa"/>
              <w:bottom w:w="0" w:type="dxa"/>
              <w:right w:w="30" w:type="dxa"/>
            </w:tcMar>
            <w:hideMark/>
          </w:tcPr>
          <w:p w:rsidR="009C049A" w:rsidRPr="009C049A" w:rsidRDefault="009C049A" w:rsidP="008C3320">
            <w:pPr>
              <w:autoSpaceDE w:val="0"/>
              <w:autoSpaceDN w:val="0"/>
              <w:rPr>
                <w:rFonts w:cs="Times New Roman"/>
                <w:b/>
                <w:bCs/>
                <w:color w:val="000000"/>
                <w:sz w:val="22"/>
                <w:lang w:eastAsia="lv-LV"/>
              </w:rPr>
            </w:pPr>
            <w:r w:rsidRPr="009C049A">
              <w:rPr>
                <w:rFonts w:cs="Times New Roman"/>
                <w:b/>
                <w:bCs/>
                <w:color w:val="000000"/>
                <w:sz w:val="22"/>
                <w:lang w:eastAsia="lv-LV"/>
              </w:rPr>
              <w:lastRenderedPageBreak/>
              <w:t>Kopā valsts ēkas, atbilstoši Direktīvas 2012/27/ES</w:t>
            </w:r>
            <w:r w:rsidR="00FB6F95">
              <w:rPr>
                <w:rFonts w:cs="Times New Roman"/>
                <w:b/>
                <w:bCs/>
                <w:color w:val="000000"/>
                <w:sz w:val="22"/>
                <w:lang w:eastAsia="lv-LV"/>
              </w:rPr>
              <w:t xml:space="preserve"> 1.</w:t>
            </w:r>
            <w:r w:rsidR="0090103F">
              <w:rPr>
                <w:rFonts w:cs="Times New Roman"/>
                <w:b/>
                <w:bCs/>
                <w:color w:val="000000"/>
                <w:sz w:val="22"/>
                <w:lang w:eastAsia="lv-LV"/>
              </w:rPr>
              <w:t> </w:t>
            </w:r>
            <w:r w:rsidR="00FB6F95">
              <w:rPr>
                <w:rFonts w:cs="Times New Roman"/>
                <w:b/>
                <w:bCs/>
                <w:color w:val="000000"/>
                <w:sz w:val="22"/>
                <w:lang w:eastAsia="lv-LV"/>
              </w:rPr>
              <w:t>panta pirmā punkta prasībām</w:t>
            </w:r>
          </w:p>
        </w:tc>
        <w:tc>
          <w:tcPr>
            <w:tcW w:w="1383" w:type="dxa"/>
            <w:tcBorders>
              <w:top w:val="single" w:sz="8" w:space="0" w:color="auto"/>
              <w:left w:val="nil"/>
              <w:bottom w:val="single" w:sz="8" w:space="0" w:color="auto"/>
              <w:right w:val="single" w:sz="8" w:space="0" w:color="auto"/>
            </w:tcBorders>
            <w:shd w:val="clear" w:color="auto" w:fill="FFFF00"/>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904</w:t>
            </w:r>
          </w:p>
        </w:tc>
        <w:tc>
          <w:tcPr>
            <w:tcW w:w="2410" w:type="dxa"/>
            <w:tcBorders>
              <w:top w:val="single" w:sz="8" w:space="0" w:color="auto"/>
              <w:left w:val="nil"/>
              <w:bottom w:val="single" w:sz="8" w:space="0" w:color="auto"/>
              <w:right w:val="single" w:sz="8" w:space="0" w:color="auto"/>
            </w:tcBorders>
            <w:shd w:val="clear" w:color="auto" w:fill="FFFF00"/>
            <w:tcMar>
              <w:top w:w="0" w:type="dxa"/>
              <w:left w:w="30" w:type="dxa"/>
              <w:bottom w:w="0" w:type="dxa"/>
              <w:right w:w="30" w:type="dxa"/>
            </w:tcMar>
            <w:hideMark/>
          </w:tcPr>
          <w:p w:rsidR="009C049A" w:rsidRPr="009C049A" w:rsidRDefault="009C049A" w:rsidP="00520F08">
            <w:pPr>
              <w:autoSpaceDE w:val="0"/>
              <w:autoSpaceDN w:val="0"/>
              <w:jc w:val="center"/>
              <w:rPr>
                <w:rFonts w:cs="Times New Roman"/>
                <w:b/>
                <w:bCs/>
                <w:color w:val="000000"/>
                <w:sz w:val="22"/>
                <w:lang w:eastAsia="lv-LV"/>
              </w:rPr>
            </w:pPr>
            <w:r w:rsidRPr="009C049A">
              <w:rPr>
                <w:rFonts w:cs="Times New Roman"/>
                <w:b/>
                <w:bCs/>
                <w:color w:val="000000"/>
                <w:sz w:val="22"/>
                <w:lang w:eastAsia="lv-LV"/>
              </w:rPr>
              <w:t>2 589 322</w:t>
            </w:r>
          </w:p>
        </w:tc>
        <w:tc>
          <w:tcPr>
            <w:tcW w:w="3344" w:type="dxa"/>
            <w:tcMar>
              <w:top w:w="0" w:type="dxa"/>
              <w:left w:w="30" w:type="dxa"/>
              <w:bottom w:w="0" w:type="dxa"/>
              <w:right w:w="30" w:type="dxa"/>
            </w:tcMar>
          </w:tcPr>
          <w:p w:rsidR="009C049A" w:rsidRPr="009C049A" w:rsidRDefault="009C049A" w:rsidP="00520F08">
            <w:pPr>
              <w:autoSpaceDE w:val="0"/>
              <w:autoSpaceDN w:val="0"/>
              <w:jc w:val="center"/>
              <w:rPr>
                <w:rFonts w:cs="Times New Roman"/>
                <w:color w:val="000000"/>
                <w:sz w:val="22"/>
                <w:lang w:eastAsia="lv-LV"/>
              </w:rPr>
            </w:pPr>
          </w:p>
        </w:tc>
      </w:tr>
    </w:tbl>
    <w:p w:rsidR="00FB5564" w:rsidRPr="00FB5564" w:rsidRDefault="00AA70E3" w:rsidP="00FB5564">
      <w:pPr>
        <w:pStyle w:val="Heading3"/>
        <w:spacing w:after="120"/>
      </w:pPr>
      <w:bookmarkStart w:id="38" w:name="_Toc387237980"/>
      <w:r w:rsidRPr="00FB5564">
        <w:rPr>
          <w:rStyle w:val="Heading3Char"/>
          <w:b/>
          <w:bCs/>
        </w:rPr>
        <w:t>3.3.2. Citu publisko struktūru ēku energoefektivitāte</w:t>
      </w:r>
      <w:bookmarkEnd w:id="38"/>
      <w:r w:rsidRPr="00FB5564">
        <w:t xml:space="preserve"> </w:t>
      </w:r>
    </w:p>
    <w:p w:rsidR="00B7439C" w:rsidRPr="003D48F5" w:rsidRDefault="00EB06B1" w:rsidP="00EB06B1">
      <w:pPr>
        <w:pStyle w:val="Default"/>
        <w:jc w:val="both"/>
        <w:rPr>
          <w:sz w:val="28"/>
          <w:szCs w:val="28"/>
        </w:rPr>
      </w:pPr>
      <w:r w:rsidRPr="003D48F5">
        <w:tab/>
      </w:r>
      <w:r w:rsidRPr="003D48F5">
        <w:rPr>
          <w:sz w:val="28"/>
          <w:szCs w:val="28"/>
        </w:rPr>
        <w:t>Latvijas Nacionālajā</w:t>
      </w:r>
      <w:r w:rsidR="006E7C86">
        <w:rPr>
          <w:sz w:val="28"/>
          <w:szCs w:val="28"/>
        </w:rPr>
        <w:t xml:space="preserve"> attīstības plānā 2014. – 2020. </w:t>
      </w:r>
      <w:r w:rsidRPr="003D48F5">
        <w:rPr>
          <w:sz w:val="28"/>
          <w:szCs w:val="28"/>
        </w:rPr>
        <w:t>gadam kā veicamie uzdevumi</w:t>
      </w:r>
      <w:r w:rsidR="00B7439C" w:rsidRPr="003D48F5">
        <w:rPr>
          <w:sz w:val="28"/>
          <w:szCs w:val="28"/>
        </w:rPr>
        <w:t xml:space="preserve"> saistībā ar </w:t>
      </w:r>
      <w:r w:rsidR="00492A28" w:rsidRPr="003D48F5">
        <w:rPr>
          <w:sz w:val="28"/>
          <w:szCs w:val="28"/>
        </w:rPr>
        <w:t xml:space="preserve">publiskā sektora </w:t>
      </w:r>
      <w:r w:rsidR="00B7439C" w:rsidRPr="003D48F5">
        <w:rPr>
          <w:sz w:val="28"/>
          <w:szCs w:val="28"/>
        </w:rPr>
        <w:t>energoefektivitāti</w:t>
      </w:r>
      <w:r w:rsidRPr="003D48F5">
        <w:rPr>
          <w:sz w:val="28"/>
          <w:szCs w:val="28"/>
        </w:rPr>
        <w:t xml:space="preserve"> ir noteikti </w:t>
      </w:r>
      <w:r w:rsidR="00B7439C" w:rsidRPr="003D48F5">
        <w:rPr>
          <w:sz w:val="28"/>
          <w:szCs w:val="28"/>
        </w:rPr>
        <w:t>:</w:t>
      </w:r>
    </w:p>
    <w:p w:rsidR="00EB06B1" w:rsidRPr="008C3320" w:rsidRDefault="00B7439C" w:rsidP="00CE55AA">
      <w:pPr>
        <w:pStyle w:val="Default"/>
        <w:numPr>
          <w:ilvl w:val="0"/>
          <w:numId w:val="20"/>
        </w:numPr>
        <w:jc w:val="both"/>
        <w:rPr>
          <w:sz w:val="28"/>
          <w:szCs w:val="28"/>
        </w:rPr>
      </w:pPr>
      <w:r w:rsidRPr="003D48F5">
        <w:rPr>
          <w:sz w:val="28"/>
          <w:szCs w:val="28"/>
        </w:rPr>
        <w:t>p</w:t>
      </w:r>
      <w:r w:rsidR="00EB06B1" w:rsidRPr="003D48F5">
        <w:rPr>
          <w:sz w:val="28"/>
          <w:szCs w:val="28"/>
        </w:rPr>
        <w:t xml:space="preserve">ašvaldību </w:t>
      </w:r>
      <w:proofErr w:type="spellStart"/>
      <w:r w:rsidR="00EB06B1" w:rsidRPr="003D48F5">
        <w:rPr>
          <w:sz w:val="28"/>
          <w:szCs w:val="28"/>
        </w:rPr>
        <w:t>energoplānu</w:t>
      </w:r>
      <w:proofErr w:type="spellEnd"/>
      <w:r w:rsidR="00EB06B1" w:rsidRPr="003D48F5">
        <w:rPr>
          <w:sz w:val="28"/>
          <w:szCs w:val="28"/>
        </w:rPr>
        <w:t xml:space="preserve"> izstrāde, paredzot kompleksus pasākumus energoefektivitātes veicināšanai un pārejai u</w:t>
      </w:r>
      <w:r w:rsidR="008C3320">
        <w:rPr>
          <w:sz w:val="28"/>
          <w:szCs w:val="28"/>
        </w:rPr>
        <w:t xml:space="preserve">z atjaunojamiem energoresursiem </w:t>
      </w:r>
      <w:r w:rsidR="008C3320" w:rsidRPr="00754A79">
        <w:rPr>
          <w:sz w:val="28"/>
          <w:szCs w:val="28"/>
        </w:rPr>
        <w:t xml:space="preserve">(indikatīvais finansējuma avots - </w:t>
      </w:r>
      <w:r w:rsidR="0041175C">
        <w:rPr>
          <w:sz w:val="28"/>
          <w:szCs w:val="28"/>
        </w:rPr>
        <w:t>pašvaldību</w:t>
      </w:r>
      <w:r w:rsidR="00B35ABC">
        <w:rPr>
          <w:sz w:val="28"/>
          <w:szCs w:val="28"/>
        </w:rPr>
        <w:t xml:space="preserve"> budžeta</w:t>
      </w:r>
      <w:r w:rsidR="008C3320" w:rsidRPr="001A3E41">
        <w:rPr>
          <w:sz w:val="28"/>
          <w:szCs w:val="28"/>
        </w:rPr>
        <w:t xml:space="preserve"> finansējums</w:t>
      </w:r>
      <w:r w:rsidR="008C3320">
        <w:rPr>
          <w:sz w:val="22"/>
          <w:szCs w:val="22"/>
        </w:rPr>
        <w:t>);</w:t>
      </w:r>
    </w:p>
    <w:p w:rsidR="008C3320" w:rsidRPr="00754A79" w:rsidRDefault="008C3320" w:rsidP="008C3320">
      <w:pPr>
        <w:pStyle w:val="Default"/>
        <w:numPr>
          <w:ilvl w:val="0"/>
          <w:numId w:val="20"/>
        </w:numPr>
        <w:jc w:val="both"/>
        <w:rPr>
          <w:sz w:val="28"/>
          <w:szCs w:val="28"/>
        </w:rPr>
      </w:pPr>
      <w:r>
        <w:rPr>
          <w:sz w:val="28"/>
          <w:szCs w:val="28"/>
        </w:rPr>
        <w:t>ņ</w:t>
      </w:r>
      <w:r w:rsidRPr="001A3E41">
        <w:rPr>
          <w:sz w:val="28"/>
          <w:szCs w:val="28"/>
        </w:rPr>
        <w:t>emot vērā, ka atbilstoši ES fondu 2014. –</w:t>
      </w:r>
      <w:r>
        <w:rPr>
          <w:sz w:val="28"/>
          <w:szCs w:val="28"/>
        </w:rPr>
        <w:t xml:space="preserve"> </w:t>
      </w:r>
      <w:r w:rsidRPr="001A3E41">
        <w:rPr>
          <w:sz w:val="28"/>
          <w:szCs w:val="28"/>
        </w:rPr>
        <w:t>2020.</w:t>
      </w:r>
      <w:r>
        <w:rPr>
          <w:sz w:val="28"/>
          <w:szCs w:val="28"/>
        </w:rPr>
        <w:t> </w:t>
      </w:r>
      <w:r w:rsidRPr="001A3E41">
        <w:rPr>
          <w:sz w:val="28"/>
          <w:szCs w:val="28"/>
        </w:rPr>
        <w:t xml:space="preserve">gada plānošanas perioda darbības programmā „Izaugsme un nodarbinātība” plānotajam, energoefektivitātes uzlabošana pašvaldības ēkās tiks īstenota integrētas pilsētvides attīstības investīciju ietvaros, nacionālas nozīmes attīstības centru gadījumā </w:t>
      </w:r>
      <w:proofErr w:type="spellStart"/>
      <w:r w:rsidRPr="001A3E41">
        <w:rPr>
          <w:sz w:val="28"/>
          <w:szCs w:val="28"/>
        </w:rPr>
        <w:t>energoplāniem</w:t>
      </w:r>
      <w:proofErr w:type="spellEnd"/>
      <w:r w:rsidRPr="001A3E41">
        <w:rPr>
          <w:sz w:val="28"/>
          <w:szCs w:val="28"/>
        </w:rPr>
        <w:t xml:space="preserve"> jābūt iekļautiem pašvaldību attīstības plānos.</w:t>
      </w:r>
    </w:p>
    <w:p w:rsidR="00B7439C" w:rsidRPr="003D48F5" w:rsidRDefault="004E183B" w:rsidP="00CE55AA">
      <w:pPr>
        <w:pStyle w:val="Default"/>
        <w:numPr>
          <w:ilvl w:val="0"/>
          <w:numId w:val="20"/>
        </w:numPr>
        <w:jc w:val="both"/>
        <w:rPr>
          <w:sz w:val="28"/>
          <w:szCs w:val="28"/>
        </w:rPr>
      </w:pPr>
      <w:r>
        <w:rPr>
          <w:sz w:val="28"/>
          <w:szCs w:val="28"/>
        </w:rPr>
        <w:t>e</w:t>
      </w:r>
      <w:r w:rsidR="00B7439C" w:rsidRPr="003D48F5">
        <w:rPr>
          <w:sz w:val="28"/>
          <w:szCs w:val="28"/>
        </w:rPr>
        <w:t>nergoefektivitātes programmas valsts un paš</w:t>
      </w:r>
      <w:r>
        <w:rPr>
          <w:sz w:val="28"/>
          <w:szCs w:val="28"/>
        </w:rPr>
        <w:t>valdību sabiedrisko ēku sektorā.</w:t>
      </w:r>
    </w:p>
    <w:p w:rsidR="00FD0E8D" w:rsidRDefault="00FD0E8D" w:rsidP="00394635">
      <w:pPr>
        <w:pStyle w:val="Default"/>
        <w:ind w:firstLine="720"/>
        <w:jc w:val="both"/>
        <w:rPr>
          <w:sz w:val="28"/>
          <w:szCs w:val="28"/>
        </w:rPr>
      </w:pPr>
      <w:r>
        <w:rPr>
          <w:sz w:val="28"/>
          <w:szCs w:val="28"/>
        </w:rPr>
        <w:t>Šobrīd nav informācija par publiskajām struktūrām, kas būtu izstrādājušas ener</w:t>
      </w:r>
      <w:r w:rsidR="00146202">
        <w:rPr>
          <w:sz w:val="28"/>
          <w:szCs w:val="28"/>
        </w:rPr>
        <w:t>goefektivitātes rīcības plānus.</w:t>
      </w:r>
    </w:p>
    <w:p w:rsidR="00146202" w:rsidRPr="00146202" w:rsidRDefault="00146202" w:rsidP="002E17DC">
      <w:pPr>
        <w:pStyle w:val="Default"/>
        <w:jc w:val="both"/>
        <w:rPr>
          <w:sz w:val="28"/>
          <w:szCs w:val="28"/>
        </w:rPr>
      </w:pPr>
      <w:r>
        <w:rPr>
          <w:sz w:val="28"/>
          <w:szCs w:val="28"/>
        </w:rPr>
        <w:tab/>
      </w:r>
      <w:r w:rsidRPr="00146202">
        <w:rPr>
          <w:sz w:val="28"/>
          <w:szCs w:val="28"/>
        </w:rPr>
        <w:t xml:space="preserve">Nākamajā 2014. – 2020. gada plānošanas periodā valsts un mājokļu energoefektivitātes paaugstināšanai </w:t>
      </w:r>
      <w:r w:rsidR="00102E18">
        <w:rPr>
          <w:sz w:val="28"/>
          <w:szCs w:val="28"/>
        </w:rPr>
        <w:t xml:space="preserve">indikatīvi </w:t>
      </w:r>
      <w:r w:rsidRPr="00146202">
        <w:rPr>
          <w:sz w:val="28"/>
          <w:szCs w:val="28"/>
        </w:rPr>
        <w:t>plānotais Kohēzijas politikas finansējums</w:t>
      </w:r>
      <w:r w:rsidR="00102E18">
        <w:rPr>
          <w:sz w:val="28"/>
          <w:szCs w:val="28"/>
        </w:rPr>
        <w:t xml:space="preserve"> ir 247,86 </w:t>
      </w:r>
      <w:proofErr w:type="spellStart"/>
      <w:r w:rsidR="00102E18">
        <w:rPr>
          <w:sz w:val="28"/>
          <w:szCs w:val="28"/>
        </w:rPr>
        <w:t>milj</w:t>
      </w:r>
      <w:proofErr w:type="spellEnd"/>
      <w:r w:rsidR="00102E18">
        <w:rPr>
          <w:sz w:val="28"/>
          <w:szCs w:val="28"/>
        </w:rPr>
        <w:t>. EUR</w:t>
      </w:r>
      <w:r w:rsidRPr="00146202">
        <w:rPr>
          <w:sz w:val="28"/>
          <w:szCs w:val="28"/>
        </w:rPr>
        <w:t>.</w:t>
      </w:r>
    </w:p>
    <w:p w:rsidR="00FD0E8D" w:rsidRPr="003D48F5" w:rsidRDefault="00FD0E8D" w:rsidP="002E17DC">
      <w:pPr>
        <w:pStyle w:val="Default"/>
        <w:jc w:val="both"/>
        <w:rPr>
          <w:sz w:val="28"/>
          <w:szCs w:val="28"/>
        </w:rPr>
      </w:pPr>
      <w:r>
        <w:rPr>
          <w:sz w:val="28"/>
          <w:szCs w:val="28"/>
        </w:rPr>
        <w:tab/>
      </w:r>
      <w:r>
        <w:rPr>
          <w:sz w:val="28"/>
          <w:szCs w:val="28"/>
        </w:rPr>
        <w:tab/>
        <w:t xml:space="preserve"> </w:t>
      </w:r>
    </w:p>
    <w:p w:rsidR="00FB5564" w:rsidRPr="00FB5564" w:rsidRDefault="00AA70E3" w:rsidP="00EA4DBD">
      <w:pPr>
        <w:pStyle w:val="Heading3"/>
        <w:spacing w:after="120" w:line="240" w:lineRule="auto"/>
      </w:pPr>
      <w:bookmarkStart w:id="39" w:name="_Toc387237981"/>
      <w:r w:rsidRPr="00FB5564">
        <w:rPr>
          <w:rStyle w:val="Heading3Char"/>
          <w:b/>
          <w:bCs/>
        </w:rPr>
        <w:t>3.3.3. Publisko struktūru iepirkumi</w:t>
      </w:r>
      <w:bookmarkEnd w:id="39"/>
      <w:r w:rsidRPr="00FB5564">
        <w:t xml:space="preserve"> </w:t>
      </w:r>
    </w:p>
    <w:p w:rsidR="00EA4DBD" w:rsidRPr="00EA4DBD" w:rsidRDefault="00EA4DBD" w:rsidP="00EA4DBD">
      <w:pPr>
        <w:spacing w:after="0" w:line="240" w:lineRule="auto"/>
        <w:jc w:val="both"/>
        <w:rPr>
          <w:rFonts w:cs="Times New Roman"/>
          <w:szCs w:val="28"/>
          <w:u w:val="single"/>
        </w:rPr>
      </w:pPr>
      <w:r w:rsidRPr="00EA4DBD">
        <w:rPr>
          <w:rFonts w:cs="Times New Roman"/>
          <w:szCs w:val="28"/>
          <w:u w:val="single"/>
        </w:rPr>
        <w:t>Ieviestie pasākumi</w:t>
      </w:r>
    </w:p>
    <w:p w:rsidR="00EA4DBD" w:rsidRDefault="00EA4DBD" w:rsidP="00EA4DBD">
      <w:pPr>
        <w:spacing w:after="0" w:line="240" w:lineRule="auto"/>
        <w:ind w:firstLine="720"/>
        <w:jc w:val="both"/>
        <w:rPr>
          <w:rFonts w:cs="Times New Roman"/>
          <w:szCs w:val="28"/>
        </w:rPr>
      </w:pPr>
      <w:r>
        <w:rPr>
          <w:rFonts w:cs="Times New Roman"/>
          <w:szCs w:val="28"/>
        </w:rPr>
        <w:t xml:space="preserve">Pašlaik Latvijā ir veikti vairāki pasākumi, lai veicinātu </w:t>
      </w:r>
      <w:proofErr w:type="spellStart"/>
      <w:r>
        <w:rPr>
          <w:rFonts w:cs="Times New Roman"/>
          <w:szCs w:val="28"/>
        </w:rPr>
        <w:t>energoefektīvu</w:t>
      </w:r>
      <w:proofErr w:type="spellEnd"/>
      <w:r w:rsidR="00274912">
        <w:rPr>
          <w:rFonts w:cs="Times New Roman"/>
          <w:szCs w:val="28"/>
        </w:rPr>
        <w:t xml:space="preserve"> </w:t>
      </w:r>
      <w:r w:rsidRPr="00FE1A6E">
        <w:rPr>
          <w:rFonts w:cs="Times New Roman"/>
          <w:szCs w:val="28"/>
        </w:rPr>
        <w:t>pre</w:t>
      </w:r>
      <w:r>
        <w:rPr>
          <w:rFonts w:cs="Times New Roman"/>
          <w:szCs w:val="28"/>
        </w:rPr>
        <w:t>ču</w:t>
      </w:r>
      <w:r w:rsidRPr="00FE1A6E">
        <w:rPr>
          <w:rFonts w:cs="Times New Roman"/>
          <w:szCs w:val="28"/>
        </w:rPr>
        <w:t>, pakalpojumu un ēk</w:t>
      </w:r>
      <w:r>
        <w:rPr>
          <w:rFonts w:cs="Times New Roman"/>
          <w:szCs w:val="28"/>
        </w:rPr>
        <w:t xml:space="preserve">u iepirkumus publiskajā sektorā. Šiem pasākumiem ir </w:t>
      </w:r>
      <w:r w:rsidR="00FB6F95">
        <w:rPr>
          <w:rFonts w:cs="Times New Roman"/>
          <w:szCs w:val="28"/>
        </w:rPr>
        <w:t xml:space="preserve">ieteikuma </w:t>
      </w:r>
      <w:r>
        <w:rPr>
          <w:rFonts w:cs="Times New Roman"/>
          <w:szCs w:val="28"/>
        </w:rPr>
        <w:t>raksturs gan attiecībā uz valsts, gan citām publiskām struktūrām.</w:t>
      </w:r>
      <w:r w:rsidR="00274912">
        <w:rPr>
          <w:rFonts w:cs="Times New Roman"/>
          <w:szCs w:val="28"/>
        </w:rPr>
        <w:t xml:space="preserve"> </w:t>
      </w:r>
    </w:p>
    <w:p w:rsidR="00EA4DBD" w:rsidRDefault="006E7C86" w:rsidP="00EA4DBD">
      <w:pPr>
        <w:spacing w:after="0" w:line="240" w:lineRule="auto"/>
        <w:ind w:firstLine="720"/>
        <w:jc w:val="both"/>
        <w:rPr>
          <w:rFonts w:cs="Times New Roman"/>
          <w:szCs w:val="28"/>
        </w:rPr>
      </w:pPr>
      <w:r>
        <w:rPr>
          <w:rFonts w:cs="Times New Roman"/>
          <w:szCs w:val="28"/>
        </w:rPr>
        <w:t>Ministru kabinets 2008. gada 22. </w:t>
      </w:r>
      <w:r w:rsidR="00EA4DBD" w:rsidRPr="001844E0">
        <w:rPr>
          <w:rFonts w:cs="Times New Roman"/>
          <w:szCs w:val="28"/>
        </w:rPr>
        <w:t>decembra sēdē (</w:t>
      </w:r>
      <w:proofErr w:type="spellStart"/>
      <w:r w:rsidR="00EA4DBD" w:rsidRPr="001844E0">
        <w:rPr>
          <w:rFonts w:cs="Times New Roman"/>
          <w:szCs w:val="28"/>
        </w:rPr>
        <w:t>prot</w:t>
      </w:r>
      <w:proofErr w:type="spellEnd"/>
      <w:r w:rsidR="00EA4DBD" w:rsidRPr="001844E0">
        <w:rPr>
          <w:rFonts w:cs="Times New Roman"/>
          <w:szCs w:val="28"/>
        </w:rPr>
        <w:t xml:space="preserve">. </w:t>
      </w:r>
      <w:proofErr w:type="spellStart"/>
      <w:r w:rsidR="00EA4DBD" w:rsidRPr="001844E0">
        <w:rPr>
          <w:rFonts w:cs="Times New Roman"/>
          <w:szCs w:val="28"/>
        </w:rPr>
        <w:t>Nr</w:t>
      </w:r>
      <w:proofErr w:type="spellEnd"/>
      <w:r w:rsidR="00EA4DBD" w:rsidRPr="001844E0">
        <w:rPr>
          <w:rFonts w:cs="Times New Roman"/>
          <w:szCs w:val="28"/>
        </w:rPr>
        <w:t>. 94, 92 §)</w:t>
      </w:r>
      <w:r w:rsidR="00274912">
        <w:rPr>
          <w:rFonts w:cs="Times New Roman"/>
          <w:szCs w:val="28"/>
        </w:rPr>
        <w:t xml:space="preserve"> </w:t>
      </w:r>
      <w:r w:rsidR="00EA4DBD" w:rsidRPr="001844E0">
        <w:rPr>
          <w:rFonts w:cs="Times New Roman"/>
          <w:szCs w:val="28"/>
        </w:rPr>
        <w:t>apstiprināja Informatīvo ziņojumu "Par ieteikumiem zaļā publiskā iepirkuma veicināšanai valsts un pašvaldību institūcijās un ieteikumiem videi drau</w:t>
      </w:r>
      <w:r w:rsidR="00EA4DBD">
        <w:rPr>
          <w:rFonts w:cs="Times New Roman"/>
          <w:szCs w:val="28"/>
        </w:rPr>
        <w:t>dzīgas būvniecības veicināšana”</w:t>
      </w:r>
      <w:r w:rsidR="00EA4DBD" w:rsidRPr="001844E0">
        <w:rPr>
          <w:rFonts w:cs="Times New Roman"/>
          <w:szCs w:val="28"/>
        </w:rPr>
        <w:t>,</w:t>
      </w:r>
      <w:r w:rsidR="00EA4DBD">
        <w:rPr>
          <w:rFonts w:cs="Times New Roman"/>
          <w:szCs w:val="28"/>
        </w:rPr>
        <w:t xml:space="preserve"> </w:t>
      </w:r>
      <w:r w:rsidR="00EA4DBD" w:rsidRPr="001844E0">
        <w:rPr>
          <w:rFonts w:cs="Times New Roman"/>
          <w:szCs w:val="28"/>
        </w:rPr>
        <w:t xml:space="preserve">kas ietver </w:t>
      </w:r>
      <w:r w:rsidR="00EA4DBD">
        <w:rPr>
          <w:rFonts w:cs="Times New Roman"/>
          <w:szCs w:val="28"/>
        </w:rPr>
        <w:t>detalizētu rekomendāciju dokumentu „</w:t>
      </w:r>
      <w:r w:rsidR="00EA4DBD" w:rsidRPr="001C57BD">
        <w:rPr>
          <w:rFonts w:cs="Times New Roman"/>
          <w:szCs w:val="28"/>
        </w:rPr>
        <w:t>Ieteikumi</w:t>
      </w:r>
      <w:r w:rsidR="00EA4DBD">
        <w:rPr>
          <w:rFonts w:cs="Times New Roman"/>
          <w:szCs w:val="28"/>
        </w:rPr>
        <w:t xml:space="preserve"> </w:t>
      </w:r>
      <w:r w:rsidR="00EA4DBD" w:rsidRPr="001C57BD">
        <w:rPr>
          <w:rFonts w:cs="Times New Roman"/>
          <w:szCs w:val="28"/>
        </w:rPr>
        <w:t>zaļā publiskā iepirkuma veicināšanai</w:t>
      </w:r>
      <w:r w:rsidR="00EA4DBD">
        <w:rPr>
          <w:rFonts w:cs="Times New Roman"/>
          <w:szCs w:val="28"/>
        </w:rPr>
        <w:t xml:space="preserve"> </w:t>
      </w:r>
      <w:r w:rsidR="00EA4DBD" w:rsidRPr="001C57BD">
        <w:rPr>
          <w:rFonts w:cs="Times New Roman"/>
          <w:szCs w:val="28"/>
        </w:rPr>
        <w:t>valsts un pašvaldību institūcijās</w:t>
      </w:r>
      <w:r w:rsidR="00EA4DBD">
        <w:rPr>
          <w:rFonts w:cs="Times New Roman"/>
          <w:szCs w:val="28"/>
        </w:rPr>
        <w:t xml:space="preserve">”. </w:t>
      </w:r>
      <w:r w:rsidR="00EA4DBD" w:rsidRPr="001844E0">
        <w:rPr>
          <w:rFonts w:cs="Times New Roman"/>
          <w:szCs w:val="28"/>
        </w:rPr>
        <w:t>Iepirkumu uzraudzības birojs minētos ieteikumus</w:t>
      </w:r>
      <w:r w:rsidR="0090103F">
        <w:rPr>
          <w:rFonts w:cs="Times New Roman"/>
          <w:szCs w:val="28"/>
        </w:rPr>
        <w:t xml:space="preserve"> publicējis savā tīmekļa vietnē</w:t>
      </w:r>
      <w:r w:rsidR="00EA4DBD" w:rsidRPr="001844E0">
        <w:rPr>
          <w:rFonts w:cs="Times New Roman"/>
          <w:szCs w:val="28"/>
        </w:rPr>
        <w:t xml:space="preserve"> - </w:t>
      </w:r>
      <w:hyperlink r:id="rId29" w:history="1">
        <w:r w:rsidR="00EA4DBD" w:rsidRPr="006806A9">
          <w:rPr>
            <w:rStyle w:val="Hyperlink"/>
            <w:rFonts w:cs="Times New Roman"/>
          </w:rPr>
          <w:t>http://www.iub.gov.lv/node/63</w:t>
        </w:r>
      </w:hyperlink>
      <w:r w:rsidR="00EA4DBD" w:rsidRPr="001844E0">
        <w:rPr>
          <w:rFonts w:cs="Times New Roman"/>
          <w:szCs w:val="28"/>
        </w:rPr>
        <w:t xml:space="preserve">. </w:t>
      </w:r>
      <w:r w:rsidR="001B2D43">
        <w:rPr>
          <w:rFonts w:cs="Times New Roman"/>
          <w:szCs w:val="28"/>
        </w:rPr>
        <w:t xml:space="preserve">Ieteikumi </w:t>
      </w:r>
      <w:r w:rsidR="00EA4DBD">
        <w:rPr>
          <w:rFonts w:cs="Times New Roman"/>
          <w:szCs w:val="28"/>
        </w:rPr>
        <w:t xml:space="preserve">satur atsauces uz tiesību aktiem iepirkumu jomā, </w:t>
      </w:r>
      <w:r w:rsidR="00EA4DBD" w:rsidRPr="00FE1A6E">
        <w:rPr>
          <w:rFonts w:cs="Times New Roman"/>
          <w:szCs w:val="28"/>
        </w:rPr>
        <w:t>paraugus energoefekt</w:t>
      </w:r>
      <w:r w:rsidR="00EA4DBD">
        <w:rPr>
          <w:rFonts w:cs="Times New Roman"/>
          <w:szCs w:val="28"/>
        </w:rPr>
        <w:t xml:space="preserve">ivitātes kritēriju iekļaušanai iepirkumu nosacījumos, kā arī paskaidrojumus attiecībā uz kritēriju praktisku pielietošanu. </w:t>
      </w:r>
    </w:p>
    <w:p w:rsidR="00EA4DBD" w:rsidRDefault="00EA4DBD" w:rsidP="00EA4DBD">
      <w:pPr>
        <w:spacing w:after="0" w:line="240" w:lineRule="auto"/>
        <w:ind w:firstLine="720"/>
        <w:jc w:val="both"/>
        <w:rPr>
          <w:rFonts w:cs="Times New Roman"/>
          <w:szCs w:val="28"/>
        </w:rPr>
      </w:pPr>
      <w:r>
        <w:rPr>
          <w:rFonts w:cs="Times New Roman"/>
          <w:szCs w:val="28"/>
        </w:rPr>
        <w:lastRenderedPageBreak/>
        <w:t>Prasības attiecībā uz zaļā iepirkuma kritēriju izmantošanu ir iekļaut</w:t>
      </w:r>
      <w:r w:rsidR="001B2D43">
        <w:rPr>
          <w:rFonts w:cs="Times New Roman"/>
          <w:szCs w:val="28"/>
        </w:rPr>
        <w:t>as</w:t>
      </w:r>
      <w:r>
        <w:rPr>
          <w:rFonts w:cs="Times New Roman"/>
          <w:szCs w:val="28"/>
        </w:rPr>
        <w:t xml:space="preserve"> arī </w:t>
      </w:r>
      <w:r w:rsidR="00A97C69">
        <w:rPr>
          <w:rFonts w:cs="Times New Roman"/>
          <w:szCs w:val="28"/>
        </w:rPr>
        <w:t>KPFI</w:t>
      </w:r>
      <w:r>
        <w:rPr>
          <w:rFonts w:cs="Times New Roman"/>
          <w:szCs w:val="28"/>
        </w:rPr>
        <w:t xml:space="preserve"> atbalsta atklāto konkursu nolikumos.</w:t>
      </w:r>
    </w:p>
    <w:p w:rsidR="00EA4DBD" w:rsidRPr="0059580F" w:rsidRDefault="00BB794E" w:rsidP="00EA4DBD">
      <w:pPr>
        <w:spacing w:after="0" w:line="240" w:lineRule="auto"/>
        <w:ind w:firstLine="720"/>
        <w:jc w:val="both"/>
        <w:rPr>
          <w:rFonts w:cs="Times New Roman"/>
          <w:szCs w:val="28"/>
        </w:rPr>
      </w:pPr>
      <w:r>
        <w:rPr>
          <w:rFonts w:cs="Times New Roman"/>
          <w:szCs w:val="28"/>
        </w:rPr>
        <w:t>2013. gada 9. </w:t>
      </w:r>
      <w:r w:rsidR="00EA4DBD" w:rsidRPr="001844E0">
        <w:rPr>
          <w:rFonts w:cs="Times New Roman"/>
          <w:szCs w:val="28"/>
        </w:rPr>
        <w:t>janvārī spēkā stājās Ēku energoefektivitātes likums</w:t>
      </w:r>
      <w:r w:rsidR="00A97C69">
        <w:rPr>
          <w:rFonts w:cs="Times New Roman"/>
          <w:szCs w:val="28"/>
        </w:rPr>
        <w:t>, kura</w:t>
      </w:r>
      <w:r w:rsidR="00EA4DBD">
        <w:rPr>
          <w:rFonts w:cs="Times New Roman"/>
          <w:szCs w:val="28"/>
        </w:rPr>
        <w:t xml:space="preserve"> </w:t>
      </w:r>
      <w:r w:rsidR="00EA4DBD" w:rsidRPr="0059580F">
        <w:rPr>
          <w:rFonts w:cs="Times New Roman"/>
          <w:szCs w:val="28"/>
        </w:rPr>
        <w:t>7.</w:t>
      </w:r>
      <w:r>
        <w:rPr>
          <w:rFonts w:cs="Times New Roman"/>
          <w:szCs w:val="28"/>
        </w:rPr>
        <w:t> </w:t>
      </w:r>
      <w:r w:rsidR="00EA4DBD" w:rsidRPr="0059580F">
        <w:rPr>
          <w:rFonts w:cs="Times New Roman"/>
          <w:szCs w:val="28"/>
        </w:rPr>
        <w:t xml:space="preserve">pants </w:t>
      </w:r>
      <w:r w:rsidR="00EA4DBD">
        <w:rPr>
          <w:rFonts w:cs="Times New Roman"/>
          <w:szCs w:val="28"/>
        </w:rPr>
        <w:t xml:space="preserve">nosaka, ka </w:t>
      </w:r>
      <w:r w:rsidR="00EA4DBD" w:rsidRPr="0059580F">
        <w:rPr>
          <w:rFonts w:cs="Times New Roman"/>
          <w:szCs w:val="28"/>
        </w:rPr>
        <w:t>valsts vai pašvaldības īpašumā esoš</w:t>
      </w:r>
      <w:r w:rsidR="00EA4DBD">
        <w:rPr>
          <w:rFonts w:cs="Times New Roman"/>
          <w:szCs w:val="28"/>
        </w:rPr>
        <w:t>ām</w:t>
      </w:r>
      <w:r w:rsidR="00EA4DBD" w:rsidRPr="0059580F">
        <w:rPr>
          <w:rFonts w:cs="Times New Roman"/>
          <w:szCs w:val="28"/>
        </w:rPr>
        <w:t xml:space="preserve"> publisk</w:t>
      </w:r>
      <w:r w:rsidR="00EA4DBD">
        <w:rPr>
          <w:rFonts w:cs="Times New Roman"/>
          <w:szCs w:val="28"/>
        </w:rPr>
        <w:t>ām</w:t>
      </w:r>
      <w:r w:rsidR="00EA4DBD" w:rsidRPr="0059580F">
        <w:rPr>
          <w:rFonts w:cs="Times New Roman"/>
          <w:szCs w:val="28"/>
        </w:rPr>
        <w:t xml:space="preserve"> ēk</w:t>
      </w:r>
      <w:r w:rsidR="00EA4DBD">
        <w:rPr>
          <w:rFonts w:cs="Times New Roman"/>
          <w:szCs w:val="28"/>
        </w:rPr>
        <w:t xml:space="preserve">ām obligāti veicama </w:t>
      </w:r>
      <w:proofErr w:type="spellStart"/>
      <w:r w:rsidR="00EA4DBD">
        <w:rPr>
          <w:rFonts w:cs="Times New Roman"/>
          <w:szCs w:val="28"/>
        </w:rPr>
        <w:t>energosertifikācija</w:t>
      </w:r>
      <w:proofErr w:type="spellEnd"/>
      <w:r w:rsidR="00EA4DBD">
        <w:rPr>
          <w:rFonts w:cs="Times New Roman"/>
          <w:szCs w:val="28"/>
        </w:rPr>
        <w:t>, un</w:t>
      </w:r>
      <w:r w:rsidR="0007564A">
        <w:rPr>
          <w:rFonts w:cs="Times New Roman"/>
          <w:szCs w:val="28"/>
        </w:rPr>
        <w:t>,</w:t>
      </w:r>
      <w:r w:rsidR="00EA4DBD">
        <w:rPr>
          <w:rFonts w:cs="Times New Roman"/>
          <w:szCs w:val="28"/>
        </w:rPr>
        <w:t xml:space="preserve"> ka ēkas pircējam vai īrniekam ir tiesības pieprasīt </w:t>
      </w:r>
      <w:proofErr w:type="spellStart"/>
      <w:r w:rsidR="00EA4DBD" w:rsidRPr="0059580F">
        <w:rPr>
          <w:rFonts w:cs="Times New Roman"/>
          <w:szCs w:val="28"/>
        </w:rPr>
        <w:t>energosertifikāciju</w:t>
      </w:r>
      <w:proofErr w:type="spellEnd"/>
      <w:r w:rsidR="00EA4DBD">
        <w:rPr>
          <w:rFonts w:cs="Times New Roman"/>
          <w:szCs w:val="28"/>
        </w:rPr>
        <w:t xml:space="preserve">. </w:t>
      </w:r>
      <w:r w:rsidR="0007564A" w:rsidRPr="001844E0">
        <w:rPr>
          <w:rFonts w:cs="Times New Roman"/>
          <w:szCs w:val="28"/>
        </w:rPr>
        <w:t xml:space="preserve">Ēku energoefektivitātes </w:t>
      </w:r>
      <w:r w:rsidR="0007564A">
        <w:rPr>
          <w:rFonts w:cs="Times New Roman"/>
          <w:szCs w:val="28"/>
        </w:rPr>
        <w:t>l</w:t>
      </w:r>
      <w:r w:rsidR="00EA4DBD">
        <w:rPr>
          <w:rFonts w:cs="Times New Roman"/>
          <w:szCs w:val="28"/>
        </w:rPr>
        <w:t xml:space="preserve">ikuma </w:t>
      </w:r>
      <w:r w:rsidR="00EA4DBD" w:rsidRPr="0059580F">
        <w:rPr>
          <w:rFonts w:cs="Times New Roman"/>
          <w:szCs w:val="28"/>
        </w:rPr>
        <w:t>13.</w:t>
      </w:r>
      <w:r>
        <w:rPr>
          <w:rFonts w:cs="Times New Roman"/>
          <w:szCs w:val="28"/>
        </w:rPr>
        <w:t> </w:t>
      </w:r>
      <w:r w:rsidR="00A97C69">
        <w:rPr>
          <w:rFonts w:cs="Times New Roman"/>
          <w:szCs w:val="28"/>
        </w:rPr>
        <w:t>pants</w:t>
      </w:r>
      <w:r w:rsidR="00EA4DBD" w:rsidRPr="0059580F">
        <w:rPr>
          <w:rFonts w:cs="Times New Roman"/>
          <w:szCs w:val="28"/>
        </w:rPr>
        <w:t xml:space="preserve"> </w:t>
      </w:r>
      <w:r w:rsidR="00EA4DBD">
        <w:rPr>
          <w:rFonts w:cs="Times New Roman"/>
          <w:szCs w:val="28"/>
        </w:rPr>
        <w:t xml:space="preserve">nosaka, ka </w:t>
      </w:r>
      <w:r w:rsidR="00EA4DBD" w:rsidRPr="0059580F">
        <w:rPr>
          <w:rFonts w:cs="Times New Roman"/>
          <w:szCs w:val="28"/>
        </w:rPr>
        <w:t>valstij vai pašvaldībai</w:t>
      </w:r>
      <w:r w:rsidR="00EA4DBD">
        <w:rPr>
          <w:rFonts w:cs="Times New Roman"/>
          <w:szCs w:val="28"/>
        </w:rPr>
        <w:t xml:space="preserve"> piederošām ēkām </w:t>
      </w:r>
      <w:proofErr w:type="spellStart"/>
      <w:r w:rsidR="00EA4DBD" w:rsidRPr="0059580F">
        <w:rPr>
          <w:rFonts w:cs="Times New Roman"/>
          <w:szCs w:val="28"/>
        </w:rPr>
        <w:t>energosertifikāts</w:t>
      </w:r>
      <w:proofErr w:type="spellEnd"/>
      <w:r w:rsidR="00EA4DBD" w:rsidRPr="0059580F">
        <w:rPr>
          <w:rFonts w:cs="Times New Roman"/>
          <w:szCs w:val="28"/>
        </w:rPr>
        <w:t xml:space="preserve"> </w:t>
      </w:r>
      <w:r w:rsidR="00EA4DBD">
        <w:rPr>
          <w:rFonts w:cs="Times New Roman"/>
          <w:szCs w:val="28"/>
        </w:rPr>
        <w:t xml:space="preserve">jāizvieto </w:t>
      </w:r>
      <w:r w:rsidR="00EA4DBD" w:rsidRPr="0059580F">
        <w:rPr>
          <w:rFonts w:cs="Times New Roman"/>
          <w:szCs w:val="28"/>
        </w:rPr>
        <w:t>apmeklētājiem redzamā vietā</w:t>
      </w:r>
      <w:r w:rsidR="00EA4DBD">
        <w:rPr>
          <w:rFonts w:cs="Times New Roman"/>
          <w:szCs w:val="28"/>
        </w:rPr>
        <w:t xml:space="preserve">. Minētās normas nodrošina to, </w:t>
      </w:r>
      <w:r w:rsidR="00EA4DBD" w:rsidRPr="00074596">
        <w:rPr>
          <w:rFonts w:cs="Times New Roman"/>
          <w:szCs w:val="28"/>
        </w:rPr>
        <w:t xml:space="preserve">ka valsts institūcijām un pašvaldībām </w:t>
      </w:r>
      <w:r w:rsidR="00EA4DBD">
        <w:rPr>
          <w:rFonts w:cs="Times New Roman"/>
          <w:szCs w:val="28"/>
        </w:rPr>
        <w:t xml:space="preserve">ir pieejama korekta informācija par tādu ēku energoefektivitāti, ko publiskais sektors lieto, gatavojas īrēt vai pirkt. Tādējādi ir izveidots pamats energoefektivitātes kritēriju izvirzīšanai ēku iepirkumos. </w:t>
      </w:r>
    </w:p>
    <w:p w:rsidR="00EA4DBD" w:rsidRDefault="00EA4DBD" w:rsidP="00EA4DBD">
      <w:pPr>
        <w:spacing w:after="0" w:line="240" w:lineRule="auto"/>
        <w:ind w:firstLine="720"/>
        <w:jc w:val="both"/>
        <w:rPr>
          <w:rFonts w:cs="Times New Roman"/>
          <w:szCs w:val="28"/>
        </w:rPr>
      </w:pPr>
      <w:r w:rsidRPr="001844E0">
        <w:rPr>
          <w:rFonts w:cs="Times New Roman"/>
          <w:szCs w:val="28"/>
        </w:rPr>
        <w:t xml:space="preserve">Pašvaldību līmenī </w:t>
      </w:r>
      <w:proofErr w:type="spellStart"/>
      <w:r>
        <w:rPr>
          <w:rFonts w:cs="Times New Roman"/>
          <w:szCs w:val="28"/>
        </w:rPr>
        <w:t>energoefektīvu</w:t>
      </w:r>
      <w:proofErr w:type="spellEnd"/>
      <w:r>
        <w:rPr>
          <w:rFonts w:cs="Times New Roman"/>
          <w:szCs w:val="28"/>
        </w:rPr>
        <w:t xml:space="preserve"> preču, pakalpojumu un ēku iepirkumi </w:t>
      </w:r>
      <w:r w:rsidRPr="001844E0">
        <w:rPr>
          <w:rFonts w:cs="Times New Roman"/>
          <w:szCs w:val="28"/>
        </w:rPr>
        <w:t>var tikt vecināt</w:t>
      </w:r>
      <w:r>
        <w:rPr>
          <w:rFonts w:cs="Times New Roman"/>
          <w:szCs w:val="28"/>
        </w:rPr>
        <w:t>i</w:t>
      </w:r>
      <w:r w:rsidRPr="001844E0">
        <w:rPr>
          <w:rFonts w:cs="Times New Roman"/>
          <w:szCs w:val="28"/>
        </w:rPr>
        <w:t xml:space="preserve"> ar pašvaldības izdotiem saistošiem noteikumiem un rīcības plāniem. </w:t>
      </w:r>
      <w:r>
        <w:rPr>
          <w:rFonts w:cs="Times New Roman"/>
          <w:szCs w:val="28"/>
        </w:rPr>
        <w:t>Piemēram, a</w:t>
      </w:r>
      <w:r w:rsidRPr="001844E0">
        <w:rPr>
          <w:rFonts w:cs="Times New Roman"/>
          <w:szCs w:val="28"/>
        </w:rPr>
        <w:t>r Rīgas domes</w:t>
      </w:r>
      <w:r w:rsidR="00BB794E">
        <w:rPr>
          <w:rFonts w:cs="Times New Roman"/>
          <w:szCs w:val="28"/>
        </w:rPr>
        <w:t xml:space="preserve"> 2010. gada 6. </w:t>
      </w:r>
      <w:r w:rsidRPr="001844E0">
        <w:rPr>
          <w:rFonts w:cs="Times New Roman"/>
          <w:szCs w:val="28"/>
        </w:rPr>
        <w:t>jūlija</w:t>
      </w:r>
      <w:r w:rsidR="00274912">
        <w:rPr>
          <w:rFonts w:cs="Times New Roman"/>
          <w:szCs w:val="28"/>
        </w:rPr>
        <w:t xml:space="preserve"> </w:t>
      </w:r>
      <w:r w:rsidRPr="001844E0">
        <w:rPr>
          <w:rFonts w:cs="Times New Roman"/>
          <w:szCs w:val="28"/>
        </w:rPr>
        <w:t>lēmumu Nr.1644 ir apstiprināts "Rīgas pilsētas ilgtspējīgas enerģētikas rīcības plāns 2010.</w:t>
      </w:r>
      <w:r w:rsidR="00BB794E">
        <w:rPr>
          <w:rFonts w:cs="Times New Roman"/>
          <w:szCs w:val="28"/>
        </w:rPr>
        <w:t> </w:t>
      </w:r>
      <w:r w:rsidRPr="001844E0">
        <w:rPr>
          <w:rFonts w:cs="Times New Roman"/>
          <w:szCs w:val="28"/>
        </w:rPr>
        <w:t>-</w:t>
      </w:r>
      <w:r w:rsidR="00BB794E">
        <w:rPr>
          <w:rFonts w:cs="Times New Roman"/>
          <w:szCs w:val="28"/>
        </w:rPr>
        <w:t> </w:t>
      </w:r>
      <w:r w:rsidRPr="001844E0">
        <w:rPr>
          <w:rFonts w:cs="Times New Roman"/>
          <w:szCs w:val="28"/>
        </w:rPr>
        <w:t>2020.</w:t>
      </w:r>
      <w:r w:rsidR="006E7C86">
        <w:rPr>
          <w:rFonts w:cs="Times New Roman"/>
          <w:szCs w:val="28"/>
        </w:rPr>
        <w:t> </w:t>
      </w:r>
      <w:r w:rsidRPr="001844E0">
        <w:rPr>
          <w:rFonts w:cs="Times New Roman"/>
          <w:szCs w:val="28"/>
        </w:rPr>
        <w:t>gadam", kur</w:t>
      </w:r>
      <w:r>
        <w:rPr>
          <w:rFonts w:cs="Times New Roman"/>
          <w:szCs w:val="28"/>
        </w:rPr>
        <w:t xml:space="preserve">š paredz pasākumus pilsētas apgaismes sistēmas energoefektivitātei – spuldžu nomaiņu pret augsti </w:t>
      </w:r>
      <w:proofErr w:type="spellStart"/>
      <w:r>
        <w:rPr>
          <w:rFonts w:cs="Times New Roman"/>
          <w:szCs w:val="28"/>
        </w:rPr>
        <w:t>energoefektīvām</w:t>
      </w:r>
      <w:proofErr w:type="spellEnd"/>
      <w:r>
        <w:rPr>
          <w:rFonts w:cs="Times New Roman"/>
          <w:szCs w:val="28"/>
        </w:rPr>
        <w:t xml:space="preserve"> LED spuldzēm, kā arī elektroniskās vadības sistēmas ieviešanu </w:t>
      </w:r>
      <w:r w:rsidRPr="00550CFB">
        <w:rPr>
          <w:rFonts w:cs="Times New Roman"/>
          <w:szCs w:val="28"/>
        </w:rPr>
        <w:t>enerģijas patēriņ</w:t>
      </w:r>
      <w:r>
        <w:rPr>
          <w:rFonts w:cs="Times New Roman"/>
          <w:szCs w:val="28"/>
        </w:rPr>
        <w:t>a</w:t>
      </w:r>
      <w:r w:rsidRPr="00550CFB">
        <w:rPr>
          <w:rFonts w:cs="Times New Roman"/>
          <w:szCs w:val="28"/>
        </w:rPr>
        <w:t xml:space="preserve"> samazin</w:t>
      </w:r>
      <w:r>
        <w:rPr>
          <w:rFonts w:cs="Times New Roman"/>
          <w:szCs w:val="28"/>
        </w:rPr>
        <w:t>āšanai. Plānā izvērtēta arī sadarbības iespēja ar energopakalpojumu sniedzējiem.</w:t>
      </w:r>
      <w:r w:rsidR="00274912">
        <w:rPr>
          <w:rFonts w:cs="Times New Roman"/>
          <w:szCs w:val="28"/>
        </w:rPr>
        <w:t xml:space="preserve"> </w:t>
      </w:r>
    </w:p>
    <w:p w:rsidR="00EA4DBD" w:rsidRPr="009E37D3" w:rsidRDefault="00EA4DBD" w:rsidP="00EA4DBD">
      <w:pPr>
        <w:autoSpaceDE w:val="0"/>
        <w:autoSpaceDN w:val="0"/>
        <w:adjustRightInd w:val="0"/>
        <w:spacing w:after="0" w:line="240" w:lineRule="auto"/>
        <w:jc w:val="both"/>
        <w:rPr>
          <w:rFonts w:eastAsiaTheme="majorEastAsia" w:cs="Times New Roman"/>
          <w:bCs/>
          <w:szCs w:val="28"/>
        </w:rPr>
      </w:pPr>
      <w:r>
        <w:rPr>
          <w:rFonts w:cs="Times New Roman"/>
          <w:szCs w:val="28"/>
        </w:rPr>
        <w:tab/>
      </w:r>
      <w:r w:rsidRPr="009E37D3">
        <w:rPr>
          <w:rFonts w:eastAsiaTheme="majorEastAsia" w:cs="Times New Roman"/>
          <w:bCs/>
          <w:szCs w:val="28"/>
        </w:rPr>
        <w:tab/>
      </w:r>
    </w:p>
    <w:p w:rsidR="00EA4DBD" w:rsidRPr="009E37D3" w:rsidRDefault="00EA4DBD" w:rsidP="00EA4DBD">
      <w:pPr>
        <w:spacing w:after="0" w:line="240" w:lineRule="auto"/>
        <w:ind w:firstLine="12"/>
        <w:jc w:val="both"/>
        <w:rPr>
          <w:rFonts w:eastAsiaTheme="majorEastAsia" w:cs="Times New Roman"/>
          <w:bCs/>
          <w:szCs w:val="28"/>
        </w:rPr>
      </w:pPr>
      <w:r w:rsidRPr="009E37D3">
        <w:rPr>
          <w:rFonts w:eastAsiaTheme="majorEastAsia" w:cs="Times New Roman"/>
          <w:bCs/>
          <w:szCs w:val="28"/>
        </w:rPr>
        <w:tab/>
      </w:r>
    </w:p>
    <w:p w:rsidR="00EA4DBD" w:rsidRPr="00EA4DBD" w:rsidRDefault="00EA4DBD" w:rsidP="00EA4DBD">
      <w:pPr>
        <w:spacing w:after="0" w:line="240" w:lineRule="auto"/>
        <w:jc w:val="both"/>
        <w:rPr>
          <w:rFonts w:cs="Times New Roman"/>
          <w:szCs w:val="28"/>
          <w:u w:val="single"/>
        </w:rPr>
      </w:pPr>
      <w:r w:rsidRPr="00EA4DBD">
        <w:rPr>
          <w:rFonts w:cs="Times New Roman"/>
          <w:szCs w:val="28"/>
          <w:u w:val="single"/>
        </w:rPr>
        <w:t xml:space="preserve">Plānotie pasākumi </w:t>
      </w:r>
    </w:p>
    <w:p w:rsidR="00EA4DBD" w:rsidRDefault="00EA4DBD" w:rsidP="00EA4DBD">
      <w:pPr>
        <w:spacing w:after="0" w:line="240" w:lineRule="auto"/>
        <w:jc w:val="both"/>
        <w:rPr>
          <w:rFonts w:cs="Times New Roman"/>
          <w:szCs w:val="28"/>
        </w:rPr>
      </w:pPr>
      <w:r>
        <w:rPr>
          <w:rFonts w:cs="Times New Roman"/>
          <w:szCs w:val="28"/>
        </w:rPr>
        <w:tab/>
        <w:t>Lai izpildītu Direktīvas 2012/27/ES 6.</w:t>
      </w:r>
      <w:r w:rsidR="005C0033">
        <w:rPr>
          <w:rFonts w:cs="Times New Roman"/>
          <w:szCs w:val="28"/>
        </w:rPr>
        <w:t> </w:t>
      </w:r>
      <w:r>
        <w:rPr>
          <w:rFonts w:cs="Times New Roman"/>
          <w:szCs w:val="28"/>
        </w:rPr>
        <w:t xml:space="preserve">panta </w:t>
      </w:r>
      <w:r w:rsidR="0007564A">
        <w:rPr>
          <w:rFonts w:cs="Times New Roman"/>
          <w:szCs w:val="28"/>
        </w:rPr>
        <w:t>pirmā</w:t>
      </w:r>
      <w:r w:rsidR="0090103F">
        <w:rPr>
          <w:rFonts w:cs="Times New Roman"/>
          <w:szCs w:val="28"/>
        </w:rPr>
        <w:t xml:space="preserve"> </w:t>
      </w:r>
      <w:r>
        <w:rPr>
          <w:rFonts w:cs="Times New Roman"/>
          <w:szCs w:val="28"/>
        </w:rPr>
        <w:t>punkta prasības, tiks noteikts</w:t>
      </w:r>
      <w:r w:rsidR="00274912">
        <w:rPr>
          <w:rFonts w:cs="Times New Roman"/>
          <w:szCs w:val="28"/>
        </w:rPr>
        <w:t xml:space="preserve"> </w:t>
      </w:r>
      <w:r>
        <w:rPr>
          <w:rFonts w:cs="Times New Roman"/>
          <w:szCs w:val="28"/>
        </w:rPr>
        <w:t xml:space="preserve">valsts </w:t>
      </w:r>
      <w:r w:rsidRPr="001844E0">
        <w:rPr>
          <w:rFonts w:cs="Times New Roman"/>
          <w:szCs w:val="28"/>
        </w:rPr>
        <w:t>sektor</w:t>
      </w:r>
      <w:r>
        <w:rPr>
          <w:rFonts w:cs="Times New Roman"/>
          <w:szCs w:val="28"/>
        </w:rPr>
        <w:t>a pienākumu iepirkt</w:t>
      </w:r>
      <w:r w:rsidRPr="001844E0">
        <w:rPr>
          <w:rFonts w:cs="Times New Roman"/>
          <w:szCs w:val="28"/>
        </w:rPr>
        <w:t xml:space="preserve"> preces, pakalpojumus un ēkas, kurām ir augsts energoefektivitātes līmenis</w:t>
      </w:r>
      <w:r>
        <w:rPr>
          <w:rFonts w:cs="Times New Roman"/>
          <w:szCs w:val="28"/>
        </w:rPr>
        <w:t>. Minēto pienākumu plānots noteikt ar šādiem normatīvajiem aktiem:</w:t>
      </w:r>
    </w:p>
    <w:p w:rsidR="00EA4DBD" w:rsidRDefault="0022524E" w:rsidP="00C249F6">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A4DBD" w:rsidRPr="00F672FA">
        <w:rPr>
          <w:rFonts w:ascii="Times New Roman" w:hAnsi="Times New Roman" w:cs="Times New Roman"/>
          <w:sz w:val="28"/>
          <w:szCs w:val="28"/>
        </w:rPr>
        <w:t xml:space="preserve">attiecībā uz preču un pakalpojumu iepirkumiem – </w:t>
      </w:r>
      <w:r w:rsidR="00EA4DBD">
        <w:rPr>
          <w:rFonts w:ascii="Times New Roman" w:hAnsi="Times New Roman" w:cs="Times New Roman"/>
          <w:sz w:val="28"/>
          <w:szCs w:val="28"/>
        </w:rPr>
        <w:t>l</w:t>
      </w:r>
      <w:r w:rsidR="00EA4DBD" w:rsidRPr="00F672FA">
        <w:rPr>
          <w:rFonts w:ascii="Times New Roman" w:hAnsi="Times New Roman" w:cs="Times New Roman"/>
          <w:sz w:val="28"/>
          <w:szCs w:val="28"/>
        </w:rPr>
        <w:t>ikumprojekts „Grozījumi Publisko iepirkumu likumā” (VSS-1880), izsludināts Valsts sekretāru sanāksmē 2013.</w:t>
      </w:r>
      <w:r w:rsidR="005C0033">
        <w:rPr>
          <w:rFonts w:ascii="Times New Roman" w:hAnsi="Times New Roman" w:cs="Times New Roman"/>
          <w:sz w:val="28"/>
          <w:szCs w:val="28"/>
        </w:rPr>
        <w:t> </w:t>
      </w:r>
      <w:r w:rsidR="00EA4DBD" w:rsidRPr="00F672FA">
        <w:rPr>
          <w:rFonts w:ascii="Times New Roman" w:hAnsi="Times New Roman" w:cs="Times New Roman"/>
          <w:sz w:val="28"/>
          <w:szCs w:val="28"/>
        </w:rPr>
        <w:t>gada 17.</w:t>
      </w:r>
      <w:r w:rsidR="005C0033">
        <w:rPr>
          <w:rFonts w:ascii="Times New Roman" w:hAnsi="Times New Roman" w:cs="Times New Roman"/>
          <w:sz w:val="28"/>
          <w:szCs w:val="28"/>
        </w:rPr>
        <w:t> </w:t>
      </w:r>
      <w:r w:rsidR="00EA4DBD" w:rsidRPr="00F672FA">
        <w:rPr>
          <w:rFonts w:ascii="Times New Roman" w:hAnsi="Times New Roman" w:cs="Times New Roman"/>
          <w:sz w:val="28"/>
          <w:szCs w:val="28"/>
        </w:rPr>
        <w:t xml:space="preserve">oktobrī </w:t>
      </w:r>
      <w:hyperlink r:id="rId30" w:history="1">
        <w:r w:rsidR="00EA4DBD" w:rsidRPr="006806A9">
          <w:rPr>
            <w:rStyle w:val="Hyperlink"/>
            <w:rFonts w:ascii="Times New Roman" w:hAnsi="Times New Roman" w:cs="Times New Roman"/>
            <w:sz w:val="28"/>
          </w:rPr>
          <w:t>http://www.mk.gov.lv/lv/mk/tap/?pid=40302704</w:t>
        </w:r>
      </w:hyperlink>
      <w:r w:rsidR="00EA4DBD">
        <w:rPr>
          <w:rFonts w:ascii="Times New Roman" w:hAnsi="Times New Roman" w:cs="Times New Roman"/>
          <w:sz w:val="28"/>
          <w:szCs w:val="28"/>
        </w:rPr>
        <w:t xml:space="preserve"> </w:t>
      </w:r>
    </w:p>
    <w:p w:rsidR="00EA4DBD" w:rsidRPr="00F672FA" w:rsidRDefault="0022524E" w:rsidP="00C249F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A4DBD">
        <w:rPr>
          <w:rFonts w:ascii="Times New Roman" w:hAnsi="Times New Roman" w:cs="Times New Roman"/>
          <w:sz w:val="28"/>
          <w:szCs w:val="28"/>
        </w:rPr>
        <w:t>attiecībā uz ēku iepirkumiem - likumprojekts „Grozījumi Ēku energoefektivitātes likumā”</w:t>
      </w:r>
    </w:p>
    <w:p w:rsidR="007B6A7B" w:rsidRPr="009E37D3" w:rsidRDefault="00EA4DBD" w:rsidP="00EA4DBD">
      <w:pPr>
        <w:spacing w:after="0" w:line="240" w:lineRule="auto"/>
        <w:ind w:firstLine="720"/>
        <w:jc w:val="both"/>
        <w:rPr>
          <w:rFonts w:eastAsiaTheme="majorEastAsia" w:cs="Times New Roman"/>
          <w:bCs/>
          <w:szCs w:val="28"/>
        </w:rPr>
      </w:pPr>
      <w:r w:rsidRPr="001844E0">
        <w:rPr>
          <w:rFonts w:cs="Times New Roman"/>
          <w:szCs w:val="28"/>
        </w:rPr>
        <w:t xml:space="preserve">Ar mērķi mudināt </w:t>
      </w:r>
      <w:r>
        <w:rPr>
          <w:rFonts w:cs="Times New Roman"/>
          <w:szCs w:val="28"/>
        </w:rPr>
        <w:t>pašvaldības</w:t>
      </w:r>
      <w:r w:rsidR="00274912">
        <w:rPr>
          <w:rFonts w:cs="Times New Roman"/>
          <w:szCs w:val="28"/>
        </w:rPr>
        <w:t xml:space="preserve"> </w:t>
      </w:r>
      <w:r w:rsidRPr="002A143C">
        <w:rPr>
          <w:rFonts w:cs="Times New Roman"/>
          <w:szCs w:val="28"/>
        </w:rPr>
        <w:t>iepirkt preces, pakalpojumus un ēkas, kurām ir augsts energoefektivitātes līmenis</w:t>
      </w:r>
      <w:r>
        <w:rPr>
          <w:rFonts w:cs="Times New Roman"/>
          <w:szCs w:val="28"/>
        </w:rPr>
        <w:t>, paredzēts attiecīg</w:t>
      </w:r>
      <w:r w:rsidR="00070090">
        <w:rPr>
          <w:rFonts w:cs="Times New Roman"/>
          <w:szCs w:val="28"/>
        </w:rPr>
        <w:t>os ieteikumus</w:t>
      </w:r>
      <w:r>
        <w:rPr>
          <w:rFonts w:cs="Times New Roman"/>
          <w:szCs w:val="28"/>
        </w:rPr>
        <w:t xml:space="preserve"> iekļaut Vides aizsardzības un reģionālās attīstības ministrijas </w:t>
      </w:r>
      <w:r w:rsidR="009363FC">
        <w:rPr>
          <w:rFonts w:cs="Times New Roman"/>
          <w:szCs w:val="28"/>
        </w:rPr>
        <w:t>izstrādātajos metodiskajos ieteikumos pašvaldību attīstības programmu izstrādei (</w:t>
      </w:r>
      <w:r w:rsidR="00070090">
        <w:rPr>
          <w:rFonts w:cs="Times New Roman"/>
          <w:szCs w:val="28"/>
        </w:rPr>
        <w:t>„</w:t>
      </w:r>
      <w:r>
        <w:rPr>
          <w:rFonts w:cs="Times New Roman"/>
          <w:szCs w:val="28"/>
        </w:rPr>
        <w:t>Nozaru politikas vadlīniju pašvaldībām” 20.</w:t>
      </w:r>
      <w:r w:rsidR="005C0033">
        <w:rPr>
          <w:rFonts w:cs="Times New Roman"/>
          <w:szCs w:val="28"/>
        </w:rPr>
        <w:t> </w:t>
      </w:r>
      <w:r>
        <w:rPr>
          <w:rFonts w:cs="Times New Roman"/>
          <w:szCs w:val="28"/>
        </w:rPr>
        <w:t>sadaļā „</w:t>
      </w:r>
      <w:r w:rsidRPr="00151A48">
        <w:rPr>
          <w:rFonts w:cs="Times New Roman"/>
          <w:szCs w:val="28"/>
        </w:rPr>
        <w:t>Vadlīnijas enerģētikas un energoefektivitātes jomā</w:t>
      </w:r>
      <w:r>
        <w:rPr>
          <w:rFonts w:cs="Times New Roman"/>
          <w:szCs w:val="28"/>
        </w:rPr>
        <w:t>”</w:t>
      </w:r>
      <w:r w:rsidR="009363FC">
        <w:rPr>
          <w:rFonts w:cs="Times New Roman"/>
          <w:szCs w:val="28"/>
        </w:rPr>
        <w:t>), ko pašvaldības aicinātas ņemt vērā, izstrādājot un īstenojot pašvaldību attīstības programmas</w:t>
      </w:r>
      <w:r>
        <w:rPr>
          <w:rFonts w:cs="Times New Roman"/>
          <w:szCs w:val="28"/>
        </w:rPr>
        <w:t xml:space="preserve"> 2014.</w:t>
      </w:r>
      <w:r w:rsidR="0090103F">
        <w:rPr>
          <w:rFonts w:cs="Times New Roman"/>
          <w:szCs w:val="28"/>
        </w:rPr>
        <w:t xml:space="preserve"> </w:t>
      </w:r>
      <w:r>
        <w:rPr>
          <w:rFonts w:cs="Times New Roman"/>
          <w:szCs w:val="28"/>
        </w:rPr>
        <w:t>-</w:t>
      </w:r>
      <w:r w:rsidR="0090103F">
        <w:rPr>
          <w:rFonts w:cs="Times New Roman"/>
          <w:szCs w:val="28"/>
        </w:rPr>
        <w:t xml:space="preserve"> </w:t>
      </w:r>
      <w:r>
        <w:rPr>
          <w:rFonts w:cs="Times New Roman"/>
          <w:szCs w:val="28"/>
        </w:rPr>
        <w:t>2020.</w:t>
      </w:r>
      <w:r w:rsidR="005C0033">
        <w:rPr>
          <w:rFonts w:cs="Times New Roman"/>
          <w:szCs w:val="28"/>
        </w:rPr>
        <w:t> </w:t>
      </w:r>
      <w:r>
        <w:rPr>
          <w:rFonts w:cs="Times New Roman"/>
          <w:szCs w:val="28"/>
        </w:rPr>
        <w:t>gadam.</w:t>
      </w:r>
      <w:r w:rsidR="00274912">
        <w:rPr>
          <w:rFonts w:cs="Times New Roman"/>
          <w:szCs w:val="28"/>
        </w:rPr>
        <w:t xml:space="preserve"> </w:t>
      </w:r>
      <w:r w:rsidR="007B6A7B">
        <w:rPr>
          <w:rFonts w:cs="Times New Roman"/>
          <w:szCs w:val="28"/>
        </w:rPr>
        <w:tab/>
      </w:r>
    </w:p>
    <w:p w:rsidR="00AA70E3" w:rsidRPr="00FB5564" w:rsidRDefault="00AA70E3" w:rsidP="00FB5564">
      <w:pPr>
        <w:pStyle w:val="Heading2"/>
        <w:spacing w:after="120"/>
      </w:pPr>
      <w:bookmarkStart w:id="40" w:name="_Toc387237982"/>
      <w:r w:rsidRPr="00FB5564">
        <w:lastRenderedPageBreak/>
        <w:t xml:space="preserve">3.4. </w:t>
      </w:r>
      <w:r w:rsidR="007B6A7B">
        <w:t>E</w:t>
      </w:r>
      <w:r w:rsidRPr="00FB5564">
        <w:t>nerģijas galapatēriņa efektivitātes pasākumi</w:t>
      </w:r>
      <w:r w:rsidR="0066561B" w:rsidRPr="00FB5564">
        <w:t xml:space="preserve"> </w:t>
      </w:r>
      <w:r w:rsidRPr="00FB5564">
        <w:t>transportā</w:t>
      </w:r>
      <w:bookmarkEnd w:id="40"/>
    </w:p>
    <w:p w:rsidR="007B6A7B" w:rsidRDefault="00070D61" w:rsidP="007B6A7B">
      <w:pPr>
        <w:spacing w:after="0" w:line="240" w:lineRule="auto"/>
        <w:jc w:val="both"/>
        <w:rPr>
          <w:rFonts w:cs="Times New Roman"/>
          <w:szCs w:val="28"/>
        </w:rPr>
      </w:pPr>
      <w:r w:rsidRPr="003D48F5">
        <w:rPr>
          <w:rFonts w:eastAsia="Times New Roman"/>
          <w:color w:val="000000"/>
          <w:szCs w:val="28"/>
          <w:lang w:eastAsia="lv-LV"/>
        </w:rPr>
        <w:tab/>
      </w:r>
      <w:r w:rsidR="007B6A7B" w:rsidRPr="009E37D3">
        <w:rPr>
          <w:rFonts w:cs="Times New Roman"/>
          <w:szCs w:val="28"/>
        </w:rPr>
        <w:t>Lai veicinātu energoefektivitātes paaugstināšanu transporta sektorā, kā arī samazinātu</w:t>
      </w:r>
      <w:r w:rsidR="007B6A7B" w:rsidRPr="009E37D3">
        <w:rPr>
          <w:rFonts w:cs="Times New Roman"/>
          <w:b/>
          <w:szCs w:val="28"/>
        </w:rPr>
        <w:t xml:space="preserve"> </w:t>
      </w:r>
      <w:r w:rsidR="007B6A7B" w:rsidRPr="009E37D3">
        <w:rPr>
          <w:rFonts w:cs="Times New Roman"/>
          <w:szCs w:val="28"/>
        </w:rPr>
        <w:t>energoresursu (piem</w:t>
      </w:r>
      <w:r w:rsidR="007B6A7B">
        <w:rPr>
          <w:rFonts w:cs="Times New Roman"/>
          <w:szCs w:val="28"/>
        </w:rPr>
        <w:t>ēram</w:t>
      </w:r>
      <w:r w:rsidR="007B6A7B" w:rsidRPr="009E37D3">
        <w:rPr>
          <w:rFonts w:cs="Times New Roman"/>
          <w:szCs w:val="28"/>
        </w:rPr>
        <w:t>, fosilā degviela, dabasgāze) importu un veicinātu vietējo enerģijas ražošanas attīstību, Stratēģijā 2030 liela uzmanība veltīta AER izmantošanas veicināšanai</w:t>
      </w:r>
      <w:r w:rsidR="007B6A7B" w:rsidRPr="009E37D3">
        <w:rPr>
          <w:rFonts w:cs="Times New Roman"/>
          <w:b/>
          <w:szCs w:val="28"/>
        </w:rPr>
        <w:t xml:space="preserve"> </w:t>
      </w:r>
      <w:r w:rsidR="007B6A7B" w:rsidRPr="009E37D3">
        <w:rPr>
          <w:rFonts w:cs="Times New Roman"/>
          <w:szCs w:val="28"/>
        </w:rPr>
        <w:t>transporta sektorā, paredzot</w:t>
      </w:r>
      <w:r w:rsidR="007B6A7B" w:rsidRPr="009E37D3">
        <w:rPr>
          <w:rFonts w:cs="Times New Roman"/>
          <w:b/>
          <w:szCs w:val="28"/>
        </w:rPr>
        <w:t xml:space="preserve"> </w:t>
      </w:r>
      <w:r w:rsidR="007B6A7B" w:rsidRPr="009E37D3">
        <w:rPr>
          <w:rFonts w:cs="Times New Roman"/>
          <w:szCs w:val="28"/>
        </w:rPr>
        <w:t>plašāku AER izmantošanu publiskajā transportā,</w:t>
      </w:r>
      <w:r w:rsidR="007B6A7B" w:rsidRPr="009E37D3">
        <w:rPr>
          <w:rFonts w:cs="Times New Roman"/>
          <w:b/>
          <w:szCs w:val="28"/>
        </w:rPr>
        <w:t xml:space="preserve"> </w:t>
      </w:r>
      <w:r w:rsidR="007B6A7B" w:rsidRPr="009E37D3">
        <w:rPr>
          <w:rFonts w:cs="Times New Roman"/>
          <w:szCs w:val="28"/>
        </w:rPr>
        <w:t>tai skaitā</w:t>
      </w:r>
      <w:r w:rsidR="00C249F6">
        <w:rPr>
          <w:rFonts w:cs="Times New Roman"/>
          <w:szCs w:val="28"/>
        </w:rPr>
        <w:t>,</w:t>
      </w:r>
      <w:r w:rsidR="007B6A7B" w:rsidRPr="009E37D3">
        <w:rPr>
          <w:rFonts w:cs="Times New Roman"/>
          <w:szCs w:val="28"/>
        </w:rPr>
        <w:t xml:space="preserve"> īstenojot tālāku dzelzceļa transporta elektrifikāciju un veicot sabiedriskā transporta pāreju</w:t>
      </w:r>
      <w:r w:rsidR="0028255D">
        <w:rPr>
          <w:rFonts w:cs="Times New Roman"/>
          <w:szCs w:val="28"/>
        </w:rPr>
        <w:t xml:space="preserve"> uz</w:t>
      </w:r>
      <w:r w:rsidR="007B6A7B" w:rsidRPr="009E37D3">
        <w:rPr>
          <w:rFonts w:cs="Times New Roman"/>
          <w:szCs w:val="28"/>
        </w:rPr>
        <w:t xml:space="preserve"> biodegvielu</w:t>
      </w:r>
      <w:r w:rsidR="0028255D">
        <w:rPr>
          <w:rFonts w:cs="Times New Roman"/>
          <w:szCs w:val="28"/>
        </w:rPr>
        <w:t xml:space="preserve"> un citu videi draudzīgu energoresursu</w:t>
      </w:r>
      <w:r w:rsidR="007B6A7B" w:rsidRPr="009E37D3">
        <w:rPr>
          <w:rFonts w:cs="Times New Roman"/>
          <w:szCs w:val="28"/>
        </w:rPr>
        <w:t xml:space="preserve"> izmantošan</w:t>
      </w:r>
      <w:r w:rsidR="0028255D">
        <w:rPr>
          <w:rFonts w:cs="Times New Roman"/>
          <w:szCs w:val="28"/>
        </w:rPr>
        <w:t>u</w:t>
      </w:r>
      <w:r w:rsidR="007B6A7B" w:rsidRPr="009E37D3">
        <w:rPr>
          <w:rFonts w:cs="Times New Roman"/>
          <w:szCs w:val="28"/>
        </w:rPr>
        <w:t>. Kā viens no šī uzdev</w:t>
      </w:r>
      <w:r w:rsidR="007B6A7B">
        <w:rPr>
          <w:rFonts w:cs="Times New Roman"/>
          <w:szCs w:val="28"/>
        </w:rPr>
        <w:t>uma izpildes nosacījumiem ir</w:t>
      </w:r>
      <w:r w:rsidR="007B6A7B" w:rsidRPr="009E37D3">
        <w:rPr>
          <w:rFonts w:cs="Times New Roman"/>
          <w:szCs w:val="28"/>
        </w:rPr>
        <w:t xml:space="preserve"> 2014.</w:t>
      </w:r>
      <w:r w:rsidR="007B6A7B">
        <w:rPr>
          <w:rFonts w:cs="Times New Roman"/>
          <w:szCs w:val="28"/>
        </w:rPr>
        <w:t> </w:t>
      </w:r>
      <w:r w:rsidR="007B6A7B" w:rsidRPr="009E37D3">
        <w:rPr>
          <w:rFonts w:cs="Times New Roman"/>
          <w:szCs w:val="28"/>
        </w:rPr>
        <w:t>gada 11.</w:t>
      </w:r>
      <w:r w:rsidR="007B6A7B">
        <w:rPr>
          <w:rFonts w:cs="Times New Roman"/>
          <w:szCs w:val="28"/>
        </w:rPr>
        <w:t> </w:t>
      </w:r>
      <w:r w:rsidR="007B6A7B" w:rsidRPr="009E37D3">
        <w:rPr>
          <w:rFonts w:cs="Times New Roman"/>
          <w:szCs w:val="28"/>
        </w:rPr>
        <w:t xml:space="preserve">februārī Ministru kabinetā apstiprinātais </w:t>
      </w:r>
      <w:proofErr w:type="spellStart"/>
      <w:r w:rsidR="007B6A7B" w:rsidRPr="009E37D3">
        <w:rPr>
          <w:rFonts w:cs="Times New Roman"/>
          <w:szCs w:val="28"/>
        </w:rPr>
        <w:t>Elektromobilitātes</w:t>
      </w:r>
      <w:proofErr w:type="spellEnd"/>
      <w:r w:rsidR="007B6A7B" w:rsidRPr="009E37D3">
        <w:rPr>
          <w:rFonts w:cs="Times New Roman"/>
          <w:szCs w:val="28"/>
        </w:rPr>
        <w:t xml:space="preserve"> attīstības plāns</w:t>
      </w:r>
      <w:r w:rsidR="00274912">
        <w:rPr>
          <w:rFonts w:cs="Times New Roman"/>
          <w:szCs w:val="28"/>
        </w:rPr>
        <w:t xml:space="preserve"> </w:t>
      </w:r>
      <w:r w:rsidR="007B6A7B" w:rsidRPr="009E37D3">
        <w:rPr>
          <w:rFonts w:cs="Times New Roman"/>
          <w:szCs w:val="28"/>
        </w:rPr>
        <w:t>2014.</w:t>
      </w:r>
      <w:r w:rsidR="0090103F">
        <w:rPr>
          <w:rFonts w:cs="Times New Roman"/>
          <w:szCs w:val="28"/>
        </w:rPr>
        <w:t xml:space="preserve"> </w:t>
      </w:r>
      <w:r w:rsidR="007B6A7B" w:rsidRPr="009E37D3">
        <w:rPr>
          <w:rFonts w:cs="Times New Roman"/>
          <w:szCs w:val="28"/>
        </w:rPr>
        <w:t>-</w:t>
      </w:r>
      <w:r w:rsidR="0090103F">
        <w:rPr>
          <w:rFonts w:cs="Times New Roman"/>
          <w:szCs w:val="28"/>
        </w:rPr>
        <w:t xml:space="preserve"> </w:t>
      </w:r>
      <w:r w:rsidR="007B6A7B" w:rsidRPr="009E37D3">
        <w:rPr>
          <w:rFonts w:cs="Times New Roman"/>
          <w:szCs w:val="28"/>
        </w:rPr>
        <w:t>2016.</w:t>
      </w:r>
      <w:r w:rsidR="007B6A7B">
        <w:rPr>
          <w:rFonts w:cs="Times New Roman"/>
          <w:szCs w:val="28"/>
        </w:rPr>
        <w:t> </w:t>
      </w:r>
      <w:r w:rsidR="007B6A7B" w:rsidRPr="009E37D3">
        <w:rPr>
          <w:rFonts w:cs="Times New Roman"/>
          <w:szCs w:val="28"/>
        </w:rPr>
        <w:t>gadam</w:t>
      </w:r>
      <w:r w:rsidR="007B6A7B">
        <w:rPr>
          <w:rStyle w:val="FootnoteReference"/>
          <w:rFonts w:cs="Times New Roman"/>
          <w:szCs w:val="28"/>
        </w:rPr>
        <w:footnoteReference w:id="20"/>
      </w:r>
      <w:r w:rsidR="007B6A7B">
        <w:rPr>
          <w:rFonts w:cs="Times New Roman"/>
          <w:szCs w:val="28"/>
        </w:rPr>
        <w:t>.</w:t>
      </w:r>
      <w:r w:rsidR="007B6A7B" w:rsidRPr="009E37D3">
        <w:rPr>
          <w:rFonts w:cs="Times New Roman"/>
          <w:szCs w:val="28"/>
        </w:rPr>
        <w:t xml:space="preserve"> </w:t>
      </w:r>
    </w:p>
    <w:p w:rsidR="007B6A7B" w:rsidRPr="009E37D3" w:rsidRDefault="007B6A7B" w:rsidP="007B6A7B">
      <w:pPr>
        <w:spacing w:after="0" w:line="240" w:lineRule="auto"/>
        <w:jc w:val="both"/>
        <w:rPr>
          <w:rFonts w:cs="Times New Roman"/>
          <w:szCs w:val="28"/>
        </w:rPr>
      </w:pPr>
      <w:r>
        <w:rPr>
          <w:rFonts w:cs="Times New Roman"/>
          <w:szCs w:val="28"/>
        </w:rPr>
        <w:tab/>
      </w:r>
      <w:r w:rsidRPr="009E37D3">
        <w:rPr>
          <w:rFonts w:cs="Times New Roman"/>
          <w:szCs w:val="28"/>
        </w:rPr>
        <w:t xml:space="preserve">Plāns ir izstrādāts balstoties uz trīs prioritātēm: Latvijas uzņēmumu konkurētspējas paaugstināšana jaunas industrijas radīšanai; </w:t>
      </w:r>
      <w:proofErr w:type="spellStart"/>
      <w:r w:rsidRPr="009E37D3">
        <w:rPr>
          <w:rFonts w:cs="Times New Roman"/>
          <w:szCs w:val="28"/>
        </w:rPr>
        <w:t>energoneatkarības</w:t>
      </w:r>
      <w:proofErr w:type="spellEnd"/>
      <w:r w:rsidRPr="009E37D3">
        <w:rPr>
          <w:rFonts w:cs="Times New Roman"/>
          <w:szCs w:val="28"/>
        </w:rPr>
        <w:t xml:space="preserve"> palielināšana un piesārņojuma un siltumnīcefektu izraisošo gāzu samazināšana. </w:t>
      </w:r>
      <w:proofErr w:type="spellStart"/>
      <w:r w:rsidRPr="009E37D3">
        <w:rPr>
          <w:rFonts w:cs="Times New Roman"/>
          <w:szCs w:val="28"/>
        </w:rPr>
        <w:t>Elektromobilitāte</w:t>
      </w:r>
      <w:proofErr w:type="spellEnd"/>
      <w:r w:rsidRPr="009E37D3">
        <w:rPr>
          <w:rFonts w:cs="Times New Roman"/>
          <w:szCs w:val="28"/>
        </w:rPr>
        <w:t xml:space="preserve"> skar vienlaikus dažādas jomas: vides aizsardzības un </w:t>
      </w:r>
      <w:proofErr w:type="spellStart"/>
      <w:r w:rsidRPr="009E37D3">
        <w:rPr>
          <w:rFonts w:cs="Times New Roman"/>
          <w:szCs w:val="28"/>
        </w:rPr>
        <w:t>ilgstpējības</w:t>
      </w:r>
      <w:proofErr w:type="spellEnd"/>
      <w:r w:rsidRPr="009E37D3">
        <w:rPr>
          <w:rFonts w:cs="Times New Roman"/>
          <w:szCs w:val="28"/>
        </w:rPr>
        <w:t xml:space="preserve"> nodrošināšanu, enerģētiku, uzņēmējdarbību, transportu, līdz ar to </w:t>
      </w:r>
      <w:proofErr w:type="spellStart"/>
      <w:r w:rsidRPr="009E37D3">
        <w:rPr>
          <w:rFonts w:cs="Times New Roman"/>
          <w:szCs w:val="28"/>
        </w:rPr>
        <w:t>elektromobilitātei</w:t>
      </w:r>
      <w:proofErr w:type="spellEnd"/>
      <w:r w:rsidRPr="009E37D3">
        <w:rPr>
          <w:rFonts w:cs="Times New Roman"/>
          <w:szCs w:val="28"/>
        </w:rPr>
        <w:t xml:space="preserve"> ir vērā ņemams potenciāls turpmākajā Latvijas ekonomikas attīstībā. Lai veicinātu </w:t>
      </w:r>
      <w:proofErr w:type="spellStart"/>
      <w:r w:rsidRPr="009E37D3">
        <w:rPr>
          <w:rFonts w:cs="Times New Roman"/>
          <w:szCs w:val="28"/>
        </w:rPr>
        <w:t>elektromobilitātes</w:t>
      </w:r>
      <w:proofErr w:type="spellEnd"/>
      <w:r w:rsidRPr="009E37D3">
        <w:rPr>
          <w:rFonts w:cs="Times New Roman"/>
          <w:szCs w:val="28"/>
        </w:rPr>
        <w:t xml:space="preserve"> attīstību, plāns paredz konkrētus atbalsta politikas virzienus attiecībā uz svarīgākajiem tās elementiem: </w:t>
      </w:r>
      <w:proofErr w:type="spellStart"/>
      <w:r w:rsidRPr="009E37D3">
        <w:rPr>
          <w:rFonts w:cs="Times New Roman"/>
          <w:szCs w:val="28"/>
        </w:rPr>
        <w:t>elektrotransportlīdzekļu</w:t>
      </w:r>
      <w:proofErr w:type="spellEnd"/>
      <w:r w:rsidRPr="009E37D3">
        <w:rPr>
          <w:rFonts w:cs="Times New Roman"/>
          <w:szCs w:val="28"/>
        </w:rPr>
        <w:t xml:space="preserve"> izplatība, uzlādes staciju tīkla izbūve, atbalsts inovatīvu produktu izstrādei, kā arī sabiedrības izglītošana un informācijas pieejamības nodrošināšana par </w:t>
      </w:r>
      <w:proofErr w:type="spellStart"/>
      <w:r w:rsidRPr="009E37D3">
        <w:rPr>
          <w:rFonts w:cs="Times New Roman"/>
          <w:szCs w:val="28"/>
        </w:rPr>
        <w:t>elektromobilitāti</w:t>
      </w:r>
      <w:proofErr w:type="spellEnd"/>
      <w:r w:rsidRPr="009E37D3">
        <w:rPr>
          <w:rFonts w:cs="Times New Roman"/>
          <w:szCs w:val="28"/>
        </w:rPr>
        <w:t>.</w:t>
      </w:r>
    </w:p>
    <w:p w:rsidR="00AA70E3" w:rsidRPr="00FB5564" w:rsidRDefault="00AA70E3" w:rsidP="00FB5564">
      <w:pPr>
        <w:pStyle w:val="Heading2"/>
      </w:pPr>
      <w:bookmarkStart w:id="41" w:name="_Toc387237983"/>
      <w:r w:rsidRPr="00FB5564">
        <w:t>3.5. Efektīvas apsildes un dzesēšanas veicināšana</w:t>
      </w:r>
      <w:bookmarkEnd w:id="41"/>
    </w:p>
    <w:p w:rsidR="00FB5564" w:rsidRPr="00FB5564" w:rsidRDefault="00AA70E3" w:rsidP="00FB5564">
      <w:pPr>
        <w:pStyle w:val="Heading3"/>
        <w:spacing w:after="120"/>
      </w:pPr>
      <w:bookmarkStart w:id="42" w:name="_Toc387237984"/>
      <w:r w:rsidRPr="00FB5564">
        <w:rPr>
          <w:rStyle w:val="Heading3Char"/>
          <w:b/>
          <w:bCs/>
        </w:rPr>
        <w:t>3.5.1. Visaptverošs novērtējums</w:t>
      </w:r>
      <w:bookmarkEnd w:id="42"/>
      <w:r w:rsidRPr="00FB5564">
        <w:t xml:space="preserve"> </w:t>
      </w:r>
    </w:p>
    <w:p w:rsidR="00C42C7C" w:rsidRPr="003D48F5" w:rsidRDefault="005C33E2" w:rsidP="00C01B19">
      <w:pPr>
        <w:spacing w:after="0" w:line="240" w:lineRule="auto"/>
        <w:jc w:val="both"/>
        <w:rPr>
          <w:rFonts w:eastAsiaTheme="majorEastAsia" w:cs="Times New Roman"/>
          <w:bCs/>
          <w:szCs w:val="28"/>
        </w:rPr>
      </w:pPr>
      <w:r w:rsidRPr="003D48F5">
        <w:tab/>
      </w:r>
      <w:r w:rsidR="00C42C7C" w:rsidRPr="003D48F5">
        <w:rPr>
          <w:rFonts w:eastAsiaTheme="majorEastAsia" w:cs="Times New Roman"/>
          <w:bCs/>
          <w:szCs w:val="28"/>
        </w:rPr>
        <w:t>Latvijā ir izveidota tiesiskā bāze, lai nodrošinātu tādas koģenerācijas veicināšanu, kas balstīta uz lietderīgo siltuma pieprasījumu iekšējā enerģijas tirgū. Latvijas enerģētikas sektorā kopš 2000.</w:t>
      </w:r>
      <w:r w:rsidR="006E7C86">
        <w:rPr>
          <w:rFonts w:eastAsiaTheme="majorEastAsia" w:cs="Times New Roman"/>
          <w:bCs/>
          <w:szCs w:val="28"/>
        </w:rPr>
        <w:t> </w:t>
      </w:r>
      <w:r w:rsidR="00C42C7C" w:rsidRPr="003D48F5">
        <w:rPr>
          <w:rFonts w:eastAsiaTheme="majorEastAsia" w:cs="Times New Roman"/>
          <w:bCs/>
          <w:szCs w:val="28"/>
        </w:rPr>
        <w:t>gada ir vērojama strauja efektīvas koģenerācijas izplatība. 201</w:t>
      </w:r>
      <w:r w:rsidR="006E7C86">
        <w:rPr>
          <w:rFonts w:eastAsiaTheme="majorEastAsia" w:cs="Times New Roman"/>
          <w:bCs/>
          <w:szCs w:val="28"/>
        </w:rPr>
        <w:t>2. </w:t>
      </w:r>
      <w:r w:rsidR="00F5411F">
        <w:rPr>
          <w:rFonts w:eastAsiaTheme="majorEastAsia" w:cs="Times New Roman"/>
          <w:bCs/>
          <w:szCs w:val="28"/>
        </w:rPr>
        <w:t xml:space="preserve">gadā darbojās jau </w:t>
      </w:r>
      <w:r w:rsidR="004D4A21">
        <w:rPr>
          <w:rFonts w:eastAsiaTheme="majorEastAsia" w:cs="Times New Roman"/>
          <w:bCs/>
          <w:szCs w:val="28"/>
        </w:rPr>
        <w:t>132</w:t>
      </w:r>
      <w:r w:rsidR="00C42C7C" w:rsidRPr="003D48F5">
        <w:rPr>
          <w:rFonts w:eastAsiaTheme="majorEastAsia" w:cs="Times New Roman"/>
          <w:bCs/>
          <w:szCs w:val="28"/>
        </w:rPr>
        <w:t xml:space="preserve"> koģenerācijas stacijas ar kopējo elektrisko jaudu </w:t>
      </w:r>
      <w:r w:rsidR="004D4A21">
        <w:rPr>
          <w:rFonts w:eastAsiaTheme="majorEastAsia" w:cs="Times New Roman"/>
          <w:bCs/>
          <w:szCs w:val="28"/>
        </w:rPr>
        <w:t>1016</w:t>
      </w:r>
      <w:r w:rsidR="00C42C7C" w:rsidRPr="003D48F5">
        <w:rPr>
          <w:rFonts w:eastAsiaTheme="majorEastAsia" w:cs="Times New Roman"/>
          <w:bCs/>
          <w:szCs w:val="28"/>
        </w:rPr>
        <w:t xml:space="preserve"> MW, kuras saražoja </w:t>
      </w:r>
      <w:r w:rsidR="00F5411F">
        <w:rPr>
          <w:rFonts w:eastAsiaTheme="majorEastAsia" w:cs="Times New Roman"/>
          <w:bCs/>
          <w:szCs w:val="28"/>
        </w:rPr>
        <w:t>2</w:t>
      </w:r>
      <w:r w:rsidR="004D4A21">
        <w:rPr>
          <w:rFonts w:eastAsiaTheme="majorEastAsia" w:cs="Times New Roman"/>
          <w:bCs/>
          <w:szCs w:val="28"/>
        </w:rPr>
        <w:t>340</w:t>
      </w:r>
      <w:r w:rsidR="00C42C7C" w:rsidRPr="003D48F5">
        <w:rPr>
          <w:rFonts w:eastAsiaTheme="majorEastAsia" w:cs="Times New Roman"/>
          <w:bCs/>
          <w:szCs w:val="28"/>
        </w:rPr>
        <w:t xml:space="preserve"> </w:t>
      </w:r>
      <w:proofErr w:type="spellStart"/>
      <w:r w:rsidR="00C42C7C" w:rsidRPr="003D48F5">
        <w:rPr>
          <w:rFonts w:eastAsiaTheme="majorEastAsia" w:cs="Times New Roman"/>
          <w:bCs/>
          <w:szCs w:val="28"/>
        </w:rPr>
        <w:t>GWh</w:t>
      </w:r>
      <w:proofErr w:type="spellEnd"/>
      <w:r w:rsidR="00C42C7C" w:rsidRPr="003D48F5">
        <w:rPr>
          <w:rFonts w:eastAsiaTheme="majorEastAsia" w:cs="Times New Roman"/>
          <w:bCs/>
          <w:szCs w:val="28"/>
        </w:rPr>
        <w:t xml:space="preserve"> elektroenerģijas. Koģenerācijas stacijas 201</w:t>
      </w:r>
      <w:r w:rsidR="004D4A21">
        <w:rPr>
          <w:rFonts w:eastAsiaTheme="majorEastAsia" w:cs="Times New Roman"/>
          <w:bCs/>
          <w:szCs w:val="28"/>
        </w:rPr>
        <w:t>2</w:t>
      </w:r>
      <w:r w:rsidR="006E7C86">
        <w:rPr>
          <w:rFonts w:eastAsiaTheme="majorEastAsia" w:cs="Times New Roman"/>
          <w:bCs/>
          <w:szCs w:val="28"/>
        </w:rPr>
        <w:t>. </w:t>
      </w:r>
      <w:r w:rsidR="00C42C7C" w:rsidRPr="003D48F5">
        <w:rPr>
          <w:rFonts w:eastAsiaTheme="majorEastAsia" w:cs="Times New Roman"/>
          <w:bCs/>
          <w:szCs w:val="28"/>
        </w:rPr>
        <w:t xml:space="preserve">gadā </w:t>
      </w:r>
      <w:r w:rsidR="004D4A21">
        <w:rPr>
          <w:rFonts w:eastAsiaTheme="majorEastAsia" w:cs="Times New Roman"/>
          <w:bCs/>
          <w:szCs w:val="28"/>
        </w:rPr>
        <w:t xml:space="preserve">pārdošanai </w:t>
      </w:r>
      <w:r w:rsidR="00C42C7C" w:rsidRPr="003D48F5">
        <w:rPr>
          <w:rFonts w:eastAsiaTheme="majorEastAsia" w:cs="Times New Roman"/>
          <w:bCs/>
          <w:szCs w:val="28"/>
        </w:rPr>
        <w:t>saražoja 4</w:t>
      </w:r>
      <w:r w:rsidR="004D4A21">
        <w:rPr>
          <w:rFonts w:eastAsiaTheme="majorEastAsia" w:cs="Times New Roman"/>
          <w:bCs/>
          <w:szCs w:val="28"/>
        </w:rPr>
        <w:t>693</w:t>
      </w:r>
      <w:r w:rsidR="00C42C7C" w:rsidRPr="003D48F5">
        <w:rPr>
          <w:rFonts w:eastAsiaTheme="majorEastAsia" w:cs="Times New Roman"/>
          <w:bCs/>
          <w:szCs w:val="28"/>
        </w:rPr>
        <w:t xml:space="preserve"> </w:t>
      </w:r>
      <w:proofErr w:type="spellStart"/>
      <w:r w:rsidR="00C42C7C" w:rsidRPr="003D48F5">
        <w:rPr>
          <w:rFonts w:eastAsiaTheme="majorEastAsia" w:cs="Times New Roman"/>
          <w:bCs/>
          <w:szCs w:val="28"/>
        </w:rPr>
        <w:t>GWh</w:t>
      </w:r>
      <w:proofErr w:type="spellEnd"/>
      <w:r w:rsidR="00C42C7C" w:rsidRPr="003D48F5">
        <w:rPr>
          <w:rFonts w:eastAsiaTheme="majorEastAsia" w:cs="Times New Roman"/>
          <w:bCs/>
          <w:szCs w:val="28"/>
        </w:rPr>
        <w:t xml:space="preserve"> centralizētās siltumenerģijas, kas sastādīja </w:t>
      </w:r>
      <w:r w:rsidR="004D4A21">
        <w:rPr>
          <w:rFonts w:eastAsiaTheme="majorEastAsia" w:cs="Times New Roman"/>
          <w:bCs/>
          <w:szCs w:val="28"/>
        </w:rPr>
        <w:t>62</w:t>
      </w:r>
      <w:r w:rsidR="00C42C7C" w:rsidRPr="003D48F5">
        <w:rPr>
          <w:rFonts w:eastAsiaTheme="majorEastAsia" w:cs="Times New Roman"/>
          <w:bCs/>
          <w:szCs w:val="28"/>
        </w:rPr>
        <w:t>,</w:t>
      </w:r>
      <w:r w:rsidR="004D4A21">
        <w:rPr>
          <w:rFonts w:eastAsiaTheme="majorEastAsia" w:cs="Times New Roman"/>
          <w:bCs/>
          <w:szCs w:val="28"/>
        </w:rPr>
        <w:t>9</w:t>
      </w:r>
      <w:r w:rsidR="00C42C7C" w:rsidRPr="003D48F5">
        <w:rPr>
          <w:rFonts w:eastAsiaTheme="majorEastAsia" w:cs="Times New Roman"/>
          <w:bCs/>
          <w:szCs w:val="28"/>
        </w:rPr>
        <w:t>% no kopējās central</w:t>
      </w:r>
      <w:r w:rsidR="00F5411F">
        <w:rPr>
          <w:rFonts w:eastAsiaTheme="majorEastAsia" w:cs="Times New Roman"/>
          <w:bCs/>
          <w:szCs w:val="28"/>
        </w:rPr>
        <w:t>izētās siltumenerģijas piegādes.</w:t>
      </w:r>
      <w:r w:rsidR="004D4A21">
        <w:rPr>
          <w:rFonts w:eastAsiaTheme="majorEastAsia" w:cs="Times New Roman"/>
          <w:bCs/>
          <w:szCs w:val="28"/>
        </w:rPr>
        <w:t xml:space="preserve"> 2011.</w:t>
      </w:r>
      <w:r w:rsidR="006E7C86">
        <w:rPr>
          <w:rFonts w:eastAsiaTheme="majorEastAsia" w:cs="Times New Roman"/>
          <w:bCs/>
          <w:szCs w:val="28"/>
        </w:rPr>
        <w:t> </w:t>
      </w:r>
      <w:r w:rsidR="004D4A21">
        <w:rPr>
          <w:rFonts w:eastAsiaTheme="majorEastAsia" w:cs="Times New Roman"/>
          <w:bCs/>
          <w:szCs w:val="28"/>
        </w:rPr>
        <w:t>gadā darbojās 83 koģenerācijas stacijas ar kopējo elektrisko jaudu 963,4 MW.</w:t>
      </w:r>
    </w:p>
    <w:p w:rsidR="00C42C7C" w:rsidRPr="003D48F5" w:rsidRDefault="00C42C7C" w:rsidP="00867B8E">
      <w:pPr>
        <w:spacing w:after="0" w:line="240" w:lineRule="auto"/>
        <w:ind w:firstLine="720"/>
        <w:jc w:val="both"/>
        <w:rPr>
          <w:rFonts w:eastAsiaTheme="majorEastAsia" w:cs="Times New Roman"/>
          <w:bCs/>
          <w:szCs w:val="28"/>
        </w:rPr>
      </w:pPr>
      <w:r w:rsidRPr="003D48F5">
        <w:rPr>
          <w:rFonts w:eastAsiaTheme="majorEastAsia" w:cs="Times New Roman"/>
          <w:bCs/>
          <w:szCs w:val="28"/>
        </w:rPr>
        <w:t>Augsti efektīvā koģenerācijā 2011.</w:t>
      </w:r>
      <w:r w:rsidR="00B05AFA">
        <w:rPr>
          <w:rFonts w:eastAsiaTheme="majorEastAsia" w:cs="Times New Roman"/>
          <w:bCs/>
          <w:szCs w:val="28"/>
        </w:rPr>
        <w:t> </w:t>
      </w:r>
      <w:r w:rsidRPr="003D48F5">
        <w:rPr>
          <w:rFonts w:eastAsiaTheme="majorEastAsia" w:cs="Times New Roman"/>
          <w:bCs/>
          <w:szCs w:val="28"/>
        </w:rPr>
        <w:t xml:space="preserve">gadā tika saražots 2888 </w:t>
      </w:r>
      <w:proofErr w:type="spellStart"/>
      <w:r w:rsidRPr="003D48F5">
        <w:rPr>
          <w:rFonts w:eastAsiaTheme="majorEastAsia" w:cs="Times New Roman"/>
          <w:bCs/>
          <w:szCs w:val="28"/>
        </w:rPr>
        <w:t>GWh</w:t>
      </w:r>
      <w:proofErr w:type="spellEnd"/>
      <w:r w:rsidRPr="003D48F5">
        <w:rPr>
          <w:rFonts w:eastAsiaTheme="majorEastAsia" w:cs="Times New Roman"/>
          <w:bCs/>
          <w:szCs w:val="28"/>
        </w:rPr>
        <w:t xml:space="preserve"> elektroenerģijas, kas ir 92% no kopējā koģenerācijā saražotās elektroenerģijas apjoma. Šo augsto rādītāju veicinājis līdz šim īstenotais atbalsta mehānisms - obligātais elektroenerģijas iepirkums, kā ietvaros arī esošās siltumenerģijas ražošanas iekārtas pakāpeniski tiek aizstātas ar vietējos energoresursus izmantojošām un efektīvām koģenerācijas iekārtām.</w:t>
      </w:r>
    </w:p>
    <w:p w:rsidR="00C42C7C" w:rsidRPr="003D48F5" w:rsidRDefault="00C42C7C" w:rsidP="00867B8E">
      <w:pPr>
        <w:spacing w:after="0" w:line="240" w:lineRule="auto"/>
        <w:ind w:firstLine="720"/>
        <w:jc w:val="both"/>
        <w:rPr>
          <w:rFonts w:eastAsiaTheme="majorEastAsia" w:cs="Times New Roman"/>
          <w:bCs/>
          <w:szCs w:val="28"/>
        </w:rPr>
      </w:pPr>
      <w:r w:rsidRPr="003D48F5">
        <w:rPr>
          <w:rFonts w:eastAsiaTheme="majorEastAsia" w:cs="Times New Roman"/>
          <w:bCs/>
          <w:szCs w:val="28"/>
        </w:rPr>
        <w:lastRenderedPageBreak/>
        <w:t>Latvijā enerģijas ražošanu koģenerācijā regulē Enerģētikas likums, Elektroenerģijas tirgus likums un saskaņā ar to izdotie Ministru kabineta 2009. gada 10. ma</w:t>
      </w:r>
      <w:r w:rsidR="00C249F6">
        <w:rPr>
          <w:rFonts w:eastAsiaTheme="majorEastAsia" w:cs="Times New Roman"/>
          <w:bCs/>
          <w:szCs w:val="28"/>
        </w:rPr>
        <w:t>rta noteikumi Nr.</w:t>
      </w:r>
      <w:r w:rsidRPr="003D48F5">
        <w:rPr>
          <w:rFonts w:eastAsiaTheme="majorEastAsia" w:cs="Times New Roman"/>
          <w:bCs/>
          <w:szCs w:val="28"/>
        </w:rPr>
        <w:t xml:space="preserve">221 „Noteikumi par elektroenerģijas ražošanu un cenu noteikšanu, ražojot elektroenerģiju koģenerācijā”, kā arī likums “Par sabiedrisko pakalpojumu regulatoriem” un saskaņā ar to izdotie </w:t>
      </w:r>
      <w:r w:rsidR="00070090">
        <w:rPr>
          <w:rFonts w:eastAsiaTheme="majorEastAsia" w:cs="Times New Roman"/>
          <w:bCs/>
          <w:szCs w:val="28"/>
        </w:rPr>
        <w:t>tiesību akti.</w:t>
      </w:r>
    </w:p>
    <w:p w:rsidR="00C42C7C" w:rsidRDefault="00C42C7C" w:rsidP="00867B8E">
      <w:pPr>
        <w:spacing w:after="0" w:line="240" w:lineRule="auto"/>
        <w:ind w:firstLine="720"/>
        <w:jc w:val="both"/>
        <w:rPr>
          <w:rFonts w:eastAsiaTheme="majorEastAsia" w:cs="Times New Roman"/>
          <w:bCs/>
          <w:szCs w:val="28"/>
        </w:rPr>
      </w:pPr>
      <w:r w:rsidRPr="003D48F5">
        <w:rPr>
          <w:rFonts w:eastAsiaTheme="majorEastAsia" w:cs="Times New Roman"/>
          <w:bCs/>
          <w:szCs w:val="28"/>
        </w:rPr>
        <w:t>Minētās normas un pasākumi ieviesti, izpildot Direktīvas 2004/8/EK</w:t>
      </w:r>
      <w:r w:rsidRPr="003D48F5">
        <w:rPr>
          <w:rStyle w:val="FootnoteReference"/>
          <w:rFonts w:eastAsiaTheme="majorEastAsia" w:cs="Times New Roman"/>
          <w:bCs/>
          <w:szCs w:val="28"/>
        </w:rPr>
        <w:footnoteReference w:id="21"/>
      </w:r>
      <w:r w:rsidRPr="003D48F5">
        <w:rPr>
          <w:rFonts w:eastAsiaTheme="majorEastAsia" w:cs="Times New Roman"/>
          <w:bCs/>
          <w:szCs w:val="28"/>
        </w:rPr>
        <w:t xml:space="preserve"> prasības. Tā kā ar Direktīvu 2012/27/ES tiek aizstāta Direktīva 2004/8/EK, un Latvijai līdz 2014.</w:t>
      </w:r>
      <w:r w:rsidR="006E7C86">
        <w:rPr>
          <w:rFonts w:eastAsiaTheme="majorEastAsia" w:cs="Times New Roman"/>
          <w:bCs/>
          <w:szCs w:val="28"/>
        </w:rPr>
        <w:t> gada 5. </w:t>
      </w:r>
      <w:r w:rsidRPr="003D48F5">
        <w:rPr>
          <w:rFonts w:eastAsiaTheme="majorEastAsia" w:cs="Times New Roman"/>
          <w:bCs/>
          <w:szCs w:val="28"/>
        </w:rPr>
        <w:t>jūnijam arī Direktīvas 2012/27/ES 14.</w:t>
      </w:r>
      <w:r w:rsidR="006E7C86">
        <w:rPr>
          <w:rFonts w:eastAsiaTheme="majorEastAsia" w:cs="Times New Roman"/>
          <w:bCs/>
          <w:szCs w:val="28"/>
        </w:rPr>
        <w:t> </w:t>
      </w:r>
      <w:r w:rsidRPr="003D48F5">
        <w:rPr>
          <w:rFonts w:eastAsiaTheme="majorEastAsia" w:cs="Times New Roman"/>
          <w:bCs/>
          <w:szCs w:val="28"/>
        </w:rPr>
        <w:t>pants ir jāievieš nacionālajā tiesību sistēmā, ir jāpārskata līdz šim Latvijā ieviestās Direktīvas 2004/8/EK tiesību normas.</w:t>
      </w:r>
    </w:p>
    <w:p w:rsidR="00EB74F3" w:rsidRDefault="00EB74F3" w:rsidP="00867B8E">
      <w:pPr>
        <w:spacing w:after="0" w:line="240" w:lineRule="auto"/>
        <w:ind w:firstLine="720"/>
        <w:jc w:val="both"/>
      </w:pPr>
      <w:r>
        <w:rPr>
          <w:rFonts w:eastAsiaTheme="majorEastAsia" w:cs="Times New Roman"/>
          <w:bCs/>
          <w:szCs w:val="28"/>
        </w:rPr>
        <w:t xml:space="preserve">Rīkojumā par Koncepciju </w:t>
      </w:r>
      <w:r>
        <w:t>nolemts atbalstīt variantu nenoteikt atbrīvojumus visām Direktīvas 2012/27/ES 14.</w:t>
      </w:r>
      <w:r w:rsidR="006E7C86">
        <w:t> </w:t>
      </w:r>
      <w:r>
        <w:t>pantā uzskaitītajām iekārtām ieviest siltuma un koģenerācijas potenciāla, izmaksu un ieguvumu analīzes veikšanas pienākumu.</w:t>
      </w:r>
    </w:p>
    <w:p w:rsidR="009C6871" w:rsidRPr="009E37D3" w:rsidRDefault="009C6871" w:rsidP="009C6871">
      <w:pPr>
        <w:spacing w:after="0" w:line="240" w:lineRule="auto"/>
        <w:ind w:firstLine="720"/>
        <w:jc w:val="both"/>
        <w:rPr>
          <w:rFonts w:eastAsiaTheme="majorEastAsia" w:cs="Times New Roman"/>
          <w:bCs/>
          <w:szCs w:val="28"/>
        </w:rPr>
      </w:pPr>
      <w:r w:rsidRPr="009E37D3">
        <w:rPr>
          <w:rFonts w:eastAsiaTheme="majorEastAsia" w:cs="Times New Roman"/>
          <w:bCs/>
          <w:szCs w:val="28"/>
        </w:rPr>
        <w:t>Šobrīd izstrādāšanā esošais likumprojekts Energoefektivitātes likums paredz,</w:t>
      </w:r>
      <w:r w:rsidR="00A8693C">
        <w:rPr>
          <w:rFonts w:eastAsiaTheme="majorEastAsia" w:cs="Times New Roman"/>
          <w:bCs/>
          <w:szCs w:val="28"/>
        </w:rPr>
        <w:t xml:space="preserve"> ka</w:t>
      </w:r>
      <w:r w:rsidRPr="009E37D3">
        <w:rPr>
          <w:rFonts w:eastAsiaTheme="majorEastAsia" w:cs="Times New Roman"/>
          <w:bCs/>
          <w:szCs w:val="28"/>
        </w:rPr>
        <w:t xml:space="preserve"> </w:t>
      </w:r>
      <w:r w:rsidR="00070090">
        <w:rPr>
          <w:rFonts w:eastAsiaTheme="majorEastAsia" w:cs="Times New Roman"/>
          <w:bCs/>
          <w:szCs w:val="28"/>
        </w:rPr>
        <w:t xml:space="preserve">Ekonomikas </w:t>
      </w:r>
      <w:r w:rsidRPr="009E37D3">
        <w:rPr>
          <w:rFonts w:cs="Times New Roman"/>
          <w:bCs/>
          <w:szCs w:val="28"/>
        </w:rPr>
        <w:t>ministrija līdz 2015.</w:t>
      </w:r>
      <w:r>
        <w:rPr>
          <w:rFonts w:cs="Times New Roman"/>
          <w:bCs/>
          <w:szCs w:val="28"/>
        </w:rPr>
        <w:t> </w:t>
      </w:r>
      <w:r w:rsidRPr="009E37D3">
        <w:rPr>
          <w:rFonts w:cs="Times New Roman"/>
          <w:bCs/>
          <w:szCs w:val="28"/>
        </w:rPr>
        <w:t>gada 31.</w:t>
      </w:r>
      <w:r>
        <w:rPr>
          <w:rFonts w:cs="Times New Roman"/>
          <w:bCs/>
          <w:szCs w:val="28"/>
        </w:rPr>
        <w:t> </w:t>
      </w:r>
      <w:r w:rsidRPr="009E37D3">
        <w:rPr>
          <w:rFonts w:cs="Times New Roman"/>
          <w:bCs/>
          <w:szCs w:val="28"/>
        </w:rPr>
        <w:t xml:space="preserve">decembrim veic un </w:t>
      </w:r>
      <w:r w:rsidR="00B05AFA">
        <w:rPr>
          <w:rFonts w:cs="Times New Roman"/>
          <w:bCs/>
          <w:szCs w:val="28"/>
        </w:rPr>
        <w:t>EK</w:t>
      </w:r>
      <w:r w:rsidRPr="009E37D3">
        <w:rPr>
          <w:rFonts w:cs="Times New Roman"/>
          <w:bCs/>
          <w:szCs w:val="28"/>
        </w:rPr>
        <w:t xml:space="preserve"> iesniedz augstas</w:t>
      </w:r>
      <w:r w:rsidRPr="009E37D3">
        <w:rPr>
          <w:rFonts w:cs="Times New Roman"/>
          <w:b/>
          <w:bCs/>
          <w:szCs w:val="28"/>
        </w:rPr>
        <w:t xml:space="preserve"> </w:t>
      </w:r>
      <w:r w:rsidRPr="009E37D3">
        <w:rPr>
          <w:rFonts w:cs="Times New Roman"/>
          <w:color w:val="000000"/>
          <w:szCs w:val="28"/>
        </w:rPr>
        <w:t xml:space="preserve">efektivitātes koģenerācijas un efektīvas centralizētas siltumapgādes un dzesēšanas izmantošanas potenciāla visaptverošu izvērtējumu, kas ietver izmaksu un ieguvumu analīzi. Izstrādājot politikas pasākumus efektīvas siltumapgādes un dzesēšanas attīstībai, </w:t>
      </w:r>
      <w:r w:rsidR="00070090">
        <w:rPr>
          <w:rFonts w:cs="Times New Roman"/>
          <w:color w:val="000000"/>
          <w:szCs w:val="28"/>
        </w:rPr>
        <w:t xml:space="preserve">Ekonomikas </w:t>
      </w:r>
      <w:r w:rsidRPr="009E37D3">
        <w:rPr>
          <w:rFonts w:cs="Times New Roman"/>
          <w:color w:val="000000"/>
          <w:szCs w:val="28"/>
        </w:rPr>
        <w:t xml:space="preserve">ministrija ņem vērā iepriekš minētā </w:t>
      </w:r>
      <w:r w:rsidRPr="009E37D3">
        <w:rPr>
          <w:rFonts w:cs="Times New Roman"/>
          <w:bCs/>
          <w:szCs w:val="28"/>
        </w:rPr>
        <w:t>augstas</w:t>
      </w:r>
      <w:r w:rsidRPr="009E37D3">
        <w:rPr>
          <w:rFonts w:cs="Times New Roman"/>
          <w:b/>
          <w:bCs/>
          <w:szCs w:val="28"/>
        </w:rPr>
        <w:t xml:space="preserve"> </w:t>
      </w:r>
      <w:r w:rsidRPr="009E37D3">
        <w:rPr>
          <w:rFonts w:cs="Times New Roman"/>
          <w:color w:val="000000"/>
          <w:szCs w:val="28"/>
        </w:rPr>
        <w:t>efektivitātes koģenerācijas un efektīvas centralizētas siltumapgādes un dzesēšanas izmantošanas potenciāla visaptverošā izvērtējuma rezultātus.</w:t>
      </w:r>
    </w:p>
    <w:p w:rsidR="009C6871" w:rsidRPr="009E37D3" w:rsidRDefault="009C6871" w:rsidP="009C6871">
      <w:pPr>
        <w:spacing w:after="0" w:line="240" w:lineRule="auto"/>
        <w:ind w:firstLine="720"/>
        <w:jc w:val="both"/>
        <w:rPr>
          <w:rFonts w:eastAsiaTheme="majorEastAsia" w:cs="Times New Roman"/>
          <w:bCs/>
          <w:szCs w:val="28"/>
        </w:rPr>
      </w:pPr>
      <w:r w:rsidRPr="009E37D3">
        <w:rPr>
          <w:rFonts w:cs="Times New Roman"/>
          <w:bCs/>
          <w:szCs w:val="28"/>
        </w:rPr>
        <w:t>Efektīvas siltumapgādes un dzesēšanas izmaksu un ieguvumu analīzes veikšanas kārtību, kā arī kārtību, kādā</w:t>
      </w:r>
      <w:r w:rsidR="00274912">
        <w:rPr>
          <w:rFonts w:cs="Times New Roman"/>
          <w:bCs/>
          <w:szCs w:val="28"/>
        </w:rPr>
        <w:t xml:space="preserve"> </w:t>
      </w:r>
      <w:r w:rsidRPr="009E37D3">
        <w:rPr>
          <w:rFonts w:cs="Times New Roman"/>
          <w:bCs/>
          <w:szCs w:val="28"/>
        </w:rPr>
        <w:t>kompetentās iestādes ņem vērā izmaksu un ieguvumu analīzi,</w:t>
      </w:r>
      <w:r w:rsidR="00274912">
        <w:rPr>
          <w:rFonts w:cs="Times New Roman"/>
          <w:bCs/>
          <w:szCs w:val="28"/>
        </w:rPr>
        <w:t xml:space="preserve"> </w:t>
      </w:r>
      <w:r w:rsidRPr="009E37D3">
        <w:rPr>
          <w:rFonts w:cs="Times New Roman"/>
          <w:bCs/>
          <w:szCs w:val="28"/>
        </w:rPr>
        <w:t>noteiks Ministru kab</w:t>
      </w:r>
      <w:r>
        <w:rPr>
          <w:rFonts w:cs="Times New Roman"/>
          <w:bCs/>
          <w:szCs w:val="28"/>
        </w:rPr>
        <w:t>inets. Ministru kabineta noteik</w:t>
      </w:r>
      <w:r w:rsidRPr="009E37D3">
        <w:rPr>
          <w:rFonts w:cs="Times New Roman"/>
          <w:bCs/>
          <w:szCs w:val="28"/>
        </w:rPr>
        <w:t>umi tiks izstrādāti</w:t>
      </w:r>
      <w:r w:rsidR="00C249F6">
        <w:rPr>
          <w:rFonts w:cs="Times New Roman"/>
          <w:bCs/>
          <w:szCs w:val="28"/>
        </w:rPr>
        <w:t>,</w:t>
      </w:r>
      <w:r w:rsidRPr="009E37D3">
        <w:rPr>
          <w:rFonts w:cs="Times New Roman"/>
          <w:bCs/>
          <w:szCs w:val="28"/>
        </w:rPr>
        <w:t xml:space="preserve"> ņemot vērā Direktīvas 2012/27/ES VIII un XI pielikuma prasības.</w:t>
      </w:r>
    </w:p>
    <w:p w:rsidR="00FB5564" w:rsidRPr="00FB5564" w:rsidRDefault="00AA70E3" w:rsidP="00FB5564">
      <w:pPr>
        <w:pStyle w:val="Heading3"/>
        <w:spacing w:after="120"/>
      </w:pPr>
      <w:bookmarkStart w:id="43" w:name="_Toc387237985"/>
      <w:r w:rsidRPr="00FB5564">
        <w:rPr>
          <w:rStyle w:val="Heading3Char"/>
          <w:b/>
          <w:bCs/>
        </w:rPr>
        <w:t>3.5.2. Citi pasākumi apsildīšanas un dzesēšanas efektivitātes veicināšanai</w:t>
      </w:r>
      <w:bookmarkEnd w:id="43"/>
      <w:r w:rsidRPr="00FB5564">
        <w:t xml:space="preserve"> </w:t>
      </w:r>
    </w:p>
    <w:p w:rsidR="0036280C" w:rsidRPr="003D48F5" w:rsidRDefault="0036280C" w:rsidP="00867B8E">
      <w:pPr>
        <w:spacing w:after="0" w:line="240" w:lineRule="auto"/>
        <w:ind w:firstLine="720"/>
        <w:jc w:val="both"/>
        <w:rPr>
          <w:szCs w:val="28"/>
        </w:rPr>
      </w:pPr>
      <w:r w:rsidRPr="003D48F5">
        <w:rPr>
          <w:szCs w:val="28"/>
        </w:rPr>
        <w:t xml:space="preserve">Stratēģijā 2030 izvirzītā galvenā mērķa un </w:t>
      </w:r>
      <w:proofErr w:type="spellStart"/>
      <w:r w:rsidRPr="003D48F5">
        <w:rPr>
          <w:szCs w:val="28"/>
        </w:rPr>
        <w:t>apakšmērķu</w:t>
      </w:r>
      <w:proofErr w:type="spellEnd"/>
      <w:r w:rsidRPr="003D48F5">
        <w:rPr>
          <w:szCs w:val="28"/>
        </w:rPr>
        <w:t xml:space="preserve"> sasniegšanu būtiski ietekmē energoefektivitāte un tās pasākumi ne tikai visos enerģētikas </w:t>
      </w:r>
      <w:proofErr w:type="spellStart"/>
      <w:r w:rsidRPr="003D48F5">
        <w:rPr>
          <w:szCs w:val="28"/>
        </w:rPr>
        <w:t>apakšsektoros</w:t>
      </w:r>
      <w:proofErr w:type="spellEnd"/>
      <w:r w:rsidRPr="003D48F5">
        <w:rPr>
          <w:szCs w:val="28"/>
        </w:rPr>
        <w:t>, bet arī citās nozarēs. Tāpēc</w:t>
      </w:r>
      <w:r w:rsidR="001152D3">
        <w:rPr>
          <w:szCs w:val="28"/>
        </w:rPr>
        <w:t>,</w:t>
      </w:r>
      <w:r w:rsidRPr="003D48F5">
        <w:rPr>
          <w:szCs w:val="28"/>
        </w:rPr>
        <w:t xml:space="preserve"> kā vēl viens no sasniedzamajiem politikas rezultatīvajiem rādītājiem Stratēģijā 2030</w:t>
      </w:r>
      <w:r w:rsidR="001152D3">
        <w:rPr>
          <w:szCs w:val="28"/>
        </w:rPr>
        <w:t>,</w:t>
      </w:r>
      <w:r w:rsidRPr="003D48F5">
        <w:rPr>
          <w:szCs w:val="28"/>
        </w:rPr>
        <w:t xml:space="preserve"> paredzēts</w:t>
      </w:r>
      <w:r w:rsidR="00231F4C">
        <w:rPr>
          <w:szCs w:val="28"/>
        </w:rPr>
        <w:t xml:space="preserve"> vidējais siltumenerģijas patēriņš apkurei, nosakot, </w:t>
      </w:r>
      <w:r w:rsidRPr="003D48F5">
        <w:rPr>
          <w:szCs w:val="28"/>
        </w:rPr>
        <w:t>ka līdz 2030.</w:t>
      </w:r>
      <w:r w:rsidR="00FF3353" w:rsidRPr="003D48F5">
        <w:rPr>
          <w:szCs w:val="28"/>
        </w:rPr>
        <w:t> </w:t>
      </w:r>
      <w:r w:rsidRPr="003D48F5">
        <w:rPr>
          <w:szCs w:val="28"/>
        </w:rPr>
        <w:t>gadam vidējais siltumenerģijas patēriņš apkurei tiek samazināts par 50% pret pašreizējo rādītāju, kas ar kl</w:t>
      </w:r>
      <w:r w:rsidR="0090103F">
        <w:rPr>
          <w:szCs w:val="28"/>
        </w:rPr>
        <w:t xml:space="preserve">imata korekciju ir aptuveni 200 </w:t>
      </w:r>
      <w:r w:rsidRPr="003D48F5">
        <w:rPr>
          <w:szCs w:val="28"/>
        </w:rPr>
        <w:t>kWh/m</w:t>
      </w:r>
      <w:r w:rsidRPr="003D48F5">
        <w:rPr>
          <w:szCs w:val="28"/>
          <w:vertAlign w:val="superscript"/>
        </w:rPr>
        <w:t>2</w:t>
      </w:r>
      <w:r w:rsidR="006E7C86">
        <w:rPr>
          <w:szCs w:val="28"/>
        </w:rPr>
        <w:t xml:space="preserve"> gadā (2009. </w:t>
      </w:r>
      <w:r w:rsidRPr="003D48F5">
        <w:rPr>
          <w:szCs w:val="28"/>
        </w:rPr>
        <w:t>gadā – 202</w:t>
      </w:r>
      <w:r w:rsidR="0090103F">
        <w:rPr>
          <w:szCs w:val="28"/>
        </w:rPr>
        <w:t xml:space="preserve"> </w:t>
      </w:r>
      <w:r w:rsidRPr="003D48F5">
        <w:rPr>
          <w:szCs w:val="28"/>
        </w:rPr>
        <w:t>kWh/m</w:t>
      </w:r>
      <w:r w:rsidRPr="003D48F5">
        <w:rPr>
          <w:szCs w:val="28"/>
          <w:vertAlign w:val="superscript"/>
        </w:rPr>
        <w:t>2</w:t>
      </w:r>
      <w:r w:rsidRPr="003D48F5">
        <w:rPr>
          <w:szCs w:val="28"/>
        </w:rPr>
        <w:t>). Pēdējo 20 gadu laikā tas ievērojami</w:t>
      </w:r>
      <w:r w:rsidR="0090103F">
        <w:rPr>
          <w:szCs w:val="28"/>
        </w:rPr>
        <w:t xml:space="preserve"> samazinājies (1990. gadā – 304 </w:t>
      </w:r>
      <w:r w:rsidRPr="003D48F5">
        <w:rPr>
          <w:szCs w:val="28"/>
        </w:rPr>
        <w:t>kWh/m</w:t>
      </w:r>
      <w:r w:rsidRPr="003D48F5">
        <w:rPr>
          <w:szCs w:val="28"/>
          <w:vertAlign w:val="superscript"/>
        </w:rPr>
        <w:t>2</w:t>
      </w:r>
      <w:r w:rsidRPr="003D48F5">
        <w:rPr>
          <w:szCs w:val="28"/>
        </w:rPr>
        <w:t xml:space="preserve">). Šis rādītājs ir pietiekami ambiciozs, lai piesaistītu investīcijas un uzlabotu energoefektivitāti ēkās, tai pat laikā neaizmirstot par </w:t>
      </w:r>
      <w:r w:rsidRPr="003D48F5">
        <w:rPr>
          <w:szCs w:val="28"/>
        </w:rPr>
        <w:lastRenderedPageBreak/>
        <w:t xml:space="preserve">energoefektivitātes uzlabošanu ražošanas procesos, kas ir viens no konkurētspējas priekšnoteikumiem. </w:t>
      </w:r>
    </w:p>
    <w:p w:rsidR="0036280C" w:rsidRPr="003D48F5" w:rsidRDefault="00533F03" w:rsidP="00867B8E">
      <w:pPr>
        <w:spacing w:after="0" w:line="240" w:lineRule="auto"/>
        <w:jc w:val="both"/>
        <w:rPr>
          <w:szCs w:val="28"/>
        </w:rPr>
      </w:pPr>
      <w:r w:rsidRPr="003D48F5">
        <w:rPr>
          <w:szCs w:val="28"/>
        </w:rPr>
        <w:tab/>
      </w:r>
      <w:r w:rsidR="009473EE" w:rsidRPr="003D48F5">
        <w:rPr>
          <w:szCs w:val="28"/>
        </w:rPr>
        <w:t>Ņ</w:t>
      </w:r>
      <w:r w:rsidR="0036280C" w:rsidRPr="003D48F5">
        <w:rPr>
          <w:szCs w:val="28"/>
        </w:rPr>
        <w:t xml:space="preserve">emot vērā, ka vislielākais energoresursu galapatēriņš ir tieši siltumenerģijas ražošanā, ieskaitot centralizēto siltumenerģiju, </w:t>
      </w:r>
      <w:r w:rsidR="009473EE" w:rsidRPr="003D48F5">
        <w:rPr>
          <w:szCs w:val="28"/>
        </w:rPr>
        <w:t xml:space="preserve">Stratēģijā 2030 ietverts uzdevums </w:t>
      </w:r>
      <w:r w:rsidR="0036280C" w:rsidRPr="003D48F5">
        <w:rPr>
          <w:szCs w:val="28"/>
        </w:rPr>
        <w:t>noteikt stingrākas prasības centralizētās siltumapgādes sistēmām attiecībā uz enerģijas zudumu tīklos samazināšanu, vērtējot investīciju lietderību un 2030. </w:t>
      </w:r>
      <w:r w:rsidR="006E7C86">
        <w:rPr>
          <w:szCs w:val="28"/>
        </w:rPr>
        <w:t xml:space="preserve">gadā zudumu </w:t>
      </w:r>
      <w:proofErr w:type="spellStart"/>
      <w:r w:rsidR="006E7C86">
        <w:rPr>
          <w:szCs w:val="28"/>
        </w:rPr>
        <w:t>līmeņatzīmi</w:t>
      </w:r>
      <w:proofErr w:type="spellEnd"/>
      <w:r w:rsidR="006E7C86">
        <w:rPr>
          <w:szCs w:val="28"/>
        </w:rPr>
        <w:t xml:space="preserve"> tuvinot </w:t>
      </w:r>
      <w:r w:rsidR="0036280C" w:rsidRPr="003D48F5">
        <w:rPr>
          <w:szCs w:val="28"/>
        </w:rPr>
        <w:t>10</w:t>
      </w:r>
      <w:r w:rsidR="004E183B">
        <w:rPr>
          <w:szCs w:val="28"/>
        </w:rPr>
        <w:t>%,</w:t>
      </w:r>
      <w:r w:rsidR="009473EE" w:rsidRPr="003D48F5">
        <w:rPr>
          <w:szCs w:val="28"/>
        </w:rPr>
        <w:t xml:space="preserve"> kā arī </w:t>
      </w:r>
      <w:r w:rsidR="0036280C" w:rsidRPr="003D48F5">
        <w:rPr>
          <w:szCs w:val="28"/>
        </w:rPr>
        <w:t xml:space="preserve">stimulēt jaunu patērētāju pieslēgšanu efektīvām </w:t>
      </w:r>
      <w:r w:rsidR="00BA29EF">
        <w:rPr>
          <w:szCs w:val="28"/>
        </w:rPr>
        <w:t>centralizētās siltumapgādes</w:t>
      </w:r>
      <w:r w:rsidR="0036280C" w:rsidRPr="003D48F5">
        <w:rPr>
          <w:szCs w:val="28"/>
        </w:rPr>
        <w:t xml:space="preserve"> sistēmām, tai skaitā, ierobežojot zemas lietderības fosilo autonomās apkures iekārtas uzstādīšanu teritorijā, kurā ir pieejama </w:t>
      </w:r>
      <w:r w:rsidR="00BA29EF">
        <w:rPr>
          <w:szCs w:val="28"/>
        </w:rPr>
        <w:t>centralizētā siltumapgāde</w:t>
      </w:r>
      <w:r w:rsidR="009473EE" w:rsidRPr="003D48F5">
        <w:rPr>
          <w:szCs w:val="28"/>
        </w:rPr>
        <w:t>.</w:t>
      </w:r>
    </w:p>
    <w:p w:rsidR="003B1DA4" w:rsidRDefault="00261BDA" w:rsidP="00867B8E">
      <w:pPr>
        <w:spacing w:after="0" w:line="240" w:lineRule="auto"/>
        <w:jc w:val="both"/>
        <w:rPr>
          <w:rFonts w:cs="Times New Roman"/>
          <w:bCs/>
          <w:color w:val="000000"/>
          <w:szCs w:val="28"/>
        </w:rPr>
      </w:pPr>
      <w:r w:rsidRPr="003D48F5">
        <w:rPr>
          <w:rFonts w:eastAsia="+mn-ea" w:cs="Times New Roman"/>
          <w:szCs w:val="28"/>
        </w:rPr>
        <w:tab/>
      </w:r>
      <w:r w:rsidR="00BA29EF">
        <w:rPr>
          <w:rFonts w:eastAsia="+mn-ea" w:cs="Times New Roman"/>
          <w:szCs w:val="28"/>
        </w:rPr>
        <w:t>C</w:t>
      </w:r>
      <w:r w:rsidR="00BA29EF">
        <w:rPr>
          <w:rFonts w:cs="Times New Roman"/>
          <w:bCs/>
          <w:color w:val="000000"/>
          <w:szCs w:val="28"/>
        </w:rPr>
        <w:t>entralizēto siltumapgādes</w:t>
      </w:r>
      <w:r w:rsidR="003B1DA4" w:rsidRPr="003D48F5">
        <w:rPr>
          <w:rFonts w:cs="Times New Roman"/>
          <w:bCs/>
          <w:color w:val="000000"/>
          <w:szCs w:val="28"/>
        </w:rPr>
        <w:t xml:space="preserve"> sistēmu efektivitātes paaugstināšanas mērķis ir b</w:t>
      </w:r>
      <w:r w:rsidR="003B1DA4" w:rsidRPr="003D48F5">
        <w:rPr>
          <w:rFonts w:cs="Times New Roman"/>
          <w:szCs w:val="28"/>
        </w:rPr>
        <w:t>ūtiski paaugstināt siltumenerģijas ražošanas efektivitāti, samazināt siltumenerģijas zudumus pārvades un sadales sistēmās un sekmēt fosilā kurināmā veidu aizvietošanu ar atjaunojamiem kurināmiem</w:t>
      </w:r>
      <w:r w:rsidR="003B1DA4" w:rsidRPr="003D48F5">
        <w:rPr>
          <w:rFonts w:cs="Times New Roman"/>
          <w:bCs/>
          <w:color w:val="000000"/>
          <w:szCs w:val="28"/>
        </w:rPr>
        <w:t xml:space="preserve">. </w:t>
      </w:r>
      <w:r w:rsidR="00876AAA">
        <w:rPr>
          <w:rFonts w:cs="Times New Roman"/>
          <w:bCs/>
          <w:color w:val="000000"/>
          <w:szCs w:val="28"/>
        </w:rPr>
        <w:t>(skat.2.3.</w:t>
      </w:r>
      <w:r w:rsidR="006E7C86">
        <w:rPr>
          <w:rFonts w:cs="Times New Roman"/>
          <w:bCs/>
          <w:color w:val="000000"/>
          <w:szCs w:val="28"/>
        </w:rPr>
        <w:t> </w:t>
      </w:r>
      <w:r w:rsidR="00876AAA">
        <w:rPr>
          <w:rFonts w:cs="Times New Roman"/>
          <w:bCs/>
          <w:color w:val="000000"/>
          <w:szCs w:val="28"/>
        </w:rPr>
        <w:t>sadaļu)</w:t>
      </w:r>
    </w:p>
    <w:p w:rsidR="000F4103" w:rsidRPr="003D48F5" w:rsidRDefault="000F4103" w:rsidP="000F4103">
      <w:pPr>
        <w:autoSpaceDE w:val="0"/>
        <w:autoSpaceDN w:val="0"/>
        <w:adjustRightInd w:val="0"/>
        <w:spacing w:after="0" w:line="240" w:lineRule="auto"/>
        <w:ind w:firstLine="720"/>
        <w:jc w:val="both"/>
        <w:rPr>
          <w:rFonts w:cs="Times New Roman"/>
        </w:rPr>
      </w:pPr>
      <w:r>
        <w:rPr>
          <w:rFonts w:cs="Times New Roman"/>
          <w:szCs w:val="28"/>
        </w:rPr>
        <w:t>Tiek attīstītas a</w:t>
      </w:r>
      <w:r w:rsidRPr="003D48F5">
        <w:rPr>
          <w:rFonts w:cs="Times New Roman"/>
          <w:szCs w:val="28"/>
        </w:rPr>
        <w:t>tjaunojamo</w:t>
      </w:r>
      <w:r w:rsidR="00A8693C">
        <w:rPr>
          <w:rFonts w:cs="Times New Roman"/>
          <w:szCs w:val="28"/>
        </w:rPr>
        <w:t>s</w:t>
      </w:r>
      <w:r w:rsidRPr="003D48F5">
        <w:rPr>
          <w:rFonts w:cs="Times New Roman"/>
          <w:szCs w:val="28"/>
        </w:rPr>
        <w:t xml:space="preserve"> energoresursu</w:t>
      </w:r>
      <w:r w:rsidR="00A8693C">
        <w:rPr>
          <w:rFonts w:cs="Times New Roman"/>
          <w:szCs w:val="28"/>
        </w:rPr>
        <w:t>s</w:t>
      </w:r>
      <w:r w:rsidRPr="003D48F5">
        <w:rPr>
          <w:rFonts w:cs="Times New Roman"/>
          <w:szCs w:val="28"/>
        </w:rPr>
        <w:t xml:space="preserve"> izmantojoš</w:t>
      </w:r>
      <w:r>
        <w:rPr>
          <w:rFonts w:cs="Times New Roman"/>
          <w:szCs w:val="28"/>
        </w:rPr>
        <w:t>as</w:t>
      </w:r>
      <w:r w:rsidRPr="003D48F5">
        <w:rPr>
          <w:rFonts w:cs="Times New Roman"/>
          <w:szCs w:val="28"/>
        </w:rPr>
        <w:t xml:space="preserve"> koģenerācijas elektrostacij</w:t>
      </w:r>
      <w:r>
        <w:rPr>
          <w:rFonts w:cs="Times New Roman"/>
          <w:szCs w:val="28"/>
        </w:rPr>
        <w:t>as</w:t>
      </w:r>
      <w:r w:rsidRPr="003D48F5">
        <w:rPr>
          <w:rFonts w:cs="Times New Roman"/>
          <w:szCs w:val="28"/>
        </w:rPr>
        <w:t xml:space="preserve"> ar mērķi būtiski paaugstināt elektroenerģijas un</w:t>
      </w:r>
      <w:r w:rsidRPr="003D48F5">
        <w:rPr>
          <w:rFonts w:cs="Times New Roman"/>
        </w:rPr>
        <w:t xml:space="preserve"> siltumenerģijas ražošanas apjomus no atjaunojamiem energoresursiem, tādējādi mazinot Latvijas atkarību no primāro enerģijas resursu importa</w:t>
      </w:r>
      <w:r>
        <w:rPr>
          <w:rFonts w:cs="Times New Roman"/>
        </w:rPr>
        <w:t>.</w:t>
      </w:r>
    </w:p>
    <w:p w:rsidR="00AA70E3" w:rsidRPr="00FB5564" w:rsidRDefault="00AA70E3" w:rsidP="00EC406E">
      <w:pPr>
        <w:pStyle w:val="Heading2"/>
        <w:spacing w:after="120"/>
      </w:pPr>
      <w:bookmarkStart w:id="44" w:name="_Toc387237986"/>
      <w:r w:rsidRPr="00FB5564">
        <w:t>3.6. Enerģijas pārveide, pārvade, sadale un pieprasījuma reakcija</w:t>
      </w:r>
      <w:bookmarkEnd w:id="44"/>
    </w:p>
    <w:p w:rsidR="001840CD" w:rsidRPr="003D48F5" w:rsidRDefault="005C33E2" w:rsidP="009F62AA">
      <w:pPr>
        <w:spacing w:after="0" w:line="240" w:lineRule="auto"/>
        <w:jc w:val="both"/>
        <w:rPr>
          <w:rFonts w:eastAsiaTheme="majorEastAsia" w:cs="Times New Roman"/>
          <w:bCs/>
          <w:szCs w:val="28"/>
        </w:rPr>
      </w:pPr>
      <w:r w:rsidRPr="003D48F5">
        <w:rPr>
          <w:rFonts w:eastAsiaTheme="majorEastAsia" w:cs="Times New Roman"/>
          <w:bCs/>
          <w:szCs w:val="28"/>
        </w:rPr>
        <w:tab/>
      </w:r>
      <w:r w:rsidR="00C42C7C" w:rsidRPr="003D48F5">
        <w:rPr>
          <w:rFonts w:eastAsiaTheme="majorEastAsia" w:cs="Times New Roman"/>
          <w:bCs/>
          <w:szCs w:val="28"/>
        </w:rPr>
        <w:t xml:space="preserve">Lai </w:t>
      </w:r>
      <w:r w:rsidR="00231F4C">
        <w:rPr>
          <w:rFonts w:eastAsiaTheme="majorEastAsia" w:cs="Times New Roman"/>
          <w:bCs/>
          <w:szCs w:val="28"/>
        </w:rPr>
        <w:t xml:space="preserve">nodrošinātu </w:t>
      </w:r>
      <w:r w:rsidR="00F47F42">
        <w:rPr>
          <w:rFonts w:eastAsiaTheme="majorEastAsia" w:cs="Times New Roman"/>
          <w:bCs/>
          <w:szCs w:val="28"/>
        </w:rPr>
        <w:t>pieprasījuma reakcijas sistēmas ieviešanu</w:t>
      </w:r>
      <w:r w:rsidR="00C42C7C" w:rsidRPr="003D48F5">
        <w:rPr>
          <w:rFonts w:eastAsiaTheme="majorEastAsia" w:cs="Times New Roman"/>
          <w:bCs/>
          <w:szCs w:val="28"/>
        </w:rPr>
        <w:t xml:space="preserve">, ir jāveic detalizēta analīze un nepieciešamo </w:t>
      </w:r>
      <w:r w:rsidR="00F47F42">
        <w:rPr>
          <w:rFonts w:eastAsiaTheme="majorEastAsia" w:cs="Times New Roman"/>
          <w:bCs/>
          <w:szCs w:val="28"/>
        </w:rPr>
        <w:t xml:space="preserve">normatīvo aktu </w:t>
      </w:r>
      <w:r w:rsidR="00C42C7C" w:rsidRPr="003D48F5">
        <w:rPr>
          <w:rFonts w:eastAsiaTheme="majorEastAsia" w:cs="Times New Roman"/>
          <w:bCs/>
          <w:szCs w:val="28"/>
        </w:rPr>
        <w:t>grozījumu sagatavošana.</w:t>
      </w:r>
    </w:p>
    <w:p w:rsidR="00A20731" w:rsidRPr="003D48F5" w:rsidRDefault="005C33E2" w:rsidP="009F62AA">
      <w:pPr>
        <w:spacing w:after="40" w:line="240" w:lineRule="auto"/>
        <w:jc w:val="both"/>
        <w:rPr>
          <w:rFonts w:cs="Times New Roman"/>
        </w:rPr>
      </w:pPr>
      <w:r w:rsidRPr="003D48F5">
        <w:rPr>
          <w:rFonts w:cs="Times New Roman"/>
        </w:rPr>
        <w:tab/>
      </w:r>
      <w:r w:rsidR="00A07AC4">
        <w:rPr>
          <w:rFonts w:cs="Times New Roman"/>
        </w:rPr>
        <w:t>Ir u</w:t>
      </w:r>
      <w:r w:rsidR="00A20731" w:rsidRPr="003D48F5">
        <w:rPr>
          <w:rFonts w:cs="Times New Roman"/>
        </w:rPr>
        <w:t>zsākta Elektroenerģijas biržas darbīb</w:t>
      </w:r>
      <w:r w:rsidR="001840CD" w:rsidRPr="003D48F5">
        <w:rPr>
          <w:rFonts w:cs="Times New Roman"/>
        </w:rPr>
        <w:t>a</w:t>
      </w:r>
      <w:r w:rsidR="00A20731" w:rsidRPr="003D48F5">
        <w:rPr>
          <w:rFonts w:cs="Times New Roman"/>
        </w:rPr>
        <w:t xml:space="preserve"> Latvijā – atvērt</w:t>
      </w:r>
      <w:r w:rsidR="00FF3353" w:rsidRPr="003D48F5">
        <w:rPr>
          <w:rFonts w:cs="Times New Roman"/>
        </w:rPr>
        <w:t>a</w:t>
      </w:r>
      <w:r w:rsidR="00A20731" w:rsidRPr="003D48F5">
        <w:rPr>
          <w:rFonts w:cs="Times New Roman"/>
        </w:rPr>
        <w:t xml:space="preserve"> elektroenerģijas biržas </w:t>
      </w:r>
      <w:proofErr w:type="spellStart"/>
      <w:r w:rsidR="00A20731" w:rsidRPr="003D48F5">
        <w:rPr>
          <w:rFonts w:cs="Times New Roman"/>
        </w:rPr>
        <w:t>NordPool</w:t>
      </w:r>
      <w:proofErr w:type="spellEnd"/>
      <w:r w:rsidR="00A20731" w:rsidRPr="003D48F5">
        <w:rPr>
          <w:rFonts w:cs="Times New Roman"/>
        </w:rPr>
        <w:t xml:space="preserve"> </w:t>
      </w:r>
      <w:proofErr w:type="spellStart"/>
      <w:r w:rsidR="00A20731" w:rsidRPr="003D48F5">
        <w:rPr>
          <w:rFonts w:cs="Times New Roman"/>
        </w:rPr>
        <w:t>Spot</w:t>
      </w:r>
      <w:proofErr w:type="spellEnd"/>
      <w:r w:rsidR="00A20731" w:rsidRPr="003D48F5">
        <w:rPr>
          <w:rFonts w:cs="Times New Roman"/>
        </w:rPr>
        <w:t xml:space="preserve"> Latvijas cenu zon</w:t>
      </w:r>
      <w:r w:rsidR="00FF3353" w:rsidRPr="003D48F5">
        <w:rPr>
          <w:rFonts w:cs="Times New Roman"/>
        </w:rPr>
        <w:t>a</w:t>
      </w:r>
      <w:r w:rsidR="00A20731" w:rsidRPr="003D48F5">
        <w:rPr>
          <w:rFonts w:cs="Times New Roman"/>
        </w:rPr>
        <w:t xml:space="preserve"> (</w:t>
      </w:r>
      <w:proofErr w:type="spellStart"/>
      <w:r w:rsidR="00A20731" w:rsidRPr="003D48F5">
        <w:rPr>
          <w:rFonts w:cs="Times New Roman"/>
          <w:i/>
        </w:rPr>
        <w:t>bidding</w:t>
      </w:r>
      <w:proofErr w:type="spellEnd"/>
      <w:r w:rsidR="00A20731" w:rsidRPr="003D48F5">
        <w:rPr>
          <w:rFonts w:cs="Times New Roman"/>
          <w:i/>
        </w:rPr>
        <w:t xml:space="preserve"> </w:t>
      </w:r>
      <w:proofErr w:type="spellStart"/>
      <w:r w:rsidR="00A20731" w:rsidRPr="003D48F5">
        <w:rPr>
          <w:rFonts w:cs="Times New Roman"/>
          <w:i/>
        </w:rPr>
        <w:t>area</w:t>
      </w:r>
      <w:proofErr w:type="spellEnd"/>
      <w:r w:rsidR="00A20731" w:rsidRPr="003D48F5">
        <w:rPr>
          <w:rFonts w:cs="Times New Roman"/>
        </w:rPr>
        <w:t>) ar mērķi veicināt Baltijas valstu elektroenerģijas tirgus integrāciju Skandināvijas reģionā</w:t>
      </w:r>
      <w:r w:rsidR="001152D3">
        <w:rPr>
          <w:rFonts w:cs="Times New Roman"/>
        </w:rPr>
        <w:t>.</w:t>
      </w:r>
    </w:p>
    <w:p w:rsidR="005D1177" w:rsidRPr="003D48F5" w:rsidRDefault="005C33E2" w:rsidP="00867B8E">
      <w:pPr>
        <w:spacing w:after="0" w:line="240" w:lineRule="auto"/>
        <w:jc w:val="both"/>
        <w:rPr>
          <w:rFonts w:cs="Times New Roman"/>
        </w:rPr>
      </w:pPr>
      <w:r w:rsidRPr="003D48F5">
        <w:rPr>
          <w:rFonts w:cs="Times New Roman"/>
        </w:rPr>
        <w:tab/>
      </w:r>
      <w:r w:rsidR="00A07AC4">
        <w:rPr>
          <w:rFonts w:cs="Times New Roman"/>
        </w:rPr>
        <w:t>Lai</w:t>
      </w:r>
      <w:r w:rsidR="00A07AC4" w:rsidRPr="00A07AC4">
        <w:rPr>
          <w:rFonts w:cs="Times New Roman"/>
        </w:rPr>
        <w:t xml:space="preserve"> stimulētu tīklu operatorus uzlabot infrastruktūras plānojuma un darbības efektivitāti,</w:t>
      </w:r>
      <w:r w:rsidR="00A07AC4">
        <w:rPr>
          <w:rFonts w:cs="Times New Roman"/>
        </w:rPr>
        <w:t xml:space="preserve"> </w:t>
      </w:r>
      <w:r w:rsidR="002F07B4">
        <w:rPr>
          <w:rFonts w:cs="Times New Roman"/>
        </w:rPr>
        <w:t xml:space="preserve">tiek </w:t>
      </w:r>
      <w:r w:rsidR="00A07AC4">
        <w:rPr>
          <w:rFonts w:cs="Times New Roman"/>
        </w:rPr>
        <w:t>ī</w:t>
      </w:r>
      <w:r w:rsidR="005D1177" w:rsidRPr="003D48F5">
        <w:rPr>
          <w:rFonts w:cs="Times New Roman"/>
        </w:rPr>
        <w:t>stenot</w:t>
      </w:r>
      <w:r w:rsidR="00FB4446">
        <w:rPr>
          <w:rFonts w:cs="Times New Roman"/>
        </w:rPr>
        <w:t xml:space="preserve">a </w:t>
      </w:r>
      <w:r w:rsidR="005D1177" w:rsidRPr="003D48F5">
        <w:rPr>
          <w:rFonts w:cs="Times New Roman"/>
        </w:rPr>
        <w:t>projekt</w:t>
      </w:r>
      <w:r w:rsidR="00FB4446">
        <w:rPr>
          <w:rFonts w:cs="Times New Roman"/>
        </w:rPr>
        <w:t xml:space="preserve">a </w:t>
      </w:r>
      <w:r w:rsidR="005D1177" w:rsidRPr="003D48F5">
        <w:rPr>
          <w:rFonts w:cs="Times New Roman"/>
        </w:rPr>
        <w:t>„Kurzemes loks 2.</w:t>
      </w:r>
      <w:r w:rsidR="001840CD" w:rsidRPr="003D48F5">
        <w:rPr>
          <w:rFonts w:cs="Times New Roman"/>
        </w:rPr>
        <w:t> </w:t>
      </w:r>
      <w:r w:rsidR="005D1177" w:rsidRPr="003D48F5">
        <w:rPr>
          <w:rFonts w:cs="Times New Roman"/>
        </w:rPr>
        <w:t>etaps: 330kV līnijas Grobiņa</w:t>
      </w:r>
      <w:r w:rsidR="0037268C">
        <w:rPr>
          <w:rFonts w:cs="Times New Roman"/>
        </w:rPr>
        <w:t xml:space="preserve"> – </w:t>
      </w:r>
      <w:r w:rsidR="005D1177" w:rsidRPr="003D48F5">
        <w:rPr>
          <w:rFonts w:cs="Times New Roman"/>
        </w:rPr>
        <w:t>Ventspils</w:t>
      </w:r>
      <w:r w:rsidR="0037268C">
        <w:rPr>
          <w:rFonts w:cs="Times New Roman"/>
        </w:rPr>
        <w:t>”</w:t>
      </w:r>
      <w:r w:rsidR="005D1177" w:rsidRPr="003D48F5">
        <w:rPr>
          <w:rFonts w:cs="Times New Roman"/>
        </w:rPr>
        <w:t xml:space="preserve"> izbūve ar mērķi stiprināt Latvijas rietumu reģiona</w:t>
      </w:r>
      <w:r w:rsidR="00EC49D9" w:rsidRPr="003D48F5">
        <w:rPr>
          <w:rFonts w:cs="Times New Roman"/>
        </w:rPr>
        <w:t xml:space="preserve"> pārvades tīklu (Kurzemes loks).</w:t>
      </w:r>
    </w:p>
    <w:p w:rsidR="005D1177" w:rsidRPr="003D48F5" w:rsidRDefault="005C33E2" w:rsidP="00867B8E">
      <w:pPr>
        <w:spacing w:after="0" w:line="240" w:lineRule="auto"/>
        <w:jc w:val="both"/>
        <w:rPr>
          <w:rFonts w:cs="Times New Roman"/>
        </w:rPr>
      </w:pPr>
      <w:r w:rsidRPr="003D48F5">
        <w:rPr>
          <w:rFonts w:cs="Times New Roman"/>
        </w:rPr>
        <w:tab/>
      </w:r>
      <w:r w:rsidR="00A07AC4">
        <w:rPr>
          <w:rFonts w:cs="Times New Roman"/>
        </w:rPr>
        <w:t>Tāpat p</w:t>
      </w:r>
      <w:r w:rsidR="000F089E" w:rsidRPr="003D48F5">
        <w:rPr>
          <w:rFonts w:cs="Times New Roman"/>
        </w:rPr>
        <w:t>lānots u</w:t>
      </w:r>
      <w:r w:rsidR="005D1177" w:rsidRPr="003D48F5">
        <w:rPr>
          <w:rFonts w:cs="Times New Roman"/>
        </w:rPr>
        <w:t>zlabot savienojamību ar ES enerģētikas tīkliem, aktīvi iesaistoties jaunā Eiropas Infrastruktūras Savienojumu instrumenta apguvē, vienlaikus veicināt reģionālu sadarbību, lai pēc iespējas ātrāk vienotos par kopīgiem reģionālajiem projektiem kas vērsti uz visa Baltija</w:t>
      </w:r>
      <w:r w:rsidR="00EC49D9" w:rsidRPr="003D48F5">
        <w:rPr>
          <w:rFonts w:cs="Times New Roman"/>
        </w:rPr>
        <w:t>s reģiona tirgus integrāciju ES.</w:t>
      </w:r>
    </w:p>
    <w:p w:rsidR="007236C8" w:rsidRPr="003D48F5" w:rsidRDefault="007236C8" w:rsidP="00867B8E">
      <w:pPr>
        <w:spacing w:after="0" w:line="240" w:lineRule="auto"/>
        <w:ind w:firstLine="720"/>
        <w:jc w:val="both"/>
        <w:rPr>
          <w:szCs w:val="28"/>
        </w:rPr>
      </w:pPr>
      <w:r w:rsidRPr="003D48F5">
        <w:rPr>
          <w:szCs w:val="28"/>
        </w:rPr>
        <w:t>Stratēģijā 2030 noteikti vairāki priekšnoteikumi un apņemšanās par darbības virzieniem un pasākumiem, lai nodrošinātu pieeju efektīviem energoresursu tirgiem, stabilas un pamatotas enerģijas cenas, kā arī ilgtermiņā drošu nacionālo un reģionālo enerģētikas infrastruktūru:</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1) </w:t>
      </w:r>
      <w:r w:rsidR="007236C8" w:rsidRPr="003D48F5">
        <w:rPr>
          <w:rFonts w:ascii="Times New Roman" w:hAnsi="Times New Roman"/>
          <w:sz w:val="28"/>
          <w:szCs w:val="28"/>
        </w:rPr>
        <w:t xml:space="preserve">nodrošināt nacionālā mērogā elastīgu un drošu energoapgādes tīklu, ņemot vērā arvien plašāku </w:t>
      </w:r>
      <w:proofErr w:type="spellStart"/>
      <w:r w:rsidR="007236C8" w:rsidRPr="003D48F5">
        <w:rPr>
          <w:rFonts w:ascii="Times New Roman" w:hAnsi="Times New Roman"/>
          <w:sz w:val="28"/>
          <w:szCs w:val="28"/>
        </w:rPr>
        <w:t>mikroģenerācijas</w:t>
      </w:r>
      <w:proofErr w:type="spellEnd"/>
      <w:r w:rsidR="007236C8" w:rsidRPr="003D48F5">
        <w:rPr>
          <w:rFonts w:ascii="Times New Roman" w:hAnsi="Times New Roman"/>
          <w:sz w:val="28"/>
          <w:szCs w:val="28"/>
        </w:rPr>
        <w:t xml:space="preserve"> izplatību un tā rezultātā radušās izmaiņas Latvijas enerģijas portfelī. Decentralizētas </w:t>
      </w:r>
      <w:proofErr w:type="spellStart"/>
      <w:r w:rsidR="007236C8" w:rsidRPr="003D48F5">
        <w:rPr>
          <w:rFonts w:ascii="Times New Roman" w:hAnsi="Times New Roman"/>
          <w:sz w:val="28"/>
          <w:szCs w:val="28"/>
        </w:rPr>
        <w:t>mikroģenerācijas</w:t>
      </w:r>
      <w:proofErr w:type="spellEnd"/>
      <w:r w:rsidR="007236C8" w:rsidRPr="003D48F5">
        <w:rPr>
          <w:rFonts w:ascii="Times New Roman" w:hAnsi="Times New Roman"/>
          <w:sz w:val="28"/>
          <w:szCs w:val="28"/>
        </w:rPr>
        <w:t xml:space="preserve"> procesā saražoto enerģiju iespējams efektīvi integrēt tīklā tikai pie </w:t>
      </w:r>
      <w:r w:rsidR="007236C8" w:rsidRPr="003D48F5">
        <w:rPr>
          <w:rFonts w:ascii="Times New Roman" w:hAnsi="Times New Roman"/>
          <w:sz w:val="28"/>
          <w:szCs w:val="28"/>
        </w:rPr>
        <w:lastRenderedPageBreak/>
        <w:t>nosacījuma, ka energoapgādes tīkli tiek rūpīgi uzraudzīti, tiek analizēta un plānota to darbība un attīstība, kā arī nodrošināta efektīva jaudu balansēšana tīklā;</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2) </w:t>
      </w:r>
      <w:r w:rsidR="007236C8" w:rsidRPr="003D48F5">
        <w:rPr>
          <w:rFonts w:ascii="Times New Roman" w:hAnsi="Times New Roman"/>
          <w:sz w:val="28"/>
          <w:szCs w:val="28"/>
        </w:rPr>
        <w:t xml:space="preserve">attīstīt enerģētikas politikas ietekmes izvērtēšanas kapacitāti, pilnvērtīgi aptverot enerģētikas politikas tiešās un netiešās izmaksas uz patērētājiem un ieguvumus ekonomikai kopumā, tajā skaitā alternatīvās izmaksas un lokālo piesārņojumu; </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3) </w:t>
      </w:r>
      <w:r w:rsidR="007236C8" w:rsidRPr="003D48F5">
        <w:rPr>
          <w:rFonts w:ascii="Times New Roman" w:hAnsi="Times New Roman"/>
          <w:sz w:val="28"/>
          <w:szCs w:val="28"/>
        </w:rPr>
        <w:t>nodrošināt valsts mēroga sociālo atbalstu enerģētikas sektorā, tostarp īstenojot sociālos atbalsta</w:t>
      </w:r>
      <w:r w:rsidR="00274912">
        <w:rPr>
          <w:rFonts w:ascii="Times New Roman" w:hAnsi="Times New Roman"/>
          <w:sz w:val="28"/>
          <w:szCs w:val="28"/>
        </w:rPr>
        <w:t xml:space="preserve"> </w:t>
      </w:r>
      <w:r w:rsidR="007236C8" w:rsidRPr="003D48F5">
        <w:rPr>
          <w:rFonts w:ascii="Times New Roman" w:hAnsi="Times New Roman"/>
          <w:sz w:val="28"/>
          <w:szCs w:val="28"/>
        </w:rPr>
        <w:t>pasākumus noteikta statusa patērētājiem, lai izskaustu enerģētisko nabadzību un nodrošinātu enerģijas pieejamību par atbilstošu, pieņemamu cenu ikvienam Latvijas iedzīvotājam;</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4) </w:t>
      </w:r>
      <w:r w:rsidR="007236C8" w:rsidRPr="003D48F5">
        <w:rPr>
          <w:rFonts w:ascii="Times New Roman" w:hAnsi="Times New Roman"/>
          <w:sz w:val="28"/>
          <w:szCs w:val="28"/>
        </w:rPr>
        <w:t xml:space="preserve">nodrošināt enerģijas tirgu liberalizāciju, atvieglojot jaunu tirgus dalībnieku ienākšanu tirgū, veicinot enerģijas piegāžu avotu un ceļu diversifikāciju reģionālā mērogā un veicinot sabiedrības informētību par tās ieguvumiem un pienākumiem brīvā un efektīvā enerģijas tirgū; </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5) </w:t>
      </w:r>
      <w:r w:rsidR="007236C8" w:rsidRPr="003D48F5">
        <w:rPr>
          <w:rFonts w:ascii="Times New Roman" w:hAnsi="Times New Roman"/>
          <w:sz w:val="28"/>
          <w:szCs w:val="28"/>
        </w:rPr>
        <w:t xml:space="preserve">turpināt ciešu sadarbību ar reģionālajiem partneriem Baltijas enerģijas tirgus </w:t>
      </w:r>
      <w:proofErr w:type="spellStart"/>
      <w:r w:rsidR="007236C8" w:rsidRPr="003D48F5">
        <w:rPr>
          <w:rFonts w:ascii="Times New Roman" w:hAnsi="Times New Roman"/>
          <w:sz w:val="28"/>
          <w:szCs w:val="28"/>
        </w:rPr>
        <w:t>starpsavienojumu</w:t>
      </w:r>
      <w:proofErr w:type="spellEnd"/>
      <w:r w:rsidR="007236C8" w:rsidRPr="003D48F5">
        <w:rPr>
          <w:rFonts w:ascii="Times New Roman" w:hAnsi="Times New Roman"/>
          <w:sz w:val="28"/>
          <w:szCs w:val="28"/>
        </w:rPr>
        <w:t xml:space="preserve"> plāna un Eiropas Infrastruktūras savienošanas instrumenta (CEF) ietvaros, balstoties uz solidaritātes un savstarpēja finansiālā atbalsta principiem, līdzsvarojot nacionālās un reģionālās intereses kopēji izdevīgiem risinājumiem (</w:t>
      </w:r>
      <w:proofErr w:type="spellStart"/>
      <w:r w:rsidR="007236C8" w:rsidRPr="003D48F5">
        <w:rPr>
          <w:rFonts w:ascii="Times New Roman" w:hAnsi="Times New Roman"/>
          <w:sz w:val="28"/>
          <w:szCs w:val="28"/>
        </w:rPr>
        <w:t>piem</w:t>
      </w:r>
      <w:proofErr w:type="spellEnd"/>
      <w:r w:rsidR="007236C8" w:rsidRPr="003D48F5">
        <w:rPr>
          <w:rFonts w:ascii="Times New Roman" w:hAnsi="Times New Roman"/>
          <w:sz w:val="28"/>
          <w:szCs w:val="28"/>
        </w:rPr>
        <w:t>., dabasgāzes piegādes un uzglabāšanas infrastruktūras attīstība);</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6) </w:t>
      </w:r>
      <w:r w:rsidR="007236C8" w:rsidRPr="003D48F5">
        <w:rPr>
          <w:rFonts w:ascii="Times New Roman" w:hAnsi="Times New Roman"/>
          <w:sz w:val="28"/>
          <w:szCs w:val="28"/>
        </w:rPr>
        <w:t xml:space="preserve">turpināt Skandināvijas un Baltijas valstu elektroenerģijas tirgu integrāciju </w:t>
      </w:r>
      <w:proofErr w:type="spellStart"/>
      <w:r w:rsidR="007236C8" w:rsidRPr="003D48F5">
        <w:rPr>
          <w:rFonts w:ascii="Times New Roman" w:hAnsi="Times New Roman"/>
          <w:sz w:val="28"/>
          <w:szCs w:val="28"/>
        </w:rPr>
        <w:t>Nord</w:t>
      </w:r>
      <w:proofErr w:type="spellEnd"/>
      <w:r w:rsidR="007236C8" w:rsidRPr="003D48F5">
        <w:rPr>
          <w:rFonts w:ascii="Times New Roman" w:hAnsi="Times New Roman"/>
          <w:sz w:val="28"/>
          <w:szCs w:val="28"/>
        </w:rPr>
        <w:t xml:space="preserve"> </w:t>
      </w:r>
      <w:proofErr w:type="spellStart"/>
      <w:r w:rsidR="007236C8" w:rsidRPr="003D48F5">
        <w:rPr>
          <w:rFonts w:ascii="Times New Roman" w:hAnsi="Times New Roman"/>
          <w:sz w:val="28"/>
          <w:szCs w:val="28"/>
        </w:rPr>
        <w:t>Pool</w:t>
      </w:r>
      <w:proofErr w:type="spellEnd"/>
      <w:r w:rsidR="007236C8" w:rsidRPr="003D48F5">
        <w:rPr>
          <w:rFonts w:ascii="Times New Roman" w:hAnsi="Times New Roman"/>
          <w:sz w:val="28"/>
          <w:szCs w:val="28"/>
        </w:rPr>
        <w:t xml:space="preserve"> </w:t>
      </w:r>
      <w:proofErr w:type="spellStart"/>
      <w:r w:rsidR="007236C8" w:rsidRPr="003D48F5">
        <w:rPr>
          <w:rFonts w:ascii="Times New Roman" w:hAnsi="Times New Roman"/>
          <w:sz w:val="28"/>
          <w:szCs w:val="28"/>
        </w:rPr>
        <w:t>Spot</w:t>
      </w:r>
      <w:proofErr w:type="spellEnd"/>
      <w:r w:rsidR="007236C8" w:rsidRPr="003D48F5">
        <w:rPr>
          <w:rFonts w:ascii="Times New Roman" w:hAnsi="Times New Roman"/>
          <w:sz w:val="28"/>
          <w:szCs w:val="28"/>
        </w:rPr>
        <w:t xml:space="preserve"> biržas ietvaros, tajā skaitā nākotnes darījumu finanšu instrumentu tirdzniecību, izveidojot vienotu cenu reģiona zonu, attīstot ekonomiski pamatotus reģionālos </w:t>
      </w:r>
      <w:proofErr w:type="spellStart"/>
      <w:r w:rsidR="007236C8" w:rsidRPr="003D48F5">
        <w:rPr>
          <w:rFonts w:ascii="Times New Roman" w:hAnsi="Times New Roman"/>
          <w:sz w:val="28"/>
          <w:szCs w:val="28"/>
        </w:rPr>
        <w:t>starpsavienojumus</w:t>
      </w:r>
      <w:proofErr w:type="spellEnd"/>
      <w:r w:rsidR="007236C8" w:rsidRPr="003D48F5">
        <w:rPr>
          <w:rFonts w:ascii="Times New Roman" w:hAnsi="Times New Roman"/>
          <w:sz w:val="28"/>
          <w:szCs w:val="28"/>
        </w:rPr>
        <w:t xml:space="preserve">, samazinot straujas elektroenerģijas cenu svārstības, palielinot tirgu likviditāti un dodot signālus jaunu jaudu, tostarp </w:t>
      </w:r>
      <w:r w:rsidR="008C4591">
        <w:rPr>
          <w:rFonts w:ascii="Times New Roman" w:hAnsi="Times New Roman"/>
          <w:sz w:val="28"/>
          <w:szCs w:val="28"/>
        </w:rPr>
        <w:t>atjaunojamās enerģijas</w:t>
      </w:r>
      <w:r w:rsidR="007236C8" w:rsidRPr="003D48F5">
        <w:rPr>
          <w:rFonts w:ascii="Times New Roman" w:hAnsi="Times New Roman"/>
          <w:sz w:val="28"/>
          <w:szCs w:val="28"/>
        </w:rPr>
        <w:t xml:space="preserve"> attīstībai;</w:t>
      </w:r>
    </w:p>
    <w:p w:rsidR="007236C8" w:rsidRPr="003D48F5" w:rsidRDefault="0022524E" w:rsidP="0022524E">
      <w:pPr>
        <w:pStyle w:val="ListParagraph"/>
        <w:tabs>
          <w:tab w:val="left" w:pos="709"/>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7) </w:t>
      </w:r>
      <w:r w:rsidR="007236C8" w:rsidRPr="003D48F5">
        <w:rPr>
          <w:rFonts w:ascii="Times New Roman" w:hAnsi="Times New Roman"/>
          <w:sz w:val="28"/>
          <w:szCs w:val="28"/>
        </w:rPr>
        <w:t xml:space="preserve">izveidot efektīvu un atvērtu reģionālu dabasgāzes tirgu, pārņemot ES 3. enerģētikas paketi, un atbalstīt Baltijas reģiona dabasgāzes piegāžu diversifikācijas risinājumus, tostarp reģionāla sašķidrinātā dabasgāzes termināļa attīstību, dabasgāzes </w:t>
      </w:r>
      <w:proofErr w:type="spellStart"/>
      <w:r w:rsidR="007236C8" w:rsidRPr="003D48F5">
        <w:rPr>
          <w:rFonts w:ascii="Times New Roman" w:hAnsi="Times New Roman"/>
          <w:sz w:val="28"/>
          <w:szCs w:val="28"/>
        </w:rPr>
        <w:t>starpsavienojumus</w:t>
      </w:r>
      <w:proofErr w:type="spellEnd"/>
      <w:r w:rsidR="007236C8" w:rsidRPr="003D48F5">
        <w:rPr>
          <w:rFonts w:ascii="Times New Roman" w:hAnsi="Times New Roman"/>
          <w:sz w:val="28"/>
          <w:szCs w:val="28"/>
        </w:rPr>
        <w:t xml:space="preserve"> starp Poliju-Lietuvu un Somiju-Igauniju, kā arī palielinot reģionālās dabasgāzes krātuves jaudas;</w:t>
      </w:r>
      <w:r w:rsidR="00274912">
        <w:rPr>
          <w:rFonts w:ascii="Times New Roman" w:hAnsi="Times New Roman"/>
          <w:sz w:val="28"/>
          <w:szCs w:val="28"/>
        </w:rPr>
        <w:t xml:space="preserve"> </w:t>
      </w:r>
    </w:p>
    <w:p w:rsidR="00AA70E3" w:rsidRDefault="0022524E" w:rsidP="0022524E">
      <w:pPr>
        <w:pStyle w:val="ListParagraph"/>
        <w:tabs>
          <w:tab w:val="left" w:pos="426"/>
        </w:tabs>
        <w:spacing w:after="0" w:line="240" w:lineRule="auto"/>
        <w:ind w:left="426"/>
        <w:contextualSpacing w:val="0"/>
        <w:jc w:val="both"/>
        <w:rPr>
          <w:rFonts w:ascii="Times New Roman" w:hAnsi="Times New Roman"/>
          <w:sz w:val="28"/>
          <w:szCs w:val="28"/>
        </w:rPr>
      </w:pPr>
      <w:r>
        <w:rPr>
          <w:rFonts w:ascii="Times New Roman" w:hAnsi="Times New Roman"/>
          <w:sz w:val="28"/>
          <w:szCs w:val="28"/>
        </w:rPr>
        <w:t xml:space="preserve">8) </w:t>
      </w:r>
      <w:r w:rsidR="007236C8" w:rsidRPr="001C41B8">
        <w:rPr>
          <w:rFonts w:ascii="Times New Roman" w:hAnsi="Times New Roman"/>
          <w:sz w:val="28"/>
          <w:szCs w:val="28"/>
        </w:rPr>
        <w:t xml:space="preserve">attīstīt tirgus priekšnoteikumus tikai ekonomiski pamatotiem reģionāliem zema oglekļa bāzes jaudu projektiem, atsakoties no tieša valsts atbalsta </w:t>
      </w:r>
      <w:r w:rsidR="001C41B8" w:rsidRPr="001C41B8">
        <w:rPr>
          <w:rFonts w:ascii="Times New Roman" w:hAnsi="Times New Roman"/>
          <w:sz w:val="28"/>
          <w:szCs w:val="28"/>
        </w:rPr>
        <w:t>jauniem bāzes jaudas projektiem.</w:t>
      </w:r>
    </w:p>
    <w:p w:rsidR="002B428D" w:rsidRDefault="002B428D" w:rsidP="002B428D">
      <w:pPr>
        <w:tabs>
          <w:tab w:val="left" w:pos="426"/>
        </w:tabs>
        <w:spacing w:after="0" w:line="240" w:lineRule="auto"/>
        <w:jc w:val="both"/>
        <w:rPr>
          <w:szCs w:val="28"/>
        </w:rPr>
      </w:pPr>
    </w:p>
    <w:p w:rsidR="002B428D" w:rsidRDefault="002B428D" w:rsidP="002B428D">
      <w:pPr>
        <w:tabs>
          <w:tab w:val="left" w:pos="426"/>
        </w:tabs>
        <w:spacing w:after="0" w:line="240" w:lineRule="auto"/>
        <w:jc w:val="both"/>
        <w:rPr>
          <w:szCs w:val="28"/>
        </w:rPr>
      </w:pPr>
    </w:p>
    <w:p w:rsidR="00F045D6" w:rsidRPr="00CA5844" w:rsidRDefault="00F045D6" w:rsidP="00F045D6">
      <w:pPr>
        <w:suppressLineNumbers/>
        <w:spacing w:after="0" w:line="240" w:lineRule="auto"/>
        <w:rPr>
          <w:color w:val="000000"/>
        </w:rPr>
      </w:pPr>
      <w:r>
        <w:rPr>
          <w:color w:val="000000"/>
        </w:rPr>
        <w:t>Ekonomikas ministrs</w:t>
      </w:r>
      <w:r>
        <w:rPr>
          <w:color w:val="000000"/>
        </w:rPr>
        <w:tab/>
      </w:r>
      <w:r w:rsidRPr="00CA5844">
        <w:rPr>
          <w:color w:val="000000"/>
        </w:rPr>
        <w:tab/>
      </w:r>
      <w:r w:rsidRPr="00CA5844">
        <w:rPr>
          <w:color w:val="000000"/>
        </w:rPr>
        <w:tab/>
      </w:r>
      <w:r w:rsidRPr="00CA5844">
        <w:rPr>
          <w:color w:val="000000"/>
        </w:rPr>
        <w:tab/>
      </w:r>
      <w:r w:rsidRPr="00CA5844">
        <w:rPr>
          <w:color w:val="000000"/>
        </w:rPr>
        <w:tab/>
      </w:r>
      <w:r w:rsidRPr="00CA5844">
        <w:rPr>
          <w:color w:val="000000"/>
        </w:rPr>
        <w:tab/>
      </w:r>
      <w:r w:rsidRPr="00CA5844">
        <w:rPr>
          <w:color w:val="000000"/>
        </w:rPr>
        <w:tab/>
      </w:r>
      <w:proofErr w:type="spellStart"/>
      <w:r w:rsidR="004D126E">
        <w:rPr>
          <w:color w:val="000000"/>
        </w:rPr>
        <w:t>V</w:t>
      </w:r>
      <w:r w:rsidRPr="00CA5844">
        <w:rPr>
          <w:color w:val="000000"/>
        </w:rPr>
        <w:t>.</w:t>
      </w:r>
      <w:r w:rsidR="004D126E">
        <w:rPr>
          <w:color w:val="000000"/>
        </w:rPr>
        <w:t>Dombrovskis</w:t>
      </w:r>
      <w:proofErr w:type="spellEnd"/>
    </w:p>
    <w:p w:rsidR="002B428D" w:rsidRDefault="002B428D" w:rsidP="002B428D">
      <w:pPr>
        <w:pStyle w:val="Subtitle"/>
        <w:rPr>
          <w:b/>
          <w:bCs/>
          <w:color w:val="000000"/>
          <w:sz w:val="20"/>
          <w:lang w:val="lv-LV"/>
        </w:rPr>
      </w:pPr>
    </w:p>
    <w:p w:rsidR="002B428D" w:rsidRPr="00007AD1" w:rsidRDefault="002B428D" w:rsidP="002B428D">
      <w:pPr>
        <w:spacing w:after="0" w:line="240" w:lineRule="auto"/>
        <w:rPr>
          <w:szCs w:val="28"/>
        </w:rPr>
      </w:pPr>
      <w:r w:rsidRPr="00007AD1">
        <w:rPr>
          <w:szCs w:val="28"/>
        </w:rPr>
        <w:t xml:space="preserve">Vīza: </w:t>
      </w:r>
      <w:r w:rsidR="00E14F9B">
        <w:rPr>
          <w:szCs w:val="28"/>
        </w:rPr>
        <w:br/>
        <w:t>valsts sekretārs</w:t>
      </w:r>
      <w:r>
        <w:rPr>
          <w:szCs w:val="28"/>
        </w:rPr>
        <w:tab/>
      </w:r>
      <w:r>
        <w:rPr>
          <w:szCs w:val="28"/>
        </w:rPr>
        <w:tab/>
      </w:r>
      <w:r>
        <w:rPr>
          <w:szCs w:val="28"/>
        </w:rPr>
        <w:tab/>
      </w:r>
      <w:r>
        <w:rPr>
          <w:szCs w:val="28"/>
        </w:rPr>
        <w:tab/>
      </w:r>
      <w:r>
        <w:rPr>
          <w:szCs w:val="28"/>
        </w:rPr>
        <w:tab/>
      </w:r>
      <w:r>
        <w:rPr>
          <w:szCs w:val="28"/>
        </w:rPr>
        <w:tab/>
      </w:r>
      <w:r>
        <w:rPr>
          <w:szCs w:val="28"/>
        </w:rPr>
        <w:tab/>
      </w:r>
      <w:r w:rsidR="00E14F9B">
        <w:rPr>
          <w:szCs w:val="28"/>
        </w:rPr>
        <w:tab/>
      </w:r>
      <w:proofErr w:type="spellStart"/>
      <w:r w:rsidR="00E14F9B">
        <w:rPr>
          <w:szCs w:val="28"/>
        </w:rPr>
        <w:t>M</w:t>
      </w:r>
      <w:r>
        <w:rPr>
          <w:szCs w:val="28"/>
        </w:rPr>
        <w:t>.L</w:t>
      </w:r>
      <w:r w:rsidR="00E14F9B">
        <w:rPr>
          <w:szCs w:val="28"/>
        </w:rPr>
        <w:t>azdovskis</w:t>
      </w:r>
      <w:proofErr w:type="spellEnd"/>
    </w:p>
    <w:p w:rsidR="00DE011B" w:rsidRDefault="00DE011B" w:rsidP="002B428D">
      <w:pPr>
        <w:pStyle w:val="naisf"/>
        <w:spacing w:before="0" w:after="0"/>
        <w:ind w:firstLine="0"/>
        <w:jc w:val="left"/>
        <w:rPr>
          <w:color w:val="000000"/>
          <w:sz w:val="20"/>
          <w:szCs w:val="20"/>
          <w:lang w:val="lv-LV"/>
        </w:rPr>
      </w:pPr>
    </w:p>
    <w:p w:rsidR="00532D83" w:rsidRDefault="00532D83" w:rsidP="002B428D">
      <w:pPr>
        <w:pStyle w:val="naisf"/>
        <w:spacing w:before="0" w:after="0"/>
        <w:ind w:firstLine="0"/>
        <w:jc w:val="left"/>
        <w:rPr>
          <w:color w:val="000000"/>
          <w:sz w:val="20"/>
          <w:szCs w:val="20"/>
          <w:lang w:val="lv-LV"/>
        </w:rPr>
      </w:pPr>
    </w:p>
    <w:p w:rsidR="00532D83" w:rsidRDefault="00532D83" w:rsidP="002B428D">
      <w:pPr>
        <w:pStyle w:val="naisf"/>
        <w:spacing w:before="0" w:after="0"/>
        <w:ind w:firstLine="0"/>
        <w:jc w:val="left"/>
        <w:rPr>
          <w:color w:val="000000"/>
          <w:sz w:val="20"/>
          <w:szCs w:val="20"/>
          <w:lang w:val="lv-LV"/>
        </w:rPr>
      </w:pPr>
    </w:p>
    <w:p w:rsidR="002B428D" w:rsidRDefault="00E34AF1" w:rsidP="002B428D">
      <w:pPr>
        <w:pStyle w:val="naisf"/>
        <w:spacing w:before="0" w:after="0"/>
        <w:ind w:firstLine="0"/>
        <w:jc w:val="left"/>
        <w:rPr>
          <w:color w:val="000000"/>
          <w:sz w:val="20"/>
          <w:szCs w:val="20"/>
          <w:lang w:val="lv-LV"/>
        </w:rPr>
      </w:pPr>
      <w:r>
        <w:rPr>
          <w:color w:val="000000"/>
          <w:sz w:val="20"/>
          <w:szCs w:val="20"/>
          <w:lang w:val="lv-LV"/>
        </w:rPr>
        <w:lastRenderedPageBreak/>
        <w:t>15</w:t>
      </w:r>
      <w:r w:rsidR="002B428D" w:rsidRPr="003E0147">
        <w:rPr>
          <w:color w:val="000000"/>
          <w:sz w:val="20"/>
          <w:szCs w:val="20"/>
          <w:lang w:val="lv-LV"/>
        </w:rPr>
        <w:t>.0</w:t>
      </w:r>
      <w:r w:rsidR="00E62DD6">
        <w:rPr>
          <w:color w:val="000000"/>
          <w:sz w:val="20"/>
          <w:szCs w:val="20"/>
          <w:lang w:val="lv-LV"/>
        </w:rPr>
        <w:t>5</w:t>
      </w:r>
      <w:r w:rsidR="002B428D" w:rsidRPr="003E0147">
        <w:rPr>
          <w:color w:val="000000"/>
          <w:sz w:val="20"/>
          <w:szCs w:val="20"/>
          <w:lang w:val="lv-LV"/>
        </w:rPr>
        <w:t xml:space="preserve">.2014. </w:t>
      </w:r>
      <w:r w:rsidR="0090103F">
        <w:rPr>
          <w:color w:val="000000"/>
          <w:sz w:val="20"/>
          <w:szCs w:val="20"/>
          <w:lang w:val="lv-LV"/>
        </w:rPr>
        <w:t>1</w:t>
      </w:r>
      <w:r w:rsidR="003774D2">
        <w:rPr>
          <w:color w:val="000000"/>
          <w:sz w:val="20"/>
          <w:szCs w:val="20"/>
          <w:lang w:val="lv-LV"/>
        </w:rPr>
        <w:t>4</w:t>
      </w:r>
      <w:r w:rsidR="002B428D" w:rsidRPr="003E0147">
        <w:rPr>
          <w:color w:val="000000"/>
          <w:sz w:val="20"/>
          <w:szCs w:val="20"/>
          <w:lang w:val="lv-LV"/>
        </w:rPr>
        <w:t>:</w:t>
      </w:r>
      <w:r w:rsidR="004310FA">
        <w:rPr>
          <w:color w:val="000000"/>
          <w:sz w:val="20"/>
          <w:szCs w:val="20"/>
          <w:lang w:val="lv-LV"/>
        </w:rPr>
        <w:t>12</w:t>
      </w:r>
    </w:p>
    <w:p w:rsidR="002B428D" w:rsidRPr="003E0147" w:rsidRDefault="002B428D" w:rsidP="002B428D">
      <w:pPr>
        <w:pStyle w:val="naisf"/>
        <w:spacing w:before="0" w:after="0"/>
        <w:ind w:firstLine="0"/>
        <w:jc w:val="left"/>
        <w:rPr>
          <w:color w:val="000000"/>
          <w:sz w:val="20"/>
          <w:szCs w:val="20"/>
          <w:lang w:val="lv-LV"/>
        </w:rPr>
      </w:pPr>
      <w:r>
        <w:rPr>
          <w:color w:val="000000"/>
          <w:sz w:val="20"/>
          <w:szCs w:val="20"/>
          <w:lang w:val="lv-LV"/>
        </w:rPr>
        <w:fldChar w:fldCharType="begin"/>
      </w:r>
      <w:r>
        <w:rPr>
          <w:color w:val="000000"/>
          <w:sz w:val="20"/>
          <w:szCs w:val="20"/>
          <w:lang w:val="lv-LV"/>
        </w:rPr>
        <w:instrText xml:space="preserve"> NUMWORDS   \* MERGEFORMAT </w:instrText>
      </w:r>
      <w:r>
        <w:rPr>
          <w:color w:val="000000"/>
          <w:sz w:val="20"/>
          <w:szCs w:val="20"/>
          <w:lang w:val="lv-LV"/>
        </w:rPr>
        <w:fldChar w:fldCharType="separate"/>
      </w:r>
      <w:r w:rsidR="004D126E">
        <w:rPr>
          <w:noProof/>
          <w:color w:val="000000"/>
          <w:sz w:val="20"/>
          <w:szCs w:val="20"/>
          <w:lang w:val="lv-LV"/>
        </w:rPr>
        <w:t>11636</w:t>
      </w:r>
      <w:r>
        <w:rPr>
          <w:color w:val="000000"/>
          <w:sz w:val="20"/>
          <w:szCs w:val="20"/>
          <w:lang w:val="lv-LV"/>
        </w:rPr>
        <w:fldChar w:fldCharType="end"/>
      </w:r>
      <w:bookmarkStart w:id="45" w:name="_GoBack"/>
      <w:bookmarkEnd w:id="45"/>
    </w:p>
    <w:p w:rsidR="009747D4" w:rsidRDefault="009747D4" w:rsidP="002B428D">
      <w:pPr>
        <w:pStyle w:val="naisf"/>
        <w:spacing w:before="0" w:after="0"/>
        <w:ind w:firstLine="0"/>
        <w:jc w:val="left"/>
        <w:rPr>
          <w:color w:val="000000"/>
          <w:sz w:val="20"/>
          <w:szCs w:val="20"/>
          <w:lang w:val="lv-LV"/>
        </w:rPr>
      </w:pPr>
    </w:p>
    <w:p w:rsidR="002B428D" w:rsidRDefault="002B428D" w:rsidP="002B428D">
      <w:pPr>
        <w:pStyle w:val="naisf"/>
        <w:spacing w:before="0" w:after="0"/>
        <w:ind w:firstLine="0"/>
        <w:jc w:val="left"/>
        <w:rPr>
          <w:color w:val="000000"/>
          <w:sz w:val="20"/>
          <w:szCs w:val="20"/>
          <w:lang w:val="lv-LV"/>
        </w:rPr>
      </w:pPr>
      <w:proofErr w:type="spellStart"/>
      <w:r w:rsidRPr="003E0147">
        <w:rPr>
          <w:color w:val="000000"/>
          <w:sz w:val="20"/>
          <w:szCs w:val="20"/>
          <w:lang w:val="lv-LV"/>
        </w:rPr>
        <w:t>K.</w:t>
      </w:r>
      <w:r>
        <w:rPr>
          <w:color w:val="000000"/>
          <w:sz w:val="20"/>
          <w:szCs w:val="20"/>
          <w:lang w:val="lv-LV"/>
        </w:rPr>
        <w:t>Beihmanis</w:t>
      </w:r>
      <w:proofErr w:type="spellEnd"/>
      <w:r w:rsidR="007C7F1A">
        <w:rPr>
          <w:color w:val="000000"/>
          <w:sz w:val="20"/>
          <w:szCs w:val="20"/>
          <w:lang w:val="lv-LV"/>
        </w:rPr>
        <w:t>,</w:t>
      </w:r>
    </w:p>
    <w:p w:rsidR="007C7F1A" w:rsidRPr="003E0147" w:rsidRDefault="004D126E" w:rsidP="002B428D">
      <w:pPr>
        <w:pStyle w:val="naisf"/>
        <w:spacing w:before="0" w:after="0"/>
        <w:ind w:firstLine="0"/>
        <w:jc w:val="left"/>
        <w:rPr>
          <w:color w:val="000000"/>
          <w:sz w:val="20"/>
          <w:szCs w:val="20"/>
          <w:lang w:val="lv-LV"/>
        </w:rPr>
      </w:pPr>
      <w:hyperlink r:id="rId31" w:history="1">
        <w:r w:rsidR="007C7F1A" w:rsidRPr="000A29E4">
          <w:rPr>
            <w:rStyle w:val="Hyperlink"/>
            <w:sz w:val="20"/>
            <w:szCs w:val="20"/>
            <w:lang w:val="lv-LV"/>
          </w:rPr>
          <w:t>Karlis.Beihmanis@em.gov.lv</w:t>
        </w:r>
      </w:hyperlink>
      <w:r w:rsidR="007C7F1A">
        <w:rPr>
          <w:color w:val="000000"/>
          <w:sz w:val="20"/>
          <w:szCs w:val="20"/>
          <w:lang w:val="lv-LV"/>
        </w:rPr>
        <w:t xml:space="preserve"> </w:t>
      </w:r>
    </w:p>
    <w:p w:rsidR="003936BC" w:rsidRDefault="002B428D" w:rsidP="002373D7">
      <w:pPr>
        <w:pStyle w:val="naisf"/>
        <w:spacing w:before="0" w:after="0"/>
        <w:ind w:firstLine="0"/>
        <w:jc w:val="left"/>
        <w:rPr>
          <w:color w:val="000000"/>
          <w:sz w:val="20"/>
          <w:szCs w:val="20"/>
          <w:lang w:val="lv-LV"/>
        </w:rPr>
      </w:pPr>
      <w:r w:rsidRPr="003E0147">
        <w:rPr>
          <w:color w:val="000000"/>
          <w:sz w:val="20"/>
          <w:szCs w:val="20"/>
          <w:lang w:val="lv-LV"/>
        </w:rPr>
        <w:t>67013</w:t>
      </w:r>
      <w:r>
        <w:rPr>
          <w:color w:val="000000"/>
          <w:sz w:val="20"/>
          <w:szCs w:val="20"/>
          <w:lang w:val="lv-LV"/>
        </w:rPr>
        <w:t>260</w:t>
      </w:r>
    </w:p>
    <w:p w:rsidR="003936BC" w:rsidRDefault="003936BC" w:rsidP="002373D7">
      <w:pPr>
        <w:pStyle w:val="naisf"/>
        <w:spacing w:before="0" w:after="0"/>
        <w:ind w:firstLine="0"/>
        <w:jc w:val="left"/>
        <w:rPr>
          <w:color w:val="000000"/>
          <w:sz w:val="20"/>
          <w:szCs w:val="20"/>
          <w:lang w:val="lv-LV"/>
        </w:rPr>
      </w:pPr>
      <w:r>
        <w:rPr>
          <w:color w:val="000000"/>
          <w:sz w:val="20"/>
          <w:szCs w:val="20"/>
          <w:lang w:val="lv-LV"/>
        </w:rPr>
        <w:t>I.Ozoliņa</w:t>
      </w:r>
    </w:p>
    <w:p w:rsidR="003936BC" w:rsidRDefault="004D126E" w:rsidP="002373D7">
      <w:pPr>
        <w:pStyle w:val="naisf"/>
        <w:spacing w:before="0" w:after="0"/>
        <w:ind w:firstLine="0"/>
        <w:jc w:val="left"/>
        <w:rPr>
          <w:color w:val="000000"/>
          <w:sz w:val="20"/>
          <w:szCs w:val="20"/>
          <w:lang w:val="lv-LV"/>
        </w:rPr>
      </w:pPr>
      <w:hyperlink r:id="rId32" w:history="1">
        <w:r w:rsidR="003936BC" w:rsidRPr="000A29E4">
          <w:rPr>
            <w:rStyle w:val="Hyperlink"/>
            <w:sz w:val="20"/>
            <w:szCs w:val="20"/>
            <w:lang w:val="lv-LV"/>
          </w:rPr>
          <w:t>Inguna.Ozolina@em.gov.lv</w:t>
        </w:r>
      </w:hyperlink>
      <w:r w:rsidR="003936BC">
        <w:rPr>
          <w:color w:val="000000"/>
          <w:sz w:val="20"/>
          <w:szCs w:val="20"/>
          <w:lang w:val="lv-LV"/>
        </w:rPr>
        <w:t xml:space="preserve"> </w:t>
      </w:r>
    </w:p>
    <w:p w:rsidR="003936BC" w:rsidRDefault="003936BC" w:rsidP="002373D7">
      <w:pPr>
        <w:pStyle w:val="naisf"/>
        <w:spacing w:before="0" w:after="0"/>
        <w:ind w:firstLine="0"/>
        <w:jc w:val="left"/>
        <w:rPr>
          <w:color w:val="000000"/>
          <w:sz w:val="20"/>
          <w:szCs w:val="20"/>
          <w:lang w:val="lv-LV"/>
        </w:rPr>
      </w:pPr>
      <w:r>
        <w:rPr>
          <w:color w:val="000000"/>
          <w:sz w:val="20"/>
          <w:szCs w:val="20"/>
          <w:lang w:val="lv-LV"/>
        </w:rPr>
        <w:t>67013175</w:t>
      </w:r>
    </w:p>
    <w:p w:rsidR="003936BC" w:rsidRDefault="003936BC" w:rsidP="002373D7">
      <w:pPr>
        <w:pStyle w:val="naisf"/>
        <w:spacing w:before="0" w:after="0"/>
        <w:ind w:firstLine="0"/>
        <w:jc w:val="left"/>
        <w:rPr>
          <w:color w:val="000000"/>
          <w:sz w:val="20"/>
          <w:szCs w:val="20"/>
          <w:lang w:val="lv-LV"/>
        </w:rPr>
      </w:pPr>
      <w:r>
        <w:rPr>
          <w:color w:val="000000"/>
          <w:sz w:val="20"/>
          <w:szCs w:val="20"/>
          <w:lang w:val="lv-LV"/>
        </w:rPr>
        <w:t>A.Pētersone</w:t>
      </w:r>
    </w:p>
    <w:p w:rsidR="003936BC" w:rsidRDefault="004D126E" w:rsidP="002373D7">
      <w:pPr>
        <w:pStyle w:val="naisf"/>
        <w:spacing w:before="0" w:after="0"/>
        <w:ind w:firstLine="0"/>
        <w:jc w:val="left"/>
        <w:rPr>
          <w:color w:val="000000"/>
          <w:sz w:val="20"/>
          <w:szCs w:val="20"/>
          <w:lang w:val="lv-LV"/>
        </w:rPr>
      </w:pPr>
      <w:hyperlink r:id="rId33" w:history="1">
        <w:r w:rsidR="003936BC" w:rsidRPr="000A29E4">
          <w:rPr>
            <w:rStyle w:val="Hyperlink"/>
            <w:sz w:val="20"/>
            <w:szCs w:val="20"/>
            <w:lang w:val="lv-LV"/>
          </w:rPr>
          <w:t>Andzela.Petersone@em.gov.lv</w:t>
        </w:r>
      </w:hyperlink>
    </w:p>
    <w:p w:rsidR="003936BC" w:rsidRPr="003936BC" w:rsidRDefault="003936BC" w:rsidP="002373D7">
      <w:pPr>
        <w:pStyle w:val="naisf"/>
        <w:spacing w:before="0" w:after="0"/>
        <w:ind w:firstLine="0"/>
        <w:jc w:val="left"/>
        <w:rPr>
          <w:color w:val="000000"/>
          <w:sz w:val="20"/>
          <w:szCs w:val="20"/>
          <w:lang w:val="lv-LV"/>
        </w:rPr>
      </w:pPr>
      <w:r>
        <w:rPr>
          <w:color w:val="000000"/>
          <w:sz w:val="20"/>
          <w:szCs w:val="20"/>
          <w:lang w:val="lv-LV"/>
        </w:rPr>
        <w:t>67013170</w:t>
      </w:r>
    </w:p>
    <w:sectPr w:rsidR="003936BC" w:rsidRPr="003936BC" w:rsidSect="00966CC9">
      <w:headerReference w:type="default" r:id="rId34"/>
      <w:footerReference w:type="default" r:id="rId35"/>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18" w:rsidRDefault="009A0E18" w:rsidP="00553FB6">
      <w:pPr>
        <w:spacing w:after="0" w:line="240" w:lineRule="auto"/>
      </w:pPr>
      <w:r>
        <w:separator/>
      </w:r>
    </w:p>
  </w:endnote>
  <w:endnote w:type="continuationSeparator" w:id="0">
    <w:p w:rsidR="009A0E18" w:rsidRDefault="009A0E18" w:rsidP="0055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Nimbus Sans L">
    <w:altName w:val="Arial Unicode MS"/>
    <w:charset w:val="80"/>
    <w:family w:val="auto"/>
    <w:pitch w:val="variable"/>
  </w:font>
  <w:font w:name="font188">
    <w:altName w:val="Arial Unicode MS"/>
    <w:charset w:val="80"/>
    <w:family w:val="auto"/>
    <w:pitch w:val="variable"/>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18" w:rsidRPr="001B5758" w:rsidRDefault="009A0E18" w:rsidP="00F85A58">
    <w:pPr>
      <w:jc w:val="both"/>
      <w:rPr>
        <w:sz w:val="20"/>
        <w:szCs w:val="20"/>
      </w:rPr>
    </w:pPr>
    <w:r w:rsidRPr="001B5758">
      <w:rPr>
        <w:sz w:val="20"/>
        <w:szCs w:val="20"/>
      </w:rPr>
      <w:fldChar w:fldCharType="begin"/>
    </w:r>
    <w:r w:rsidRPr="001B5758">
      <w:rPr>
        <w:sz w:val="20"/>
        <w:szCs w:val="20"/>
      </w:rPr>
      <w:instrText xml:space="preserve"> FILENAME   \* MERGEFORMAT </w:instrText>
    </w:r>
    <w:r w:rsidRPr="001B5758">
      <w:rPr>
        <w:sz w:val="20"/>
        <w:szCs w:val="20"/>
      </w:rPr>
      <w:fldChar w:fldCharType="separate"/>
    </w:r>
    <w:r w:rsidR="00532D83">
      <w:rPr>
        <w:noProof/>
        <w:sz w:val="20"/>
        <w:szCs w:val="20"/>
      </w:rPr>
      <w:t>EMZino_150514_IZ_EnEf</w:t>
    </w:r>
    <w:r w:rsidRPr="001B5758">
      <w:rPr>
        <w:sz w:val="20"/>
        <w:szCs w:val="20"/>
      </w:rPr>
      <w:fldChar w:fldCharType="end"/>
    </w:r>
    <w:r>
      <w:rPr>
        <w:sz w:val="20"/>
        <w:szCs w:val="20"/>
      </w:rPr>
      <w:t xml:space="preserve">; </w:t>
    </w:r>
    <w:r>
      <w:rPr>
        <w:sz w:val="20"/>
        <w:szCs w:val="20"/>
      </w:rPr>
      <w:fldChar w:fldCharType="begin"/>
    </w:r>
    <w:r>
      <w:rPr>
        <w:sz w:val="20"/>
        <w:szCs w:val="20"/>
      </w:rPr>
      <w:instrText xml:space="preserve"> TITLE  "Informatīvais ziņojums Valsts energoefektivitātes rīcības plāns 2014. - 2016. gadam"  \* MERGEFORMAT </w:instrText>
    </w:r>
    <w:r>
      <w:rPr>
        <w:sz w:val="20"/>
        <w:szCs w:val="20"/>
      </w:rPr>
      <w:fldChar w:fldCharType="separate"/>
    </w:r>
    <w:r w:rsidR="00532D83">
      <w:rPr>
        <w:sz w:val="20"/>
        <w:szCs w:val="20"/>
      </w:rPr>
      <w:t xml:space="preserve">Informatīvais ziņojums Valsts energoefektivitātes rīcības plāns 2014. - 2016. </w:t>
    </w:r>
    <w:proofErr w:type="spellStart"/>
    <w:r w:rsidR="00532D83">
      <w:rPr>
        <w:sz w:val="20"/>
        <w:szCs w:val="20"/>
      </w:rPr>
      <w:t>gadam</w:t>
    </w:r>
    <w:r>
      <w:rPr>
        <w:sz w:val="20"/>
        <w:szCs w:val="20"/>
      </w:rPr>
      <w:fldChar w:fldCharType="end"/>
    </w:r>
    <w:r>
      <w:rPr>
        <w:sz w:val="20"/>
        <w:szCs w:val="20"/>
      </w:rPr>
      <w:fldChar w:fldCharType="begin"/>
    </w:r>
    <w:r>
      <w:rPr>
        <w:sz w:val="20"/>
        <w:szCs w:val="20"/>
      </w:rPr>
      <w:instrText xml:space="preserve"> TITLE   \* MERGEFORMAT </w:instrText>
    </w:r>
    <w:r>
      <w:rPr>
        <w:sz w:val="20"/>
        <w:szCs w:val="20"/>
      </w:rPr>
      <w:fldChar w:fldCharType="separate"/>
    </w:r>
    <w:r w:rsidR="00532D83">
      <w:rPr>
        <w:sz w:val="20"/>
        <w:szCs w:val="20"/>
      </w:rPr>
      <w:t>Informatīvais</w:t>
    </w:r>
    <w:proofErr w:type="spellEnd"/>
    <w:r w:rsidR="00532D83">
      <w:rPr>
        <w:sz w:val="20"/>
        <w:szCs w:val="20"/>
      </w:rPr>
      <w:t xml:space="preserve"> ziņojums Valsts energoefektivitātes rīcības plāns 2014. - 2016. gadam</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18" w:rsidRDefault="009A0E18" w:rsidP="00553FB6">
      <w:pPr>
        <w:spacing w:after="0" w:line="240" w:lineRule="auto"/>
      </w:pPr>
      <w:r>
        <w:separator/>
      </w:r>
    </w:p>
  </w:footnote>
  <w:footnote w:type="continuationSeparator" w:id="0">
    <w:p w:rsidR="009A0E18" w:rsidRDefault="009A0E18" w:rsidP="00553FB6">
      <w:pPr>
        <w:spacing w:after="0" w:line="240" w:lineRule="auto"/>
      </w:pPr>
      <w:r>
        <w:continuationSeparator/>
      </w:r>
    </w:p>
  </w:footnote>
  <w:footnote w:id="1">
    <w:p w:rsidR="009A0E18" w:rsidRDefault="009A0E18" w:rsidP="004C42F5">
      <w:pPr>
        <w:pStyle w:val="FootnoteText"/>
      </w:pPr>
      <w:r>
        <w:rPr>
          <w:rStyle w:val="FootnoteReference"/>
        </w:rPr>
        <w:footnoteRef/>
      </w:r>
      <w:r>
        <w:t xml:space="preserve"> </w:t>
      </w:r>
      <w:hyperlink r:id="rId1" w:history="1">
        <w:r w:rsidRPr="00421B52">
          <w:rPr>
            <w:rStyle w:val="Hyperlink"/>
            <w:sz w:val="20"/>
            <w:szCs w:val="20"/>
          </w:rPr>
          <w:t>http://eur-lex.europa.eu/LexUriServ/LexUriServ.do?uri=OJ:L:2013:141:0048:0053:LV:PDF</w:t>
        </w:r>
      </w:hyperlink>
      <w:r>
        <w:rPr>
          <w:sz w:val="20"/>
          <w:szCs w:val="20"/>
        </w:rPr>
        <w:t xml:space="preserve"> </w:t>
      </w:r>
    </w:p>
  </w:footnote>
  <w:footnote w:id="2">
    <w:p w:rsidR="009A0E18" w:rsidRPr="00AD08C8" w:rsidRDefault="009A0E18" w:rsidP="00267EA5">
      <w:pPr>
        <w:pStyle w:val="FootnoteText"/>
        <w:rPr>
          <w:sz w:val="20"/>
          <w:szCs w:val="20"/>
        </w:rPr>
      </w:pPr>
      <w:r w:rsidRPr="00AD08C8">
        <w:rPr>
          <w:rStyle w:val="FootnoteReference"/>
          <w:sz w:val="20"/>
          <w:szCs w:val="20"/>
        </w:rPr>
        <w:footnoteRef/>
      </w:r>
      <w:r w:rsidRPr="00AD08C8">
        <w:rPr>
          <w:sz w:val="20"/>
          <w:szCs w:val="20"/>
        </w:rPr>
        <w:t xml:space="preserve"> - </w:t>
      </w:r>
      <w:hyperlink r:id="rId2" w:history="1">
        <w:r w:rsidRPr="00AD08C8">
          <w:rPr>
            <w:rStyle w:val="Hyperlink"/>
            <w:sz w:val="20"/>
            <w:szCs w:val="20"/>
          </w:rPr>
          <w:t>http://www.iea-etsap.org</w:t>
        </w:r>
      </w:hyperlink>
    </w:p>
  </w:footnote>
  <w:footnote w:id="3">
    <w:p w:rsidR="009A0E18" w:rsidRPr="00CF262F" w:rsidRDefault="009A0E18" w:rsidP="00821DD0">
      <w:pPr>
        <w:spacing w:after="0" w:line="240" w:lineRule="auto"/>
        <w:jc w:val="both"/>
        <w:rPr>
          <w:sz w:val="20"/>
          <w:szCs w:val="20"/>
        </w:rPr>
      </w:pPr>
      <w:r w:rsidRPr="00CF262F">
        <w:rPr>
          <w:rStyle w:val="FootnoteReference"/>
          <w:rFonts w:cs="Times New Roman"/>
          <w:sz w:val="20"/>
          <w:szCs w:val="20"/>
        </w:rPr>
        <w:footnoteRef/>
      </w:r>
      <w:r>
        <w:t xml:space="preserve"> </w:t>
      </w:r>
      <w:r w:rsidRPr="00CF262F">
        <w:rPr>
          <w:rFonts w:cs="Times New Roman"/>
          <w:sz w:val="20"/>
          <w:szCs w:val="20"/>
        </w:rPr>
        <w:t xml:space="preserve">Paziņots </w:t>
      </w:r>
      <w:r>
        <w:rPr>
          <w:rFonts w:cs="Times New Roman"/>
          <w:sz w:val="20"/>
          <w:szCs w:val="20"/>
        </w:rPr>
        <w:t>EK</w:t>
      </w:r>
      <w:r w:rsidRPr="00CF262F">
        <w:rPr>
          <w:rFonts w:cs="Times New Roman"/>
          <w:sz w:val="20"/>
          <w:szCs w:val="20"/>
        </w:rPr>
        <w:t xml:space="preserve"> 2013.</w:t>
      </w:r>
      <w:r>
        <w:rPr>
          <w:rFonts w:cs="Times New Roman"/>
          <w:sz w:val="20"/>
          <w:szCs w:val="20"/>
        </w:rPr>
        <w:t> </w:t>
      </w:r>
      <w:r w:rsidRPr="00CF262F">
        <w:rPr>
          <w:rFonts w:cs="Times New Roman"/>
          <w:sz w:val="20"/>
          <w:szCs w:val="20"/>
        </w:rPr>
        <w:t>gada 2.</w:t>
      </w:r>
      <w:r>
        <w:rPr>
          <w:rFonts w:cs="Times New Roman"/>
          <w:sz w:val="20"/>
          <w:szCs w:val="20"/>
        </w:rPr>
        <w:t> </w:t>
      </w:r>
      <w:r w:rsidRPr="00CF262F">
        <w:rPr>
          <w:rFonts w:cs="Times New Roman"/>
          <w:sz w:val="20"/>
          <w:szCs w:val="20"/>
        </w:rPr>
        <w:t>maijā ar progresa ziņojumu par „Latvijas Nacionālās reformu programmas Eiropa 2020 stratēģijas kontekstā” īstenošanu.</w:t>
      </w:r>
    </w:p>
  </w:footnote>
  <w:footnote w:id="4">
    <w:p w:rsidR="009A0E18" w:rsidRPr="00CF262F" w:rsidRDefault="009A0E18" w:rsidP="00821DD0">
      <w:pPr>
        <w:pStyle w:val="FootnoteText"/>
        <w:jc w:val="both"/>
        <w:rPr>
          <w:rFonts w:cs="Times New Roman"/>
          <w:sz w:val="20"/>
          <w:szCs w:val="20"/>
        </w:rPr>
      </w:pPr>
      <w:r w:rsidRPr="00CF262F">
        <w:rPr>
          <w:rStyle w:val="FootnoteReference"/>
          <w:rFonts w:cs="Times New Roman"/>
          <w:sz w:val="20"/>
          <w:szCs w:val="20"/>
        </w:rPr>
        <w:footnoteRef/>
      </w:r>
      <w:r w:rsidRPr="00CF262F">
        <w:rPr>
          <w:rFonts w:cs="Times New Roman"/>
          <w:sz w:val="20"/>
          <w:szCs w:val="20"/>
        </w:rPr>
        <w:t xml:space="preserve"> Ietaupījums, kas tiek aprēķināts kā starpība starp bāzes scenāriju un scenāriju ar pasākumiem; šis ietaupījums nenozīmē valsts enerģijas patēriņa absolūto samazinājumu, bet gan pieauguma ierobežojumu, ko nodrošina minētie pasākumi. Mērķa ziņošanas metodiskās prasības noteiktas Direktīvas 2012/27/ES V pielikumā.</w:t>
      </w:r>
    </w:p>
  </w:footnote>
  <w:footnote w:id="5">
    <w:p w:rsidR="009A0E18" w:rsidRDefault="009A0E18">
      <w:pPr>
        <w:pStyle w:val="FootnoteText"/>
      </w:pPr>
      <w:r>
        <w:rPr>
          <w:rStyle w:val="FootnoteReference"/>
        </w:rPr>
        <w:footnoteRef/>
      </w:r>
      <w:r>
        <w:t xml:space="preserve"> </w:t>
      </w:r>
      <w:hyperlink r:id="rId3" w:history="1">
        <w:r w:rsidRPr="00F905DE">
          <w:rPr>
            <w:rStyle w:val="Hyperlink"/>
            <w:rFonts w:cs="Times New Roman"/>
            <w:sz w:val="20"/>
            <w:szCs w:val="28"/>
            <w:lang w:eastAsia="lv-LV"/>
          </w:rPr>
          <w:t>http://em.gov.lv/em/2nd/?cat=30166</w:t>
        </w:r>
      </w:hyperlink>
      <w:r>
        <w:rPr>
          <w:rFonts w:cs="Times New Roman"/>
          <w:szCs w:val="28"/>
          <w:lang w:eastAsia="lv-LV"/>
        </w:rPr>
        <w:t xml:space="preserve"> </w:t>
      </w:r>
    </w:p>
  </w:footnote>
  <w:footnote w:id="6">
    <w:p w:rsidR="009A0E18" w:rsidRDefault="009A0E18">
      <w:pPr>
        <w:pStyle w:val="FootnoteText"/>
      </w:pPr>
      <w:r>
        <w:rPr>
          <w:rStyle w:val="FootnoteReference"/>
        </w:rPr>
        <w:footnoteRef/>
      </w:r>
      <w:r>
        <w:t xml:space="preserve"> </w:t>
      </w:r>
      <w:hyperlink r:id="rId4" w:history="1">
        <w:r w:rsidRPr="00FC6268">
          <w:rPr>
            <w:rStyle w:val="Hyperlink"/>
            <w:sz w:val="20"/>
          </w:rPr>
          <w:t>http://likumi.lv/doc.php?id=205247</w:t>
        </w:r>
      </w:hyperlink>
      <w:r>
        <w:t xml:space="preserve"> </w:t>
      </w:r>
    </w:p>
  </w:footnote>
  <w:footnote w:id="7">
    <w:p w:rsidR="009A0E18" w:rsidRDefault="009A0E18">
      <w:pPr>
        <w:pStyle w:val="FootnoteText"/>
      </w:pPr>
      <w:r>
        <w:rPr>
          <w:rStyle w:val="FootnoteReference"/>
        </w:rPr>
        <w:footnoteRef/>
      </w:r>
      <w:r>
        <w:t xml:space="preserve"> </w:t>
      </w:r>
      <w:hyperlink r:id="rId5" w:history="1">
        <w:r w:rsidRPr="008C31B8">
          <w:rPr>
            <w:rStyle w:val="Hyperlink"/>
            <w:sz w:val="20"/>
          </w:rPr>
          <w:t>http://www.em.gov.lv/em/2nd/?cat=30173</w:t>
        </w:r>
      </w:hyperlink>
      <w:r w:rsidRPr="008C31B8">
        <w:rPr>
          <w:sz w:val="20"/>
        </w:rPr>
        <w:t xml:space="preserve"> </w:t>
      </w:r>
    </w:p>
  </w:footnote>
  <w:footnote w:id="8">
    <w:p w:rsidR="009A0E18" w:rsidRDefault="009A0E18">
      <w:pPr>
        <w:pStyle w:val="FootnoteText"/>
      </w:pPr>
      <w:r>
        <w:rPr>
          <w:rStyle w:val="FootnoteReference"/>
        </w:rPr>
        <w:footnoteRef/>
      </w:r>
      <w:r>
        <w:t xml:space="preserve"> </w:t>
      </w:r>
      <w:hyperlink r:id="rId6" w:history="1">
        <w:r w:rsidRPr="00727E0D">
          <w:rPr>
            <w:rStyle w:val="Hyperlink"/>
            <w:sz w:val="20"/>
          </w:rPr>
          <w:t>http://eur-lex.europa.eu/LexUriServ/LexUriServ.do?uri=OJ:L:2013:141:0048:0053:LV:PDF</w:t>
        </w:r>
      </w:hyperlink>
      <w:r w:rsidRPr="00727E0D">
        <w:rPr>
          <w:sz w:val="20"/>
        </w:rPr>
        <w:t xml:space="preserve"> </w:t>
      </w:r>
    </w:p>
  </w:footnote>
  <w:footnote w:id="9">
    <w:p w:rsidR="009A0E18" w:rsidRDefault="009A0E18" w:rsidP="00740530">
      <w:pPr>
        <w:spacing w:after="0" w:line="240" w:lineRule="auto"/>
        <w:jc w:val="both"/>
      </w:pPr>
      <w:r>
        <w:rPr>
          <w:rStyle w:val="FootnoteReference"/>
        </w:rPr>
        <w:footnoteRef/>
      </w:r>
      <w:r>
        <w:t xml:space="preserve"> </w:t>
      </w:r>
      <w:hyperlink r:id="rId7" w:history="1">
        <w:r w:rsidRPr="00740530">
          <w:rPr>
            <w:rStyle w:val="Hyperlink"/>
            <w:rFonts w:cs="Times New Roman"/>
            <w:sz w:val="20"/>
            <w:szCs w:val="20"/>
          </w:rPr>
          <w:t>http://www.csb.gov.lv/dati/statistikas-datubazes-28270.html</w:t>
        </w:r>
      </w:hyperlink>
      <w:r>
        <w:rPr>
          <w:rFonts w:cs="Times New Roman"/>
          <w:sz w:val="24"/>
          <w:szCs w:val="24"/>
        </w:rPr>
        <w:t xml:space="preserve"> </w:t>
      </w:r>
    </w:p>
  </w:footnote>
  <w:footnote w:id="10">
    <w:p w:rsidR="009A0E18" w:rsidRDefault="009A0E18" w:rsidP="00740530">
      <w:pPr>
        <w:spacing w:after="0" w:line="240" w:lineRule="auto"/>
        <w:jc w:val="both"/>
      </w:pPr>
      <w:r>
        <w:rPr>
          <w:rStyle w:val="FootnoteReference"/>
        </w:rPr>
        <w:footnoteRef/>
      </w:r>
      <w:r>
        <w:t xml:space="preserve"> </w:t>
      </w:r>
      <w:hyperlink r:id="rId8" w:history="1">
        <w:r w:rsidRPr="00740530">
          <w:rPr>
            <w:rStyle w:val="Hyperlink"/>
            <w:rFonts w:cs="Times New Roman"/>
            <w:sz w:val="20"/>
            <w:szCs w:val="20"/>
          </w:rPr>
          <w:t>http://www.csb.gov.lv/en/dati/statistics-database-30501.html</w:t>
        </w:r>
      </w:hyperlink>
      <w:r>
        <w:rPr>
          <w:rFonts w:cs="Times New Roman"/>
          <w:sz w:val="24"/>
          <w:szCs w:val="24"/>
        </w:rPr>
        <w:t xml:space="preserve"> </w:t>
      </w:r>
    </w:p>
  </w:footnote>
  <w:footnote w:id="11">
    <w:p w:rsidR="009A0E18" w:rsidRDefault="009A0E18" w:rsidP="00740530">
      <w:pPr>
        <w:pStyle w:val="FootnoteText"/>
      </w:pPr>
      <w:r>
        <w:rPr>
          <w:rStyle w:val="FootnoteReference"/>
        </w:rPr>
        <w:footnoteRef/>
      </w:r>
      <w:r>
        <w:t xml:space="preserve"> </w:t>
      </w:r>
      <w:hyperlink r:id="rId9" w:history="1">
        <w:r w:rsidRPr="00740530">
          <w:rPr>
            <w:rStyle w:val="Hyperlink"/>
            <w:rFonts w:cs="Times New Roman"/>
            <w:sz w:val="20"/>
            <w:szCs w:val="20"/>
          </w:rPr>
          <w:t>http://www.meteo.lv/lapas/uznemumi-kuriem-izsniegtas-siltumnicefekta-gazu-emisijas-atlaujas-2-pe?id=1253&amp;nid=575</w:t>
        </w:r>
      </w:hyperlink>
    </w:p>
  </w:footnote>
  <w:footnote w:id="12">
    <w:p w:rsidR="009A0E18" w:rsidRDefault="009A0E18">
      <w:pPr>
        <w:pStyle w:val="FootnoteText"/>
      </w:pPr>
      <w:r>
        <w:rPr>
          <w:rStyle w:val="FootnoteReference"/>
        </w:rPr>
        <w:footnoteRef/>
      </w:r>
      <w:r>
        <w:t xml:space="preserve"> </w:t>
      </w:r>
      <w:hyperlink r:id="rId10" w:history="1">
        <w:r w:rsidRPr="00A15B53">
          <w:rPr>
            <w:rStyle w:val="Hyperlink"/>
            <w:sz w:val="20"/>
          </w:rPr>
          <w:t>http://www.em.gov.lv/images/modules/items/atskaite_EERP_2013.pdf</w:t>
        </w:r>
      </w:hyperlink>
      <w:r w:rsidRPr="00A15B53">
        <w:rPr>
          <w:sz w:val="20"/>
        </w:rPr>
        <w:t xml:space="preserve"> </w:t>
      </w:r>
    </w:p>
  </w:footnote>
  <w:footnote w:id="13">
    <w:p w:rsidR="009A0E18" w:rsidRDefault="009A0E18">
      <w:pPr>
        <w:pStyle w:val="FootnoteText"/>
      </w:pPr>
      <w:r>
        <w:rPr>
          <w:rStyle w:val="FootnoteReference"/>
        </w:rPr>
        <w:footnoteRef/>
      </w:r>
      <w:r>
        <w:t xml:space="preserve"> </w:t>
      </w:r>
      <w:hyperlink r:id="rId11" w:history="1">
        <w:r w:rsidRPr="00A15B53">
          <w:rPr>
            <w:rStyle w:val="Hyperlink"/>
            <w:sz w:val="20"/>
          </w:rPr>
          <w:t>http://www.em.gov.lv/images/modules/items/atskaite_EERP_2013.pdf</w:t>
        </w:r>
      </w:hyperlink>
      <w:r w:rsidRPr="00A15B53">
        <w:rPr>
          <w:sz w:val="20"/>
        </w:rPr>
        <w:t xml:space="preserve"> </w:t>
      </w:r>
    </w:p>
  </w:footnote>
  <w:footnote w:id="14">
    <w:p w:rsidR="009A0E18" w:rsidRDefault="009A0E18">
      <w:pPr>
        <w:pStyle w:val="FootnoteText"/>
      </w:pPr>
      <w:r>
        <w:rPr>
          <w:rStyle w:val="FootnoteReference"/>
        </w:rPr>
        <w:footnoteRef/>
      </w:r>
      <w:r>
        <w:t xml:space="preserve"> </w:t>
      </w:r>
      <w:r w:rsidRPr="00632FF3">
        <w:rPr>
          <w:sz w:val="20"/>
          <w:szCs w:val="20"/>
        </w:rPr>
        <w:t>Energoefektivitātes rīcības plāna priekšlikumu izstrāde atbilstoši Energoefektivitātes direktīvas 2012/27/ES prasībām</w:t>
      </w:r>
      <w:r>
        <w:rPr>
          <w:sz w:val="20"/>
          <w:szCs w:val="20"/>
        </w:rPr>
        <w:t xml:space="preserve"> </w:t>
      </w:r>
      <w:hyperlink r:id="rId12" w:history="1">
        <w:r w:rsidRPr="00632FF3">
          <w:rPr>
            <w:rStyle w:val="Hyperlink"/>
            <w:sz w:val="20"/>
          </w:rPr>
          <w:t>http://www.em.gov.lv/images/modules/items/atskaite_EERP_2013.pdf</w:t>
        </w:r>
      </w:hyperlink>
    </w:p>
  </w:footnote>
  <w:footnote w:id="15">
    <w:p w:rsidR="009A0E18" w:rsidRDefault="009A0E18">
      <w:pPr>
        <w:pStyle w:val="FootnoteText"/>
      </w:pPr>
      <w:r>
        <w:rPr>
          <w:rStyle w:val="FootnoteReference"/>
        </w:rPr>
        <w:footnoteRef/>
      </w:r>
      <w:r>
        <w:t xml:space="preserve"> </w:t>
      </w:r>
      <w:hyperlink r:id="rId13" w:history="1">
        <w:r w:rsidRPr="0090493C">
          <w:rPr>
            <w:rStyle w:val="Hyperlink"/>
            <w:rFonts w:eastAsia="Times New Roman"/>
            <w:sz w:val="20"/>
            <w:szCs w:val="28"/>
            <w:lang w:eastAsia="lv-LV"/>
          </w:rPr>
          <w:t>http://em.gov.lv/em/2nd/?cat=30270</w:t>
        </w:r>
      </w:hyperlink>
      <w:r w:rsidRPr="0090493C">
        <w:rPr>
          <w:rFonts w:eastAsia="Times New Roman"/>
          <w:color w:val="000000"/>
          <w:sz w:val="20"/>
          <w:szCs w:val="28"/>
          <w:lang w:eastAsia="lv-LV"/>
        </w:rPr>
        <w:t xml:space="preserve"> </w:t>
      </w:r>
    </w:p>
  </w:footnote>
  <w:footnote w:id="16">
    <w:p w:rsidR="009A0E18" w:rsidRPr="00B36996" w:rsidRDefault="009A0E18" w:rsidP="003C0326">
      <w:pPr>
        <w:pStyle w:val="FootnoteText"/>
        <w:jc w:val="both"/>
      </w:pPr>
      <w:r w:rsidRPr="00B36996">
        <w:rPr>
          <w:rStyle w:val="FootnoteReference"/>
        </w:rPr>
        <w:footnoteRef/>
      </w:r>
      <w:r w:rsidRPr="00B36996">
        <w:t xml:space="preserve"> </w:t>
      </w:r>
      <w:r w:rsidRPr="00A07AC4">
        <w:rPr>
          <w:sz w:val="20"/>
          <w:szCs w:val="20"/>
        </w:rPr>
        <w:t xml:space="preserve">Tā kā </w:t>
      </w:r>
      <w:proofErr w:type="spellStart"/>
      <w:r w:rsidRPr="00A07AC4">
        <w:rPr>
          <w:sz w:val="20"/>
          <w:szCs w:val="20"/>
        </w:rPr>
        <w:t>energoauditu</w:t>
      </w:r>
      <w:proofErr w:type="spellEnd"/>
      <w:r w:rsidRPr="00A07AC4">
        <w:rPr>
          <w:sz w:val="20"/>
          <w:szCs w:val="20"/>
        </w:rPr>
        <w:t xml:space="preserve"> izmaksas rūpniecībā var ievērojami svārstīties atkarībā no uzņēmuma nozares, tad aprēķinā pieņemts, ka viena </w:t>
      </w:r>
      <w:proofErr w:type="spellStart"/>
      <w:r w:rsidRPr="00A07AC4">
        <w:rPr>
          <w:sz w:val="20"/>
          <w:szCs w:val="20"/>
        </w:rPr>
        <w:t>energoaudita</w:t>
      </w:r>
      <w:proofErr w:type="spellEnd"/>
      <w:r w:rsidRPr="00A07AC4">
        <w:rPr>
          <w:sz w:val="20"/>
          <w:szCs w:val="20"/>
        </w:rPr>
        <w:t xml:space="preserve"> vidējās izmaksas rūpniecībā lielajiem uzņēmumiem ir 4268,62 EUR. 60 uzņēmumi gadā = 256116,93 EUR kopā, 60 % no tā 153670,16 EUR. Pieņemts, ka </w:t>
      </w:r>
      <w:proofErr w:type="spellStart"/>
      <w:r w:rsidRPr="00A07AC4">
        <w:rPr>
          <w:sz w:val="20"/>
          <w:szCs w:val="20"/>
        </w:rPr>
        <w:t>energoaudita</w:t>
      </w:r>
      <w:proofErr w:type="spellEnd"/>
      <w:r w:rsidRPr="00A07AC4">
        <w:rPr>
          <w:sz w:val="20"/>
          <w:szCs w:val="20"/>
        </w:rPr>
        <w:t xml:space="preserve"> izmaksas maziem un vidējiem uzņēmumiem ir vidēji 1422,87 EUR (izmaksas valstij: 1422.87 EUR x 200 = 284574,36 EUR, 60 % no tā 170744,62 EUR).</w:t>
      </w:r>
    </w:p>
    <w:p w:rsidR="009A0E18" w:rsidRDefault="009A0E18" w:rsidP="003C0326">
      <w:pPr>
        <w:pStyle w:val="FootnoteText"/>
      </w:pPr>
    </w:p>
  </w:footnote>
  <w:footnote w:id="17">
    <w:p w:rsidR="009A0E18" w:rsidRDefault="009A0E18">
      <w:pPr>
        <w:pStyle w:val="FootnoteText"/>
      </w:pPr>
      <w:r>
        <w:rPr>
          <w:rStyle w:val="FootnoteReference"/>
        </w:rPr>
        <w:footnoteRef/>
      </w:r>
      <w:r>
        <w:t xml:space="preserve"> </w:t>
      </w:r>
      <w:hyperlink r:id="rId14" w:history="1">
        <w:r w:rsidRPr="00151889">
          <w:rPr>
            <w:rStyle w:val="Hyperlink"/>
            <w:sz w:val="20"/>
          </w:rPr>
          <w:t>http://www.em.gov.lv/em/2nd/?cat=30272</w:t>
        </w:r>
      </w:hyperlink>
      <w:r w:rsidRPr="00151889">
        <w:rPr>
          <w:sz w:val="20"/>
        </w:rPr>
        <w:t xml:space="preserve"> </w:t>
      </w:r>
    </w:p>
  </w:footnote>
  <w:footnote w:id="18">
    <w:p w:rsidR="009A0E18" w:rsidRDefault="009A0E18">
      <w:pPr>
        <w:pStyle w:val="FootnoteText"/>
      </w:pPr>
      <w:r>
        <w:rPr>
          <w:rStyle w:val="FootnoteReference"/>
        </w:rPr>
        <w:footnoteRef/>
      </w:r>
      <w:r>
        <w:t xml:space="preserve"> </w:t>
      </w:r>
      <w:r w:rsidRPr="00D37EA8">
        <w:rPr>
          <w:sz w:val="20"/>
        </w:rPr>
        <w:t xml:space="preserve">Rīkojums par Koncepciju </w:t>
      </w:r>
      <w:hyperlink r:id="rId15" w:history="1">
        <w:r w:rsidRPr="00D37EA8">
          <w:rPr>
            <w:rStyle w:val="Hyperlink"/>
            <w:sz w:val="20"/>
          </w:rPr>
          <w:t>http://www.mk.gov.lv/lv/mk/tap/?pid=40288015</w:t>
        </w:r>
      </w:hyperlink>
      <w:r w:rsidRPr="00D37EA8">
        <w:rPr>
          <w:sz w:val="20"/>
        </w:rPr>
        <w:t xml:space="preserve"> </w:t>
      </w:r>
    </w:p>
  </w:footnote>
  <w:footnote w:id="19">
    <w:p w:rsidR="009A0E18" w:rsidRPr="001035E9" w:rsidRDefault="009A0E18" w:rsidP="00102D47">
      <w:pPr>
        <w:pStyle w:val="FootnoteText"/>
        <w:rPr>
          <w:color w:val="000000"/>
          <w:sz w:val="20"/>
          <w:szCs w:val="20"/>
        </w:rPr>
      </w:pPr>
      <w:r w:rsidRPr="001035E9">
        <w:rPr>
          <w:rStyle w:val="FootnoteReference"/>
          <w:color w:val="000000"/>
          <w:sz w:val="20"/>
          <w:szCs w:val="20"/>
        </w:rPr>
        <w:footnoteRef/>
      </w:r>
      <w:r w:rsidRPr="001035E9">
        <w:rPr>
          <w:color w:val="000000"/>
          <w:sz w:val="20"/>
          <w:szCs w:val="20"/>
        </w:rPr>
        <w:t xml:space="preserve"> Valsts institūciju īpašumā, valdījumā un lietojumā esošo ēku ar kopējo platību virs 500 m</w:t>
      </w:r>
      <w:r w:rsidRPr="001035E9">
        <w:rPr>
          <w:color w:val="000000"/>
          <w:sz w:val="20"/>
          <w:szCs w:val="20"/>
          <w:vertAlign w:val="superscript"/>
        </w:rPr>
        <w:t>2</w:t>
      </w:r>
      <w:r w:rsidRPr="001035E9">
        <w:rPr>
          <w:color w:val="000000"/>
          <w:sz w:val="20"/>
          <w:szCs w:val="20"/>
        </w:rPr>
        <w:t xml:space="preserve"> sarak</w:t>
      </w:r>
      <w:r>
        <w:rPr>
          <w:color w:val="000000"/>
          <w:sz w:val="20"/>
          <w:szCs w:val="20"/>
        </w:rPr>
        <w:t>s</w:t>
      </w:r>
      <w:r w:rsidRPr="001035E9">
        <w:rPr>
          <w:color w:val="000000"/>
          <w:sz w:val="20"/>
          <w:szCs w:val="20"/>
        </w:rPr>
        <w:t>ts, http://em.gov.lv/em/2nd/?cat=30273</w:t>
      </w:r>
    </w:p>
  </w:footnote>
  <w:footnote w:id="20">
    <w:p w:rsidR="009A0E18" w:rsidRDefault="009A0E18">
      <w:pPr>
        <w:pStyle w:val="FootnoteText"/>
      </w:pPr>
      <w:r>
        <w:rPr>
          <w:rStyle w:val="FootnoteReference"/>
        </w:rPr>
        <w:footnoteRef/>
      </w:r>
      <w:r>
        <w:t xml:space="preserve"> </w:t>
      </w:r>
      <w:hyperlink r:id="rId16" w:history="1">
        <w:r w:rsidRPr="007B6A7B">
          <w:rPr>
            <w:rStyle w:val="Hyperlink"/>
            <w:rFonts w:cs="Times New Roman"/>
            <w:sz w:val="20"/>
            <w:szCs w:val="28"/>
          </w:rPr>
          <w:t>http://www.mk.gov.lv/lv/mk/tap/?pid=40304985&amp;mode=mk&amp;date=2014-02-04</w:t>
        </w:r>
      </w:hyperlink>
    </w:p>
  </w:footnote>
  <w:footnote w:id="21">
    <w:p w:rsidR="009A0E18" w:rsidRPr="008F7A8A" w:rsidRDefault="009A0E18" w:rsidP="00C42C7C">
      <w:pPr>
        <w:pStyle w:val="FootnoteText"/>
        <w:jc w:val="both"/>
        <w:rPr>
          <w:rFonts w:cs="Times New Roman"/>
          <w:sz w:val="20"/>
          <w:szCs w:val="20"/>
        </w:rPr>
      </w:pPr>
      <w:r w:rsidRPr="008F7A8A">
        <w:rPr>
          <w:rStyle w:val="FootnoteReference"/>
          <w:rFonts w:cs="Times New Roman"/>
          <w:sz w:val="20"/>
          <w:szCs w:val="20"/>
        </w:rPr>
        <w:footnoteRef/>
      </w:r>
      <w:r w:rsidRPr="008F7A8A">
        <w:rPr>
          <w:rFonts w:cs="Times New Roman"/>
          <w:sz w:val="20"/>
          <w:szCs w:val="20"/>
        </w:rPr>
        <w:t xml:space="preserve"> </w:t>
      </w:r>
      <w:r w:rsidRPr="008F7A8A">
        <w:rPr>
          <w:rFonts w:cs="Times New Roman"/>
          <w:bCs/>
          <w:sz w:val="20"/>
          <w:szCs w:val="20"/>
        </w:rPr>
        <w:t>Eiropas Parlamenta un Padomes 2004. gada 11. februāra Direktīvas 2004/8/EK par tādas koģenerācijas veicināšanu, kas balstīta uz lietderīgo siltuma pieprasījumu iekšējā enerģijas tirgū, un ar ko groza Direktīvu 92/42/EEK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69990"/>
      <w:docPartObj>
        <w:docPartGallery w:val="Page Numbers (Top of Page)"/>
        <w:docPartUnique/>
      </w:docPartObj>
    </w:sdtPr>
    <w:sdtEndPr>
      <w:rPr>
        <w:noProof/>
      </w:rPr>
    </w:sdtEndPr>
    <w:sdtContent>
      <w:p w:rsidR="009A0E18" w:rsidRDefault="009A0E18">
        <w:pPr>
          <w:pStyle w:val="Header"/>
          <w:jc w:val="center"/>
        </w:pPr>
        <w:r>
          <w:fldChar w:fldCharType="begin"/>
        </w:r>
        <w:r>
          <w:instrText xml:space="preserve"> PAGE   \* MERGEFORMAT </w:instrText>
        </w:r>
        <w:r>
          <w:fldChar w:fldCharType="separate"/>
        </w:r>
        <w:r w:rsidR="004D126E">
          <w:rPr>
            <w:noProof/>
          </w:rPr>
          <w:t>44</w:t>
        </w:r>
        <w:r>
          <w:rPr>
            <w:noProof/>
          </w:rPr>
          <w:fldChar w:fldCharType="end"/>
        </w:r>
      </w:p>
    </w:sdtContent>
  </w:sdt>
  <w:p w:rsidR="009A0E18" w:rsidRDefault="009A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11"/>
    <w:multiLevelType w:val="hybridMultilevel"/>
    <w:tmpl w:val="2632B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E53786"/>
    <w:multiLevelType w:val="hybridMultilevel"/>
    <w:tmpl w:val="92B4AB04"/>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C495BD6"/>
    <w:multiLevelType w:val="hybridMultilevel"/>
    <w:tmpl w:val="8C562C8A"/>
    <w:lvl w:ilvl="0" w:tplc="04260001">
      <w:start w:val="1"/>
      <w:numFmt w:val="bullet"/>
      <w:lvlText w:val=""/>
      <w:lvlJc w:val="left"/>
      <w:pPr>
        <w:tabs>
          <w:tab w:val="num" w:pos="720"/>
        </w:tabs>
        <w:ind w:left="720" w:hanging="360"/>
      </w:pPr>
      <w:rPr>
        <w:rFonts w:ascii="Symbol" w:hAnsi="Symbol" w:hint="default"/>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FBD4267"/>
    <w:multiLevelType w:val="hybridMultilevel"/>
    <w:tmpl w:val="67C8E25C"/>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2F717D7"/>
    <w:multiLevelType w:val="multilevel"/>
    <w:tmpl w:val="A2B0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C312E"/>
    <w:multiLevelType w:val="hybridMultilevel"/>
    <w:tmpl w:val="8B82614A"/>
    <w:lvl w:ilvl="0" w:tplc="F2FEB63A">
      <w:start w:val="1"/>
      <w:numFmt w:val="bullet"/>
      <w:lvlText w:val=""/>
      <w:lvlJc w:val="left"/>
      <w:pPr>
        <w:ind w:left="720" w:hanging="360"/>
      </w:pPr>
      <w:rPr>
        <w:rFonts w:ascii="Symbol" w:hAnsi="Symbol" w:hint="default"/>
      </w:rPr>
    </w:lvl>
    <w:lvl w:ilvl="1" w:tplc="F2FEB63A">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831577"/>
    <w:multiLevelType w:val="hybridMultilevel"/>
    <w:tmpl w:val="4006AD56"/>
    <w:lvl w:ilvl="0" w:tplc="7C88FDF4">
      <w:start w:val="1"/>
      <w:numFmt w:val="bullet"/>
      <w:lvlText w:val=""/>
      <w:lvlJc w:val="left"/>
      <w:pPr>
        <w:tabs>
          <w:tab w:val="num" w:pos="284"/>
        </w:tabs>
        <w:ind w:left="494" w:hanging="210"/>
      </w:pPr>
      <w:rPr>
        <w:rFonts w:ascii="Wingdings" w:hAnsi="Wingdings" w:hint="default"/>
        <w:color w:val="auto"/>
      </w:rPr>
    </w:lvl>
    <w:lvl w:ilvl="1" w:tplc="04260003" w:tentative="1">
      <w:start w:val="1"/>
      <w:numFmt w:val="bullet"/>
      <w:lvlText w:val="o"/>
      <w:lvlJc w:val="left"/>
      <w:pPr>
        <w:tabs>
          <w:tab w:val="num" w:pos="1367"/>
        </w:tabs>
        <w:ind w:left="1367" w:hanging="360"/>
      </w:pPr>
      <w:rPr>
        <w:rFonts w:ascii="Courier New" w:hAnsi="Courier New" w:cs="Courier New" w:hint="default"/>
      </w:rPr>
    </w:lvl>
    <w:lvl w:ilvl="2" w:tplc="04260005" w:tentative="1">
      <w:start w:val="1"/>
      <w:numFmt w:val="bullet"/>
      <w:lvlText w:val=""/>
      <w:lvlJc w:val="left"/>
      <w:pPr>
        <w:tabs>
          <w:tab w:val="num" w:pos="2087"/>
        </w:tabs>
        <w:ind w:left="2087" w:hanging="360"/>
      </w:pPr>
      <w:rPr>
        <w:rFonts w:ascii="Wingdings" w:hAnsi="Wingdings" w:hint="default"/>
      </w:rPr>
    </w:lvl>
    <w:lvl w:ilvl="3" w:tplc="04260001" w:tentative="1">
      <w:start w:val="1"/>
      <w:numFmt w:val="bullet"/>
      <w:lvlText w:val=""/>
      <w:lvlJc w:val="left"/>
      <w:pPr>
        <w:tabs>
          <w:tab w:val="num" w:pos="2807"/>
        </w:tabs>
        <w:ind w:left="2807" w:hanging="360"/>
      </w:pPr>
      <w:rPr>
        <w:rFonts w:ascii="Symbol" w:hAnsi="Symbol" w:hint="default"/>
      </w:rPr>
    </w:lvl>
    <w:lvl w:ilvl="4" w:tplc="04260003" w:tentative="1">
      <w:start w:val="1"/>
      <w:numFmt w:val="bullet"/>
      <w:lvlText w:val="o"/>
      <w:lvlJc w:val="left"/>
      <w:pPr>
        <w:tabs>
          <w:tab w:val="num" w:pos="3527"/>
        </w:tabs>
        <w:ind w:left="3527" w:hanging="360"/>
      </w:pPr>
      <w:rPr>
        <w:rFonts w:ascii="Courier New" w:hAnsi="Courier New" w:cs="Courier New" w:hint="default"/>
      </w:rPr>
    </w:lvl>
    <w:lvl w:ilvl="5" w:tplc="04260005" w:tentative="1">
      <w:start w:val="1"/>
      <w:numFmt w:val="bullet"/>
      <w:lvlText w:val=""/>
      <w:lvlJc w:val="left"/>
      <w:pPr>
        <w:tabs>
          <w:tab w:val="num" w:pos="4247"/>
        </w:tabs>
        <w:ind w:left="4247" w:hanging="360"/>
      </w:pPr>
      <w:rPr>
        <w:rFonts w:ascii="Wingdings" w:hAnsi="Wingdings" w:hint="default"/>
      </w:rPr>
    </w:lvl>
    <w:lvl w:ilvl="6" w:tplc="04260001" w:tentative="1">
      <w:start w:val="1"/>
      <w:numFmt w:val="bullet"/>
      <w:lvlText w:val=""/>
      <w:lvlJc w:val="left"/>
      <w:pPr>
        <w:tabs>
          <w:tab w:val="num" w:pos="4967"/>
        </w:tabs>
        <w:ind w:left="4967" w:hanging="360"/>
      </w:pPr>
      <w:rPr>
        <w:rFonts w:ascii="Symbol" w:hAnsi="Symbol" w:hint="default"/>
      </w:rPr>
    </w:lvl>
    <w:lvl w:ilvl="7" w:tplc="04260003" w:tentative="1">
      <w:start w:val="1"/>
      <w:numFmt w:val="bullet"/>
      <w:lvlText w:val="o"/>
      <w:lvlJc w:val="left"/>
      <w:pPr>
        <w:tabs>
          <w:tab w:val="num" w:pos="5687"/>
        </w:tabs>
        <w:ind w:left="5687" w:hanging="360"/>
      </w:pPr>
      <w:rPr>
        <w:rFonts w:ascii="Courier New" w:hAnsi="Courier New" w:cs="Courier New" w:hint="default"/>
      </w:rPr>
    </w:lvl>
    <w:lvl w:ilvl="8" w:tplc="04260005" w:tentative="1">
      <w:start w:val="1"/>
      <w:numFmt w:val="bullet"/>
      <w:lvlText w:val=""/>
      <w:lvlJc w:val="left"/>
      <w:pPr>
        <w:tabs>
          <w:tab w:val="num" w:pos="6407"/>
        </w:tabs>
        <w:ind w:left="6407" w:hanging="360"/>
      </w:pPr>
      <w:rPr>
        <w:rFonts w:ascii="Wingdings" w:hAnsi="Wingdings" w:hint="default"/>
      </w:rPr>
    </w:lvl>
  </w:abstractNum>
  <w:abstractNum w:abstractNumId="7">
    <w:nsid w:val="26B40EC0"/>
    <w:multiLevelType w:val="hybridMultilevel"/>
    <w:tmpl w:val="314ED032"/>
    <w:lvl w:ilvl="0" w:tplc="94F619D8">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29380A08"/>
    <w:multiLevelType w:val="hybridMultilevel"/>
    <w:tmpl w:val="B6265082"/>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CCC3D59"/>
    <w:multiLevelType w:val="hybridMultilevel"/>
    <w:tmpl w:val="A810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633CB6"/>
    <w:multiLevelType w:val="hybridMultilevel"/>
    <w:tmpl w:val="45B6EB5C"/>
    <w:lvl w:ilvl="0" w:tplc="D21640AC">
      <w:start w:val="1"/>
      <w:numFmt w:val="decimal"/>
      <w:lvlText w:val="%1)"/>
      <w:lvlJc w:val="left"/>
      <w:pPr>
        <w:ind w:left="1440" w:hanging="360"/>
      </w:pPr>
      <w:rPr>
        <w:rFonts w:ascii="Times New Roman" w:hAnsi="Times New Roman" w:cs="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37270AB2"/>
    <w:multiLevelType w:val="hybridMultilevel"/>
    <w:tmpl w:val="1C9E293E"/>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2">
    <w:nsid w:val="38205D46"/>
    <w:multiLevelType w:val="hybridMultilevel"/>
    <w:tmpl w:val="2CE47A5A"/>
    <w:lvl w:ilvl="0" w:tplc="6366B44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104321"/>
    <w:multiLevelType w:val="hybridMultilevel"/>
    <w:tmpl w:val="1F32485A"/>
    <w:lvl w:ilvl="0" w:tplc="FA10C85C">
      <w:start w:val="1"/>
      <w:numFmt w:val="decimal"/>
      <w:lvlText w:val="%1)"/>
      <w:lvlJc w:val="left"/>
      <w:pPr>
        <w:ind w:left="360" w:hanging="360"/>
      </w:pPr>
      <w:rPr>
        <w:rFonts w:ascii="Times New Roman" w:eastAsia="Calibri" w:hAnsi="Times New Roman" w:cs="Times New Roman"/>
        <w:b w:val="0"/>
        <w:i w:val="0"/>
        <w:color w:val="17365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F8109A6"/>
    <w:multiLevelType w:val="hybridMultilevel"/>
    <w:tmpl w:val="A87C4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47DD3AAB"/>
    <w:multiLevelType w:val="hybridMultilevel"/>
    <w:tmpl w:val="D9D43EA6"/>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7FF44E4"/>
    <w:multiLevelType w:val="hybridMultilevel"/>
    <w:tmpl w:val="2C52A3E8"/>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4E341B3"/>
    <w:multiLevelType w:val="hybridMultilevel"/>
    <w:tmpl w:val="5162B3B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560F4197"/>
    <w:multiLevelType w:val="hybridMultilevel"/>
    <w:tmpl w:val="DD025886"/>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05056E"/>
    <w:multiLevelType w:val="multilevel"/>
    <w:tmpl w:val="190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06F7F"/>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1">
    <w:nsid w:val="58EF0969"/>
    <w:multiLevelType w:val="multilevel"/>
    <w:tmpl w:val="743492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B9069A3"/>
    <w:multiLevelType w:val="hybridMultilevel"/>
    <w:tmpl w:val="CFA476C0"/>
    <w:lvl w:ilvl="0" w:tplc="6366B4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06257E5"/>
    <w:multiLevelType w:val="multilevel"/>
    <w:tmpl w:val="D430C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1A37120"/>
    <w:multiLevelType w:val="hybridMultilevel"/>
    <w:tmpl w:val="BDD8B4A6"/>
    <w:lvl w:ilvl="0" w:tplc="C09A6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28A09FC"/>
    <w:multiLevelType w:val="hybridMultilevel"/>
    <w:tmpl w:val="FD6831F8"/>
    <w:lvl w:ilvl="0" w:tplc="7AA6B4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4D5952"/>
    <w:multiLevelType w:val="hybridMultilevel"/>
    <w:tmpl w:val="5B4AB32A"/>
    <w:lvl w:ilvl="0" w:tplc="01AC5AD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F7427D"/>
    <w:multiLevelType w:val="hybridMultilevel"/>
    <w:tmpl w:val="DEEC9828"/>
    <w:lvl w:ilvl="0" w:tplc="94F619D8">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6C7C10E4"/>
    <w:multiLevelType w:val="hybridMultilevel"/>
    <w:tmpl w:val="CB841B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EC1BB4"/>
    <w:multiLevelType w:val="hybridMultilevel"/>
    <w:tmpl w:val="156AFCD6"/>
    <w:lvl w:ilvl="0" w:tplc="94F619D8">
      <w:numFmt w:val="bullet"/>
      <w:lvlText w:val="–"/>
      <w:lvlJc w:val="left"/>
      <w:pPr>
        <w:ind w:left="1287" w:hanging="360"/>
      </w:pPr>
      <w:rPr>
        <w:rFonts w:ascii="Times New Roman" w:eastAsia="Calibri"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711F0BAB"/>
    <w:multiLevelType w:val="hybridMultilevel"/>
    <w:tmpl w:val="6B90FB7C"/>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5895093"/>
    <w:multiLevelType w:val="hybridMultilevel"/>
    <w:tmpl w:val="F154A854"/>
    <w:lvl w:ilvl="0" w:tplc="3D2C4C1C">
      <w:start w:val="1"/>
      <w:numFmt w:val="bullet"/>
      <w:pStyle w:val="ListBullet"/>
      <w:lvlText w:val=""/>
      <w:lvlJc w:val="left"/>
      <w:pPr>
        <w:tabs>
          <w:tab w:val="num" w:pos="2268"/>
        </w:tabs>
        <w:ind w:left="2268" w:hanging="56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2">
    <w:nsid w:val="765433A4"/>
    <w:multiLevelType w:val="multilevel"/>
    <w:tmpl w:val="4DE6D130"/>
    <w:lvl w:ilvl="0">
      <w:start w:val="1"/>
      <w:numFmt w:val="decimal"/>
      <w:lvlText w:val="%1)"/>
      <w:lvlJc w:val="left"/>
      <w:pPr>
        <w:ind w:left="644" w:hanging="360"/>
      </w:pPr>
      <w:rPr>
        <w:rFonts w:hint="default"/>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3"/>
  </w:num>
  <w:num w:numId="2">
    <w:abstractNumId w:val="15"/>
  </w:num>
  <w:num w:numId="3">
    <w:abstractNumId w:val="1"/>
  </w:num>
  <w:num w:numId="4">
    <w:abstractNumId w:val="8"/>
  </w:num>
  <w:num w:numId="5">
    <w:abstractNumId w:val="16"/>
  </w:num>
  <w:num w:numId="6">
    <w:abstractNumId w:val="6"/>
  </w:num>
  <w:num w:numId="7">
    <w:abstractNumId w:val="14"/>
  </w:num>
  <w:num w:numId="8">
    <w:abstractNumId w:val="27"/>
  </w:num>
  <w:num w:numId="9">
    <w:abstractNumId w:val="29"/>
  </w:num>
  <w:num w:numId="10">
    <w:abstractNumId w:val="30"/>
  </w:num>
  <w:num w:numId="11">
    <w:abstractNumId w:val="31"/>
  </w:num>
  <w:num w:numId="12">
    <w:abstractNumId w:val="13"/>
  </w:num>
  <w:num w:numId="13">
    <w:abstractNumId w:val="2"/>
  </w:num>
  <w:num w:numId="14">
    <w:abstractNumId w:val="17"/>
  </w:num>
  <w:num w:numId="15">
    <w:abstractNumId w:val="21"/>
  </w:num>
  <w:num w:numId="16">
    <w:abstractNumId w:val="20"/>
  </w:num>
  <w:num w:numId="17">
    <w:abstractNumId w:val="32"/>
  </w:num>
  <w:num w:numId="18">
    <w:abstractNumId w:val="7"/>
  </w:num>
  <w:num w:numId="19">
    <w:abstractNumId w:val="0"/>
  </w:num>
  <w:num w:numId="20">
    <w:abstractNumId w:val="9"/>
  </w:num>
  <w:num w:numId="21">
    <w:abstractNumId w:val="19"/>
  </w:num>
  <w:num w:numId="22">
    <w:abstractNumId w:val="22"/>
  </w:num>
  <w:num w:numId="23">
    <w:abstractNumId w:val="12"/>
  </w:num>
  <w:num w:numId="24">
    <w:abstractNumId w:val="5"/>
  </w:num>
  <w:num w:numId="25">
    <w:abstractNumId w:val="18"/>
  </w:num>
  <w:num w:numId="26">
    <w:abstractNumId w:val="23"/>
  </w:num>
  <w:num w:numId="27">
    <w:abstractNumId w:val="26"/>
  </w:num>
  <w:num w:numId="28">
    <w:abstractNumId w:val="10"/>
  </w:num>
  <w:num w:numId="29">
    <w:abstractNumId w:val="24"/>
  </w:num>
  <w:num w:numId="30">
    <w:abstractNumId w:val="4"/>
  </w:num>
  <w:num w:numId="31">
    <w:abstractNumId w:val="25"/>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7D"/>
    <w:rsid w:val="00004C3B"/>
    <w:rsid w:val="00010C9F"/>
    <w:rsid w:val="0002118E"/>
    <w:rsid w:val="00021E19"/>
    <w:rsid w:val="00030A21"/>
    <w:rsid w:val="00031762"/>
    <w:rsid w:val="00036BD3"/>
    <w:rsid w:val="00042694"/>
    <w:rsid w:val="00044AD7"/>
    <w:rsid w:val="00044D97"/>
    <w:rsid w:val="00046C67"/>
    <w:rsid w:val="00057A44"/>
    <w:rsid w:val="00070090"/>
    <w:rsid w:val="00070D61"/>
    <w:rsid w:val="00070F1D"/>
    <w:rsid w:val="0007564A"/>
    <w:rsid w:val="00084389"/>
    <w:rsid w:val="000854E4"/>
    <w:rsid w:val="00092BF2"/>
    <w:rsid w:val="000944AF"/>
    <w:rsid w:val="00094DD3"/>
    <w:rsid w:val="00097CA0"/>
    <w:rsid w:val="000A1961"/>
    <w:rsid w:val="000A2782"/>
    <w:rsid w:val="000A5A7D"/>
    <w:rsid w:val="000A6ED3"/>
    <w:rsid w:val="000B06FB"/>
    <w:rsid w:val="000B187E"/>
    <w:rsid w:val="000B75CD"/>
    <w:rsid w:val="000C20ED"/>
    <w:rsid w:val="000C3B25"/>
    <w:rsid w:val="000C4695"/>
    <w:rsid w:val="000C74CC"/>
    <w:rsid w:val="000D07F1"/>
    <w:rsid w:val="000D434F"/>
    <w:rsid w:val="000E00A3"/>
    <w:rsid w:val="000E04ED"/>
    <w:rsid w:val="000E347A"/>
    <w:rsid w:val="000E417B"/>
    <w:rsid w:val="000F089E"/>
    <w:rsid w:val="000F4103"/>
    <w:rsid w:val="000F4254"/>
    <w:rsid w:val="0010095E"/>
    <w:rsid w:val="00102D47"/>
    <w:rsid w:val="00102E18"/>
    <w:rsid w:val="001035E9"/>
    <w:rsid w:val="0010573C"/>
    <w:rsid w:val="00105CE1"/>
    <w:rsid w:val="00110069"/>
    <w:rsid w:val="00110254"/>
    <w:rsid w:val="00110928"/>
    <w:rsid w:val="00114810"/>
    <w:rsid w:val="001152D3"/>
    <w:rsid w:val="0011638B"/>
    <w:rsid w:val="00120FEB"/>
    <w:rsid w:val="0012336D"/>
    <w:rsid w:val="00127099"/>
    <w:rsid w:val="00135EC6"/>
    <w:rsid w:val="001363C0"/>
    <w:rsid w:val="00136C55"/>
    <w:rsid w:val="00136EF7"/>
    <w:rsid w:val="00137C24"/>
    <w:rsid w:val="00145E90"/>
    <w:rsid w:val="00146202"/>
    <w:rsid w:val="00147F45"/>
    <w:rsid w:val="00151889"/>
    <w:rsid w:val="00160E25"/>
    <w:rsid w:val="00162BAC"/>
    <w:rsid w:val="00165032"/>
    <w:rsid w:val="00165B23"/>
    <w:rsid w:val="00167AC8"/>
    <w:rsid w:val="0017700C"/>
    <w:rsid w:val="001840CD"/>
    <w:rsid w:val="001840E5"/>
    <w:rsid w:val="00186017"/>
    <w:rsid w:val="001934C1"/>
    <w:rsid w:val="001A020F"/>
    <w:rsid w:val="001A12A4"/>
    <w:rsid w:val="001A3FA9"/>
    <w:rsid w:val="001A4FEB"/>
    <w:rsid w:val="001A712D"/>
    <w:rsid w:val="001B2C87"/>
    <w:rsid w:val="001B2D43"/>
    <w:rsid w:val="001B5758"/>
    <w:rsid w:val="001B665E"/>
    <w:rsid w:val="001B6D88"/>
    <w:rsid w:val="001C06C6"/>
    <w:rsid w:val="001C0842"/>
    <w:rsid w:val="001C41B8"/>
    <w:rsid w:val="001C4219"/>
    <w:rsid w:val="001D2F15"/>
    <w:rsid w:val="001D61BC"/>
    <w:rsid w:val="001E15D0"/>
    <w:rsid w:val="001E3335"/>
    <w:rsid w:val="001E7C18"/>
    <w:rsid w:val="001F26AE"/>
    <w:rsid w:val="0020305A"/>
    <w:rsid w:val="002044BA"/>
    <w:rsid w:val="00207044"/>
    <w:rsid w:val="00207168"/>
    <w:rsid w:val="002101E6"/>
    <w:rsid w:val="0022524E"/>
    <w:rsid w:val="00225CE9"/>
    <w:rsid w:val="0022680F"/>
    <w:rsid w:val="00227EDE"/>
    <w:rsid w:val="00231F4C"/>
    <w:rsid w:val="00235802"/>
    <w:rsid w:val="00236931"/>
    <w:rsid w:val="002373D7"/>
    <w:rsid w:val="0024171F"/>
    <w:rsid w:val="0024184A"/>
    <w:rsid w:val="00245626"/>
    <w:rsid w:val="0024727F"/>
    <w:rsid w:val="0025253D"/>
    <w:rsid w:val="00256C68"/>
    <w:rsid w:val="00260956"/>
    <w:rsid w:val="00260FCE"/>
    <w:rsid w:val="00261BDA"/>
    <w:rsid w:val="00263C30"/>
    <w:rsid w:val="00267EA5"/>
    <w:rsid w:val="00274912"/>
    <w:rsid w:val="0027503E"/>
    <w:rsid w:val="0027769E"/>
    <w:rsid w:val="00277A89"/>
    <w:rsid w:val="00281952"/>
    <w:rsid w:val="0028255D"/>
    <w:rsid w:val="00284624"/>
    <w:rsid w:val="00286AA1"/>
    <w:rsid w:val="00292922"/>
    <w:rsid w:val="00295A37"/>
    <w:rsid w:val="0029657A"/>
    <w:rsid w:val="00296E71"/>
    <w:rsid w:val="002A222C"/>
    <w:rsid w:val="002A2353"/>
    <w:rsid w:val="002B185B"/>
    <w:rsid w:val="002B28FE"/>
    <w:rsid w:val="002B428D"/>
    <w:rsid w:val="002B606A"/>
    <w:rsid w:val="002B6E0D"/>
    <w:rsid w:val="002C126C"/>
    <w:rsid w:val="002C3579"/>
    <w:rsid w:val="002C5CF8"/>
    <w:rsid w:val="002D1C30"/>
    <w:rsid w:val="002D778F"/>
    <w:rsid w:val="002E17DC"/>
    <w:rsid w:val="002E1E5D"/>
    <w:rsid w:val="002E2CB8"/>
    <w:rsid w:val="002E3B56"/>
    <w:rsid w:val="002F07B4"/>
    <w:rsid w:val="002F5615"/>
    <w:rsid w:val="002F7B08"/>
    <w:rsid w:val="003015BD"/>
    <w:rsid w:val="0030486C"/>
    <w:rsid w:val="0031158F"/>
    <w:rsid w:val="00311DB6"/>
    <w:rsid w:val="00317202"/>
    <w:rsid w:val="00322E31"/>
    <w:rsid w:val="003251CB"/>
    <w:rsid w:val="003256B5"/>
    <w:rsid w:val="00337EF9"/>
    <w:rsid w:val="003425C8"/>
    <w:rsid w:val="00343C7A"/>
    <w:rsid w:val="00347ED1"/>
    <w:rsid w:val="003505B6"/>
    <w:rsid w:val="0035562E"/>
    <w:rsid w:val="00355A90"/>
    <w:rsid w:val="00362195"/>
    <w:rsid w:val="0036280C"/>
    <w:rsid w:val="00362ACB"/>
    <w:rsid w:val="00363D0B"/>
    <w:rsid w:val="00367318"/>
    <w:rsid w:val="0037136C"/>
    <w:rsid w:val="0037268C"/>
    <w:rsid w:val="00372FE3"/>
    <w:rsid w:val="00376FC3"/>
    <w:rsid w:val="003774D2"/>
    <w:rsid w:val="00380EDE"/>
    <w:rsid w:val="00386287"/>
    <w:rsid w:val="003919C6"/>
    <w:rsid w:val="00391A90"/>
    <w:rsid w:val="003936BC"/>
    <w:rsid w:val="00394635"/>
    <w:rsid w:val="003A1FE6"/>
    <w:rsid w:val="003A3DB8"/>
    <w:rsid w:val="003B1DA4"/>
    <w:rsid w:val="003B22FF"/>
    <w:rsid w:val="003B5B8C"/>
    <w:rsid w:val="003B63ED"/>
    <w:rsid w:val="003C0326"/>
    <w:rsid w:val="003C0F83"/>
    <w:rsid w:val="003C24D2"/>
    <w:rsid w:val="003C7864"/>
    <w:rsid w:val="003C78C3"/>
    <w:rsid w:val="003D48F5"/>
    <w:rsid w:val="003F46C6"/>
    <w:rsid w:val="00403A9A"/>
    <w:rsid w:val="004102A4"/>
    <w:rsid w:val="0041175C"/>
    <w:rsid w:val="00420A79"/>
    <w:rsid w:val="00424986"/>
    <w:rsid w:val="00424DA7"/>
    <w:rsid w:val="004310FA"/>
    <w:rsid w:val="00442544"/>
    <w:rsid w:val="00450650"/>
    <w:rsid w:val="004530AD"/>
    <w:rsid w:val="00453874"/>
    <w:rsid w:val="004538CA"/>
    <w:rsid w:val="00453F4C"/>
    <w:rsid w:val="00455F60"/>
    <w:rsid w:val="00456147"/>
    <w:rsid w:val="0046224E"/>
    <w:rsid w:val="00472C17"/>
    <w:rsid w:val="0047377D"/>
    <w:rsid w:val="00481652"/>
    <w:rsid w:val="00483156"/>
    <w:rsid w:val="00485AA4"/>
    <w:rsid w:val="00485F6E"/>
    <w:rsid w:val="00492A28"/>
    <w:rsid w:val="00493A58"/>
    <w:rsid w:val="00496555"/>
    <w:rsid w:val="004A6756"/>
    <w:rsid w:val="004B220B"/>
    <w:rsid w:val="004B57CA"/>
    <w:rsid w:val="004B75E2"/>
    <w:rsid w:val="004C0013"/>
    <w:rsid w:val="004C4135"/>
    <w:rsid w:val="004C42F5"/>
    <w:rsid w:val="004C68D2"/>
    <w:rsid w:val="004D126E"/>
    <w:rsid w:val="004D14A2"/>
    <w:rsid w:val="004D4449"/>
    <w:rsid w:val="004D4A21"/>
    <w:rsid w:val="004D5672"/>
    <w:rsid w:val="004D68B4"/>
    <w:rsid w:val="004D7FEA"/>
    <w:rsid w:val="004E183B"/>
    <w:rsid w:val="004F2B6C"/>
    <w:rsid w:val="004F315F"/>
    <w:rsid w:val="004F3E33"/>
    <w:rsid w:val="004F40AC"/>
    <w:rsid w:val="004F656F"/>
    <w:rsid w:val="004F6F6F"/>
    <w:rsid w:val="0050052E"/>
    <w:rsid w:val="00501961"/>
    <w:rsid w:val="005049E8"/>
    <w:rsid w:val="00512A3C"/>
    <w:rsid w:val="005157D0"/>
    <w:rsid w:val="005160C7"/>
    <w:rsid w:val="005172FC"/>
    <w:rsid w:val="005176DB"/>
    <w:rsid w:val="00520F08"/>
    <w:rsid w:val="00522837"/>
    <w:rsid w:val="005234B7"/>
    <w:rsid w:val="00527DB4"/>
    <w:rsid w:val="00532D83"/>
    <w:rsid w:val="00533F03"/>
    <w:rsid w:val="00534628"/>
    <w:rsid w:val="0053579C"/>
    <w:rsid w:val="00536EC3"/>
    <w:rsid w:val="00537C3D"/>
    <w:rsid w:val="0054379D"/>
    <w:rsid w:val="00546CEF"/>
    <w:rsid w:val="00551247"/>
    <w:rsid w:val="00553FB6"/>
    <w:rsid w:val="00560231"/>
    <w:rsid w:val="00565880"/>
    <w:rsid w:val="00566E07"/>
    <w:rsid w:val="00572326"/>
    <w:rsid w:val="00575B8E"/>
    <w:rsid w:val="0057682B"/>
    <w:rsid w:val="005823C3"/>
    <w:rsid w:val="00584139"/>
    <w:rsid w:val="00593FD1"/>
    <w:rsid w:val="00596B11"/>
    <w:rsid w:val="005A23E2"/>
    <w:rsid w:val="005A54D9"/>
    <w:rsid w:val="005A6132"/>
    <w:rsid w:val="005A664D"/>
    <w:rsid w:val="005A68A1"/>
    <w:rsid w:val="005A7E84"/>
    <w:rsid w:val="005B6F8A"/>
    <w:rsid w:val="005C0033"/>
    <w:rsid w:val="005C0085"/>
    <w:rsid w:val="005C33E2"/>
    <w:rsid w:val="005C43B9"/>
    <w:rsid w:val="005C58CA"/>
    <w:rsid w:val="005D1177"/>
    <w:rsid w:val="005D4002"/>
    <w:rsid w:val="005D5331"/>
    <w:rsid w:val="005E22EF"/>
    <w:rsid w:val="005E4A07"/>
    <w:rsid w:val="005E5C1A"/>
    <w:rsid w:val="005F4F23"/>
    <w:rsid w:val="00601718"/>
    <w:rsid w:val="00602F52"/>
    <w:rsid w:val="00605C58"/>
    <w:rsid w:val="00611B34"/>
    <w:rsid w:val="00614176"/>
    <w:rsid w:val="00617E9A"/>
    <w:rsid w:val="00624CEF"/>
    <w:rsid w:val="006271AF"/>
    <w:rsid w:val="00632F0D"/>
    <w:rsid w:val="0064178A"/>
    <w:rsid w:val="0064475F"/>
    <w:rsid w:val="00645487"/>
    <w:rsid w:val="0065028B"/>
    <w:rsid w:val="006507D5"/>
    <w:rsid w:val="0065174C"/>
    <w:rsid w:val="00657CBB"/>
    <w:rsid w:val="00662CCD"/>
    <w:rsid w:val="0066511E"/>
    <w:rsid w:val="0066561B"/>
    <w:rsid w:val="00682BBB"/>
    <w:rsid w:val="00682FFC"/>
    <w:rsid w:val="00683510"/>
    <w:rsid w:val="00684263"/>
    <w:rsid w:val="00687CDB"/>
    <w:rsid w:val="006906A1"/>
    <w:rsid w:val="00690D9D"/>
    <w:rsid w:val="00691BA0"/>
    <w:rsid w:val="0069617B"/>
    <w:rsid w:val="006A1EC9"/>
    <w:rsid w:val="006A6E0A"/>
    <w:rsid w:val="006A748C"/>
    <w:rsid w:val="006B4A24"/>
    <w:rsid w:val="006C1556"/>
    <w:rsid w:val="006C5056"/>
    <w:rsid w:val="006D5F59"/>
    <w:rsid w:val="006D6C9E"/>
    <w:rsid w:val="006E7C86"/>
    <w:rsid w:val="00701C7F"/>
    <w:rsid w:val="00705F55"/>
    <w:rsid w:val="00706E03"/>
    <w:rsid w:val="0071203C"/>
    <w:rsid w:val="007236C8"/>
    <w:rsid w:val="007274C0"/>
    <w:rsid w:val="00727E0D"/>
    <w:rsid w:val="007303E6"/>
    <w:rsid w:val="0073473B"/>
    <w:rsid w:val="00740530"/>
    <w:rsid w:val="007411DD"/>
    <w:rsid w:val="00741E9C"/>
    <w:rsid w:val="0075004E"/>
    <w:rsid w:val="00750B32"/>
    <w:rsid w:val="007565F1"/>
    <w:rsid w:val="00761169"/>
    <w:rsid w:val="00765F5D"/>
    <w:rsid w:val="00766AC6"/>
    <w:rsid w:val="00766C76"/>
    <w:rsid w:val="00775AE3"/>
    <w:rsid w:val="00782B93"/>
    <w:rsid w:val="00790910"/>
    <w:rsid w:val="00791DBA"/>
    <w:rsid w:val="0079618A"/>
    <w:rsid w:val="007A673D"/>
    <w:rsid w:val="007A7CEC"/>
    <w:rsid w:val="007B58BC"/>
    <w:rsid w:val="007B64DF"/>
    <w:rsid w:val="007B6A7B"/>
    <w:rsid w:val="007C57DE"/>
    <w:rsid w:val="007C5859"/>
    <w:rsid w:val="007C7AD8"/>
    <w:rsid w:val="007C7F1A"/>
    <w:rsid w:val="007D1A00"/>
    <w:rsid w:val="007D4BAB"/>
    <w:rsid w:val="007E5BD5"/>
    <w:rsid w:val="007F7ECF"/>
    <w:rsid w:val="00802EDE"/>
    <w:rsid w:val="00810472"/>
    <w:rsid w:val="0081080B"/>
    <w:rsid w:val="0081663A"/>
    <w:rsid w:val="00821DD0"/>
    <w:rsid w:val="00831915"/>
    <w:rsid w:val="00833D71"/>
    <w:rsid w:val="008342E6"/>
    <w:rsid w:val="00837CF0"/>
    <w:rsid w:val="00844381"/>
    <w:rsid w:val="00844908"/>
    <w:rsid w:val="008512BA"/>
    <w:rsid w:val="00855408"/>
    <w:rsid w:val="00855FC8"/>
    <w:rsid w:val="0086646C"/>
    <w:rsid w:val="00867B8E"/>
    <w:rsid w:val="0087564B"/>
    <w:rsid w:val="00875AA9"/>
    <w:rsid w:val="00876AAA"/>
    <w:rsid w:val="008820B9"/>
    <w:rsid w:val="008830B5"/>
    <w:rsid w:val="0088403A"/>
    <w:rsid w:val="00896328"/>
    <w:rsid w:val="0089656D"/>
    <w:rsid w:val="008A4DC4"/>
    <w:rsid w:val="008A5507"/>
    <w:rsid w:val="008B32EA"/>
    <w:rsid w:val="008B361E"/>
    <w:rsid w:val="008B524D"/>
    <w:rsid w:val="008C0EC2"/>
    <w:rsid w:val="008C1084"/>
    <w:rsid w:val="008C280C"/>
    <w:rsid w:val="008C31B8"/>
    <w:rsid w:val="008C3320"/>
    <w:rsid w:val="008C4591"/>
    <w:rsid w:val="008D1610"/>
    <w:rsid w:val="008D30B9"/>
    <w:rsid w:val="008D604B"/>
    <w:rsid w:val="008E33CE"/>
    <w:rsid w:val="008E782D"/>
    <w:rsid w:val="008F0CA6"/>
    <w:rsid w:val="008F3E33"/>
    <w:rsid w:val="008F3F3F"/>
    <w:rsid w:val="008F7181"/>
    <w:rsid w:val="0090103F"/>
    <w:rsid w:val="009042AA"/>
    <w:rsid w:val="0090493C"/>
    <w:rsid w:val="009076E1"/>
    <w:rsid w:val="00910E71"/>
    <w:rsid w:val="00911824"/>
    <w:rsid w:val="00911A75"/>
    <w:rsid w:val="00911C04"/>
    <w:rsid w:val="009171C8"/>
    <w:rsid w:val="00924EF5"/>
    <w:rsid w:val="00930946"/>
    <w:rsid w:val="00932694"/>
    <w:rsid w:val="009363FC"/>
    <w:rsid w:val="00941AC2"/>
    <w:rsid w:val="00943EAC"/>
    <w:rsid w:val="00945B05"/>
    <w:rsid w:val="009464FB"/>
    <w:rsid w:val="009473EE"/>
    <w:rsid w:val="00960CB5"/>
    <w:rsid w:val="0096366E"/>
    <w:rsid w:val="00965689"/>
    <w:rsid w:val="00965FE4"/>
    <w:rsid w:val="00966CC9"/>
    <w:rsid w:val="009734F1"/>
    <w:rsid w:val="009747D4"/>
    <w:rsid w:val="009762C6"/>
    <w:rsid w:val="00982E6A"/>
    <w:rsid w:val="0098380F"/>
    <w:rsid w:val="0099397F"/>
    <w:rsid w:val="00994124"/>
    <w:rsid w:val="00995B9D"/>
    <w:rsid w:val="009A0E18"/>
    <w:rsid w:val="009A36BA"/>
    <w:rsid w:val="009A46F9"/>
    <w:rsid w:val="009A7550"/>
    <w:rsid w:val="009B7224"/>
    <w:rsid w:val="009C049A"/>
    <w:rsid w:val="009C06E0"/>
    <w:rsid w:val="009C0BB5"/>
    <w:rsid w:val="009C6871"/>
    <w:rsid w:val="009C6D3E"/>
    <w:rsid w:val="009D7B2D"/>
    <w:rsid w:val="009E2483"/>
    <w:rsid w:val="009E367D"/>
    <w:rsid w:val="009E3BD9"/>
    <w:rsid w:val="009F296A"/>
    <w:rsid w:val="009F3FEC"/>
    <w:rsid w:val="009F50E2"/>
    <w:rsid w:val="009F62AA"/>
    <w:rsid w:val="00A00637"/>
    <w:rsid w:val="00A00AA4"/>
    <w:rsid w:val="00A01A5B"/>
    <w:rsid w:val="00A07047"/>
    <w:rsid w:val="00A07AC4"/>
    <w:rsid w:val="00A114A8"/>
    <w:rsid w:val="00A13E4E"/>
    <w:rsid w:val="00A1534D"/>
    <w:rsid w:val="00A15B53"/>
    <w:rsid w:val="00A1622C"/>
    <w:rsid w:val="00A16A33"/>
    <w:rsid w:val="00A16F3F"/>
    <w:rsid w:val="00A1786C"/>
    <w:rsid w:val="00A20731"/>
    <w:rsid w:val="00A22E1E"/>
    <w:rsid w:val="00A23DC4"/>
    <w:rsid w:val="00A250FC"/>
    <w:rsid w:val="00A324F8"/>
    <w:rsid w:val="00A34D5D"/>
    <w:rsid w:val="00A34FDB"/>
    <w:rsid w:val="00A35437"/>
    <w:rsid w:val="00A376A0"/>
    <w:rsid w:val="00A44DD6"/>
    <w:rsid w:val="00A47F0E"/>
    <w:rsid w:val="00A51974"/>
    <w:rsid w:val="00A53AAE"/>
    <w:rsid w:val="00A56B60"/>
    <w:rsid w:val="00A71DB3"/>
    <w:rsid w:val="00A72635"/>
    <w:rsid w:val="00A7539C"/>
    <w:rsid w:val="00A75B68"/>
    <w:rsid w:val="00A76AB9"/>
    <w:rsid w:val="00A8245B"/>
    <w:rsid w:val="00A8317B"/>
    <w:rsid w:val="00A85CA5"/>
    <w:rsid w:val="00A8603F"/>
    <w:rsid w:val="00A8693C"/>
    <w:rsid w:val="00A94EEB"/>
    <w:rsid w:val="00A95071"/>
    <w:rsid w:val="00A958D8"/>
    <w:rsid w:val="00A95E24"/>
    <w:rsid w:val="00A97C69"/>
    <w:rsid w:val="00AA412F"/>
    <w:rsid w:val="00AA70E3"/>
    <w:rsid w:val="00AB1336"/>
    <w:rsid w:val="00AB64EB"/>
    <w:rsid w:val="00AC0012"/>
    <w:rsid w:val="00AC0128"/>
    <w:rsid w:val="00AC068A"/>
    <w:rsid w:val="00AC0BA4"/>
    <w:rsid w:val="00AC38A2"/>
    <w:rsid w:val="00AC46B6"/>
    <w:rsid w:val="00AD08C8"/>
    <w:rsid w:val="00AD2FDF"/>
    <w:rsid w:val="00AD6970"/>
    <w:rsid w:val="00AE0081"/>
    <w:rsid w:val="00AE48AD"/>
    <w:rsid w:val="00AE50B2"/>
    <w:rsid w:val="00AE58D1"/>
    <w:rsid w:val="00AE6C6B"/>
    <w:rsid w:val="00AF0476"/>
    <w:rsid w:val="00AF232B"/>
    <w:rsid w:val="00B0232D"/>
    <w:rsid w:val="00B05AFA"/>
    <w:rsid w:val="00B0623F"/>
    <w:rsid w:val="00B16BBA"/>
    <w:rsid w:val="00B16EFC"/>
    <w:rsid w:val="00B24F8A"/>
    <w:rsid w:val="00B30100"/>
    <w:rsid w:val="00B3065A"/>
    <w:rsid w:val="00B32BF1"/>
    <w:rsid w:val="00B33088"/>
    <w:rsid w:val="00B35ABC"/>
    <w:rsid w:val="00B37820"/>
    <w:rsid w:val="00B40382"/>
    <w:rsid w:val="00B53236"/>
    <w:rsid w:val="00B5359B"/>
    <w:rsid w:val="00B545AB"/>
    <w:rsid w:val="00B552C0"/>
    <w:rsid w:val="00B626C9"/>
    <w:rsid w:val="00B63EA2"/>
    <w:rsid w:val="00B65F2A"/>
    <w:rsid w:val="00B66960"/>
    <w:rsid w:val="00B67CEC"/>
    <w:rsid w:val="00B7439C"/>
    <w:rsid w:val="00B90F5D"/>
    <w:rsid w:val="00B96E1A"/>
    <w:rsid w:val="00B97E49"/>
    <w:rsid w:val="00BA29EF"/>
    <w:rsid w:val="00BA4408"/>
    <w:rsid w:val="00BA7233"/>
    <w:rsid w:val="00BB1AC9"/>
    <w:rsid w:val="00BB794E"/>
    <w:rsid w:val="00BC388A"/>
    <w:rsid w:val="00BC3DB7"/>
    <w:rsid w:val="00BC7562"/>
    <w:rsid w:val="00BC7D3F"/>
    <w:rsid w:val="00BD041E"/>
    <w:rsid w:val="00BD1E26"/>
    <w:rsid w:val="00BD3BEC"/>
    <w:rsid w:val="00BD48ED"/>
    <w:rsid w:val="00BD7DDE"/>
    <w:rsid w:val="00BE3567"/>
    <w:rsid w:val="00BF26A1"/>
    <w:rsid w:val="00BF3D77"/>
    <w:rsid w:val="00BF7224"/>
    <w:rsid w:val="00C019CE"/>
    <w:rsid w:val="00C01B19"/>
    <w:rsid w:val="00C06478"/>
    <w:rsid w:val="00C1056F"/>
    <w:rsid w:val="00C10713"/>
    <w:rsid w:val="00C1175A"/>
    <w:rsid w:val="00C138E2"/>
    <w:rsid w:val="00C160D8"/>
    <w:rsid w:val="00C2020E"/>
    <w:rsid w:val="00C20E77"/>
    <w:rsid w:val="00C249F6"/>
    <w:rsid w:val="00C254ED"/>
    <w:rsid w:val="00C26842"/>
    <w:rsid w:val="00C26EFD"/>
    <w:rsid w:val="00C2798E"/>
    <w:rsid w:val="00C30D56"/>
    <w:rsid w:val="00C318F2"/>
    <w:rsid w:val="00C3354A"/>
    <w:rsid w:val="00C42C7C"/>
    <w:rsid w:val="00C459C0"/>
    <w:rsid w:val="00C46154"/>
    <w:rsid w:val="00C51A3D"/>
    <w:rsid w:val="00C5305E"/>
    <w:rsid w:val="00C535C2"/>
    <w:rsid w:val="00C54D9D"/>
    <w:rsid w:val="00C54FE4"/>
    <w:rsid w:val="00C6006B"/>
    <w:rsid w:val="00C645EA"/>
    <w:rsid w:val="00C64746"/>
    <w:rsid w:val="00C71808"/>
    <w:rsid w:val="00C7407E"/>
    <w:rsid w:val="00C76DF6"/>
    <w:rsid w:val="00C81FAF"/>
    <w:rsid w:val="00C8200F"/>
    <w:rsid w:val="00C86722"/>
    <w:rsid w:val="00C96F9A"/>
    <w:rsid w:val="00CA3F33"/>
    <w:rsid w:val="00CA40A5"/>
    <w:rsid w:val="00CB0A3B"/>
    <w:rsid w:val="00CB12EE"/>
    <w:rsid w:val="00CC1049"/>
    <w:rsid w:val="00CD1A5A"/>
    <w:rsid w:val="00CD3C97"/>
    <w:rsid w:val="00CE55AA"/>
    <w:rsid w:val="00CF2995"/>
    <w:rsid w:val="00CF29CE"/>
    <w:rsid w:val="00CF3302"/>
    <w:rsid w:val="00CF3730"/>
    <w:rsid w:val="00CF55BC"/>
    <w:rsid w:val="00D027CC"/>
    <w:rsid w:val="00D03548"/>
    <w:rsid w:val="00D04B16"/>
    <w:rsid w:val="00D062DB"/>
    <w:rsid w:val="00D141D5"/>
    <w:rsid w:val="00D165B9"/>
    <w:rsid w:val="00D22F57"/>
    <w:rsid w:val="00D2331A"/>
    <w:rsid w:val="00D32042"/>
    <w:rsid w:val="00D322B9"/>
    <w:rsid w:val="00D372A5"/>
    <w:rsid w:val="00D37EA8"/>
    <w:rsid w:val="00D42E88"/>
    <w:rsid w:val="00D46DC1"/>
    <w:rsid w:val="00D52AC6"/>
    <w:rsid w:val="00D53032"/>
    <w:rsid w:val="00D53B83"/>
    <w:rsid w:val="00D628C6"/>
    <w:rsid w:val="00D62B8C"/>
    <w:rsid w:val="00D64776"/>
    <w:rsid w:val="00D82FE5"/>
    <w:rsid w:val="00D841FE"/>
    <w:rsid w:val="00D851D5"/>
    <w:rsid w:val="00D87B67"/>
    <w:rsid w:val="00D9677F"/>
    <w:rsid w:val="00D96DC6"/>
    <w:rsid w:val="00D97C95"/>
    <w:rsid w:val="00DA59F4"/>
    <w:rsid w:val="00DA6C29"/>
    <w:rsid w:val="00DA75A9"/>
    <w:rsid w:val="00DB0B80"/>
    <w:rsid w:val="00DB1ED4"/>
    <w:rsid w:val="00DB5F31"/>
    <w:rsid w:val="00DB672A"/>
    <w:rsid w:val="00DC4E55"/>
    <w:rsid w:val="00DD2094"/>
    <w:rsid w:val="00DD2F52"/>
    <w:rsid w:val="00DD45E4"/>
    <w:rsid w:val="00DE011B"/>
    <w:rsid w:val="00DE1AA1"/>
    <w:rsid w:val="00DE3AD5"/>
    <w:rsid w:val="00DE3BFA"/>
    <w:rsid w:val="00DE47FE"/>
    <w:rsid w:val="00DE528A"/>
    <w:rsid w:val="00DF5303"/>
    <w:rsid w:val="00DF5D88"/>
    <w:rsid w:val="00DF7390"/>
    <w:rsid w:val="00E02985"/>
    <w:rsid w:val="00E029AE"/>
    <w:rsid w:val="00E04F2F"/>
    <w:rsid w:val="00E07C56"/>
    <w:rsid w:val="00E12D46"/>
    <w:rsid w:val="00E13B7D"/>
    <w:rsid w:val="00E14F9B"/>
    <w:rsid w:val="00E16055"/>
    <w:rsid w:val="00E17151"/>
    <w:rsid w:val="00E17351"/>
    <w:rsid w:val="00E22D62"/>
    <w:rsid w:val="00E26FBA"/>
    <w:rsid w:val="00E33D0B"/>
    <w:rsid w:val="00E34AF1"/>
    <w:rsid w:val="00E35512"/>
    <w:rsid w:val="00E35FDA"/>
    <w:rsid w:val="00E36B66"/>
    <w:rsid w:val="00E435A9"/>
    <w:rsid w:val="00E4571E"/>
    <w:rsid w:val="00E47D58"/>
    <w:rsid w:val="00E51252"/>
    <w:rsid w:val="00E60A5F"/>
    <w:rsid w:val="00E62DD6"/>
    <w:rsid w:val="00E63A3E"/>
    <w:rsid w:val="00E64429"/>
    <w:rsid w:val="00E66D2C"/>
    <w:rsid w:val="00E8622E"/>
    <w:rsid w:val="00E875CA"/>
    <w:rsid w:val="00E878C0"/>
    <w:rsid w:val="00E9345C"/>
    <w:rsid w:val="00EA4DBD"/>
    <w:rsid w:val="00EB06B1"/>
    <w:rsid w:val="00EB74F3"/>
    <w:rsid w:val="00EC406E"/>
    <w:rsid w:val="00EC49D9"/>
    <w:rsid w:val="00EC666A"/>
    <w:rsid w:val="00ED4AE6"/>
    <w:rsid w:val="00EE0F9A"/>
    <w:rsid w:val="00EE1E03"/>
    <w:rsid w:val="00EE46E6"/>
    <w:rsid w:val="00EF0234"/>
    <w:rsid w:val="00EF1D2E"/>
    <w:rsid w:val="00EF5E13"/>
    <w:rsid w:val="00F045D6"/>
    <w:rsid w:val="00F11C97"/>
    <w:rsid w:val="00F11DD8"/>
    <w:rsid w:val="00F16D36"/>
    <w:rsid w:val="00F2092D"/>
    <w:rsid w:val="00F21C48"/>
    <w:rsid w:val="00F2302B"/>
    <w:rsid w:val="00F23616"/>
    <w:rsid w:val="00F24ACB"/>
    <w:rsid w:val="00F27DA0"/>
    <w:rsid w:val="00F3166D"/>
    <w:rsid w:val="00F423D8"/>
    <w:rsid w:val="00F43DAD"/>
    <w:rsid w:val="00F44361"/>
    <w:rsid w:val="00F44E7D"/>
    <w:rsid w:val="00F47F42"/>
    <w:rsid w:val="00F528F7"/>
    <w:rsid w:val="00F5411F"/>
    <w:rsid w:val="00F57EF3"/>
    <w:rsid w:val="00F6092B"/>
    <w:rsid w:val="00F64D53"/>
    <w:rsid w:val="00F71EDD"/>
    <w:rsid w:val="00F72A6E"/>
    <w:rsid w:val="00F74B31"/>
    <w:rsid w:val="00F806FC"/>
    <w:rsid w:val="00F83ADA"/>
    <w:rsid w:val="00F85A58"/>
    <w:rsid w:val="00F86F10"/>
    <w:rsid w:val="00F90129"/>
    <w:rsid w:val="00F905DE"/>
    <w:rsid w:val="00F92BF5"/>
    <w:rsid w:val="00F93CDA"/>
    <w:rsid w:val="00F9652B"/>
    <w:rsid w:val="00FA69C4"/>
    <w:rsid w:val="00FB0F7F"/>
    <w:rsid w:val="00FB1A59"/>
    <w:rsid w:val="00FB4446"/>
    <w:rsid w:val="00FB5564"/>
    <w:rsid w:val="00FB6F95"/>
    <w:rsid w:val="00FC54B0"/>
    <w:rsid w:val="00FC6268"/>
    <w:rsid w:val="00FD0E8D"/>
    <w:rsid w:val="00FD4273"/>
    <w:rsid w:val="00FE6757"/>
    <w:rsid w:val="00FF2F30"/>
    <w:rsid w:val="00FF3353"/>
    <w:rsid w:val="00FF52C7"/>
    <w:rsid w:val="00FF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0E3"/>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E878C0"/>
    <w:pPr>
      <w:keepNext/>
      <w:keepLines/>
      <w:spacing w:before="200" w:after="0"/>
      <w:jc w:val="center"/>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78C0"/>
    <w:pPr>
      <w:keepNext/>
      <w:keepLines/>
      <w:spacing w:before="200" w:after="0"/>
      <w:jc w:val="center"/>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E3"/>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E878C0"/>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E878C0"/>
    <w:rPr>
      <w:rFonts w:eastAsiaTheme="majorEastAsia" w:cstheme="majorBidi"/>
      <w:b/>
      <w:bCs/>
      <w:color w:val="000000" w:themeColor="text1"/>
      <w:sz w:val="24"/>
    </w:rPr>
  </w:style>
  <w:style w:type="paragraph" w:styleId="TOCHeading">
    <w:name w:val="TOC Heading"/>
    <w:basedOn w:val="Heading1"/>
    <w:next w:val="Normal"/>
    <w:uiPriority w:val="39"/>
    <w:semiHidden/>
    <w:unhideWhenUsed/>
    <w:qFormat/>
    <w:rsid w:val="00994124"/>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94124"/>
    <w:pPr>
      <w:spacing w:after="100"/>
    </w:pPr>
  </w:style>
  <w:style w:type="paragraph" w:styleId="TOC2">
    <w:name w:val="toc 2"/>
    <w:basedOn w:val="Normal"/>
    <w:next w:val="Normal"/>
    <w:autoRedefine/>
    <w:uiPriority w:val="39"/>
    <w:unhideWhenUsed/>
    <w:rsid w:val="00994124"/>
    <w:pPr>
      <w:spacing w:after="100"/>
      <w:ind w:left="280"/>
    </w:pPr>
  </w:style>
  <w:style w:type="paragraph" w:styleId="TOC3">
    <w:name w:val="toc 3"/>
    <w:basedOn w:val="Normal"/>
    <w:next w:val="Normal"/>
    <w:autoRedefine/>
    <w:uiPriority w:val="39"/>
    <w:unhideWhenUsed/>
    <w:rsid w:val="00994124"/>
    <w:pPr>
      <w:spacing w:after="100"/>
      <w:ind w:left="560"/>
    </w:pPr>
  </w:style>
  <w:style w:type="character" w:styleId="Hyperlink">
    <w:name w:val="Hyperlink"/>
    <w:basedOn w:val="DefaultParagraphFont"/>
    <w:uiPriority w:val="99"/>
    <w:unhideWhenUsed/>
    <w:rsid w:val="00994124"/>
    <w:rPr>
      <w:color w:val="0000FF" w:themeColor="hyperlink"/>
      <w:u w:val="single"/>
    </w:rPr>
  </w:style>
  <w:style w:type="paragraph" w:styleId="BalloonText">
    <w:name w:val="Balloon Text"/>
    <w:basedOn w:val="Normal"/>
    <w:link w:val="BalloonTextChar"/>
    <w:uiPriority w:val="99"/>
    <w:semiHidden/>
    <w:unhideWhenUsed/>
    <w:rsid w:val="0099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24"/>
    <w:rPr>
      <w:rFonts w:ascii="Tahoma" w:hAnsi="Tahoma" w:cs="Tahoma"/>
      <w:sz w:val="16"/>
      <w:szCs w:val="16"/>
    </w:rPr>
  </w:style>
  <w:style w:type="paragraph" w:styleId="Caption">
    <w:name w:val="caption"/>
    <w:basedOn w:val="Normal"/>
    <w:next w:val="Normal"/>
    <w:qFormat/>
    <w:rsid w:val="004D4449"/>
    <w:pPr>
      <w:spacing w:line="252" w:lineRule="auto"/>
    </w:pPr>
    <w:rPr>
      <w:rFonts w:ascii="Cambria" w:eastAsia="Times New Roman" w:hAnsi="Cambria" w:cs="Times New Roman"/>
      <w:caps/>
      <w:spacing w:val="10"/>
      <w:sz w:val="18"/>
      <w:szCs w:val="18"/>
      <w:lang w:val="en-US" w:bidi="en-US"/>
    </w:rPr>
  </w:style>
  <w:style w:type="paragraph" w:styleId="BodyText">
    <w:name w:val="Body Text"/>
    <w:basedOn w:val="Normal"/>
    <w:link w:val="BodyTextChar"/>
    <w:rsid w:val="00624CEF"/>
    <w:pPr>
      <w:spacing w:line="252" w:lineRule="auto"/>
    </w:pPr>
    <w:rPr>
      <w:rFonts w:ascii="Cambria" w:eastAsia="Times New Roman" w:hAnsi="Cambria" w:cs="Times New Roman"/>
      <w:sz w:val="24"/>
      <w:szCs w:val="24"/>
      <w:lang w:bidi="en-US"/>
    </w:rPr>
  </w:style>
  <w:style w:type="character" w:customStyle="1" w:styleId="BodyTextChar">
    <w:name w:val="Body Text Char"/>
    <w:basedOn w:val="DefaultParagraphFont"/>
    <w:link w:val="BodyText"/>
    <w:rsid w:val="00624CEF"/>
    <w:rPr>
      <w:rFonts w:ascii="Cambria" w:eastAsia="Times New Roman" w:hAnsi="Cambria" w:cs="Times New Roman"/>
      <w:sz w:val="24"/>
      <w:szCs w:val="24"/>
      <w:lang w:bidi="en-US"/>
    </w:rPr>
  </w:style>
  <w:style w:type="paragraph" w:styleId="NoSpacing">
    <w:name w:val="No Spacing"/>
    <w:qFormat/>
    <w:rsid w:val="00624CEF"/>
    <w:pPr>
      <w:spacing w:after="0" w:line="240" w:lineRule="auto"/>
    </w:pPr>
    <w:rPr>
      <w:rFonts w:ascii="Calibri" w:eastAsia="Calibri" w:hAnsi="Calibri" w:cs="Times New Roman"/>
      <w:sz w:val="22"/>
    </w:rPr>
  </w:style>
  <w:style w:type="character" w:styleId="Strong">
    <w:name w:val="Strong"/>
    <w:basedOn w:val="DefaultParagraphFont"/>
    <w:qFormat/>
    <w:rsid w:val="00624CEF"/>
    <w:rPr>
      <w:rFonts w:cs="Times New Roman"/>
      <w:b/>
      <w:bCs/>
    </w:rPr>
  </w:style>
  <w:style w:type="paragraph" w:styleId="NormalWeb">
    <w:name w:val="Normal (Web)"/>
    <w:basedOn w:val="Normal"/>
    <w:uiPriority w:val="99"/>
    <w:rsid w:val="00624CEF"/>
    <w:pPr>
      <w:spacing w:before="100" w:beforeAutospacing="1" w:after="100" w:afterAutospacing="1" w:line="240" w:lineRule="auto"/>
    </w:pPr>
    <w:rPr>
      <w:rFonts w:eastAsia="Calibri" w:cs="Times New Roman"/>
      <w:sz w:val="24"/>
      <w:szCs w:val="24"/>
      <w:lang w:eastAsia="lv-LV"/>
    </w:rPr>
  </w:style>
  <w:style w:type="paragraph" w:styleId="ListParagraph">
    <w:name w:val="List Paragraph"/>
    <w:aliases w:val="2"/>
    <w:basedOn w:val="Normal"/>
    <w:link w:val="ListParagraphChar"/>
    <w:uiPriority w:val="34"/>
    <w:qFormat/>
    <w:rsid w:val="00A47F0E"/>
    <w:pPr>
      <w:ind w:left="720"/>
      <w:contextualSpacing/>
    </w:pPr>
    <w:rPr>
      <w:rFonts w:asciiTheme="minorHAnsi" w:hAnsiTheme="minorHAnsi"/>
      <w:sz w:val="22"/>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locked/>
    <w:rsid w:val="00553FB6"/>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553FB6"/>
    <w:pPr>
      <w:spacing w:after="0" w:line="240" w:lineRule="auto"/>
    </w:pPr>
  </w:style>
  <w:style w:type="character" w:customStyle="1" w:styleId="FootnoteTextChar1">
    <w:name w:val="Footnote Text Char1"/>
    <w:basedOn w:val="DefaultParagraphFont"/>
    <w:uiPriority w:val="99"/>
    <w:semiHidden/>
    <w:rsid w:val="00553FB6"/>
    <w:rPr>
      <w:sz w:val="20"/>
      <w:szCs w:val="20"/>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
    <w:basedOn w:val="DefaultParagraphFont"/>
    <w:uiPriority w:val="99"/>
    <w:unhideWhenUsed/>
    <w:rsid w:val="00553FB6"/>
    <w:rPr>
      <w:vertAlign w:val="superscript"/>
    </w:rPr>
  </w:style>
  <w:style w:type="character" w:customStyle="1" w:styleId="ListParagraphChar">
    <w:name w:val="List Paragraph Char"/>
    <w:aliases w:val="2 Char"/>
    <w:link w:val="ListParagraph"/>
    <w:uiPriority w:val="34"/>
    <w:locked/>
    <w:rsid w:val="00A20731"/>
    <w:rPr>
      <w:rFonts w:asciiTheme="minorHAnsi" w:hAnsiTheme="minorHAnsi"/>
      <w:sz w:val="22"/>
    </w:rPr>
  </w:style>
  <w:style w:type="paragraph" w:customStyle="1" w:styleId="Tekststabula">
    <w:name w:val="Teksts tabula"/>
    <w:basedOn w:val="Normal"/>
    <w:qFormat/>
    <w:rsid w:val="00267EA5"/>
    <w:pPr>
      <w:spacing w:after="0" w:line="252" w:lineRule="auto"/>
    </w:pPr>
    <w:rPr>
      <w:rFonts w:ascii="Calibri" w:eastAsia="Times New Roman" w:hAnsi="Calibri" w:cs="Times New Roman"/>
      <w:sz w:val="18"/>
      <w:lang w:bidi="en-US"/>
    </w:rPr>
  </w:style>
  <w:style w:type="paragraph" w:styleId="ListBullet">
    <w:name w:val="List Bullet"/>
    <w:basedOn w:val="Normal"/>
    <w:autoRedefine/>
    <w:rsid w:val="00267EA5"/>
    <w:pPr>
      <w:numPr>
        <w:numId w:val="11"/>
      </w:numPr>
      <w:tabs>
        <w:tab w:val="clear" w:pos="2268"/>
        <w:tab w:val="num" w:pos="567"/>
      </w:tabs>
      <w:spacing w:line="252" w:lineRule="auto"/>
      <w:ind w:left="567"/>
    </w:pPr>
    <w:rPr>
      <w:rFonts w:ascii="Cambria" w:eastAsia="Times New Roman" w:hAnsi="Cambria" w:cs="Times New Roman"/>
      <w:sz w:val="24"/>
      <w:szCs w:val="24"/>
      <w:lang w:eastAsia="lv-LV" w:bidi="en-US"/>
    </w:rPr>
  </w:style>
  <w:style w:type="character" w:styleId="Emphasis">
    <w:name w:val="Emphasis"/>
    <w:qFormat/>
    <w:rsid w:val="004F315F"/>
    <w:rPr>
      <w:i/>
      <w:iCs/>
    </w:rPr>
  </w:style>
  <w:style w:type="paragraph" w:customStyle="1" w:styleId="naiskr">
    <w:name w:val="naiskr"/>
    <w:basedOn w:val="Normal"/>
    <w:rsid w:val="008E782D"/>
    <w:pPr>
      <w:spacing w:before="75" w:after="75" w:line="240" w:lineRule="auto"/>
    </w:pPr>
    <w:rPr>
      <w:rFonts w:eastAsia="Times New Roman" w:cs="Times New Roman"/>
      <w:sz w:val="24"/>
      <w:szCs w:val="24"/>
      <w:lang w:eastAsia="lv-LV"/>
    </w:rPr>
  </w:style>
  <w:style w:type="paragraph" w:styleId="Title">
    <w:name w:val="Title"/>
    <w:basedOn w:val="Normal"/>
    <w:link w:val="TitleChar"/>
    <w:uiPriority w:val="99"/>
    <w:qFormat/>
    <w:rsid w:val="00D64776"/>
    <w:pPr>
      <w:spacing w:before="240" w:after="60" w:line="240" w:lineRule="auto"/>
      <w:jc w:val="center"/>
      <w:outlineLvl w:val="0"/>
    </w:pPr>
    <w:rPr>
      <w:rFonts w:ascii="Arial" w:eastAsia="Calibri" w:hAnsi="Arial" w:cs="Times New Roman"/>
      <w:b/>
      <w:kern w:val="28"/>
      <w:sz w:val="32"/>
      <w:szCs w:val="20"/>
      <w:lang w:val="x-none"/>
    </w:rPr>
  </w:style>
  <w:style w:type="character" w:customStyle="1" w:styleId="TitleChar">
    <w:name w:val="Title Char"/>
    <w:basedOn w:val="DefaultParagraphFont"/>
    <w:link w:val="Title"/>
    <w:uiPriority w:val="99"/>
    <w:rsid w:val="00D64776"/>
    <w:rPr>
      <w:rFonts w:ascii="Arial" w:eastAsia="Calibri" w:hAnsi="Arial" w:cs="Times New Roman"/>
      <w:b/>
      <w:kern w:val="28"/>
      <w:sz w:val="32"/>
      <w:szCs w:val="20"/>
      <w:lang w:val="x-none"/>
    </w:rPr>
  </w:style>
  <w:style w:type="paragraph" w:customStyle="1" w:styleId="Default">
    <w:name w:val="Default"/>
    <w:rsid w:val="009E3BD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9E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FE6757"/>
    <w:pPr>
      <w:suppressAutoHyphens/>
      <w:autoSpaceDN w:val="0"/>
      <w:spacing w:after="0" w:line="360" w:lineRule="auto"/>
      <w:ind w:firstLine="300"/>
      <w:textAlignment w:val="baseline"/>
    </w:pPr>
    <w:rPr>
      <w:rFonts w:eastAsia="Times New Roman" w:cs="Times New Roman"/>
      <w:color w:val="414142"/>
      <w:sz w:val="20"/>
      <w:szCs w:val="20"/>
      <w:lang w:eastAsia="lv-LV"/>
    </w:rPr>
  </w:style>
  <w:style w:type="character" w:styleId="CommentReference">
    <w:name w:val="annotation reference"/>
    <w:uiPriority w:val="99"/>
    <w:unhideWhenUsed/>
    <w:rsid w:val="00C10713"/>
    <w:rPr>
      <w:sz w:val="16"/>
      <w:szCs w:val="16"/>
    </w:rPr>
  </w:style>
  <w:style w:type="paragraph" w:styleId="CommentText">
    <w:name w:val="annotation text"/>
    <w:basedOn w:val="Normal"/>
    <w:link w:val="CommentTextChar"/>
    <w:uiPriority w:val="99"/>
    <w:semiHidden/>
    <w:unhideWhenUsed/>
    <w:rsid w:val="00C10713"/>
    <w:pPr>
      <w:spacing w:after="0" w:line="240" w:lineRule="auto"/>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C10713"/>
    <w:rPr>
      <w:rFonts w:eastAsia="Calibri" w:cs="Times New Roman"/>
      <w:sz w:val="20"/>
      <w:szCs w:val="20"/>
      <w:lang w:val="x-none" w:eastAsia="x-none"/>
    </w:rPr>
  </w:style>
  <w:style w:type="paragraph" w:customStyle="1" w:styleId="CM1">
    <w:name w:val="CM1"/>
    <w:basedOn w:val="Default"/>
    <w:next w:val="Default"/>
    <w:uiPriority w:val="99"/>
    <w:rsid w:val="0079618A"/>
    <w:rPr>
      <w:rFonts w:ascii="EUAlbertina" w:hAnsi="EUAlbertina" w:cstheme="minorBidi"/>
      <w:color w:val="auto"/>
    </w:rPr>
  </w:style>
  <w:style w:type="paragraph" w:customStyle="1" w:styleId="CM3">
    <w:name w:val="CM3"/>
    <w:basedOn w:val="Default"/>
    <w:next w:val="Default"/>
    <w:uiPriority w:val="99"/>
    <w:rsid w:val="0079618A"/>
    <w:rPr>
      <w:rFonts w:ascii="EUAlbertina" w:hAnsi="EUAlbertina" w:cstheme="minorBidi"/>
      <w:color w:val="auto"/>
    </w:rPr>
  </w:style>
  <w:style w:type="paragraph" w:styleId="Header">
    <w:name w:val="header"/>
    <w:basedOn w:val="Normal"/>
    <w:link w:val="HeaderChar"/>
    <w:uiPriority w:val="99"/>
    <w:unhideWhenUsed/>
    <w:rsid w:val="00966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6CC9"/>
  </w:style>
  <w:style w:type="paragraph" w:styleId="Footer">
    <w:name w:val="footer"/>
    <w:basedOn w:val="Normal"/>
    <w:link w:val="FooterChar"/>
    <w:uiPriority w:val="99"/>
    <w:unhideWhenUsed/>
    <w:rsid w:val="00966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6CC9"/>
  </w:style>
  <w:style w:type="paragraph" w:customStyle="1" w:styleId="StyleRight">
    <w:name w:val="Style Right"/>
    <w:basedOn w:val="Normal"/>
    <w:uiPriority w:val="99"/>
    <w:rsid w:val="00566E07"/>
    <w:pPr>
      <w:spacing w:after="120" w:line="240" w:lineRule="auto"/>
      <w:ind w:firstLine="720"/>
      <w:jc w:val="right"/>
    </w:pPr>
    <w:rPr>
      <w:rFonts w:cs="Times New Roman"/>
      <w:szCs w:val="28"/>
    </w:rPr>
  </w:style>
  <w:style w:type="character" w:customStyle="1" w:styleId="field-content">
    <w:name w:val="field-content"/>
    <w:basedOn w:val="DefaultParagraphFont"/>
    <w:rsid w:val="008C0EC2"/>
  </w:style>
  <w:style w:type="character" w:customStyle="1" w:styleId="apple-converted-space">
    <w:name w:val="apple-converted-space"/>
    <w:basedOn w:val="DefaultParagraphFont"/>
    <w:rsid w:val="008C0EC2"/>
  </w:style>
  <w:style w:type="character" w:styleId="PlaceholderText">
    <w:name w:val="Placeholder Text"/>
    <w:basedOn w:val="DefaultParagraphFont"/>
    <w:uiPriority w:val="99"/>
    <w:semiHidden/>
    <w:rsid w:val="001B5758"/>
    <w:rPr>
      <w:color w:val="808080"/>
    </w:rPr>
  </w:style>
  <w:style w:type="paragraph" w:customStyle="1" w:styleId="BodyTEXT0">
    <w:name w:val="BodyTEXT"/>
    <w:basedOn w:val="Normal"/>
    <w:autoRedefine/>
    <w:qFormat/>
    <w:rsid w:val="001A12A4"/>
    <w:pPr>
      <w:spacing w:after="0" w:line="240" w:lineRule="auto"/>
      <w:jc w:val="both"/>
    </w:pPr>
    <w:rPr>
      <w:rFonts w:cs="Times New Roman"/>
      <w:szCs w:val="28"/>
      <w:lang w:bidi="en-US"/>
    </w:rPr>
  </w:style>
  <w:style w:type="paragraph" w:customStyle="1" w:styleId="tv213">
    <w:name w:val="tv213"/>
    <w:basedOn w:val="Normal"/>
    <w:rsid w:val="00A23DC4"/>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FD4273"/>
    <w:rPr>
      <w:color w:val="800080" w:themeColor="followedHyperlink"/>
      <w:u w:val="single"/>
    </w:rPr>
  </w:style>
  <w:style w:type="paragraph" w:customStyle="1" w:styleId="Tabletext">
    <w:name w:val="Table text"/>
    <w:basedOn w:val="Normal"/>
    <w:uiPriority w:val="99"/>
    <w:rsid w:val="00B3065A"/>
    <w:pPr>
      <w:spacing w:before="40" w:after="40" w:line="288" w:lineRule="auto"/>
      <w:jc w:val="both"/>
    </w:pPr>
    <w:rPr>
      <w:rFonts w:ascii="Arial" w:hAnsi="Arial" w:cs="Arial"/>
      <w:sz w:val="18"/>
      <w:szCs w:val="18"/>
      <w:lang w:eastAsia="de-DE"/>
    </w:rPr>
  </w:style>
  <w:style w:type="paragraph" w:styleId="BodyTextIndent2">
    <w:name w:val="Body Text Indent 2"/>
    <w:basedOn w:val="Normal"/>
    <w:link w:val="BodyTextIndent2Char"/>
    <w:uiPriority w:val="99"/>
    <w:semiHidden/>
    <w:unhideWhenUsed/>
    <w:rsid w:val="002B428D"/>
    <w:pPr>
      <w:spacing w:after="120" w:line="480" w:lineRule="auto"/>
      <w:ind w:left="283"/>
    </w:pPr>
  </w:style>
  <w:style w:type="character" w:customStyle="1" w:styleId="BodyTextIndent2Char">
    <w:name w:val="Body Text Indent 2 Char"/>
    <w:basedOn w:val="DefaultParagraphFont"/>
    <w:link w:val="BodyTextIndent2"/>
    <w:uiPriority w:val="99"/>
    <w:semiHidden/>
    <w:rsid w:val="002B428D"/>
  </w:style>
  <w:style w:type="paragraph" w:styleId="Subtitle">
    <w:name w:val="Subtitle"/>
    <w:basedOn w:val="Normal"/>
    <w:next w:val="BodyText"/>
    <w:link w:val="SubtitleChar"/>
    <w:qFormat/>
    <w:rsid w:val="002B428D"/>
    <w:pPr>
      <w:suppressAutoHyphens/>
      <w:spacing w:after="0" w:line="240" w:lineRule="auto"/>
      <w:ind w:firstLine="720"/>
      <w:jc w:val="center"/>
    </w:pPr>
    <w:rPr>
      <w:rFonts w:ascii="Cambria" w:eastAsia="Nimbus Sans L" w:hAnsi="Cambria" w:cs="font188"/>
      <w:i/>
      <w:iCs/>
      <w:color w:val="4F81BD"/>
      <w:spacing w:val="15"/>
      <w:kern w:val="1"/>
      <w:sz w:val="24"/>
      <w:szCs w:val="24"/>
      <w:lang w:val="en-US" w:eastAsia="hi-IN" w:bidi="hi-IN"/>
    </w:rPr>
  </w:style>
  <w:style w:type="character" w:customStyle="1" w:styleId="SubtitleChar">
    <w:name w:val="Subtitle Char"/>
    <w:basedOn w:val="DefaultParagraphFont"/>
    <w:link w:val="Subtitle"/>
    <w:rsid w:val="002B428D"/>
    <w:rPr>
      <w:rFonts w:ascii="Cambria" w:eastAsia="Nimbus Sans L" w:hAnsi="Cambria" w:cs="font188"/>
      <w:i/>
      <w:iCs/>
      <w:color w:val="4F81BD"/>
      <w:spacing w:val="15"/>
      <w:kern w:val="1"/>
      <w:sz w:val="24"/>
      <w:szCs w:val="24"/>
      <w:lang w:val="en-US" w:eastAsia="hi-IN" w:bidi="hi-IN"/>
    </w:rPr>
  </w:style>
  <w:style w:type="paragraph" w:customStyle="1" w:styleId="naisf">
    <w:name w:val="naisf"/>
    <w:basedOn w:val="Normal"/>
    <w:rsid w:val="002B428D"/>
    <w:pPr>
      <w:suppressAutoHyphens/>
      <w:spacing w:before="75" w:after="75" w:line="100" w:lineRule="atLeast"/>
      <w:ind w:firstLine="375"/>
      <w:jc w:val="both"/>
    </w:pPr>
    <w:rPr>
      <w:rFonts w:eastAsia="Times New Roman" w:cs="Times New Roman"/>
      <w:kern w:val="1"/>
      <w:sz w:val="24"/>
      <w:szCs w:val="24"/>
      <w:lang w:val="en-US" w:eastAsia="hi-IN" w:bidi="hi-IN"/>
    </w:rPr>
  </w:style>
  <w:style w:type="paragraph" w:customStyle="1" w:styleId="tv20787921">
    <w:name w:val="tv207_87_921"/>
    <w:basedOn w:val="Normal"/>
    <w:rsid w:val="00D46DC1"/>
    <w:pPr>
      <w:spacing w:after="567" w:line="360" w:lineRule="auto"/>
      <w:jc w:val="center"/>
    </w:pPr>
    <w:rPr>
      <w:rFonts w:ascii="Verdana" w:eastAsia="Times New Roman" w:hAnsi="Verdana" w:cs="Times New Roman"/>
      <w:b/>
      <w:bCs/>
      <w:szCs w:val="28"/>
      <w:lang w:eastAsia="lv-LV"/>
    </w:rPr>
  </w:style>
  <w:style w:type="character" w:customStyle="1" w:styleId="c1">
    <w:name w:val="c1"/>
    <w:rsid w:val="00D46DC1"/>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0E3"/>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E878C0"/>
    <w:pPr>
      <w:keepNext/>
      <w:keepLines/>
      <w:spacing w:before="200" w:after="0"/>
      <w:jc w:val="center"/>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78C0"/>
    <w:pPr>
      <w:keepNext/>
      <w:keepLines/>
      <w:spacing w:before="200" w:after="0"/>
      <w:jc w:val="center"/>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E3"/>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E878C0"/>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E878C0"/>
    <w:rPr>
      <w:rFonts w:eastAsiaTheme="majorEastAsia" w:cstheme="majorBidi"/>
      <w:b/>
      <w:bCs/>
      <w:color w:val="000000" w:themeColor="text1"/>
      <w:sz w:val="24"/>
    </w:rPr>
  </w:style>
  <w:style w:type="paragraph" w:styleId="TOCHeading">
    <w:name w:val="TOC Heading"/>
    <w:basedOn w:val="Heading1"/>
    <w:next w:val="Normal"/>
    <w:uiPriority w:val="39"/>
    <w:semiHidden/>
    <w:unhideWhenUsed/>
    <w:qFormat/>
    <w:rsid w:val="00994124"/>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94124"/>
    <w:pPr>
      <w:spacing w:after="100"/>
    </w:pPr>
  </w:style>
  <w:style w:type="paragraph" w:styleId="TOC2">
    <w:name w:val="toc 2"/>
    <w:basedOn w:val="Normal"/>
    <w:next w:val="Normal"/>
    <w:autoRedefine/>
    <w:uiPriority w:val="39"/>
    <w:unhideWhenUsed/>
    <w:rsid w:val="00994124"/>
    <w:pPr>
      <w:spacing w:after="100"/>
      <w:ind w:left="280"/>
    </w:pPr>
  </w:style>
  <w:style w:type="paragraph" w:styleId="TOC3">
    <w:name w:val="toc 3"/>
    <w:basedOn w:val="Normal"/>
    <w:next w:val="Normal"/>
    <w:autoRedefine/>
    <w:uiPriority w:val="39"/>
    <w:unhideWhenUsed/>
    <w:rsid w:val="00994124"/>
    <w:pPr>
      <w:spacing w:after="100"/>
      <w:ind w:left="560"/>
    </w:pPr>
  </w:style>
  <w:style w:type="character" w:styleId="Hyperlink">
    <w:name w:val="Hyperlink"/>
    <w:basedOn w:val="DefaultParagraphFont"/>
    <w:uiPriority w:val="99"/>
    <w:unhideWhenUsed/>
    <w:rsid w:val="00994124"/>
    <w:rPr>
      <w:color w:val="0000FF" w:themeColor="hyperlink"/>
      <w:u w:val="single"/>
    </w:rPr>
  </w:style>
  <w:style w:type="paragraph" w:styleId="BalloonText">
    <w:name w:val="Balloon Text"/>
    <w:basedOn w:val="Normal"/>
    <w:link w:val="BalloonTextChar"/>
    <w:uiPriority w:val="99"/>
    <w:semiHidden/>
    <w:unhideWhenUsed/>
    <w:rsid w:val="0099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24"/>
    <w:rPr>
      <w:rFonts w:ascii="Tahoma" w:hAnsi="Tahoma" w:cs="Tahoma"/>
      <w:sz w:val="16"/>
      <w:szCs w:val="16"/>
    </w:rPr>
  </w:style>
  <w:style w:type="paragraph" w:styleId="Caption">
    <w:name w:val="caption"/>
    <w:basedOn w:val="Normal"/>
    <w:next w:val="Normal"/>
    <w:qFormat/>
    <w:rsid w:val="004D4449"/>
    <w:pPr>
      <w:spacing w:line="252" w:lineRule="auto"/>
    </w:pPr>
    <w:rPr>
      <w:rFonts w:ascii="Cambria" w:eastAsia="Times New Roman" w:hAnsi="Cambria" w:cs="Times New Roman"/>
      <w:caps/>
      <w:spacing w:val="10"/>
      <w:sz w:val="18"/>
      <w:szCs w:val="18"/>
      <w:lang w:val="en-US" w:bidi="en-US"/>
    </w:rPr>
  </w:style>
  <w:style w:type="paragraph" w:styleId="BodyText">
    <w:name w:val="Body Text"/>
    <w:basedOn w:val="Normal"/>
    <w:link w:val="BodyTextChar"/>
    <w:rsid w:val="00624CEF"/>
    <w:pPr>
      <w:spacing w:line="252" w:lineRule="auto"/>
    </w:pPr>
    <w:rPr>
      <w:rFonts w:ascii="Cambria" w:eastAsia="Times New Roman" w:hAnsi="Cambria" w:cs="Times New Roman"/>
      <w:sz w:val="24"/>
      <w:szCs w:val="24"/>
      <w:lang w:bidi="en-US"/>
    </w:rPr>
  </w:style>
  <w:style w:type="character" w:customStyle="1" w:styleId="BodyTextChar">
    <w:name w:val="Body Text Char"/>
    <w:basedOn w:val="DefaultParagraphFont"/>
    <w:link w:val="BodyText"/>
    <w:rsid w:val="00624CEF"/>
    <w:rPr>
      <w:rFonts w:ascii="Cambria" w:eastAsia="Times New Roman" w:hAnsi="Cambria" w:cs="Times New Roman"/>
      <w:sz w:val="24"/>
      <w:szCs w:val="24"/>
      <w:lang w:bidi="en-US"/>
    </w:rPr>
  </w:style>
  <w:style w:type="paragraph" w:styleId="NoSpacing">
    <w:name w:val="No Spacing"/>
    <w:qFormat/>
    <w:rsid w:val="00624CEF"/>
    <w:pPr>
      <w:spacing w:after="0" w:line="240" w:lineRule="auto"/>
    </w:pPr>
    <w:rPr>
      <w:rFonts w:ascii="Calibri" w:eastAsia="Calibri" w:hAnsi="Calibri" w:cs="Times New Roman"/>
      <w:sz w:val="22"/>
    </w:rPr>
  </w:style>
  <w:style w:type="character" w:styleId="Strong">
    <w:name w:val="Strong"/>
    <w:basedOn w:val="DefaultParagraphFont"/>
    <w:qFormat/>
    <w:rsid w:val="00624CEF"/>
    <w:rPr>
      <w:rFonts w:cs="Times New Roman"/>
      <w:b/>
      <w:bCs/>
    </w:rPr>
  </w:style>
  <w:style w:type="paragraph" w:styleId="NormalWeb">
    <w:name w:val="Normal (Web)"/>
    <w:basedOn w:val="Normal"/>
    <w:uiPriority w:val="99"/>
    <w:rsid w:val="00624CEF"/>
    <w:pPr>
      <w:spacing w:before="100" w:beforeAutospacing="1" w:after="100" w:afterAutospacing="1" w:line="240" w:lineRule="auto"/>
    </w:pPr>
    <w:rPr>
      <w:rFonts w:eastAsia="Calibri" w:cs="Times New Roman"/>
      <w:sz w:val="24"/>
      <w:szCs w:val="24"/>
      <w:lang w:eastAsia="lv-LV"/>
    </w:rPr>
  </w:style>
  <w:style w:type="paragraph" w:styleId="ListParagraph">
    <w:name w:val="List Paragraph"/>
    <w:aliases w:val="2"/>
    <w:basedOn w:val="Normal"/>
    <w:link w:val="ListParagraphChar"/>
    <w:uiPriority w:val="34"/>
    <w:qFormat/>
    <w:rsid w:val="00A47F0E"/>
    <w:pPr>
      <w:ind w:left="720"/>
      <w:contextualSpacing/>
    </w:pPr>
    <w:rPr>
      <w:rFonts w:asciiTheme="minorHAnsi" w:hAnsiTheme="minorHAnsi"/>
      <w:sz w:val="22"/>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locked/>
    <w:rsid w:val="00553FB6"/>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553FB6"/>
    <w:pPr>
      <w:spacing w:after="0" w:line="240" w:lineRule="auto"/>
    </w:pPr>
  </w:style>
  <w:style w:type="character" w:customStyle="1" w:styleId="FootnoteTextChar1">
    <w:name w:val="Footnote Text Char1"/>
    <w:basedOn w:val="DefaultParagraphFont"/>
    <w:uiPriority w:val="99"/>
    <w:semiHidden/>
    <w:rsid w:val="00553FB6"/>
    <w:rPr>
      <w:sz w:val="20"/>
      <w:szCs w:val="20"/>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
    <w:basedOn w:val="DefaultParagraphFont"/>
    <w:uiPriority w:val="99"/>
    <w:unhideWhenUsed/>
    <w:rsid w:val="00553FB6"/>
    <w:rPr>
      <w:vertAlign w:val="superscript"/>
    </w:rPr>
  </w:style>
  <w:style w:type="character" w:customStyle="1" w:styleId="ListParagraphChar">
    <w:name w:val="List Paragraph Char"/>
    <w:aliases w:val="2 Char"/>
    <w:link w:val="ListParagraph"/>
    <w:uiPriority w:val="34"/>
    <w:locked/>
    <w:rsid w:val="00A20731"/>
    <w:rPr>
      <w:rFonts w:asciiTheme="minorHAnsi" w:hAnsiTheme="minorHAnsi"/>
      <w:sz w:val="22"/>
    </w:rPr>
  </w:style>
  <w:style w:type="paragraph" w:customStyle="1" w:styleId="Tekststabula">
    <w:name w:val="Teksts tabula"/>
    <w:basedOn w:val="Normal"/>
    <w:qFormat/>
    <w:rsid w:val="00267EA5"/>
    <w:pPr>
      <w:spacing w:after="0" w:line="252" w:lineRule="auto"/>
    </w:pPr>
    <w:rPr>
      <w:rFonts w:ascii="Calibri" w:eastAsia="Times New Roman" w:hAnsi="Calibri" w:cs="Times New Roman"/>
      <w:sz w:val="18"/>
      <w:lang w:bidi="en-US"/>
    </w:rPr>
  </w:style>
  <w:style w:type="paragraph" w:styleId="ListBullet">
    <w:name w:val="List Bullet"/>
    <w:basedOn w:val="Normal"/>
    <w:autoRedefine/>
    <w:rsid w:val="00267EA5"/>
    <w:pPr>
      <w:numPr>
        <w:numId w:val="11"/>
      </w:numPr>
      <w:tabs>
        <w:tab w:val="clear" w:pos="2268"/>
        <w:tab w:val="num" w:pos="567"/>
      </w:tabs>
      <w:spacing w:line="252" w:lineRule="auto"/>
      <w:ind w:left="567"/>
    </w:pPr>
    <w:rPr>
      <w:rFonts w:ascii="Cambria" w:eastAsia="Times New Roman" w:hAnsi="Cambria" w:cs="Times New Roman"/>
      <w:sz w:val="24"/>
      <w:szCs w:val="24"/>
      <w:lang w:eastAsia="lv-LV" w:bidi="en-US"/>
    </w:rPr>
  </w:style>
  <w:style w:type="character" w:styleId="Emphasis">
    <w:name w:val="Emphasis"/>
    <w:qFormat/>
    <w:rsid w:val="004F315F"/>
    <w:rPr>
      <w:i/>
      <w:iCs/>
    </w:rPr>
  </w:style>
  <w:style w:type="paragraph" w:customStyle="1" w:styleId="naiskr">
    <w:name w:val="naiskr"/>
    <w:basedOn w:val="Normal"/>
    <w:rsid w:val="008E782D"/>
    <w:pPr>
      <w:spacing w:before="75" w:after="75" w:line="240" w:lineRule="auto"/>
    </w:pPr>
    <w:rPr>
      <w:rFonts w:eastAsia="Times New Roman" w:cs="Times New Roman"/>
      <w:sz w:val="24"/>
      <w:szCs w:val="24"/>
      <w:lang w:eastAsia="lv-LV"/>
    </w:rPr>
  </w:style>
  <w:style w:type="paragraph" w:styleId="Title">
    <w:name w:val="Title"/>
    <w:basedOn w:val="Normal"/>
    <w:link w:val="TitleChar"/>
    <w:uiPriority w:val="99"/>
    <w:qFormat/>
    <w:rsid w:val="00D64776"/>
    <w:pPr>
      <w:spacing w:before="240" w:after="60" w:line="240" w:lineRule="auto"/>
      <w:jc w:val="center"/>
      <w:outlineLvl w:val="0"/>
    </w:pPr>
    <w:rPr>
      <w:rFonts w:ascii="Arial" w:eastAsia="Calibri" w:hAnsi="Arial" w:cs="Times New Roman"/>
      <w:b/>
      <w:kern w:val="28"/>
      <w:sz w:val="32"/>
      <w:szCs w:val="20"/>
      <w:lang w:val="x-none"/>
    </w:rPr>
  </w:style>
  <w:style w:type="character" w:customStyle="1" w:styleId="TitleChar">
    <w:name w:val="Title Char"/>
    <w:basedOn w:val="DefaultParagraphFont"/>
    <w:link w:val="Title"/>
    <w:uiPriority w:val="99"/>
    <w:rsid w:val="00D64776"/>
    <w:rPr>
      <w:rFonts w:ascii="Arial" w:eastAsia="Calibri" w:hAnsi="Arial" w:cs="Times New Roman"/>
      <w:b/>
      <w:kern w:val="28"/>
      <w:sz w:val="32"/>
      <w:szCs w:val="20"/>
      <w:lang w:val="x-none"/>
    </w:rPr>
  </w:style>
  <w:style w:type="paragraph" w:customStyle="1" w:styleId="Default">
    <w:name w:val="Default"/>
    <w:rsid w:val="009E3BD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9E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FE6757"/>
    <w:pPr>
      <w:suppressAutoHyphens/>
      <w:autoSpaceDN w:val="0"/>
      <w:spacing w:after="0" w:line="360" w:lineRule="auto"/>
      <w:ind w:firstLine="300"/>
      <w:textAlignment w:val="baseline"/>
    </w:pPr>
    <w:rPr>
      <w:rFonts w:eastAsia="Times New Roman" w:cs="Times New Roman"/>
      <w:color w:val="414142"/>
      <w:sz w:val="20"/>
      <w:szCs w:val="20"/>
      <w:lang w:eastAsia="lv-LV"/>
    </w:rPr>
  </w:style>
  <w:style w:type="character" w:styleId="CommentReference">
    <w:name w:val="annotation reference"/>
    <w:uiPriority w:val="99"/>
    <w:unhideWhenUsed/>
    <w:rsid w:val="00C10713"/>
    <w:rPr>
      <w:sz w:val="16"/>
      <w:szCs w:val="16"/>
    </w:rPr>
  </w:style>
  <w:style w:type="paragraph" w:styleId="CommentText">
    <w:name w:val="annotation text"/>
    <w:basedOn w:val="Normal"/>
    <w:link w:val="CommentTextChar"/>
    <w:uiPriority w:val="99"/>
    <w:semiHidden/>
    <w:unhideWhenUsed/>
    <w:rsid w:val="00C10713"/>
    <w:pPr>
      <w:spacing w:after="0" w:line="240" w:lineRule="auto"/>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C10713"/>
    <w:rPr>
      <w:rFonts w:eastAsia="Calibri" w:cs="Times New Roman"/>
      <w:sz w:val="20"/>
      <w:szCs w:val="20"/>
      <w:lang w:val="x-none" w:eastAsia="x-none"/>
    </w:rPr>
  </w:style>
  <w:style w:type="paragraph" w:customStyle="1" w:styleId="CM1">
    <w:name w:val="CM1"/>
    <w:basedOn w:val="Default"/>
    <w:next w:val="Default"/>
    <w:uiPriority w:val="99"/>
    <w:rsid w:val="0079618A"/>
    <w:rPr>
      <w:rFonts w:ascii="EUAlbertina" w:hAnsi="EUAlbertina" w:cstheme="minorBidi"/>
      <w:color w:val="auto"/>
    </w:rPr>
  </w:style>
  <w:style w:type="paragraph" w:customStyle="1" w:styleId="CM3">
    <w:name w:val="CM3"/>
    <w:basedOn w:val="Default"/>
    <w:next w:val="Default"/>
    <w:uiPriority w:val="99"/>
    <w:rsid w:val="0079618A"/>
    <w:rPr>
      <w:rFonts w:ascii="EUAlbertina" w:hAnsi="EUAlbertina" w:cstheme="minorBidi"/>
      <w:color w:val="auto"/>
    </w:rPr>
  </w:style>
  <w:style w:type="paragraph" w:styleId="Header">
    <w:name w:val="header"/>
    <w:basedOn w:val="Normal"/>
    <w:link w:val="HeaderChar"/>
    <w:uiPriority w:val="99"/>
    <w:unhideWhenUsed/>
    <w:rsid w:val="00966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6CC9"/>
  </w:style>
  <w:style w:type="paragraph" w:styleId="Footer">
    <w:name w:val="footer"/>
    <w:basedOn w:val="Normal"/>
    <w:link w:val="FooterChar"/>
    <w:uiPriority w:val="99"/>
    <w:unhideWhenUsed/>
    <w:rsid w:val="00966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6CC9"/>
  </w:style>
  <w:style w:type="paragraph" w:customStyle="1" w:styleId="StyleRight">
    <w:name w:val="Style Right"/>
    <w:basedOn w:val="Normal"/>
    <w:uiPriority w:val="99"/>
    <w:rsid w:val="00566E07"/>
    <w:pPr>
      <w:spacing w:after="120" w:line="240" w:lineRule="auto"/>
      <w:ind w:firstLine="720"/>
      <w:jc w:val="right"/>
    </w:pPr>
    <w:rPr>
      <w:rFonts w:cs="Times New Roman"/>
      <w:szCs w:val="28"/>
    </w:rPr>
  </w:style>
  <w:style w:type="character" w:customStyle="1" w:styleId="field-content">
    <w:name w:val="field-content"/>
    <w:basedOn w:val="DefaultParagraphFont"/>
    <w:rsid w:val="008C0EC2"/>
  </w:style>
  <w:style w:type="character" w:customStyle="1" w:styleId="apple-converted-space">
    <w:name w:val="apple-converted-space"/>
    <w:basedOn w:val="DefaultParagraphFont"/>
    <w:rsid w:val="008C0EC2"/>
  </w:style>
  <w:style w:type="character" w:styleId="PlaceholderText">
    <w:name w:val="Placeholder Text"/>
    <w:basedOn w:val="DefaultParagraphFont"/>
    <w:uiPriority w:val="99"/>
    <w:semiHidden/>
    <w:rsid w:val="001B5758"/>
    <w:rPr>
      <w:color w:val="808080"/>
    </w:rPr>
  </w:style>
  <w:style w:type="paragraph" w:customStyle="1" w:styleId="BodyTEXT0">
    <w:name w:val="BodyTEXT"/>
    <w:basedOn w:val="Normal"/>
    <w:autoRedefine/>
    <w:qFormat/>
    <w:rsid w:val="001A12A4"/>
    <w:pPr>
      <w:spacing w:after="0" w:line="240" w:lineRule="auto"/>
      <w:jc w:val="both"/>
    </w:pPr>
    <w:rPr>
      <w:rFonts w:cs="Times New Roman"/>
      <w:szCs w:val="28"/>
      <w:lang w:bidi="en-US"/>
    </w:rPr>
  </w:style>
  <w:style w:type="paragraph" w:customStyle="1" w:styleId="tv213">
    <w:name w:val="tv213"/>
    <w:basedOn w:val="Normal"/>
    <w:rsid w:val="00A23DC4"/>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FD4273"/>
    <w:rPr>
      <w:color w:val="800080" w:themeColor="followedHyperlink"/>
      <w:u w:val="single"/>
    </w:rPr>
  </w:style>
  <w:style w:type="paragraph" w:customStyle="1" w:styleId="Tabletext">
    <w:name w:val="Table text"/>
    <w:basedOn w:val="Normal"/>
    <w:uiPriority w:val="99"/>
    <w:rsid w:val="00B3065A"/>
    <w:pPr>
      <w:spacing w:before="40" w:after="40" w:line="288" w:lineRule="auto"/>
      <w:jc w:val="both"/>
    </w:pPr>
    <w:rPr>
      <w:rFonts w:ascii="Arial" w:hAnsi="Arial" w:cs="Arial"/>
      <w:sz w:val="18"/>
      <w:szCs w:val="18"/>
      <w:lang w:eastAsia="de-DE"/>
    </w:rPr>
  </w:style>
  <w:style w:type="paragraph" w:styleId="BodyTextIndent2">
    <w:name w:val="Body Text Indent 2"/>
    <w:basedOn w:val="Normal"/>
    <w:link w:val="BodyTextIndent2Char"/>
    <w:uiPriority w:val="99"/>
    <w:semiHidden/>
    <w:unhideWhenUsed/>
    <w:rsid w:val="002B428D"/>
    <w:pPr>
      <w:spacing w:after="120" w:line="480" w:lineRule="auto"/>
      <w:ind w:left="283"/>
    </w:pPr>
  </w:style>
  <w:style w:type="character" w:customStyle="1" w:styleId="BodyTextIndent2Char">
    <w:name w:val="Body Text Indent 2 Char"/>
    <w:basedOn w:val="DefaultParagraphFont"/>
    <w:link w:val="BodyTextIndent2"/>
    <w:uiPriority w:val="99"/>
    <w:semiHidden/>
    <w:rsid w:val="002B428D"/>
  </w:style>
  <w:style w:type="paragraph" w:styleId="Subtitle">
    <w:name w:val="Subtitle"/>
    <w:basedOn w:val="Normal"/>
    <w:next w:val="BodyText"/>
    <w:link w:val="SubtitleChar"/>
    <w:qFormat/>
    <w:rsid w:val="002B428D"/>
    <w:pPr>
      <w:suppressAutoHyphens/>
      <w:spacing w:after="0" w:line="240" w:lineRule="auto"/>
      <w:ind w:firstLine="720"/>
      <w:jc w:val="center"/>
    </w:pPr>
    <w:rPr>
      <w:rFonts w:ascii="Cambria" w:eastAsia="Nimbus Sans L" w:hAnsi="Cambria" w:cs="font188"/>
      <w:i/>
      <w:iCs/>
      <w:color w:val="4F81BD"/>
      <w:spacing w:val="15"/>
      <w:kern w:val="1"/>
      <w:sz w:val="24"/>
      <w:szCs w:val="24"/>
      <w:lang w:val="en-US" w:eastAsia="hi-IN" w:bidi="hi-IN"/>
    </w:rPr>
  </w:style>
  <w:style w:type="character" w:customStyle="1" w:styleId="SubtitleChar">
    <w:name w:val="Subtitle Char"/>
    <w:basedOn w:val="DefaultParagraphFont"/>
    <w:link w:val="Subtitle"/>
    <w:rsid w:val="002B428D"/>
    <w:rPr>
      <w:rFonts w:ascii="Cambria" w:eastAsia="Nimbus Sans L" w:hAnsi="Cambria" w:cs="font188"/>
      <w:i/>
      <w:iCs/>
      <w:color w:val="4F81BD"/>
      <w:spacing w:val="15"/>
      <w:kern w:val="1"/>
      <w:sz w:val="24"/>
      <w:szCs w:val="24"/>
      <w:lang w:val="en-US" w:eastAsia="hi-IN" w:bidi="hi-IN"/>
    </w:rPr>
  </w:style>
  <w:style w:type="paragraph" w:customStyle="1" w:styleId="naisf">
    <w:name w:val="naisf"/>
    <w:basedOn w:val="Normal"/>
    <w:rsid w:val="002B428D"/>
    <w:pPr>
      <w:suppressAutoHyphens/>
      <w:spacing w:before="75" w:after="75" w:line="100" w:lineRule="atLeast"/>
      <w:ind w:firstLine="375"/>
      <w:jc w:val="both"/>
    </w:pPr>
    <w:rPr>
      <w:rFonts w:eastAsia="Times New Roman" w:cs="Times New Roman"/>
      <w:kern w:val="1"/>
      <w:sz w:val="24"/>
      <w:szCs w:val="24"/>
      <w:lang w:val="en-US" w:eastAsia="hi-IN" w:bidi="hi-IN"/>
    </w:rPr>
  </w:style>
  <w:style w:type="paragraph" w:customStyle="1" w:styleId="tv20787921">
    <w:name w:val="tv207_87_921"/>
    <w:basedOn w:val="Normal"/>
    <w:rsid w:val="00D46DC1"/>
    <w:pPr>
      <w:spacing w:after="567" w:line="360" w:lineRule="auto"/>
      <w:jc w:val="center"/>
    </w:pPr>
    <w:rPr>
      <w:rFonts w:ascii="Verdana" w:eastAsia="Times New Roman" w:hAnsi="Verdana" w:cs="Times New Roman"/>
      <w:b/>
      <w:bCs/>
      <w:szCs w:val="28"/>
      <w:lang w:eastAsia="lv-LV"/>
    </w:rPr>
  </w:style>
  <w:style w:type="character" w:customStyle="1" w:styleId="c1">
    <w:name w:val="c1"/>
    <w:rsid w:val="00D46DC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8">
      <w:bodyDiv w:val="1"/>
      <w:marLeft w:val="0"/>
      <w:marRight w:val="0"/>
      <w:marTop w:val="0"/>
      <w:marBottom w:val="0"/>
      <w:divBdr>
        <w:top w:val="none" w:sz="0" w:space="0" w:color="auto"/>
        <w:left w:val="none" w:sz="0" w:space="0" w:color="auto"/>
        <w:bottom w:val="none" w:sz="0" w:space="0" w:color="auto"/>
        <w:right w:val="none" w:sz="0" w:space="0" w:color="auto"/>
      </w:divBdr>
    </w:div>
    <w:div w:id="126776133">
      <w:bodyDiv w:val="1"/>
      <w:marLeft w:val="0"/>
      <w:marRight w:val="0"/>
      <w:marTop w:val="0"/>
      <w:marBottom w:val="0"/>
      <w:divBdr>
        <w:top w:val="none" w:sz="0" w:space="0" w:color="auto"/>
        <w:left w:val="none" w:sz="0" w:space="0" w:color="auto"/>
        <w:bottom w:val="none" w:sz="0" w:space="0" w:color="auto"/>
        <w:right w:val="none" w:sz="0" w:space="0" w:color="auto"/>
      </w:divBdr>
    </w:div>
    <w:div w:id="289015225">
      <w:bodyDiv w:val="1"/>
      <w:marLeft w:val="0"/>
      <w:marRight w:val="0"/>
      <w:marTop w:val="0"/>
      <w:marBottom w:val="0"/>
      <w:divBdr>
        <w:top w:val="none" w:sz="0" w:space="0" w:color="auto"/>
        <w:left w:val="none" w:sz="0" w:space="0" w:color="auto"/>
        <w:bottom w:val="none" w:sz="0" w:space="0" w:color="auto"/>
        <w:right w:val="none" w:sz="0" w:space="0" w:color="auto"/>
      </w:divBdr>
    </w:div>
    <w:div w:id="336230985">
      <w:bodyDiv w:val="1"/>
      <w:marLeft w:val="0"/>
      <w:marRight w:val="0"/>
      <w:marTop w:val="0"/>
      <w:marBottom w:val="0"/>
      <w:divBdr>
        <w:top w:val="none" w:sz="0" w:space="0" w:color="auto"/>
        <w:left w:val="none" w:sz="0" w:space="0" w:color="auto"/>
        <w:bottom w:val="none" w:sz="0" w:space="0" w:color="auto"/>
        <w:right w:val="none" w:sz="0" w:space="0" w:color="auto"/>
      </w:divBdr>
    </w:div>
    <w:div w:id="379015939">
      <w:bodyDiv w:val="1"/>
      <w:marLeft w:val="0"/>
      <w:marRight w:val="0"/>
      <w:marTop w:val="0"/>
      <w:marBottom w:val="0"/>
      <w:divBdr>
        <w:top w:val="none" w:sz="0" w:space="0" w:color="auto"/>
        <w:left w:val="none" w:sz="0" w:space="0" w:color="auto"/>
        <w:bottom w:val="none" w:sz="0" w:space="0" w:color="auto"/>
        <w:right w:val="none" w:sz="0" w:space="0" w:color="auto"/>
      </w:divBdr>
    </w:div>
    <w:div w:id="463625202">
      <w:bodyDiv w:val="1"/>
      <w:marLeft w:val="0"/>
      <w:marRight w:val="0"/>
      <w:marTop w:val="0"/>
      <w:marBottom w:val="0"/>
      <w:divBdr>
        <w:top w:val="none" w:sz="0" w:space="0" w:color="auto"/>
        <w:left w:val="none" w:sz="0" w:space="0" w:color="auto"/>
        <w:bottom w:val="none" w:sz="0" w:space="0" w:color="auto"/>
        <w:right w:val="none" w:sz="0" w:space="0" w:color="auto"/>
      </w:divBdr>
    </w:div>
    <w:div w:id="506410323">
      <w:bodyDiv w:val="1"/>
      <w:marLeft w:val="0"/>
      <w:marRight w:val="0"/>
      <w:marTop w:val="0"/>
      <w:marBottom w:val="0"/>
      <w:divBdr>
        <w:top w:val="none" w:sz="0" w:space="0" w:color="auto"/>
        <w:left w:val="none" w:sz="0" w:space="0" w:color="auto"/>
        <w:bottom w:val="none" w:sz="0" w:space="0" w:color="auto"/>
        <w:right w:val="none" w:sz="0" w:space="0" w:color="auto"/>
      </w:divBdr>
    </w:div>
    <w:div w:id="614023571">
      <w:bodyDiv w:val="1"/>
      <w:marLeft w:val="0"/>
      <w:marRight w:val="0"/>
      <w:marTop w:val="0"/>
      <w:marBottom w:val="0"/>
      <w:divBdr>
        <w:top w:val="none" w:sz="0" w:space="0" w:color="auto"/>
        <w:left w:val="none" w:sz="0" w:space="0" w:color="auto"/>
        <w:bottom w:val="none" w:sz="0" w:space="0" w:color="auto"/>
        <w:right w:val="none" w:sz="0" w:space="0" w:color="auto"/>
      </w:divBdr>
    </w:div>
    <w:div w:id="679553303">
      <w:bodyDiv w:val="1"/>
      <w:marLeft w:val="0"/>
      <w:marRight w:val="0"/>
      <w:marTop w:val="0"/>
      <w:marBottom w:val="0"/>
      <w:divBdr>
        <w:top w:val="none" w:sz="0" w:space="0" w:color="auto"/>
        <w:left w:val="none" w:sz="0" w:space="0" w:color="auto"/>
        <w:bottom w:val="none" w:sz="0" w:space="0" w:color="auto"/>
        <w:right w:val="none" w:sz="0" w:space="0" w:color="auto"/>
      </w:divBdr>
    </w:div>
    <w:div w:id="798885379">
      <w:bodyDiv w:val="1"/>
      <w:marLeft w:val="0"/>
      <w:marRight w:val="0"/>
      <w:marTop w:val="0"/>
      <w:marBottom w:val="0"/>
      <w:divBdr>
        <w:top w:val="none" w:sz="0" w:space="0" w:color="auto"/>
        <w:left w:val="none" w:sz="0" w:space="0" w:color="auto"/>
        <w:bottom w:val="none" w:sz="0" w:space="0" w:color="auto"/>
        <w:right w:val="none" w:sz="0" w:space="0" w:color="auto"/>
      </w:divBdr>
    </w:div>
    <w:div w:id="818420057">
      <w:bodyDiv w:val="1"/>
      <w:marLeft w:val="0"/>
      <w:marRight w:val="0"/>
      <w:marTop w:val="0"/>
      <w:marBottom w:val="0"/>
      <w:divBdr>
        <w:top w:val="none" w:sz="0" w:space="0" w:color="auto"/>
        <w:left w:val="none" w:sz="0" w:space="0" w:color="auto"/>
        <w:bottom w:val="none" w:sz="0" w:space="0" w:color="auto"/>
        <w:right w:val="none" w:sz="0" w:space="0" w:color="auto"/>
      </w:divBdr>
    </w:div>
    <w:div w:id="873617071">
      <w:bodyDiv w:val="1"/>
      <w:marLeft w:val="0"/>
      <w:marRight w:val="0"/>
      <w:marTop w:val="0"/>
      <w:marBottom w:val="0"/>
      <w:divBdr>
        <w:top w:val="none" w:sz="0" w:space="0" w:color="auto"/>
        <w:left w:val="none" w:sz="0" w:space="0" w:color="auto"/>
        <w:bottom w:val="none" w:sz="0" w:space="0" w:color="auto"/>
        <w:right w:val="none" w:sz="0" w:space="0" w:color="auto"/>
      </w:divBdr>
    </w:div>
    <w:div w:id="1345012212">
      <w:bodyDiv w:val="1"/>
      <w:marLeft w:val="0"/>
      <w:marRight w:val="0"/>
      <w:marTop w:val="0"/>
      <w:marBottom w:val="0"/>
      <w:divBdr>
        <w:top w:val="none" w:sz="0" w:space="0" w:color="auto"/>
        <w:left w:val="none" w:sz="0" w:space="0" w:color="auto"/>
        <w:bottom w:val="none" w:sz="0" w:space="0" w:color="auto"/>
        <w:right w:val="none" w:sz="0" w:space="0" w:color="auto"/>
      </w:divBdr>
    </w:div>
    <w:div w:id="1502237492">
      <w:bodyDiv w:val="1"/>
      <w:marLeft w:val="0"/>
      <w:marRight w:val="0"/>
      <w:marTop w:val="0"/>
      <w:marBottom w:val="0"/>
      <w:divBdr>
        <w:top w:val="none" w:sz="0" w:space="0" w:color="auto"/>
        <w:left w:val="none" w:sz="0" w:space="0" w:color="auto"/>
        <w:bottom w:val="none" w:sz="0" w:space="0" w:color="auto"/>
        <w:right w:val="none" w:sz="0" w:space="0" w:color="auto"/>
      </w:divBdr>
    </w:div>
    <w:div w:id="1866403766">
      <w:bodyDiv w:val="1"/>
      <w:marLeft w:val="0"/>
      <w:marRight w:val="0"/>
      <w:marTop w:val="0"/>
      <w:marBottom w:val="0"/>
      <w:divBdr>
        <w:top w:val="none" w:sz="0" w:space="0" w:color="auto"/>
        <w:left w:val="none" w:sz="0" w:space="0" w:color="auto"/>
        <w:bottom w:val="none" w:sz="0" w:space="0" w:color="auto"/>
        <w:right w:val="none" w:sz="0" w:space="0" w:color="auto"/>
      </w:divBdr>
    </w:div>
    <w:div w:id="21048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CF330D.185D1AA0" TargetMode="External"/><Relationship Id="rId18" Type="http://schemas.openxmlformats.org/officeDocument/2006/relationships/hyperlink" Target="http://www.em.gov.lv/em/2nd/?cat=30173" TargetMode="External"/><Relationship Id="rId26" Type="http://schemas.openxmlformats.org/officeDocument/2006/relationships/hyperlink" Target="http://www.aiknc.lv/lv/prog_aip_virziens.php?id=18" TargetMode="External"/><Relationship Id="rId3" Type="http://schemas.openxmlformats.org/officeDocument/2006/relationships/styles" Target="styles.xml"/><Relationship Id="rId21" Type="http://schemas.openxmlformats.org/officeDocument/2006/relationships/hyperlink" Target="http://www.em.gov.lv/em/2nd/?cat=30272"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aiknc.lv/lv/prog_aip_virziens.php?id=20" TargetMode="External"/><Relationship Id="rId33" Type="http://schemas.openxmlformats.org/officeDocument/2006/relationships/hyperlink" Target="mailto:Andzela.Petersone@em.gov.lv" TargetMode="External"/><Relationship Id="rId2" Type="http://schemas.openxmlformats.org/officeDocument/2006/relationships/numbering" Target="numbering.xml"/><Relationship Id="rId16" Type="http://schemas.openxmlformats.org/officeDocument/2006/relationships/hyperlink" Target="http://em.gov.lv/em/2nd/?cat=30252" TargetMode="External"/><Relationship Id="rId20" Type="http://schemas.openxmlformats.org/officeDocument/2006/relationships/hyperlink" Target="http://em.gov.lv/em/2nd/?cat=30819" TargetMode="External"/><Relationship Id="rId29" Type="http://schemas.openxmlformats.org/officeDocument/2006/relationships/hyperlink" Target="http://www.iub.gov.lv/node/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aiknc.lv/lv/prog_aip_virziens.php?id=18" TargetMode="External"/><Relationship Id="rId32" Type="http://schemas.openxmlformats.org/officeDocument/2006/relationships/hyperlink" Target="mailto:Inguna.Ozolina@em.gov.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2.png@01CF2712.9F1A4FB0" TargetMode="External"/><Relationship Id="rId23" Type="http://schemas.openxmlformats.org/officeDocument/2006/relationships/hyperlink" Target="http://www.aiknc.lv/lv/prog_aip_virziens.php?id=18" TargetMode="External"/><Relationship Id="rId28" Type="http://schemas.openxmlformats.org/officeDocument/2006/relationships/hyperlink" Target="http://www.renesco.lv"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maps.google.com/maps/ms?ie=UTF8&amp;oe=UTF8&amp;msa=0&amp;msid=213222271689586106991.0004a8f95b35872d3242a&amp;dg=feature" TargetMode="External"/><Relationship Id="rId31" Type="http://schemas.openxmlformats.org/officeDocument/2006/relationships/hyperlink" Target="mailto:Karlis.Beihmanis@em.gov.l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www.aiknc.lv/lv/prog_aip_virziens.php?id=18" TargetMode="External"/><Relationship Id="rId27" Type="http://schemas.openxmlformats.org/officeDocument/2006/relationships/hyperlink" Target="https://info.rtu.lv:443/rtupub/prg/d?discId=17302" TargetMode="External"/><Relationship Id="rId30" Type="http://schemas.openxmlformats.org/officeDocument/2006/relationships/hyperlink" Target="http://www.mk.gov.lv/lv/mk/tap/?pid=40302704"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sb.gov.lv/en/dati/statistics-database-30501.html" TargetMode="External"/><Relationship Id="rId13" Type="http://schemas.openxmlformats.org/officeDocument/2006/relationships/hyperlink" Target="http://em.gov.lv/em/2nd/?cat=30270" TargetMode="External"/><Relationship Id="rId3" Type="http://schemas.openxmlformats.org/officeDocument/2006/relationships/hyperlink" Target="http://em.gov.lv/em/2nd/?cat=30166" TargetMode="External"/><Relationship Id="rId7" Type="http://schemas.openxmlformats.org/officeDocument/2006/relationships/hyperlink" Target="http://www.csb.gov.lv/dati/statistikas-datubazes-28270.html" TargetMode="External"/><Relationship Id="rId12" Type="http://schemas.openxmlformats.org/officeDocument/2006/relationships/hyperlink" Target="http://www.em.gov.lv/images/modules/items/atskaite_EERP_2013.pdf" TargetMode="External"/><Relationship Id="rId2" Type="http://schemas.openxmlformats.org/officeDocument/2006/relationships/hyperlink" Target="http://www.iea-etsap.org/" TargetMode="External"/><Relationship Id="rId16" Type="http://schemas.openxmlformats.org/officeDocument/2006/relationships/hyperlink" Target="http://www.mk.gov.lv/lv/mk/tap/?pid=40304985&amp;mode=mk&amp;date=2014-02-04" TargetMode="External"/><Relationship Id="rId1" Type="http://schemas.openxmlformats.org/officeDocument/2006/relationships/hyperlink" Target="http://eur-lex.europa.eu/LexUriServ/LexUriServ.do?uri=OJ:L:2013:141:0048:0053:LV:PDF" TargetMode="External"/><Relationship Id="rId6" Type="http://schemas.openxmlformats.org/officeDocument/2006/relationships/hyperlink" Target="http://eur-lex.europa.eu/LexUriServ/LexUriServ.do?uri=OJ:L:2013:141:0048:0053:LV:PDF" TargetMode="External"/><Relationship Id="rId11" Type="http://schemas.openxmlformats.org/officeDocument/2006/relationships/hyperlink" Target="http://www.em.gov.lv/images/modules/items/atskaite_EERP_2013.pdf" TargetMode="External"/><Relationship Id="rId5" Type="http://schemas.openxmlformats.org/officeDocument/2006/relationships/hyperlink" Target="http://www.em.gov.lv/em/2nd/?cat=30173" TargetMode="External"/><Relationship Id="rId15" Type="http://schemas.openxmlformats.org/officeDocument/2006/relationships/hyperlink" Target="http://www.mk.gov.lv/lv/mk/tap/?pid=40288015" TargetMode="External"/><Relationship Id="rId10" Type="http://schemas.openxmlformats.org/officeDocument/2006/relationships/hyperlink" Target="http://www.em.gov.lv/images/modules/items/atskaite_EERP_2013.pdf" TargetMode="External"/><Relationship Id="rId4" Type="http://schemas.openxmlformats.org/officeDocument/2006/relationships/hyperlink" Target="http://likumi.lv/doc.php?id=205247" TargetMode="External"/><Relationship Id="rId9" Type="http://schemas.openxmlformats.org/officeDocument/2006/relationships/hyperlink" Target="http://www.meteo.lv/lapas/uznemumi-kuriem-izsniegtas-siltumnicefekta-gazu-emisijas-atlaujas-2-pe?id=1253&amp;nid=575" TargetMode="External"/><Relationship Id="rId14" Type="http://schemas.openxmlformats.org/officeDocument/2006/relationships/hyperlink" Target="http://www.em.gov.lv/em/2nd/?cat=30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819D-7023-48D1-9851-589496B5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46</Pages>
  <Words>12111</Words>
  <Characters>87932</Characters>
  <Application>Microsoft Office Word</Application>
  <DocSecurity>0</DocSecurity>
  <Lines>2314</Lines>
  <Paragraphs>1163</Paragraphs>
  <ScaleCrop>false</ScaleCrop>
  <HeadingPairs>
    <vt:vector size="2" baseType="variant">
      <vt:variant>
        <vt:lpstr>Title</vt:lpstr>
      </vt:variant>
      <vt:variant>
        <vt:i4>1</vt:i4>
      </vt:variant>
    </vt:vector>
  </HeadingPairs>
  <TitlesOfParts>
    <vt:vector size="1" baseType="lpstr">
      <vt:lpstr>Informatīvais ziņojums Valsts energoefektivitātes rīcības plāns 2014. - 2016. gadam</vt:lpstr>
    </vt:vector>
  </TitlesOfParts>
  <Company>EM</Company>
  <LinksUpToDate>false</LinksUpToDate>
  <CharactersWithSpaces>98880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energoefektivitātes rīcības plāns 2014. - 2016. gadam</dc:title>
  <dc:subject/>
  <dc:creator>Kārlis Beihmanis</dc:creator>
  <cp:keywords/>
  <cp:lastModifiedBy>Kārlis Beihmanis</cp:lastModifiedBy>
  <cp:revision>28</cp:revision>
  <cp:lastPrinted>2014-02-27T12:04:00Z</cp:lastPrinted>
  <dcterms:created xsi:type="dcterms:W3CDTF">2014-05-13T09:24:00Z</dcterms:created>
  <dcterms:modified xsi:type="dcterms:W3CDTF">2014-05-15T13:39:00Z</dcterms:modified>
</cp:coreProperties>
</file>