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71" w:rsidRPr="00FA7505" w:rsidRDefault="00530271" w:rsidP="00E27BBB">
      <w:pPr>
        <w:spacing w:after="120"/>
        <w:jc w:val="center"/>
        <w:rPr>
          <w:rFonts w:asciiTheme="majorHAnsi" w:hAnsiTheme="majorHAnsi" w:cs="Times New Roman"/>
          <w:b/>
          <w:szCs w:val="24"/>
        </w:rPr>
      </w:pPr>
      <w:r w:rsidRPr="00FA7505">
        <w:rPr>
          <w:rFonts w:asciiTheme="majorHAnsi" w:hAnsiTheme="majorHAnsi" w:cs="Times New Roman"/>
          <w:b/>
          <w:szCs w:val="24"/>
        </w:rPr>
        <w:t>INFORMATĪVAIS ZIŅOJUMS</w:t>
      </w:r>
    </w:p>
    <w:p w:rsidR="00530271" w:rsidRPr="00FA7505" w:rsidRDefault="00530271" w:rsidP="00E27BBB">
      <w:pPr>
        <w:spacing w:after="120"/>
        <w:jc w:val="center"/>
        <w:rPr>
          <w:rFonts w:asciiTheme="majorHAnsi" w:hAnsiTheme="majorHAnsi" w:cs="Times New Roman"/>
          <w:b/>
          <w:szCs w:val="24"/>
        </w:rPr>
      </w:pPr>
      <w:r w:rsidRPr="00FA7505">
        <w:rPr>
          <w:rFonts w:asciiTheme="majorHAnsi" w:hAnsiTheme="majorHAnsi" w:cs="Times New Roman"/>
          <w:b/>
          <w:szCs w:val="24"/>
        </w:rPr>
        <w:t xml:space="preserve">Par 2014.gada </w:t>
      </w:r>
      <w:r w:rsidR="00C552FD">
        <w:rPr>
          <w:rFonts w:asciiTheme="majorHAnsi" w:hAnsiTheme="majorHAnsi" w:cs="Times New Roman"/>
          <w:b/>
          <w:szCs w:val="24"/>
        </w:rPr>
        <w:t>21</w:t>
      </w:r>
      <w:r w:rsidRPr="00FA7505">
        <w:rPr>
          <w:rFonts w:asciiTheme="majorHAnsi" w:hAnsiTheme="majorHAnsi" w:cs="Times New Roman"/>
          <w:b/>
          <w:szCs w:val="24"/>
        </w:rPr>
        <w:t>.</w:t>
      </w:r>
      <w:r w:rsidR="00C552FD">
        <w:rPr>
          <w:rFonts w:asciiTheme="majorHAnsi" w:hAnsiTheme="majorHAnsi" w:cs="Times New Roman"/>
          <w:b/>
          <w:szCs w:val="24"/>
        </w:rPr>
        <w:t>jūlija</w:t>
      </w:r>
      <w:r w:rsidRPr="00FA7505">
        <w:rPr>
          <w:rFonts w:asciiTheme="majorHAnsi" w:hAnsiTheme="majorHAnsi" w:cs="Times New Roman"/>
          <w:b/>
          <w:szCs w:val="24"/>
        </w:rPr>
        <w:t xml:space="preserve"> neformālajā Eiropas Savienības Konkurētspējas ministru padomes sanāksmē izskatāmajiem jautājumiem</w:t>
      </w:r>
    </w:p>
    <w:p w:rsidR="00530271" w:rsidRPr="00FA7505" w:rsidRDefault="00530271" w:rsidP="009B6774">
      <w:pPr>
        <w:pStyle w:val="ListParagraph"/>
        <w:numPr>
          <w:ilvl w:val="0"/>
          <w:numId w:val="2"/>
        </w:numPr>
        <w:shd w:val="clear" w:color="auto" w:fill="F2F2F2" w:themeFill="background1" w:themeFillShade="F2"/>
        <w:spacing w:after="120"/>
        <w:ind w:left="284" w:hanging="284"/>
        <w:contextualSpacing w:val="0"/>
        <w:rPr>
          <w:rFonts w:asciiTheme="majorHAnsi" w:hAnsiTheme="majorHAnsi" w:cs="Times New Roman"/>
          <w:b/>
          <w:szCs w:val="24"/>
        </w:rPr>
      </w:pPr>
      <w:r w:rsidRPr="00FA7505">
        <w:rPr>
          <w:rFonts w:asciiTheme="majorHAnsi" w:hAnsiTheme="majorHAnsi" w:cs="Times New Roman"/>
          <w:b/>
          <w:szCs w:val="24"/>
        </w:rPr>
        <w:t>Neformālās Konkurētspējas ministru padomes sanāksmes darba kārtības jautājumi</w:t>
      </w:r>
    </w:p>
    <w:p w:rsidR="00530271" w:rsidRPr="00FA7505" w:rsidRDefault="00C552FD" w:rsidP="00E27BBB">
      <w:pPr>
        <w:spacing w:after="120"/>
        <w:rPr>
          <w:rFonts w:asciiTheme="majorHAnsi" w:hAnsiTheme="majorHAnsi"/>
        </w:rPr>
      </w:pPr>
      <w:r>
        <w:rPr>
          <w:rFonts w:asciiTheme="majorHAnsi" w:hAnsiTheme="majorHAnsi"/>
        </w:rPr>
        <w:t>Itālijas</w:t>
      </w:r>
      <w:r w:rsidR="00530271" w:rsidRPr="00FA7505">
        <w:rPr>
          <w:rFonts w:asciiTheme="majorHAnsi" w:hAnsiTheme="majorHAnsi"/>
        </w:rPr>
        <w:t xml:space="preserve"> Prezidentūra (turpmāk – Prezidentūra) 2014.gada </w:t>
      </w:r>
      <w:r>
        <w:rPr>
          <w:rFonts w:asciiTheme="majorHAnsi" w:hAnsiTheme="majorHAnsi"/>
        </w:rPr>
        <w:t>21</w:t>
      </w:r>
      <w:r w:rsidR="00530271" w:rsidRPr="00FA7505">
        <w:rPr>
          <w:rFonts w:asciiTheme="majorHAnsi" w:hAnsiTheme="majorHAnsi"/>
        </w:rPr>
        <w:t>.</w:t>
      </w:r>
      <w:r>
        <w:rPr>
          <w:rFonts w:asciiTheme="majorHAnsi" w:hAnsiTheme="majorHAnsi"/>
        </w:rPr>
        <w:t>jūlijā</w:t>
      </w:r>
      <w:r w:rsidR="00530271" w:rsidRPr="00FA7505">
        <w:rPr>
          <w:rFonts w:asciiTheme="majorHAnsi" w:hAnsiTheme="majorHAnsi"/>
        </w:rPr>
        <w:t xml:space="preserve"> </w:t>
      </w:r>
      <w:r>
        <w:rPr>
          <w:rFonts w:asciiTheme="majorHAnsi" w:hAnsiTheme="majorHAnsi"/>
        </w:rPr>
        <w:t>Milānā</w:t>
      </w:r>
      <w:r w:rsidR="00530271" w:rsidRPr="000C3CED">
        <w:rPr>
          <w:rFonts w:asciiTheme="majorHAnsi" w:hAnsiTheme="majorHAnsi"/>
        </w:rPr>
        <w:t>,</w:t>
      </w:r>
      <w:r w:rsidR="00530271" w:rsidRPr="00FA7505">
        <w:rPr>
          <w:rFonts w:asciiTheme="majorHAnsi" w:hAnsiTheme="majorHAnsi"/>
        </w:rPr>
        <w:t xml:space="preserve"> </w:t>
      </w:r>
      <w:r>
        <w:rPr>
          <w:rFonts w:asciiTheme="majorHAnsi" w:hAnsiTheme="majorHAnsi"/>
        </w:rPr>
        <w:t>Itālijā</w:t>
      </w:r>
      <w:r w:rsidR="00530271" w:rsidRPr="00FA7505">
        <w:rPr>
          <w:rFonts w:asciiTheme="majorHAnsi" w:hAnsiTheme="majorHAnsi"/>
        </w:rPr>
        <w:t xml:space="preserve"> organizē neformālo Eiropas Savienības (turpmāk – ES) Konkurētspējas ministru padomes sanāksmi (turpmāk – sanāksme), kuras galvenais vadmotīvs ir </w:t>
      </w:r>
      <w:r w:rsidR="008E2296" w:rsidRPr="00FA7505">
        <w:rPr>
          <w:rFonts w:asciiTheme="majorHAnsi" w:hAnsiTheme="majorHAnsi"/>
        </w:rPr>
        <w:t>„</w:t>
      </w:r>
      <w:r w:rsidR="00056D2F">
        <w:rPr>
          <w:rFonts w:asciiTheme="majorHAnsi" w:hAnsiTheme="majorHAnsi"/>
        </w:rPr>
        <w:t>Konkurētspēja pirmajā vietā</w:t>
      </w:r>
      <w:r w:rsidR="008E2296" w:rsidRPr="00FA7505">
        <w:rPr>
          <w:rFonts w:asciiTheme="majorHAnsi" w:hAnsiTheme="majorHAnsi"/>
        </w:rPr>
        <w:t xml:space="preserve">” </w:t>
      </w:r>
      <w:r w:rsidR="008E2296" w:rsidRPr="00D9530F">
        <w:rPr>
          <w:rFonts w:asciiTheme="majorHAnsi" w:hAnsiTheme="majorHAnsi"/>
          <w:i/>
        </w:rPr>
        <w:t>(</w:t>
      </w:r>
      <w:r w:rsidRPr="00D9530F">
        <w:rPr>
          <w:rFonts w:asciiTheme="majorHAnsi" w:hAnsiTheme="majorHAnsi"/>
          <w:i/>
          <w:lang w:val="en-GB"/>
        </w:rPr>
        <w:t>Think</w:t>
      </w:r>
      <w:r w:rsidR="008E2296" w:rsidRPr="00D9530F">
        <w:rPr>
          <w:rFonts w:asciiTheme="majorHAnsi" w:hAnsiTheme="majorHAnsi"/>
          <w:i/>
          <w:lang w:val="en-GB"/>
        </w:rPr>
        <w:t xml:space="preserve"> Competitiv</w:t>
      </w:r>
      <w:r w:rsidRPr="00D9530F">
        <w:rPr>
          <w:rFonts w:asciiTheme="majorHAnsi" w:hAnsiTheme="majorHAnsi"/>
          <w:i/>
          <w:lang w:val="en-GB"/>
        </w:rPr>
        <w:t>e</w:t>
      </w:r>
      <w:r w:rsidR="008E2296" w:rsidRPr="00D9530F">
        <w:rPr>
          <w:rFonts w:asciiTheme="majorHAnsi" w:hAnsiTheme="majorHAnsi"/>
          <w:i/>
          <w:lang w:val="en-GB"/>
        </w:rPr>
        <w:t>ness</w:t>
      </w:r>
      <w:r w:rsidRPr="00D9530F">
        <w:rPr>
          <w:rFonts w:asciiTheme="majorHAnsi" w:hAnsiTheme="majorHAnsi"/>
          <w:i/>
          <w:lang w:val="en-GB"/>
        </w:rPr>
        <w:t xml:space="preserve"> First</w:t>
      </w:r>
      <w:r w:rsidR="008E2296" w:rsidRPr="00D9530F">
        <w:rPr>
          <w:rFonts w:asciiTheme="majorHAnsi" w:hAnsiTheme="majorHAnsi"/>
          <w:i/>
        </w:rPr>
        <w:t>)</w:t>
      </w:r>
      <w:r w:rsidR="008E2296" w:rsidRPr="00FA7505">
        <w:rPr>
          <w:rFonts w:asciiTheme="majorHAnsi" w:hAnsiTheme="majorHAnsi"/>
        </w:rPr>
        <w:t>.</w:t>
      </w:r>
    </w:p>
    <w:p w:rsidR="00C552FD" w:rsidRDefault="00C552FD" w:rsidP="00E27BBB">
      <w:pPr>
        <w:spacing w:after="120"/>
        <w:rPr>
          <w:rFonts w:asciiTheme="majorHAnsi" w:hAnsiTheme="majorHAnsi"/>
        </w:rPr>
      </w:pPr>
      <w:r>
        <w:rPr>
          <w:rFonts w:asciiTheme="majorHAnsi" w:hAnsiTheme="majorHAnsi"/>
        </w:rPr>
        <w:t xml:space="preserve">Sanāksmes sākumā Prezidentūra organizē </w:t>
      </w:r>
      <w:proofErr w:type="spellStart"/>
      <w:r w:rsidR="000B0E4E" w:rsidRPr="00FA7505">
        <w:rPr>
          <w:rFonts w:asciiTheme="majorHAnsi" w:hAnsiTheme="majorHAnsi"/>
        </w:rPr>
        <w:t>plenārsesij</w:t>
      </w:r>
      <w:r>
        <w:rPr>
          <w:rFonts w:asciiTheme="majorHAnsi" w:hAnsiTheme="majorHAnsi"/>
        </w:rPr>
        <w:t>u</w:t>
      </w:r>
      <w:proofErr w:type="spellEnd"/>
      <w:r>
        <w:rPr>
          <w:rFonts w:asciiTheme="majorHAnsi" w:hAnsiTheme="majorHAnsi"/>
        </w:rPr>
        <w:t xml:space="preserve"> ar nosaukumu „Ceļa karte rīcību integrēšanai</w:t>
      </w:r>
      <w:r w:rsidR="00CE333C">
        <w:rPr>
          <w:rFonts w:asciiTheme="majorHAnsi" w:hAnsiTheme="majorHAnsi"/>
        </w:rPr>
        <w:t xml:space="preserve"> (rūpniecības konkurētspējas jomā)</w:t>
      </w:r>
      <w:r>
        <w:rPr>
          <w:rFonts w:asciiTheme="majorHAnsi" w:hAnsiTheme="majorHAnsi"/>
        </w:rPr>
        <w:t xml:space="preserve">” </w:t>
      </w:r>
      <w:r w:rsidRPr="00D9530F">
        <w:rPr>
          <w:rFonts w:asciiTheme="majorHAnsi" w:hAnsiTheme="majorHAnsi"/>
          <w:i/>
        </w:rPr>
        <w:t>(</w:t>
      </w:r>
      <w:proofErr w:type="spellStart"/>
      <w:r w:rsidRPr="00D9530F">
        <w:rPr>
          <w:rFonts w:asciiTheme="majorHAnsi" w:hAnsiTheme="majorHAnsi"/>
          <w:i/>
        </w:rPr>
        <w:t>Roadmap</w:t>
      </w:r>
      <w:proofErr w:type="spellEnd"/>
      <w:r w:rsidRPr="00D9530F">
        <w:rPr>
          <w:rFonts w:asciiTheme="majorHAnsi" w:hAnsiTheme="majorHAnsi"/>
          <w:i/>
        </w:rPr>
        <w:t xml:space="preserve"> </w:t>
      </w:r>
      <w:proofErr w:type="spellStart"/>
      <w:r w:rsidRPr="00D9530F">
        <w:rPr>
          <w:rFonts w:asciiTheme="majorHAnsi" w:hAnsiTheme="majorHAnsi"/>
          <w:i/>
        </w:rPr>
        <w:t>for</w:t>
      </w:r>
      <w:proofErr w:type="spellEnd"/>
      <w:r w:rsidRPr="00D9530F">
        <w:rPr>
          <w:rFonts w:asciiTheme="majorHAnsi" w:hAnsiTheme="majorHAnsi"/>
          <w:i/>
        </w:rPr>
        <w:t xml:space="preserve"> </w:t>
      </w:r>
      <w:proofErr w:type="spellStart"/>
      <w:r w:rsidRPr="00D9530F">
        <w:rPr>
          <w:rFonts w:asciiTheme="majorHAnsi" w:hAnsiTheme="majorHAnsi"/>
          <w:i/>
        </w:rPr>
        <w:t>mainstreaming</w:t>
      </w:r>
      <w:proofErr w:type="spellEnd"/>
      <w:r w:rsidRPr="00D9530F">
        <w:rPr>
          <w:rFonts w:asciiTheme="majorHAnsi" w:hAnsiTheme="majorHAnsi"/>
          <w:i/>
        </w:rPr>
        <w:t xml:space="preserve"> </w:t>
      </w:r>
      <w:proofErr w:type="spellStart"/>
      <w:r w:rsidRPr="00D9530F">
        <w:rPr>
          <w:rFonts w:asciiTheme="majorHAnsi" w:hAnsiTheme="majorHAnsi"/>
          <w:i/>
        </w:rPr>
        <w:t>action</w:t>
      </w:r>
      <w:proofErr w:type="spellEnd"/>
      <w:r w:rsidRPr="00D9530F">
        <w:rPr>
          <w:rFonts w:asciiTheme="majorHAnsi" w:hAnsiTheme="majorHAnsi"/>
          <w:i/>
        </w:rPr>
        <w:t>)</w:t>
      </w:r>
      <w:r>
        <w:rPr>
          <w:rFonts w:asciiTheme="majorHAnsi" w:hAnsiTheme="majorHAnsi"/>
        </w:rPr>
        <w:t xml:space="preserve">, kurā tiks prezentētas </w:t>
      </w:r>
      <w:r w:rsidR="00CE333C">
        <w:rPr>
          <w:rFonts w:asciiTheme="majorHAnsi" w:hAnsiTheme="majorHAnsi"/>
        </w:rPr>
        <w:t>ES rūpniecības politikas prioritātes un ieskicētas rūpniecības prioritāšu integrēšanas iespējas citās ES saistītajās politikās</w:t>
      </w:r>
      <w:r w:rsidR="000B0E4E" w:rsidRPr="00FA7505">
        <w:rPr>
          <w:rFonts w:asciiTheme="majorHAnsi" w:hAnsiTheme="majorHAnsi"/>
        </w:rPr>
        <w:t>.</w:t>
      </w:r>
    </w:p>
    <w:p w:rsidR="00530271" w:rsidRPr="00FA7505" w:rsidRDefault="00CE333C" w:rsidP="00E27BBB">
      <w:pPr>
        <w:spacing w:after="120"/>
        <w:rPr>
          <w:rFonts w:asciiTheme="majorHAnsi" w:hAnsiTheme="majorHAnsi"/>
        </w:rPr>
      </w:pPr>
      <w:r>
        <w:rPr>
          <w:rFonts w:asciiTheme="majorHAnsi" w:hAnsiTheme="majorHAnsi"/>
        </w:rPr>
        <w:t>Sanāksmes turpinājumā</w:t>
      </w:r>
      <w:r w:rsidR="00530271" w:rsidRPr="00FA7505">
        <w:rPr>
          <w:rFonts w:asciiTheme="majorHAnsi" w:hAnsiTheme="majorHAnsi"/>
        </w:rPr>
        <w:t xml:space="preserve"> plānot</w:t>
      </w:r>
      <w:r>
        <w:rPr>
          <w:rFonts w:asciiTheme="majorHAnsi" w:hAnsiTheme="majorHAnsi"/>
        </w:rPr>
        <w:t>a</w:t>
      </w:r>
      <w:r w:rsidR="00530271" w:rsidRPr="00FA7505">
        <w:rPr>
          <w:rFonts w:asciiTheme="majorHAnsi" w:hAnsiTheme="majorHAnsi"/>
        </w:rPr>
        <w:t xml:space="preserve">s </w:t>
      </w:r>
      <w:r>
        <w:rPr>
          <w:rFonts w:asciiTheme="majorHAnsi" w:hAnsiTheme="majorHAnsi"/>
        </w:rPr>
        <w:t>diva</w:t>
      </w:r>
      <w:r w:rsidR="00A70A01" w:rsidRPr="00FA7505">
        <w:rPr>
          <w:rFonts w:asciiTheme="majorHAnsi" w:hAnsiTheme="majorHAnsi"/>
        </w:rPr>
        <w:t xml:space="preserve">s </w:t>
      </w:r>
      <w:r>
        <w:rPr>
          <w:rFonts w:asciiTheme="majorHAnsi" w:hAnsiTheme="majorHAnsi"/>
        </w:rPr>
        <w:t>darba</w:t>
      </w:r>
      <w:r w:rsidR="00530271" w:rsidRPr="00FA7505">
        <w:rPr>
          <w:rFonts w:asciiTheme="majorHAnsi" w:hAnsiTheme="majorHAnsi"/>
        </w:rPr>
        <w:t xml:space="preserve"> </w:t>
      </w:r>
      <w:r>
        <w:rPr>
          <w:rFonts w:asciiTheme="majorHAnsi" w:hAnsiTheme="majorHAnsi"/>
        </w:rPr>
        <w:t>sesija</w:t>
      </w:r>
      <w:r w:rsidR="00530271" w:rsidRPr="00FA7505">
        <w:rPr>
          <w:rFonts w:asciiTheme="majorHAnsi" w:hAnsiTheme="majorHAnsi"/>
        </w:rPr>
        <w:t>s, kuru laikā plānota dalībvalstu delegāciju vadītāju viedokļu apmaiņa par sekojošām diskusiju tēmām:</w:t>
      </w:r>
    </w:p>
    <w:p w:rsidR="00A70A01" w:rsidRPr="00FA7505" w:rsidRDefault="00CE333C" w:rsidP="00E27BBB">
      <w:pPr>
        <w:pStyle w:val="ListParagraph"/>
        <w:numPr>
          <w:ilvl w:val="0"/>
          <w:numId w:val="3"/>
        </w:numPr>
        <w:spacing w:after="120"/>
        <w:ind w:left="567" w:hanging="283"/>
        <w:contextualSpacing w:val="0"/>
        <w:rPr>
          <w:rFonts w:asciiTheme="majorHAnsi" w:hAnsiTheme="majorHAnsi"/>
        </w:rPr>
      </w:pPr>
      <w:r>
        <w:rPr>
          <w:rFonts w:asciiTheme="majorHAnsi" w:hAnsiTheme="majorHAnsi"/>
        </w:rPr>
        <w:t xml:space="preserve">Nozaru aspekts rūpniecības konkurētspējas integrēšanas procesā </w:t>
      </w:r>
      <w:r w:rsidR="00A70A01" w:rsidRPr="00FA7505">
        <w:rPr>
          <w:rFonts w:asciiTheme="majorHAnsi" w:hAnsiTheme="majorHAnsi"/>
        </w:rPr>
        <w:t>(</w:t>
      </w:r>
      <w:r w:rsidRPr="00D9530F">
        <w:rPr>
          <w:rFonts w:asciiTheme="majorHAnsi" w:hAnsiTheme="majorHAnsi"/>
          <w:i/>
        </w:rPr>
        <w:t xml:space="preserve">The </w:t>
      </w:r>
      <w:proofErr w:type="spellStart"/>
      <w:r w:rsidRPr="00D9530F">
        <w:rPr>
          <w:rFonts w:asciiTheme="majorHAnsi" w:hAnsiTheme="majorHAnsi"/>
          <w:i/>
        </w:rPr>
        <w:t>sectoral</w:t>
      </w:r>
      <w:proofErr w:type="spellEnd"/>
      <w:r w:rsidRPr="00D9530F">
        <w:rPr>
          <w:rFonts w:asciiTheme="majorHAnsi" w:hAnsiTheme="majorHAnsi"/>
          <w:i/>
        </w:rPr>
        <w:t xml:space="preserve"> </w:t>
      </w:r>
      <w:proofErr w:type="spellStart"/>
      <w:r w:rsidRPr="00D9530F">
        <w:rPr>
          <w:rFonts w:asciiTheme="majorHAnsi" w:hAnsiTheme="majorHAnsi"/>
          <w:i/>
        </w:rPr>
        <w:t>aspect</w:t>
      </w:r>
      <w:proofErr w:type="spellEnd"/>
      <w:r w:rsidRPr="00D9530F">
        <w:rPr>
          <w:rFonts w:asciiTheme="majorHAnsi" w:hAnsiTheme="majorHAnsi"/>
          <w:i/>
        </w:rPr>
        <w:t xml:space="preserve"> of </w:t>
      </w:r>
      <w:proofErr w:type="spellStart"/>
      <w:r w:rsidRPr="00D9530F">
        <w:rPr>
          <w:rFonts w:asciiTheme="majorHAnsi" w:hAnsiTheme="majorHAnsi"/>
          <w:i/>
        </w:rPr>
        <w:t>industrial</w:t>
      </w:r>
      <w:proofErr w:type="spellEnd"/>
      <w:r w:rsidRPr="00D9530F">
        <w:rPr>
          <w:rFonts w:asciiTheme="majorHAnsi" w:hAnsiTheme="majorHAnsi"/>
          <w:i/>
        </w:rPr>
        <w:t xml:space="preserve"> </w:t>
      </w:r>
      <w:proofErr w:type="spellStart"/>
      <w:r w:rsidRPr="00D9530F">
        <w:rPr>
          <w:rFonts w:asciiTheme="majorHAnsi" w:hAnsiTheme="majorHAnsi"/>
          <w:i/>
        </w:rPr>
        <w:t>competitiveness</w:t>
      </w:r>
      <w:proofErr w:type="spellEnd"/>
      <w:r w:rsidRPr="00D9530F">
        <w:rPr>
          <w:rFonts w:asciiTheme="majorHAnsi" w:hAnsiTheme="majorHAnsi"/>
          <w:i/>
        </w:rPr>
        <w:t xml:space="preserve"> </w:t>
      </w:r>
      <w:proofErr w:type="spellStart"/>
      <w:r w:rsidRPr="00D9530F">
        <w:rPr>
          <w:rFonts w:asciiTheme="majorHAnsi" w:hAnsiTheme="majorHAnsi"/>
          <w:i/>
        </w:rPr>
        <w:t>mainstreaming</w:t>
      </w:r>
      <w:proofErr w:type="spellEnd"/>
      <w:r w:rsidR="00A70A01" w:rsidRPr="00D9530F">
        <w:rPr>
          <w:rFonts w:asciiTheme="majorHAnsi" w:hAnsiTheme="majorHAnsi"/>
          <w:i/>
        </w:rPr>
        <w:t>)</w:t>
      </w:r>
      <w:r w:rsidR="00A70A01" w:rsidRPr="00FA7505">
        <w:rPr>
          <w:rFonts w:asciiTheme="majorHAnsi" w:hAnsiTheme="majorHAnsi"/>
        </w:rPr>
        <w:t>:</w:t>
      </w:r>
    </w:p>
    <w:p w:rsidR="00A70A01" w:rsidRDefault="00CE333C" w:rsidP="00E27BBB">
      <w:pPr>
        <w:pStyle w:val="ListParagraph"/>
        <w:numPr>
          <w:ilvl w:val="0"/>
          <w:numId w:val="3"/>
        </w:numPr>
        <w:spacing w:after="120"/>
        <w:ind w:left="567" w:hanging="283"/>
        <w:contextualSpacing w:val="0"/>
        <w:rPr>
          <w:rFonts w:asciiTheme="majorHAnsi" w:hAnsiTheme="majorHAnsi"/>
        </w:rPr>
      </w:pPr>
      <w:r>
        <w:rPr>
          <w:rFonts w:asciiTheme="majorHAnsi" w:hAnsiTheme="majorHAnsi"/>
        </w:rPr>
        <w:t>Integr</w:t>
      </w:r>
      <w:r w:rsidR="00C42A2A">
        <w:rPr>
          <w:rFonts w:asciiTheme="majorHAnsi" w:hAnsiTheme="majorHAnsi"/>
        </w:rPr>
        <w:t>ēšanas</w:t>
      </w:r>
      <w:r>
        <w:rPr>
          <w:rFonts w:asciiTheme="majorHAnsi" w:hAnsiTheme="majorHAnsi"/>
        </w:rPr>
        <w:t xml:space="preserve"> </w:t>
      </w:r>
      <w:r w:rsidRPr="00CE333C">
        <w:rPr>
          <w:rFonts w:asciiTheme="majorHAnsi" w:hAnsiTheme="majorHAnsi"/>
        </w:rPr>
        <w:t>(rūpniecības konkurētspējas jomā)</w:t>
      </w:r>
      <w:r w:rsidR="006931D1">
        <w:rPr>
          <w:rFonts w:asciiTheme="majorHAnsi" w:hAnsiTheme="majorHAnsi"/>
        </w:rPr>
        <w:t xml:space="preserve"> </w:t>
      </w:r>
      <w:proofErr w:type="spellStart"/>
      <w:r w:rsidR="006931D1">
        <w:rPr>
          <w:rFonts w:asciiTheme="majorHAnsi" w:hAnsiTheme="majorHAnsi"/>
        </w:rPr>
        <w:t>dimensionālais</w:t>
      </w:r>
      <w:proofErr w:type="spellEnd"/>
      <w:r>
        <w:rPr>
          <w:rFonts w:asciiTheme="majorHAnsi" w:hAnsiTheme="majorHAnsi"/>
        </w:rPr>
        <w:t xml:space="preserve"> aspekts </w:t>
      </w:r>
      <w:r w:rsidRPr="00D9530F">
        <w:rPr>
          <w:rFonts w:asciiTheme="majorHAnsi" w:hAnsiTheme="majorHAnsi"/>
          <w:i/>
        </w:rPr>
        <w:t xml:space="preserve">(The </w:t>
      </w:r>
      <w:proofErr w:type="spellStart"/>
      <w:r w:rsidRPr="00D9530F">
        <w:rPr>
          <w:rFonts w:asciiTheme="majorHAnsi" w:hAnsiTheme="majorHAnsi"/>
          <w:i/>
        </w:rPr>
        <w:t>dimensional</w:t>
      </w:r>
      <w:proofErr w:type="spellEnd"/>
      <w:r w:rsidRPr="00D9530F">
        <w:rPr>
          <w:rFonts w:asciiTheme="majorHAnsi" w:hAnsiTheme="majorHAnsi"/>
          <w:i/>
        </w:rPr>
        <w:t xml:space="preserve"> </w:t>
      </w:r>
      <w:proofErr w:type="spellStart"/>
      <w:r w:rsidRPr="00D9530F">
        <w:rPr>
          <w:rFonts w:asciiTheme="majorHAnsi" w:hAnsiTheme="majorHAnsi"/>
          <w:i/>
        </w:rPr>
        <w:t>aspect</w:t>
      </w:r>
      <w:proofErr w:type="spellEnd"/>
      <w:r w:rsidRPr="00D9530F">
        <w:rPr>
          <w:rFonts w:asciiTheme="majorHAnsi" w:hAnsiTheme="majorHAnsi"/>
          <w:i/>
        </w:rPr>
        <w:t xml:space="preserve"> of the </w:t>
      </w:r>
      <w:proofErr w:type="spellStart"/>
      <w:r w:rsidRPr="00D9530F">
        <w:rPr>
          <w:rFonts w:asciiTheme="majorHAnsi" w:hAnsiTheme="majorHAnsi"/>
          <w:i/>
        </w:rPr>
        <w:t>mainstreaming</w:t>
      </w:r>
      <w:proofErr w:type="spellEnd"/>
      <w:r w:rsidR="00056D2F" w:rsidRPr="00D9530F">
        <w:rPr>
          <w:rFonts w:asciiTheme="majorHAnsi" w:hAnsiTheme="majorHAnsi"/>
          <w:i/>
        </w:rPr>
        <w:t>)</w:t>
      </w:r>
      <w:r w:rsidR="00056D2F">
        <w:rPr>
          <w:rFonts w:asciiTheme="majorHAnsi" w:hAnsiTheme="majorHAnsi"/>
        </w:rPr>
        <w:t>.</w:t>
      </w:r>
    </w:p>
    <w:p w:rsidR="00056D2F" w:rsidRDefault="00056D2F" w:rsidP="00E27BBB">
      <w:pPr>
        <w:spacing w:after="120"/>
        <w:rPr>
          <w:rFonts w:asciiTheme="majorHAnsi" w:hAnsiTheme="majorHAnsi"/>
        </w:rPr>
      </w:pPr>
      <w:r>
        <w:rPr>
          <w:rFonts w:asciiTheme="majorHAnsi" w:hAnsiTheme="majorHAnsi"/>
        </w:rPr>
        <w:t xml:space="preserve">Ar nolūku strukturēt ministru diskusijas, Prezidentūra ir izplatījusi darba dokumentus par abu darba sesiju tēmām, </w:t>
      </w:r>
      <w:proofErr w:type="spellStart"/>
      <w:r>
        <w:rPr>
          <w:rFonts w:asciiTheme="majorHAnsi" w:hAnsiTheme="majorHAnsi"/>
        </w:rPr>
        <w:t>t.sk</w:t>
      </w:r>
      <w:proofErr w:type="spellEnd"/>
      <w:r>
        <w:rPr>
          <w:rFonts w:asciiTheme="majorHAnsi" w:hAnsiTheme="majorHAnsi"/>
        </w:rPr>
        <w:t>. izplatījusi diskusiju jautājumus.</w:t>
      </w:r>
    </w:p>
    <w:p w:rsidR="00530271" w:rsidRDefault="00056D2F" w:rsidP="00E27BBB">
      <w:pPr>
        <w:spacing w:after="120"/>
        <w:rPr>
          <w:rFonts w:asciiTheme="majorHAnsi" w:hAnsiTheme="majorHAnsi"/>
        </w:rPr>
      </w:pPr>
      <w:r>
        <w:rPr>
          <w:rFonts w:asciiTheme="majorHAnsi" w:hAnsiTheme="majorHAnsi"/>
        </w:rPr>
        <w:t>Vienlaikus s</w:t>
      </w:r>
      <w:r w:rsidR="00530271" w:rsidRPr="00FA7505">
        <w:rPr>
          <w:rFonts w:asciiTheme="majorHAnsi" w:hAnsiTheme="majorHAnsi"/>
        </w:rPr>
        <w:t xml:space="preserve">anāksmes </w:t>
      </w:r>
      <w:r w:rsidR="006073BF" w:rsidRPr="00FA7505">
        <w:rPr>
          <w:rFonts w:asciiTheme="majorHAnsi" w:hAnsiTheme="majorHAnsi"/>
        </w:rPr>
        <w:t xml:space="preserve">ietvaros </w:t>
      </w:r>
      <w:r w:rsidR="00530271" w:rsidRPr="00FA7505">
        <w:rPr>
          <w:rFonts w:asciiTheme="majorHAnsi" w:hAnsiTheme="majorHAnsi"/>
        </w:rPr>
        <w:t>tiek organizētas darba pusdienas, kur</w:t>
      </w:r>
      <w:r w:rsidR="006073BF" w:rsidRPr="00FA7505">
        <w:rPr>
          <w:rFonts w:asciiTheme="majorHAnsi" w:hAnsiTheme="majorHAnsi"/>
        </w:rPr>
        <w:t xml:space="preserve"> </w:t>
      </w:r>
      <w:r w:rsidR="00530271" w:rsidRPr="00FA7505">
        <w:rPr>
          <w:rFonts w:asciiTheme="majorHAnsi" w:hAnsiTheme="majorHAnsi"/>
        </w:rPr>
        <w:t>dalībvalstu pārs</w:t>
      </w:r>
      <w:r>
        <w:rPr>
          <w:rFonts w:asciiTheme="majorHAnsi" w:hAnsiTheme="majorHAnsi"/>
        </w:rPr>
        <w:t>tāvjiem būs iespēja sniegt savu redzējumu par tēmu</w:t>
      </w:r>
      <w:r w:rsidR="00530271" w:rsidRPr="00FA7505">
        <w:rPr>
          <w:rFonts w:asciiTheme="majorHAnsi" w:hAnsiTheme="majorHAnsi"/>
        </w:rPr>
        <w:t xml:space="preserve"> „</w:t>
      </w:r>
      <w:r>
        <w:rPr>
          <w:rFonts w:asciiTheme="majorHAnsi" w:hAnsiTheme="majorHAnsi"/>
        </w:rPr>
        <w:t xml:space="preserve">Padomes darba metodes” </w:t>
      </w:r>
      <w:r w:rsidRPr="00D9530F">
        <w:rPr>
          <w:rFonts w:asciiTheme="majorHAnsi" w:hAnsiTheme="majorHAnsi"/>
          <w:i/>
        </w:rPr>
        <w:t>(</w:t>
      </w:r>
      <w:proofErr w:type="spellStart"/>
      <w:r w:rsidRPr="00D9530F">
        <w:rPr>
          <w:rFonts w:asciiTheme="majorHAnsi" w:hAnsiTheme="majorHAnsi"/>
          <w:i/>
        </w:rPr>
        <w:t>Working</w:t>
      </w:r>
      <w:proofErr w:type="spellEnd"/>
      <w:r w:rsidRPr="00D9530F">
        <w:rPr>
          <w:rFonts w:asciiTheme="majorHAnsi" w:hAnsiTheme="majorHAnsi"/>
          <w:i/>
        </w:rPr>
        <w:t xml:space="preserve"> </w:t>
      </w:r>
      <w:proofErr w:type="spellStart"/>
      <w:r w:rsidRPr="00D9530F">
        <w:rPr>
          <w:rFonts w:asciiTheme="majorHAnsi" w:hAnsiTheme="majorHAnsi"/>
          <w:i/>
        </w:rPr>
        <w:t>methods</w:t>
      </w:r>
      <w:proofErr w:type="spellEnd"/>
      <w:r w:rsidRPr="00D9530F">
        <w:rPr>
          <w:rFonts w:asciiTheme="majorHAnsi" w:hAnsiTheme="majorHAnsi"/>
          <w:i/>
        </w:rPr>
        <w:t xml:space="preserve"> </w:t>
      </w:r>
      <w:proofErr w:type="spellStart"/>
      <w:r w:rsidRPr="00D9530F">
        <w:rPr>
          <w:rFonts w:asciiTheme="majorHAnsi" w:hAnsiTheme="majorHAnsi"/>
          <w:i/>
        </w:rPr>
        <w:t>in</w:t>
      </w:r>
      <w:proofErr w:type="spellEnd"/>
      <w:r w:rsidRPr="00D9530F">
        <w:rPr>
          <w:rFonts w:asciiTheme="majorHAnsi" w:hAnsiTheme="majorHAnsi"/>
          <w:i/>
        </w:rPr>
        <w:t xml:space="preserve"> Council</w:t>
      </w:r>
      <w:r w:rsidR="006073BF" w:rsidRPr="00D9530F">
        <w:rPr>
          <w:rFonts w:asciiTheme="majorHAnsi" w:hAnsiTheme="majorHAnsi"/>
          <w:i/>
        </w:rPr>
        <w:t>)</w:t>
      </w:r>
      <w:r w:rsidR="00530271" w:rsidRPr="00FA7505">
        <w:rPr>
          <w:rFonts w:asciiTheme="majorHAnsi" w:hAnsiTheme="majorHAnsi"/>
        </w:rPr>
        <w:t>.</w:t>
      </w:r>
    </w:p>
    <w:p w:rsidR="00AE29E9" w:rsidRPr="00FA7505" w:rsidRDefault="00AE29E9" w:rsidP="00E27BBB">
      <w:pPr>
        <w:spacing w:after="120"/>
        <w:rPr>
          <w:rFonts w:asciiTheme="majorHAnsi" w:hAnsiTheme="majorHAnsi"/>
        </w:rPr>
      </w:pPr>
    </w:p>
    <w:p w:rsidR="00F878AD" w:rsidRPr="00056D2F" w:rsidRDefault="00993C12" w:rsidP="00D94680">
      <w:pPr>
        <w:pStyle w:val="ListParagraph"/>
        <w:numPr>
          <w:ilvl w:val="0"/>
          <w:numId w:val="5"/>
        </w:numPr>
        <w:shd w:val="clear" w:color="auto" w:fill="F2F2F2" w:themeFill="background1" w:themeFillShade="F2"/>
        <w:spacing w:after="120"/>
        <w:ind w:left="284" w:hanging="284"/>
        <w:contextualSpacing w:val="0"/>
        <w:rPr>
          <w:rFonts w:asciiTheme="majorHAnsi" w:hAnsiTheme="majorHAnsi"/>
          <w:b/>
        </w:rPr>
      </w:pPr>
      <w:r w:rsidRPr="00056D2F">
        <w:rPr>
          <w:rFonts w:asciiTheme="majorHAnsi" w:hAnsiTheme="majorHAnsi"/>
          <w:b/>
        </w:rPr>
        <w:t xml:space="preserve">Sanāksmes </w:t>
      </w:r>
      <w:r w:rsidR="00056D2F">
        <w:rPr>
          <w:rFonts w:asciiTheme="majorHAnsi" w:hAnsiTheme="majorHAnsi"/>
          <w:b/>
        </w:rPr>
        <w:t xml:space="preserve">1. </w:t>
      </w:r>
      <w:r w:rsidRPr="00056D2F">
        <w:rPr>
          <w:rFonts w:asciiTheme="majorHAnsi" w:hAnsiTheme="majorHAnsi"/>
          <w:b/>
        </w:rPr>
        <w:t xml:space="preserve">darba sesija – </w:t>
      </w:r>
      <w:r w:rsidR="00056D2F" w:rsidRPr="00056D2F">
        <w:rPr>
          <w:rFonts w:asciiTheme="majorHAnsi" w:hAnsiTheme="majorHAnsi"/>
          <w:b/>
        </w:rPr>
        <w:t>Ceļa karte rīcību integrēšanai</w:t>
      </w:r>
    </w:p>
    <w:p w:rsidR="00993C12" w:rsidRDefault="00993C12" w:rsidP="00E27BBB">
      <w:pPr>
        <w:spacing w:after="120"/>
        <w:rPr>
          <w:rFonts w:asciiTheme="majorHAnsi" w:hAnsiTheme="majorHAnsi"/>
        </w:rPr>
      </w:pPr>
      <w:r w:rsidRPr="00FA7505">
        <w:rPr>
          <w:rFonts w:asciiTheme="majorHAnsi" w:hAnsiTheme="majorHAnsi"/>
        </w:rPr>
        <w:t>Prezidentūra</w:t>
      </w:r>
      <w:r w:rsidR="00056D2F">
        <w:rPr>
          <w:rFonts w:asciiTheme="majorHAnsi" w:hAnsiTheme="majorHAnsi"/>
        </w:rPr>
        <w:t xml:space="preserve">s izplatītajā darba dokumentā </w:t>
      </w:r>
      <w:r w:rsidR="00E75257">
        <w:rPr>
          <w:rFonts w:asciiTheme="majorHAnsi" w:hAnsiTheme="majorHAnsi"/>
        </w:rPr>
        <w:t>tiek minēts par ES vadošo lomu pasaulē vairākās rūpniecības nozarēs. Tiek atgādināts, ka vairumā šo nozaru vērtību ķēde ir diversificēta</w:t>
      </w:r>
      <w:r w:rsidR="00C660F6">
        <w:rPr>
          <w:rFonts w:asciiTheme="majorHAnsi" w:hAnsiTheme="majorHAnsi"/>
        </w:rPr>
        <w:t>, kur atsevišķi lielie uzņēmumi ir cieši saistīti ar lielu skaitu mazajiem un vidējiem uzņēmumiem (turpmāk – MVU). Tieši šāda sadarbība ir ES konkurētspējas pamatā.</w:t>
      </w:r>
    </w:p>
    <w:p w:rsidR="00C660F6" w:rsidRDefault="00C660F6" w:rsidP="00E27BBB">
      <w:pPr>
        <w:spacing w:after="120"/>
        <w:rPr>
          <w:rFonts w:asciiTheme="majorHAnsi" w:hAnsiTheme="majorHAnsi"/>
        </w:rPr>
      </w:pPr>
      <w:r>
        <w:rPr>
          <w:rFonts w:asciiTheme="majorHAnsi" w:hAnsiTheme="majorHAnsi"/>
        </w:rPr>
        <w:t>Eiropas Komisija (turpmāk – EK) pēdējos gados ir nākusi klajā ar vairākām iniciatīvām tādās ES stratēģiskās</w:t>
      </w:r>
      <w:r w:rsidRPr="00C660F6">
        <w:rPr>
          <w:rFonts w:asciiTheme="majorHAnsi" w:hAnsiTheme="majorHAnsi"/>
        </w:rPr>
        <w:t xml:space="preserve"> </w:t>
      </w:r>
      <w:r>
        <w:rPr>
          <w:rFonts w:asciiTheme="majorHAnsi" w:hAnsiTheme="majorHAnsi"/>
        </w:rPr>
        <w:t>nozarēs kā autobūve, tērauds, būvniecība, ķīmiskā ražošana, aizsardzības rūpniecība.</w:t>
      </w:r>
    </w:p>
    <w:p w:rsidR="00C660F6" w:rsidRDefault="00C660F6" w:rsidP="00E27BBB">
      <w:pPr>
        <w:spacing w:after="120"/>
        <w:rPr>
          <w:rFonts w:asciiTheme="majorHAnsi" w:hAnsiTheme="majorHAnsi"/>
        </w:rPr>
      </w:pPr>
      <w:r>
        <w:rPr>
          <w:rFonts w:asciiTheme="majorHAnsi" w:hAnsiTheme="majorHAnsi"/>
        </w:rPr>
        <w:t xml:space="preserve">Rūpniecības integrēšana </w:t>
      </w:r>
      <w:r w:rsidRPr="00D9530F">
        <w:rPr>
          <w:rFonts w:asciiTheme="majorHAnsi" w:hAnsiTheme="majorHAnsi"/>
          <w:i/>
        </w:rPr>
        <w:t>(</w:t>
      </w:r>
      <w:proofErr w:type="spellStart"/>
      <w:r w:rsidRPr="00D9530F">
        <w:rPr>
          <w:rFonts w:asciiTheme="majorHAnsi" w:hAnsiTheme="majorHAnsi"/>
          <w:i/>
        </w:rPr>
        <w:t>mainstreaming</w:t>
      </w:r>
      <w:proofErr w:type="spellEnd"/>
      <w:r w:rsidRPr="00D9530F">
        <w:rPr>
          <w:rFonts w:asciiTheme="majorHAnsi" w:hAnsiTheme="majorHAnsi"/>
          <w:i/>
        </w:rPr>
        <w:t>)</w:t>
      </w:r>
      <w:r>
        <w:rPr>
          <w:rFonts w:asciiTheme="majorHAnsi" w:hAnsiTheme="majorHAnsi"/>
        </w:rPr>
        <w:t xml:space="preserve"> sastāv no rūpniecības prioritāšu izvērtēšanas</w:t>
      </w:r>
      <w:r w:rsidR="009E0F21">
        <w:rPr>
          <w:rFonts w:asciiTheme="majorHAnsi" w:hAnsiTheme="majorHAnsi"/>
        </w:rPr>
        <w:t>,</w:t>
      </w:r>
      <w:r>
        <w:rPr>
          <w:rFonts w:asciiTheme="majorHAnsi" w:hAnsiTheme="majorHAnsi"/>
        </w:rPr>
        <w:t xml:space="preserve"> kā galvenā elementa ES rūpniecības konkurētspējai, kas reizē ir arī pamats tās pašas konkurētspējas sekmēšanai. Tas, savukārt, nozīmē nepieciešamību </w:t>
      </w:r>
      <w:r w:rsidR="009E0F21">
        <w:rPr>
          <w:rFonts w:asciiTheme="majorHAnsi" w:hAnsiTheme="majorHAnsi"/>
        </w:rPr>
        <w:t xml:space="preserve">izmantot dažādas ES ietekmes sviras – ne tikai iekšējo tirgu, rūpniecību un pētniecību, bet arī tirdzniecības līgumus, valsts atbalstu, enerģētikas un vides politiku, infrastruktūru </w:t>
      </w:r>
      <w:proofErr w:type="spellStart"/>
      <w:r w:rsidR="009E0F21">
        <w:rPr>
          <w:rFonts w:asciiTheme="majorHAnsi" w:hAnsiTheme="majorHAnsi"/>
        </w:rPr>
        <w:t>u.c</w:t>
      </w:r>
      <w:proofErr w:type="spellEnd"/>
      <w:r w:rsidR="009E0F21">
        <w:rPr>
          <w:rFonts w:asciiTheme="majorHAnsi" w:hAnsiTheme="majorHAnsi"/>
        </w:rPr>
        <w:t>. Vairumu šo ES politiku jāveido sasaistē ar konkurētspējas mērķi.</w:t>
      </w:r>
    </w:p>
    <w:p w:rsidR="009E0F21" w:rsidRDefault="009E0F21" w:rsidP="00E27BBB">
      <w:pPr>
        <w:spacing w:after="120"/>
        <w:rPr>
          <w:rFonts w:asciiTheme="majorHAnsi" w:hAnsiTheme="majorHAnsi"/>
        </w:rPr>
      </w:pPr>
      <w:r>
        <w:rPr>
          <w:rFonts w:asciiTheme="majorHAnsi" w:hAnsiTheme="majorHAnsi"/>
        </w:rPr>
        <w:t>Prezidentūra norāda, ka ir jāsāk ar nozaru pieeju integr</w:t>
      </w:r>
      <w:r w:rsidR="00C42A2A">
        <w:rPr>
          <w:rFonts w:asciiTheme="majorHAnsi" w:hAnsiTheme="majorHAnsi"/>
        </w:rPr>
        <w:t>ēšanas</w:t>
      </w:r>
      <w:r>
        <w:rPr>
          <w:rFonts w:asciiTheme="majorHAnsi" w:hAnsiTheme="majorHAnsi"/>
        </w:rPr>
        <w:t xml:space="preserve"> procesā un </w:t>
      </w:r>
      <w:r w:rsidR="00C42A2A">
        <w:rPr>
          <w:rFonts w:asciiTheme="majorHAnsi" w:hAnsiTheme="majorHAnsi"/>
        </w:rPr>
        <w:t>integrēšanas</w:t>
      </w:r>
      <w:r>
        <w:rPr>
          <w:rFonts w:asciiTheme="majorHAnsi" w:hAnsiTheme="majorHAnsi"/>
        </w:rPr>
        <w:t xml:space="preserve"> procesa piemērošana EK iepriekšējos gados izstrādātajos atsevišķu rūpniecības nozaru piedāvājumos var kļūt par pamatu metodoloģijas izstrādei, kas būtu piemērojama daudz kompleksākām nozarēm. Turklāt atsauce uz šīm nozarēm var kļūt par pirmo soli, </w:t>
      </w:r>
      <w:r w:rsidR="00FF5518">
        <w:rPr>
          <w:rFonts w:asciiTheme="majorHAnsi" w:hAnsiTheme="majorHAnsi"/>
        </w:rPr>
        <w:t xml:space="preserve">lai </w:t>
      </w:r>
      <w:r w:rsidR="00FF5518">
        <w:rPr>
          <w:rFonts w:asciiTheme="majorHAnsi" w:hAnsiTheme="majorHAnsi"/>
        </w:rPr>
        <w:lastRenderedPageBreak/>
        <w:t>pārbaudītu dažādu aktivitāšu nepieciešamību ar mērķi veicināt galveno produktu, piemēram, automašīnu, kuģu</w:t>
      </w:r>
      <w:r w:rsidR="00FF5518" w:rsidRPr="00FF5518">
        <w:rPr>
          <w:rFonts w:asciiTheme="majorHAnsi" w:hAnsiTheme="majorHAnsi"/>
        </w:rPr>
        <w:t xml:space="preserve">, </w:t>
      </w:r>
      <w:r w:rsidR="00FF5518">
        <w:rPr>
          <w:rFonts w:asciiTheme="majorHAnsi" w:hAnsiTheme="majorHAnsi"/>
        </w:rPr>
        <w:t>būvizstrādājumu</w:t>
      </w:r>
      <w:r w:rsidR="00FF5518" w:rsidRPr="00FF5518">
        <w:rPr>
          <w:rFonts w:asciiTheme="majorHAnsi" w:hAnsiTheme="majorHAnsi"/>
        </w:rPr>
        <w:t xml:space="preserve"> </w:t>
      </w:r>
      <w:proofErr w:type="spellStart"/>
      <w:r w:rsidR="00FF5518" w:rsidRPr="00FF5518">
        <w:rPr>
          <w:rFonts w:asciiTheme="majorHAnsi" w:hAnsiTheme="majorHAnsi"/>
        </w:rPr>
        <w:t>u</w:t>
      </w:r>
      <w:r w:rsidR="00FF5518">
        <w:rPr>
          <w:rFonts w:asciiTheme="majorHAnsi" w:hAnsiTheme="majorHAnsi"/>
        </w:rPr>
        <w:t>.</w:t>
      </w:r>
      <w:r w:rsidR="00FF5518" w:rsidRPr="00FF5518">
        <w:rPr>
          <w:rFonts w:asciiTheme="majorHAnsi" w:hAnsiTheme="majorHAnsi"/>
        </w:rPr>
        <w:t>c</w:t>
      </w:r>
      <w:proofErr w:type="spellEnd"/>
      <w:r w:rsidR="00FF5518">
        <w:rPr>
          <w:rFonts w:asciiTheme="majorHAnsi" w:hAnsiTheme="majorHAnsi"/>
        </w:rPr>
        <w:t>.</w:t>
      </w:r>
      <w:r w:rsidR="00FF5518" w:rsidRPr="00FF5518">
        <w:rPr>
          <w:rFonts w:asciiTheme="majorHAnsi" w:hAnsiTheme="majorHAnsi"/>
        </w:rPr>
        <w:t xml:space="preserve"> konkurētspēju starptautiskajos tirgos</w:t>
      </w:r>
      <w:r w:rsidR="00FF5518">
        <w:rPr>
          <w:rFonts w:asciiTheme="majorHAnsi" w:hAnsiTheme="majorHAnsi"/>
        </w:rPr>
        <w:t>.</w:t>
      </w:r>
    </w:p>
    <w:p w:rsidR="00FF5518" w:rsidRDefault="00FF5518" w:rsidP="00E27BBB">
      <w:pPr>
        <w:spacing w:after="120"/>
        <w:rPr>
          <w:rFonts w:asciiTheme="majorHAnsi" w:hAnsiTheme="majorHAnsi"/>
        </w:rPr>
      </w:pPr>
      <w:r>
        <w:rPr>
          <w:rFonts w:asciiTheme="majorHAnsi" w:hAnsiTheme="majorHAnsi"/>
        </w:rPr>
        <w:t>Atbilstošu pasākumu pieņemšana pastāvīgai</w:t>
      </w:r>
      <w:r w:rsidRPr="00FF5518">
        <w:rPr>
          <w:rFonts w:asciiTheme="majorHAnsi" w:hAnsiTheme="majorHAnsi"/>
        </w:rPr>
        <w:t xml:space="preserve"> </w:t>
      </w:r>
      <w:r>
        <w:rPr>
          <w:rFonts w:asciiTheme="majorHAnsi" w:hAnsiTheme="majorHAnsi"/>
        </w:rPr>
        <w:t>likumdošanas un normatīvo aktu uzraudzībai</w:t>
      </w:r>
      <w:r w:rsidRPr="00FF5518">
        <w:rPr>
          <w:rFonts w:asciiTheme="majorHAnsi" w:hAnsiTheme="majorHAnsi"/>
        </w:rPr>
        <w:t xml:space="preserve"> ir </w:t>
      </w:r>
      <w:r>
        <w:rPr>
          <w:rFonts w:asciiTheme="majorHAnsi" w:hAnsiTheme="majorHAnsi"/>
        </w:rPr>
        <w:t>svarīgs</w:t>
      </w:r>
      <w:r w:rsidRPr="00FF5518">
        <w:rPr>
          <w:rFonts w:asciiTheme="majorHAnsi" w:hAnsiTheme="majorHAnsi"/>
        </w:rPr>
        <w:t xml:space="preserve"> nosacījums, lai nodrošinātu </w:t>
      </w:r>
      <w:r>
        <w:rPr>
          <w:rFonts w:asciiTheme="majorHAnsi" w:hAnsiTheme="majorHAnsi"/>
        </w:rPr>
        <w:t>ES rūpniecības</w:t>
      </w:r>
      <w:r w:rsidRPr="00FF5518">
        <w:rPr>
          <w:rFonts w:asciiTheme="majorHAnsi" w:hAnsiTheme="majorHAnsi"/>
        </w:rPr>
        <w:t xml:space="preserve"> konkurētspēju un labu pārvaldību</w:t>
      </w:r>
      <w:r w:rsidR="002219B8">
        <w:rPr>
          <w:rFonts w:asciiTheme="majorHAnsi" w:hAnsiTheme="majorHAnsi"/>
        </w:rPr>
        <w:t xml:space="preserve"> turklāt aizvien grūtāk ir nodefinēt „rūpniecības politiku”, kuru ietekmē daudz un dažādi mainīgie faktori, kā arī saistītās politikas.</w:t>
      </w:r>
    </w:p>
    <w:p w:rsidR="007E0503" w:rsidRDefault="002219B8" w:rsidP="00E27BBB">
      <w:pPr>
        <w:spacing w:after="120"/>
        <w:rPr>
          <w:rFonts w:asciiTheme="majorHAnsi" w:hAnsiTheme="majorHAnsi"/>
        </w:rPr>
      </w:pPr>
      <w:r>
        <w:rPr>
          <w:rFonts w:asciiTheme="majorHAnsi" w:hAnsiTheme="majorHAnsi"/>
        </w:rPr>
        <w:t xml:space="preserve">Pasaulē progresīvākās likumdošanas ieviešana tādās jomās kā vide, drošība un veselība padara ES par </w:t>
      </w:r>
      <w:r w:rsidR="007E0503">
        <w:rPr>
          <w:rFonts w:asciiTheme="majorHAnsi" w:hAnsiTheme="majorHAnsi"/>
        </w:rPr>
        <w:t xml:space="preserve">ekonomisko zonu ar visaugstākajiem dzīves standartiem. </w:t>
      </w:r>
      <w:r w:rsidR="007E0503" w:rsidRPr="007E0503">
        <w:rPr>
          <w:rFonts w:asciiTheme="majorHAnsi" w:hAnsiTheme="majorHAnsi"/>
        </w:rPr>
        <w:t>Tas prasa pārveidot š</w:t>
      </w:r>
      <w:r w:rsidR="007E0503">
        <w:rPr>
          <w:rFonts w:asciiTheme="majorHAnsi" w:hAnsiTheme="majorHAnsi"/>
        </w:rPr>
        <w:t>os</w:t>
      </w:r>
      <w:r w:rsidR="007E0503" w:rsidRPr="007E0503">
        <w:rPr>
          <w:rFonts w:asciiTheme="majorHAnsi" w:hAnsiTheme="majorHAnsi"/>
        </w:rPr>
        <w:t xml:space="preserve"> standartu</w:t>
      </w:r>
      <w:r w:rsidR="007E0503">
        <w:rPr>
          <w:rFonts w:asciiTheme="majorHAnsi" w:hAnsiTheme="majorHAnsi"/>
        </w:rPr>
        <w:t>s par efektīvu konkurētspējas sviru</w:t>
      </w:r>
      <w:r w:rsidR="007E0503" w:rsidRPr="007E0503">
        <w:rPr>
          <w:rFonts w:asciiTheme="majorHAnsi" w:hAnsiTheme="majorHAnsi"/>
        </w:rPr>
        <w:t xml:space="preserve">, lai </w:t>
      </w:r>
      <w:r w:rsidR="007E0503">
        <w:rPr>
          <w:rFonts w:asciiTheme="majorHAnsi" w:hAnsiTheme="majorHAnsi"/>
        </w:rPr>
        <w:t>samazinātu risku samazināt šos standartus</w:t>
      </w:r>
      <w:r w:rsidR="007E0503" w:rsidRPr="007E0503">
        <w:rPr>
          <w:rFonts w:asciiTheme="majorHAnsi" w:hAnsiTheme="majorHAnsi"/>
        </w:rPr>
        <w:t>.</w:t>
      </w:r>
    </w:p>
    <w:p w:rsidR="002219B8" w:rsidRDefault="00AC7E0D" w:rsidP="00E27BBB">
      <w:pPr>
        <w:spacing w:after="120"/>
        <w:rPr>
          <w:rFonts w:asciiTheme="majorHAnsi" w:hAnsiTheme="majorHAnsi"/>
        </w:rPr>
      </w:pPr>
      <w:r>
        <w:rPr>
          <w:rFonts w:asciiTheme="majorHAnsi" w:hAnsiTheme="majorHAnsi"/>
        </w:rPr>
        <w:t>S</w:t>
      </w:r>
      <w:r w:rsidR="007E0503">
        <w:rPr>
          <w:rFonts w:asciiTheme="majorHAnsi" w:hAnsiTheme="majorHAnsi"/>
        </w:rPr>
        <w:t xml:space="preserve">varīgi atjaunot rūpniecības konkurētspējas centrālo lomu </w:t>
      </w:r>
      <w:r>
        <w:rPr>
          <w:rFonts w:asciiTheme="majorHAnsi" w:hAnsiTheme="majorHAnsi"/>
        </w:rPr>
        <w:t xml:space="preserve">visās </w:t>
      </w:r>
      <w:r w:rsidR="009D5633">
        <w:rPr>
          <w:rFonts w:asciiTheme="majorHAnsi" w:hAnsiTheme="majorHAnsi"/>
        </w:rPr>
        <w:t>saistītajās</w:t>
      </w:r>
      <w:r>
        <w:rPr>
          <w:rFonts w:asciiTheme="majorHAnsi" w:hAnsiTheme="majorHAnsi"/>
        </w:rPr>
        <w:t xml:space="preserve"> politikās</w:t>
      </w:r>
      <w:r w:rsidR="007E0503">
        <w:rPr>
          <w:rFonts w:asciiTheme="majorHAnsi" w:hAnsiTheme="majorHAnsi"/>
        </w:rPr>
        <w:t xml:space="preserve">. </w:t>
      </w:r>
      <w:r>
        <w:rPr>
          <w:rFonts w:asciiTheme="majorHAnsi" w:hAnsiTheme="majorHAnsi"/>
        </w:rPr>
        <w:t>Vienlaikus n</w:t>
      </w:r>
      <w:r w:rsidR="007E0503">
        <w:rPr>
          <w:rFonts w:asciiTheme="majorHAnsi" w:hAnsiTheme="majorHAnsi"/>
        </w:rPr>
        <w:t xml:space="preserve">epieciešama efektīva to ES un reģionālo politiku koordinācija, kas ietekmē rūpniecību. Tādējādi </w:t>
      </w:r>
      <w:r>
        <w:rPr>
          <w:rFonts w:asciiTheme="majorHAnsi" w:hAnsiTheme="majorHAnsi"/>
        </w:rPr>
        <w:t xml:space="preserve">tieši </w:t>
      </w:r>
      <w:r w:rsidR="007E0503">
        <w:rPr>
          <w:rFonts w:asciiTheme="majorHAnsi" w:hAnsiTheme="majorHAnsi"/>
        </w:rPr>
        <w:t>rūpniecības konkurētspējas integrēšana un efektīva koordinācija ir pamats spēcīgai mikroekonomikas pārvaldībai.</w:t>
      </w:r>
    </w:p>
    <w:p w:rsidR="00AC7E0D" w:rsidRDefault="00AC7E0D" w:rsidP="00E27BBB">
      <w:pPr>
        <w:spacing w:after="120"/>
        <w:rPr>
          <w:rFonts w:asciiTheme="majorHAnsi" w:hAnsiTheme="majorHAnsi"/>
        </w:rPr>
      </w:pPr>
      <w:r>
        <w:rPr>
          <w:rFonts w:asciiTheme="majorHAnsi" w:hAnsiTheme="majorHAnsi"/>
        </w:rPr>
        <w:t>Prezidentūra norāda, ka uz šī</w:t>
      </w:r>
      <w:r w:rsidRPr="00AC7E0D">
        <w:rPr>
          <w:rFonts w:asciiTheme="majorHAnsi" w:hAnsiTheme="majorHAnsi"/>
        </w:rPr>
        <w:t xml:space="preserve"> pamata ir nepieciešams</w:t>
      </w:r>
      <w:r>
        <w:rPr>
          <w:rFonts w:asciiTheme="majorHAnsi" w:hAnsiTheme="majorHAnsi"/>
        </w:rPr>
        <w:t xml:space="preserve"> </w:t>
      </w:r>
      <w:r w:rsidR="00403EA9">
        <w:rPr>
          <w:rFonts w:asciiTheme="majorHAnsi" w:hAnsiTheme="majorHAnsi"/>
        </w:rPr>
        <w:t xml:space="preserve">uzsākt konkurētspējas pārbaudes </w:t>
      </w:r>
      <w:r w:rsidR="00403EA9" w:rsidRPr="00D9530F">
        <w:rPr>
          <w:rFonts w:asciiTheme="majorHAnsi" w:hAnsiTheme="majorHAnsi"/>
          <w:i/>
        </w:rPr>
        <w:t xml:space="preserve"> </w:t>
      </w:r>
      <w:r w:rsidRPr="00D9530F">
        <w:rPr>
          <w:rFonts w:asciiTheme="majorHAnsi" w:hAnsiTheme="majorHAnsi"/>
          <w:i/>
        </w:rPr>
        <w:t>(</w:t>
      </w:r>
      <w:proofErr w:type="spellStart"/>
      <w:r w:rsidRPr="00D9530F">
        <w:rPr>
          <w:rFonts w:asciiTheme="majorHAnsi" w:hAnsiTheme="majorHAnsi"/>
          <w:i/>
        </w:rPr>
        <w:t>competitiveness</w:t>
      </w:r>
      <w:proofErr w:type="spellEnd"/>
      <w:r w:rsidRPr="00D9530F">
        <w:rPr>
          <w:rFonts w:asciiTheme="majorHAnsi" w:hAnsiTheme="majorHAnsi"/>
          <w:i/>
        </w:rPr>
        <w:t xml:space="preserve"> </w:t>
      </w:r>
      <w:proofErr w:type="spellStart"/>
      <w:r w:rsidRPr="00D9530F">
        <w:rPr>
          <w:rFonts w:asciiTheme="majorHAnsi" w:hAnsiTheme="majorHAnsi"/>
          <w:i/>
        </w:rPr>
        <w:t>proofing</w:t>
      </w:r>
      <w:proofErr w:type="spellEnd"/>
      <w:r w:rsidRPr="00D9530F">
        <w:rPr>
          <w:rFonts w:asciiTheme="majorHAnsi" w:hAnsiTheme="majorHAnsi"/>
          <w:i/>
        </w:rPr>
        <w:t>)</w:t>
      </w:r>
      <w:r>
        <w:rPr>
          <w:rFonts w:asciiTheme="majorHAnsi" w:hAnsiTheme="majorHAnsi"/>
        </w:rPr>
        <w:t xml:space="preserve"> par EK</w:t>
      </w:r>
      <w:r w:rsidRPr="00AC7E0D">
        <w:rPr>
          <w:rFonts w:asciiTheme="majorHAnsi" w:hAnsiTheme="majorHAnsi"/>
        </w:rPr>
        <w:t xml:space="preserve"> </w:t>
      </w:r>
      <w:r>
        <w:rPr>
          <w:rFonts w:asciiTheme="majorHAnsi" w:hAnsiTheme="majorHAnsi"/>
        </w:rPr>
        <w:t>pēdējos mēne</w:t>
      </w:r>
      <w:r w:rsidR="00BC1B46">
        <w:rPr>
          <w:rFonts w:asciiTheme="majorHAnsi" w:hAnsiTheme="majorHAnsi"/>
        </w:rPr>
        <w:t xml:space="preserve">šos </w:t>
      </w:r>
      <w:r>
        <w:rPr>
          <w:rFonts w:asciiTheme="majorHAnsi" w:hAnsiTheme="majorHAnsi"/>
        </w:rPr>
        <w:t>virzītaj</w:t>
      </w:r>
      <w:r w:rsidR="00BC1B46">
        <w:rPr>
          <w:rFonts w:asciiTheme="majorHAnsi" w:hAnsiTheme="majorHAnsi"/>
        </w:rPr>
        <w:t>iem jautājumiem</w:t>
      </w:r>
      <w:r w:rsidRPr="00AC7E0D">
        <w:rPr>
          <w:rFonts w:asciiTheme="majorHAnsi" w:hAnsiTheme="majorHAnsi"/>
        </w:rPr>
        <w:t>, un jo īpaši:</w:t>
      </w:r>
    </w:p>
    <w:p w:rsidR="00AC7E0D" w:rsidRDefault="00AC7E0D" w:rsidP="00E27BBB">
      <w:pPr>
        <w:pStyle w:val="ListParagraph"/>
        <w:numPr>
          <w:ilvl w:val="0"/>
          <w:numId w:val="6"/>
        </w:numPr>
        <w:spacing w:after="120"/>
        <w:ind w:left="567" w:hanging="283"/>
        <w:contextualSpacing w:val="0"/>
        <w:rPr>
          <w:rFonts w:asciiTheme="majorHAnsi" w:hAnsiTheme="majorHAnsi"/>
        </w:rPr>
      </w:pPr>
      <w:r>
        <w:rPr>
          <w:rFonts w:asciiTheme="majorHAnsi" w:hAnsiTheme="majorHAnsi"/>
        </w:rPr>
        <w:t>Komisijas paziņojum</w:t>
      </w:r>
      <w:r w:rsidR="00BC1B46">
        <w:rPr>
          <w:rFonts w:asciiTheme="majorHAnsi" w:hAnsiTheme="majorHAnsi"/>
        </w:rPr>
        <w:t>u</w:t>
      </w:r>
      <w:r>
        <w:rPr>
          <w:rFonts w:asciiTheme="majorHAnsi" w:hAnsiTheme="majorHAnsi"/>
        </w:rPr>
        <w:t xml:space="preserve"> „</w:t>
      </w:r>
      <w:r w:rsidR="00BC1B46" w:rsidRPr="00BC1B46">
        <w:rPr>
          <w:rFonts w:asciiTheme="majorHAnsi" w:hAnsiTheme="majorHAnsi"/>
        </w:rPr>
        <w:t>Klimata un enerģētikas politi</w:t>
      </w:r>
      <w:r w:rsidR="00151AD0">
        <w:rPr>
          <w:rFonts w:asciiTheme="majorHAnsi" w:hAnsiTheme="majorHAnsi"/>
        </w:rPr>
        <w:t>kas ie</w:t>
      </w:r>
      <w:r w:rsidR="00BC1B46">
        <w:rPr>
          <w:rFonts w:asciiTheme="majorHAnsi" w:hAnsiTheme="majorHAnsi"/>
        </w:rPr>
        <w:t>tvars laikposmam no 2020.gada līdz 2030.</w:t>
      </w:r>
      <w:r w:rsidR="00BC1B46" w:rsidRPr="00BC1B46">
        <w:rPr>
          <w:rFonts w:asciiTheme="majorHAnsi" w:hAnsiTheme="majorHAnsi"/>
        </w:rPr>
        <w:t>gadam</w:t>
      </w:r>
      <w:r w:rsidR="00BC1B46">
        <w:rPr>
          <w:rFonts w:asciiTheme="majorHAnsi" w:hAnsiTheme="majorHAnsi"/>
        </w:rPr>
        <w:t>”;</w:t>
      </w:r>
    </w:p>
    <w:p w:rsidR="00BC1B46" w:rsidRPr="00AC7E0D" w:rsidRDefault="00BC1B46" w:rsidP="00E27BBB">
      <w:pPr>
        <w:pStyle w:val="ListParagraph"/>
        <w:numPr>
          <w:ilvl w:val="0"/>
          <w:numId w:val="6"/>
        </w:numPr>
        <w:spacing w:after="120"/>
        <w:ind w:left="567" w:hanging="283"/>
        <w:contextualSpacing w:val="0"/>
        <w:rPr>
          <w:rFonts w:asciiTheme="majorHAnsi" w:hAnsiTheme="majorHAnsi"/>
        </w:rPr>
      </w:pPr>
      <w:r>
        <w:rPr>
          <w:rFonts w:asciiTheme="majorHAnsi" w:hAnsiTheme="majorHAnsi"/>
        </w:rPr>
        <w:t xml:space="preserve">Notiekošajām sarunām par </w:t>
      </w:r>
      <w:r w:rsidRPr="00BC1B46">
        <w:rPr>
          <w:rFonts w:asciiTheme="majorHAnsi" w:hAnsiTheme="majorHAnsi"/>
        </w:rPr>
        <w:t>Transatlantiskās tirdzniecības un investīc</w:t>
      </w:r>
      <w:r>
        <w:rPr>
          <w:rFonts w:asciiTheme="majorHAnsi" w:hAnsiTheme="majorHAnsi"/>
        </w:rPr>
        <w:t>iju partnerības (TTIP) nolīgumu.</w:t>
      </w:r>
    </w:p>
    <w:p w:rsidR="00F878AD" w:rsidRDefault="00BC1B46" w:rsidP="00E27BBB">
      <w:pPr>
        <w:spacing w:after="120"/>
        <w:rPr>
          <w:rFonts w:asciiTheme="majorHAnsi" w:hAnsiTheme="majorHAnsi"/>
        </w:rPr>
      </w:pPr>
      <w:r>
        <w:rPr>
          <w:rFonts w:asciiTheme="majorHAnsi" w:hAnsiTheme="majorHAnsi"/>
        </w:rPr>
        <w:t xml:space="preserve">Šie abi jautājumi ir saistīti ar dažādiem </w:t>
      </w:r>
      <w:r w:rsidR="00695CC4">
        <w:rPr>
          <w:rFonts w:asciiTheme="majorHAnsi" w:hAnsiTheme="majorHAnsi"/>
        </w:rPr>
        <w:t xml:space="preserve">iespējamiem </w:t>
      </w:r>
      <w:r>
        <w:rPr>
          <w:rFonts w:asciiTheme="majorHAnsi" w:hAnsiTheme="majorHAnsi"/>
        </w:rPr>
        <w:t>ES dalībvalstu rūpniecības konkurētspējas apdraudējumiem.</w:t>
      </w:r>
    </w:p>
    <w:p w:rsidR="00BC1B46" w:rsidRDefault="00BC1B46" w:rsidP="00E27BBB">
      <w:pPr>
        <w:spacing w:after="120"/>
        <w:rPr>
          <w:rFonts w:asciiTheme="majorHAnsi" w:hAnsiTheme="majorHAnsi"/>
        </w:rPr>
      </w:pPr>
      <w:r>
        <w:rPr>
          <w:rFonts w:asciiTheme="majorHAnsi" w:hAnsiTheme="majorHAnsi"/>
        </w:rPr>
        <w:t>Lai nodrošinātu visaptverošu šādu politiku ietekmes uz ražošanas procesiem novērtēšanu, ir svarīgi ņemt vērā šādus aspektus:</w:t>
      </w:r>
    </w:p>
    <w:p w:rsidR="000A7CE2" w:rsidRDefault="000A7CE2" w:rsidP="00E27BBB">
      <w:pPr>
        <w:pStyle w:val="ListParagraph"/>
        <w:numPr>
          <w:ilvl w:val="0"/>
          <w:numId w:val="7"/>
        </w:numPr>
        <w:spacing w:after="120"/>
        <w:ind w:left="567" w:hanging="283"/>
        <w:contextualSpacing w:val="0"/>
        <w:rPr>
          <w:rFonts w:asciiTheme="majorHAnsi" w:hAnsiTheme="majorHAnsi"/>
        </w:rPr>
      </w:pPr>
      <w:r>
        <w:rPr>
          <w:rFonts w:asciiTheme="majorHAnsi" w:hAnsiTheme="majorHAnsi"/>
        </w:rPr>
        <w:t>Esošo</w:t>
      </w:r>
      <w:r w:rsidRPr="000A7CE2">
        <w:rPr>
          <w:rFonts w:asciiTheme="majorHAnsi" w:hAnsiTheme="majorHAnsi"/>
        </w:rPr>
        <w:t xml:space="preserve"> </w:t>
      </w:r>
      <w:r>
        <w:rPr>
          <w:rFonts w:asciiTheme="majorHAnsi" w:hAnsiTheme="majorHAnsi"/>
        </w:rPr>
        <w:t>konkurētspējas</w:t>
      </w:r>
      <w:r w:rsidRPr="000A7CE2">
        <w:rPr>
          <w:rFonts w:asciiTheme="majorHAnsi" w:hAnsiTheme="majorHAnsi"/>
        </w:rPr>
        <w:t xml:space="preserve"> </w:t>
      </w:r>
      <w:r>
        <w:rPr>
          <w:rFonts w:asciiTheme="majorHAnsi" w:hAnsiTheme="majorHAnsi"/>
        </w:rPr>
        <w:t>uzraudzības</w:t>
      </w:r>
      <w:r w:rsidRPr="000A7CE2">
        <w:rPr>
          <w:rFonts w:asciiTheme="majorHAnsi" w:hAnsiTheme="majorHAnsi"/>
        </w:rPr>
        <w:t xml:space="preserve"> </w:t>
      </w:r>
      <w:r>
        <w:rPr>
          <w:rFonts w:asciiTheme="majorHAnsi" w:hAnsiTheme="majorHAnsi"/>
        </w:rPr>
        <w:t>instrumentu racionalizēšana</w:t>
      </w:r>
      <w:r w:rsidRPr="000A7CE2">
        <w:rPr>
          <w:rFonts w:asciiTheme="majorHAnsi" w:hAnsiTheme="majorHAnsi"/>
        </w:rPr>
        <w:t xml:space="preserve"> </w:t>
      </w:r>
      <w:r>
        <w:rPr>
          <w:rFonts w:asciiTheme="majorHAnsi" w:hAnsiTheme="majorHAnsi"/>
        </w:rPr>
        <w:t>(Z</w:t>
      </w:r>
      <w:r w:rsidRPr="000A7CE2">
        <w:rPr>
          <w:rFonts w:asciiTheme="majorHAnsi" w:hAnsiTheme="majorHAnsi"/>
        </w:rPr>
        <w:t xml:space="preserve">iņojums </w:t>
      </w:r>
      <w:r>
        <w:rPr>
          <w:rFonts w:asciiTheme="majorHAnsi" w:hAnsiTheme="majorHAnsi"/>
        </w:rPr>
        <w:t>par dalībvalstu konkurētspēju, R</w:t>
      </w:r>
      <w:r w:rsidRPr="000A7CE2">
        <w:rPr>
          <w:rFonts w:asciiTheme="majorHAnsi" w:hAnsiTheme="majorHAnsi"/>
        </w:rPr>
        <w:t xml:space="preserve">ūpniecības rezultātu tablo, </w:t>
      </w:r>
      <w:r>
        <w:rPr>
          <w:rFonts w:asciiTheme="majorHAnsi" w:hAnsiTheme="majorHAnsi"/>
        </w:rPr>
        <w:t>Starpnozaru pētījumi</w:t>
      </w:r>
      <w:r w:rsidRPr="000A7CE2">
        <w:rPr>
          <w:rFonts w:asciiTheme="majorHAnsi" w:hAnsiTheme="majorHAnsi"/>
        </w:rPr>
        <w:t>);</w:t>
      </w:r>
    </w:p>
    <w:p w:rsidR="000A7CE2" w:rsidRDefault="000A7CE2" w:rsidP="00E27BBB">
      <w:pPr>
        <w:pStyle w:val="ListParagraph"/>
        <w:numPr>
          <w:ilvl w:val="0"/>
          <w:numId w:val="7"/>
        </w:numPr>
        <w:spacing w:after="120"/>
        <w:ind w:left="567" w:hanging="283"/>
        <w:contextualSpacing w:val="0"/>
        <w:rPr>
          <w:rFonts w:asciiTheme="majorHAnsi" w:hAnsiTheme="majorHAnsi"/>
        </w:rPr>
      </w:pPr>
      <w:r>
        <w:rPr>
          <w:rFonts w:asciiTheme="majorHAnsi" w:hAnsiTheme="majorHAnsi"/>
        </w:rPr>
        <w:t>Skaidrāka tiesiskā ietvara</w:t>
      </w:r>
      <w:r w:rsidRPr="000A7CE2">
        <w:rPr>
          <w:rFonts w:asciiTheme="majorHAnsi" w:hAnsiTheme="majorHAnsi"/>
        </w:rPr>
        <w:t xml:space="preserve"> </w:t>
      </w:r>
      <w:r>
        <w:rPr>
          <w:rFonts w:asciiTheme="majorHAnsi" w:hAnsiTheme="majorHAnsi"/>
        </w:rPr>
        <w:t>nodrošināšana</w:t>
      </w:r>
      <w:r w:rsidRPr="000A7CE2">
        <w:rPr>
          <w:rFonts w:asciiTheme="majorHAnsi" w:hAnsiTheme="majorHAnsi"/>
        </w:rPr>
        <w:t xml:space="preserve"> </w:t>
      </w:r>
      <w:r>
        <w:rPr>
          <w:rFonts w:asciiTheme="majorHAnsi" w:hAnsiTheme="majorHAnsi"/>
        </w:rPr>
        <w:t xml:space="preserve">EK </w:t>
      </w:r>
      <w:r w:rsidRPr="000A7CE2">
        <w:rPr>
          <w:rFonts w:asciiTheme="majorHAnsi" w:hAnsiTheme="majorHAnsi"/>
        </w:rPr>
        <w:t>ietekmes an</w:t>
      </w:r>
      <w:r>
        <w:rPr>
          <w:rFonts w:asciiTheme="majorHAnsi" w:hAnsiTheme="majorHAnsi"/>
        </w:rPr>
        <w:t>alīzes dokumentiem;</w:t>
      </w:r>
    </w:p>
    <w:p w:rsidR="000F0497" w:rsidRDefault="000A7CE2" w:rsidP="00E27BBB">
      <w:pPr>
        <w:pStyle w:val="ListParagraph"/>
        <w:numPr>
          <w:ilvl w:val="0"/>
          <w:numId w:val="7"/>
        </w:numPr>
        <w:spacing w:after="120"/>
        <w:ind w:left="567" w:hanging="283"/>
        <w:contextualSpacing w:val="0"/>
        <w:rPr>
          <w:rFonts w:asciiTheme="majorHAnsi" w:hAnsiTheme="majorHAnsi"/>
        </w:rPr>
      </w:pPr>
      <w:r>
        <w:rPr>
          <w:rFonts w:asciiTheme="majorHAnsi" w:hAnsiTheme="majorHAnsi"/>
        </w:rPr>
        <w:t>Metodoloģijas</w:t>
      </w:r>
      <w:r w:rsidR="000F0497" w:rsidRPr="000F0497">
        <w:rPr>
          <w:rFonts w:asciiTheme="majorHAnsi" w:hAnsiTheme="majorHAnsi"/>
        </w:rPr>
        <w:t xml:space="preserve"> </w:t>
      </w:r>
      <w:r w:rsidR="000F0497">
        <w:rPr>
          <w:rFonts w:asciiTheme="majorHAnsi" w:hAnsiTheme="majorHAnsi"/>
        </w:rPr>
        <w:t>precizēšana</w:t>
      </w:r>
      <w:r>
        <w:rPr>
          <w:rFonts w:asciiTheme="majorHAnsi" w:hAnsiTheme="majorHAnsi"/>
        </w:rPr>
        <w:t>, kas</w:t>
      </w:r>
      <w:r w:rsidRPr="000A7CE2">
        <w:rPr>
          <w:rFonts w:asciiTheme="majorHAnsi" w:hAnsiTheme="majorHAnsi"/>
        </w:rPr>
        <w:t xml:space="preserve"> jāpiemēro katra</w:t>
      </w:r>
      <w:r>
        <w:rPr>
          <w:rFonts w:asciiTheme="majorHAnsi" w:hAnsiTheme="majorHAnsi"/>
        </w:rPr>
        <w:t>m likumdošanas iniciatīvas veidam</w:t>
      </w:r>
      <w:r w:rsidRPr="000A7CE2">
        <w:rPr>
          <w:rFonts w:asciiTheme="majorHAnsi" w:hAnsiTheme="majorHAnsi"/>
        </w:rPr>
        <w:t xml:space="preserve">, un jo īpaši </w:t>
      </w:r>
      <w:r>
        <w:rPr>
          <w:rFonts w:asciiTheme="majorHAnsi" w:hAnsiTheme="majorHAnsi"/>
        </w:rPr>
        <w:t>– izmaksu-ieguvumu analīzes loma</w:t>
      </w:r>
      <w:r w:rsidRPr="000A7CE2">
        <w:rPr>
          <w:rFonts w:asciiTheme="majorHAnsi" w:hAnsiTheme="majorHAnsi"/>
        </w:rPr>
        <w:t>;</w:t>
      </w:r>
    </w:p>
    <w:p w:rsidR="000F0497" w:rsidRDefault="000F0497" w:rsidP="00E27BBB">
      <w:pPr>
        <w:pStyle w:val="ListParagraph"/>
        <w:numPr>
          <w:ilvl w:val="0"/>
          <w:numId w:val="7"/>
        </w:numPr>
        <w:spacing w:after="120"/>
        <w:ind w:left="567" w:hanging="283"/>
        <w:contextualSpacing w:val="0"/>
        <w:rPr>
          <w:rFonts w:asciiTheme="majorHAnsi" w:hAnsiTheme="majorHAnsi"/>
        </w:rPr>
      </w:pPr>
      <w:r>
        <w:rPr>
          <w:rFonts w:asciiTheme="majorHAnsi" w:hAnsiTheme="majorHAnsi"/>
        </w:rPr>
        <w:t xml:space="preserve">Pamatnostādņu publicēšana par </w:t>
      </w:r>
      <w:proofErr w:type="spellStart"/>
      <w:r w:rsidRPr="00D9530F">
        <w:rPr>
          <w:rFonts w:asciiTheme="majorHAnsi" w:hAnsiTheme="majorHAnsi"/>
          <w:i/>
        </w:rPr>
        <w:t>ex-post</w:t>
      </w:r>
      <w:proofErr w:type="spellEnd"/>
      <w:r>
        <w:rPr>
          <w:rFonts w:asciiTheme="majorHAnsi" w:hAnsiTheme="majorHAnsi"/>
        </w:rPr>
        <w:t xml:space="preserve"> novērtējumu attiecībā uz politiku un ES likumdošanas kumulatīvo ietekmi;</w:t>
      </w:r>
    </w:p>
    <w:p w:rsidR="000F0497" w:rsidRDefault="000F0497" w:rsidP="00E27BBB">
      <w:pPr>
        <w:pStyle w:val="ListParagraph"/>
        <w:numPr>
          <w:ilvl w:val="0"/>
          <w:numId w:val="7"/>
        </w:numPr>
        <w:spacing w:after="120"/>
        <w:ind w:left="567" w:hanging="283"/>
        <w:contextualSpacing w:val="0"/>
        <w:rPr>
          <w:rFonts w:asciiTheme="majorHAnsi" w:hAnsiTheme="majorHAnsi"/>
        </w:rPr>
      </w:pPr>
      <w:r>
        <w:rPr>
          <w:rFonts w:asciiTheme="majorHAnsi" w:hAnsiTheme="majorHAnsi"/>
        </w:rPr>
        <w:t>Iespējas i</w:t>
      </w:r>
      <w:r w:rsidRPr="000F0497">
        <w:rPr>
          <w:rFonts w:asciiTheme="majorHAnsi" w:hAnsiTheme="majorHAnsi"/>
        </w:rPr>
        <w:t>zvērt</w:t>
      </w:r>
      <w:r>
        <w:rPr>
          <w:rFonts w:asciiTheme="majorHAnsi" w:hAnsiTheme="majorHAnsi"/>
        </w:rPr>
        <w:t>ēšana</w:t>
      </w:r>
      <w:r w:rsidRPr="000F0497">
        <w:rPr>
          <w:rFonts w:asciiTheme="majorHAnsi" w:hAnsiTheme="majorHAnsi"/>
        </w:rPr>
        <w:t xml:space="preserve"> </w:t>
      </w:r>
      <w:r>
        <w:rPr>
          <w:rFonts w:asciiTheme="majorHAnsi" w:hAnsiTheme="majorHAnsi"/>
        </w:rPr>
        <w:t>veikt kumulatīvo un netiešo ietekmes novērtējumu par vairāku likumdošanas iniciatīvu ietekmi uz konkrētu nozari.</w:t>
      </w:r>
    </w:p>
    <w:p w:rsidR="000F0497" w:rsidRDefault="000F0497" w:rsidP="00E27BBB">
      <w:pPr>
        <w:spacing w:after="120"/>
        <w:rPr>
          <w:rFonts w:asciiTheme="majorHAnsi" w:hAnsiTheme="majorHAnsi"/>
        </w:rPr>
      </w:pPr>
      <w:r>
        <w:rPr>
          <w:rFonts w:asciiTheme="majorHAnsi" w:hAnsiTheme="majorHAnsi"/>
        </w:rPr>
        <w:t>Prezidentūras izplatītie diskusiju jautājumi</w:t>
      </w:r>
      <w:r w:rsidR="00AC56E3">
        <w:rPr>
          <w:rFonts w:asciiTheme="majorHAnsi" w:hAnsiTheme="majorHAnsi"/>
        </w:rPr>
        <w:t xml:space="preserve"> ministru diskusijas strukturēšanai</w:t>
      </w:r>
      <w:r>
        <w:rPr>
          <w:rFonts w:asciiTheme="majorHAnsi" w:hAnsiTheme="majorHAnsi"/>
        </w:rPr>
        <w:t>:</w:t>
      </w:r>
    </w:p>
    <w:p w:rsidR="00FB6024" w:rsidRDefault="00FD2B85" w:rsidP="00E27BBB">
      <w:pPr>
        <w:pStyle w:val="ListParagraph"/>
        <w:numPr>
          <w:ilvl w:val="0"/>
          <w:numId w:val="8"/>
        </w:numPr>
        <w:spacing w:after="120"/>
        <w:ind w:left="567" w:hanging="283"/>
        <w:contextualSpacing w:val="0"/>
        <w:rPr>
          <w:rFonts w:asciiTheme="majorHAnsi" w:hAnsiTheme="majorHAnsi"/>
        </w:rPr>
      </w:pPr>
      <w:r w:rsidRPr="00FD2B85">
        <w:rPr>
          <w:rFonts w:asciiTheme="majorHAnsi" w:hAnsiTheme="majorHAnsi"/>
        </w:rPr>
        <w:t>Cik noderīga un pielietojama ir nozaru pieeja integrēšanas proces</w:t>
      </w:r>
      <w:r w:rsidR="00367829">
        <w:rPr>
          <w:rFonts w:asciiTheme="majorHAnsi" w:hAnsiTheme="majorHAnsi"/>
        </w:rPr>
        <w:t>ā?</w:t>
      </w:r>
    </w:p>
    <w:p w:rsidR="000A3D61" w:rsidRPr="00FB6024" w:rsidRDefault="00FD2B85" w:rsidP="00E27BBB">
      <w:pPr>
        <w:pStyle w:val="ListParagraph"/>
        <w:spacing w:after="120"/>
        <w:ind w:left="567"/>
        <w:contextualSpacing w:val="0"/>
        <w:rPr>
          <w:rFonts w:asciiTheme="majorHAnsi" w:hAnsiTheme="majorHAnsi"/>
        </w:rPr>
      </w:pPr>
      <w:proofErr w:type="spellStart"/>
      <w:r w:rsidRPr="00FB6024">
        <w:rPr>
          <w:rFonts w:asciiTheme="majorHAnsi" w:hAnsiTheme="majorHAnsi"/>
          <w:i/>
        </w:rPr>
        <w:t>How</w:t>
      </w:r>
      <w:proofErr w:type="spellEnd"/>
      <w:r w:rsidRPr="00FB6024">
        <w:rPr>
          <w:rFonts w:asciiTheme="majorHAnsi" w:hAnsiTheme="majorHAnsi"/>
          <w:i/>
        </w:rPr>
        <w:t xml:space="preserve"> </w:t>
      </w:r>
      <w:proofErr w:type="spellStart"/>
      <w:r w:rsidRPr="00FB6024">
        <w:rPr>
          <w:rFonts w:asciiTheme="majorHAnsi" w:hAnsiTheme="majorHAnsi"/>
          <w:i/>
        </w:rPr>
        <w:t>useful</w:t>
      </w:r>
      <w:proofErr w:type="spellEnd"/>
      <w:r w:rsidRPr="00FB6024">
        <w:rPr>
          <w:rFonts w:asciiTheme="majorHAnsi" w:hAnsiTheme="majorHAnsi"/>
          <w:i/>
        </w:rPr>
        <w:t xml:space="preserve"> </w:t>
      </w:r>
      <w:proofErr w:type="spellStart"/>
      <w:r w:rsidRPr="00FB6024">
        <w:rPr>
          <w:rFonts w:asciiTheme="majorHAnsi" w:hAnsiTheme="majorHAnsi"/>
          <w:i/>
        </w:rPr>
        <w:t>and</w:t>
      </w:r>
      <w:proofErr w:type="spellEnd"/>
      <w:r w:rsidRPr="00FB6024">
        <w:rPr>
          <w:rFonts w:asciiTheme="majorHAnsi" w:hAnsiTheme="majorHAnsi"/>
          <w:i/>
        </w:rPr>
        <w:t xml:space="preserve"> </w:t>
      </w:r>
      <w:proofErr w:type="spellStart"/>
      <w:r w:rsidRPr="00FB6024">
        <w:rPr>
          <w:rFonts w:asciiTheme="majorHAnsi" w:hAnsiTheme="majorHAnsi"/>
          <w:i/>
        </w:rPr>
        <w:t>shareable</w:t>
      </w:r>
      <w:proofErr w:type="spellEnd"/>
      <w:r w:rsidRPr="00FB6024">
        <w:rPr>
          <w:rFonts w:asciiTheme="majorHAnsi" w:hAnsiTheme="majorHAnsi"/>
          <w:i/>
        </w:rPr>
        <w:t xml:space="preserve"> </w:t>
      </w:r>
      <w:proofErr w:type="spellStart"/>
      <w:r w:rsidRPr="00FB6024">
        <w:rPr>
          <w:rFonts w:asciiTheme="majorHAnsi" w:hAnsiTheme="majorHAnsi"/>
          <w:i/>
        </w:rPr>
        <w:t>is</w:t>
      </w:r>
      <w:proofErr w:type="spellEnd"/>
      <w:r w:rsidRPr="00FB6024">
        <w:rPr>
          <w:rFonts w:asciiTheme="majorHAnsi" w:hAnsiTheme="majorHAnsi"/>
          <w:i/>
        </w:rPr>
        <w:t xml:space="preserve"> a </w:t>
      </w:r>
      <w:proofErr w:type="spellStart"/>
      <w:r w:rsidRPr="00FB6024">
        <w:rPr>
          <w:rFonts w:asciiTheme="majorHAnsi" w:hAnsiTheme="majorHAnsi"/>
          <w:i/>
        </w:rPr>
        <w:t>sectorial</w:t>
      </w:r>
      <w:proofErr w:type="spellEnd"/>
      <w:r w:rsidRPr="00FB6024">
        <w:rPr>
          <w:rFonts w:asciiTheme="majorHAnsi" w:hAnsiTheme="majorHAnsi"/>
          <w:i/>
        </w:rPr>
        <w:t xml:space="preserve"> </w:t>
      </w:r>
      <w:proofErr w:type="spellStart"/>
      <w:r w:rsidRPr="00FB6024">
        <w:rPr>
          <w:rFonts w:asciiTheme="majorHAnsi" w:hAnsiTheme="majorHAnsi"/>
          <w:i/>
        </w:rPr>
        <w:t>approach</w:t>
      </w:r>
      <w:proofErr w:type="spellEnd"/>
      <w:r w:rsidRPr="00FB6024">
        <w:rPr>
          <w:rFonts w:asciiTheme="majorHAnsi" w:hAnsiTheme="majorHAnsi"/>
          <w:i/>
        </w:rPr>
        <w:t xml:space="preserve"> to </w:t>
      </w:r>
      <w:proofErr w:type="spellStart"/>
      <w:r w:rsidRPr="00FB6024">
        <w:rPr>
          <w:rFonts w:asciiTheme="majorHAnsi" w:hAnsiTheme="majorHAnsi"/>
          <w:i/>
        </w:rPr>
        <w:t>mainstreaming</w:t>
      </w:r>
      <w:proofErr w:type="spellEnd"/>
      <w:r w:rsidRPr="00FB6024">
        <w:rPr>
          <w:rFonts w:asciiTheme="majorHAnsi" w:hAnsiTheme="majorHAnsi"/>
          <w:i/>
        </w:rPr>
        <w:t>?</w:t>
      </w:r>
    </w:p>
    <w:p w:rsidR="00FB6024" w:rsidRDefault="00FD2B85" w:rsidP="00E27BBB">
      <w:pPr>
        <w:pStyle w:val="ListParagraph"/>
        <w:numPr>
          <w:ilvl w:val="0"/>
          <w:numId w:val="8"/>
        </w:numPr>
        <w:spacing w:after="120"/>
        <w:ind w:left="567" w:hanging="283"/>
        <w:contextualSpacing w:val="0"/>
        <w:rPr>
          <w:rFonts w:asciiTheme="majorHAnsi" w:hAnsiTheme="majorHAnsi"/>
        </w:rPr>
      </w:pPr>
      <w:r w:rsidRPr="000A3D61">
        <w:rPr>
          <w:rFonts w:asciiTheme="majorHAnsi" w:hAnsiTheme="majorHAnsi"/>
        </w:rPr>
        <w:t>K</w:t>
      </w:r>
      <w:r w:rsidR="000A3D61" w:rsidRPr="000A3D61">
        <w:rPr>
          <w:rFonts w:asciiTheme="majorHAnsi" w:hAnsiTheme="majorHAnsi"/>
        </w:rPr>
        <w:t xml:space="preserve">āds ir virziens (un saistītā ES likumdošana), kurā fokusēt </w:t>
      </w:r>
      <w:r w:rsidRPr="000A3D61">
        <w:rPr>
          <w:rFonts w:asciiTheme="majorHAnsi" w:hAnsiTheme="majorHAnsi"/>
        </w:rPr>
        <w:t>konkurētspējas pārbau</w:t>
      </w:r>
      <w:r w:rsidR="000A3D61" w:rsidRPr="000A3D61">
        <w:rPr>
          <w:rFonts w:asciiTheme="majorHAnsi" w:hAnsiTheme="majorHAnsi"/>
        </w:rPr>
        <w:t>des</w:t>
      </w:r>
      <w:r w:rsidR="00367829">
        <w:rPr>
          <w:rFonts w:asciiTheme="majorHAnsi" w:hAnsiTheme="majorHAnsi"/>
        </w:rPr>
        <w:t>?</w:t>
      </w:r>
    </w:p>
    <w:p w:rsidR="00367829" w:rsidRPr="00FB6024" w:rsidRDefault="000A3D61" w:rsidP="00E27BBB">
      <w:pPr>
        <w:pStyle w:val="ListParagraph"/>
        <w:spacing w:after="120"/>
        <w:ind w:left="567"/>
        <w:contextualSpacing w:val="0"/>
        <w:rPr>
          <w:rFonts w:asciiTheme="majorHAnsi" w:hAnsiTheme="majorHAnsi"/>
        </w:rPr>
      </w:pPr>
      <w:proofErr w:type="spellStart"/>
      <w:r w:rsidRPr="00FB6024">
        <w:rPr>
          <w:rFonts w:asciiTheme="majorHAnsi" w:hAnsiTheme="majorHAnsi"/>
          <w:i/>
        </w:rPr>
        <w:t>What</w:t>
      </w:r>
      <w:proofErr w:type="spellEnd"/>
      <w:r w:rsidRPr="00FB6024">
        <w:rPr>
          <w:rFonts w:asciiTheme="majorHAnsi" w:hAnsiTheme="majorHAnsi"/>
          <w:i/>
        </w:rPr>
        <w:t xml:space="preserve"> </w:t>
      </w:r>
      <w:proofErr w:type="spellStart"/>
      <w:r w:rsidRPr="00FB6024">
        <w:rPr>
          <w:rFonts w:asciiTheme="majorHAnsi" w:hAnsiTheme="majorHAnsi"/>
          <w:i/>
        </w:rPr>
        <w:t>is</w:t>
      </w:r>
      <w:proofErr w:type="spellEnd"/>
      <w:r w:rsidRPr="00FB6024">
        <w:rPr>
          <w:rFonts w:asciiTheme="majorHAnsi" w:hAnsiTheme="majorHAnsi"/>
          <w:i/>
        </w:rPr>
        <w:t xml:space="preserve"> the </w:t>
      </w:r>
      <w:proofErr w:type="spellStart"/>
      <w:r w:rsidRPr="00FB6024">
        <w:rPr>
          <w:rFonts w:asciiTheme="majorHAnsi" w:hAnsiTheme="majorHAnsi"/>
          <w:i/>
        </w:rPr>
        <w:t>scope</w:t>
      </w:r>
      <w:proofErr w:type="spellEnd"/>
      <w:r w:rsidRPr="00FB6024">
        <w:rPr>
          <w:rFonts w:asciiTheme="majorHAnsi" w:hAnsiTheme="majorHAnsi"/>
          <w:i/>
        </w:rPr>
        <w:t xml:space="preserve"> (</w:t>
      </w:r>
      <w:proofErr w:type="spellStart"/>
      <w:r w:rsidRPr="00FB6024">
        <w:rPr>
          <w:rFonts w:asciiTheme="majorHAnsi" w:hAnsiTheme="majorHAnsi"/>
          <w:i/>
        </w:rPr>
        <w:t>and</w:t>
      </w:r>
      <w:proofErr w:type="spellEnd"/>
      <w:r w:rsidRPr="00FB6024">
        <w:rPr>
          <w:rFonts w:asciiTheme="majorHAnsi" w:hAnsiTheme="majorHAnsi"/>
          <w:i/>
        </w:rPr>
        <w:t xml:space="preserve"> the </w:t>
      </w:r>
      <w:proofErr w:type="spellStart"/>
      <w:r w:rsidRPr="00FB6024">
        <w:rPr>
          <w:rFonts w:asciiTheme="majorHAnsi" w:hAnsiTheme="majorHAnsi"/>
          <w:i/>
        </w:rPr>
        <w:t>related</w:t>
      </w:r>
      <w:proofErr w:type="spellEnd"/>
      <w:r w:rsidRPr="00FB6024">
        <w:rPr>
          <w:rFonts w:asciiTheme="majorHAnsi" w:hAnsiTheme="majorHAnsi"/>
          <w:i/>
        </w:rPr>
        <w:t xml:space="preserve"> </w:t>
      </w:r>
      <w:proofErr w:type="spellStart"/>
      <w:r w:rsidRPr="00FB6024">
        <w:rPr>
          <w:rFonts w:asciiTheme="majorHAnsi" w:hAnsiTheme="majorHAnsi"/>
          <w:i/>
        </w:rPr>
        <w:t>pieces</w:t>
      </w:r>
      <w:proofErr w:type="spellEnd"/>
      <w:r w:rsidRPr="00FB6024">
        <w:rPr>
          <w:rFonts w:asciiTheme="majorHAnsi" w:hAnsiTheme="majorHAnsi"/>
          <w:i/>
        </w:rPr>
        <w:t xml:space="preserve"> of </w:t>
      </w:r>
      <w:proofErr w:type="spellStart"/>
      <w:r w:rsidRPr="00FB6024">
        <w:rPr>
          <w:rFonts w:asciiTheme="majorHAnsi" w:hAnsiTheme="majorHAnsi"/>
          <w:i/>
        </w:rPr>
        <w:t>European</w:t>
      </w:r>
      <w:proofErr w:type="spellEnd"/>
      <w:r w:rsidRPr="00FB6024">
        <w:rPr>
          <w:rFonts w:asciiTheme="majorHAnsi" w:hAnsiTheme="majorHAnsi"/>
          <w:i/>
        </w:rPr>
        <w:t xml:space="preserve"> </w:t>
      </w:r>
      <w:proofErr w:type="spellStart"/>
      <w:r w:rsidRPr="00FB6024">
        <w:rPr>
          <w:rFonts w:asciiTheme="majorHAnsi" w:hAnsiTheme="majorHAnsi"/>
          <w:i/>
        </w:rPr>
        <w:t>legislation</w:t>
      </w:r>
      <w:proofErr w:type="spellEnd"/>
      <w:r w:rsidRPr="00FB6024">
        <w:rPr>
          <w:rFonts w:asciiTheme="majorHAnsi" w:hAnsiTheme="majorHAnsi"/>
          <w:i/>
        </w:rPr>
        <w:t xml:space="preserve">) </w:t>
      </w:r>
      <w:proofErr w:type="spellStart"/>
      <w:r w:rsidRPr="00FB6024">
        <w:rPr>
          <w:rFonts w:asciiTheme="majorHAnsi" w:hAnsiTheme="majorHAnsi"/>
          <w:i/>
        </w:rPr>
        <w:t>on</w:t>
      </w:r>
      <w:proofErr w:type="spellEnd"/>
      <w:r w:rsidRPr="00FB6024">
        <w:rPr>
          <w:rFonts w:asciiTheme="majorHAnsi" w:hAnsiTheme="majorHAnsi"/>
          <w:i/>
        </w:rPr>
        <w:t xml:space="preserve"> </w:t>
      </w:r>
      <w:proofErr w:type="spellStart"/>
      <w:r w:rsidRPr="00FB6024">
        <w:rPr>
          <w:rFonts w:asciiTheme="majorHAnsi" w:hAnsiTheme="majorHAnsi"/>
          <w:i/>
        </w:rPr>
        <w:t>which</w:t>
      </w:r>
      <w:proofErr w:type="spellEnd"/>
      <w:r w:rsidRPr="00FB6024">
        <w:rPr>
          <w:rFonts w:asciiTheme="majorHAnsi" w:hAnsiTheme="majorHAnsi"/>
          <w:i/>
        </w:rPr>
        <w:t xml:space="preserve"> to </w:t>
      </w:r>
      <w:proofErr w:type="spellStart"/>
      <w:r w:rsidRPr="00FB6024">
        <w:rPr>
          <w:rFonts w:asciiTheme="majorHAnsi" w:hAnsiTheme="majorHAnsi"/>
          <w:i/>
        </w:rPr>
        <w:t>focus</w:t>
      </w:r>
      <w:proofErr w:type="spellEnd"/>
      <w:r w:rsidRPr="00FB6024">
        <w:rPr>
          <w:rFonts w:asciiTheme="majorHAnsi" w:hAnsiTheme="majorHAnsi"/>
          <w:i/>
        </w:rPr>
        <w:t xml:space="preserve"> </w:t>
      </w:r>
      <w:proofErr w:type="spellStart"/>
      <w:r w:rsidRPr="00FB6024">
        <w:rPr>
          <w:rFonts w:asciiTheme="majorHAnsi" w:hAnsiTheme="majorHAnsi"/>
          <w:i/>
        </w:rPr>
        <w:t>competitiveness</w:t>
      </w:r>
      <w:proofErr w:type="spellEnd"/>
      <w:r w:rsidRPr="00FB6024">
        <w:rPr>
          <w:rFonts w:asciiTheme="majorHAnsi" w:hAnsiTheme="majorHAnsi"/>
          <w:i/>
        </w:rPr>
        <w:t xml:space="preserve"> </w:t>
      </w:r>
      <w:proofErr w:type="spellStart"/>
      <w:r w:rsidRPr="00FB6024">
        <w:rPr>
          <w:rFonts w:asciiTheme="majorHAnsi" w:hAnsiTheme="majorHAnsi"/>
          <w:i/>
        </w:rPr>
        <w:t>proofing</w:t>
      </w:r>
      <w:proofErr w:type="spellEnd"/>
      <w:r w:rsidRPr="00FB6024">
        <w:rPr>
          <w:rFonts w:asciiTheme="majorHAnsi" w:hAnsiTheme="majorHAnsi"/>
          <w:i/>
        </w:rPr>
        <w:t>?</w:t>
      </w:r>
    </w:p>
    <w:p w:rsidR="00FB6024" w:rsidRDefault="00367829" w:rsidP="00E27BBB">
      <w:pPr>
        <w:pStyle w:val="ListParagraph"/>
        <w:numPr>
          <w:ilvl w:val="0"/>
          <w:numId w:val="8"/>
        </w:numPr>
        <w:spacing w:after="120"/>
        <w:ind w:left="567" w:hanging="283"/>
        <w:contextualSpacing w:val="0"/>
        <w:rPr>
          <w:rFonts w:asciiTheme="majorHAnsi" w:hAnsiTheme="majorHAnsi"/>
        </w:rPr>
      </w:pPr>
      <w:r w:rsidRPr="00367829">
        <w:rPr>
          <w:rFonts w:asciiTheme="majorHAnsi" w:hAnsiTheme="majorHAnsi"/>
        </w:rPr>
        <w:t>Bez iepriekš minētajām nozarēm (autobūve, tērauds, būvniecība, kuģu būve), kādi citi kritēriji / nozares varētu tikt ņemtas vērā?</w:t>
      </w:r>
    </w:p>
    <w:p w:rsidR="00D9530F" w:rsidRPr="00FB6024" w:rsidRDefault="00367829" w:rsidP="0030133D">
      <w:pPr>
        <w:pStyle w:val="ListParagraph"/>
        <w:spacing w:after="120"/>
        <w:ind w:left="567"/>
        <w:contextualSpacing w:val="0"/>
        <w:rPr>
          <w:rFonts w:asciiTheme="majorHAnsi" w:hAnsiTheme="majorHAnsi"/>
        </w:rPr>
      </w:pPr>
      <w:proofErr w:type="spellStart"/>
      <w:r w:rsidRPr="00FB6024">
        <w:rPr>
          <w:rFonts w:asciiTheme="majorHAnsi" w:hAnsiTheme="majorHAnsi"/>
          <w:i/>
        </w:rPr>
        <w:lastRenderedPageBreak/>
        <w:t>Beside</w:t>
      </w:r>
      <w:proofErr w:type="spellEnd"/>
      <w:r w:rsidRPr="00FB6024">
        <w:rPr>
          <w:rFonts w:asciiTheme="majorHAnsi" w:hAnsiTheme="majorHAnsi"/>
          <w:i/>
        </w:rPr>
        <w:t xml:space="preserve"> the </w:t>
      </w:r>
      <w:proofErr w:type="spellStart"/>
      <w:r w:rsidRPr="00FB6024">
        <w:rPr>
          <w:rFonts w:asciiTheme="majorHAnsi" w:hAnsiTheme="majorHAnsi"/>
          <w:i/>
        </w:rPr>
        <w:t>above-mentioned</w:t>
      </w:r>
      <w:proofErr w:type="spellEnd"/>
      <w:r w:rsidRPr="00FB6024">
        <w:rPr>
          <w:rFonts w:asciiTheme="majorHAnsi" w:hAnsiTheme="majorHAnsi"/>
          <w:i/>
        </w:rPr>
        <w:t xml:space="preserve"> </w:t>
      </w:r>
      <w:proofErr w:type="spellStart"/>
      <w:r w:rsidRPr="00FB6024">
        <w:rPr>
          <w:rFonts w:asciiTheme="majorHAnsi" w:hAnsiTheme="majorHAnsi"/>
          <w:i/>
        </w:rPr>
        <w:t>sectors</w:t>
      </w:r>
      <w:proofErr w:type="spellEnd"/>
      <w:r w:rsidRPr="00FB6024">
        <w:rPr>
          <w:rFonts w:asciiTheme="majorHAnsi" w:hAnsiTheme="majorHAnsi"/>
          <w:i/>
        </w:rPr>
        <w:t xml:space="preserve"> (</w:t>
      </w:r>
      <w:proofErr w:type="spellStart"/>
      <w:r w:rsidRPr="00FB6024">
        <w:rPr>
          <w:rFonts w:asciiTheme="majorHAnsi" w:hAnsiTheme="majorHAnsi"/>
          <w:i/>
        </w:rPr>
        <w:t>automotive</w:t>
      </w:r>
      <w:proofErr w:type="spellEnd"/>
      <w:r w:rsidRPr="00FB6024">
        <w:rPr>
          <w:rFonts w:asciiTheme="majorHAnsi" w:hAnsiTheme="majorHAnsi"/>
          <w:i/>
        </w:rPr>
        <w:t xml:space="preserve">, </w:t>
      </w:r>
      <w:proofErr w:type="spellStart"/>
      <w:r w:rsidRPr="00FB6024">
        <w:rPr>
          <w:rFonts w:asciiTheme="majorHAnsi" w:hAnsiTheme="majorHAnsi"/>
          <w:i/>
        </w:rPr>
        <w:t>steel</w:t>
      </w:r>
      <w:proofErr w:type="spellEnd"/>
      <w:r w:rsidRPr="00FB6024">
        <w:rPr>
          <w:rFonts w:asciiTheme="majorHAnsi" w:hAnsiTheme="majorHAnsi"/>
          <w:i/>
        </w:rPr>
        <w:t xml:space="preserve">, </w:t>
      </w:r>
      <w:proofErr w:type="spellStart"/>
      <w:r w:rsidRPr="00FB6024">
        <w:rPr>
          <w:rFonts w:asciiTheme="majorHAnsi" w:hAnsiTheme="majorHAnsi"/>
          <w:i/>
        </w:rPr>
        <w:t>construction</w:t>
      </w:r>
      <w:proofErr w:type="spellEnd"/>
      <w:r w:rsidRPr="00FB6024">
        <w:rPr>
          <w:rFonts w:asciiTheme="majorHAnsi" w:hAnsiTheme="majorHAnsi"/>
          <w:i/>
        </w:rPr>
        <w:t xml:space="preserve">, </w:t>
      </w:r>
      <w:proofErr w:type="spellStart"/>
      <w:r w:rsidRPr="00FB6024">
        <w:rPr>
          <w:rFonts w:asciiTheme="majorHAnsi" w:hAnsiTheme="majorHAnsi"/>
          <w:i/>
        </w:rPr>
        <w:t>shipbuilding</w:t>
      </w:r>
      <w:proofErr w:type="spellEnd"/>
      <w:r w:rsidRPr="00FB6024">
        <w:rPr>
          <w:rFonts w:asciiTheme="majorHAnsi" w:hAnsiTheme="majorHAnsi"/>
          <w:i/>
        </w:rPr>
        <w:t xml:space="preserve">) </w:t>
      </w:r>
      <w:proofErr w:type="spellStart"/>
      <w:r w:rsidRPr="00FB6024">
        <w:rPr>
          <w:rFonts w:asciiTheme="majorHAnsi" w:hAnsiTheme="majorHAnsi"/>
          <w:i/>
        </w:rPr>
        <w:t>what</w:t>
      </w:r>
      <w:proofErr w:type="spellEnd"/>
      <w:r w:rsidRPr="00FB6024">
        <w:rPr>
          <w:rFonts w:asciiTheme="majorHAnsi" w:hAnsiTheme="majorHAnsi"/>
          <w:i/>
        </w:rPr>
        <w:t xml:space="preserve"> </w:t>
      </w:r>
      <w:proofErr w:type="spellStart"/>
      <w:r w:rsidRPr="00FB6024">
        <w:rPr>
          <w:rFonts w:asciiTheme="majorHAnsi" w:hAnsiTheme="majorHAnsi"/>
          <w:i/>
        </w:rPr>
        <w:t>other</w:t>
      </w:r>
      <w:proofErr w:type="spellEnd"/>
      <w:r w:rsidRPr="00FB6024">
        <w:rPr>
          <w:rFonts w:asciiTheme="majorHAnsi" w:hAnsiTheme="majorHAnsi"/>
          <w:i/>
        </w:rPr>
        <w:t xml:space="preserve"> </w:t>
      </w:r>
      <w:proofErr w:type="spellStart"/>
      <w:r w:rsidRPr="00FB6024">
        <w:rPr>
          <w:rFonts w:asciiTheme="majorHAnsi" w:hAnsiTheme="majorHAnsi"/>
          <w:i/>
        </w:rPr>
        <w:t>criteria</w:t>
      </w:r>
      <w:proofErr w:type="spellEnd"/>
      <w:r w:rsidRPr="00FB6024">
        <w:rPr>
          <w:rFonts w:asciiTheme="majorHAnsi" w:hAnsiTheme="majorHAnsi"/>
          <w:i/>
        </w:rPr>
        <w:t>/</w:t>
      </w:r>
      <w:proofErr w:type="spellStart"/>
      <w:r w:rsidRPr="00FB6024">
        <w:rPr>
          <w:rFonts w:asciiTheme="majorHAnsi" w:hAnsiTheme="majorHAnsi"/>
          <w:i/>
        </w:rPr>
        <w:t>sectors</w:t>
      </w:r>
      <w:proofErr w:type="spellEnd"/>
      <w:r w:rsidRPr="00FB6024">
        <w:rPr>
          <w:rFonts w:asciiTheme="majorHAnsi" w:hAnsiTheme="majorHAnsi"/>
          <w:i/>
        </w:rPr>
        <w:t xml:space="preserve"> </w:t>
      </w:r>
      <w:proofErr w:type="spellStart"/>
      <w:r w:rsidRPr="00FB6024">
        <w:rPr>
          <w:rFonts w:asciiTheme="majorHAnsi" w:hAnsiTheme="majorHAnsi"/>
          <w:i/>
        </w:rPr>
        <w:t>can</w:t>
      </w:r>
      <w:proofErr w:type="spellEnd"/>
      <w:r w:rsidRPr="00FB6024">
        <w:rPr>
          <w:rFonts w:asciiTheme="majorHAnsi" w:hAnsiTheme="majorHAnsi"/>
          <w:i/>
        </w:rPr>
        <w:t xml:space="preserve"> </w:t>
      </w:r>
      <w:proofErr w:type="spellStart"/>
      <w:r w:rsidRPr="00FB6024">
        <w:rPr>
          <w:rFonts w:asciiTheme="majorHAnsi" w:hAnsiTheme="majorHAnsi"/>
          <w:i/>
        </w:rPr>
        <w:t>be</w:t>
      </w:r>
      <w:proofErr w:type="spellEnd"/>
      <w:r w:rsidRPr="00FB6024">
        <w:rPr>
          <w:rFonts w:asciiTheme="majorHAnsi" w:hAnsiTheme="majorHAnsi"/>
          <w:i/>
        </w:rPr>
        <w:t xml:space="preserve"> </w:t>
      </w:r>
      <w:proofErr w:type="spellStart"/>
      <w:r w:rsidRPr="00FB6024">
        <w:rPr>
          <w:rFonts w:asciiTheme="majorHAnsi" w:hAnsiTheme="majorHAnsi"/>
          <w:i/>
        </w:rPr>
        <w:t>taken</w:t>
      </w:r>
      <w:proofErr w:type="spellEnd"/>
      <w:r w:rsidRPr="00FB6024">
        <w:rPr>
          <w:rFonts w:asciiTheme="majorHAnsi" w:hAnsiTheme="majorHAnsi"/>
          <w:i/>
        </w:rPr>
        <w:t xml:space="preserve"> </w:t>
      </w:r>
      <w:proofErr w:type="spellStart"/>
      <w:r w:rsidRPr="00FB6024">
        <w:rPr>
          <w:rFonts w:asciiTheme="majorHAnsi" w:hAnsiTheme="majorHAnsi"/>
          <w:i/>
        </w:rPr>
        <w:t>into</w:t>
      </w:r>
      <w:proofErr w:type="spellEnd"/>
      <w:r w:rsidRPr="00FB6024">
        <w:rPr>
          <w:rFonts w:asciiTheme="majorHAnsi" w:hAnsiTheme="majorHAnsi"/>
          <w:i/>
        </w:rPr>
        <w:t xml:space="preserve"> </w:t>
      </w:r>
      <w:proofErr w:type="spellStart"/>
      <w:r w:rsidRPr="00FB6024">
        <w:rPr>
          <w:rFonts w:asciiTheme="majorHAnsi" w:hAnsiTheme="majorHAnsi"/>
          <w:i/>
        </w:rPr>
        <w:t>consideration</w:t>
      </w:r>
      <w:proofErr w:type="spellEnd"/>
      <w:r w:rsidRPr="00FB6024">
        <w:rPr>
          <w:rFonts w:asciiTheme="majorHAnsi" w:hAnsiTheme="majorHAnsi"/>
          <w:i/>
        </w:rPr>
        <w:t>?</w:t>
      </w:r>
    </w:p>
    <w:p w:rsidR="00FB6024" w:rsidRDefault="00D9530F" w:rsidP="0030133D">
      <w:pPr>
        <w:pStyle w:val="ListParagraph"/>
        <w:numPr>
          <w:ilvl w:val="0"/>
          <w:numId w:val="8"/>
        </w:numPr>
        <w:spacing w:after="120"/>
        <w:ind w:left="567" w:hanging="283"/>
        <w:contextualSpacing w:val="0"/>
        <w:rPr>
          <w:rFonts w:asciiTheme="majorHAnsi" w:hAnsiTheme="majorHAnsi"/>
        </w:rPr>
      </w:pPr>
      <w:r w:rsidRPr="00D9530F">
        <w:rPr>
          <w:rFonts w:asciiTheme="majorHAnsi" w:hAnsiTheme="majorHAnsi"/>
        </w:rPr>
        <w:t>Kā konkurētspējas pārbaude var tikt ņemta vērā, pārskatot analizētās politikas?</w:t>
      </w:r>
    </w:p>
    <w:p w:rsidR="00E27BBB" w:rsidRDefault="00D9530F" w:rsidP="0030133D">
      <w:pPr>
        <w:pStyle w:val="ListParagraph"/>
        <w:spacing w:after="120"/>
        <w:ind w:left="567"/>
        <w:contextualSpacing w:val="0"/>
        <w:rPr>
          <w:rFonts w:asciiTheme="majorHAnsi" w:hAnsiTheme="majorHAnsi"/>
          <w:i/>
        </w:rPr>
      </w:pPr>
      <w:proofErr w:type="spellStart"/>
      <w:r w:rsidRPr="00FB6024">
        <w:rPr>
          <w:rFonts w:asciiTheme="majorHAnsi" w:hAnsiTheme="majorHAnsi"/>
          <w:i/>
        </w:rPr>
        <w:t>How</w:t>
      </w:r>
      <w:proofErr w:type="spellEnd"/>
      <w:r w:rsidRPr="00FB6024">
        <w:rPr>
          <w:rFonts w:asciiTheme="majorHAnsi" w:hAnsiTheme="majorHAnsi"/>
          <w:i/>
        </w:rPr>
        <w:t xml:space="preserve"> </w:t>
      </w:r>
      <w:proofErr w:type="spellStart"/>
      <w:r w:rsidRPr="00FB6024">
        <w:rPr>
          <w:rFonts w:asciiTheme="majorHAnsi" w:hAnsiTheme="majorHAnsi"/>
          <w:i/>
        </w:rPr>
        <w:t>can</w:t>
      </w:r>
      <w:proofErr w:type="spellEnd"/>
      <w:r w:rsidRPr="00FB6024">
        <w:rPr>
          <w:rFonts w:asciiTheme="majorHAnsi" w:hAnsiTheme="majorHAnsi"/>
          <w:i/>
        </w:rPr>
        <w:t xml:space="preserve"> </w:t>
      </w:r>
      <w:proofErr w:type="spellStart"/>
      <w:r w:rsidRPr="00FB6024">
        <w:rPr>
          <w:rFonts w:asciiTheme="majorHAnsi" w:hAnsiTheme="majorHAnsi"/>
          <w:i/>
        </w:rPr>
        <w:t>competitiveness</w:t>
      </w:r>
      <w:proofErr w:type="spellEnd"/>
      <w:r w:rsidRPr="00FB6024">
        <w:rPr>
          <w:rFonts w:asciiTheme="majorHAnsi" w:hAnsiTheme="majorHAnsi"/>
          <w:i/>
        </w:rPr>
        <w:t xml:space="preserve"> </w:t>
      </w:r>
      <w:proofErr w:type="spellStart"/>
      <w:r w:rsidRPr="00FB6024">
        <w:rPr>
          <w:rFonts w:asciiTheme="majorHAnsi" w:hAnsiTheme="majorHAnsi"/>
          <w:i/>
        </w:rPr>
        <w:t>proofing</w:t>
      </w:r>
      <w:proofErr w:type="spellEnd"/>
      <w:r w:rsidRPr="00FB6024">
        <w:rPr>
          <w:rFonts w:asciiTheme="majorHAnsi" w:hAnsiTheme="majorHAnsi"/>
          <w:i/>
        </w:rPr>
        <w:t xml:space="preserve"> </w:t>
      </w:r>
      <w:proofErr w:type="spellStart"/>
      <w:r w:rsidRPr="00FB6024">
        <w:rPr>
          <w:rFonts w:asciiTheme="majorHAnsi" w:hAnsiTheme="majorHAnsi"/>
          <w:i/>
        </w:rPr>
        <w:t>be</w:t>
      </w:r>
      <w:proofErr w:type="spellEnd"/>
      <w:r w:rsidRPr="00FB6024">
        <w:rPr>
          <w:rFonts w:asciiTheme="majorHAnsi" w:hAnsiTheme="majorHAnsi"/>
          <w:i/>
        </w:rPr>
        <w:t xml:space="preserve"> </w:t>
      </w:r>
      <w:proofErr w:type="spellStart"/>
      <w:r w:rsidRPr="00FB6024">
        <w:rPr>
          <w:rFonts w:asciiTheme="majorHAnsi" w:hAnsiTheme="majorHAnsi"/>
          <w:i/>
        </w:rPr>
        <w:t>taken</w:t>
      </w:r>
      <w:proofErr w:type="spellEnd"/>
      <w:r w:rsidRPr="00FB6024">
        <w:rPr>
          <w:rFonts w:asciiTheme="majorHAnsi" w:hAnsiTheme="majorHAnsi"/>
          <w:i/>
        </w:rPr>
        <w:t xml:space="preserve"> </w:t>
      </w:r>
      <w:proofErr w:type="spellStart"/>
      <w:r w:rsidRPr="00FB6024">
        <w:rPr>
          <w:rFonts w:asciiTheme="majorHAnsi" w:hAnsiTheme="majorHAnsi"/>
          <w:i/>
        </w:rPr>
        <w:t>into</w:t>
      </w:r>
      <w:proofErr w:type="spellEnd"/>
      <w:r w:rsidRPr="00FB6024">
        <w:rPr>
          <w:rFonts w:asciiTheme="majorHAnsi" w:hAnsiTheme="majorHAnsi"/>
          <w:i/>
        </w:rPr>
        <w:t xml:space="preserve"> </w:t>
      </w:r>
      <w:proofErr w:type="spellStart"/>
      <w:r w:rsidRPr="00FB6024">
        <w:rPr>
          <w:rFonts w:asciiTheme="majorHAnsi" w:hAnsiTheme="majorHAnsi"/>
          <w:i/>
        </w:rPr>
        <w:t>account</w:t>
      </w:r>
      <w:proofErr w:type="spellEnd"/>
      <w:r w:rsidRPr="00FB6024">
        <w:rPr>
          <w:rFonts w:asciiTheme="majorHAnsi" w:hAnsiTheme="majorHAnsi"/>
          <w:i/>
        </w:rPr>
        <w:t xml:space="preserve"> </w:t>
      </w:r>
      <w:proofErr w:type="spellStart"/>
      <w:r w:rsidRPr="00FB6024">
        <w:rPr>
          <w:rFonts w:asciiTheme="majorHAnsi" w:hAnsiTheme="majorHAnsi"/>
          <w:i/>
        </w:rPr>
        <w:t>in</w:t>
      </w:r>
      <w:proofErr w:type="spellEnd"/>
      <w:r w:rsidRPr="00FB6024">
        <w:rPr>
          <w:rFonts w:asciiTheme="majorHAnsi" w:hAnsiTheme="majorHAnsi"/>
          <w:i/>
        </w:rPr>
        <w:t xml:space="preserve"> </w:t>
      </w:r>
      <w:proofErr w:type="spellStart"/>
      <w:r w:rsidRPr="00FB6024">
        <w:rPr>
          <w:rFonts w:asciiTheme="majorHAnsi" w:hAnsiTheme="majorHAnsi"/>
          <w:i/>
        </w:rPr>
        <w:t>reviewing</w:t>
      </w:r>
      <w:proofErr w:type="spellEnd"/>
      <w:r w:rsidRPr="00FB6024">
        <w:rPr>
          <w:rFonts w:asciiTheme="majorHAnsi" w:hAnsiTheme="majorHAnsi"/>
          <w:i/>
        </w:rPr>
        <w:t xml:space="preserve"> the </w:t>
      </w:r>
      <w:proofErr w:type="spellStart"/>
      <w:r w:rsidRPr="00FB6024">
        <w:rPr>
          <w:rFonts w:asciiTheme="majorHAnsi" w:hAnsiTheme="majorHAnsi"/>
          <w:i/>
        </w:rPr>
        <w:t>analyzed</w:t>
      </w:r>
      <w:proofErr w:type="spellEnd"/>
      <w:r w:rsidRPr="00FB6024">
        <w:rPr>
          <w:rFonts w:asciiTheme="majorHAnsi" w:hAnsiTheme="majorHAnsi"/>
          <w:i/>
        </w:rPr>
        <w:t xml:space="preserve"> </w:t>
      </w:r>
      <w:proofErr w:type="spellStart"/>
      <w:r w:rsidRPr="00FB6024">
        <w:rPr>
          <w:rFonts w:asciiTheme="majorHAnsi" w:hAnsiTheme="majorHAnsi"/>
          <w:i/>
        </w:rPr>
        <w:t>policies</w:t>
      </w:r>
      <w:proofErr w:type="spellEnd"/>
      <w:r w:rsidRPr="00FB6024">
        <w:rPr>
          <w:rFonts w:asciiTheme="majorHAnsi" w:hAnsiTheme="majorHAnsi"/>
          <w:i/>
        </w:rPr>
        <w:t>?</w:t>
      </w:r>
    </w:p>
    <w:p w:rsidR="000059F4" w:rsidRPr="00E27BBB" w:rsidRDefault="000059F4" w:rsidP="0030133D">
      <w:pPr>
        <w:spacing w:after="120"/>
        <w:rPr>
          <w:rFonts w:asciiTheme="majorHAnsi" w:hAnsiTheme="majorHAnsi"/>
        </w:rPr>
      </w:pPr>
      <w:r w:rsidRPr="00E27BBB">
        <w:rPr>
          <w:rFonts w:asciiTheme="majorHAnsi" w:hAnsiTheme="majorHAnsi"/>
          <w:b/>
          <w:u w:val="single"/>
        </w:rPr>
        <w:t>Latvijas nostāja:</w:t>
      </w:r>
    </w:p>
    <w:p w:rsidR="002242B8" w:rsidRPr="0030133D" w:rsidRDefault="002242B8" w:rsidP="0030133D">
      <w:pPr>
        <w:pStyle w:val="ListParagraph"/>
        <w:numPr>
          <w:ilvl w:val="0"/>
          <w:numId w:val="13"/>
        </w:numPr>
        <w:spacing w:after="120"/>
        <w:ind w:left="284" w:hanging="284"/>
        <w:contextualSpacing w:val="0"/>
        <w:rPr>
          <w:rFonts w:asciiTheme="majorHAnsi" w:hAnsiTheme="majorHAnsi"/>
          <w:b/>
        </w:rPr>
      </w:pPr>
      <w:r w:rsidRPr="002242B8">
        <w:rPr>
          <w:rFonts w:asciiTheme="majorHAnsi" w:hAnsiTheme="majorHAnsi"/>
          <w:b/>
        </w:rPr>
        <w:t xml:space="preserve">Cik noderīga un pielietojama ir nozaru pieeja integrēšanas </w:t>
      </w:r>
      <w:r w:rsidR="004843D3" w:rsidRPr="004843D3">
        <w:rPr>
          <w:rFonts w:asciiTheme="majorHAnsi" w:hAnsiTheme="majorHAnsi"/>
          <w:b/>
          <w:i/>
        </w:rPr>
        <w:t>(</w:t>
      </w:r>
      <w:proofErr w:type="spellStart"/>
      <w:r w:rsidR="004843D3" w:rsidRPr="004843D3">
        <w:rPr>
          <w:rFonts w:asciiTheme="majorHAnsi" w:hAnsiTheme="majorHAnsi"/>
          <w:b/>
          <w:i/>
        </w:rPr>
        <w:t>mainstreaming</w:t>
      </w:r>
      <w:proofErr w:type="spellEnd"/>
      <w:r w:rsidR="004843D3" w:rsidRPr="004843D3">
        <w:rPr>
          <w:rFonts w:asciiTheme="majorHAnsi" w:hAnsiTheme="majorHAnsi"/>
          <w:b/>
          <w:i/>
        </w:rPr>
        <w:t>)</w:t>
      </w:r>
      <w:r w:rsidR="004843D3">
        <w:rPr>
          <w:rFonts w:asciiTheme="majorHAnsi" w:hAnsiTheme="majorHAnsi"/>
          <w:b/>
        </w:rPr>
        <w:t xml:space="preserve"> </w:t>
      </w:r>
      <w:r w:rsidRPr="002242B8">
        <w:rPr>
          <w:rFonts w:asciiTheme="majorHAnsi" w:hAnsiTheme="majorHAnsi"/>
          <w:b/>
        </w:rPr>
        <w:t>procesā?</w:t>
      </w:r>
    </w:p>
    <w:p w:rsidR="001C1CD2" w:rsidRDefault="002242B8" w:rsidP="0030133D">
      <w:pPr>
        <w:pStyle w:val="ListParagraph"/>
        <w:spacing w:after="120"/>
        <w:ind w:left="0"/>
        <w:contextualSpacing w:val="0"/>
        <w:rPr>
          <w:rFonts w:asciiTheme="majorHAnsi" w:hAnsiTheme="majorHAnsi"/>
        </w:rPr>
      </w:pPr>
      <w:r>
        <w:rPr>
          <w:rFonts w:asciiTheme="majorHAnsi" w:hAnsiTheme="majorHAnsi"/>
        </w:rPr>
        <w:t xml:space="preserve">Latvija uzskata, ka </w:t>
      </w:r>
      <w:r w:rsidR="004843D3">
        <w:rPr>
          <w:rFonts w:asciiTheme="majorHAnsi" w:hAnsiTheme="majorHAnsi"/>
        </w:rPr>
        <w:t xml:space="preserve">nozaru pieeja ir viens no </w:t>
      </w:r>
      <w:r w:rsidR="0008477D">
        <w:rPr>
          <w:rFonts w:asciiTheme="majorHAnsi" w:hAnsiTheme="majorHAnsi"/>
        </w:rPr>
        <w:t>svarīgākajiem</w:t>
      </w:r>
      <w:r w:rsidR="004843D3">
        <w:rPr>
          <w:rFonts w:asciiTheme="majorHAnsi" w:hAnsiTheme="majorHAnsi"/>
        </w:rPr>
        <w:t xml:space="preserve"> elementiem kopējā rūpniecības konkurētspējas integrēšanas procesā. Jāņem vērā, ka </w:t>
      </w:r>
      <w:r w:rsidR="001C1CD2">
        <w:rPr>
          <w:rFonts w:asciiTheme="majorHAnsi" w:hAnsiTheme="majorHAnsi"/>
        </w:rPr>
        <w:t xml:space="preserve">atšķiras ne vien atsevišķas </w:t>
      </w:r>
      <w:r w:rsidR="004843D3">
        <w:rPr>
          <w:rFonts w:asciiTheme="majorHAnsi" w:hAnsiTheme="majorHAnsi"/>
        </w:rPr>
        <w:t>rūpniec</w:t>
      </w:r>
      <w:r w:rsidR="001C1CD2">
        <w:rPr>
          <w:rFonts w:asciiTheme="majorHAnsi" w:hAnsiTheme="majorHAnsi"/>
        </w:rPr>
        <w:t xml:space="preserve">ības nozares (piemēram, vieglā rūpniecība, smagā rūpniecība, ieguves rūpniecība) un </w:t>
      </w:r>
      <w:r w:rsidR="00695CC4">
        <w:rPr>
          <w:rFonts w:asciiTheme="majorHAnsi" w:hAnsiTheme="majorHAnsi"/>
        </w:rPr>
        <w:t>to vajadzības, bet arī atsevišķi</w:t>
      </w:r>
      <w:r w:rsidR="001C1CD2">
        <w:rPr>
          <w:rFonts w:asciiTheme="majorHAnsi" w:hAnsiTheme="majorHAnsi"/>
        </w:rPr>
        <w:t xml:space="preserve"> uzņēmumi vienas nozares ietvaros. Tāpēc īpaši svarīgi, domājot par rūpniecības konkurētspējas integrēšanu, vērtēt arī katras nozares izaicinājumus konkurētspējas nodrošināšanai. Spilgts piemērs ir ES energoietilpīgās nozares</w:t>
      </w:r>
      <w:r w:rsidR="0008477D">
        <w:rPr>
          <w:rFonts w:asciiTheme="majorHAnsi" w:hAnsiTheme="majorHAnsi"/>
        </w:rPr>
        <w:t xml:space="preserve"> </w:t>
      </w:r>
      <w:r w:rsidR="0008477D" w:rsidRPr="0008477D">
        <w:rPr>
          <w:rFonts w:asciiTheme="majorHAnsi" w:hAnsiTheme="majorHAnsi"/>
        </w:rPr>
        <w:t>(piemēram, ķīmisko vielu</w:t>
      </w:r>
      <w:r w:rsidR="0008477D">
        <w:rPr>
          <w:rFonts w:asciiTheme="majorHAnsi" w:hAnsiTheme="majorHAnsi"/>
        </w:rPr>
        <w:t>,</w:t>
      </w:r>
      <w:r w:rsidR="0008477D" w:rsidRPr="0008477D">
        <w:rPr>
          <w:rFonts w:asciiTheme="majorHAnsi" w:hAnsiTheme="majorHAnsi"/>
        </w:rPr>
        <w:t xml:space="preserve"> dzelzs un tērauda rūpniecība)</w:t>
      </w:r>
      <w:r w:rsidR="001C1CD2">
        <w:rPr>
          <w:rFonts w:asciiTheme="majorHAnsi" w:hAnsiTheme="majorHAnsi"/>
        </w:rPr>
        <w:t>, kuru vidēja un ilgtermiņa attīstību tieši var ietekmēt lēmumi, kas ES mērogā tiks pieņemti enerģētikas un vides jomā</w:t>
      </w:r>
      <w:r w:rsidR="0008477D" w:rsidRPr="0008477D">
        <w:rPr>
          <w:rFonts w:asciiTheme="majorHAnsi" w:hAnsiTheme="majorHAnsi"/>
        </w:rPr>
        <w:t xml:space="preserve"> </w:t>
      </w:r>
      <w:r w:rsidR="0008477D">
        <w:rPr>
          <w:rFonts w:asciiTheme="majorHAnsi" w:hAnsiTheme="majorHAnsi"/>
        </w:rPr>
        <w:t>(piemēram, uzstādījums</w:t>
      </w:r>
      <w:r w:rsidR="0008477D" w:rsidRPr="0008477D">
        <w:rPr>
          <w:rFonts w:asciiTheme="majorHAnsi" w:hAnsiTheme="majorHAnsi"/>
        </w:rPr>
        <w:t xml:space="preserve"> mazināt emisijas</w:t>
      </w:r>
      <w:r w:rsidR="0008477D">
        <w:rPr>
          <w:rFonts w:asciiTheme="majorHAnsi" w:hAnsiTheme="majorHAnsi"/>
        </w:rPr>
        <w:t xml:space="preserve">), kas var novest pie </w:t>
      </w:r>
      <w:proofErr w:type="spellStart"/>
      <w:r w:rsidR="0008477D">
        <w:rPr>
          <w:rFonts w:asciiTheme="majorHAnsi" w:hAnsiTheme="majorHAnsi"/>
        </w:rPr>
        <w:t>t.s</w:t>
      </w:r>
      <w:proofErr w:type="spellEnd"/>
      <w:r w:rsidR="0008477D">
        <w:rPr>
          <w:rFonts w:asciiTheme="majorHAnsi" w:hAnsiTheme="majorHAnsi"/>
        </w:rPr>
        <w:t>. „oglekļa pārvirzes” riskiem</w:t>
      </w:r>
      <w:r w:rsidR="001C1CD2">
        <w:rPr>
          <w:rFonts w:asciiTheme="majorHAnsi" w:hAnsiTheme="majorHAnsi"/>
        </w:rPr>
        <w:t xml:space="preserve">. Tāpat svarīgi apzināties, ka </w:t>
      </w:r>
      <w:r w:rsidR="008E03AD">
        <w:rPr>
          <w:rFonts w:asciiTheme="majorHAnsi" w:hAnsiTheme="majorHAnsi"/>
        </w:rPr>
        <w:t xml:space="preserve">rūpniecības nozaru attīstību ietekmē </w:t>
      </w:r>
      <w:r w:rsidR="0008477D">
        <w:rPr>
          <w:rFonts w:asciiTheme="majorHAnsi" w:hAnsiTheme="majorHAnsi"/>
        </w:rPr>
        <w:t>pieņem</w:t>
      </w:r>
      <w:r w:rsidR="008E03AD">
        <w:rPr>
          <w:rFonts w:asciiTheme="majorHAnsi" w:hAnsiTheme="majorHAnsi"/>
        </w:rPr>
        <w:t xml:space="preserve">tie lēmumi </w:t>
      </w:r>
      <w:r w:rsidR="003935A3">
        <w:rPr>
          <w:rFonts w:asciiTheme="majorHAnsi" w:hAnsiTheme="majorHAnsi"/>
        </w:rPr>
        <w:t xml:space="preserve">arī </w:t>
      </w:r>
      <w:r w:rsidR="008E03AD">
        <w:rPr>
          <w:rFonts w:asciiTheme="majorHAnsi" w:hAnsiTheme="majorHAnsi"/>
        </w:rPr>
        <w:t xml:space="preserve">tādās saistītajās politikās kā izglītība un prasmes, pētniecība, attīstība un inovācija, </w:t>
      </w:r>
      <w:r w:rsidR="00343382">
        <w:rPr>
          <w:rFonts w:asciiTheme="majorHAnsi" w:hAnsiTheme="majorHAnsi"/>
        </w:rPr>
        <w:t xml:space="preserve">standartizācija, </w:t>
      </w:r>
      <w:r w:rsidR="003935A3">
        <w:rPr>
          <w:rFonts w:asciiTheme="majorHAnsi" w:hAnsiTheme="majorHAnsi"/>
        </w:rPr>
        <w:t xml:space="preserve">konkurence, </w:t>
      </w:r>
      <w:r w:rsidR="00C9731D">
        <w:rPr>
          <w:rFonts w:asciiTheme="majorHAnsi" w:hAnsiTheme="majorHAnsi"/>
        </w:rPr>
        <w:t xml:space="preserve">valsts atbalsts, </w:t>
      </w:r>
      <w:r w:rsidR="008E03AD">
        <w:rPr>
          <w:rFonts w:asciiTheme="majorHAnsi" w:hAnsiTheme="majorHAnsi"/>
        </w:rPr>
        <w:t>ārējā tirdzniecība</w:t>
      </w:r>
      <w:r w:rsidR="003935A3">
        <w:rPr>
          <w:rFonts w:asciiTheme="majorHAnsi" w:hAnsiTheme="majorHAnsi"/>
        </w:rPr>
        <w:t xml:space="preserve">, transports </w:t>
      </w:r>
      <w:proofErr w:type="spellStart"/>
      <w:r w:rsidR="003935A3">
        <w:rPr>
          <w:rFonts w:asciiTheme="majorHAnsi" w:hAnsiTheme="majorHAnsi"/>
        </w:rPr>
        <w:t>u.c</w:t>
      </w:r>
      <w:proofErr w:type="spellEnd"/>
      <w:r w:rsidR="008E03AD">
        <w:rPr>
          <w:rFonts w:asciiTheme="majorHAnsi" w:hAnsiTheme="majorHAnsi"/>
        </w:rPr>
        <w:t xml:space="preserve">. Turklāt katras nozares intereses un vajadzības šo politiku ietvarā var </w:t>
      </w:r>
      <w:r w:rsidR="0008477D">
        <w:rPr>
          <w:rFonts w:asciiTheme="majorHAnsi" w:hAnsiTheme="majorHAnsi"/>
        </w:rPr>
        <w:t xml:space="preserve">būtiski </w:t>
      </w:r>
      <w:r w:rsidR="008E03AD">
        <w:rPr>
          <w:rFonts w:asciiTheme="majorHAnsi" w:hAnsiTheme="majorHAnsi"/>
        </w:rPr>
        <w:t>atšķirties.</w:t>
      </w:r>
    </w:p>
    <w:p w:rsidR="008E03AD" w:rsidRPr="0030133D" w:rsidRDefault="008E03AD" w:rsidP="0030133D">
      <w:pPr>
        <w:pStyle w:val="ListParagraph"/>
        <w:numPr>
          <w:ilvl w:val="0"/>
          <w:numId w:val="13"/>
        </w:numPr>
        <w:spacing w:after="120"/>
        <w:ind w:left="284" w:hanging="284"/>
        <w:contextualSpacing w:val="0"/>
        <w:rPr>
          <w:rFonts w:asciiTheme="majorHAnsi" w:hAnsiTheme="majorHAnsi"/>
          <w:b/>
        </w:rPr>
      </w:pPr>
      <w:r w:rsidRPr="008E03AD">
        <w:rPr>
          <w:rFonts w:asciiTheme="majorHAnsi" w:hAnsiTheme="majorHAnsi"/>
          <w:b/>
        </w:rPr>
        <w:t>Kāds ir virziens (un saistītā ES likumdošana), kurā fokusēt konkurētspējas pārbaudes?</w:t>
      </w:r>
    </w:p>
    <w:p w:rsidR="008E03AD" w:rsidRDefault="00F00CD5" w:rsidP="0030133D">
      <w:pPr>
        <w:spacing w:after="120"/>
        <w:rPr>
          <w:rFonts w:asciiTheme="majorHAnsi" w:hAnsiTheme="majorHAnsi"/>
        </w:rPr>
      </w:pPr>
      <w:r>
        <w:rPr>
          <w:rFonts w:asciiTheme="majorHAnsi" w:hAnsiTheme="majorHAnsi"/>
        </w:rPr>
        <w:t xml:space="preserve">Latvija uzskata, ka </w:t>
      </w:r>
      <w:r w:rsidR="00FE56AA">
        <w:rPr>
          <w:rFonts w:asciiTheme="majorHAnsi" w:hAnsiTheme="majorHAnsi"/>
        </w:rPr>
        <w:t xml:space="preserve">Konkurētspējas pārbaudes jaunajām </w:t>
      </w:r>
      <w:r w:rsidRPr="00F00CD5">
        <w:rPr>
          <w:rFonts w:asciiTheme="majorHAnsi" w:hAnsiTheme="majorHAnsi"/>
        </w:rPr>
        <w:t xml:space="preserve">normatīvo aktu </w:t>
      </w:r>
      <w:r>
        <w:rPr>
          <w:rFonts w:asciiTheme="majorHAnsi" w:hAnsiTheme="majorHAnsi"/>
        </w:rPr>
        <w:t xml:space="preserve">un </w:t>
      </w:r>
      <w:r w:rsidR="00FE56AA">
        <w:rPr>
          <w:rFonts w:asciiTheme="majorHAnsi" w:hAnsiTheme="majorHAnsi"/>
        </w:rPr>
        <w:t xml:space="preserve">politikas iniciatīvām </w:t>
      </w:r>
      <w:r>
        <w:rPr>
          <w:rFonts w:asciiTheme="majorHAnsi" w:hAnsiTheme="majorHAnsi"/>
        </w:rPr>
        <w:t>svarīgi piemērot jau šo iniciatīvu</w:t>
      </w:r>
      <w:r w:rsidRPr="00F00CD5">
        <w:rPr>
          <w:rFonts w:asciiTheme="majorHAnsi" w:hAnsiTheme="majorHAnsi"/>
        </w:rPr>
        <w:t xml:space="preserve"> sākotnējā izstrādes stadijā.</w:t>
      </w:r>
      <w:r>
        <w:rPr>
          <w:rFonts w:asciiTheme="majorHAnsi" w:hAnsiTheme="majorHAnsi"/>
        </w:rPr>
        <w:t xml:space="preserve"> Vienlaikus svarīgi šīs konkurētspējas pārbaudes veikt vienlaikus ar spēkā esošo politiku un normatīvo aktu „derīguma pārbaudēm” </w:t>
      </w:r>
      <w:r w:rsidRPr="00F00CD5">
        <w:rPr>
          <w:rFonts w:asciiTheme="majorHAnsi" w:hAnsiTheme="majorHAnsi"/>
          <w:i/>
        </w:rPr>
        <w:t>(</w:t>
      </w:r>
      <w:proofErr w:type="spellStart"/>
      <w:r w:rsidRPr="00F00CD5">
        <w:rPr>
          <w:rFonts w:asciiTheme="majorHAnsi" w:hAnsiTheme="majorHAnsi"/>
          <w:i/>
        </w:rPr>
        <w:t>fitness</w:t>
      </w:r>
      <w:proofErr w:type="spellEnd"/>
      <w:r w:rsidRPr="00F00CD5">
        <w:rPr>
          <w:rFonts w:asciiTheme="majorHAnsi" w:hAnsiTheme="majorHAnsi"/>
          <w:i/>
        </w:rPr>
        <w:t xml:space="preserve"> </w:t>
      </w:r>
      <w:proofErr w:type="spellStart"/>
      <w:r w:rsidRPr="00F00CD5">
        <w:rPr>
          <w:rFonts w:asciiTheme="majorHAnsi" w:hAnsiTheme="majorHAnsi"/>
          <w:i/>
        </w:rPr>
        <w:t>checks</w:t>
      </w:r>
      <w:proofErr w:type="spellEnd"/>
      <w:r w:rsidRPr="00F00CD5">
        <w:rPr>
          <w:rFonts w:asciiTheme="majorHAnsi" w:hAnsiTheme="majorHAnsi"/>
          <w:i/>
        </w:rPr>
        <w:t>)</w:t>
      </w:r>
      <w:r>
        <w:rPr>
          <w:rFonts w:asciiTheme="majorHAnsi" w:hAnsiTheme="majorHAnsi"/>
        </w:rPr>
        <w:t>, lai pārliecinātos par iepriekš pieņemto lēmumu atbilstību šā brīža situācijai un  rūpniecības nozaru vajadzībām.</w:t>
      </w:r>
    </w:p>
    <w:p w:rsidR="00C9731D" w:rsidRDefault="00C9731D" w:rsidP="0030133D">
      <w:pPr>
        <w:spacing w:after="120"/>
        <w:rPr>
          <w:rFonts w:asciiTheme="majorHAnsi" w:hAnsiTheme="majorHAnsi"/>
        </w:rPr>
      </w:pPr>
      <w:r>
        <w:rPr>
          <w:rFonts w:asciiTheme="majorHAnsi" w:hAnsiTheme="majorHAnsi"/>
        </w:rPr>
        <w:t>Uzskatām, ka veicot konkurētspējas pārbaud</w:t>
      </w:r>
      <w:r w:rsidR="00E341B6">
        <w:rPr>
          <w:rFonts w:asciiTheme="majorHAnsi" w:hAnsiTheme="majorHAnsi"/>
        </w:rPr>
        <w:t>e</w:t>
      </w:r>
      <w:r>
        <w:rPr>
          <w:rFonts w:asciiTheme="majorHAnsi" w:hAnsiTheme="majorHAnsi"/>
        </w:rPr>
        <w:t xml:space="preserve">s ES politikām un likumdošanas iniciatīvām, ir jāvērtē arī ārējā dimensija, </w:t>
      </w:r>
      <w:proofErr w:type="spellStart"/>
      <w:r>
        <w:rPr>
          <w:rFonts w:asciiTheme="majorHAnsi" w:hAnsiTheme="majorHAnsi"/>
        </w:rPr>
        <w:t>t.i</w:t>
      </w:r>
      <w:proofErr w:type="spellEnd"/>
      <w:r>
        <w:rPr>
          <w:rFonts w:asciiTheme="majorHAnsi" w:hAnsiTheme="majorHAnsi"/>
        </w:rPr>
        <w:t>. – ES tiešo konkurentu (</w:t>
      </w:r>
      <w:proofErr w:type="spellStart"/>
      <w:r>
        <w:rPr>
          <w:rFonts w:asciiTheme="majorHAnsi" w:hAnsiTheme="majorHAnsi"/>
        </w:rPr>
        <w:t>t.sk</w:t>
      </w:r>
      <w:proofErr w:type="spellEnd"/>
      <w:r>
        <w:rPr>
          <w:rFonts w:asciiTheme="majorHAnsi" w:hAnsiTheme="majorHAnsi"/>
        </w:rPr>
        <w:t xml:space="preserve">. nozaru griezumā) īstenotās politikas, lai nodrošinātu ES rūpniecības uzņēmumiem līdzvērtīgus konkurences apstākļus. Šis jautājums svarīgs, piemēram, domājot par </w:t>
      </w:r>
      <w:r w:rsidR="00E77CEB">
        <w:rPr>
          <w:rFonts w:asciiTheme="majorHAnsi" w:hAnsiTheme="majorHAnsi"/>
        </w:rPr>
        <w:t xml:space="preserve">ES </w:t>
      </w:r>
      <w:r>
        <w:rPr>
          <w:rFonts w:asciiTheme="majorHAnsi" w:hAnsiTheme="majorHAnsi"/>
        </w:rPr>
        <w:t xml:space="preserve">valsts atbalsta politiku, kā arī ārējās tirdzniecības </w:t>
      </w:r>
      <w:r w:rsidR="0030133D">
        <w:rPr>
          <w:rFonts w:asciiTheme="majorHAnsi" w:hAnsiTheme="majorHAnsi"/>
        </w:rPr>
        <w:t xml:space="preserve">politikas </w:t>
      </w:r>
      <w:r>
        <w:rPr>
          <w:rFonts w:asciiTheme="majorHAnsi" w:hAnsiTheme="majorHAnsi"/>
        </w:rPr>
        <w:t>jautājumiem.</w:t>
      </w:r>
    </w:p>
    <w:p w:rsidR="00C9731D" w:rsidRPr="00C9731D" w:rsidRDefault="00C9731D" w:rsidP="0030133D">
      <w:pPr>
        <w:pStyle w:val="ListParagraph"/>
        <w:numPr>
          <w:ilvl w:val="0"/>
          <w:numId w:val="13"/>
        </w:numPr>
        <w:spacing w:after="120"/>
        <w:ind w:left="284" w:hanging="284"/>
        <w:contextualSpacing w:val="0"/>
        <w:rPr>
          <w:rFonts w:asciiTheme="majorHAnsi" w:hAnsiTheme="majorHAnsi"/>
          <w:b/>
        </w:rPr>
      </w:pPr>
      <w:r w:rsidRPr="00C9731D">
        <w:rPr>
          <w:rFonts w:asciiTheme="majorHAnsi" w:hAnsiTheme="majorHAnsi"/>
          <w:b/>
        </w:rPr>
        <w:t>Bez iepriekš minētajām nozarēm (autobūve, tērauds, būvniecība, kuģu būve), kādi citi kritēriji / nozares varētu tikt ņemtas vērā?</w:t>
      </w:r>
    </w:p>
    <w:p w:rsidR="00C9731D" w:rsidRDefault="0030133D" w:rsidP="0030133D">
      <w:pPr>
        <w:spacing w:after="120"/>
        <w:rPr>
          <w:rFonts w:asciiTheme="majorHAnsi" w:hAnsiTheme="majorHAnsi"/>
        </w:rPr>
      </w:pPr>
      <w:r>
        <w:rPr>
          <w:rFonts w:asciiTheme="majorHAnsi" w:hAnsiTheme="majorHAnsi"/>
        </w:rPr>
        <w:t>Latvij</w:t>
      </w:r>
      <w:r w:rsidRPr="0030133D">
        <w:rPr>
          <w:rFonts w:asciiTheme="majorHAnsi" w:hAnsiTheme="majorHAnsi"/>
        </w:rPr>
        <w:t>ā tradicionāli svarīgākās rūpniecības nozares ir pārtikas un dzērienu ražošana, kokapstrāde, metālu un metāla izstrād</w:t>
      </w:r>
      <w:r>
        <w:rPr>
          <w:rFonts w:asciiTheme="majorHAnsi" w:hAnsiTheme="majorHAnsi"/>
        </w:rPr>
        <w:t>ājumu ražošana, mašīnbūve</w:t>
      </w:r>
      <w:r w:rsidRPr="0030133D">
        <w:rPr>
          <w:rFonts w:asciiTheme="majorHAnsi" w:hAnsiTheme="majorHAnsi"/>
        </w:rPr>
        <w:t>, tekstilrūpniecība un ķīmis</w:t>
      </w:r>
      <w:r>
        <w:rPr>
          <w:rFonts w:asciiTheme="majorHAnsi" w:hAnsiTheme="majorHAnsi"/>
        </w:rPr>
        <w:t>kā rūpniecība un farmācija.</w:t>
      </w:r>
    </w:p>
    <w:p w:rsidR="00C9731D" w:rsidRDefault="0030133D" w:rsidP="009B6774">
      <w:pPr>
        <w:spacing w:after="120"/>
        <w:rPr>
          <w:rFonts w:asciiTheme="majorHAnsi" w:hAnsiTheme="majorHAnsi"/>
        </w:rPr>
      </w:pPr>
      <w:r>
        <w:rPr>
          <w:rFonts w:asciiTheme="majorHAnsi" w:hAnsiTheme="majorHAnsi"/>
        </w:rPr>
        <w:t>Tomēr šobrīd visbūtiskāk strādāt pie tā, lai</w:t>
      </w:r>
      <w:r w:rsidRPr="0030133D">
        <w:rPr>
          <w:rFonts w:asciiTheme="majorHAnsi" w:hAnsiTheme="majorHAnsi"/>
        </w:rPr>
        <w:t xml:space="preserve"> nodrošinātu, ka </w:t>
      </w:r>
      <w:r>
        <w:rPr>
          <w:rFonts w:asciiTheme="majorHAnsi" w:hAnsiTheme="majorHAnsi"/>
        </w:rPr>
        <w:t xml:space="preserve">ne tikai minētās </w:t>
      </w:r>
      <w:r w:rsidRPr="0030133D">
        <w:rPr>
          <w:rFonts w:asciiTheme="majorHAnsi" w:hAnsiTheme="majorHAnsi"/>
        </w:rPr>
        <w:t>energoietilpīgās rūpniecības nozares</w:t>
      </w:r>
      <w:r>
        <w:rPr>
          <w:rFonts w:asciiTheme="majorHAnsi" w:hAnsiTheme="majorHAnsi"/>
        </w:rPr>
        <w:t xml:space="preserve">, bet arī citas (piemēram, ķīmisko vielu ražošana, </w:t>
      </w:r>
      <w:r w:rsidRPr="0030133D">
        <w:rPr>
          <w:rFonts w:asciiTheme="majorHAnsi" w:hAnsiTheme="majorHAnsi"/>
        </w:rPr>
        <w:t xml:space="preserve"> </w:t>
      </w:r>
      <w:r>
        <w:rPr>
          <w:rFonts w:asciiTheme="majorHAnsi" w:hAnsiTheme="majorHAnsi"/>
        </w:rPr>
        <w:t>s</w:t>
      </w:r>
      <w:r w:rsidRPr="0030133D">
        <w:rPr>
          <w:rFonts w:asciiTheme="majorHAnsi" w:hAnsiTheme="majorHAnsi"/>
        </w:rPr>
        <w:t>tikla un stikla izstrādājumu ražošana</w:t>
      </w:r>
      <w:r>
        <w:rPr>
          <w:rFonts w:asciiTheme="majorHAnsi" w:hAnsiTheme="majorHAnsi"/>
        </w:rPr>
        <w:t>)</w:t>
      </w:r>
      <w:r w:rsidRPr="0030133D">
        <w:rPr>
          <w:rFonts w:asciiTheme="majorHAnsi" w:hAnsiTheme="majorHAnsi"/>
        </w:rPr>
        <w:t xml:space="preserve"> nepasliktinātu savas i</w:t>
      </w:r>
      <w:r w:rsidR="009B6774">
        <w:rPr>
          <w:rFonts w:asciiTheme="majorHAnsi" w:hAnsiTheme="majorHAnsi"/>
        </w:rPr>
        <w:t>espējas starptautiskajos tirgo</w:t>
      </w:r>
      <w:r w:rsidR="00695CC4">
        <w:rPr>
          <w:rFonts w:asciiTheme="majorHAnsi" w:hAnsiTheme="majorHAnsi"/>
        </w:rPr>
        <w:t>s</w:t>
      </w:r>
      <w:r w:rsidR="009B6774">
        <w:rPr>
          <w:rFonts w:asciiTheme="majorHAnsi" w:hAnsiTheme="majorHAnsi"/>
        </w:rPr>
        <w:t>, konkurētspējas pārbaudēs vērtējot šo nozaru varbūtību nokļūt</w:t>
      </w:r>
      <w:r w:rsidRPr="0030133D">
        <w:rPr>
          <w:rFonts w:asciiTheme="majorHAnsi" w:hAnsiTheme="majorHAnsi"/>
        </w:rPr>
        <w:t xml:space="preserve"> </w:t>
      </w:r>
      <w:r w:rsidR="009B6774">
        <w:rPr>
          <w:rFonts w:asciiTheme="majorHAnsi" w:hAnsiTheme="majorHAnsi"/>
        </w:rPr>
        <w:t>„o</w:t>
      </w:r>
      <w:r w:rsidRPr="0030133D">
        <w:rPr>
          <w:rFonts w:asciiTheme="majorHAnsi" w:hAnsiTheme="majorHAnsi"/>
        </w:rPr>
        <w:t>glekļa pārvirzes</w:t>
      </w:r>
      <w:r w:rsidR="009B6774">
        <w:rPr>
          <w:rFonts w:asciiTheme="majorHAnsi" w:hAnsiTheme="majorHAnsi"/>
        </w:rPr>
        <w:t>” riska zonā.</w:t>
      </w:r>
    </w:p>
    <w:p w:rsidR="00056D2F" w:rsidRPr="009B6774" w:rsidRDefault="009B6774" w:rsidP="009B6774">
      <w:pPr>
        <w:pStyle w:val="ListParagraph"/>
        <w:numPr>
          <w:ilvl w:val="0"/>
          <w:numId w:val="13"/>
        </w:numPr>
        <w:spacing w:after="120"/>
        <w:ind w:left="284" w:hanging="284"/>
        <w:contextualSpacing w:val="0"/>
        <w:rPr>
          <w:rFonts w:asciiTheme="majorHAnsi" w:hAnsiTheme="majorHAnsi"/>
          <w:b/>
        </w:rPr>
      </w:pPr>
      <w:r w:rsidRPr="009B6774">
        <w:rPr>
          <w:rFonts w:asciiTheme="majorHAnsi" w:hAnsiTheme="majorHAnsi"/>
          <w:b/>
        </w:rPr>
        <w:t>Kā konkurētspējas pārbaude var tikt ņemta vērā, pārskatot analizētās politikas?</w:t>
      </w:r>
    </w:p>
    <w:p w:rsidR="009B6774" w:rsidRDefault="00343382" w:rsidP="009B6774">
      <w:pPr>
        <w:spacing w:after="120"/>
        <w:rPr>
          <w:rFonts w:asciiTheme="majorHAnsi" w:hAnsiTheme="majorHAnsi"/>
        </w:rPr>
      </w:pPr>
      <w:r>
        <w:rPr>
          <w:rFonts w:asciiTheme="majorHAnsi" w:hAnsiTheme="majorHAnsi"/>
        </w:rPr>
        <w:lastRenderedPageBreak/>
        <w:t xml:space="preserve">Latvija uzskata, ka </w:t>
      </w:r>
      <w:r w:rsidR="00A138F6">
        <w:rPr>
          <w:rFonts w:asciiTheme="majorHAnsi" w:hAnsiTheme="majorHAnsi"/>
        </w:rPr>
        <w:t xml:space="preserve">Konkurētspējas pārbaude </w:t>
      </w:r>
      <w:r>
        <w:rPr>
          <w:rFonts w:asciiTheme="majorHAnsi" w:hAnsiTheme="majorHAnsi"/>
        </w:rPr>
        <w:t xml:space="preserve">ietekmes novērtēšanas procesā </w:t>
      </w:r>
      <w:r w:rsidR="00A138F6">
        <w:rPr>
          <w:rFonts w:asciiTheme="majorHAnsi" w:hAnsiTheme="majorHAnsi"/>
        </w:rPr>
        <w:t xml:space="preserve">nodrošina iespēju </w:t>
      </w:r>
      <w:r>
        <w:rPr>
          <w:rFonts w:asciiTheme="majorHAnsi" w:hAnsiTheme="majorHAnsi"/>
        </w:rPr>
        <w:t xml:space="preserve">ne tikai </w:t>
      </w:r>
      <w:r w:rsidR="00A138F6">
        <w:rPr>
          <w:rFonts w:asciiTheme="majorHAnsi" w:hAnsiTheme="majorHAnsi"/>
        </w:rPr>
        <w:t xml:space="preserve">novērtēt </w:t>
      </w:r>
      <w:r>
        <w:rPr>
          <w:rFonts w:asciiTheme="majorHAnsi" w:hAnsiTheme="majorHAnsi"/>
        </w:rPr>
        <w:t>jaunās politika</w:t>
      </w:r>
      <w:r w:rsidR="00695CC4">
        <w:rPr>
          <w:rFonts w:asciiTheme="majorHAnsi" w:hAnsiTheme="majorHAnsi"/>
        </w:rPr>
        <w:t>s</w:t>
      </w:r>
      <w:r>
        <w:rPr>
          <w:rFonts w:asciiTheme="majorHAnsi" w:hAnsiTheme="majorHAnsi"/>
        </w:rPr>
        <w:t xml:space="preserve"> vai likumdošanas iniciatīvas ietekmi uz ES konkurētspēju kopumā vai konkrētu nozaru griezumā, bet ļauj arī salīdzināt</w:t>
      </w:r>
      <w:r w:rsidR="00A138F6" w:rsidRPr="00A138F6">
        <w:rPr>
          <w:rFonts w:asciiTheme="majorHAnsi" w:hAnsiTheme="majorHAnsi"/>
        </w:rPr>
        <w:t xml:space="preserve"> </w:t>
      </w:r>
      <w:r>
        <w:rPr>
          <w:rFonts w:asciiTheme="majorHAnsi" w:hAnsiTheme="majorHAnsi"/>
        </w:rPr>
        <w:t xml:space="preserve">dažādus jaunās </w:t>
      </w:r>
      <w:r w:rsidR="00A138F6" w:rsidRPr="00A138F6">
        <w:rPr>
          <w:rFonts w:asciiTheme="majorHAnsi" w:hAnsiTheme="majorHAnsi"/>
        </w:rPr>
        <w:t xml:space="preserve">politikas </w:t>
      </w:r>
      <w:r>
        <w:rPr>
          <w:rFonts w:asciiTheme="majorHAnsi" w:hAnsiTheme="majorHAnsi"/>
        </w:rPr>
        <w:t xml:space="preserve">virzības scenārijus, tādējādi potenciāli mazinot ietekmi, piemēram, uz konkrētām </w:t>
      </w:r>
      <w:r w:rsidR="00A138F6" w:rsidRPr="00A138F6">
        <w:rPr>
          <w:rFonts w:asciiTheme="majorHAnsi" w:hAnsiTheme="majorHAnsi"/>
        </w:rPr>
        <w:t>nozar</w:t>
      </w:r>
      <w:r w:rsidR="00E341B6">
        <w:rPr>
          <w:rFonts w:asciiTheme="majorHAnsi" w:hAnsiTheme="majorHAnsi"/>
        </w:rPr>
        <w:t>ēm</w:t>
      </w:r>
      <w:r w:rsidR="00A138F6" w:rsidRPr="00A138F6">
        <w:rPr>
          <w:rFonts w:asciiTheme="majorHAnsi" w:hAnsiTheme="majorHAnsi"/>
        </w:rPr>
        <w:t xml:space="preserve"> un vērtību ķēdē.</w:t>
      </w:r>
    </w:p>
    <w:p w:rsidR="002242B8" w:rsidRDefault="00343382" w:rsidP="009B6774">
      <w:pPr>
        <w:spacing w:after="120"/>
        <w:rPr>
          <w:rFonts w:asciiTheme="majorHAnsi" w:hAnsiTheme="majorHAnsi"/>
        </w:rPr>
      </w:pPr>
      <w:r>
        <w:rPr>
          <w:rFonts w:asciiTheme="majorHAnsi" w:hAnsiTheme="majorHAnsi"/>
        </w:rPr>
        <w:t xml:space="preserve">Konkurētspējas pārbaudes rezultātiem jākļūst par izšķirīgu faktoru lēmuma pieņemšanā par jaunas politikas vai likumdošanas iniciatīvas ieviešanas piemērotību ES rūpniecības uzņēmumu netraucētai izaugsmei, piemēram, kā jaunā iniciatīva var ietekmēt konkrētu nozaru produkcijas izlaides rādītājus un nodarbinātību un darba spēka produktivitāti, inovācijas spēju, </w:t>
      </w:r>
      <w:r w:rsidRPr="00343382">
        <w:rPr>
          <w:rFonts w:asciiTheme="majorHAnsi" w:hAnsiTheme="majorHAnsi"/>
        </w:rPr>
        <w:t>kā arī</w:t>
      </w:r>
      <w:r>
        <w:rPr>
          <w:rFonts w:asciiTheme="majorHAnsi" w:hAnsiTheme="majorHAnsi"/>
        </w:rPr>
        <w:t xml:space="preserve"> ietekmi uz starptautisko konkurenci (spēja palielināt eksporta tirgus daļu un/vai apgūt jaunus tirgus, kā arī potenciāls piesaistīt ārvalstu investīcijas).</w:t>
      </w:r>
    </w:p>
    <w:p w:rsidR="00AE29E9" w:rsidRDefault="00AE29E9" w:rsidP="009B6774">
      <w:pPr>
        <w:spacing w:after="120"/>
        <w:rPr>
          <w:rFonts w:asciiTheme="majorHAnsi" w:hAnsiTheme="majorHAnsi"/>
        </w:rPr>
      </w:pPr>
    </w:p>
    <w:p w:rsidR="00F665F0" w:rsidRPr="00F665F0" w:rsidRDefault="00F665F0" w:rsidP="00D94680">
      <w:pPr>
        <w:pStyle w:val="ListParagraph"/>
        <w:numPr>
          <w:ilvl w:val="0"/>
          <w:numId w:val="5"/>
        </w:numPr>
        <w:shd w:val="clear" w:color="auto" w:fill="F2F2F2" w:themeFill="background1" w:themeFillShade="F2"/>
        <w:spacing w:after="120"/>
        <w:ind w:left="284" w:hanging="284"/>
        <w:contextualSpacing w:val="0"/>
        <w:rPr>
          <w:rFonts w:asciiTheme="majorHAnsi" w:hAnsiTheme="majorHAnsi"/>
          <w:b/>
        </w:rPr>
      </w:pPr>
      <w:r w:rsidRPr="00F665F0">
        <w:rPr>
          <w:rFonts w:asciiTheme="majorHAnsi" w:hAnsiTheme="majorHAnsi"/>
          <w:b/>
        </w:rPr>
        <w:t xml:space="preserve">Sanāksmes </w:t>
      </w:r>
      <w:r w:rsidR="00056D2F">
        <w:rPr>
          <w:rFonts w:asciiTheme="majorHAnsi" w:hAnsiTheme="majorHAnsi"/>
          <w:b/>
        </w:rPr>
        <w:t>2.</w:t>
      </w:r>
      <w:r w:rsidRPr="00F665F0">
        <w:rPr>
          <w:rFonts w:asciiTheme="majorHAnsi" w:hAnsiTheme="majorHAnsi"/>
          <w:b/>
        </w:rPr>
        <w:t xml:space="preserve"> darba sesija –</w:t>
      </w:r>
      <w:r w:rsidR="00D94680">
        <w:rPr>
          <w:rFonts w:asciiTheme="majorHAnsi" w:hAnsiTheme="majorHAnsi"/>
          <w:b/>
        </w:rPr>
        <w:t xml:space="preserve"> </w:t>
      </w:r>
      <w:r w:rsidR="00C42A2A">
        <w:rPr>
          <w:rFonts w:asciiTheme="majorHAnsi" w:hAnsiTheme="majorHAnsi"/>
          <w:b/>
        </w:rPr>
        <w:t>Konkurētspējas integrēšanas</w:t>
      </w:r>
      <w:r w:rsidR="006931D1">
        <w:rPr>
          <w:rFonts w:asciiTheme="majorHAnsi" w:hAnsiTheme="majorHAnsi"/>
          <w:b/>
        </w:rPr>
        <w:t xml:space="preserve"> </w:t>
      </w:r>
      <w:proofErr w:type="spellStart"/>
      <w:r w:rsidR="006931D1">
        <w:rPr>
          <w:rFonts w:asciiTheme="majorHAnsi" w:hAnsiTheme="majorHAnsi"/>
          <w:b/>
        </w:rPr>
        <w:t>dimensionālais</w:t>
      </w:r>
      <w:proofErr w:type="spellEnd"/>
      <w:r w:rsidR="00056D2F" w:rsidRPr="00056D2F">
        <w:rPr>
          <w:rFonts w:asciiTheme="majorHAnsi" w:hAnsiTheme="majorHAnsi"/>
          <w:b/>
        </w:rPr>
        <w:t xml:space="preserve"> aspekts</w:t>
      </w:r>
    </w:p>
    <w:p w:rsidR="00F665F0" w:rsidRDefault="00AB1605" w:rsidP="009B6774">
      <w:pPr>
        <w:spacing w:after="120"/>
        <w:rPr>
          <w:rFonts w:asciiTheme="majorHAnsi" w:hAnsiTheme="majorHAnsi"/>
        </w:rPr>
      </w:pPr>
      <w:r>
        <w:rPr>
          <w:rFonts w:asciiTheme="majorHAnsi" w:hAnsiTheme="majorHAnsi"/>
        </w:rPr>
        <w:t>Prezidentūra diskusiju dokumentā uzsver MVU lomu ES konkurētspējas stiprināšanā un darba vietu nodrošin</w:t>
      </w:r>
      <w:r w:rsidR="00A367C5">
        <w:rPr>
          <w:rFonts w:asciiTheme="majorHAnsi" w:hAnsiTheme="majorHAnsi"/>
        </w:rPr>
        <w:t xml:space="preserve">āšanā, kā arī MVU stiprās puses, kur cita starpā MVU spēlē svarīgu lomu </w:t>
      </w:r>
      <w:r w:rsidR="009F1AC9">
        <w:rPr>
          <w:rFonts w:asciiTheme="majorHAnsi" w:hAnsiTheme="majorHAnsi"/>
        </w:rPr>
        <w:t>sociālās un eko</w:t>
      </w:r>
      <w:r w:rsidR="00A367C5">
        <w:rPr>
          <w:rFonts w:asciiTheme="majorHAnsi" w:hAnsiTheme="majorHAnsi"/>
        </w:rPr>
        <w:t xml:space="preserve">nomiskās stabilitātes veidošanā, </w:t>
      </w:r>
      <w:r w:rsidR="00695CC4">
        <w:rPr>
          <w:rFonts w:asciiTheme="majorHAnsi" w:hAnsiTheme="majorHAnsi"/>
        </w:rPr>
        <w:t xml:space="preserve">to spēju </w:t>
      </w:r>
      <w:r w:rsidR="00A367C5">
        <w:rPr>
          <w:rFonts w:asciiTheme="majorHAnsi" w:hAnsiTheme="majorHAnsi"/>
        </w:rPr>
        <w:t>iesaistīties inovācijas procesā, radot jaunas tehnoloģijas, kā arī pielāgojot produktus patērētāju vajadzībām.</w:t>
      </w:r>
    </w:p>
    <w:p w:rsidR="00A367C5" w:rsidRDefault="00A367C5" w:rsidP="0030133D">
      <w:pPr>
        <w:spacing w:after="120"/>
        <w:rPr>
          <w:rFonts w:asciiTheme="majorHAnsi" w:hAnsiTheme="majorHAnsi"/>
        </w:rPr>
      </w:pPr>
      <w:r>
        <w:rPr>
          <w:rFonts w:asciiTheme="majorHAnsi" w:hAnsiTheme="majorHAnsi"/>
        </w:rPr>
        <w:t xml:space="preserve">Tādējādi Eiropas rūpniecības politikai jāņem vērā Eiropas ekonomikas </w:t>
      </w:r>
      <w:proofErr w:type="spellStart"/>
      <w:r>
        <w:rPr>
          <w:rFonts w:asciiTheme="majorHAnsi" w:hAnsiTheme="majorHAnsi"/>
        </w:rPr>
        <w:t>dimensionālais</w:t>
      </w:r>
      <w:proofErr w:type="spellEnd"/>
      <w:r>
        <w:rPr>
          <w:rFonts w:asciiTheme="majorHAnsi" w:hAnsiTheme="majorHAnsi"/>
        </w:rPr>
        <w:t xml:space="preserve"> raksturs</w:t>
      </w:r>
      <w:r w:rsidR="00C01AC4">
        <w:rPr>
          <w:rFonts w:asciiTheme="majorHAnsi" w:hAnsiTheme="majorHAnsi"/>
        </w:rPr>
        <w:t xml:space="preserve">, </w:t>
      </w:r>
      <w:r w:rsidR="009B5203">
        <w:rPr>
          <w:rFonts w:asciiTheme="majorHAnsi" w:hAnsiTheme="majorHAnsi"/>
        </w:rPr>
        <w:t>lai identificētu</w:t>
      </w:r>
      <w:r w:rsidR="00C01AC4">
        <w:rPr>
          <w:rFonts w:asciiTheme="majorHAnsi" w:hAnsiTheme="majorHAnsi"/>
        </w:rPr>
        <w:t xml:space="preserve"> MVU</w:t>
      </w:r>
      <w:r w:rsidR="009B5203">
        <w:rPr>
          <w:rFonts w:asciiTheme="majorHAnsi" w:hAnsiTheme="majorHAnsi"/>
        </w:rPr>
        <w:t xml:space="preserve"> iespējamos </w:t>
      </w:r>
      <w:r w:rsidRPr="00A367C5">
        <w:rPr>
          <w:rFonts w:asciiTheme="majorHAnsi" w:hAnsiTheme="majorHAnsi"/>
        </w:rPr>
        <w:t>šķēršļu</w:t>
      </w:r>
      <w:r w:rsidR="009B5203">
        <w:rPr>
          <w:rFonts w:asciiTheme="majorHAnsi" w:hAnsiTheme="majorHAnsi"/>
        </w:rPr>
        <w:t>s</w:t>
      </w:r>
      <w:r w:rsidRPr="00A367C5">
        <w:rPr>
          <w:rFonts w:asciiTheme="majorHAnsi" w:hAnsiTheme="majorHAnsi"/>
        </w:rPr>
        <w:t xml:space="preserve"> izaugsmei</w:t>
      </w:r>
      <w:r w:rsidR="009B5203">
        <w:rPr>
          <w:rFonts w:asciiTheme="majorHAnsi" w:hAnsiTheme="majorHAnsi"/>
        </w:rPr>
        <w:t xml:space="preserve"> un produktivitātes pieaugumam</w:t>
      </w:r>
      <w:r w:rsidRPr="00A367C5">
        <w:rPr>
          <w:rFonts w:asciiTheme="majorHAnsi" w:hAnsiTheme="majorHAnsi"/>
        </w:rPr>
        <w:t>.</w:t>
      </w:r>
      <w:r w:rsidR="009B5203">
        <w:rPr>
          <w:rFonts w:asciiTheme="majorHAnsi" w:hAnsiTheme="majorHAnsi"/>
        </w:rPr>
        <w:t xml:space="preserve"> Šim nolūkam ir nepieciešams palielināt </w:t>
      </w:r>
      <w:r w:rsidR="00B36AAC">
        <w:rPr>
          <w:rFonts w:asciiTheme="majorHAnsi" w:hAnsiTheme="majorHAnsi"/>
        </w:rPr>
        <w:t>cilvēkresursus MVU, stiprināt zināšanu pārnesi uzņēmumu iekšienē</w:t>
      </w:r>
      <w:r w:rsidR="00B36AAC" w:rsidRPr="00B36AAC">
        <w:rPr>
          <w:rFonts w:asciiTheme="majorHAnsi" w:hAnsiTheme="majorHAnsi"/>
        </w:rPr>
        <w:t xml:space="preserve">, uzlabot </w:t>
      </w:r>
      <w:r w:rsidR="00B36AAC">
        <w:rPr>
          <w:rFonts w:asciiTheme="majorHAnsi" w:hAnsiTheme="majorHAnsi"/>
        </w:rPr>
        <w:t>MVU</w:t>
      </w:r>
      <w:r w:rsidR="00B36AAC" w:rsidRPr="00B36AAC">
        <w:rPr>
          <w:rFonts w:asciiTheme="majorHAnsi" w:hAnsiTheme="majorHAnsi"/>
        </w:rPr>
        <w:t xml:space="preserve"> sociālo lomu, jo īpaši nodrošinot, ka paaudžu maiņa </w:t>
      </w:r>
      <w:proofErr w:type="spellStart"/>
      <w:r w:rsidR="00B36AAC">
        <w:rPr>
          <w:rFonts w:asciiTheme="majorHAnsi" w:hAnsiTheme="majorHAnsi"/>
        </w:rPr>
        <w:t>nerezultējas</w:t>
      </w:r>
      <w:proofErr w:type="spellEnd"/>
      <w:r w:rsidR="00B36AAC">
        <w:rPr>
          <w:rFonts w:asciiTheme="majorHAnsi" w:hAnsiTheme="majorHAnsi"/>
        </w:rPr>
        <w:t xml:space="preserve"> ar uzņēmuma </w:t>
      </w:r>
      <w:r w:rsidR="00B36AAC" w:rsidRPr="00B36AAC">
        <w:rPr>
          <w:rFonts w:asciiTheme="majorHAnsi" w:hAnsiTheme="majorHAnsi"/>
        </w:rPr>
        <w:t>slēgšanu un zināšan</w:t>
      </w:r>
      <w:r w:rsidR="00B36AAC">
        <w:rPr>
          <w:rFonts w:asciiTheme="majorHAnsi" w:hAnsiTheme="majorHAnsi"/>
        </w:rPr>
        <w:t>u zaudēšanu</w:t>
      </w:r>
      <w:r w:rsidR="00B36AAC" w:rsidRPr="00B36AAC">
        <w:rPr>
          <w:rFonts w:asciiTheme="majorHAnsi" w:hAnsiTheme="majorHAnsi"/>
        </w:rPr>
        <w:t xml:space="preserve">, </w:t>
      </w:r>
      <w:r w:rsidR="00B36AAC">
        <w:rPr>
          <w:rFonts w:asciiTheme="majorHAnsi" w:hAnsiTheme="majorHAnsi"/>
        </w:rPr>
        <w:t>šādiem uzņēmumiem</w:t>
      </w:r>
      <w:r w:rsidR="00B36AAC" w:rsidRPr="00B36AAC">
        <w:rPr>
          <w:rFonts w:asciiTheme="majorHAnsi" w:hAnsiTheme="majorHAnsi"/>
        </w:rPr>
        <w:t xml:space="preserve"> sniedzot </w:t>
      </w:r>
      <w:r w:rsidR="00B36AAC">
        <w:rPr>
          <w:rFonts w:asciiTheme="majorHAnsi" w:hAnsiTheme="majorHAnsi"/>
        </w:rPr>
        <w:t>atbalstu un palīdzību</w:t>
      </w:r>
      <w:r w:rsidR="00B36AAC" w:rsidRPr="00B36AAC">
        <w:rPr>
          <w:rFonts w:asciiTheme="majorHAnsi" w:hAnsiTheme="majorHAnsi"/>
        </w:rPr>
        <w:t>.</w:t>
      </w:r>
      <w:r w:rsidR="00B36AAC">
        <w:rPr>
          <w:rFonts w:asciiTheme="majorHAnsi" w:hAnsiTheme="majorHAnsi"/>
        </w:rPr>
        <w:t xml:space="preserve"> Jānovērtē MVU elastība</w:t>
      </w:r>
      <w:r w:rsidR="00B36AAC" w:rsidRPr="00B36AAC">
        <w:rPr>
          <w:rFonts w:asciiTheme="majorHAnsi" w:hAnsiTheme="majorHAnsi"/>
        </w:rPr>
        <w:t xml:space="preserve">, </w:t>
      </w:r>
      <w:r w:rsidR="00B36AAC">
        <w:rPr>
          <w:rFonts w:asciiTheme="majorHAnsi" w:hAnsiTheme="majorHAnsi"/>
        </w:rPr>
        <w:t>sekmējot</w:t>
      </w:r>
      <w:r w:rsidR="00B36AAC" w:rsidRPr="00B36AAC">
        <w:rPr>
          <w:rFonts w:asciiTheme="majorHAnsi" w:hAnsiTheme="majorHAnsi"/>
        </w:rPr>
        <w:t xml:space="preserve"> </w:t>
      </w:r>
      <w:r w:rsidR="00B36AAC">
        <w:rPr>
          <w:rFonts w:asciiTheme="majorHAnsi" w:hAnsiTheme="majorHAnsi"/>
        </w:rPr>
        <w:t xml:space="preserve">šo uzņēmumu pozīcijas </w:t>
      </w:r>
      <w:r w:rsidR="00B36AAC" w:rsidRPr="00B36AAC">
        <w:rPr>
          <w:rFonts w:asciiTheme="majorHAnsi" w:hAnsiTheme="majorHAnsi"/>
        </w:rPr>
        <w:t>globāl</w:t>
      </w:r>
      <w:r w:rsidR="00B36AAC">
        <w:rPr>
          <w:rFonts w:asciiTheme="majorHAnsi" w:hAnsiTheme="majorHAnsi"/>
        </w:rPr>
        <w:t>ajās vērtību ķēdē</w:t>
      </w:r>
      <w:r w:rsidR="00B36AAC" w:rsidRPr="00B36AAC">
        <w:rPr>
          <w:rFonts w:asciiTheme="majorHAnsi" w:hAnsiTheme="majorHAnsi"/>
        </w:rPr>
        <w:t xml:space="preserve">s, vienlaikus </w:t>
      </w:r>
      <w:r w:rsidR="003F0E01">
        <w:rPr>
          <w:rFonts w:asciiTheme="majorHAnsi" w:hAnsiTheme="majorHAnsi"/>
        </w:rPr>
        <w:t>ņemot vērā</w:t>
      </w:r>
      <w:r w:rsidR="00B36AAC" w:rsidRPr="00B36AAC">
        <w:rPr>
          <w:rFonts w:asciiTheme="majorHAnsi" w:hAnsiTheme="majorHAnsi"/>
        </w:rPr>
        <w:t xml:space="preserve">, ka </w:t>
      </w:r>
      <w:r w:rsidR="003F0E01">
        <w:rPr>
          <w:rFonts w:asciiTheme="majorHAnsi" w:hAnsiTheme="majorHAnsi"/>
        </w:rPr>
        <w:t>MVU</w:t>
      </w:r>
      <w:r w:rsidR="00B36AAC" w:rsidRPr="00B36AAC">
        <w:rPr>
          <w:rFonts w:asciiTheme="majorHAnsi" w:hAnsiTheme="majorHAnsi"/>
        </w:rPr>
        <w:t xml:space="preserve"> izmērs dažkārt var būt šķērslis, lai piekļūtu resursiem</w:t>
      </w:r>
      <w:r w:rsidR="003F0E01">
        <w:rPr>
          <w:rFonts w:asciiTheme="majorHAnsi" w:hAnsiTheme="majorHAnsi"/>
        </w:rPr>
        <w:t xml:space="preserve"> investīciju un ārējo kompetenču piesaistei</w:t>
      </w:r>
      <w:r w:rsidR="00B36AAC" w:rsidRPr="00B36AAC">
        <w:rPr>
          <w:rFonts w:asciiTheme="majorHAnsi" w:hAnsiTheme="majorHAnsi"/>
        </w:rPr>
        <w:t xml:space="preserve">, </w:t>
      </w:r>
      <w:proofErr w:type="spellStart"/>
      <w:r w:rsidR="003F0E01">
        <w:rPr>
          <w:rFonts w:asciiTheme="majorHAnsi" w:hAnsiTheme="majorHAnsi"/>
        </w:rPr>
        <w:t>t.sk</w:t>
      </w:r>
      <w:proofErr w:type="spellEnd"/>
      <w:r w:rsidR="003F0E01">
        <w:rPr>
          <w:rFonts w:asciiTheme="majorHAnsi" w:hAnsiTheme="majorHAnsi"/>
        </w:rPr>
        <w:t>.</w:t>
      </w:r>
      <w:r w:rsidR="00B36AAC" w:rsidRPr="00B36AAC">
        <w:rPr>
          <w:rFonts w:asciiTheme="majorHAnsi" w:hAnsiTheme="majorHAnsi"/>
        </w:rPr>
        <w:t xml:space="preserve"> </w:t>
      </w:r>
      <w:r w:rsidR="003F0E01">
        <w:rPr>
          <w:rFonts w:asciiTheme="majorHAnsi" w:hAnsiTheme="majorHAnsi"/>
        </w:rPr>
        <w:t>iesaistei inovācijas un internacionalizācijas procesos</w:t>
      </w:r>
      <w:r w:rsidR="00B36AAC" w:rsidRPr="00B36AAC">
        <w:rPr>
          <w:rFonts w:asciiTheme="majorHAnsi" w:hAnsiTheme="majorHAnsi"/>
        </w:rPr>
        <w:t>.</w:t>
      </w:r>
    </w:p>
    <w:p w:rsidR="00D202AC" w:rsidRDefault="006931D1" w:rsidP="0030133D">
      <w:pPr>
        <w:spacing w:after="120"/>
        <w:rPr>
          <w:rFonts w:asciiTheme="majorHAnsi" w:hAnsiTheme="majorHAnsi"/>
        </w:rPr>
      </w:pPr>
      <w:r>
        <w:rPr>
          <w:rFonts w:asciiTheme="majorHAnsi" w:hAnsiTheme="majorHAnsi"/>
        </w:rPr>
        <w:t xml:space="preserve">Šajā nolūkā </w:t>
      </w:r>
      <w:proofErr w:type="spellStart"/>
      <w:r>
        <w:rPr>
          <w:rFonts w:asciiTheme="majorHAnsi" w:hAnsiTheme="majorHAnsi"/>
        </w:rPr>
        <w:t>dimensionālais</w:t>
      </w:r>
      <w:proofErr w:type="spellEnd"/>
      <w:r>
        <w:rPr>
          <w:rFonts w:asciiTheme="majorHAnsi" w:hAnsiTheme="majorHAnsi"/>
        </w:rPr>
        <w:t xml:space="preserve"> aspekts var tikt īstenots trīs paralēlos veidos:</w:t>
      </w:r>
    </w:p>
    <w:p w:rsidR="00E27BBB" w:rsidRDefault="00FB6024" w:rsidP="0030133D">
      <w:pPr>
        <w:pStyle w:val="ListParagraph"/>
        <w:numPr>
          <w:ilvl w:val="0"/>
          <w:numId w:val="9"/>
        </w:numPr>
        <w:spacing w:after="120"/>
        <w:ind w:left="567" w:hanging="283"/>
        <w:contextualSpacing w:val="0"/>
        <w:rPr>
          <w:rFonts w:asciiTheme="majorHAnsi" w:hAnsiTheme="majorHAnsi"/>
        </w:rPr>
      </w:pPr>
      <w:r>
        <w:rPr>
          <w:rFonts w:asciiTheme="majorHAnsi" w:hAnsiTheme="majorHAnsi"/>
        </w:rPr>
        <w:t>Jāņem</w:t>
      </w:r>
      <w:r w:rsidR="006931D1" w:rsidRPr="006931D1">
        <w:rPr>
          <w:rFonts w:asciiTheme="majorHAnsi" w:hAnsiTheme="majorHAnsi"/>
        </w:rPr>
        <w:t xml:space="preserve"> vērā MVU intereses pārvaldību procesu </w:t>
      </w:r>
      <w:r w:rsidR="006931D1">
        <w:rPr>
          <w:rFonts w:asciiTheme="majorHAnsi" w:hAnsiTheme="majorHAnsi"/>
        </w:rPr>
        <w:t>stiprināšanā</w:t>
      </w:r>
      <w:r w:rsidR="006931D1" w:rsidRPr="006931D1">
        <w:rPr>
          <w:rFonts w:asciiTheme="majorHAnsi" w:hAnsiTheme="majorHAnsi"/>
        </w:rPr>
        <w:t xml:space="preserve"> </w:t>
      </w:r>
      <w:r w:rsidR="006931D1">
        <w:rPr>
          <w:rFonts w:asciiTheme="majorHAnsi" w:hAnsiTheme="majorHAnsi"/>
        </w:rPr>
        <w:t>ar nolūku sistemātiski</w:t>
      </w:r>
      <w:r w:rsidR="006931D1" w:rsidRPr="006931D1">
        <w:rPr>
          <w:rFonts w:asciiTheme="majorHAnsi" w:hAnsiTheme="majorHAnsi"/>
        </w:rPr>
        <w:t xml:space="preserve"> integr</w:t>
      </w:r>
      <w:r w:rsidR="006931D1">
        <w:rPr>
          <w:rFonts w:asciiTheme="majorHAnsi" w:hAnsiTheme="majorHAnsi"/>
        </w:rPr>
        <w:t>ēt</w:t>
      </w:r>
      <w:r w:rsidR="006931D1" w:rsidRPr="006931D1">
        <w:rPr>
          <w:rFonts w:asciiTheme="majorHAnsi" w:hAnsiTheme="majorHAnsi"/>
        </w:rPr>
        <w:t xml:space="preserve"> rūpniecības konkurētspējas </w:t>
      </w:r>
      <w:r w:rsidR="006931D1">
        <w:rPr>
          <w:rFonts w:asciiTheme="majorHAnsi" w:hAnsiTheme="majorHAnsi"/>
        </w:rPr>
        <w:t>aspektus</w:t>
      </w:r>
      <w:r w:rsidR="006931D1" w:rsidRPr="006931D1">
        <w:rPr>
          <w:rFonts w:asciiTheme="majorHAnsi" w:hAnsiTheme="majorHAnsi"/>
        </w:rPr>
        <w:t xml:space="preserve"> dažādās E</w:t>
      </w:r>
      <w:r w:rsidR="006931D1">
        <w:rPr>
          <w:rFonts w:asciiTheme="majorHAnsi" w:hAnsiTheme="majorHAnsi"/>
        </w:rPr>
        <w:t>S politiku</w:t>
      </w:r>
      <w:r w:rsidR="006931D1" w:rsidRPr="006931D1">
        <w:rPr>
          <w:rFonts w:asciiTheme="majorHAnsi" w:hAnsiTheme="majorHAnsi"/>
        </w:rPr>
        <w:t xml:space="preserve"> jomās </w:t>
      </w:r>
      <w:r w:rsidR="006931D1" w:rsidRPr="006931D1">
        <w:rPr>
          <w:rFonts w:asciiTheme="majorHAnsi" w:hAnsiTheme="majorHAnsi"/>
          <w:i/>
        </w:rPr>
        <w:t>(</w:t>
      </w:r>
      <w:proofErr w:type="spellStart"/>
      <w:r w:rsidR="006931D1" w:rsidRPr="006931D1">
        <w:rPr>
          <w:rFonts w:asciiTheme="majorHAnsi" w:hAnsiTheme="majorHAnsi"/>
          <w:i/>
        </w:rPr>
        <w:t>mainstreaming</w:t>
      </w:r>
      <w:proofErr w:type="spellEnd"/>
      <w:r w:rsidR="006931D1" w:rsidRPr="006931D1">
        <w:rPr>
          <w:rFonts w:asciiTheme="majorHAnsi" w:hAnsiTheme="majorHAnsi"/>
          <w:i/>
        </w:rPr>
        <w:t>)</w:t>
      </w:r>
      <w:r w:rsidR="006931D1">
        <w:rPr>
          <w:rFonts w:asciiTheme="majorHAnsi" w:hAnsiTheme="majorHAnsi"/>
        </w:rPr>
        <w:t xml:space="preserve"> – </w:t>
      </w:r>
      <w:r w:rsidR="00714F76">
        <w:rPr>
          <w:rFonts w:asciiTheme="majorHAnsi" w:hAnsiTheme="majorHAnsi"/>
        </w:rPr>
        <w:t>šo var uzskatīt par</w:t>
      </w:r>
      <w:r w:rsidR="006931D1" w:rsidRPr="006931D1">
        <w:rPr>
          <w:rFonts w:asciiTheme="majorHAnsi" w:hAnsiTheme="majorHAnsi"/>
        </w:rPr>
        <w:t xml:space="preserve"> </w:t>
      </w:r>
      <w:r w:rsidR="006931D1">
        <w:rPr>
          <w:rFonts w:asciiTheme="majorHAnsi" w:hAnsiTheme="majorHAnsi"/>
        </w:rPr>
        <w:t>integrēš</w:t>
      </w:r>
      <w:r w:rsidR="00714F76">
        <w:rPr>
          <w:rFonts w:asciiTheme="majorHAnsi" w:hAnsiTheme="majorHAnsi"/>
        </w:rPr>
        <w:t xml:space="preserve">anas </w:t>
      </w:r>
      <w:proofErr w:type="spellStart"/>
      <w:r w:rsidR="00714F76">
        <w:rPr>
          <w:rFonts w:asciiTheme="majorHAnsi" w:hAnsiTheme="majorHAnsi"/>
        </w:rPr>
        <w:t>dimensionālo</w:t>
      </w:r>
      <w:proofErr w:type="spellEnd"/>
      <w:r w:rsidR="00695CC4">
        <w:rPr>
          <w:rFonts w:asciiTheme="majorHAnsi" w:hAnsiTheme="majorHAnsi"/>
        </w:rPr>
        <w:t xml:space="preserve"> aspektu</w:t>
      </w:r>
      <w:r w:rsidR="006931D1">
        <w:rPr>
          <w:rFonts w:asciiTheme="majorHAnsi" w:hAnsiTheme="majorHAnsi"/>
        </w:rPr>
        <w:t>.</w:t>
      </w:r>
    </w:p>
    <w:p w:rsidR="00E27BBB" w:rsidRDefault="00FB6024" w:rsidP="0030133D">
      <w:pPr>
        <w:pStyle w:val="ListParagraph"/>
        <w:spacing w:after="120"/>
        <w:ind w:left="567"/>
        <w:contextualSpacing w:val="0"/>
        <w:rPr>
          <w:rFonts w:asciiTheme="majorHAnsi" w:hAnsiTheme="majorHAnsi"/>
        </w:rPr>
      </w:pPr>
      <w:r w:rsidRPr="00E27BBB">
        <w:rPr>
          <w:rFonts w:asciiTheme="majorHAnsi" w:hAnsiTheme="majorHAnsi"/>
        </w:rPr>
        <w:t>Š</w:t>
      </w:r>
      <w:r w:rsidR="00C05CE6" w:rsidRPr="00E27BBB">
        <w:rPr>
          <w:rFonts w:asciiTheme="majorHAnsi" w:hAnsiTheme="majorHAnsi"/>
        </w:rPr>
        <w:t>ai</w:t>
      </w:r>
      <w:r w:rsidRPr="00E27BBB">
        <w:rPr>
          <w:rFonts w:asciiTheme="majorHAnsi" w:hAnsiTheme="majorHAnsi"/>
        </w:rPr>
        <w:t xml:space="preserve"> pieeja</w:t>
      </w:r>
      <w:r w:rsidR="00C05CE6" w:rsidRPr="00E27BBB">
        <w:rPr>
          <w:rFonts w:asciiTheme="majorHAnsi" w:hAnsiTheme="majorHAnsi"/>
        </w:rPr>
        <w:t>i būtu jāfokusējas arī uz an</w:t>
      </w:r>
      <w:r w:rsidR="00695CC4">
        <w:rPr>
          <w:rFonts w:asciiTheme="majorHAnsi" w:hAnsiTheme="majorHAnsi"/>
        </w:rPr>
        <w:t>alīzi par EK jauno priekšlikumu</w:t>
      </w:r>
      <w:r w:rsidR="00C05CE6" w:rsidRPr="00E27BBB">
        <w:rPr>
          <w:rFonts w:asciiTheme="majorHAnsi" w:hAnsiTheme="majorHAnsi"/>
        </w:rPr>
        <w:t xml:space="preserve"> ietekmi uz konkurētspēju (konkurētspējas pārbaudes) un spēju novērtēt dažādu normatīvo aktu tiešos un netiešos kumulatīvos efektus (kumulatīvais un netiešais ietekmes novērtējums), lai identificētu nepamatotas izmaksas, kā arī novēršamās nepilnības un pretrunas.</w:t>
      </w:r>
    </w:p>
    <w:p w:rsidR="00C05CE6" w:rsidRPr="00E27BBB" w:rsidRDefault="00C05CE6" w:rsidP="00E27BBB">
      <w:pPr>
        <w:pStyle w:val="ListParagraph"/>
        <w:spacing w:after="120"/>
        <w:ind w:left="567"/>
        <w:contextualSpacing w:val="0"/>
        <w:rPr>
          <w:rFonts w:asciiTheme="majorHAnsi" w:hAnsiTheme="majorHAnsi"/>
        </w:rPr>
      </w:pPr>
      <w:r w:rsidRPr="00E27BBB">
        <w:rPr>
          <w:rFonts w:asciiTheme="majorHAnsi" w:hAnsiTheme="majorHAnsi"/>
        </w:rPr>
        <w:t xml:space="preserve">Ņemot vērā </w:t>
      </w:r>
      <w:r w:rsidR="00B222EA" w:rsidRPr="00E27BBB">
        <w:rPr>
          <w:rFonts w:asciiTheme="majorHAnsi" w:hAnsiTheme="majorHAnsi"/>
        </w:rPr>
        <w:t>Transatlantiskās tirdzniecības un investīciju partnerības (TTIP) nolīguma plašo jautājumu loku, kā arī potenci</w:t>
      </w:r>
      <w:r w:rsidR="00151AD0" w:rsidRPr="00E27BBB">
        <w:rPr>
          <w:rFonts w:asciiTheme="majorHAnsi" w:hAnsiTheme="majorHAnsi"/>
        </w:rPr>
        <w:t>āli sagaidāmo</w:t>
      </w:r>
      <w:r w:rsidR="00B222EA" w:rsidRPr="00E27BBB">
        <w:rPr>
          <w:rFonts w:asciiTheme="majorHAnsi" w:hAnsiTheme="majorHAnsi"/>
        </w:rPr>
        <w:t xml:space="preserve"> ietekmi uz </w:t>
      </w:r>
      <w:r w:rsidR="00151AD0" w:rsidRPr="00E27BBB">
        <w:rPr>
          <w:rFonts w:asciiTheme="majorHAnsi" w:hAnsiTheme="majorHAnsi"/>
        </w:rPr>
        <w:t>tirdzniecību un investīcijām, šo nolīgumu varētu ietvert starp pirmajām jomām, kurām vajadzētu piemērot konkurētspējas pārbaudes procesu. Tas pats attiecas uz klimata-enerģētikas pakotni, vērtējot tās ieviešanas tiešos un netiešos ietekmes efektus uz uzņēmumiem, īpaši – MVU.</w:t>
      </w:r>
    </w:p>
    <w:p w:rsidR="006931D1" w:rsidRPr="006931D1" w:rsidRDefault="0098643D" w:rsidP="00E27BBB">
      <w:pPr>
        <w:pStyle w:val="ListParagraph"/>
        <w:numPr>
          <w:ilvl w:val="0"/>
          <w:numId w:val="9"/>
        </w:numPr>
        <w:spacing w:after="120"/>
        <w:ind w:left="567" w:hanging="283"/>
        <w:contextualSpacing w:val="0"/>
        <w:rPr>
          <w:rFonts w:asciiTheme="majorHAnsi" w:hAnsiTheme="majorHAnsi"/>
        </w:rPr>
      </w:pPr>
      <w:r>
        <w:rPr>
          <w:rFonts w:asciiTheme="majorHAnsi" w:hAnsiTheme="majorHAnsi"/>
        </w:rPr>
        <w:t>Jāņem</w:t>
      </w:r>
      <w:r w:rsidR="004914C5">
        <w:rPr>
          <w:rFonts w:asciiTheme="majorHAnsi" w:hAnsiTheme="majorHAnsi"/>
        </w:rPr>
        <w:t xml:space="preserve"> vērā </w:t>
      </w:r>
      <w:proofErr w:type="spellStart"/>
      <w:r w:rsidR="004914C5">
        <w:rPr>
          <w:rFonts w:asciiTheme="majorHAnsi" w:hAnsiTheme="majorHAnsi"/>
        </w:rPr>
        <w:t>dimensionāl</w:t>
      </w:r>
      <w:r>
        <w:rPr>
          <w:rFonts w:asciiTheme="majorHAnsi" w:hAnsiTheme="majorHAnsi"/>
        </w:rPr>
        <w:t>ais</w:t>
      </w:r>
      <w:proofErr w:type="spellEnd"/>
      <w:r w:rsidR="004914C5">
        <w:rPr>
          <w:rFonts w:asciiTheme="majorHAnsi" w:hAnsiTheme="majorHAnsi"/>
        </w:rPr>
        <w:t xml:space="preserve"> aspekt</w:t>
      </w:r>
      <w:r>
        <w:rPr>
          <w:rFonts w:asciiTheme="majorHAnsi" w:hAnsiTheme="majorHAnsi"/>
        </w:rPr>
        <w:t>s</w:t>
      </w:r>
      <w:r w:rsidR="004914C5">
        <w:rPr>
          <w:rFonts w:asciiTheme="majorHAnsi" w:hAnsiTheme="majorHAnsi"/>
        </w:rPr>
        <w:t>,</w:t>
      </w:r>
      <w:r>
        <w:rPr>
          <w:rFonts w:asciiTheme="majorHAnsi" w:hAnsiTheme="majorHAnsi"/>
        </w:rPr>
        <w:t xml:space="preserve"> kas</w:t>
      </w:r>
      <w:r w:rsidR="004914C5">
        <w:rPr>
          <w:rFonts w:asciiTheme="majorHAnsi" w:hAnsiTheme="majorHAnsi"/>
        </w:rPr>
        <w:t xml:space="preserve"> attiecas uz rūpīgu dienaskārtības un jautājumu pārvaldību Konkurētspējas </w:t>
      </w:r>
      <w:r w:rsidR="00981B1A">
        <w:rPr>
          <w:rFonts w:asciiTheme="majorHAnsi" w:hAnsiTheme="majorHAnsi"/>
        </w:rPr>
        <w:t xml:space="preserve">ministru </w:t>
      </w:r>
      <w:r w:rsidR="004914C5">
        <w:rPr>
          <w:rFonts w:asciiTheme="majorHAnsi" w:hAnsiTheme="majorHAnsi"/>
        </w:rPr>
        <w:t xml:space="preserve">padomē. </w:t>
      </w:r>
      <w:r w:rsidR="004914C5" w:rsidRPr="004914C5">
        <w:rPr>
          <w:rFonts w:asciiTheme="majorHAnsi" w:hAnsiTheme="majorHAnsi"/>
        </w:rPr>
        <w:t>Saskaņā ar iepriekš minēto</w:t>
      </w:r>
      <w:r>
        <w:rPr>
          <w:rFonts w:asciiTheme="majorHAnsi" w:hAnsiTheme="majorHAnsi"/>
        </w:rPr>
        <w:t>,</w:t>
      </w:r>
      <w:r w:rsidR="004914C5">
        <w:rPr>
          <w:rFonts w:asciiTheme="majorHAnsi" w:hAnsiTheme="majorHAnsi"/>
        </w:rPr>
        <w:t xml:space="preserve"> ir jāvērtē lietpratīga regulējuma jautājumi</w:t>
      </w:r>
      <w:r w:rsidR="004914C5" w:rsidRPr="004914C5">
        <w:rPr>
          <w:rFonts w:asciiTheme="majorHAnsi" w:hAnsiTheme="majorHAnsi"/>
        </w:rPr>
        <w:t>, lai uzlabo</w:t>
      </w:r>
      <w:r w:rsidR="004914C5">
        <w:rPr>
          <w:rFonts w:asciiTheme="majorHAnsi" w:hAnsiTheme="majorHAnsi"/>
        </w:rPr>
        <w:t>tu vidi, kurā darbojas uzņēmumi. Nepieciešams</w:t>
      </w:r>
      <w:r w:rsidR="004914C5" w:rsidRPr="004914C5">
        <w:rPr>
          <w:rFonts w:asciiTheme="majorHAnsi" w:hAnsiTheme="majorHAnsi"/>
        </w:rPr>
        <w:t xml:space="preserve"> nodrošināt </w:t>
      </w:r>
      <w:r w:rsidR="004914C5">
        <w:rPr>
          <w:rFonts w:asciiTheme="majorHAnsi" w:hAnsiTheme="majorHAnsi"/>
        </w:rPr>
        <w:t xml:space="preserve">MVU </w:t>
      </w:r>
      <w:r w:rsidR="004914C5" w:rsidRPr="004914C5">
        <w:rPr>
          <w:rFonts w:asciiTheme="majorHAnsi" w:hAnsiTheme="majorHAnsi"/>
        </w:rPr>
        <w:t>piekļuvi daudzveidīg</w:t>
      </w:r>
      <w:r w:rsidR="004914C5">
        <w:rPr>
          <w:rFonts w:asciiTheme="majorHAnsi" w:hAnsiTheme="majorHAnsi"/>
        </w:rPr>
        <w:t>am</w:t>
      </w:r>
      <w:r w:rsidR="004914C5" w:rsidRPr="004914C5">
        <w:rPr>
          <w:rFonts w:asciiTheme="majorHAnsi" w:hAnsiTheme="majorHAnsi"/>
        </w:rPr>
        <w:t xml:space="preserve"> finansē</w:t>
      </w:r>
      <w:r w:rsidR="004914C5">
        <w:rPr>
          <w:rFonts w:asciiTheme="majorHAnsi" w:hAnsiTheme="majorHAnsi"/>
        </w:rPr>
        <w:t xml:space="preserve">jumam </w:t>
      </w:r>
      <w:r w:rsidR="004914C5">
        <w:rPr>
          <w:rFonts w:asciiTheme="majorHAnsi" w:hAnsiTheme="majorHAnsi"/>
        </w:rPr>
        <w:lastRenderedPageBreak/>
        <w:t>visās uzņēmuma attīstības fāzēs.</w:t>
      </w:r>
      <w:r w:rsidR="004914C5" w:rsidRPr="004914C5">
        <w:rPr>
          <w:rFonts w:asciiTheme="majorHAnsi" w:hAnsiTheme="majorHAnsi"/>
        </w:rPr>
        <w:t xml:space="preserve"> </w:t>
      </w:r>
      <w:r w:rsidR="004914C5">
        <w:rPr>
          <w:rFonts w:asciiTheme="majorHAnsi" w:hAnsiTheme="majorHAnsi"/>
        </w:rPr>
        <w:t>Vienlaikus jāuzlabo piekļuve tirgiem, tehnoloģijām un inovācijai.</w:t>
      </w:r>
      <w:r w:rsidR="004914C5" w:rsidRPr="004914C5">
        <w:rPr>
          <w:rFonts w:asciiTheme="majorHAnsi" w:hAnsiTheme="majorHAnsi"/>
        </w:rPr>
        <w:t xml:space="preserve"> </w:t>
      </w:r>
      <w:r>
        <w:rPr>
          <w:rFonts w:asciiTheme="majorHAnsi" w:hAnsiTheme="majorHAnsi"/>
        </w:rPr>
        <w:t>Īpašas norāde</w:t>
      </w:r>
      <w:r w:rsidR="00695CC4">
        <w:rPr>
          <w:rFonts w:asciiTheme="majorHAnsi" w:hAnsiTheme="majorHAnsi"/>
        </w:rPr>
        <w:t>s</w:t>
      </w:r>
      <w:r>
        <w:rPr>
          <w:rFonts w:asciiTheme="majorHAnsi" w:hAnsiTheme="majorHAnsi"/>
        </w:rPr>
        <w:t xml:space="preserve"> ir par</w:t>
      </w:r>
      <w:r w:rsidR="004914C5" w:rsidRPr="004914C5">
        <w:rPr>
          <w:rFonts w:asciiTheme="majorHAnsi" w:hAnsiTheme="majorHAnsi"/>
        </w:rPr>
        <w:t xml:space="preserve"> </w:t>
      </w:r>
      <w:r>
        <w:rPr>
          <w:rFonts w:asciiTheme="majorHAnsi" w:hAnsiTheme="majorHAnsi"/>
        </w:rPr>
        <w:t>S</w:t>
      </w:r>
      <w:r w:rsidR="004914C5" w:rsidRPr="004914C5">
        <w:rPr>
          <w:rFonts w:asciiTheme="majorHAnsi" w:hAnsiTheme="majorHAnsi"/>
        </w:rPr>
        <w:t>varīg</w:t>
      </w:r>
      <w:r>
        <w:rPr>
          <w:rFonts w:asciiTheme="majorHAnsi" w:hAnsiTheme="majorHAnsi"/>
        </w:rPr>
        <w:t>o pamattehnoloģiju</w:t>
      </w:r>
      <w:r w:rsidR="004914C5" w:rsidRPr="004914C5">
        <w:rPr>
          <w:rFonts w:asciiTheme="majorHAnsi" w:hAnsiTheme="majorHAnsi"/>
        </w:rPr>
        <w:t xml:space="preserve"> (KET) </w:t>
      </w:r>
      <w:r>
        <w:rPr>
          <w:rFonts w:asciiTheme="majorHAnsi" w:hAnsiTheme="majorHAnsi"/>
        </w:rPr>
        <w:t xml:space="preserve">veicināšanu </w:t>
      </w:r>
      <w:r w:rsidR="004914C5" w:rsidRPr="004914C5">
        <w:rPr>
          <w:rFonts w:asciiTheme="majorHAnsi" w:hAnsiTheme="majorHAnsi"/>
        </w:rPr>
        <w:t xml:space="preserve">un </w:t>
      </w:r>
      <w:r>
        <w:rPr>
          <w:rFonts w:asciiTheme="majorHAnsi" w:hAnsiTheme="majorHAnsi"/>
        </w:rPr>
        <w:t xml:space="preserve">plāniem </w:t>
      </w:r>
      <w:r w:rsidR="004914C5" w:rsidRPr="004914C5">
        <w:rPr>
          <w:rFonts w:asciiTheme="majorHAnsi" w:hAnsiTheme="majorHAnsi"/>
        </w:rPr>
        <w:t>atvieglot MVU pie</w:t>
      </w:r>
      <w:r>
        <w:rPr>
          <w:rFonts w:asciiTheme="majorHAnsi" w:hAnsiTheme="majorHAnsi"/>
        </w:rPr>
        <w:t>kļuvi</w:t>
      </w:r>
      <w:r w:rsidR="004914C5" w:rsidRPr="004914C5">
        <w:rPr>
          <w:rFonts w:asciiTheme="majorHAnsi" w:hAnsiTheme="majorHAnsi"/>
        </w:rPr>
        <w:t xml:space="preserve"> </w:t>
      </w:r>
      <w:r>
        <w:rPr>
          <w:rFonts w:asciiTheme="majorHAnsi" w:hAnsiTheme="majorHAnsi"/>
        </w:rPr>
        <w:t xml:space="preserve">gan </w:t>
      </w:r>
      <w:r w:rsidR="004914C5" w:rsidRPr="004914C5">
        <w:rPr>
          <w:rFonts w:asciiTheme="majorHAnsi" w:hAnsiTheme="majorHAnsi"/>
        </w:rPr>
        <w:t>tehnoloģiju platformām</w:t>
      </w:r>
      <w:r>
        <w:rPr>
          <w:rFonts w:asciiTheme="majorHAnsi" w:hAnsiTheme="majorHAnsi"/>
        </w:rPr>
        <w:t xml:space="preserve">, gan publiskajam iepirkumam kopumā un jo īpaši </w:t>
      </w:r>
      <w:proofErr w:type="spellStart"/>
      <w:r>
        <w:rPr>
          <w:rFonts w:asciiTheme="majorHAnsi" w:hAnsiTheme="majorHAnsi"/>
        </w:rPr>
        <w:t>pirmskomercializācijas</w:t>
      </w:r>
      <w:proofErr w:type="spellEnd"/>
      <w:r>
        <w:rPr>
          <w:rFonts w:asciiTheme="majorHAnsi" w:hAnsiTheme="majorHAnsi"/>
        </w:rPr>
        <w:t xml:space="preserve"> posma iepirkumiem.</w:t>
      </w:r>
      <w:r w:rsidR="004914C5" w:rsidRPr="004914C5">
        <w:rPr>
          <w:rFonts w:asciiTheme="majorHAnsi" w:hAnsiTheme="majorHAnsi"/>
        </w:rPr>
        <w:t xml:space="preserve"> </w:t>
      </w:r>
      <w:r>
        <w:rPr>
          <w:rFonts w:asciiTheme="majorHAnsi" w:hAnsiTheme="majorHAnsi"/>
        </w:rPr>
        <w:t xml:space="preserve">Vienlaikus jāuzlabo </w:t>
      </w:r>
      <w:r w:rsidR="004914C5" w:rsidRPr="004914C5">
        <w:rPr>
          <w:rFonts w:asciiTheme="majorHAnsi" w:hAnsiTheme="majorHAnsi"/>
        </w:rPr>
        <w:t>pieprasījum</w:t>
      </w:r>
      <w:r>
        <w:rPr>
          <w:rFonts w:asciiTheme="majorHAnsi" w:hAnsiTheme="majorHAnsi"/>
        </w:rPr>
        <w:t>a puses</w:t>
      </w:r>
      <w:r w:rsidRPr="0098643D">
        <w:rPr>
          <w:rFonts w:asciiTheme="majorHAnsi" w:hAnsiTheme="majorHAnsi"/>
        </w:rPr>
        <w:t xml:space="preserve"> </w:t>
      </w:r>
      <w:r>
        <w:rPr>
          <w:rFonts w:asciiTheme="majorHAnsi" w:hAnsiTheme="majorHAnsi"/>
        </w:rPr>
        <w:t>pārvaldība, piemēram, attiecībā uz valsts pārvaldi.</w:t>
      </w:r>
    </w:p>
    <w:p w:rsidR="00E27BBB" w:rsidRDefault="0098643D" w:rsidP="00E27BBB">
      <w:pPr>
        <w:pStyle w:val="ListParagraph"/>
        <w:numPr>
          <w:ilvl w:val="0"/>
          <w:numId w:val="9"/>
        </w:numPr>
        <w:spacing w:after="120"/>
        <w:ind w:left="567" w:hanging="283"/>
        <w:contextualSpacing w:val="0"/>
        <w:rPr>
          <w:rFonts w:asciiTheme="majorHAnsi" w:hAnsiTheme="majorHAnsi"/>
        </w:rPr>
      </w:pPr>
      <w:r>
        <w:rPr>
          <w:rFonts w:asciiTheme="majorHAnsi" w:hAnsiTheme="majorHAnsi"/>
        </w:rPr>
        <w:t xml:space="preserve">Pārvaldības jomā vērtējama iespēja </w:t>
      </w:r>
      <w:r w:rsidR="00981B1A">
        <w:rPr>
          <w:rFonts w:asciiTheme="majorHAnsi" w:hAnsiTheme="majorHAnsi"/>
        </w:rPr>
        <w:t xml:space="preserve">izveidot vēlētu </w:t>
      </w:r>
      <w:r>
        <w:rPr>
          <w:rFonts w:asciiTheme="majorHAnsi" w:hAnsiTheme="majorHAnsi"/>
        </w:rPr>
        <w:t xml:space="preserve">Augsta līmeņa </w:t>
      </w:r>
      <w:r w:rsidR="00981B1A">
        <w:rPr>
          <w:rFonts w:asciiTheme="majorHAnsi" w:hAnsiTheme="majorHAnsi"/>
        </w:rPr>
        <w:t>konkurētspējas darba grupas prezidentūru, kurai varētu tikt noteikta 18 mēnešu ilga dienaskārtība, tādējādi nodrošinot šīs darba grupas kontinuitāti un lielāku ieguldījumu Konkurētspējas ministru padomē.</w:t>
      </w:r>
    </w:p>
    <w:p w:rsidR="00E27BBB" w:rsidRDefault="00981B1A" w:rsidP="00C1170F">
      <w:pPr>
        <w:pStyle w:val="ListParagraph"/>
        <w:spacing w:after="120"/>
        <w:ind w:left="567"/>
        <w:contextualSpacing w:val="0"/>
        <w:rPr>
          <w:rFonts w:asciiTheme="majorHAnsi" w:hAnsiTheme="majorHAnsi"/>
        </w:rPr>
      </w:pPr>
      <w:r w:rsidRPr="00695CC4">
        <w:rPr>
          <w:rFonts w:asciiTheme="majorHAnsi" w:hAnsiTheme="majorHAnsi"/>
        </w:rPr>
        <w:t>Šī darba grupa var izmantot MVU sūtņu</w:t>
      </w:r>
      <w:r w:rsidRPr="00E27BBB">
        <w:rPr>
          <w:rFonts w:asciiTheme="majorHAnsi" w:hAnsiTheme="majorHAnsi"/>
        </w:rPr>
        <w:t xml:space="preserve"> tīklu, veicināt dialogu starp šo tīklu un Konkurētspējas padomi, kā pirmo soli izstrādājot kopīgu ziņojumu par to ES un dalībvalstu pasākumu efektivitāti, kuru mērķis ir uzlabot MVU konkurētspēju (šādu ziņojumu MVU sūtņi iesniegs 2014.gada 4.-5.decembra Konkurētspējas ministru padomē).</w:t>
      </w:r>
    </w:p>
    <w:p w:rsidR="00C1170F" w:rsidRDefault="00C1170F" w:rsidP="00C1170F">
      <w:pPr>
        <w:spacing w:after="120"/>
        <w:rPr>
          <w:rFonts w:asciiTheme="majorHAnsi" w:hAnsiTheme="majorHAnsi"/>
        </w:rPr>
      </w:pPr>
      <w:r w:rsidRPr="00E27BBB">
        <w:rPr>
          <w:rFonts w:asciiTheme="majorHAnsi" w:hAnsiTheme="majorHAnsi"/>
        </w:rPr>
        <w:t>Prezidentūras izplatītie diskusiju jautājumi ministru diskusijas strukturēšanai:</w:t>
      </w:r>
    </w:p>
    <w:p w:rsidR="00C1170F" w:rsidRDefault="00C1170F" w:rsidP="00C1170F">
      <w:pPr>
        <w:pStyle w:val="ListParagraph"/>
        <w:numPr>
          <w:ilvl w:val="0"/>
          <w:numId w:val="14"/>
        </w:numPr>
        <w:spacing w:after="120"/>
        <w:ind w:left="567" w:hanging="283"/>
        <w:contextualSpacing w:val="0"/>
        <w:rPr>
          <w:rFonts w:asciiTheme="majorHAnsi" w:hAnsiTheme="majorHAnsi"/>
        </w:rPr>
      </w:pPr>
      <w:r w:rsidRPr="00C1170F">
        <w:rPr>
          <w:rFonts w:asciiTheme="majorHAnsi" w:hAnsiTheme="majorHAnsi"/>
        </w:rPr>
        <w:t xml:space="preserve">Kādos tiesību aktu kopumos un politikas piedāvājumu paketēs būtu lietderīgi piemērot konkurētspējas pārbaudes </w:t>
      </w:r>
      <w:proofErr w:type="spellStart"/>
      <w:r w:rsidRPr="00C1170F">
        <w:rPr>
          <w:rFonts w:asciiTheme="majorHAnsi" w:hAnsiTheme="majorHAnsi"/>
        </w:rPr>
        <w:t>dimensionālo</w:t>
      </w:r>
      <w:proofErr w:type="spellEnd"/>
      <w:r w:rsidRPr="00C1170F">
        <w:rPr>
          <w:rFonts w:asciiTheme="majorHAnsi" w:hAnsiTheme="majorHAnsi"/>
        </w:rPr>
        <w:t xml:space="preserve"> aspektu? Vai klimata un enerģētikas ietvaru un Transatlantiskās tirdzniecības un investīciju partnerības (TTIP)  nolīgumu varētu izmantot kā izmēģinājuma gadījumus?</w:t>
      </w:r>
    </w:p>
    <w:p w:rsidR="00C1170F" w:rsidRPr="00C1170F" w:rsidRDefault="00C1170F" w:rsidP="00C1170F">
      <w:pPr>
        <w:pStyle w:val="ListParagraph"/>
        <w:spacing w:after="120"/>
        <w:ind w:left="567"/>
        <w:contextualSpacing w:val="0"/>
        <w:rPr>
          <w:rFonts w:asciiTheme="majorHAnsi" w:hAnsiTheme="majorHAnsi"/>
          <w:i/>
        </w:rPr>
      </w:pPr>
      <w:proofErr w:type="spellStart"/>
      <w:r w:rsidRPr="00C1170F">
        <w:rPr>
          <w:rFonts w:asciiTheme="majorHAnsi" w:hAnsiTheme="majorHAnsi"/>
          <w:i/>
        </w:rPr>
        <w:t>On</w:t>
      </w:r>
      <w:proofErr w:type="spellEnd"/>
      <w:r w:rsidRPr="00C1170F">
        <w:rPr>
          <w:rFonts w:asciiTheme="majorHAnsi" w:hAnsiTheme="majorHAnsi"/>
          <w:i/>
        </w:rPr>
        <w:t xml:space="preserve"> </w:t>
      </w:r>
      <w:proofErr w:type="spellStart"/>
      <w:r w:rsidRPr="00C1170F">
        <w:rPr>
          <w:rFonts w:asciiTheme="majorHAnsi" w:hAnsiTheme="majorHAnsi"/>
          <w:i/>
        </w:rPr>
        <w:t>what</w:t>
      </w:r>
      <w:proofErr w:type="spellEnd"/>
      <w:r w:rsidRPr="00C1170F">
        <w:rPr>
          <w:rFonts w:asciiTheme="majorHAnsi" w:hAnsiTheme="majorHAnsi"/>
          <w:i/>
        </w:rPr>
        <w:t xml:space="preserve"> </w:t>
      </w:r>
      <w:proofErr w:type="spellStart"/>
      <w:r w:rsidRPr="00C1170F">
        <w:rPr>
          <w:rFonts w:asciiTheme="majorHAnsi" w:hAnsiTheme="majorHAnsi"/>
          <w:i/>
        </w:rPr>
        <w:t>packages</w:t>
      </w:r>
      <w:proofErr w:type="spellEnd"/>
      <w:r w:rsidRPr="00C1170F">
        <w:rPr>
          <w:rFonts w:asciiTheme="majorHAnsi" w:hAnsiTheme="majorHAnsi"/>
          <w:i/>
        </w:rPr>
        <w:t xml:space="preserve"> </w:t>
      </w:r>
      <w:proofErr w:type="spellStart"/>
      <w:r w:rsidRPr="00C1170F">
        <w:rPr>
          <w:rFonts w:asciiTheme="majorHAnsi" w:hAnsiTheme="majorHAnsi"/>
          <w:i/>
        </w:rPr>
        <w:t>is</w:t>
      </w:r>
      <w:proofErr w:type="spellEnd"/>
      <w:r w:rsidRPr="00C1170F">
        <w:rPr>
          <w:rFonts w:asciiTheme="majorHAnsi" w:hAnsiTheme="majorHAnsi"/>
          <w:i/>
        </w:rPr>
        <w:t xml:space="preserve"> it </w:t>
      </w:r>
      <w:proofErr w:type="spellStart"/>
      <w:r w:rsidRPr="00C1170F">
        <w:rPr>
          <w:rFonts w:asciiTheme="majorHAnsi" w:hAnsiTheme="majorHAnsi"/>
          <w:i/>
        </w:rPr>
        <w:t>considered</w:t>
      </w:r>
      <w:proofErr w:type="spellEnd"/>
      <w:r w:rsidRPr="00C1170F">
        <w:rPr>
          <w:rFonts w:asciiTheme="majorHAnsi" w:hAnsiTheme="majorHAnsi"/>
          <w:i/>
        </w:rPr>
        <w:t xml:space="preserve"> </w:t>
      </w:r>
      <w:proofErr w:type="spellStart"/>
      <w:r w:rsidRPr="00C1170F">
        <w:rPr>
          <w:rFonts w:asciiTheme="majorHAnsi" w:hAnsiTheme="majorHAnsi"/>
          <w:i/>
        </w:rPr>
        <w:t>appropriate</w:t>
      </w:r>
      <w:proofErr w:type="spellEnd"/>
      <w:r w:rsidRPr="00C1170F">
        <w:rPr>
          <w:rFonts w:asciiTheme="majorHAnsi" w:hAnsiTheme="majorHAnsi"/>
          <w:i/>
        </w:rPr>
        <w:t xml:space="preserve"> to </w:t>
      </w:r>
      <w:proofErr w:type="spellStart"/>
      <w:r w:rsidRPr="00C1170F">
        <w:rPr>
          <w:rFonts w:asciiTheme="majorHAnsi" w:hAnsiTheme="majorHAnsi"/>
          <w:i/>
        </w:rPr>
        <w:t>apply</w:t>
      </w:r>
      <w:proofErr w:type="spellEnd"/>
      <w:r w:rsidRPr="00C1170F">
        <w:rPr>
          <w:rFonts w:asciiTheme="majorHAnsi" w:hAnsiTheme="majorHAnsi"/>
          <w:i/>
        </w:rPr>
        <w:t xml:space="preserve"> the </w:t>
      </w:r>
      <w:proofErr w:type="spellStart"/>
      <w:r w:rsidRPr="00C1170F">
        <w:rPr>
          <w:rFonts w:asciiTheme="majorHAnsi" w:hAnsiTheme="majorHAnsi"/>
          <w:i/>
        </w:rPr>
        <w:t>dimensional</w:t>
      </w:r>
      <w:proofErr w:type="spellEnd"/>
      <w:r w:rsidRPr="00C1170F">
        <w:rPr>
          <w:rFonts w:asciiTheme="majorHAnsi" w:hAnsiTheme="majorHAnsi"/>
          <w:i/>
        </w:rPr>
        <w:t xml:space="preserve"> </w:t>
      </w:r>
      <w:proofErr w:type="spellStart"/>
      <w:r w:rsidRPr="00C1170F">
        <w:rPr>
          <w:rFonts w:asciiTheme="majorHAnsi" w:hAnsiTheme="majorHAnsi"/>
          <w:i/>
        </w:rPr>
        <w:t>aspect</w:t>
      </w:r>
      <w:proofErr w:type="spellEnd"/>
      <w:r w:rsidRPr="00C1170F">
        <w:rPr>
          <w:rFonts w:asciiTheme="majorHAnsi" w:hAnsiTheme="majorHAnsi"/>
          <w:i/>
        </w:rPr>
        <w:t xml:space="preserve"> of </w:t>
      </w:r>
      <w:proofErr w:type="spellStart"/>
      <w:r w:rsidRPr="00C1170F">
        <w:rPr>
          <w:rFonts w:asciiTheme="majorHAnsi" w:hAnsiTheme="majorHAnsi"/>
          <w:i/>
        </w:rPr>
        <w:t>competitiveness</w:t>
      </w:r>
      <w:proofErr w:type="spellEnd"/>
      <w:r w:rsidRPr="00C1170F">
        <w:rPr>
          <w:rFonts w:asciiTheme="majorHAnsi" w:hAnsiTheme="majorHAnsi"/>
          <w:i/>
        </w:rPr>
        <w:t xml:space="preserve"> </w:t>
      </w:r>
      <w:proofErr w:type="spellStart"/>
      <w:r w:rsidRPr="00C1170F">
        <w:rPr>
          <w:rFonts w:asciiTheme="majorHAnsi" w:hAnsiTheme="majorHAnsi"/>
          <w:i/>
        </w:rPr>
        <w:t>proofing</w:t>
      </w:r>
      <w:proofErr w:type="spellEnd"/>
      <w:r w:rsidRPr="00C1170F">
        <w:rPr>
          <w:rFonts w:asciiTheme="majorHAnsi" w:hAnsiTheme="majorHAnsi"/>
          <w:i/>
        </w:rPr>
        <w:t xml:space="preserve">? </w:t>
      </w:r>
      <w:proofErr w:type="spellStart"/>
      <w:r w:rsidRPr="00C1170F">
        <w:rPr>
          <w:rFonts w:asciiTheme="majorHAnsi" w:hAnsiTheme="majorHAnsi"/>
          <w:i/>
        </w:rPr>
        <w:t>Could</w:t>
      </w:r>
      <w:proofErr w:type="spellEnd"/>
      <w:r w:rsidRPr="00C1170F">
        <w:rPr>
          <w:rFonts w:asciiTheme="majorHAnsi" w:hAnsiTheme="majorHAnsi"/>
          <w:i/>
        </w:rPr>
        <w:t xml:space="preserve"> the </w:t>
      </w:r>
      <w:proofErr w:type="spellStart"/>
      <w:r w:rsidRPr="00C1170F">
        <w:rPr>
          <w:rFonts w:asciiTheme="majorHAnsi" w:hAnsiTheme="majorHAnsi"/>
          <w:i/>
        </w:rPr>
        <w:t>climate</w:t>
      </w:r>
      <w:proofErr w:type="spellEnd"/>
      <w:r w:rsidRPr="00C1170F">
        <w:rPr>
          <w:rFonts w:asciiTheme="majorHAnsi" w:hAnsiTheme="majorHAnsi"/>
          <w:i/>
        </w:rPr>
        <w:t xml:space="preserve"> </w:t>
      </w:r>
      <w:proofErr w:type="spellStart"/>
      <w:r w:rsidRPr="00C1170F">
        <w:rPr>
          <w:rFonts w:asciiTheme="majorHAnsi" w:hAnsiTheme="majorHAnsi"/>
          <w:i/>
        </w:rPr>
        <w:t>and</w:t>
      </w:r>
      <w:proofErr w:type="spellEnd"/>
      <w:r w:rsidRPr="00C1170F">
        <w:rPr>
          <w:rFonts w:asciiTheme="majorHAnsi" w:hAnsiTheme="majorHAnsi"/>
          <w:i/>
        </w:rPr>
        <w:t xml:space="preserve"> </w:t>
      </w:r>
      <w:proofErr w:type="spellStart"/>
      <w:r w:rsidRPr="00C1170F">
        <w:rPr>
          <w:rFonts w:asciiTheme="majorHAnsi" w:hAnsiTheme="majorHAnsi"/>
          <w:i/>
        </w:rPr>
        <w:t>energy</w:t>
      </w:r>
      <w:proofErr w:type="spellEnd"/>
      <w:r w:rsidRPr="00C1170F">
        <w:rPr>
          <w:rFonts w:asciiTheme="majorHAnsi" w:hAnsiTheme="majorHAnsi"/>
          <w:i/>
        </w:rPr>
        <w:t xml:space="preserve"> </w:t>
      </w:r>
      <w:proofErr w:type="spellStart"/>
      <w:r w:rsidRPr="00C1170F">
        <w:rPr>
          <w:rFonts w:asciiTheme="majorHAnsi" w:hAnsiTheme="majorHAnsi"/>
          <w:i/>
        </w:rPr>
        <w:t>package</w:t>
      </w:r>
      <w:proofErr w:type="spellEnd"/>
      <w:r w:rsidRPr="00C1170F">
        <w:rPr>
          <w:rFonts w:asciiTheme="majorHAnsi" w:hAnsiTheme="majorHAnsi"/>
          <w:i/>
        </w:rPr>
        <w:t xml:space="preserve"> </w:t>
      </w:r>
      <w:proofErr w:type="spellStart"/>
      <w:r w:rsidRPr="00C1170F">
        <w:rPr>
          <w:rFonts w:asciiTheme="majorHAnsi" w:hAnsiTheme="majorHAnsi"/>
          <w:i/>
        </w:rPr>
        <w:t>and</w:t>
      </w:r>
      <w:proofErr w:type="spellEnd"/>
      <w:r w:rsidRPr="00C1170F">
        <w:rPr>
          <w:rFonts w:asciiTheme="majorHAnsi" w:hAnsiTheme="majorHAnsi"/>
          <w:i/>
        </w:rPr>
        <w:t xml:space="preserve"> the TTIP </w:t>
      </w:r>
      <w:proofErr w:type="spellStart"/>
      <w:r w:rsidRPr="00C1170F">
        <w:rPr>
          <w:rFonts w:asciiTheme="majorHAnsi" w:hAnsiTheme="majorHAnsi"/>
          <w:i/>
        </w:rPr>
        <w:t>be</w:t>
      </w:r>
      <w:proofErr w:type="spellEnd"/>
      <w:r w:rsidRPr="00C1170F">
        <w:rPr>
          <w:rFonts w:asciiTheme="majorHAnsi" w:hAnsiTheme="majorHAnsi"/>
          <w:i/>
        </w:rPr>
        <w:t xml:space="preserve"> </w:t>
      </w:r>
      <w:proofErr w:type="spellStart"/>
      <w:r w:rsidRPr="00C1170F">
        <w:rPr>
          <w:rFonts w:asciiTheme="majorHAnsi" w:hAnsiTheme="majorHAnsi"/>
          <w:i/>
        </w:rPr>
        <w:t>considered</w:t>
      </w:r>
      <w:proofErr w:type="spellEnd"/>
      <w:r w:rsidRPr="00C1170F">
        <w:rPr>
          <w:rFonts w:asciiTheme="majorHAnsi" w:hAnsiTheme="majorHAnsi"/>
          <w:i/>
        </w:rPr>
        <w:t xml:space="preserve"> </w:t>
      </w:r>
      <w:proofErr w:type="spellStart"/>
      <w:r w:rsidRPr="00C1170F">
        <w:rPr>
          <w:rFonts w:asciiTheme="majorHAnsi" w:hAnsiTheme="majorHAnsi"/>
          <w:i/>
        </w:rPr>
        <w:t>as</w:t>
      </w:r>
      <w:proofErr w:type="spellEnd"/>
      <w:r w:rsidRPr="00C1170F">
        <w:rPr>
          <w:rFonts w:asciiTheme="majorHAnsi" w:hAnsiTheme="majorHAnsi"/>
          <w:i/>
        </w:rPr>
        <w:t xml:space="preserve"> pilot </w:t>
      </w:r>
      <w:proofErr w:type="spellStart"/>
      <w:r w:rsidRPr="00C1170F">
        <w:rPr>
          <w:rFonts w:asciiTheme="majorHAnsi" w:hAnsiTheme="majorHAnsi"/>
          <w:i/>
        </w:rPr>
        <w:t>cases</w:t>
      </w:r>
      <w:proofErr w:type="spellEnd"/>
      <w:r w:rsidRPr="00C1170F">
        <w:rPr>
          <w:rFonts w:asciiTheme="majorHAnsi" w:hAnsiTheme="majorHAnsi"/>
          <w:i/>
        </w:rPr>
        <w:t>?</w:t>
      </w:r>
    </w:p>
    <w:p w:rsidR="00C1170F" w:rsidRDefault="00C1170F" w:rsidP="00C1170F">
      <w:pPr>
        <w:pStyle w:val="ListParagraph"/>
        <w:numPr>
          <w:ilvl w:val="0"/>
          <w:numId w:val="14"/>
        </w:numPr>
        <w:spacing w:after="120"/>
        <w:ind w:left="567" w:hanging="283"/>
        <w:contextualSpacing w:val="0"/>
        <w:rPr>
          <w:rFonts w:asciiTheme="majorHAnsi" w:hAnsiTheme="majorHAnsi"/>
        </w:rPr>
      </w:pPr>
      <w:r w:rsidRPr="00C1170F">
        <w:rPr>
          <w:rFonts w:asciiTheme="majorHAnsi" w:hAnsiTheme="majorHAnsi"/>
        </w:rPr>
        <w:t>Kā stiprināt sadarbību starp MVU sūtņu tīklu un Augsta līmeņa konkurētspējas darba grupu?</w:t>
      </w:r>
    </w:p>
    <w:p w:rsidR="00C1170F" w:rsidRPr="00C1170F" w:rsidRDefault="00C1170F" w:rsidP="00C1170F">
      <w:pPr>
        <w:pStyle w:val="ListParagraph"/>
        <w:spacing w:after="120"/>
        <w:ind w:left="567"/>
        <w:contextualSpacing w:val="0"/>
        <w:rPr>
          <w:rFonts w:asciiTheme="majorHAnsi" w:hAnsiTheme="majorHAnsi"/>
          <w:i/>
        </w:rPr>
      </w:pPr>
      <w:proofErr w:type="spellStart"/>
      <w:r w:rsidRPr="00C1170F">
        <w:rPr>
          <w:rFonts w:asciiTheme="majorHAnsi" w:hAnsiTheme="majorHAnsi"/>
          <w:i/>
        </w:rPr>
        <w:t>How</w:t>
      </w:r>
      <w:proofErr w:type="spellEnd"/>
      <w:r w:rsidRPr="00C1170F">
        <w:rPr>
          <w:rFonts w:asciiTheme="majorHAnsi" w:hAnsiTheme="majorHAnsi"/>
          <w:i/>
        </w:rPr>
        <w:t xml:space="preserve"> to </w:t>
      </w:r>
      <w:proofErr w:type="spellStart"/>
      <w:r w:rsidRPr="00C1170F">
        <w:rPr>
          <w:rFonts w:asciiTheme="majorHAnsi" w:hAnsiTheme="majorHAnsi"/>
          <w:i/>
        </w:rPr>
        <w:t>strengthen</w:t>
      </w:r>
      <w:proofErr w:type="spellEnd"/>
      <w:r w:rsidRPr="00C1170F">
        <w:rPr>
          <w:rFonts w:asciiTheme="majorHAnsi" w:hAnsiTheme="majorHAnsi"/>
          <w:i/>
        </w:rPr>
        <w:t xml:space="preserve"> the </w:t>
      </w:r>
      <w:proofErr w:type="spellStart"/>
      <w:r w:rsidRPr="00C1170F">
        <w:rPr>
          <w:rFonts w:asciiTheme="majorHAnsi" w:hAnsiTheme="majorHAnsi"/>
          <w:i/>
        </w:rPr>
        <w:t>cooperation</w:t>
      </w:r>
      <w:proofErr w:type="spellEnd"/>
      <w:r w:rsidRPr="00C1170F">
        <w:rPr>
          <w:rFonts w:asciiTheme="majorHAnsi" w:hAnsiTheme="majorHAnsi"/>
          <w:i/>
        </w:rPr>
        <w:t xml:space="preserve"> </w:t>
      </w:r>
      <w:proofErr w:type="spellStart"/>
      <w:r w:rsidRPr="00C1170F">
        <w:rPr>
          <w:rFonts w:asciiTheme="majorHAnsi" w:hAnsiTheme="majorHAnsi"/>
          <w:i/>
        </w:rPr>
        <w:t>between</w:t>
      </w:r>
      <w:proofErr w:type="spellEnd"/>
      <w:r w:rsidRPr="00C1170F">
        <w:rPr>
          <w:rFonts w:asciiTheme="majorHAnsi" w:hAnsiTheme="majorHAnsi"/>
          <w:i/>
        </w:rPr>
        <w:t xml:space="preserve"> the SME </w:t>
      </w:r>
      <w:proofErr w:type="spellStart"/>
      <w:r w:rsidRPr="00C1170F">
        <w:rPr>
          <w:rFonts w:asciiTheme="majorHAnsi" w:hAnsiTheme="majorHAnsi"/>
          <w:i/>
        </w:rPr>
        <w:t>Envoy</w:t>
      </w:r>
      <w:proofErr w:type="spellEnd"/>
      <w:r w:rsidRPr="00C1170F">
        <w:rPr>
          <w:rFonts w:asciiTheme="majorHAnsi" w:hAnsiTheme="majorHAnsi"/>
          <w:i/>
        </w:rPr>
        <w:t xml:space="preserve"> </w:t>
      </w:r>
      <w:proofErr w:type="spellStart"/>
      <w:r w:rsidRPr="00C1170F">
        <w:rPr>
          <w:rFonts w:asciiTheme="majorHAnsi" w:hAnsiTheme="majorHAnsi"/>
          <w:i/>
        </w:rPr>
        <w:t>network</w:t>
      </w:r>
      <w:proofErr w:type="spellEnd"/>
      <w:r w:rsidRPr="00C1170F">
        <w:rPr>
          <w:rFonts w:asciiTheme="majorHAnsi" w:hAnsiTheme="majorHAnsi"/>
          <w:i/>
        </w:rPr>
        <w:t xml:space="preserve"> </w:t>
      </w:r>
      <w:proofErr w:type="spellStart"/>
      <w:r w:rsidRPr="00C1170F">
        <w:rPr>
          <w:rFonts w:asciiTheme="majorHAnsi" w:hAnsiTheme="majorHAnsi"/>
          <w:i/>
        </w:rPr>
        <w:t>and</w:t>
      </w:r>
      <w:proofErr w:type="spellEnd"/>
      <w:r w:rsidRPr="00C1170F">
        <w:rPr>
          <w:rFonts w:asciiTheme="majorHAnsi" w:hAnsiTheme="majorHAnsi"/>
          <w:i/>
        </w:rPr>
        <w:t xml:space="preserve"> the </w:t>
      </w:r>
      <w:proofErr w:type="spellStart"/>
      <w:r w:rsidRPr="00C1170F">
        <w:rPr>
          <w:rFonts w:asciiTheme="majorHAnsi" w:hAnsiTheme="majorHAnsi"/>
          <w:i/>
        </w:rPr>
        <w:t>High</w:t>
      </w:r>
      <w:proofErr w:type="spellEnd"/>
      <w:r w:rsidRPr="00C1170F">
        <w:rPr>
          <w:rFonts w:asciiTheme="majorHAnsi" w:hAnsiTheme="majorHAnsi"/>
          <w:i/>
        </w:rPr>
        <w:t xml:space="preserve"> </w:t>
      </w:r>
      <w:proofErr w:type="spellStart"/>
      <w:r w:rsidRPr="00C1170F">
        <w:rPr>
          <w:rFonts w:asciiTheme="majorHAnsi" w:hAnsiTheme="majorHAnsi"/>
          <w:i/>
        </w:rPr>
        <w:t>Level</w:t>
      </w:r>
      <w:proofErr w:type="spellEnd"/>
      <w:r w:rsidRPr="00C1170F">
        <w:rPr>
          <w:rFonts w:asciiTheme="majorHAnsi" w:hAnsiTheme="majorHAnsi"/>
          <w:i/>
        </w:rPr>
        <w:t xml:space="preserve"> </w:t>
      </w:r>
      <w:proofErr w:type="spellStart"/>
      <w:r w:rsidRPr="00C1170F">
        <w:rPr>
          <w:rFonts w:asciiTheme="majorHAnsi" w:hAnsiTheme="majorHAnsi"/>
          <w:i/>
        </w:rPr>
        <w:t>Group</w:t>
      </w:r>
      <w:proofErr w:type="spellEnd"/>
      <w:r w:rsidRPr="00C1170F">
        <w:rPr>
          <w:rFonts w:asciiTheme="majorHAnsi" w:hAnsiTheme="majorHAnsi"/>
          <w:i/>
        </w:rPr>
        <w:t>?</w:t>
      </w:r>
    </w:p>
    <w:p w:rsidR="00C1170F" w:rsidRDefault="00C1170F" w:rsidP="00C1170F">
      <w:pPr>
        <w:pStyle w:val="ListParagraph"/>
        <w:numPr>
          <w:ilvl w:val="0"/>
          <w:numId w:val="14"/>
        </w:numPr>
        <w:spacing w:after="120"/>
        <w:ind w:left="567" w:hanging="283"/>
        <w:contextualSpacing w:val="0"/>
        <w:rPr>
          <w:rFonts w:asciiTheme="majorHAnsi" w:hAnsiTheme="majorHAnsi"/>
        </w:rPr>
      </w:pPr>
      <w:r w:rsidRPr="00C1170F">
        <w:rPr>
          <w:rFonts w:asciiTheme="majorHAnsi" w:hAnsiTheme="majorHAnsi"/>
        </w:rPr>
        <w:t>Kurš no minētajiem jautājumiem būtu jāierosina kā prioritāte Konkurētspējas ministru padomē?</w:t>
      </w:r>
    </w:p>
    <w:p w:rsidR="00C1170F" w:rsidRPr="00C1170F" w:rsidRDefault="00C1170F" w:rsidP="00C1170F">
      <w:pPr>
        <w:pStyle w:val="ListParagraph"/>
        <w:spacing w:after="120"/>
        <w:ind w:left="567"/>
        <w:contextualSpacing w:val="0"/>
        <w:rPr>
          <w:rFonts w:asciiTheme="majorHAnsi" w:hAnsiTheme="majorHAnsi"/>
          <w:i/>
        </w:rPr>
      </w:pPr>
      <w:proofErr w:type="spellStart"/>
      <w:r w:rsidRPr="00C1170F">
        <w:rPr>
          <w:rFonts w:asciiTheme="majorHAnsi" w:hAnsiTheme="majorHAnsi"/>
          <w:i/>
        </w:rPr>
        <w:t>Which</w:t>
      </w:r>
      <w:proofErr w:type="spellEnd"/>
      <w:r w:rsidRPr="00C1170F">
        <w:rPr>
          <w:rFonts w:asciiTheme="majorHAnsi" w:hAnsiTheme="majorHAnsi"/>
          <w:i/>
        </w:rPr>
        <w:t xml:space="preserve"> of the </w:t>
      </w:r>
      <w:proofErr w:type="spellStart"/>
      <w:r w:rsidRPr="00C1170F">
        <w:rPr>
          <w:rFonts w:asciiTheme="majorHAnsi" w:hAnsiTheme="majorHAnsi"/>
          <w:i/>
        </w:rPr>
        <w:t>topics</w:t>
      </w:r>
      <w:proofErr w:type="spellEnd"/>
      <w:r w:rsidRPr="00C1170F">
        <w:rPr>
          <w:rFonts w:asciiTheme="majorHAnsi" w:hAnsiTheme="majorHAnsi"/>
          <w:i/>
        </w:rPr>
        <w:t xml:space="preserve"> </w:t>
      </w:r>
      <w:proofErr w:type="spellStart"/>
      <w:r w:rsidRPr="00C1170F">
        <w:rPr>
          <w:rFonts w:asciiTheme="majorHAnsi" w:hAnsiTheme="majorHAnsi"/>
          <w:i/>
        </w:rPr>
        <w:t>mentioned</w:t>
      </w:r>
      <w:proofErr w:type="spellEnd"/>
      <w:r w:rsidRPr="00C1170F">
        <w:rPr>
          <w:rFonts w:asciiTheme="majorHAnsi" w:hAnsiTheme="majorHAnsi"/>
          <w:i/>
        </w:rPr>
        <w:t xml:space="preserve">, </w:t>
      </w:r>
      <w:proofErr w:type="spellStart"/>
      <w:r w:rsidRPr="00C1170F">
        <w:rPr>
          <w:rFonts w:asciiTheme="majorHAnsi" w:hAnsiTheme="majorHAnsi"/>
          <w:i/>
        </w:rPr>
        <w:t>should</w:t>
      </w:r>
      <w:proofErr w:type="spellEnd"/>
      <w:r w:rsidRPr="00C1170F">
        <w:rPr>
          <w:rFonts w:asciiTheme="majorHAnsi" w:hAnsiTheme="majorHAnsi"/>
          <w:i/>
        </w:rPr>
        <w:t xml:space="preserve"> </w:t>
      </w:r>
      <w:proofErr w:type="spellStart"/>
      <w:r w:rsidRPr="00C1170F">
        <w:rPr>
          <w:rFonts w:asciiTheme="majorHAnsi" w:hAnsiTheme="majorHAnsi"/>
          <w:i/>
        </w:rPr>
        <w:t>be</w:t>
      </w:r>
      <w:proofErr w:type="spellEnd"/>
      <w:r w:rsidRPr="00C1170F">
        <w:rPr>
          <w:rFonts w:asciiTheme="majorHAnsi" w:hAnsiTheme="majorHAnsi"/>
          <w:i/>
        </w:rPr>
        <w:t xml:space="preserve"> </w:t>
      </w:r>
      <w:proofErr w:type="spellStart"/>
      <w:r w:rsidRPr="00C1170F">
        <w:rPr>
          <w:rFonts w:asciiTheme="majorHAnsi" w:hAnsiTheme="majorHAnsi"/>
          <w:i/>
        </w:rPr>
        <w:t>proposed</w:t>
      </w:r>
      <w:proofErr w:type="spellEnd"/>
      <w:r w:rsidRPr="00C1170F">
        <w:rPr>
          <w:rFonts w:asciiTheme="majorHAnsi" w:hAnsiTheme="majorHAnsi"/>
          <w:i/>
        </w:rPr>
        <w:t xml:space="preserve"> </w:t>
      </w:r>
      <w:proofErr w:type="spellStart"/>
      <w:r w:rsidRPr="00C1170F">
        <w:rPr>
          <w:rFonts w:asciiTheme="majorHAnsi" w:hAnsiTheme="majorHAnsi"/>
          <w:i/>
        </w:rPr>
        <w:t>as</w:t>
      </w:r>
      <w:proofErr w:type="spellEnd"/>
      <w:r w:rsidRPr="00C1170F">
        <w:rPr>
          <w:rFonts w:asciiTheme="majorHAnsi" w:hAnsiTheme="majorHAnsi"/>
          <w:i/>
        </w:rPr>
        <w:t xml:space="preserve"> a </w:t>
      </w:r>
      <w:proofErr w:type="spellStart"/>
      <w:r w:rsidRPr="00C1170F">
        <w:rPr>
          <w:rFonts w:asciiTheme="majorHAnsi" w:hAnsiTheme="majorHAnsi"/>
          <w:i/>
        </w:rPr>
        <w:t>priority</w:t>
      </w:r>
      <w:proofErr w:type="spellEnd"/>
      <w:r w:rsidRPr="00C1170F">
        <w:rPr>
          <w:rFonts w:asciiTheme="majorHAnsi" w:hAnsiTheme="majorHAnsi"/>
          <w:i/>
        </w:rPr>
        <w:t xml:space="preserve"> to the Council?</w:t>
      </w:r>
    </w:p>
    <w:p w:rsidR="00C1170F" w:rsidRPr="00E27BBB" w:rsidRDefault="00C1170F" w:rsidP="00C1170F">
      <w:pPr>
        <w:spacing w:after="120"/>
        <w:rPr>
          <w:rFonts w:asciiTheme="majorHAnsi" w:hAnsiTheme="majorHAnsi"/>
        </w:rPr>
      </w:pPr>
      <w:r w:rsidRPr="00E27BBB">
        <w:rPr>
          <w:rFonts w:asciiTheme="majorHAnsi" w:hAnsiTheme="majorHAnsi"/>
          <w:b/>
          <w:u w:val="single"/>
        </w:rPr>
        <w:t>Latvijas nostāja:</w:t>
      </w:r>
    </w:p>
    <w:p w:rsidR="002242B8" w:rsidRPr="00FC18EE" w:rsidRDefault="002242B8" w:rsidP="00C1170F">
      <w:pPr>
        <w:pStyle w:val="ListParagraph"/>
        <w:numPr>
          <w:ilvl w:val="0"/>
          <w:numId w:val="12"/>
        </w:numPr>
        <w:spacing w:after="120"/>
        <w:ind w:left="284" w:hanging="284"/>
        <w:contextualSpacing w:val="0"/>
        <w:rPr>
          <w:rFonts w:asciiTheme="majorHAnsi" w:hAnsiTheme="majorHAnsi"/>
          <w:b/>
        </w:rPr>
      </w:pPr>
      <w:r w:rsidRPr="00FC18EE">
        <w:rPr>
          <w:rFonts w:asciiTheme="majorHAnsi" w:hAnsiTheme="majorHAnsi"/>
          <w:b/>
        </w:rPr>
        <w:t xml:space="preserve">Kādos tiesību aktu kopumos un politikas piedāvājumu paketēs būtu lietderīgi piemērot konkurētspējas pārbaudes </w:t>
      </w:r>
      <w:proofErr w:type="spellStart"/>
      <w:r w:rsidRPr="00FC18EE">
        <w:rPr>
          <w:rFonts w:asciiTheme="majorHAnsi" w:hAnsiTheme="majorHAnsi"/>
          <w:b/>
        </w:rPr>
        <w:t>dimensionālo</w:t>
      </w:r>
      <w:proofErr w:type="spellEnd"/>
      <w:r w:rsidRPr="00FC18EE">
        <w:rPr>
          <w:rFonts w:asciiTheme="majorHAnsi" w:hAnsiTheme="majorHAnsi"/>
          <w:b/>
        </w:rPr>
        <w:t xml:space="preserve"> aspektu? Vai klimata un enerģētikas ietvaru un Transatlantiskās tirdzniecības un investīciju partnerības (TTIP)  nolīgumu varētu izmantot kā izmēģinājuma gadījumus?</w:t>
      </w:r>
    </w:p>
    <w:p w:rsidR="00FC18EE" w:rsidRDefault="00714F76" w:rsidP="00FC18EE">
      <w:pPr>
        <w:spacing w:after="120"/>
        <w:rPr>
          <w:rFonts w:asciiTheme="majorHAnsi" w:hAnsiTheme="majorHAnsi"/>
        </w:rPr>
      </w:pPr>
      <w:r>
        <w:rPr>
          <w:rFonts w:asciiTheme="majorHAnsi" w:hAnsiTheme="majorHAnsi"/>
        </w:rPr>
        <w:t xml:space="preserve">Latvija uzskata, ka </w:t>
      </w:r>
      <w:proofErr w:type="spellStart"/>
      <w:r>
        <w:rPr>
          <w:rFonts w:asciiTheme="majorHAnsi" w:hAnsiTheme="majorHAnsi"/>
        </w:rPr>
        <w:t>dimensionālais</w:t>
      </w:r>
      <w:proofErr w:type="spellEnd"/>
      <w:r>
        <w:rPr>
          <w:rFonts w:asciiTheme="majorHAnsi" w:hAnsiTheme="majorHAnsi"/>
        </w:rPr>
        <w:t xml:space="preserve"> aspekts (ja ar to tiek saprasta ES uzņēmumu struktūra, kurā dominē MVU) ir svarīgs elements, kas jāievēro, domājot konkurētspējas pārbaužu īstenošanu. Piekrītam, ka būtiski saprast, kādu ietekmi uz ES MVU un to konkurētspēju atstās </w:t>
      </w:r>
      <w:r w:rsidR="00FC32F4">
        <w:rPr>
          <w:rFonts w:asciiTheme="majorHAnsi" w:hAnsiTheme="majorHAnsi"/>
        </w:rPr>
        <w:t xml:space="preserve">gan </w:t>
      </w:r>
      <w:r>
        <w:rPr>
          <w:rFonts w:asciiTheme="majorHAnsi" w:hAnsiTheme="majorHAnsi"/>
        </w:rPr>
        <w:t xml:space="preserve">pieminētais </w:t>
      </w:r>
      <w:r w:rsidRPr="00714F76">
        <w:rPr>
          <w:rFonts w:asciiTheme="majorHAnsi" w:hAnsiTheme="majorHAnsi"/>
        </w:rPr>
        <w:t>Transatlantiskās tirdzniecības un investīciju partner</w:t>
      </w:r>
      <w:r>
        <w:rPr>
          <w:rFonts w:asciiTheme="majorHAnsi" w:hAnsiTheme="majorHAnsi"/>
        </w:rPr>
        <w:t>ības (TTIP)  nolīgums</w:t>
      </w:r>
      <w:r w:rsidR="00D6262E">
        <w:rPr>
          <w:rFonts w:asciiTheme="majorHAnsi" w:hAnsiTheme="majorHAnsi"/>
        </w:rPr>
        <w:t>, gan ES klimata un enerģētikas jaunais ietvars.</w:t>
      </w:r>
    </w:p>
    <w:p w:rsidR="002242B8" w:rsidRPr="00D6262E" w:rsidRDefault="002242B8" w:rsidP="00FC18EE">
      <w:pPr>
        <w:pStyle w:val="ListParagraph"/>
        <w:numPr>
          <w:ilvl w:val="0"/>
          <w:numId w:val="12"/>
        </w:numPr>
        <w:spacing w:after="120"/>
        <w:ind w:left="284" w:hanging="284"/>
        <w:contextualSpacing w:val="0"/>
        <w:rPr>
          <w:rFonts w:asciiTheme="majorHAnsi" w:hAnsiTheme="majorHAnsi"/>
          <w:b/>
        </w:rPr>
      </w:pPr>
      <w:r w:rsidRPr="00D6262E">
        <w:rPr>
          <w:rFonts w:asciiTheme="majorHAnsi" w:hAnsiTheme="majorHAnsi"/>
          <w:b/>
        </w:rPr>
        <w:t>Kā stiprināt sadarbību starp MVU sūtņu tīklu un Augsta līmeņa konkurētspējas darba grupu?</w:t>
      </w:r>
    </w:p>
    <w:p w:rsidR="00FC18EE" w:rsidRDefault="00D6262E" w:rsidP="00FC18EE">
      <w:pPr>
        <w:spacing w:after="120"/>
        <w:rPr>
          <w:rFonts w:asciiTheme="majorHAnsi" w:hAnsiTheme="majorHAnsi"/>
        </w:rPr>
      </w:pPr>
      <w:r>
        <w:rPr>
          <w:rFonts w:asciiTheme="majorHAnsi" w:hAnsiTheme="majorHAnsi"/>
        </w:rPr>
        <w:t xml:space="preserve">Latvija uzskata, ka šo sadarbību iespējams stiprināt, organizējot MVU sūtņu un Augsta līmeņa konkurētspējas darba grupas pārstāvju kopīgu ikgadēju </w:t>
      </w:r>
      <w:r w:rsidR="00C1170F">
        <w:rPr>
          <w:rFonts w:asciiTheme="majorHAnsi" w:hAnsiTheme="majorHAnsi"/>
        </w:rPr>
        <w:t xml:space="preserve">formālu vai </w:t>
      </w:r>
      <w:r>
        <w:rPr>
          <w:rFonts w:asciiTheme="majorHAnsi" w:hAnsiTheme="majorHAnsi"/>
        </w:rPr>
        <w:t>neformālu tikšanos, kurā tiktu kopīgi apspriesti galvenie MVU konkurētspējas jautājumi, tostarp</w:t>
      </w:r>
      <w:r w:rsidR="00C1170F">
        <w:rPr>
          <w:rFonts w:asciiTheme="majorHAnsi" w:hAnsiTheme="majorHAnsi"/>
        </w:rPr>
        <w:t xml:space="preserve"> </w:t>
      </w:r>
      <w:r>
        <w:rPr>
          <w:rFonts w:asciiTheme="majorHAnsi" w:hAnsiTheme="majorHAnsi"/>
        </w:rPr>
        <w:lastRenderedPageBreak/>
        <w:t xml:space="preserve">sagatavoti </w:t>
      </w:r>
      <w:r w:rsidR="00C1170F">
        <w:rPr>
          <w:rFonts w:asciiTheme="majorHAnsi" w:hAnsiTheme="majorHAnsi"/>
        </w:rPr>
        <w:t xml:space="preserve">priekšlikumi par esošām vai jaunām ES politikas un likumdošanas iniciatīvām, kurām būtu nepieciešams veikt konkurētspējas pārbaudes, vērtējot no </w:t>
      </w:r>
      <w:proofErr w:type="spellStart"/>
      <w:r w:rsidR="00C1170F">
        <w:rPr>
          <w:rFonts w:asciiTheme="majorHAnsi" w:hAnsiTheme="majorHAnsi"/>
        </w:rPr>
        <w:t>dimensionālā</w:t>
      </w:r>
      <w:proofErr w:type="spellEnd"/>
      <w:r w:rsidR="00C1170F">
        <w:rPr>
          <w:rFonts w:asciiTheme="majorHAnsi" w:hAnsiTheme="majorHAnsi"/>
        </w:rPr>
        <w:t xml:space="preserve"> (MVU) aspekta. Vienlaikus, ja nepieciešams abu šo formāciju kopdarbs varētu būt </w:t>
      </w:r>
      <w:r>
        <w:rPr>
          <w:rFonts w:asciiTheme="majorHAnsi" w:hAnsiTheme="majorHAnsi"/>
        </w:rPr>
        <w:t xml:space="preserve">kopīgi atzinumi </w:t>
      </w:r>
      <w:r w:rsidR="00C1170F">
        <w:rPr>
          <w:rFonts w:asciiTheme="majorHAnsi" w:hAnsiTheme="majorHAnsi"/>
        </w:rPr>
        <w:t>un/</w:t>
      </w:r>
      <w:r>
        <w:rPr>
          <w:rFonts w:asciiTheme="majorHAnsi" w:hAnsiTheme="majorHAnsi"/>
        </w:rPr>
        <w:t xml:space="preserve">vai sniegtas rekomendācijas </w:t>
      </w:r>
      <w:r w:rsidR="00C1170F">
        <w:rPr>
          <w:rFonts w:asciiTheme="majorHAnsi" w:hAnsiTheme="majorHAnsi"/>
        </w:rPr>
        <w:t xml:space="preserve">par </w:t>
      </w:r>
      <w:r>
        <w:rPr>
          <w:rFonts w:asciiTheme="majorHAnsi" w:hAnsiTheme="majorHAnsi"/>
        </w:rPr>
        <w:t xml:space="preserve">esošām </w:t>
      </w:r>
      <w:r w:rsidR="00F115CC">
        <w:rPr>
          <w:rFonts w:asciiTheme="majorHAnsi" w:hAnsiTheme="majorHAnsi"/>
        </w:rPr>
        <w:t xml:space="preserve">(„derīguma pārbaudes”) </w:t>
      </w:r>
      <w:r>
        <w:rPr>
          <w:rFonts w:asciiTheme="majorHAnsi" w:hAnsiTheme="majorHAnsi"/>
        </w:rPr>
        <w:t>vai jaunām</w:t>
      </w:r>
      <w:r w:rsidR="00F115CC">
        <w:rPr>
          <w:rFonts w:asciiTheme="majorHAnsi" w:hAnsiTheme="majorHAnsi"/>
        </w:rPr>
        <w:t xml:space="preserve"> („konkurētspējas pārbaudes”)</w:t>
      </w:r>
      <w:r>
        <w:rPr>
          <w:rFonts w:asciiTheme="majorHAnsi" w:hAnsiTheme="majorHAnsi"/>
        </w:rPr>
        <w:t xml:space="preserve"> ES politiku iniciatīvām vai normatīvajiem aktiem. Šie kopīgie ziņojumi varētu tikt virzīti diskusijām un lēmumu pieņemšanai Konkurētspējas ministru padomē.</w:t>
      </w:r>
    </w:p>
    <w:p w:rsidR="002242B8" w:rsidRPr="00D6262E" w:rsidRDefault="002242B8" w:rsidP="00FC18EE">
      <w:pPr>
        <w:pStyle w:val="ListParagraph"/>
        <w:numPr>
          <w:ilvl w:val="0"/>
          <w:numId w:val="12"/>
        </w:numPr>
        <w:spacing w:after="120"/>
        <w:ind w:left="284" w:hanging="284"/>
        <w:contextualSpacing w:val="0"/>
        <w:rPr>
          <w:rFonts w:asciiTheme="majorHAnsi" w:hAnsiTheme="majorHAnsi"/>
          <w:b/>
        </w:rPr>
      </w:pPr>
      <w:r w:rsidRPr="00D6262E">
        <w:rPr>
          <w:rFonts w:asciiTheme="majorHAnsi" w:hAnsiTheme="majorHAnsi"/>
          <w:b/>
        </w:rPr>
        <w:t>Kurš no minētajiem jautājumiem būtu jāierosina kā prioritāte Konkurētspējas ministru padomē?</w:t>
      </w:r>
    </w:p>
    <w:p w:rsidR="002242B8" w:rsidRDefault="00C1170F" w:rsidP="002242B8">
      <w:pPr>
        <w:spacing w:after="120"/>
        <w:rPr>
          <w:rFonts w:asciiTheme="majorHAnsi" w:hAnsiTheme="majorHAnsi"/>
        </w:rPr>
      </w:pPr>
      <w:r w:rsidRPr="00C1170F">
        <w:rPr>
          <w:rFonts w:asciiTheme="majorHAnsi" w:hAnsiTheme="majorHAnsi"/>
        </w:rPr>
        <w:t xml:space="preserve">Latvija </w:t>
      </w:r>
      <w:r>
        <w:rPr>
          <w:rFonts w:asciiTheme="majorHAnsi" w:hAnsiTheme="majorHAnsi"/>
        </w:rPr>
        <w:t xml:space="preserve">uzskata, ka par Konkurētspējas ministru padomes prioritāte ir sniegt skaidru politisku vīziju un atbalstu nepieciešamajām izmaiņām ar ES konkurētspēju saistītajos jautājumos. Vienlaikus </w:t>
      </w:r>
      <w:r w:rsidRPr="00C1170F">
        <w:rPr>
          <w:rFonts w:asciiTheme="majorHAnsi" w:hAnsiTheme="majorHAnsi"/>
        </w:rPr>
        <w:t xml:space="preserve">svarīga arī ciešāka Konkurētspējas </w:t>
      </w:r>
      <w:r>
        <w:rPr>
          <w:rFonts w:asciiTheme="majorHAnsi" w:hAnsiTheme="majorHAnsi"/>
        </w:rPr>
        <w:t xml:space="preserve">ministru </w:t>
      </w:r>
      <w:r w:rsidRPr="00C1170F">
        <w:rPr>
          <w:rFonts w:asciiTheme="majorHAnsi" w:hAnsiTheme="majorHAnsi"/>
        </w:rPr>
        <w:t>padomes sadarbība ar citām Padomes formācijām, lai pārliecinātos, ka rūpniecības konkurētspēja</w:t>
      </w:r>
      <w:r>
        <w:rPr>
          <w:rFonts w:asciiTheme="majorHAnsi" w:hAnsiTheme="majorHAnsi"/>
        </w:rPr>
        <w:t xml:space="preserve"> un MVU intereses</w:t>
      </w:r>
      <w:r w:rsidRPr="00C1170F">
        <w:rPr>
          <w:rFonts w:asciiTheme="majorHAnsi" w:hAnsiTheme="majorHAnsi"/>
        </w:rPr>
        <w:t xml:space="preserve"> kā komponente tiek ņemta vērā citās ES politikās</w:t>
      </w:r>
      <w:r>
        <w:rPr>
          <w:rFonts w:asciiTheme="majorHAnsi" w:hAnsiTheme="majorHAnsi"/>
        </w:rPr>
        <w:t xml:space="preserve">, likumdošanas </w:t>
      </w:r>
      <w:r w:rsidR="00F115CC">
        <w:rPr>
          <w:rFonts w:asciiTheme="majorHAnsi" w:hAnsiTheme="majorHAnsi"/>
        </w:rPr>
        <w:t>priekšlikumos</w:t>
      </w:r>
      <w:r w:rsidRPr="00C1170F">
        <w:rPr>
          <w:rFonts w:asciiTheme="majorHAnsi" w:hAnsiTheme="majorHAnsi"/>
        </w:rPr>
        <w:t xml:space="preserve"> un starptautiskajās sarunās.</w:t>
      </w:r>
    </w:p>
    <w:p w:rsidR="00A33AB9" w:rsidRPr="00C1170F" w:rsidRDefault="00A33AB9" w:rsidP="00433447">
      <w:pPr>
        <w:spacing w:after="120"/>
        <w:rPr>
          <w:rFonts w:asciiTheme="majorHAnsi" w:hAnsiTheme="majorHAnsi"/>
        </w:rPr>
      </w:pPr>
      <w:r>
        <w:rPr>
          <w:rFonts w:asciiTheme="majorHAnsi" w:hAnsiTheme="majorHAnsi"/>
        </w:rPr>
        <w:t xml:space="preserve">Turklāt Konkurētspējas ministru padome varētu būt tā institūcija, kas uzrauga ES līmenī noteikto mērķi panākt, ka rūpniecības īpatsvars IKP līdz 2020.gadam ir 20% un Padomē </w:t>
      </w:r>
      <w:r w:rsidRPr="00A33AB9">
        <w:rPr>
          <w:rFonts w:asciiTheme="majorHAnsi" w:hAnsiTheme="majorHAnsi"/>
        </w:rPr>
        <w:t>varētu notikt ES un ES dalībvalstu rūpniecības konkurētspējas analīze</w:t>
      </w:r>
      <w:r w:rsidR="00043D48">
        <w:rPr>
          <w:rFonts w:asciiTheme="majorHAnsi" w:hAnsiTheme="majorHAnsi"/>
        </w:rPr>
        <w:t>, balstoties uz EK ikgadējiem konkurētspējas ziņojumiem. Šīs diskusijas, cita starpā, varētu dot ieguldījumu</w:t>
      </w:r>
      <w:r w:rsidRPr="00A33AB9">
        <w:rPr>
          <w:rFonts w:asciiTheme="majorHAnsi" w:hAnsiTheme="majorHAnsi"/>
        </w:rPr>
        <w:t xml:space="preserve"> valstu spec</w:t>
      </w:r>
      <w:r w:rsidR="00043D48">
        <w:rPr>
          <w:rFonts w:asciiTheme="majorHAnsi" w:hAnsiTheme="majorHAnsi"/>
        </w:rPr>
        <w:t>ifisko rekomendāciju izvērtēšanā</w:t>
      </w:r>
      <w:r w:rsidRPr="00A33AB9">
        <w:rPr>
          <w:rFonts w:asciiTheme="majorHAnsi" w:hAnsiTheme="majorHAnsi"/>
        </w:rPr>
        <w:t>, tādejādi akcentējot rūpniecības konkurētspējas būtisko lomu ES izaugsmes un darba vietu radīšanā un sasaitē ar stratēģiju „Eiropa 2020”.</w:t>
      </w:r>
    </w:p>
    <w:p w:rsidR="00D6262E" w:rsidRDefault="00D6262E" w:rsidP="00433447">
      <w:pPr>
        <w:spacing w:after="120"/>
        <w:rPr>
          <w:rFonts w:asciiTheme="majorHAnsi" w:hAnsiTheme="majorHAnsi"/>
          <w:b/>
          <w:u w:val="single"/>
        </w:rPr>
      </w:pPr>
    </w:p>
    <w:p w:rsidR="00FA7505" w:rsidRPr="00FA7505" w:rsidRDefault="00FA7505" w:rsidP="00433447">
      <w:pPr>
        <w:pStyle w:val="ListParagraph"/>
        <w:numPr>
          <w:ilvl w:val="0"/>
          <w:numId w:val="5"/>
        </w:numPr>
        <w:shd w:val="clear" w:color="auto" w:fill="F2F2F2" w:themeFill="background1" w:themeFillShade="F2"/>
        <w:spacing w:after="120"/>
        <w:ind w:left="284" w:hanging="284"/>
        <w:contextualSpacing w:val="0"/>
        <w:rPr>
          <w:rFonts w:asciiTheme="majorHAnsi" w:hAnsiTheme="majorHAnsi"/>
          <w:b/>
        </w:rPr>
      </w:pPr>
      <w:r w:rsidRPr="00FA7505">
        <w:rPr>
          <w:rFonts w:asciiTheme="majorHAnsi" w:hAnsiTheme="majorHAnsi"/>
          <w:b/>
        </w:rPr>
        <w:t xml:space="preserve">Sanāksmes pusdienu diskusija – </w:t>
      </w:r>
      <w:r w:rsidR="00056D2F" w:rsidRPr="00056D2F">
        <w:rPr>
          <w:rFonts w:asciiTheme="majorHAnsi" w:hAnsiTheme="majorHAnsi"/>
          <w:b/>
        </w:rPr>
        <w:t>Padomes darba metodes</w:t>
      </w:r>
    </w:p>
    <w:p w:rsidR="00E27BBB" w:rsidRDefault="00981B1A" w:rsidP="00433447">
      <w:pPr>
        <w:spacing w:after="120"/>
        <w:rPr>
          <w:rFonts w:asciiTheme="majorHAnsi" w:hAnsiTheme="majorHAnsi"/>
        </w:rPr>
      </w:pPr>
      <w:r>
        <w:rPr>
          <w:rFonts w:asciiTheme="majorHAnsi" w:hAnsiTheme="majorHAnsi"/>
        </w:rPr>
        <w:t>Oficiālajās darba p</w:t>
      </w:r>
      <w:r w:rsidR="00FA7505" w:rsidRPr="00FA7505">
        <w:rPr>
          <w:rFonts w:asciiTheme="majorHAnsi" w:hAnsiTheme="majorHAnsi"/>
        </w:rPr>
        <w:t xml:space="preserve">usdienās Prezidentūra paredzējusi neformālas dalībvalstu pārstāvju diskusijas par </w:t>
      </w:r>
      <w:r>
        <w:rPr>
          <w:rFonts w:asciiTheme="majorHAnsi" w:hAnsiTheme="majorHAnsi"/>
        </w:rPr>
        <w:t xml:space="preserve">Konkurētspējas ministru padomes darba metodēm. Darba pusdienās </w:t>
      </w:r>
      <w:r w:rsidR="00E27BBB">
        <w:rPr>
          <w:rFonts w:asciiTheme="majorHAnsi" w:hAnsiTheme="majorHAnsi"/>
        </w:rPr>
        <w:t>plānota ievadruna pēc kuras valstu delegāciju vadītāji aicināti sniegt savu redzējumu par Konkurētspējas ministru padomes lomu un iespējamajiem uzlabojumiem tās darba pieejā.</w:t>
      </w:r>
    </w:p>
    <w:p w:rsidR="00403EA9" w:rsidRPr="00E27BBB" w:rsidRDefault="00403EA9" w:rsidP="00403EA9">
      <w:pPr>
        <w:spacing w:after="120"/>
        <w:rPr>
          <w:rFonts w:asciiTheme="majorHAnsi" w:hAnsiTheme="majorHAnsi"/>
        </w:rPr>
      </w:pPr>
      <w:r w:rsidRPr="00E311D4">
        <w:rPr>
          <w:rFonts w:asciiTheme="majorHAnsi" w:hAnsiTheme="majorHAnsi"/>
          <w:b/>
          <w:u w:val="single"/>
        </w:rPr>
        <w:t>Latvijas nostāja:</w:t>
      </w:r>
    </w:p>
    <w:p w:rsidR="00A33AB9" w:rsidRDefault="00002F1A" w:rsidP="00433447">
      <w:pPr>
        <w:spacing w:after="120"/>
        <w:rPr>
          <w:rFonts w:asciiTheme="majorHAnsi" w:hAnsiTheme="majorHAnsi"/>
        </w:rPr>
      </w:pPr>
      <w:r w:rsidRPr="00972D92">
        <w:rPr>
          <w:rFonts w:asciiTheme="majorHAnsi" w:hAnsiTheme="majorHAnsi"/>
        </w:rPr>
        <w:t>Latvija uzskata, ka ir svarīgi strādāt pie Konkurētspējas padomes lomas stiprināšanas</w:t>
      </w:r>
      <w:r>
        <w:rPr>
          <w:rFonts w:asciiTheme="majorHAnsi" w:hAnsiTheme="majorHAnsi"/>
        </w:rPr>
        <w:t xml:space="preserve">. </w:t>
      </w:r>
      <w:r w:rsidR="00A33AB9">
        <w:rPr>
          <w:rFonts w:asciiTheme="majorHAnsi" w:hAnsiTheme="majorHAnsi"/>
        </w:rPr>
        <w:t xml:space="preserve">Latvija </w:t>
      </w:r>
      <w:r w:rsidR="00433447">
        <w:rPr>
          <w:rFonts w:asciiTheme="majorHAnsi" w:hAnsiTheme="majorHAnsi"/>
        </w:rPr>
        <w:t>ir atvērta priekšlikumiem par ES Konkurētspējas ministru padomes darba metožu uzlabošanas iespējām. Šajā aspektā vajadzētu domāt, kā tuvināt Konkurētspējas ministru padomi ar citām Padomes formācijām.</w:t>
      </w:r>
    </w:p>
    <w:p w:rsidR="00002F1A" w:rsidRDefault="00002F1A" w:rsidP="00002F1A">
      <w:pPr>
        <w:spacing w:after="120"/>
        <w:rPr>
          <w:rFonts w:asciiTheme="majorHAnsi" w:hAnsiTheme="majorHAnsi"/>
        </w:rPr>
      </w:pPr>
      <w:r>
        <w:rPr>
          <w:rFonts w:asciiTheme="majorHAnsi" w:hAnsiTheme="majorHAnsi"/>
        </w:rPr>
        <w:t xml:space="preserve">Šajā kontekstā </w:t>
      </w:r>
      <w:r w:rsidRPr="00972D92">
        <w:rPr>
          <w:rFonts w:asciiTheme="majorHAnsi" w:hAnsiTheme="majorHAnsi"/>
        </w:rPr>
        <w:t xml:space="preserve">Latvija saskata arī iespējas būtiski uzlabot </w:t>
      </w:r>
      <w:r>
        <w:rPr>
          <w:rFonts w:asciiTheme="majorHAnsi" w:hAnsiTheme="majorHAnsi"/>
        </w:rPr>
        <w:t xml:space="preserve">Augsta līmeņa </w:t>
      </w:r>
      <w:proofErr w:type="spellStart"/>
      <w:r>
        <w:rPr>
          <w:rFonts w:asciiTheme="majorHAnsi" w:hAnsiTheme="majorHAnsi"/>
        </w:rPr>
        <w:t>Konkurētpsējas</w:t>
      </w:r>
      <w:proofErr w:type="spellEnd"/>
      <w:r>
        <w:rPr>
          <w:rFonts w:asciiTheme="majorHAnsi" w:hAnsiTheme="majorHAnsi"/>
        </w:rPr>
        <w:t xml:space="preserve"> un izaugsmes darba grupas (</w:t>
      </w:r>
      <w:r w:rsidRPr="00972D92">
        <w:rPr>
          <w:rFonts w:asciiTheme="majorHAnsi" w:hAnsiTheme="majorHAnsi"/>
        </w:rPr>
        <w:t>HLG COMPCRO</w:t>
      </w:r>
      <w:r>
        <w:rPr>
          <w:rFonts w:asciiTheme="majorHAnsi" w:hAnsiTheme="majorHAnsi"/>
        </w:rPr>
        <w:t>)</w:t>
      </w:r>
      <w:r w:rsidRPr="00972D92">
        <w:rPr>
          <w:rFonts w:asciiTheme="majorHAnsi" w:hAnsiTheme="majorHAnsi"/>
        </w:rPr>
        <w:t xml:space="preserve"> darbu, tās sasaiti ar Konkurētspējas padomi, uzlabot tās darba nepārtrauktību. Latvija konceptuāli atbalsta HLG COMPCRO reformēšanas pasākumus, kas cita starpā ietvertu pāreju uz vēlētu darba grupas vadītāju. Vēlēts pastāvīgais priekšsēdētājs varētu labāk nodrošināt HLG COMPCRO darba nepārtrauktību, saskaņotību ar Konkurētspējas ministru padomju darba </w:t>
      </w:r>
      <w:proofErr w:type="spellStart"/>
      <w:r w:rsidRPr="00972D92">
        <w:rPr>
          <w:rFonts w:asciiTheme="majorHAnsi" w:hAnsiTheme="majorHAnsi"/>
        </w:rPr>
        <w:t>kārtībām</w:t>
      </w:r>
      <w:proofErr w:type="spellEnd"/>
      <w:r w:rsidRPr="00972D92">
        <w:rPr>
          <w:rFonts w:asciiTheme="majorHAnsi" w:hAnsiTheme="majorHAnsi"/>
        </w:rPr>
        <w:t xml:space="preserve"> un aktualitātēm, kā arī ciešāku citu Padomju formātos izskatāmo konkurētspēju ietekmējošo tiesību aktu uzraudzību. Tajā pašā laikā jāstrādā arī pie darba grupas mandāta, darba kārtību, darba metožu pārskatīšanas ar mērķi padarīt grupas darbu </w:t>
      </w:r>
      <w:proofErr w:type="spellStart"/>
      <w:r w:rsidRPr="00972D92">
        <w:rPr>
          <w:rFonts w:asciiTheme="majorHAnsi" w:hAnsiTheme="majorHAnsi"/>
        </w:rPr>
        <w:t>jēgpilnāku</w:t>
      </w:r>
      <w:proofErr w:type="spellEnd"/>
      <w:r w:rsidRPr="00972D92">
        <w:rPr>
          <w:rFonts w:asciiTheme="majorHAnsi" w:hAnsiTheme="majorHAnsi"/>
        </w:rPr>
        <w:t xml:space="preserve"> un rezultatīvāku.</w:t>
      </w:r>
    </w:p>
    <w:p w:rsidR="00002F1A" w:rsidRDefault="00002F1A" w:rsidP="002242B8">
      <w:pPr>
        <w:spacing w:after="120"/>
        <w:rPr>
          <w:rFonts w:asciiTheme="majorHAnsi" w:hAnsiTheme="majorHAnsi"/>
        </w:rPr>
      </w:pPr>
      <w:r w:rsidRPr="00972D92">
        <w:rPr>
          <w:rFonts w:asciiTheme="majorHAnsi" w:hAnsiTheme="majorHAnsi"/>
        </w:rPr>
        <w:t xml:space="preserve">Latvija </w:t>
      </w:r>
      <w:r>
        <w:rPr>
          <w:rFonts w:asciiTheme="majorHAnsi" w:hAnsiTheme="majorHAnsi"/>
        </w:rPr>
        <w:t>norāda</w:t>
      </w:r>
      <w:r w:rsidR="00EB26DE">
        <w:rPr>
          <w:rFonts w:asciiTheme="majorHAnsi" w:hAnsiTheme="majorHAnsi"/>
        </w:rPr>
        <w:t xml:space="preserve"> uz</w:t>
      </w:r>
      <w:r w:rsidRPr="00972D92">
        <w:rPr>
          <w:rFonts w:asciiTheme="majorHAnsi" w:hAnsiTheme="majorHAnsi"/>
        </w:rPr>
        <w:t xml:space="preserve"> iein</w:t>
      </w:r>
      <w:r w:rsidR="00EB26DE">
        <w:rPr>
          <w:rFonts w:asciiTheme="majorHAnsi" w:hAnsiTheme="majorHAnsi"/>
        </w:rPr>
        <w:t>teresēto uzņēmēju pārstāvju lomu un uzskata, ka ir ļoti būtiski tos iesaistīt jau</w:t>
      </w:r>
      <w:r w:rsidRPr="00972D92">
        <w:rPr>
          <w:rFonts w:asciiTheme="majorHAnsi" w:hAnsiTheme="majorHAnsi"/>
        </w:rPr>
        <w:t xml:space="preserve"> ES politikas un regulējuma iniciatīvu pirmsākumos, ka arī to īstenošanā. Ir </w:t>
      </w:r>
      <w:r w:rsidRPr="00972D92">
        <w:rPr>
          <w:rFonts w:asciiTheme="majorHAnsi" w:hAnsiTheme="majorHAnsi"/>
        </w:rPr>
        <w:lastRenderedPageBreak/>
        <w:t>ļoti svarīgi, lai ieinteresēto uzņēmēju pārstāvji tiktu uzklausīti un aicināti izteikt novērojumus un ieteikumus. Tāpat uzņēmējiem ir jāziņo par šķēršļiem, kas kavē to konkurētspēju ne tikai ES Vienotajā tirgū, bet arī globālajos tirgos</w:t>
      </w:r>
      <w:r>
        <w:rPr>
          <w:rFonts w:asciiTheme="majorHAnsi" w:hAnsiTheme="majorHAnsi"/>
        </w:rPr>
        <w:t>.</w:t>
      </w:r>
    </w:p>
    <w:p w:rsidR="00F6167D" w:rsidRPr="00E311D4" w:rsidRDefault="00433447" w:rsidP="002242B8">
      <w:pPr>
        <w:spacing w:after="120"/>
        <w:rPr>
          <w:rFonts w:asciiTheme="majorHAnsi" w:hAnsiTheme="majorHAnsi"/>
        </w:rPr>
      </w:pPr>
      <w:r>
        <w:rPr>
          <w:rFonts w:asciiTheme="majorHAnsi" w:hAnsiTheme="majorHAnsi"/>
        </w:rPr>
        <w:t xml:space="preserve">Ņemot vērā, ka nākamajā pusgadā Latvija kļūs par prezidējošo valsti ES Padomē, Latvija ar interesi uzklausīs ierosinājumus </w:t>
      </w:r>
      <w:r w:rsidRPr="00433447">
        <w:rPr>
          <w:rFonts w:asciiTheme="majorHAnsi" w:hAnsiTheme="majorHAnsi"/>
        </w:rPr>
        <w:t>ES Konkurētspējas ministru padomes</w:t>
      </w:r>
      <w:r>
        <w:rPr>
          <w:rFonts w:asciiTheme="majorHAnsi" w:hAnsiTheme="majorHAnsi"/>
        </w:rPr>
        <w:t xml:space="preserve"> darba metožu uzlabošanai un lielākas pievienotās vērtības radīšanai ES ekonomiskās izaugsmes sekmēšanai.</w:t>
      </w:r>
    </w:p>
    <w:p w:rsidR="00600C99" w:rsidRDefault="00600C99" w:rsidP="002242B8">
      <w:pPr>
        <w:spacing w:after="120"/>
        <w:rPr>
          <w:rFonts w:asciiTheme="majorHAnsi" w:hAnsiTheme="majorHAnsi"/>
        </w:rPr>
      </w:pPr>
    </w:p>
    <w:p w:rsidR="008F0504" w:rsidRPr="00E311D4" w:rsidRDefault="008F0504" w:rsidP="00E27BBB">
      <w:pPr>
        <w:pStyle w:val="ListParagraph"/>
        <w:numPr>
          <w:ilvl w:val="0"/>
          <w:numId w:val="5"/>
        </w:numPr>
        <w:spacing w:after="120"/>
        <w:ind w:left="284" w:hanging="284"/>
        <w:contextualSpacing w:val="0"/>
        <w:rPr>
          <w:rFonts w:asciiTheme="majorHAnsi" w:hAnsiTheme="majorHAnsi" w:cs="Times New Roman"/>
          <w:b/>
          <w:szCs w:val="24"/>
        </w:rPr>
      </w:pPr>
      <w:r w:rsidRPr="00E311D4">
        <w:rPr>
          <w:rFonts w:asciiTheme="majorHAnsi" w:hAnsiTheme="majorHAnsi" w:cs="Times New Roman"/>
          <w:b/>
          <w:szCs w:val="24"/>
        </w:rPr>
        <w:t>Latvijas delegācijas sastāvs</w:t>
      </w:r>
    </w:p>
    <w:p w:rsidR="00E311D4" w:rsidRPr="00E311D4" w:rsidRDefault="00E311D4" w:rsidP="00E27BBB">
      <w:pPr>
        <w:spacing w:after="120"/>
        <w:rPr>
          <w:rFonts w:asciiTheme="majorHAnsi" w:hAnsiTheme="majorHAnsi" w:cs="Times New Roman"/>
          <w:szCs w:val="24"/>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gridCol w:w="4961"/>
      </w:tblGrid>
      <w:tr w:rsidR="00C84844" w:rsidTr="00E70998">
        <w:tc>
          <w:tcPr>
            <w:tcW w:w="2376" w:type="dxa"/>
          </w:tcPr>
          <w:p w:rsidR="00C84844" w:rsidRPr="00D94680" w:rsidRDefault="00C84844" w:rsidP="00E27BBB">
            <w:pPr>
              <w:spacing w:after="120"/>
              <w:rPr>
                <w:rFonts w:asciiTheme="majorHAnsi" w:hAnsiTheme="majorHAnsi" w:cs="Times New Roman"/>
                <w:szCs w:val="24"/>
              </w:rPr>
            </w:pPr>
            <w:r w:rsidRPr="00D94680">
              <w:rPr>
                <w:rFonts w:asciiTheme="majorHAnsi" w:hAnsiTheme="majorHAnsi" w:cs="Times New Roman"/>
                <w:szCs w:val="24"/>
              </w:rPr>
              <w:t>Delegācijas vadītājs:</w:t>
            </w:r>
            <w:r w:rsidRPr="00D94680">
              <w:rPr>
                <w:rFonts w:asciiTheme="majorHAnsi" w:hAnsiTheme="majorHAnsi" w:cs="Times New Roman"/>
                <w:szCs w:val="24"/>
              </w:rPr>
              <w:tab/>
            </w:r>
          </w:p>
        </w:tc>
        <w:tc>
          <w:tcPr>
            <w:tcW w:w="1843" w:type="dxa"/>
          </w:tcPr>
          <w:p w:rsidR="00C84844" w:rsidRPr="00CB633A" w:rsidRDefault="00162160" w:rsidP="00162160">
            <w:pPr>
              <w:spacing w:after="120"/>
              <w:rPr>
                <w:rFonts w:asciiTheme="majorHAnsi" w:hAnsiTheme="majorHAnsi" w:cs="Times New Roman"/>
                <w:b/>
                <w:szCs w:val="24"/>
              </w:rPr>
            </w:pPr>
            <w:r w:rsidRPr="00CB633A">
              <w:rPr>
                <w:rFonts w:asciiTheme="majorHAnsi" w:hAnsiTheme="majorHAnsi" w:cs="Times New Roman"/>
                <w:b/>
                <w:szCs w:val="24"/>
              </w:rPr>
              <w:t>M</w:t>
            </w:r>
            <w:r w:rsidR="00433447" w:rsidRPr="00CB633A">
              <w:rPr>
                <w:rFonts w:asciiTheme="majorHAnsi" w:hAnsiTheme="majorHAnsi" w:cs="Times New Roman"/>
                <w:b/>
                <w:szCs w:val="24"/>
              </w:rPr>
              <w:t>.</w:t>
            </w:r>
            <w:r w:rsidRPr="00CB633A">
              <w:rPr>
                <w:rFonts w:asciiTheme="majorHAnsi" w:hAnsiTheme="majorHAnsi" w:cs="Times New Roman"/>
                <w:b/>
                <w:szCs w:val="24"/>
              </w:rPr>
              <w:t>Lazdovskis</w:t>
            </w:r>
          </w:p>
        </w:tc>
        <w:tc>
          <w:tcPr>
            <w:tcW w:w="4961" w:type="dxa"/>
          </w:tcPr>
          <w:p w:rsidR="00C84844" w:rsidRPr="00D94680" w:rsidRDefault="00AC6891" w:rsidP="00E27BBB">
            <w:pPr>
              <w:spacing w:after="120"/>
              <w:rPr>
                <w:rFonts w:asciiTheme="majorHAnsi" w:hAnsiTheme="majorHAnsi" w:cs="Times New Roman"/>
                <w:szCs w:val="24"/>
              </w:rPr>
            </w:pPr>
            <w:r>
              <w:rPr>
                <w:rFonts w:asciiTheme="majorHAnsi" w:hAnsiTheme="majorHAnsi" w:cs="Times New Roman"/>
                <w:szCs w:val="24"/>
              </w:rPr>
              <w:t>E</w:t>
            </w:r>
            <w:r w:rsidR="00C84844" w:rsidRPr="00D94680">
              <w:rPr>
                <w:rFonts w:asciiTheme="majorHAnsi" w:hAnsiTheme="majorHAnsi" w:cs="Times New Roman"/>
                <w:szCs w:val="24"/>
              </w:rPr>
              <w:t xml:space="preserve">konomikas </w:t>
            </w:r>
            <w:r w:rsidR="000C3CED" w:rsidRPr="00D94680">
              <w:rPr>
                <w:rFonts w:asciiTheme="majorHAnsi" w:hAnsiTheme="majorHAnsi" w:cs="Times New Roman"/>
                <w:szCs w:val="24"/>
              </w:rPr>
              <w:t>ministrijas valsts sekretārs.</w:t>
            </w:r>
          </w:p>
        </w:tc>
      </w:tr>
      <w:tr w:rsidR="00C84844" w:rsidTr="00E70998">
        <w:tc>
          <w:tcPr>
            <w:tcW w:w="2376" w:type="dxa"/>
          </w:tcPr>
          <w:p w:rsidR="00C84844" w:rsidRPr="00D94680" w:rsidRDefault="00C84844" w:rsidP="00E27BBB">
            <w:pPr>
              <w:spacing w:after="120"/>
              <w:rPr>
                <w:rFonts w:asciiTheme="majorHAnsi" w:hAnsiTheme="majorHAnsi" w:cs="Times New Roman"/>
                <w:szCs w:val="24"/>
              </w:rPr>
            </w:pPr>
          </w:p>
        </w:tc>
        <w:tc>
          <w:tcPr>
            <w:tcW w:w="1843" w:type="dxa"/>
          </w:tcPr>
          <w:p w:rsidR="00C84844" w:rsidRPr="00CB633A" w:rsidRDefault="00C84844" w:rsidP="00E27BBB">
            <w:pPr>
              <w:spacing w:after="120"/>
              <w:rPr>
                <w:rFonts w:asciiTheme="majorHAnsi" w:hAnsiTheme="majorHAnsi" w:cs="Times New Roman"/>
                <w:szCs w:val="24"/>
              </w:rPr>
            </w:pPr>
          </w:p>
        </w:tc>
        <w:tc>
          <w:tcPr>
            <w:tcW w:w="4961" w:type="dxa"/>
          </w:tcPr>
          <w:p w:rsidR="00C84844" w:rsidRPr="00D94680" w:rsidRDefault="00C84844" w:rsidP="00E27BBB">
            <w:pPr>
              <w:spacing w:after="120"/>
              <w:rPr>
                <w:rFonts w:asciiTheme="majorHAnsi" w:hAnsiTheme="majorHAnsi" w:cs="Times New Roman"/>
                <w:szCs w:val="24"/>
              </w:rPr>
            </w:pPr>
          </w:p>
        </w:tc>
      </w:tr>
      <w:tr w:rsidR="00C84844" w:rsidTr="00E70998">
        <w:tc>
          <w:tcPr>
            <w:tcW w:w="2376" w:type="dxa"/>
          </w:tcPr>
          <w:p w:rsidR="00C84844" w:rsidRPr="00D94680" w:rsidRDefault="00C84844" w:rsidP="00E27BBB">
            <w:pPr>
              <w:spacing w:after="120"/>
              <w:rPr>
                <w:rFonts w:asciiTheme="majorHAnsi" w:hAnsiTheme="majorHAnsi" w:cs="Times New Roman"/>
                <w:szCs w:val="24"/>
              </w:rPr>
            </w:pPr>
            <w:r w:rsidRPr="00D94680">
              <w:rPr>
                <w:rFonts w:asciiTheme="majorHAnsi" w:hAnsiTheme="majorHAnsi" w:cs="Times New Roman"/>
                <w:szCs w:val="24"/>
              </w:rPr>
              <w:t>Delegācijas sastāvā:</w:t>
            </w:r>
          </w:p>
        </w:tc>
        <w:tc>
          <w:tcPr>
            <w:tcW w:w="1843" w:type="dxa"/>
          </w:tcPr>
          <w:p w:rsidR="00C84844" w:rsidRPr="00CB633A" w:rsidRDefault="00162160" w:rsidP="00336281">
            <w:pPr>
              <w:spacing w:after="120"/>
              <w:rPr>
                <w:rFonts w:asciiTheme="majorHAnsi" w:hAnsiTheme="majorHAnsi" w:cs="Times New Roman"/>
                <w:b/>
                <w:szCs w:val="24"/>
              </w:rPr>
            </w:pPr>
            <w:r w:rsidRPr="00CB633A">
              <w:rPr>
                <w:rFonts w:asciiTheme="majorHAnsi" w:hAnsiTheme="majorHAnsi" w:cs="Times New Roman"/>
                <w:b/>
                <w:bCs/>
                <w:szCs w:val="24"/>
              </w:rPr>
              <w:t>Z</w:t>
            </w:r>
            <w:r w:rsidR="00D94680" w:rsidRPr="00CB633A">
              <w:rPr>
                <w:rFonts w:asciiTheme="majorHAnsi" w:hAnsiTheme="majorHAnsi" w:cs="Times New Roman"/>
                <w:b/>
                <w:bCs/>
                <w:szCs w:val="24"/>
              </w:rPr>
              <w:t>.</w:t>
            </w:r>
            <w:r w:rsidRPr="00CB633A">
              <w:rPr>
                <w:rFonts w:asciiTheme="majorHAnsi" w:hAnsiTheme="majorHAnsi" w:cs="Times New Roman"/>
                <w:b/>
                <w:bCs/>
                <w:szCs w:val="24"/>
              </w:rPr>
              <w:t>Liepiņa</w:t>
            </w:r>
            <w:r w:rsidR="00336281">
              <w:rPr>
                <w:rFonts w:asciiTheme="majorHAnsi" w:hAnsiTheme="majorHAnsi" w:cs="Times New Roman"/>
                <w:b/>
                <w:bCs/>
                <w:szCs w:val="24"/>
              </w:rPr>
              <w:t xml:space="preserve"> </w:t>
            </w:r>
          </w:p>
        </w:tc>
        <w:tc>
          <w:tcPr>
            <w:tcW w:w="4961" w:type="dxa"/>
          </w:tcPr>
          <w:p w:rsidR="00C84844" w:rsidRPr="00D94680" w:rsidRDefault="000C3CED" w:rsidP="00E27BBB">
            <w:pPr>
              <w:spacing w:after="120"/>
              <w:rPr>
                <w:rFonts w:asciiTheme="majorHAnsi" w:hAnsiTheme="majorHAnsi" w:cs="Times New Roman"/>
                <w:szCs w:val="24"/>
              </w:rPr>
            </w:pPr>
            <w:r w:rsidRPr="00D94680">
              <w:rPr>
                <w:rFonts w:asciiTheme="majorHAnsi" w:hAnsiTheme="majorHAnsi" w:cs="Times New Roman"/>
                <w:bCs/>
                <w:szCs w:val="24"/>
              </w:rPr>
              <w:t>Ekonomikas ministrijas valsts sekretāra vietniece;</w:t>
            </w:r>
          </w:p>
        </w:tc>
      </w:tr>
      <w:tr w:rsidR="00336281" w:rsidTr="00E70998">
        <w:tc>
          <w:tcPr>
            <w:tcW w:w="2376" w:type="dxa"/>
          </w:tcPr>
          <w:p w:rsidR="00336281" w:rsidRPr="00D94680" w:rsidRDefault="00336281" w:rsidP="00E27BBB">
            <w:pPr>
              <w:spacing w:after="120"/>
              <w:rPr>
                <w:rFonts w:asciiTheme="majorHAnsi" w:hAnsiTheme="majorHAnsi" w:cs="Times New Roman"/>
                <w:szCs w:val="24"/>
              </w:rPr>
            </w:pPr>
          </w:p>
        </w:tc>
        <w:tc>
          <w:tcPr>
            <w:tcW w:w="1843" w:type="dxa"/>
          </w:tcPr>
          <w:p w:rsidR="00336281" w:rsidRPr="00CB633A" w:rsidRDefault="00336281" w:rsidP="00336281">
            <w:pPr>
              <w:spacing w:after="120"/>
              <w:rPr>
                <w:rFonts w:asciiTheme="majorHAnsi" w:hAnsiTheme="majorHAnsi" w:cs="Times New Roman"/>
                <w:b/>
                <w:bCs/>
                <w:szCs w:val="24"/>
              </w:rPr>
            </w:pPr>
            <w:r w:rsidRPr="00CB633A">
              <w:rPr>
                <w:rFonts w:asciiTheme="majorHAnsi" w:hAnsiTheme="majorHAnsi" w:cs="Times New Roman"/>
                <w:b/>
                <w:szCs w:val="24"/>
              </w:rPr>
              <w:t>I.Balode</w:t>
            </w:r>
          </w:p>
        </w:tc>
        <w:tc>
          <w:tcPr>
            <w:tcW w:w="4961" w:type="dxa"/>
          </w:tcPr>
          <w:p w:rsidR="00336281" w:rsidRPr="00D94680" w:rsidRDefault="00336281" w:rsidP="00E27BBB">
            <w:pPr>
              <w:spacing w:after="120"/>
              <w:rPr>
                <w:rFonts w:asciiTheme="majorHAnsi" w:hAnsiTheme="majorHAnsi" w:cs="Times New Roman"/>
                <w:bCs/>
                <w:szCs w:val="24"/>
              </w:rPr>
            </w:pPr>
            <w:r w:rsidRPr="00D94680">
              <w:rPr>
                <w:rFonts w:asciiTheme="majorHAnsi" w:hAnsiTheme="majorHAnsi" w:cs="Times New Roman"/>
                <w:szCs w:val="24"/>
              </w:rPr>
              <w:t xml:space="preserve">Ekonomikas ministrijas </w:t>
            </w:r>
            <w:r>
              <w:rPr>
                <w:rFonts w:asciiTheme="majorHAnsi" w:hAnsiTheme="majorHAnsi" w:cs="Times New Roman"/>
                <w:szCs w:val="24"/>
              </w:rPr>
              <w:t>Ārējo ekonomisko attiecību departamenta direktore;</w:t>
            </w:r>
          </w:p>
        </w:tc>
      </w:tr>
      <w:tr w:rsidR="00002F1A" w:rsidTr="00E70998">
        <w:tc>
          <w:tcPr>
            <w:tcW w:w="2376" w:type="dxa"/>
          </w:tcPr>
          <w:p w:rsidR="00002F1A" w:rsidRDefault="00002F1A" w:rsidP="00E27BBB">
            <w:pPr>
              <w:spacing w:after="120"/>
              <w:rPr>
                <w:rFonts w:asciiTheme="majorHAnsi" w:hAnsiTheme="majorHAnsi" w:cs="Times New Roman"/>
                <w:szCs w:val="24"/>
              </w:rPr>
            </w:pPr>
          </w:p>
        </w:tc>
        <w:tc>
          <w:tcPr>
            <w:tcW w:w="1843" w:type="dxa"/>
          </w:tcPr>
          <w:p w:rsidR="00002F1A" w:rsidRPr="00336281" w:rsidRDefault="00002F1A" w:rsidP="00E27BBB">
            <w:pPr>
              <w:spacing w:after="120"/>
              <w:rPr>
                <w:rFonts w:asciiTheme="majorHAnsi" w:hAnsiTheme="majorHAnsi" w:cs="Times New Roman"/>
                <w:b/>
                <w:szCs w:val="24"/>
              </w:rPr>
            </w:pPr>
            <w:r w:rsidRPr="00336281">
              <w:rPr>
                <w:rFonts w:asciiTheme="majorHAnsi" w:hAnsiTheme="majorHAnsi" w:cs="Times New Roman"/>
                <w:b/>
                <w:szCs w:val="24"/>
              </w:rPr>
              <w:t>A.Upena</w:t>
            </w:r>
          </w:p>
        </w:tc>
        <w:tc>
          <w:tcPr>
            <w:tcW w:w="4961" w:type="dxa"/>
          </w:tcPr>
          <w:p w:rsidR="00002F1A" w:rsidRDefault="00002F1A" w:rsidP="00E27BBB">
            <w:pPr>
              <w:spacing w:after="120"/>
              <w:rPr>
                <w:rFonts w:asciiTheme="majorHAnsi" w:hAnsiTheme="majorHAnsi" w:cs="Times New Roman"/>
                <w:szCs w:val="24"/>
              </w:rPr>
            </w:pPr>
            <w:r w:rsidRPr="00336281">
              <w:rPr>
                <w:rFonts w:asciiTheme="majorHAnsi" w:hAnsiTheme="majorHAnsi" w:cs="Times New Roman"/>
                <w:szCs w:val="24"/>
              </w:rPr>
              <w:t>Konkurētspējas un enerģētikas nodaļas vadītāja Latvijas Republikas Pastāvīgajā pārstāvniecībā Eiropas Savienībā</w:t>
            </w:r>
            <w:r>
              <w:rPr>
                <w:rFonts w:asciiTheme="majorHAnsi" w:hAnsiTheme="majorHAnsi" w:cs="Times New Roman"/>
                <w:szCs w:val="24"/>
              </w:rPr>
              <w:t>.</w:t>
            </w:r>
          </w:p>
        </w:tc>
      </w:tr>
    </w:tbl>
    <w:p w:rsidR="00C84844" w:rsidRDefault="00C84844" w:rsidP="00E27BBB">
      <w:pPr>
        <w:spacing w:after="120"/>
        <w:rPr>
          <w:rFonts w:asciiTheme="majorHAnsi" w:hAnsiTheme="majorHAnsi" w:cs="Times New Roman"/>
          <w:szCs w:val="24"/>
        </w:rPr>
      </w:pPr>
    </w:p>
    <w:p w:rsidR="00C84844" w:rsidRDefault="00C84844" w:rsidP="00E27BBB">
      <w:pPr>
        <w:spacing w:after="120"/>
        <w:rPr>
          <w:rFonts w:asciiTheme="majorHAnsi" w:hAnsiTheme="majorHAnsi" w:cs="Times New Roman"/>
          <w:szCs w:val="24"/>
        </w:rPr>
      </w:pPr>
    </w:p>
    <w:p w:rsidR="00E311D4" w:rsidRPr="00C84844" w:rsidRDefault="008F0504" w:rsidP="00E27BBB">
      <w:pPr>
        <w:spacing w:after="120"/>
        <w:ind w:left="2880" w:hanging="2880"/>
        <w:rPr>
          <w:rFonts w:asciiTheme="majorHAnsi" w:hAnsiTheme="majorHAnsi" w:cs="Times New Roman"/>
          <w:szCs w:val="24"/>
        </w:rPr>
      </w:pPr>
      <w:r w:rsidRPr="00E311D4">
        <w:rPr>
          <w:rFonts w:asciiTheme="majorHAnsi" w:hAnsiTheme="majorHAnsi" w:cs="Times New Roman"/>
          <w:szCs w:val="24"/>
        </w:rPr>
        <w:tab/>
      </w:r>
      <w:r w:rsidR="00E311D4">
        <w:rPr>
          <w:rFonts w:asciiTheme="majorHAnsi" w:hAnsiTheme="majorHAnsi" w:cs="Times New Roman"/>
          <w:szCs w:val="24"/>
        </w:rPr>
        <w:tab/>
      </w:r>
      <w:r w:rsidR="00E311D4">
        <w:rPr>
          <w:rFonts w:asciiTheme="majorHAnsi" w:hAnsiTheme="majorHAnsi" w:cs="Times New Roman"/>
          <w:szCs w:val="24"/>
        </w:rPr>
        <w:tab/>
      </w:r>
      <w:r w:rsidR="00E311D4">
        <w:rPr>
          <w:rFonts w:asciiTheme="majorHAnsi" w:hAnsiTheme="majorHAnsi" w:cs="Times New Roman"/>
          <w:szCs w:val="24"/>
        </w:rPr>
        <w:tab/>
      </w:r>
    </w:p>
    <w:p w:rsidR="008F0504" w:rsidRPr="00E27BBB" w:rsidRDefault="008F0504" w:rsidP="00E27BBB">
      <w:pPr>
        <w:spacing w:after="120"/>
        <w:rPr>
          <w:rFonts w:asciiTheme="majorHAnsi" w:hAnsiTheme="majorHAnsi" w:cs="Times New Roman"/>
          <w:szCs w:val="26"/>
        </w:rPr>
      </w:pPr>
      <w:r w:rsidRPr="00E27BBB">
        <w:rPr>
          <w:rFonts w:asciiTheme="majorHAnsi" w:hAnsiTheme="majorHAnsi" w:cs="Times New Roman"/>
          <w:szCs w:val="26"/>
        </w:rPr>
        <w:t xml:space="preserve">Iesniedzējs: </w:t>
      </w:r>
    </w:p>
    <w:p w:rsidR="000C3CED" w:rsidRPr="00E27BBB" w:rsidRDefault="00B674AC" w:rsidP="00E27BBB">
      <w:pPr>
        <w:tabs>
          <w:tab w:val="right" w:pos="9071"/>
        </w:tabs>
        <w:spacing w:after="120"/>
        <w:rPr>
          <w:rFonts w:asciiTheme="majorHAnsi" w:hAnsiTheme="majorHAnsi" w:cs="Times New Roman"/>
          <w:szCs w:val="26"/>
        </w:rPr>
      </w:pPr>
      <w:r>
        <w:rPr>
          <w:rFonts w:asciiTheme="majorHAnsi" w:hAnsiTheme="majorHAnsi" w:cs="Times New Roman"/>
          <w:szCs w:val="26"/>
        </w:rPr>
        <w:t>E</w:t>
      </w:r>
      <w:r w:rsidR="000C3CED" w:rsidRPr="00E27BBB">
        <w:rPr>
          <w:rFonts w:asciiTheme="majorHAnsi" w:hAnsiTheme="majorHAnsi" w:cs="Times New Roman"/>
          <w:szCs w:val="26"/>
        </w:rPr>
        <w:t>konomikas ministr</w:t>
      </w:r>
      <w:r w:rsidR="00E27BBB" w:rsidRPr="00E27BBB">
        <w:rPr>
          <w:rFonts w:asciiTheme="majorHAnsi" w:hAnsiTheme="majorHAnsi" w:cs="Times New Roman"/>
          <w:szCs w:val="26"/>
        </w:rPr>
        <w:t>s</w:t>
      </w:r>
      <w:r w:rsidR="000C3CED" w:rsidRPr="00E27BBB">
        <w:rPr>
          <w:rFonts w:asciiTheme="majorHAnsi" w:hAnsiTheme="majorHAnsi" w:cs="Times New Roman"/>
          <w:szCs w:val="26"/>
        </w:rPr>
        <w:tab/>
        <w:t xml:space="preserve"> </w:t>
      </w:r>
      <w:proofErr w:type="spellStart"/>
      <w:r w:rsidR="00E27BBB" w:rsidRPr="00E27BBB">
        <w:rPr>
          <w:rFonts w:asciiTheme="majorHAnsi" w:hAnsiTheme="majorHAnsi" w:cs="Times New Roman"/>
          <w:szCs w:val="26"/>
        </w:rPr>
        <w:t>V.Dombrovskis</w:t>
      </w:r>
      <w:proofErr w:type="spellEnd"/>
    </w:p>
    <w:p w:rsidR="000C3CED" w:rsidRPr="00E27BBB" w:rsidRDefault="000C3CED" w:rsidP="00E27BBB">
      <w:pPr>
        <w:spacing w:after="120"/>
        <w:rPr>
          <w:rFonts w:asciiTheme="majorHAnsi" w:hAnsiTheme="majorHAnsi" w:cs="Times New Roman"/>
          <w:szCs w:val="24"/>
        </w:rPr>
      </w:pPr>
    </w:p>
    <w:p w:rsidR="008F0504" w:rsidRPr="00E27BBB" w:rsidRDefault="008F0504" w:rsidP="00E27BBB">
      <w:pPr>
        <w:pStyle w:val="ListParagraph"/>
        <w:tabs>
          <w:tab w:val="right" w:pos="9071"/>
        </w:tabs>
        <w:spacing w:after="120"/>
        <w:contextualSpacing w:val="0"/>
        <w:rPr>
          <w:rFonts w:asciiTheme="majorHAnsi" w:hAnsiTheme="majorHAnsi" w:cs="Times New Roman"/>
          <w:szCs w:val="26"/>
        </w:rPr>
      </w:pPr>
    </w:p>
    <w:p w:rsidR="00107BC2" w:rsidRDefault="008F0504" w:rsidP="00E27BBB">
      <w:pPr>
        <w:tabs>
          <w:tab w:val="right" w:pos="9071"/>
        </w:tabs>
        <w:spacing w:after="120"/>
        <w:rPr>
          <w:rFonts w:asciiTheme="majorHAnsi" w:hAnsiTheme="majorHAnsi" w:cs="Times New Roman"/>
          <w:szCs w:val="26"/>
        </w:rPr>
      </w:pPr>
      <w:r w:rsidRPr="00E27BBB">
        <w:rPr>
          <w:rFonts w:asciiTheme="majorHAnsi" w:hAnsiTheme="majorHAnsi" w:cs="Times New Roman"/>
          <w:szCs w:val="26"/>
        </w:rPr>
        <w:t xml:space="preserve">Vīza: </w:t>
      </w:r>
    </w:p>
    <w:p w:rsidR="008F0504" w:rsidRPr="00E27BBB" w:rsidRDefault="00B674AC" w:rsidP="00E27BBB">
      <w:pPr>
        <w:tabs>
          <w:tab w:val="right" w:pos="9071"/>
        </w:tabs>
        <w:spacing w:after="120"/>
        <w:rPr>
          <w:rFonts w:asciiTheme="majorHAnsi" w:hAnsiTheme="majorHAnsi" w:cs="Times New Roman"/>
          <w:szCs w:val="26"/>
        </w:rPr>
      </w:pPr>
      <w:r>
        <w:rPr>
          <w:rFonts w:asciiTheme="majorHAnsi" w:hAnsiTheme="majorHAnsi" w:cs="Times New Roman"/>
          <w:szCs w:val="26"/>
        </w:rPr>
        <w:t>V</w:t>
      </w:r>
      <w:r w:rsidR="008F0504" w:rsidRPr="00E27BBB">
        <w:rPr>
          <w:rFonts w:asciiTheme="majorHAnsi" w:hAnsiTheme="majorHAnsi" w:cs="Times New Roman"/>
          <w:szCs w:val="26"/>
        </w:rPr>
        <w:t>alsts sekretārs</w:t>
      </w:r>
      <w:r w:rsidR="008F0504" w:rsidRPr="00E27BBB">
        <w:rPr>
          <w:rFonts w:asciiTheme="majorHAnsi" w:hAnsiTheme="majorHAnsi" w:cs="Times New Roman"/>
          <w:szCs w:val="26"/>
        </w:rPr>
        <w:tab/>
        <w:t>M.Lazdovskis</w:t>
      </w:r>
    </w:p>
    <w:p w:rsidR="008F0504" w:rsidRPr="00E311D4" w:rsidRDefault="008F0504" w:rsidP="00E27BBB">
      <w:pPr>
        <w:spacing w:after="120"/>
        <w:rPr>
          <w:rFonts w:asciiTheme="majorHAnsi" w:hAnsiTheme="majorHAnsi" w:cs="Times New Roman"/>
          <w:sz w:val="20"/>
          <w:szCs w:val="20"/>
        </w:rPr>
      </w:pPr>
    </w:p>
    <w:p w:rsidR="00E70998" w:rsidRDefault="00E70998" w:rsidP="00E27BBB">
      <w:pPr>
        <w:spacing w:after="120"/>
        <w:rPr>
          <w:rFonts w:asciiTheme="majorHAnsi" w:hAnsiTheme="majorHAnsi" w:cs="Times New Roman"/>
          <w:sz w:val="20"/>
          <w:szCs w:val="20"/>
        </w:rPr>
      </w:pPr>
    </w:p>
    <w:p w:rsidR="00E70998" w:rsidRDefault="00E70998" w:rsidP="00E27BBB">
      <w:pPr>
        <w:spacing w:after="120"/>
        <w:rPr>
          <w:rFonts w:asciiTheme="majorHAnsi" w:hAnsiTheme="majorHAnsi" w:cs="Times New Roman"/>
          <w:sz w:val="20"/>
          <w:szCs w:val="20"/>
        </w:rPr>
      </w:pPr>
    </w:p>
    <w:p w:rsidR="00E311D4" w:rsidRPr="00E311D4" w:rsidRDefault="00E311D4" w:rsidP="00E27BBB">
      <w:pPr>
        <w:spacing w:after="120"/>
        <w:rPr>
          <w:rFonts w:asciiTheme="majorHAnsi" w:hAnsiTheme="majorHAnsi" w:cs="Times New Roman"/>
          <w:sz w:val="20"/>
          <w:szCs w:val="20"/>
        </w:rPr>
      </w:pPr>
    </w:p>
    <w:p w:rsidR="008F0504" w:rsidRPr="00E311D4" w:rsidRDefault="00C3677A" w:rsidP="00E27BBB">
      <w:pPr>
        <w:spacing w:after="120"/>
        <w:rPr>
          <w:rFonts w:asciiTheme="majorHAnsi" w:hAnsiTheme="majorHAnsi" w:cs="Times New Roman"/>
          <w:sz w:val="20"/>
          <w:szCs w:val="20"/>
        </w:rPr>
      </w:pPr>
      <w:r>
        <w:rPr>
          <w:rFonts w:asciiTheme="majorHAnsi" w:hAnsiTheme="majorHAnsi" w:cs="Times New Roman"/>
          <w:sz w:val="20"/>
          <w:szCs w:val="20"/>
        </w:rPr>
        <w:t>14</w:t>
      </w:r>
      <w:r w:rsidR="002242B8">
        <w:rPr>
          <w:rFonts w:asciiTheme="majorHAnsi" w:hAnsiTheme="majorHAnsi" w:cs="Times New Roman"/>
          <w:sz w:val="20"/>
          <w:szCs w:val="20"/>
        </w:rPr>
        <w:t>.07</w:t>
      </w:r>
      <w:r w:rsidR="00E311D4" w:rsidRPr="00E311D4">
        <w:rPr>
          <w:rFonts w:asciiTheme="majorHAnsi" w:hAnsiTheme="majorHAnsi" w:cs="Times New Roman"/>
          <w:sz w:val="20"/>
          <w:szCs w:val="20"/>
        </w:rPr>
        <w:t>.2014.</w:t>
      </w:r>
    </w:p>
    <w:p w:rsidR="008F0504" w:rsidRPr="00E311D4" w:rsidRDefault="008F0504" w:rsidP="002242B8">
      <w:pPr>
        <w:tabs>
          <w:tab w:val="left" w:pos="7230"/>
        </w:tabs>
        <w:rPr>
          <w:rFonts w:asciiTheme="majorHAnsi" w:hAnsiTheme="majorHAnsi" w:cs="Times New Roman"/>
          <w:sz w:val="20"/>
          <w:szCs w:val="20"/>
        </w:rPr>
      </w:pPr>
      <w:r w:rsidRPr="00E311D4">
        <w:rPr>
          <w:rFonts w:asciiTheme="majorHAnsi" w:hAnsiTheme="majorHAnsi" w:cs="Times New Roman"/>
          <w:sz w:val="20"/>
          <w:szCs w:val="20"/>
        </w:rPr>
        <w:fldChar w:fldCharType="begin"/>
      </w:r>
      <w:r w:rsidRPr="00E311D4">
        <w:rPr>
          <w:rFonts w:asciiTheme="majorHAnsi" w:hAnsiTheme="majorHAnsi" w:cs="Times New Roman"/>
          <w:sz w:val="20"/>
          <w:szCs w:val="20"/>
        </w:rPr>
        <w:instrText xml:space="preserve"> NUMWORDS   \* MERGEFORMAT </w:instrText>
      </w:r>
      <w:r w:rsidRPr="00E311D4">
        <w:rPr>
          <w:rFonts w:asciiTheme="majorHAnsi" w:hAnsiTheme="majorHAnsi" w:cs="Times New Roman"/>
          <w:sz w:val="20"/>
          <w:szCs w:val="20"/>
        </w:rPr>
        <w:fldChar w:fldCharType="separate"/>
      </w:r>
      <w:r w:rsidR="00257F0D">
        <w:rPr>
          <w:rFonts w:asciiTheme="majorHAnsi" w:hAnsiTheme="majorHAnsi" w:cs="Times New Roman"/>
          <w:noProof/>
          <w:sz w:val="20"/>
          <w:szCs w:val="20"/>
        </w:rPr>
        <w:t>2434</w:t>
      </w:r>
      <w:r w:rsidRPr="00E311D4">
        <w:rPr>
          <w:rFonts w:asciiTheme="majorHAnsi" w:hAnsiTheme="majorHAnsi" w:cs="Times New Roman"/>
          <w:noProof/>
          <w:sz w:val="20"/>
          <w:szCs w:val="20"/>
        </w:rPr>
        <w:fldChar w:fldCharType="end"/>
      </w:r>
    </w:p>
    <w:p w:rsidR="008F0504" w:rsidRPr="00E311D4" w:rsidRDefault="008F0504" w:rsidP="002242B8">
      <w:pPr>
        <w:tabs>
          <w:tab w:val="left" w:pos="7230"/>
        </w:tabs>
        <w:rPr>
          <w:rFonts w:asciiTheme="majorHAnsi" w:hAnsiTheme="majorHAnsi" w:cs="Times New Roman"/>
          <w:sz w:val="20"/>
          <w:szCs w:val="20"/>
        </w:rPr>
      </w:pPr>
      <w:r w:rsidRPr="00E311D4">
        <w:rPr>
          <w:rFonts w:asciiTheme="majorHAnsi" w:hAnsiTheme="majorHAnsi" w:cs="Times New Roman"/>
          <w:sz w:val="20"/>
          <w:szCs w:val="20"/>
        </w:rPr>
        <w:t>Mārtiņš Jansons</w:t>
      </w:r>
    </w:p>
    <w:p w:rsidR="008F0504" w:rsidRPr="00E311D4" w:rsidRDefault="008F0504" w:rsidP="002242B8">
      <w:pPr>
        <w:tabs>
          <w:tab w:val="left" w:pos="7230"/>
        </w:tabs>
        <w:rPr>
          <w:rFonts w:asciiTheme="majorHAnsi" w:hAnsiTheme="majorHAnsi" w:cs="Times New Roman"/>
          <w:sz w:val="20"/>
          <w:szCs w:val="20"/>
        </w:rPr>
      </w:pPr>
      <w:r w:rsidRPr="00E311D4">
        <w:rPr>
          <w:rFonts w:asciiTheme="majorHAnsi" w:hAnsiTheme="majorHAnsi" w:cs="Times New Roman"/>
          <w:sz w:val="20"/>
          <w:szCs w:val="20"/>
        </w:rPr>
        <w:t xml:space="preserve">67013057, </w:t>
      </w:r>
      <w:hyperlink r:id="rId9" w:history="1">
        <w:r w:rsidRPr="00E311D4">
          <w:rPr>
            <w:rStyle w:val="Hyperlink"/>
            <w:rFonts w:asciiTheme="majorHAnsi" w:hAnsiTheme="majorHAnsi" w:cs="Times New Roman"/>
            <w:sz w:val="20"/>
            <w:szCs w:val="20"/>
          </w:rPr>
          <w:t>Martins.Jansons@em.gov.lv</w:t>
        </w:r>
      </w:hyperlink>
      <w:r w:rsidRPr="00E311D4">
        <w:rPr>
          <w:rFonts w:asciiTheme="majorHAnsi" w:hAnsiTheme="majorHAnsi" w:cs="Times New Roman"/>
          <w:sz w:val="20"/>
          <w:szCs w:val="20"/>
        </w:rPr>
        <w:t xml:space="preserve"> </w:t>
      </w:r>
    </w:p>
    <w:p w:rsidR="008F0504" w:rsidRPr="00E311D4" w:rsidRDefault="008F0504" w:rsidP="002242B8">
      <w:pPr>
        <w:rPr>
          <w:rFonts w:asciiTheme="majorHAnsi" w:hAnsiTheme="majorHAnsi" w:cs="Times New Roman"/>
          <w:sz w:val="20"/>
          <w:szCs w:val="20"/>
        </w:rPr>
      </w:pPr>
      <w:r w:rsidRPr="00E311D4">
        <w:rPr>
          <w:rFonts w:asciiTheme="majorHAnsi" w:hAnsiTheme="majorHAnsi" w:cs="Times New Roman"/>
          <w:sz w:val="20"/>
          <w:szCs w:val="20"/>
        </w:rPr>
        <w:t>Kaspars Stabiņš</w:t>
      </w:r>
    </w:p>
    <w:p w:rsidR="00FA7505" w:rsidRPr="00E311D4" w:rsidRDefault="008F0504" w:rsidP="002242B8">
      <w:pPr>
        <w:rPr>
          <w:rFonts w:asciiTheme="majorHAnsi" w:hAnsiTheme="majorHAnsi" w:cs="Times New Roman"/>
          <w:sz w:val="20"/>
          <w:szCs w:val="20"/>
        </w:rPr>
      </w:pPr>
      <w:r w:rsidRPr="00E311D4">
        <w:rPr>
          <w:rFonts w:asciiTheme="majorHAnsi" w:hAnsiTheme="majorHAnsi" w:cs="Times New Roman"/>
          <w:sz w:val="20"/>
          <w:szCs w:val="20"/>
        </w:rPr>
        <w:t xml:space="preserve">67013046, </w:t>
      </w:r>
      <w:hyperlink r:id="rId10" w:history="1">
        <w:r w:rsidRPr="00E311D4">
          <w:rPr>
            <w:rStyle w:val="Hyperlink"/>
            <w:rFonts w:asciiTheme="majorHAnsi" w:hAnsiTheme="majorHAnsi" w:cs="Times New Roman"/>
            <w:sz w:val="20"/>
            <w:szCs w:val="20"/>
          </w:rPr>
          <w:t>Kaspars.Stabins@em.gov.lv</w:t>
        </w:r>
      </w:hyperlink>
    </w:p>
    <w:p w:rsidR="00FA7505" w:rsidRDefault="00FA7505" w:rsidP="00E27BBB">
      <w:pPr>
        <w:spacing w:after="120"/>
      </w:pPr>
    </w:p>
    <w:p w:rsidR="000059F4" w:rsidRDefault="000059F4" w:rsidP="00E27BBB">
      <w:pPr>
        <w:spacing w:after="120"/>
      </w:pPr>
    </w:p>
    <w:p w:rsidR="00530271" w:rsidRDefault="00530271" w:rsidP="00E27BBB">
      <w:pPr>
        <w:spacing w:after="120"/>
      </w:pPr>
      <w:bookmarkStart w:id="0" w:name="_GoBack"/>
      <w:bookmarkEnd w:id="0"/>
    </w:p>
    <w:sectPr w:rsidR="00530271" w:rsidSect="00E27BBB">
      <w:footerReference w:type="default" r:id="rId11"/>
      <w:pgSz w:w="11906" w:h="16838" w:code="9"/>
      <w:pgMar w:top="1276"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883" w:rsidRDefault="002A5883" w:rsidP="001A5B23">
      <w:r>
        <w:separator/>
      </w:r>
    </w:p>
  </w:endnote>
  <w:endnote w:type="continuationSeparator" w:id="0">
    <w:p w:rsidR="002A5883" w:rsidRDefault="002A5883" w:rsidP="001A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0F" w:rsidRPr="000C3CED" w:rsidRDefault="00C1170F" w:rsidP="005747CE">
    <w:pPr>
      <w:pStyle w:val="Footer"/>
      <w:tabs>
        <w:tab w:val="clear" w:pos="8306"/>
        <w:tab w:val="right" w:pos="9072"/>
      </w:tabs>
      <w:rPr>
        <w:rFonts w:cs="Times New Roman"/>
        <w:sz w:val="20"/>
        <w:szCs w:val="20"/>
      </w:rPr>
    </w:pPr>
    <w:r w:rsidRPr="00C552FD">
      <w:rPr>
        <w:rFonts w:asciiTheme="majorHAnsi" w:hAnsiTheme="majorHAnsi" w:cs="Times New Roman"/>
        <w:sz w:val="20"/>
        <w:szCs w:val="20"/>
      </w:rPr>
      <w:t>EMZino_</w:t>
    </w:r>
    <w:r w:rsidR="0035240F">
      <w:rPr>
        <w:rFonts w:asciiTheme="majorHAnsi" w:hAnsiTheme="majorHAnsi" w:cs="Times New Roman"/>
        <w:sz w:val="20"/>
        <w:szCs w:val="20"/>
      </w:rPr>
      <w:t>1</w:t>
    </w:r>
    <w:r w:rsidR="002A7F95">
      <w:rPr>
        <w:rFonts w:asciiTheme="majorHAnsi" w:hAnsiTheme="majorHAnsi" w:cs="Times New Roman"/>
        <w:sz w:val="20"/>
        <w:szCs w:val="20"/>
      </w:rPr>
      <w:t>5</w:t>
    </w:r>
    <w:r w:rsidR="003445CD">
      <w:rPr>
        <w:rFonts w:asciiTheme="majorHAnsi" w:hAnsiTheme="majorHAnsi" w:cs="Times New Roman"/>
        <w:sz w:val="20"/>
        <w:szCs w:val="20"/>
      </w:rPr>
      <w:t>0714_Informal_COMPET</w:t>
    </w:r>
    <w:r w:rsidRPr="00C552FD">
      <w:rPr>
        <w:rFonts w:asciiTheme="majorHAnsi" w:hAnsiTheme="majorHAnsi" w:cs="Times New Roman"/>
        <w:sz w:val="20"/>
        <w:szCs w:val="20"/>
      </w:rPr>
      <w:t>; Informatīvais ziņojums par 2014.gada 21.jūlija neformālajā Eiropas Savienības Konkurētspējas ministru padomes sanāksmē izskatāmajiem jautājumiem</w:t>
    </w:r>
    <w:r>
      <w:rPr>
        <w:rFonts w:cs="Times New Roman"/>
        <w:sz w:val="20"/>
        <w:szCs w:val="20"/>
      </w:rPr>
      <w:t xml:space="preserve"> </w:t>
    </w:r>
    <w:r>
      <w:rPr>
        <w:rFonts w:cs="Times New Roman"/>
        <w:sz w:val="20"/>
        <w:szCs w:val="20"/>
      </w:rPr>
      <w:tab/>
    </w:r>
    <w:r>
      <w:rPr>
        <w:rFonts w:cs="Times New Roman"/>
        <w:sz w:val="20"/>
        <w:szCs w:val="20"/>
      </w:rPr>
      <w:fldChar w:fldCharType="begin"/>
    </w:r>
    <w:r>
      <w:rPr>
        <w:rFonts w:cs="Times New Roman"/>
        <w:sz w:val="20"/>
        <w:szCs w:val="20"/>
      </w:rPr>
      <w:instrText xml:space="preserve"> PAGE   \* MERGEFORMAT </w:instrText>
    </w:r>
    <w:r>
      <w:rPr>
        <w:rFonts w:cs="Times New Roman"/>
        <w:sz w:val="20"/>
        <w:szCs w:val="20"/>
      </w:rPr>
      <w:fldChar w:fldCharType="separate"/>
    </w:r>
    <w:r w:rsidR="003445CD">
      <w:rPr>
        <w:rFonts w:cs="Times New Roman"/>
        <w:noProof/>
        <w:sz w:val="20"/>
        <w:szCs w:val="20"/>
      </w:rPr>
      <w:t>7</w:t>
    </w:r>
    <w:r>
      <w:rPr>
        <w:rFonts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883" w:rsidRDefault="002A5883" w:rsidP="001A5B23">
      <w:r>
        <w:separator/>
      </w:r>
    </w:p>
  </w:footnote>
  <w:footnote w:type="continuationSeparator" w:id="0">
    <w:p w:rsidR="002A5883" w:rsidRDefault="002A5883" w:rsidP="001A5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629"/>
    <w:multiLevelType w:val="hybridMultilevel"/>
    <w:tmpl w:val="E7D8CACC"/>
    <w:lvl w:ilvl="0" w:tplc="DBAC09F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D429A7"/>
    <w:multiLevelType w:val="hybridMultilevel"/>
    <w:tmpl w:val="03EA7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85734E"/>
    <w:multiLevelType w:val="hybridMultilevel"/>
    <w:tmpl w:val="26A25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DB3CEB"/>
    <w:multiLevelType w:val="hybridMultilevel"/>
    <w:tmpl w:val="8CB6C7D4"/>
    <w:lvl w:ilvl="0" w:tplc="26CA5D2E">
      <w:numFmt w:val="bullet"/>
      <w:lvlText w:val="–"/>
      <w:lvlJc w:val="left"/>
      <w:pPr>
        <w:ind w:left="720" w:hanging="360"/>
      </w:pPr>
      <w:rPr>
        <w:rFonts w:ascii="Cambria" w:eastAsiaTheme="minorHAnsi" w:hAnsi="Cambri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37E4FCE"/>
    <w:multiLevelType w:val="hybridMultilevel"/>
    <w:tmpl w:val="D2F450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E83ED6"/>
    <w:multiLevelType w:val="hybridMultilevel"/>
    <w:tmpl w:val="953A5E92"/>
    <w:lvl w:ilvl="0" w:tplc="26CA5D2E">
      <w:numFmt w:val="bullet"/>
      <w:lvlText w:val="–"/>
      <w:lvlJc w:val="left"/>
      <w:pPr>
        <w:ind w:left="1440" w:hanging="360"/>
      </w:pPr>
      <w:rPr>
        <w:rFonts w:ascii="Cambria" w:eastAsiaTheme="minorHAnsi" w:hAnsi="Cambria"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41B33340"/>
    <w:multiLevelType w:val="hybridMultilevel"/>
    <w:tmpl w:val="B2F055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0062FC"/>
    <w:multiLevelType w:val="hybridMultilevel"/>
    <w:tmpl w:val="B2F055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9353343"/>
    <w:multiLevelType w:val="hybridMultilevel"/>
    <w:tmpl w:val="B060D11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CBC5A93"/>
    <w:multiLevelType w:val="multilevel"/>
    <w:tmpl w:val="A17C9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1997776"/>
    <w:multiLevelType w:val="hybridMultilevel"/>
    <w:tmpl w:val="DC5446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38328CF"/>
    <w:multiLevelType w:val="hybridMultilevel"/>
    <w:tmpl w:val="083C6392"/>
    <w:lvl w:ilvl="0" w:tplc="26CA5D2E">
      <w:numFmt w:val="bullet"/>
      <w:lvlText w:val="–"/>
      <w:lvlJc w:val="left"/>
      <w:pPr>
        <w:ind w:left="1080" w:hanging="360"/>
      </w:pPr>
      <w:rPr>
        <w:rFonts w:ascii="Cambria" w:eastAsiaTheme="minorHAnsi" w:hAnsi="Cambria"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77A8309F"/>
    <w:multiLevelType w:val="hybridMultilevel"/>
    <w:tmpl w:val="399A21F8"/>
    <w:lvl w:ilvl="0" w:tplc="2086122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78646355"/>
    <w:multiLevelType w:val="hybridMultilevel"/>
    <w:tmpl w:val="0E182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12"/>
  </w:num>
  <w:num w:numId="5">
    <w:abstractNumId w:val="0"/>
  </w:num>
  <w:num w:numId="6">
    <w:abstractNumId w:val="11"/>
  </w:num>
  <w:num w:numId="7">
    <w:abstractNumId w:val="5"/>
  </w:num>
  <w:num w:numId="8">
    <w:abstractNumId w:val="6"/>
  </w:num>
  <w:num w:numId="9">
    <w:abstractNumId w:val="2"/>
  </w:num>
  <w:num w:numId="10">
    <w:abstractNumId w:val="3"/>
  </w:num>
  <w:num w:numId="11">
    <w:abstractNumId w:val="8"/>
  </w:num>
  <w:num w:numId="12">
    <w:abstractNumId w:val="4"/>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71"/>
    <w:rsid w:val="00002F1A"/>
    <w:rsid w:val="000059F4"/>
    <w:rsid w:val="00043D48"/>
    <w:rsid w:val="0005651C"/>
    <w:rsid w:val="00056D2F"/>
    <w:rsid w:val="0008477D"/>
    <w:rsid w:val="000A3D61"/>
    <w:rsid w:val="000A7CE2"/>
    <w:rsid w:val="000B0E4E"/>
    <w:rsid w:val="000C3CED"/>
    <w:rsid w:val="000D3C72"/>
    <w:rsid w:val="000F0497"/>
    <w:rsid w:val="00107BC2"/>
    <w:rsid w:val="001408B0"/>
    <w:rsid w:val="00151AD0"/>
    <w:rsid w:val="00162160"/>
    <w:rsid w:val="001A5B23"/>
    <w:rsid w:val="001C1CD2"/>
    <w:rsid w:val="001D18F7"/>
    <w:rsid w:val="001E75CB"/>
    <w:rsid w:val="0021466E"/>
    <w:rsid w:val="002219B8"/>
    <w:rsid w:val="002242B8"/>
    <w:rsid w:val="00257F0D"/>
    <w:rsid w:val="002830C4"/>
    <w:rsid w:val="002875F1"/>
    <w:rsid w:val="002A5883"/>
    <w:rsid w:val="002A7F95"/>
    <w:rsid w:val="002E296C"/>
    <w:rsid w:val="002F5BDB"/>
    <w:rsid w:val="0030133D"/>
    <w:rsid w:val="00336281"/>
    <w:rsid w:val="00343382"/>
    <w:rsid w:val="003445CD"/>
    <w:rsid w:val="0035240F"/>
    <w:rsid w:val="00367829"/>
    <w:rsid w:val="003935A3"/>
    <w:rsid w:val="003C2781"/>
    <w:rsid w:val="003C2C0A"/>
    <w:rsid w:val="003D20CF"/>
    <w:rsid w:val="003F0E01"/>
    <w:rsid w:val="003F6ED9"/>
    <w:rsid w:val="00403EA9"/>
    <w:rsid w:val="0043045F"/>
    <w:rsid w:val="00433447"/>
    <w:rsid w:val="00470EB2"/>
    <w:rsid w:val="004843D3"/>
    <w:rsid w:val="004914C5"/>
    <w:rsid w:val="004C52C6"/>
    <w:rsid w:val="004D224B"/>
    <w:rsid w:val="004E32C2"/>
    <w:rsid w:val="005173C1"/>
    <w:rsid w:val="0052078E"/>
    <w:rsid w:val="00530271"/>
    <w:rsid w:val="005747CE"/>
    <w:rsid w:val="00600C99"/>
    <w:rsid w:val="006073BF"/>
    <w:rsid w:val="006227C9"/>
    <w:rsid w:val="00627973"/>
    <w:rsid w:val="006931D1"/>
    <w:rsid w:val="00693462"/>
    <w:rsid w:val="00695CC4"/>
    <w:rsid w:val="006A2686"/>
    <w:rsid w:val="006A77C1"/>
    <w:rsid w:val="006C2D87"/>
    <w:rsid w:val="006D2D88"/>
    <w:rsid w:val="006D6F1B"/>
    <w:rsid w:val="006F7E59"/>
    <w:rsid w:val="00714F76"/>
    <w:rsid w:val="00770186"/>
    <w:rsid w:val="0077676C"/>
    <w:rsid w:val="007E0503"/>
    <w:rsid w:val="00864F70"/>
    <w:rsid w:val="008E03AD"/>
    <w:rsid w:val="008E2296"/>
    <w:rsid w:val="008F0504"/>
    <w:rsid w:val="00944339"/>
    <w:rsid w:val="00951271"/>
    <w:rsid w:val="00972D92"/>
    <w:rsid w:val="00981B1A"/>
    <w:rsid w:val="0098643D"/>
    <w:rsid w:val="00993C12"/>
    <w:rsid w:val="009B5203"/>
    <w:rsid w:val="009B6774"/>
    <w:rsid w:val="009D5633"/>
    <w:rsid w:val="009D6AD6"/>
    <w:rsid w:val="009E0F21"/>
    <w:rsid w:val="009F1AC9"/>
    <w:rsid w:val="00A138F6"/>
    <w:rsid w:val="00A33AB9"/>
    <w:rsid w:val="00A367C5"/>
    <w:rsid w:val="00A70A01"/>
    <w:rsid w:val="00AA32AA"/>
    <w:rsid w:val="00AB1605"/>
    <w:rsid w:val="00AC56E3"/>
    <w:rsid w:val="00AC6891"/>
    <w:rsid w:val="00AC7E0D"/>
    <w:rsid w:val="00AE29E9"/>
    <w:rsid w:val="00B222EA"/>
    <w:rsid w:val="00B36AAC"/>
    <w:rsid w:val="00B63FAF"/>
    <w:rsid w:val="00B674AC"/>
    <w:rsid w:val="00B7033B"/>
    <w:rsid w:val="00B74300"/>
    <w:rsid w:val="00BC1B46"/>
    <w:rsid w:val="00C01AC4"/>
    <w:rsid w:val="00C05CE6"/>
    <w:rsid w:val="00C1170F"/>
    <w:rsid w:val="00C3677A"/>
    <w:rsid w:val="00C42A2A"/>
    <w:rsid w:val="00C518B7"/>
    <w:rsid w:val="00C552FD"/>
    <w:rsid w:val="00C660F6"/>
    <w:rsid w:val="00C84844"/>
    <w:rsid w:val="00C91893"/>
    <w:rsid w:val="00C9731D"/>
    <w:rsid w:val="00CB633A"/>
    <w:rsid w:val="00CE333C"/>
    <w:rsid w:val="00CE50EC"/>
    <w:rsid w:val="00D202AC"/>
    <w:rsid w:val="00D6262E"/>
    <w:rsid w:val="00D63608"/>
    <w:rsid w:val="00D94680"/>
    <w:rsid w:val="00D9530F"/>
    <w:rsid w:val="00E039A6"/>
    <w:rsid w:val="00E06F54"/>
    <w:rsid w:val="00E27BBB"/>
    <w:rsid w:val="00E311D4"/>
    <w:rsid w:val="00E341B6"/>
    <w:rsid w:val="00E70998"/>
    <w:rsid w:val="00E75257"/>
    <w:rsid w:val="00E77CEB"/>
    <w:rsid w:val="00E805D2"/>
    <w:rsid w:val="00E97A45"/>
    <w:rsid w:val="00EB26DE"/>
    <w:rsid w:val="00F00CD5"/>
    <w:rsid w:val="00F115CC"/>
    <w:rsid w:val="00F4173C"/>
    <w:rsid w:val="00F420B3"/>
    <w:rsid w:val="00F6167D"/>
    <w:rsid w:val="00F665F0"/>
    <w:rsid w:val="00F878AD"/>
    <w:rsid w:val="00FA7505"/>
    <w:rsid w:val="00FB0590"/>
    <w:rsid w:val="00FB6024"/>
    <w:rsid w:val="00FC18EE"/>
    <w:rsid w:val="00FC32F4"/>
    <w:rsid w:val="00FD2B85"/>
    <w:rsid w:val="00FE56AA"/>
    <w:rsid w:val="00FF55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71"/>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0271"/>
    <w:pPr>
      <w:ind w:left="720"/>
      <w:contextualSpacing/>
    </w:pPr>
  </w:style>
  <w:style w:type="character" w:customStyle="1" w:styleId="ListParagraphChar">
    <w:name w:val="List Paragraph Char"/>
    <w:link w:val="ListParagraph"/>
    <w:uiPriority w:val="34"/>
    <w:locked/>
    <w:rsid w:val="00530271"/>
    <w:rPr>
      <w:sz w:val="24"/>
    </w:rPr>
  </w:style>
  <w:style w:type="character" w:styleId="Hyperlink">
    <w:name w:val="Hyperlink"/>
    <w:basedOn w:val="DefaultParagraphFont"/>
    <w:uiPriority w:val="99"/>
    <w:rsid w:val="008F0504"/>
    <w:rPr>
      <w:color w:val="0000FF"/>
      <w:u w:val="single"/>
    </w:rPr>
  </w:style>
  <w:style w:type="paragraph" w:styleId="FootnoteText">
    <w:name w:val="footnote text"/>
    <w:basedOn w:val="Normal"/>
    <w:link w:val="FootnoteTextChar"/>
    <w:uiPriority w:val="99"/>
    <w:semiHidden/>
    <w:unhideWhenUsed/>
    <w:rsid w:val="001A5B23"/>
    <w:rPr>
      <w:sz w:val="20"/>
      <w:szCs w:val="20"/>
    </w:rPr>
  </w:style>
  <w:style w:type="character" w:customStyle="1" w:styleId="FootnoteTextChar">
    <w:name w:val="Footnote Text Char"/>
    <w:basedOn w:val="DefaultParagraphFont"/>
    <w:link w:val="FootnoteText"/>
    <w:uiPriority w:val="99"/>
    <w:semiHidden/>
    <w:rsid w:val="001A5B23"/>
    <w:rPr>
      <w:sz w:val="20"/>
      <w:szCs w:val="20"/>
    </w:rPr>
  </w:style>
  <w:style w:type="character" w:styleId="FootnoteReference">
    <w:name w:val="footnote reference"/>
    <w:aliases w:val="Footnote Reference Number,Footnote symbol"/>
    <w:basedOn w:val="DefaultParagraphFont"/>
    <w:uiPriority w:val="99"/>
    <w:unhideWhenUsed/>
    <w:rsid w:val="001A5B23"/>
    <w:rPr>
      <w:vertAlign w:val="superscript"/>
    </w:rPr>
  </w:style>
  <w:style w:type="paragraph" w:customStyle="1" w:styleId="Default">
    <w:name w:val="Default"/>
    <w:rsid w:val="00E039A6"/>
    <w:pPr>
      <w:autoSpaceDE w:val="0"/>
      <w:autoSpaceDN w:val="0"/>
      <w:adjustRightInd w:val="0"/>
    </w:pPr>
    <w:rPr>
      <w:rFonts w:eastAsia="Times New Roman" w:cs="Times New Roman"/>
      <w:color w:val="000000"/>
      <w:sz w:val="24"/>
      <w:szCs w:val="24"/>
      <w:lang w:eastAsia="lv-LV"/>
    </w:rPr>
  </w:style>
  <w:style w:type="table" w:styleId="TableGrid">
    <w:name w:val="Table Grid"/>
    <w:basedOn w:val="TableNormal"/>
    <w:uiPriority w:val="59"/>
    <w:rsid w:val="00C8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CED"/>
    <w:pPr>
      <w:tabs>
        <w:tab w:val="center" w:pos="4153"/>
        <w:tab w:val="right" w:pos="8306"/>
      </w:tabs>
    </w:pPr>
  </w:style>
  <w:style w:type="character" w:customStyle="1" w:styleId="HeaderChar">
    <w:name w:val="Header Char"/>
    <w:basedOn w:val="DefaultParagraphFont"/>
    <w:link w:val="Header"/>
    <w:uiPriority w:val="99"/>
    <w:rsid w:val="000C3CED"/>
    <w:rPr>
      <w:sz w:val="24"/>
    </w:rPr>
  </w:style>
  <w:style w:type="paragraph" w:styleId="Footer">
    <w:name w:val="footer"/>
    <w:basedOn w:val="Normal"/>
    <w:link w:val="FooterChar"/>
    <w:uiPriority w:val="99"/>
    <w:unhideWhenUsed/>
    <w:rsid w:val="000C3CED"/>
    <w:pPr>
      <w:tabs>
        <w:tab w:val="center" w:pos="4153"/>
        <w:tab w:val="right" w:pos="8306"/>
      </w:tabs>
    </w:pPr>
  </w:style>
  <w:style w:type="character" w:customStyle="1" w:styleId="FooterChar">
    <w:name w:val="Footer Char"/>
    <w:basedOn w:val="DefaultParagraphFont"/>
    <w:link w:val="Footer"/>
    <w:uiPriority w:val="99"/>
    <w:rsid w:val="000C3CED"/>
    <w:rPr>
      <w:sz w:val="24"/>
    </w:rPr>
  </w:style>
  <w:style w:type="paragraph" w:styleId="BalloonText">
    <w:name w:val="Balloon Text"/>
    <w:basedOn w:val="Normal"/>
    <w:link w:val="BalloonTextChar"/>
    <w:uiPriority w:val="99"/>
    <w:semiHidden/>
    <w:unhideWhenUsed/>
    <w:rsid w:val="000C3CED"/>
    <w:rPr>
      <w:rFonts w:ascii="Tahoma" w:hAnsi="Tahoma" w:cs="Tahoma"/>
      <w:sz w:val="16"/>
      <w:szCs w:val="16"/>
    </w:rPr>
  </w:style>
  <w:style w:type="character" w:customStyle="1" w:styleId="BalloonTextChar">
    <w:name w:val="Balloon Text Char"/>
    <w:basedOn w:val="DefaultParagraphFont"/>
    <w:link w:val="BalloonText"/>
    <w:uiPriority w:val="99"/>
    <w:semiHidden/>
    <w:rsid w:val="000C3CED"/>
    <w:rPr>
      <w:rFonts w:ascii="Tahoma" w:hAnsi="Tahoma" w:cs="Tahoma"/>
      <w:sz w:val="16"/>
      <w:szCs w:val="16"/>
    </w:rPr>
  </w:style>
  <w:style w:type="character" w:styleId="CommentReference">
    <w:name w:val="annotation reference"/>
    <w:basedOn w:val="DefaultParagraphFont"/>
    <w:uiPriority w:val="99"/>
    <w:semiHidden/>
    <w:unhideWhenUsed/>
    <w:rsid w:val="00403EA9"/>
    <w:rPr>
      <w:sz w:val="16"/>
      <w:szCs w:val="16"/>
    </w:rPr>
  </w:style>
  <w:style w:type="paragraph" w:styleId="CommentText">
    <w:name w:val="annotation text"/>
    <w:basedOn w:val="Normal"/>
    <w:link w:val="CommentTextChar"/>
    <w:uiPriority w:val="99"/>
    <w:semiHidden/>
    <w:unhideWhenUsed/>
    <w:rsid w:val="00403EA9"/>
    <w:rPr>
      <w:sz w:val="20"/>
      <w:szCs w:val="20"/>
    </w:rPr>
  </w:style>
  <w:style w:type="character" w:customStyle="1" w:styleId="CommentTextChar">
    <w:name w:val="Comment Text Char"/>
    <w:basedOn w:val="DefaultParagraphFont"/>
    <w:link w:val="CommentText"/>
    <w:uiPriority w:val="99"/>
    <w:semiHidden/>
    <w:rsid w:val="00403EA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71"/>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0271"/>
    <w:pPr>
      <w:ind w:left="720"/>
      <w:contextualSpacing/>
    </w:pPr>
  </w:style>
  <w:style w:type="character" w:customStyle="1" w:styleId="ListParagraphChar">
    <w:name w:val="List Paragraph Char"/>
    <w:link w:val="ListParagraph"/>
    <w:uiPriority w:val="34"/>
    <w:locked/>
    <w:rsid w:val="00530271"/>
    <w:rPr>
      <w:sz w:val="24"/>
    </w:rPr>
  </w:style>
  <w:style w:type="character" w:styleId="Hyperlink">
    <w:name w:val="Hyperlink"/>
    <w:basedOn w:val="DefaultParagraphFont"/>
    <w:uiPriority w:val="99"/>
    <w:rsid w:val="008F0504"/>
    <w:rPr>
      <w:color w:val="0000FF"/>
      <w:u w:val="single"/>
    </w:rPr>
  </w:style>
  <w:style w:type="paragraph" w:styleId="FootnoteText">
    <w:name w:val="footnote text"/>
    <w:basedOn w:val="Normal"/>
    <w:link w:val="FootnoteTextChar"/>
    <w:uiPriority w:val="99"/>
    <w:semiHidden/>
    <w:unhideWhenUsed/>
    <w:rsid w:val="001A5B23"/>
    <w:rPr>
      <w:sz w:val="20"/>
      <w:szCs w:val="20"/>
    </w:rPr>
  </w:style>
  <w:style w:type="character" w:customStyle="1" w:styleId="FootnoteTextChar">
    <w:name w:val="Footnote Text Char"/>
    <w:basedOn w:val="DefaultParagraphFont"/>
    <w:link w:val="FootnoteText"/>
    <w:uiPriority w:val="99"/>
    <w:semiHidden/>
    <w:rsid w:val="001A5B23"/>
    <w:rPr>
      <w:sz w:val="20"/>
      <w:szCs w:val="20"/>
    </w:rPr>
  </w:style>
  <w:style w:type="character" w:styleId="FootnoteReference">
    <w:name w:val="footnote reference"/>
    <w:aliases w:val="Footnote Reference Number,Footnote symbol"/>
    <w:basedOn w:val="DefaultParagraphFont"/>
    <w:uiPriority w:val="99"/>
    <w:unhideWhenUsed/>
    <w:rsid w:val="001A5B23"/>
    <w:rPr>
      <w:vertAlign w:val="superscript"/>
    </w:rPr>
  </w:style>
  <w:style w:type="paragraph" w:customStyle="1" w:styleId="Default">
    <w:name w:val="Default"/>
    <w:rsid w:val="00E039A6"/>
    <w:pPr>
      <w:autoSpaceDE w:val="0"/>
      <w:autoSpaceDN w:val="0"/>
      <w:adjustRightInd w:val="0"/>
    </w:pPr>
    <w:rPr>
      <w:rFonts w:eastAsia="Times New Roman" w:cs="Times New Roman"/>
      <w:color w:val="000000"/>
      <w:sz w:val="24"/>
      <w:szCs w:val="24"/>
      <w:lang w:eastAsia="lv-LV"/>
    </w:rPr>
  </w:style>
  <w:style w:type="table" w:styleId="TableGrid">
    <w:name w:val="Table Grid"/>
    <w:basedOn w:val="TableNormal"/>
    <w:uiPriority w:val="59"/>
    <w:rsid w:val="00C8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CED"/>
    <w:pPr>
      <w:tabs>
        <w:tab w:val="center" w:pos="4153"/>
        <w:tab w:val="right" w:pos="8306"/>
      </w:tabs>
    </w:pPr>
  </w:style>
  <w:style w:type="character" w:customStyle="1" w:styleId="HeaderChar">
    <w:name w:val="Header Char"/>
    <w:basedOn w:val="DefaultParagraphFont"/>
    <w:link w:val="Header"/>
    <w:uiPriority w:val="99"/>
    <w:rsid w:val="000C3CED"/>
    <w:rPr>
      <w:sz w:val="24"/>
    </w:rPr>
  </w:style>
  <w:style w:type="paragraph" w:styleId="Footer">
    <w:name w:val="footer"/>
    <w:basedOn w:val="Normal"/>
    <w:link w:val="FooterChar"/>
    <w:uiPriority w:val="99"/>
    <w:unhideWhenUsed/>
    <w:rsid w:val="000C3CED"/>
    <w:pPr>
      <w:tabs>
        <w:tab w:val="center" w:pos="4153"/>
        <w:tab w:val="right" w:pos="8306"/>
      </w:tabs>
    </w:pPr>
  </w:style>
  <w:style w:type="character" w:customStyle="1" w:styleId="FooterChar">
    <w:name w:val="Footer Char"/>
    <w:basedOn w:val="DefaultParagraphFont"/>
    <w:link w:val="Footer"/>
    <w:uiPriority w:val="99"/>
    <w:rsid w:val="000C3CED"/>
    <w:rPr>
      <w:sz w:val="24"/>
    </w:rPr>
  </w:style>
  <w:style w:type="paragraph" w:styleId="BalloonText">
    <w:name w:val="Balloon Text"/>
    <w:basedOn w:val="Normal"/>
    <w:link w:val="BalloonTextChar"/>
    <w:uiPriority w:val="99"/>
    <w:semiHidden/>
    <w:unhideWhenUsed/>
    <w:rsid w:val="000C3CED"/>
    <w:rPr>
      <w:rFonts w:ascii="Tahoma" w:hAnsi="Tahoma" w:cs="Tahoma"/>
      <w:sz w:val="16"/>
      <w:szCs w:val="16"/>
    </w:rPr>
  </w:style>
  <w:style w:type="character" w:customStyle="1" w:styleId="BalloonTextChar">
    <w:name w:val="Balloon Text Char"/>
    <w:basedOn w:val="DefaultParagraphFont"/>
    <w:link w:val="BalloonText"/>
    <w:uiPriority w:val="99"/>
    <w:semiHidden/>
    <w:rsid w:val="000C3CED"/>
    <w:rPr>
      <w:rFonts w:ascii="Tahoma" w:hAnsi="Tahoma" w:cs="Tahoma"/>
      <w:sz w:val="16"/>
      <w:szCs w:val="16"/>
    </w:rPr>
  </w:style>
  <w:style w:type="character" w:styleId="CommentReference">
    <w:name w:val="annotation reference"/>
    <w:basedOn w:val="DefaultParagraphFont"/>
    <w:uiPriority w:val="99"/>
    <w:semiHidden/>
    <w:unhideWhenUsed/>
    <w:rsid w:val="00403EA9"/>
    <w:rPr>
      <w:sz w:val="16"/>
      <w:szCs w:val="16"/>
    </w:rPr>
  </w:style>
  <w:style w:type="paragraph" w:styleId="CommentText">
    <w:name w:val="annotation text"/>
    <w:basedOn w:val="Normal"/>
    <w:link w:val="CommentTextChar"/>
    <w:uiPriority w:val="99"/>
    <w:semiHidden/>
    <w:unhideWhenUsed/>
    <w:rsid w:val="00403EA9"/>
    <w:rPr>
      <w:sz w:val="20"/>
      <w:szCs w:val="20"/>
    </w:rPr>
  </w:style>
  <w:style w:type="character" w:customStyle="1" w:styleId="CommentTextChar">
    <w:name w:val="Comment Text Char"/>
    <w:basedOn w:val="DefaultParagraphFont"/>
    <w:link w:val="CommentText"/>
    <w:uiPriority w:val="99"/>
    <w:semiHidden/>
    <w:rsid w:val="00403E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spars.Stabins@em.gov.lv" TargetMode="External"/><Relationship Id="rId4" Type="http://schemas.microsoft.com/office/2007/relationships/stylesWithEffects" Target="stylesWithEffects.xml"/><Relationship Id="rId9" Type="http://schemas.openxmlformats.org/officeDocument/2006/relationships/hyperlink" Target="mailto:Martins.Janson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197F-B6FC-4ED1-AF01-4275A9E1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2261</Words>
  <Characters>17666</Characters>
  <Application>Microsoft Office Word</Application>
  <DocSecurity>0</DocSecurity>
  <Lines>841</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Jansons</dc:creator>
  <cp:lastModifiedBy>Kaspars Stabiņš</cp:lastModifiedBy>
  <cp:revision>29</cp:revision>
  <cp:lastPrinted>2014-04-30T07:11:00Z</cp:lastPrinted>
  <dcterms:created xsi:type="dcterms:W3CDTF">2014-07-11T08:32:00Z</dcterms:created>
  <dcterms:modified xsi:type="dcterms:W3CDTF">2014-07-14T06:52:00Z</dcterms:modified>
</cp:coreProperties>
</file>