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83" w:rsidRPr="00F63B34" w:rsidRDefault="00F22D83" w:rsidP="00187562">
      <w:pPr>
        <w:jc w:val="center"/>
        <w:rPr>
          <w:rFonts w:eastAsia="Times New Roman" w:cs="Times New Roman"/>
          <w:bCs/>
          <w:color w:val="000000"/>
          <w:sz w:val="28"/>
          <w:szCs w:val="28"/>
          <w:lang w:eastAsia="lv-LV"/>
        </w:rPr>
      </w:pPr>
      <w:r w:rsidRPr="00F63B34">
        <w:rPr>
          <w:rFonts w:eastAsia="Times New Roman" w:cs="Times New Roman"/>
          <w:bCs/>
          <w:color w:val="000000"/>
          <w:sz w:val="28"/>
          <w:szCs w:val="28"/>
          <w:lang w:eastAsia="lv-LV"/>
        </w:rPr>
        <w:t>Informatīvais ziņojums</w:t>
      </w:r>
    </w:p>
    <w:p w:rsidR="00187562" w:rsidRPr="00EC0183" w:rsidRDefault="00187562" w:rsidP="00187562">
      <w:pPr>
        <w:jc w:val="center"/>
        <w:rPr>
          <w:rFonts w:eastAsia="Times New Roman" w:cs="Times New Roman"/>
          <w:bCs/>
          <w:color w:val="000000"/>
          <w:szCs w:val="24"/>
          <w:lang w:eastAsia="lv-LV"/>
        </w:rPr>
      </w:pPr>
    </w:p>
    <w:p w:rsidR="00F22D83" w:rsidRPr="00F63B34" w:rsidRDefault="008F6DC9" w:rsidP="00187562">
      <w:pPr>
        <w:jc w:val="center"/>
        <w:rPr>
          <w:rFonts w:eastAsia="Times New Roman" w:cs="Times New Roman"/>
          <w:b/>
          <w:bCs/>
          <w:color w:val="000000"/>
          <w:sz w:val="28"/>
          <w:szCs w:val="28"/>
          <w:lang w:eastAsia="lv-LV"/>
        </w:rPr>
      </w:pPr>
      <w:r>
        <w:rPr>
          <w:rFonts w:eastAsia="Times New Roman" w:cs="Times New Roman"/>
          <w:b/>
          <w:bCs/>
          <w:color w:val="000000"/>
          <w:sz w:val="28"/>
          <w:szCs w:val="28"/>
          <w:lang w:eastAsia="lv-LV"/>
        </w:rPr>
        <w:t xml:space="preserve"> Par energointensīvo uzņēmumu konkurētspējas veicināšanu</w:t>
      </w:r>
    </w:p>
    <w:p w:rsidR="00F22D83" w:rsidRPr="00EC0183" w:rsidRDefault="00F22D83" w:rsidP="00187562">
      <w:pPr>
        <w:jc w:val="both"/>
        <w:rPr>
          <w:rFonts w:eastAsia="Times New Roman" w:cs="Times New Roman"/>
          <w:b/>
          <w:bCs/>
          <w:color w:val="000000"/>
          <w:szCs w:val="24"/>
          <w:lang w:eastAsia="lv-LV"/>
        </w:rPr>
      </w:pPr>
    </w:p>
    <w:p w:rsidR="00187562" w:rsidRPr="00EC0183" w:rsidRDefault="00187562" w:rsidP="00187562">
      <w:pPr>
        <w:jc w:val="both"/>
        <w:rPr>
          <w:rFonts w:eastAsia="Times New Roman" w:cs="Times New Roman"/>
          <w:b/>
          <w:bCs/>
          <w:color w:val="000000"/>
          <w:szCs w:val="24"/>
          <w:lang w:eastAsia="lv-LV"/>
        </w:rPr>
      </w:pPr>
    </w:p>
    <w:p w:rsidR="006B0474" w:rsidRPr="005B42CF" w:rsidRDefault="006B0474" w:rsidP="005B42CF">
      <w:pPr>
        <w:pStyle w:val="ListParagraph"/>
        <w:numPr>
          <w:ilvl w:val="0"/>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Ievads</w:t>
      </w:r>
    </w:p>
    <w:p w:rsidR="00187562" w:rsidRPr="00AD4AFC" w:rsidRDefault="00187562" w:rsidP="00187562">
      <w:pPr>
        <w:jc w:val="both"/>
        <w:rPr>
          <w:rFonts w:eastAsia="Times New Roman" w:cs="Times New Roman"/>
          <w:b/>
          <w:bCs/>
          <w:color w:val="000000"/>
          <w:sz w:val="28"/>
          <w:szCs w:val="28"/>
          <w:lang w:eastAsia="lv-LV"/>
        </w:rPr>
      </w:pPr>
    </w:p>
    <w:p w:rsidR="00B76966" w:rsidRPr="00AD4AFC" w:rsidRDefault="0099711F" w:rsidP="00CB4B9D">
      <w:pPr>
        <w:ind w:firstLine="709"/>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Elektroenerģijas izmaksas ir viens no galvenajiem faktoriem, kas ietekmē ikvienas nozares konkurētspējas ne tikai nacionālā, reģionālā, Eiropas Savienības (turpmāk – ES), bet arī starptautiskajā līmenī. Īpaši šis aspekts ir attiecināms uz tiem uzņēmumiem, kas savu pamatdarbību ir izvērsuši </w:t>
      </w:r>
      <w:proofErr w:type="spellStart"/>
      <w:r w:rsidRPr="00AD4AFC">
        <w:rPr>
          <w:rFonts w:eastAsia="Times New Roman" w:cs="Times New Roman"/>
          <w:bCs/>
          <w:color w:val="000000"/>
          <w:sz w:val="28"/>
          <w:szCs w:val="28"/>
          <w:lang w:eastAsia="lv-LV"/>
        </w:rPr>
        <w:t>energointensīvajās</w:t>
      </w:r>
      <w:proofErr w:type="spellEnd"/>
      <w:r w:rsidRPr="00AD4AFC">
        <w:rPr>
          <w:rFonts w:eastAsia="Times New Roman" w:cs="Times New Roman"/>
          <w:bCs/>
          <w:color w:val="000000"/>
          <w:sz w:val="28"/>
          <w:szCs w:val="28"/>
          <w:lang w:eastAsia="lv-LV"/>
        </w:rPr>
        <w:t xml:space="preserve"> nozarēs, tādās kā, metālrūpniecība, šķiedras ražošana, būvmateriālu ražošana. Šādos uzņēmumos izmaksas par elektroenerģiju var sasniegt līdz pat 40% no operacionālajām izmaksām, </w:t>
      </w:r>
      <w:r w:rsidR="00B76966" w:rsidRPr="00AD4AFC">
        <w:rPr>
          <w:rFonts w:eastAsia="Times New Roman" w:cs="Times New Roman"/>
          <w:bCs/>
          <w:color w:val="000000"/>
          <w:sz w:val="28"/>
          <w:szCs w:val="28"/>
          <w:lang w:eastAsia="lv-LV"/>
        </w:rPr>
        <w:t>kas ir daudz augstākas nekā līdzīgos uzņēmumos ārpus ES, piemēram, Latvijas gadījumā Krievijā, A</w:t>
      </w:r>
      <w:r w:rsidR="00F15450">
        <w:rPr>
          <w:rFonts w:eastAsia="Times New Roman" w:cs="Times New Roman"/>
          <w:bCs/>
          <w:color w:val="000000"/>
          <w:sz w:val="28"/>
          <w:szCs w:val="28"/>
          <w:lang w:eastAsia="lv-LV"/>
        </w:rPr>
        <w:t xml:space="preserve">merikas </w:t>
      </w:r>
      <w:r w:rsidR="00B76966" w:rsidRPr="00AD4AFC">
        <w:rPr>
          <w:rFonts w:eastAsia="Times New Roman" w:cs="Times New Roman"/>
          <w:bCs/>
          <w:color w:val="000000"/>
          <w:sz w:val="28"/>
          <w:szCs w:val="28"/>
          <w:lang w:eastAsia="lv-LV"/>
        </w:rPr>
        <w:t>S</w:t>
      </w:r>
      <w:r w:rsidR="00F15450">
        <w:rPr>
          <w:rFonts w:eastAsia="Times New Roman" w:cs="Times New Roman"/>
          <w:bCs/>
          <w:color w:val="000000"/>
          <w:sz w:val="28"/>
          <w:szCs w:val="28"/>
          <w:lang w:eastAsia="lv-LV"/>
        </w:rPr>
        <w:t xml:space="preserve">avienotās </w:t>
      </w:r>
      <w:r w:rsidR="00B76966" w:rsidRPr="00AD4AFC">
        <w:rPr>
          <w:rFonts w:eastAsia="Times New Roman" w:cs="Times New Roman"/>
          <w:bCs/>
          <w:color w:val="000000"/>
          <w:sz w:val="28"/>
          <w:szCs w:val="28"/>
          <w:lang w:eastAsia="lv-LV"/>
        </w:rPr>
        <w:t>V</w:t>
      </w:r>
      <w:r w:rsidR="00F15450">
        <w:rPr>
          <w:rFonts w:eastAsia="Times New Roman" w:cs="Times New Roman"/>
          <w:bCs/>
          <w:color w:val="000000"/>
          <w:sz w:val="28"/>
          <w:szCs w:val="28"/>
          <w:lang w:eastAsia="lv-LV"/>
        </w:rPr>
        <w:t>alstis</w:t>
      </w:r>
      <w:r w:rsidR="00B76966" w:rsidRPr="00AD4AFC">
        <w:rPr>
          <w:rFonts w:eastAsia="Times New Roman" w:cs="Times New Roman"/>
          <w:bCs/>
          <w:color w:val="000000"/>
          <w:sz w:val="28"/>
          <w:szCs w:val="28"/>
          <w:lang w:eastAsia="lv-LV"/>
        </w:rPr>
        <w:t xml:space="preserve">, Ķīnā. </w:t>
      </w:r>
    </w:p>
    <w:p w:rsidR="004A5F5F" w:rsidRPr="00AD4AFC" w:rsidRDefault="00B76966" w:rsidP="00CB4B9D">
      <w:pPr>
        <w:ind w:firstLine="709"/>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Ņemot vērā faktu, ka elektroenerģijas </w:t>
      </w:r>
      <w:r w:rsidR="00544245">
        <w:rPr>
          <w:rFonts w:eastAsia="Times New Roman" w:cs="Times New Roman"/>
          <w:bCs/>
          <w:color w:val="000000"/>
          <w:sz w:val="28"/>
          <w:szCs w:val="28"/>
          <w:lang w:eastAsia="lv-LV"/>
        </w:rPr>
        <w:t xml:space="preserve">izmaksu </w:t>
      </w:r>
      <w:r w:rsidRPr="00AD4AFC">
        <w:rPr>
          <w:rFonts w:eastAsia="Times New Roman" w:cs="Times New Roman"/>
          <w:bCs/>
          <w:color w:val="000000"/>
          <w:sz w:val="28"/>
          <w:szCs w:val="28"/>
          <w:lang w:eastAsia="lv-LV"/>
        </w:rPr>
        <w:t xml:space="preserve">kāpums ES ir vērojams jau kādu laiku, atsevišķas ES dalībvalstis ir izveidojušās īpašus valsts atbalsta mehānismus </w:t>
      </w:r>
      <w:proofErr w:type="spellStart"/>
      <w:r w:rsidRPr="00AD4AFC">
        <w:rPr>
          <w:rFonts w:eastAsia="Times New Roman" w:cs="Times New Roman"/>
          <w:bCs/>
          <w:color w:val="000000"/>
          <w:sz w:val="28"/>
          <w:szCs w:val="28"/>
          <w:lang w:eastAsia="lv-LV"/>
        </w:rPr>
        <w:t>energointensīvās</w:t>
      </w:r>
      <w:proofErr w:type="spellEnd"/>
      <w:r w:rsidRPr="00AD4AFC">
        <w:rPr>
          <w:rFonts w:eastAsia="Times New Roman" w:cs="Times New Roman"/>
          <w:bCs/>
          <w:color w:val="000000"/>
          <w:sz w:val="28"/>
          <w:szCs w:val="28"/>
          <w:lang w:eastAsia="lv-LV"/>
        </w:rPr>
        <w:t xml:space="preserve"> rūpniecības atbalstam, lai vismaz zināmā apmērā kompensētu </w:t>
      </w:r>
      <w:r w:rsidR="008A312B">
        <w:rPr>
          <w:rFonts w:eastAsia="Times New Roman" w:cs="Times New Roman"/>
          <w:bCs/>
          <w:color w:val="000000"/>
          <w:sz w:val="28"/>
          <w:szCs w:val="28"/>
          <w:lang w:eastAsia="lv-LV"/>
        </w:rPr>
        <w:t>elektroenerģijas izmaksu kāpumu. Šāda</w:t>
      </w:r>
      <w:r w:rsidRPr="00AD4AFC">
        <w:rPr>
          <w:rFonts w:eastAsia="Times New Roman" w:cs="Times New Roman"/>
          <w:bCs/>
          <w:color w:val="000000"/>
          <w:sz w:val="28"/>
          <w:szCs w:val="28"/>
          <w:lang w:eastAsia="lv-LV"/>
        </w:rPr>
        <w:t xml:space="preserve"> atbalsta </w:t>
      </w:r>
      <w:r w:rsidR="008A312B">
        <w:rPr>
          <w:rFonts w:eastAsia="Times New Roman" w:cs="Times New Roman"/>
          <w:bCs/>
          <w:color w:val="000000"/>
          <w:sz w:val="28"/>
          <w:szCs w:val="28"/>
          <w:lang w:eastAsia="lv-LV"/>
        </w:rPr>
        <w:t>e</w:t>
      </w:r>
      <w:r w:rsidRPr="00AD4AFC">
        <w:rPr>
          <w:rFonts w:eastAsia="Times New Roman" w:cs="Times New Roman"/>
          <w:bCs/>
          <w:color w:val="000000"/>
          <w:sz w:val="28"/>
          <w:szCs w:val="28"/>
          <w:lang w:eastAsia="lv-LV"/>
        </w:rPr>
        <w:t>samība Latvijas energointensīvo uzņēmumu eksporta tirgos rada konkurences kropļošanu, nostādot šos uzņēmumus daudz nelabvēlīgākā stāvoklī. Līdz ar to ir nepieciešams rast risinājumu šo uzņēmumu atbalstam, lai mazinātu elektroenerģijas izmaksu pieauguma negatīvo efektu uz šo uzņēmumu konkurētspēju ES eksporta tirgos ar līdzīgiem uzņēmumiem no citām ES dalībvalstīm vai eksporta tirgos trešajās valstīs, kur elektroenerģijas izmaksas var būt līdz pat 2 – 3 reizēm zemākas nekā Latvijā.</w:t>
      </w:r>
    </w:p>
    <w:p w:rsidR="006B0474" w:rsidRPr="00AD4AFC" w:rsidRDefault="004A5F5F" w:rsidP="00CB4B9D">
      <w:pPr>
        <w:ind w:firstLine="709"/>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Ekonomikas ministrija (turpmāk - EM) l</w:t>
      </w:r>
      <w:r w:rsidR="003820F7" w:rsidRPr="00AD4AFC">
        <w:rPr>
          <w:rFonts w:eastAsia="Times New Roman" w:cs="Times New Roman"/>
          <w:bCs/>
          <w:color w:val="000000"/>
          <w:sz w:val="28"/>
          <w:szCs w:val="28"/>
          <w:lang w:eastAsia="lv-LV"/>
        </w:rPr>
        <w:t xml:space="preserve">aikā posmā no 2012. līdz 2013.gadam ir izstrādājusi vairākus informatīvos </w:t>
      </w:r>
      <w:r w:rsidR="00F75CF9" w:rsidRPr="00AD4AFC">
        <w:rPr>
          <w:rFonts w:eastAsia="Times New Roman" w:cs="Times New Roman"/>
          <w:bCs/>
          <w:color w:val="000000"/>
          <w:sz w:val="28"/>
          <w:szCs w:val="28"/>
          <w:lang w:eastAsia="lv-LV"/>
        </w:rPr>
        <w:t>ziņojumus, kuros raksturota</w:t>
      </w:r>
      <w:r w:rsidR="003820F7" w:rsidRPr="00AD4AFC">
        <w:rPr>
          <w:rFonts w:eastAsia="Times New Roman" w:cs="Times New Roman"/>
          <w:bCs/>
          <w:color w:val="000000"/>
          <w:sz w:val="28"/>
          <w:szCs w:val="28"/>
          <w:lang w:eastAsia="lv-LV"/>
        </w:rPr>
        <w:t xml:space="preserve"> </w:t>
      </w:r>
      <w:r w:rsidR="00F75CF9" w:rsidRPr="00AD4AFC">
        <w:rPr>
          <w:rFonts w:eastAsia="Times New Roman" w:cs="Times New Roman"/>
          <w:bCs/>
          <w:color w:val="000000"/>
          <w:sz w:val="28"/>
          <w:szCs w:val="28"/>
          <w:lang w:eastAsia="lv-LV"/>
        </w:rPr>
        <w:t xml:space="preserve">elektroenerģijas tirgus problemātika, tai skaitā </w:t>
      </w:r>
      <w:r w:rsidRPr="00AD4AFC">
        <w:rPr>
          <w:rFonts w:eastAsia="Times New Roman" w:cs="Times New Roman"/>
          <w:bCs/>
          <w:color w:val="000000"/>
          <w:sz w:val="28"/>
          <w:szCs w:val="28"/>
          <w:lang w:eastAsia="lv-LV"/>
        </w:rPr>
        <w:t xml:space="preserve">elektroenerģijas </w:t>
      </w:r>
      <w:r w:rsidR="00F75CF9" w:rsidRPr="00AD4AFC">
        <w:rPr>
          <w:rFonts w:eastAsia="Times New Roman" w:cs="Times New Roman"/>
          <w:bCs/>
          <w:color w:val="000000"/>
          <w:sz w:val="28"/>
          <w:szCs w:val="28"/>
          <w:lang w:eastAsia="lv-LV"/>
        </w:rPr>
        <w:t>obligātā iepirkuma komponentes (turpmāk - OIK) negatīv</w:t>
      </w:r>
      <w:r w:rsidRPr="00AD4AFC">
        <w:rPr>
          <w:rFonts w:eastAsia="Times New Roman" w:cs="Times New Roman"/>
          <w:bCs/>
          <w:color w:val="000000"/>
          <w:sz w:val="28"/>
          <w:szCs w:val="28"/>
          <w:lang w:eastAsia="lv-LV"/>
        </w:rPr>
        <w:t>ā</w:t>
      </w:r>
      <w:r w:rsidR="00F75CF9" w:rsidRPr="00AD4AFC">
        <w:rPr>
          <w:rFonts w:eastAsia="Times New Roman" w:cs="Times New Roman"/>
          <w:bCs/>
          <w:color w:val="000000"/>
          <w:sz w:val="28"/>
          <w:szCs w:val="28"/>
          <w:lang w:eastAsia="lv-LV"/>
        </w:rPr>
        <w:t xml:space="preserve"> ietekme uz konkurētspējīgām elektroenerģijas cenām:</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Informatīvais ziņojums „Par atbalsta mehānismiem elektroenerģijas ražošanai, izmantojot atjaunojamos energoresursus” (MK 28.0</w:t>
      </w:r>
      <w:r w:rsidR="00F75CF9" w:rsidRPr="00AD4AFC">
        <w:rPr>
          <w:rFonts w:eastAsia="Times New Roman" w:cs="Times New Roman"/>
          <w:bCs/>
          <w:color w:val="000000"/>
          <w:sz w:val="28"/>
          <w:szCs w:val="28"/>
          <w:lang w:eastAsia="lv-LV"/>
        </w:rPr>
        <w:t xml:space="preserve">8.2012. sēdes </w:t>
      </w:r>
      <w:proofErr w:type="spellStart"/>
      <w:r w:rsidR="00F75CF9" w:rsidRPr="00AD4AFC">
        <w:rPr>
          <w:rFonts w:eastAsia="Times New Roman" w:cs="Times New Roman"/>
          <w:bCs/>
          <w:color w:val="000000"/>
          <w:sz w:val="28"/>
          <w:szCs w:val="28"/>
          <w:lang w:eastAsia="lv-LV"/>
        </w:rPr>
        <w:t>prot</w:t>
      </w:r>
      <w:proofErr w:type="spellEnd"/>
      <w:r w:rsidR="00F75CF9" w:rsidRPr="00AD4AFC">
        <w:rPr>
          <w:rFonts w:eastAsia="Times New Roman" w:cs="Times New Roman"/>
          <w:bCs/>
          <w:color w:val="000000"/>
          <w:sz w:val="28"/>
          <w:szCs w:val="28"/>
          <w:lang w:eastAsia="lv-LV"/>
        </w:rPr>
        <w:t>. Nr.49, 41.§)</w:t>
      </w:r>
      <w:r w:rsidRPr="00AD4AFC">
        <w:rPr>
          <w:rFonts w:eastAsia="Times New Roman" w:cs="Times New Roman"/>
          <w:bCs/>
          <w:color w:val="000000"/>
          <w:sz w:val="28"/>
          <w:szCs w:val="28"/>
          <w:lang w:eastAsia="lv-LV"/>
        </w:rPr>
        <w:t>;</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Informatīvais ziņojums „Par elektroenerģijas cenu pieauguma riskiem un to ierobežošanu” (MK 08.01.2013</w:t>
      </w:r>
      <w:r w:rsidR="00F75CF9" w:rsidRPr="00AD4AF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sēdes </w:t>
      </w:r>
      <w:proofErr w:type="spellStart"/>
      <w:r w:rsidRPr="00AD4AFC">
        <w:rPr>
          <w:rFonts w:eastAsia="Times New Roman" w:cs="Times New Roman"/>
          <w:bCs/>
          <w:color w:val="000000"/>
          <w:sz w:val="28"/>
          <w:szCs w:val="28"/>
          <w:lang w:eastAsia="lv-LV"/>
        </w:rPr>
        <w:t>prot</w:t>
      </w:r>
      <w:proofErr w:type="spellEnd"/>
      <w:r w:rsidRPr="00AD4AFC">
        <w:rPr>
          <w:rFonts w:eastAsia="Times New Roman" w:cs="Times New Roman"/>
          <w:bCs/>
          <w:color w:val="000000"/>
          <w:sz w:val="28"/>
          <w:szCs w:val="28"/>
          <w:lang w:eastAsia="lv-LV"/>
        </w:rPr>
        <w:t xml:space="preserve">. Nr.2, 29. §);     </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Informatīvais ziņojums „Rīcības plāns elektroenerģijas kopējās cenas pieauguma risku ierobežošanai”  (MK 09.04.2013</w:t>
      </w:r>
      <w:r w:rsidR="00F75CF9" w:rsidRPr="00AD4AF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sēdes </w:t>
      </w:r>
      <w:proofErr w:type="spellStart"/>
      <w:r w:rsidRPr="00AD4AFC">
        <w:rPr>
          <w:rFonts w:eastAsia="Times New Roman" w:cs="Times New Roman"/>
          <w:bCs/>
          <w:color w:val="000000"/>
          <w:sz w:val="28"/>
          <w:szCs w:val="28"/>
          <w:lang w:eastAsia="lv-LV"/>
        </w:rPr>
        <w:t>prot</w:t>
      </w:r>
      <w:proofErr w:type="spellEnd"/>
      <w:r w:rsidRPr="00AD4AFC">
        <w:rPr>
          <w:rFonts w:eastAsia="Times New Roman" w:cs="Times New Roman"/>
          <w:bCs/>
          <w:color w:val="000000"/>
          <w:sz w:val="28"/>
          <w:szCs w:val="28"/>
          <w:lang w:eastAsia="lv-LV"/>
        </w:rPr>
        <w:t>. 18, 35. §);</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Informatīvais ziņojums „Par elektroenerģijas obligātā iepirkuma ražošanas atbalsta fondu” (MK 04.06.2013</w:t>
      </w:r>
      <w:r w:rsidR="00F75CF9" w:rsidRPr="00AD4AF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sēdes </w:t>
      </w:r>
      <w:proofErr w:type="spellStart"/>
      <w:r w:rsidRPr="00AD4AFC">
        <w:rPr>
          <w:rFonts w:eastAsia="Times New Roman" w:cs="Times New Roman"/>
          <w:bCs/>
          <w:color w:val="000000"/>
          <w:sz w:val="28"/>
          <w:szCs w:val="28"/>
          <w:lang w:eastAsia="lv-LV"/>
        </w:rPr>
        <w:t>prot</w:t>
      </w:r>
      <w:proofErr w:type="spellEnd"/>
      <w:r w:rsidRPr="00AD4AFC">
        <w:rPr>
          <w:rFonts w:eastAsia="Times New Roman" w:cs="Times New Roman"/>
          <w:bCs/>
          <w:color w:val="000000"/>
          <w:sz w:val="28"/>
          <w:szCs w:val="28"/>
          <w:lang w:eastAsia="lv-LV"/>
        </w:rPr>
        <w:t xml:space="preserve">. Nr.33 29. §); </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Informatīvais ziņojums „Latvijas Enerģētikas ilgtermiņa stratēģija 2030 – konkurētspējīga enerģētika sabiedrībai” (MK 28.05.2013</w:t>
      </w:r>
      <w:r w:rsidR="00F75CF9" w:rsidRPr="00AD4AF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sēdes </w:t>
      </w:r>
      <w:proofErr w:type="spellStart"/>
      <w:r w:rsidRPr="00AD4AFC">
        <w:rPr>
          <w:rFonts w:eastAsia="Times New Roman" w:cs="Times New Roman"/>
          <w:bCs/>
          <w:color w:val="000000"/>
          <w:sz w:val="28"/>
          <w:szCs w:val="28"/>
          <w:lang w:eastAsia="lv-LV"/>
        </w:rPr>
        <w:t>prot</w:t>
      </w:r>
      <w:proofErr w:type="spellEnd"/>
      <w:r w:rsidRPr="00AD4AFC">
        <w:rPr>
          <w:rFonts w:eastAsia="Times New Roman" w:cs="Times New Roman"/>
          <w:bCs/>
          <w:color w:val="000000"/>
          <w:sz w:val="28"/>
          <w:szCs w:val="28"/>
          <w:lang w:eastAsia="lv-LV"/>
        </w:rPr>
        <w:t xml:space="preserve">. Nr.32, 59;  </w:t>
      </w:r>
    </w:p>
    <w:p w:rsidR="003820F7" w:rsidRPr="00AD4AFC" w:rsidRDefault="003820F7" w:rsidP="00187562">
      <w:pPr>
        <w:pStyle w:val="ListParagraph"/>
        <w:numPr>
          <w:ilvl w:val="0"/>
          <w:numId w:val="3"/>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lastRenderedPageBreak/>
        <w:t xml:space="preserve">Informatīvais ziņojums </w:t>
      </w:r>
      <w:r w:rsidR="00F15450" w:rsidRPr="00AD4AF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Komplekss risinājums elektroenerģijas tirgus problemātikai</w:t>
      </w:r>
      <w:r w:rsidR="00F15450" w:rsidRPr="00AD4AFC">
        <w:rPr>
          <w:rFonts w:eastAsia="Times New Roman" w:cs="Times New Roman"/>
          <w:bCs/>
          <w:color w:val="000000"/>
          <w:sz w:val="28"/>
          <w:szCs w:val="28"/>
          <w:lang w:eastAsia="lv-LV"/>
        </w:rPr>
        <w:t xml:space="preserve">” </w:t>
      </w:r>
      <w:r w:rsidRPr="00AD4AFC">
        <w:rPr>
          <w:rFonts w:eastAsia="Times New Roman" w:cs="Times New Roman"/>
          <w:bCs/>
          <w:color w:val="000000"/>
          <w:sz w:val="28"/>
          <w:szCs w:val="28"/>
          <w:lang w:eastAsia="lv-LV"/>
        </w:rPr>
        <w:t>(MK 13.08</w:t>
      </w:r>
      <w:r w:rsidR="005513E6">
        <w:rPr>
          <w:rFonts w:eastAsia="Times New Roman" w:cs="Times New Roman"/>
          <w:bCs/>
          <w:color w:val="000000"/>
          <w:sz w:val="28"/>
          <w:szCs w:val="28"/>
          <w:lang w:eastAsia="lv-LV"/>
        </w:rPr>
        <w:t xml:space="preserve">.2013. sēdes </w:t>
      </w:r>
      <w:proofErr w:type="spellStart"/>
      <w:r w:rsidR="005513E6">
        <w:rPr>
          <w:rFonts w:eastAsia="Times New Roman" w:cs="Times New Roman"/>
          <w:bCs/>
          <w:color w:val="000000"/>
          <w:sz w:val="28"/>
          <w:szCs w:val="28"/>
          <w:lang w:eastAsia="lv-LV"/>
        </w:rPr>
        <w:t>prot</w:t>
      </w:r>
      <w:proofErr w:type="spellEnd"/>
      <w:r w:rsidR="005513E6">
        <w:rPr>
          <w:rFonts w:eastAsia="Times New Roman" w:cs="Times New Roman"/>
          <w:bCs/>
          <w:color w:val="000000"/>
          <w:sz w:val="28"/>
          <w:szCs w:val="28"/>
          <w:lang w:eastAsia="lv-LV"/>
        </w:rPr>
        <w:t>. Nr.</w:t>
      </w:r>
      <w:r w:rsidR="00F75CF9" w:rsidRPr="00AD4AFC">
        <w:rPr>
          <w:rFonts w:eastAsia="Times New Roman" w:cs="Times New Roman"/>
          <w:bCs/>
          <w:color w:val="000000"/>
          <w:sz w:val="28"/>
          <w:szCs w:val="28"/>
          <w:lang w:eastAsia="lv-LV"/>
        </w:rPr>
        <w:t>44 156.§).</w:t>
      </w:r>
    </w:p>
    <w:p w:rsidR="00F75CF9" w:rsidRPr="00AD4AFC" w:rsidRDefault="008A312B" w:rsidP="00CB4B9D">
      <w:pPr>
        <w:ind w:firstLine="709"/>
        <w:jc w:val="both"/>
        <w:rPr>
          <w:rFonts w:eastAsia="Times New Roman" w:cs="Times New Roman"/>
          <w:bCs/>
          <w:color w:val="000000"/>
          <w:sz w:val="28"/>
          <w:szCs w:val="28"/>
          <w:lang w:eastAsia="lv-LV"/>
        </w:rPr>
      </w:pPr>
      <w:r>
        <w:rPr>
          <w:rFonts w:eastAsia="Times New Roman" w:cs="Times New Roman"/>
          <w:bCs/>
          <w:color w:val="000000"/>
          <w:sz w:val="28"/>
          <w:szCs w:val="28"/>
          <w:lang w:eastAsia="lv-LV"/>
        </w:rPr>
        <w:t>Šī</w:t>
      </w:r>
      <w:r w:rsidR="00F75CF9" w:rsidRPr="00AD4AFC">
        <w:rPr>
          <w:rFonts w:eastAsia="Times New Roman" w:cs="Times New Roman"/>
          <w:bCs/>
          <w:color w:val="000000"/>
          <w:sz w:val="28"/>
          <w:szCs w:val="28"/>
          <w:lang w:eastAsia="lv-LV"/>
        </w:rPr>
        <w:t xml:space="preserve"> informatīvā ziņojuma mērķis ir sniegt priekšlikumus rīcībai, lai turpmāk ierobežotu OIK maksājumus tādiem ražošanas uzņēmumiem, kuru darbību reģionālajos un starptautiskajos tirgos visvairāk ietekmē elektroenerģijas cena</w:t>
      </w:r>
      <w:r>
        <w:rPr>
          <w:rFonts w:eastAsia="Times New Roman" w:cs="Times New Roman"/>
          <w:bCs/>
          <w:color w:val="000000"/>
          <w:sz w:val="28"/>
          <w:szCs w:val="28"/>
          <w:lang w:eastAsia="lv-LV"/>
        </w:rPr>
        <w:t>s pieaugums</w:t>
      </w:r>
      <w:r w:rsidR="00F75CF9" w:rsidRPr="00AD4AFC">
        <w:rPr>
          <w:rFonts w:eastAsia="Times New Roman" w:cs="Times New Roman"/>
          <w:bCs/>
          <w:color w:val="000000"/>
          <w:sz w:val="28"/>
          <w:szCs w:val="28"/>
          <w:lang w:eastAsia="lv-LV"/>
        </w:rPr>
        <w:t xml:space="preserve">. </w:t>
      </w:r>
    </w:p>
    <w:p w:rsidR="00187562" w:rsidRPr="00AD4AFC" w:rsidRDefault="00187562" w:rsidP="00187562">
      <w:pPr>
        <w:ind w:firstLine="360"/>
        <w:jc w:val="both"/>
        <w:rPr>
          <w:rFonts w:eastAsia="Times New Roman" w:cs="Times New Roman"/>
          <w:bCs/>
          <w:color w:val="000000"/>
          <w:sz w:val="28"/>
          <w:szCs w:val="28"/>
          <w:lang w:eastAsia="lv-LV"/>
        </w:rPr>
      </w:pPr>
    </w:p>
    <w:p w:rsidR="00EC0183" w:rsidRPr="005B42CF" w:rsidRDefault="00EC0183" w:rsidP="005B42CF">
      <w:pPr>
        <w:pStyle w:val="ListParagraph"/>
        <w:numPr>
          <w:ilvl w:val="0"/>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Elektroenerģijas cenas veidošanas mehānismi</w:t>
      </w:r>
    </w:p>
    <w:p w:rsidR="00F63B34" w:rsidRPr="00AD4AFC" w:rsidRDefault="00F63B34" w:rsidP="0027137C">
      <w:pPr>
        <w:jc w:val="both"/>
        <w:rPr>
          <w:rFonts w:eastAsia="Times New Roman" w:cs="Times New Roman"/>
          <w:b/>
          <w:bCs/>
          <w:color w:val="000000"/>
          <w:sz w:val="28"/>
          <w:szCs w:val="28"/>
          <w:lang w:eastAsia="lv-LV"/>
        </w:rPr>
      </w:pPr>
    </w:p>
    <w:p w:rsidR="00EC0183" w:rsidRPr="00AD4AFC" w:rsidRDefault="0027137C" w:rsidP="00CB4B9D">
      <w:pPr>
        <w:ind w:firstLine="709"/>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Elektroenerģijas cena gala lietotājiem veidojas no četrām komponentēm:</w:t>
      </w:r>
    </w:p>
    <w:p w:rsidR="000901E5" w:rsidRPr="00AD4AFC" w:rsidRDefault="008A312B" w:rsidP="000901E5">
      <w:pPr>
        <w:pStyle w:val="ListParagraph"/>
        <w:numPr>
          <w:ilvl w:val="0"/>
          <w:numId w:val="5"/>
        </w:numPr>
        <w:jc w:val="both"/>
        <w:rPr>
          <w:rFonts w:eastAsia="Times New Roman" w:cs="Times New Roman"/>
          <w:bCs/>
          <w:color w:val="000000"/>
          <w:sz w:val="28"/>
          <w:szCs w:val="28"/>
          <w:lang w:eastAsia="lv-LV"/>
        </w:rPr>
      </w:pPr>
      <w:r>
        <w:rPr>
          <w:rFonts w:eastAsia="Times New Roman" w:cs="Times New Roman"/>
          <w:bCs/>
          <w:color w:val="000000"/>
          <w:sz w:val="28"/>
          <w:szCs w:val="28"/>
          <w:lang w:eastAsia="lv-LV"/>
        </w:rPr>
        <w:t>Elektroenerģijas tirgus cena. Ņ</w:t>
      </w:r>
      <w:r w:rsidR="0027137C" w:rsidRPr="00AD4AFC">
        <w:rPr>
          <w:rFonts w:eastAsia="Times New Roman" w:cs="Times New Roman"/>
          <w:bCs/>
          <w:color w:val="000000"/>
          <w:sz w:val="28"/>
          <w:szCs w:val="28"/>
          <w:lang w:eastAsia="lv-LV"/>
        </w:rPr>
        <w:t xml:space="preserve">emot vērā to, ka Latvijā ir liberalizēts elektroenerģijas tirgus juridiskajām personām, cena </w:t>
      </w:r>
      <w:r w:rsidR="004A5F5F" w:rsidRPr="00AD4AFC">
        <w:rPr>
          <w:rFonts w:eastAsia="Times New Roman" w:cs="Times New Roman"/>
          <w:bCs/>
          <w:color w:val="000000"/>
          <w:sz w:val="28"/>
          <w:szCs w:val="28"/>
          <w:lang w:eastAsia="lv-LV"/>
        </w:rPr>
        <w:t xml:space="preserve">tiem </w:t>
      </w:r>
      <w:r w:rsidR="0027137C" w:rsidRPr="00AD4AFC">
        <w:rPr>
          <w:rFonts w:eastAsia="Times New Roman" w:cs="Times New Roman"/>
          <w:bCs/>
          <w:color w:val="000000"/>
          <w:sz w:val="28"/>
          <w:szCs w:val="28"/>
          <w:lang w:eastAsia="lv-LV"/>
        </w:rPr>
        <w:t>tiek noteikta tirgū. Valsts līmenī ir iespējams izdarīt spiedienu uz cenu pazemināšanos, veidojot attiecīgu infrastruktūru</w:t>
      </w:r>
      <w:r w:rsidR="004A5F5F" w:rsidRPr="00AD4AFC">
        <w:rPr>
          <w:rFonts w:eastAsia="Times New Roman" w:cs="Times New Roman"/>
          <w:bCs/>
          <w:color w:val="000000"/>
          <w:sz w:val="28"/>
          <w:szCs w:val="28"/>
          <w:lang w:eastAsia="lv-LV"/>
        </w:rPr>
        <w:t xml:space="preserve"> un veidojot nodokļu politiku</w:t>
      </w:r>
      <w:r w:rsidR="0027137C" w:rsidRPr="00AD4AFC">
        <w:rPr>
          <w:rFonts w:eastAsia="Times New Roman" w:cs="Times New Roman"/>
          <w:bCs/>
          <w:color w:val="000000"/>
          <w:sz w:val="28"/>
          <w:szCs w:val="28"/>
          <w:lang w:eastAsia="lv-LV"/>
        </w:rPr>
        <w:t>. Informācija par plānotājiem pasākumiem enerģētikas infrastruktūras izveides jomā ir sniegta EM informatīvajā ziņojumā</w:t>
      </w:r>
      <w:r w:rsidR="000901E5" w:rsidRPr="00AD4AFC">
        <w:rPr>
          <w:rFonts w:eastAsia="Times New Roman" w:cs="Times New Roman"/>
          <w:bCs/>
          <w:color w:val="000000"/>
          <w:sz w:val="28"/>
          <w:szCs w:val="28"/>
          <w:lang w:eastAsia="lv-LV"/>
        </w:rPr>
        <w:t xml:space="preserve"> </w:t>
      </w:r>
      <w:r w:rsidR="00F15450" w:rsidRPr="00AD4AFC">
        <w:rPr>
          <w:rFonts w:eastAsia="Times New Roman" w:cs="Times New Roman"/>
          <w:bCs/>
          <w:color w:val="000000"/>
          <w:sz w:val="28"/>
          <w:szCs w:val="28"/>
          <w:lang w:eastAsia="lv-LV"/>
        </w:rPr>
        <w:t>„</w:t>
      </w:r>
      <w:r w:rsidR="000901E5" w:rsidRPr="00AD4AFC">
        <w:rPr>
          <w:rFonts w:eastAsia="Times New Roman" w:cs="Times New Roman"/>
          <w:bCs/>
          <w:color w:val="000000"/>
          <w:sz w:val="28"/>
          <w:szCs w:val="28"/>
          <w:lang w:eastAsia="lv-LV"/>
        </w:rPr>
        <w:t>Par enerģētikas politikas finansēšanu laika posmā no 2014.</w:t>
      </w:r>
      <w:r w:rsidR="00662F55">
        <w:rPr>
          <w:rFonts w:eastAsia="Times New Roman" w:cs="Times New Roman"/>
          <w:bCs/>
          <w:color w:val="000000"/>
          <w:sz w:val="28"/>
          <w:szCs w:val="28"/>
          <w:lang w:eastAsia="lv-LV"/>
        </w:rPr>
        <w:t xml:space="preserve"> </w:t>
      </w:r>
      <w:r w:rsidR="000901E5" w:rsidRPr="00AD4AFC">
        <w:rPr>
          <w:rFonts w:eastAsia="Times New Roman" w:cs="Times New Roman"/>
          <w:bCs/>
          <w:color w:val="000000"/>
          <w:sz w:val="28"/>
          <w:szCs w:val="28"/>
          <w:lang w:eastAsia="lv-LV"/>
        </w:rPr>
        <w:t>-</w:t>
      </w:r>
      <w:r w:rsidR="00662F55">
        <w:rPr>
          <w:rFonts w:eastAsia="Times New Roman" w:cs="Times New Roman"/>
          <w:bCs/>
          <w:color w:val="000000"/>
          <w:sz w:val="28"/>
          <w:szCs w:val="28"/>
          <w:lang w:eastAsia="lv-LV"/>
        </w:rPr>
        <w:t xml:space="preserve"> </w:t>
      </w:r>
      <w:r w:rsidR="000901E5" w:rsidRPr="00AD4AFC">
        <w:rPr>
          <w:rFonts w:eastAsia="Times New Roman" w:cs="Times New Roman"/>
          <w:bCs/>
          <w:color w:val="000000"/>
          <w:sz w:val="28"/>
          <w:szCs w:val="28"/>
          <w:lang w:eastAsia="lv-LV"/>
        </w:rPr>
        <w:t>2020.gadam</w:t>
      </w:r>
      <w:r w:rsidR="00F15450" w:rsidRPr="00AD4AFC">
        <w:rPr>
          <w:rFonts w:eastAsia="Times New Roman" w:cs="Times New Roman"/>
          <w:bCs/>
          <w:color w:val="000000"/>
          <w:sz w:val="28"/>
          <w:szCs w:val="28"/>
          <w:lang w:eastAsia="lv-LV"/>
        </w:rPr>
        <w:t>”</w:t>
      </w:r>
      <w:r w:rsidR="0027137C" w:rsidRPr="00AD4AFC">
        <w:rPr>
          <w:rFonts w:eastAsia="Times New Roman" w:cs="Times New Roman"/>
          <w:bCs/>
          <w:color w:val="000000"/>
          <w:sz w:val="28"/>
          <w:szCs w:val="28"/>
          <w:lang w:eastAsia="lv-LV"/>
        </w:rPr>
        <w:t xml:space="preserve"> </w:t>
      </w:r>
      <w:r w:rsidR="000901E5" w:rsidRPr="00AD4AFC">
        <w:rPr>
          <w:rFonts w:eastAsia="Times New Roman" w:cs="Times New Roman"/>
          <w:bCs/>
          <w:color w:val="000000"/>
          <w:sz w:val="28"/>
          <w:szCs w:val="28"/>
          <w:lang w:eastAsia="lv-LV"/>
        </w:rPr>
        <w:t xml:space="preserve">(MK 20.05.2014. sēdes </w:t>
      </w:r>
      <w:proofErr w:type="spellStart"/>
      <w:r w:rsidR="000901E5" w:rsidRPr="00AD4AFC">
        <w:rPr>
          <w:rFonts w:eastAsia="Times New Roman" w:cs="Times New Roman"/>
          <w:bCs/>
          <w:color w:val="000000"/>
          <w:sz w:val="28"/>
          <w:szCs w:val="28"/>
          <w:lang w:eastAsia="lv-LV"/>
        </w:rPr>
        <w:t>prot</w:t>
      </w:r>
      <w:proofErr w:type="spellEnd"/>
      <w:r w:rsidR="000901E5" w:rsidRPr="00AD4AFC">
        <w:rPr>
          <w:rFonts w:eastAsia="Times New Roman" w:cs="Times New Roman"/>
          <w:bCs/>
          <w:color w:val="000000"/>
          <w:sz w:val="28"/>
          <w:szCs w:val="28"/>
          <w:lang w:eastAsia="lv-LV"/>
        </w:rPr>
        <w:t>. Nr.29 39.§).</w:t>
      </w:r>
    </w:p>
    <w:p w:rsidR="000901E5" w:rsidRPr="00AD4AFC" w:rsidRDefault="000901E5" w:rsidP="0027137C">
      <w:pPr>
        <w:pStyle w:val="ListParagraph"/>
        <w:numPr>
          <w:ilvl w:val="0"/>
          <w:numId w:val="5"/>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Sadales</w:t>
      </w:r>
      <w:r w:rsidR="008203D5">
        <w:rPr>
          <w:rFonts w:eastAsia="Times New Roman" w:cs="Times New Roman"/>
          <w:bCs/>
          <w:color w:val="000000"/>
          <w:sz w:val="28"/>
          <w:szCs w:val="28"/>
          <w:lang w:eastAsia="lv-LV"/>
        </w:rPr>
        <w:t xml:space="preserve"> </w:t>
      </w:r>
      <w:r w:rsidRPr="00AD4AFC">
        <w:rPr>
          <w:rFonts w:eastAsia="Times New Roman" w:cs="Times New Roman"/>
          <w:bCs/>
          <w:color w:val="000000"/>
          <w:sz w:val="28"/>
          <w:szCs w:val="28"/>
          <w:lang w:eastAsia="lv-LV"/>
        </w:rPr>
        <w:t>/</w:t>
      </w:r>
      <w:r w:rsidR="008203D5">
        <w:rPr>
          <w:rFonts w:eastAsia="Times New Roman" w:cs="Times New Roman"/>
          <w:bCs/>
          <w:color w:val="000000"/>
          <w:sz w:val="28"/>
          <w:szCs w:val="28"/>
          <w:lang w:eastAsia="lv-LV"/>
        </w:rPr>
        <w:t xml:space="preserve"> </w:t>
      </w:r>
      <w:r w:rsidR="008A312B">
        <w:rPr>
          <w:rFonts w:eastAsia="Times New Roman" w:cs="Times New Roman"/>
          <w:bCs/>
          <w:color w:val="000000"/>
          <w:sz w:val="28"/>
          <w:szCs w:val="28"/>
          <w:lang w:eastAsia="lv-LV"/>
        </w:rPr>
        <w:t>pārvades sistēmas pakalpojumi. Š</w:t>
      </w:r>
      <w:r w:rsidRPr="00AD4AFC">
        <w:rPr>
          <w:rFonts w:eastAsia="Times New Roman" w:cs="Times New Roman"/>
          <w:bCs/>
          <w:color w:val="000000"/>
          <w:sz w:val="28"/>
          <w:szCs w:val="28"/>
          <w:lang w:eastAsia="lv-LV"/>
        </w:rPr>
        <w:t xml:space="preserve">ajā sadaļā valsts ietekmes iespējamība ir ierobežota, jo pakalpojumu vērtību nosaka attiecīgo sistēmu izveides un uzturēšanas izmaksas. </w:t>
      </w:r>
      <w:r w:rsidR="00494215" w:rsidRPr="00AD4AFC">
        <w:rPr>
          <w:rFonts w:eastAsia="Times New Roman" w:cs="Times New Roman"/>
          <w:bCs/>
          <w:color w:val="000000"/>
          <w:sz w:val="28"/>
          <w:szCs w:val="28"/>
          <w:lang w:eastAsia="lv-LV"/>
        </w:rPr>
        <w:t xml:space="preserve">ES praksē pastāv atsevišķi </w:t>
      </w:r>
      <w:r w:rsidR="004A5F5F" w:rsidRPr="00AD4AFC">
        <w:rPr>
          <w:rFonts w:eastAsia="Times New Roman" w:cs="Times New Roman"/>
          <w:bCs/>
          <w:color w:val="000000"/>
          <w:sz w:val="28"/>
          <w:szCs w:val="28"/>
          <w:lang w:eastAsia="lv-LV"/>
        </w:rPr>
        <w:t xml:space="preserve">risinājumi </w:t>
      </w:r>
      <w:r w:rsidR="00494215" w:rsidRPr="00AD4AFC">
        <w:rPr>
          <w:rFonts w:eastAsia="Times New Roman" w:cs="Times New Roman"/>
          <w:bCs/>
          <w:color w:val="000000"/>
          <w:sz w:val="28"/>
          <w:szCs w:val="28"/>
          <w:lang w:eastAsia="lv-LV"/>
        </w:rPr>
        <w:t>šo pakalpojumu izmaksu aprēķina kārtībai, samazinot maksājumu slogu noteiktām patērētāju grupām</w:t>
      </w:r>
      <w:r w:rsidR="004A5F5F" w:rsidRPr="00AD4AFC">
        <w:rPr>
          <w:rFonts w:eastAsia="Times New Roman" w:cs="Times New Roman"/>
          <w:bCs/>
          <w:color w:val="000000"/>
          <w:sz w:val="28"/>
          <w:szCs w:val="28"/>
          <w:lang w:eastAsia="lv-LV"/>
        </w:rPr>
        <w:t>. T</w:t>
      </w:r>
      <w:r w:rsidR="00494215" w:rsidRPr="00AD4AFC">
        <w:rPr>
          <w:rFonts w:eastAsia="Times New Roman" w:cs="Times New Roman"/>
          <w:bCs/>
          <w:color w:val="000000"/>
          <w:sz w:val="28"/>
          <w:szCs w:val="28"/>
          <w:lang w:eastAsia="lv-LV"/>
        </w:rPr>
        <w:t>omēr EM ne</w:t>
      </w:r>
      <w:r w:rsidR="008A312B">
        <w:rPr>
          <w:rFonts w:eastAsia="Times New Roman" w:cs="Times New Roman"/>
          <w:bCs/>
          <w:color w:val="000000"/>
          <w:sz w:val="28"/>
          <w:szCs w:val="28"/>
          <w:lang w:eastAsia="lv-LV"/>
        </w:rPr>
        <w:t>sa</w:t>
      </w:r>
      <w:r w:rsidR="00494215" w:rsidRPr="00AD4AFC">
        <w:rPr>
          <w:rFonts w:eastAsia="Times New Roman" w:cs="Times New Roman"/>
          <w:bCs/>
          <w:color w:val="000000"/>
          <w:sz w:val="28"/>
          <w:szCs w:val="28"/>
          <w:lang w:eastAsia="lv-LV"/>
        </w:rPr>
        <w:t xml:space="preserve">skata būtisku potenciālu izmaksu samazināšanai šajā komponentē pirms tiek kompleksi atrisināts jautājums </w:t>
      </w:r>
      <w:r w:rsidR="001B5BC6" w:rsidRPr="00AD4AFC">
        <w:rPr>
          <w:rFonts w:eastAsia="Times New Roman" w:cs="Times New Roman"/>
          <w:bCs/>
          <w:color w:val="000000"/>
          <w:sz w:val="28"/>
          <w:szCs w:val="28"/>
          <w:lang w:eastAsia="lv-LV"/>
        </w:rPr>
        <w:t>par sadales sistēmas tarifu</w:t>
      </w:r>
      <w:r w:rsidR="00494215" w:rsidRPr="00AD4AFC">
        <w:rPr>
          <w:rFonts w:eastAsia="Times New Roman" w:cs="Times New Roman"/>
          <w:bCs/>
          <w:color w:val="000000"/>
          <w:sz w:val="28"/>
          <w:szCs w:val="28"/>
          <w:lang w:eastAsia="lv-LV"/>
        </w:rPr>
        <w:t xml:space="preserve"> veidošanu (</w:t>
      </w:r>
      <w:r w:rsidR="001B5BC6" w:rsidRPr="00AD4AFC">
        <w:rPr>
          <w:rFonts w:eastAsia="Times New Roman" w:cs="Times New Roman"/>
          <w:bCs/>
          <w:color w:val="000000"/>
          <w:sz w:val="28"/>
          <w:szCs w:val="28"/>
          <w:lang w:eastAsia="lv-LV"/>
        </w:rPr>
        <w:t>nav mainīti</w:t>
      </w:r>
      <w:r w:rsidR="00494215" w:rsidRPr="00AD4AFC">
        <w:rPr>
          <w:rFonts w:eastAsia="Times New Roman" w:cs="Times New Roman"/>
          <w:bCs/>
          <w:color w:val="000000"/>
          <w:sz w:val="28"/>
          <w:szCs w:val="28"/>
          <w:lang w:eastAsia="lv-LV"/>
        </w:rPr>
        <w:t xml:space="preserve"> kopš 2011.gada)</w:t>
      </w:r>
      <w:r w:rsidR="001B5BC6" w:rsidRPr="00AD4AFC">
        <w:rPr>
          <w:rStyle w:val="FootnoteReference"/>
          <w:rFonts w:eastAsia="Times New Roman" w:cs="Times New Roman"/>
          <w:bCs/>
          <w:color w:val="000000"/>
          <w:sz w:val="28"/>
          <w:szCs w:val="28"/>
          <w:lang w:eastAsia="lv-LV"/>
        </w:rPr>
        <w:footnoteReference w:id="1"/>
      </w:r>
      <w:r w:rsidR="00494215" w:rsidRPr="00AD4AFC">
        <w:rPr>
          <w:rFonts w:eastAsia="Times New Roman" w:cs="Times New Roman"/>
          <w:bCs/>
          <w:color w:val="000000"/>
          <w:sz w:val="28"/>
          <w:szCs w:val="28"/>
          <w:lang w:eastAsia="lv-LV"/>
        </w:rPr>
        <w:t xml:space="preserve">.   </w:t>
      </w:r>
    </w:p>
    <w:p w:rsidR="000901E5" w:rsidRPr="00AD4AFC" w:rsidRDefault="000901E5" w:rsidP="0027137C">
      <w:pPr>
        <w:pStyle w:val="ListParagraph"/>
        <w:numPr>
          <w:ilvl w:val="0"/>
          <w:numId w:val="5"/>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Pievienotās vērtības nodoklis.</w:t>
      </w:r>
      <w:r w:rsidR="00494215" w:rsidRPr="00AD4AFC">
        <w:rPr>
          <w:rFonts w:eastAsia="Times New Roman" w:cs="Times New Roman"/>
          <w:bCs/>
          <w:color w:val="000000"/>
          <w:sz w:val="28"/>
          <w:szCs w:val="28"/>
          <w:lang w:eastAsia="lv-LV"/>
        </w:rPr>
        <w:t xml:space="preserve"> Šobrīd netiek izskatīta iespēja samaz</w:t>
      </w:r>
      <w:r w:rsidR="008A312B">
        <w:rPr>
          <w:rFonts w:eastAsia="Times New Roman" w:cs="Times New Roman"/>
          <w:bCs/>
          <w:color w:val="000000"/>
          <w:sz w:val="28"/>
          <w:szCs w:val="28"/>
          <w:lang w:eastAsia="lv-LV"/>
        </w:rPr>
        <w:t>ināt nodokļa likmi, tomēr</w:t>
      </w:r>
      <w:r w:rsidR="00494215" w:rsidRPr="00AD4AFC">
        <w:rPr>
          <w:rFonts w:eastAsia="Times New Roman" w:cs="Times New Roman"/>
          <w:bCs/>
          <w:color w:val="000000"/>
          <w:sz w:val="28"/>
          <w:szCs w:val="28"/>
          <w:lang w:eastAsia="lv-LV"/>
        </w:rPr>
        <w:t xml:space="preserve"> būtu jāņem vērā tas, ka nodokļa summa ir atkarīga no pārējo komponenšu vērtības.</w:t>
      </w:r>
    </w:p>
    <w:p w:rsidR="000901E5" w:rsidRPr="00AD4AFC" w:rsidRDefault="000901E5" w:rsidP="0027137C">
      <w:pPr>
        <w:pStyle w:val="ListParagraph"/>
        <w:numPr>
          <w:ilvl w:val="0"/>
          <w:numId w:val="5"/>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Obligātā iepirkuma komponente.</w:t>
      </w:r>
      <w:r w:rsidR="00494215" w:rsidRPr="00AD4AFC">
        <w:rPr>
          <w:rFonts w:eastAsia="Times New Roman" w:cs="Times New Roman"/>
          <w:bCs/>
          <w:color w:val="000000"/>
          <w:sz w:val="28"/>
          <w:szCs w:val="28"/>
          <w:lang w:eastAsia="lv-LV"/>
        </w:rPr>
        <w:t xml:space="preserve"> OIK veidojas </w:t>
      </w:r>
      <w:r w:rsidR="001B5BC6" w:rsidRPr="00AD4AFC">
        <w:rPr>
          <w:rFonts w:eastAsia="Times New Roman" w:cs="Times New Roman"/>
          <w:bCs/>
          <w:color w:val="000000"/>
          <w:sz w:val="28"/>
          <w:szCs w:val="28"/>
          <w:lang w:eastAsia="lv-LV"/>
        </w:rPr>
        <w:t xml:space="preserve">no </w:t>
      </w:r>
      <w:r w:rsidR="004A5F5F" w:rsidRPr="00AD4AFC">
        <w:rPr>
          <w:rFonts w:eastAsia="Times New Roman" w:cs="Times New Roman"/>
          <w:bCs/>
          <w:color w:val="000000"/>
          <w:sz w:val="28"/>
          <w:szCs w:val="28"/>
          <w:lang w:eastAsia="lv-LV"/>
        </w:rPr>
        <w:t xml:space="preserve">atbalsta </w:t>
      </w:r>
      <w:r w:rsidR="001B5BC6" w:rsidRPr="00AD4AFC">
        <w:rPr>
          <w:rFonts w:eastAsia="Times New Roman" w:cs="Times New Roman"/>
          <w:bCs/>
          <w:color w:val="000000"/>
          <w:sz w:val="28"/>
          <w:szCs w:val="28"/>
          <w:lang w:eastAsia="lv-LV"/>
        </w:rPr>
        <w:t>maksājumiem, ko saņem elektroenerģijas ražotāji,</w:t>
      </w:r>
      <w:r w:rsidR="008A312B">
        <w:rPr>
          <w:rFonts w:eastAsia="Times New Roman" w:cs="Times New Roman"/>
          <w:bCs/>
          <w:color w:val="000000"/>
          <w:sz w:val="28"/>
          <w:szCs w:val="28"/>
          <w:lang w:eastAsia="lv-LV"/>
        </w:rPr>
        <w:t xml:space="preserve"> izmantojot atjaunojamos energoresursus</w:t>
      </w:r>
      <w:r w:rsidR="00CD3596">
        <w:rPr>
          <w:rFonts w:eastAsia="Times New Roman" w:cs="Times New Roman"/>
          <w:bCs/>
          <w:color w:val="000000"/>
          <w:sz w:val="28"/>
          <w:szCs w:val="28"/>
          <w:lang w:eastAsia="lv-LV"/>
        </w:rPr>
        <w:t xml:space="preserve"> (turpmāk - AER)</w:t>
      </w:r>
      <w:r w:rsidR="008A312B">
        <w:rPr>
          <w:rFonts w:eastAsia="Times New Roman" w:cs="Times New Roman"/>
          <w:bCs/>
          <w:color w:val="000000"/>
          <w:sz w:val="28"/>
          <w:szCs w:val="28"/>
          <w:lang w:eastAsia="lv-LV"/>
        </w:rPr>
        <w:t xml:space="preserve"> vai efektīvā koģenerācijā.</w:t>
      </w:r>
      <w:r w:rsidR="001B5BC6" w:rsidRPr="00AD4AFC">
        <w:rPr>
          <w:rFonts w:eastAsia="Times New Roman" w:cs="Times New Roman"/>
          <w:bCs/>
          <w:color w:val="000000"/>
          <w:sz w:val="28"/>
          <w:szCs w:val="28"/>
          <w:lang w:eastAsia="lv-LV"/>
        </w:rPr>
        <w:t xml:space="preserve"> </w:t>
      </w:r>
      <w:r w:rsidR="008A312B">
        <w:rPr>
          <w:rFonts w:eastAsia="Times New Roman" w:cs="Times New Roman"/>
          <w:bCs/>
          <w:color w:val="000000"/>
          <w:sz w:val="28"/>
          <w:szCs w:val="28"/>
          <w:lang w:eastAsia="lv-LV"/>
        </w:rPr>
        <w:t>L</w:t>
      </w:r>
      <w:r w:rsidR="001B5BC6" w:rsidRPr="00AD4AFC">
        <w:rPr>
          <w:rFonts w:eastAsia="Times New Roman" w:cs="Times New Roman"/>
          <w:bCs/>
          <w:color w:val="000000"/>
          <w:sz w:val="28"/>
          <w:szCs w:val="28"/>
          <w:lang w:eastAsia="lv-LV"/>
        </w:rPr>
        <w:t xml:space="preserve">īdz ar to primārais OIK izmaksu samazināšanas virziens ir </w:t>
      </w:r>
      <w:r w:rsidR="004A5F5F" w:rsidRPr="00AD4AFC">
        <w:rPr>
          <w:rFonts w:eastAsia="Times New Roman" w:cs="Times New Roman"/>
          <w:bCs/>
          <w:color w:val="000000"/>
          <w:sz w:val="28"/>
          <w:szCs w:val="28"/>
          <w:lang w:eastAsia="lv-LV"/>
        </w:rPr>
        <w:t xml:space="preserve">atbalsta mehānismu </w:t>
      </w:r>
      <w:r w:rsidR="001B5BC6" w:rsidRPr="00AD4AFC">
        <w:rPr>
          <w:rFonts w:eastAsia="Times New Roman" w:cs="Times New Roman"/>
          <w:bCs/>
          <w:color w:val="000000"/>
          <w:sz w:val="28"/>
          <w:szCs w:val="28"/>
          <w:lang w:eastAsia="lv-LV"/>
        </w:rPr>
        <w:t>uzlabošana, iegūstot lielāku rezultātu par mazāku subsīdiju apjomu.</w:t>
      </w:r>
    </w:p>
    <w:p w:rsidR="00EC0183" w:rsidRPr="00AD4AFC" w:rsidRDefault="00EC0183" w:rsidP="00187562">
      <w:pPr>
        <w:ind w:firstLine="360"/>
        <w:jc w:val="both"/>
        <w:rPr>
          <w:rFonts w:eastAsia="Times New Roman" w:cs="Times New Roman"/>
          <w:bCs/>
          <w:color w:val="000000"/>
          <w:sz w:val="28"/>
          <w:szCs w:val="28"/>
          <w:lang w:eastAsia="lv-LV"/>
        </w:rPr>
      </w:pPr>
    </w:p>
    <w:p w:rsidR="00692216" w:rsidRDefault="00692216" w:rsidP="001B5BC6">
      <w:pPr>
        <w:jc w:val="both"/>
        <w:rPr>
          <w:b/>
          <w:sz w:val="28"/>
          <w:szCs w:val="28"/>
        </w:rPr>
      </w:pPr>
    </w:p>
    <w:p w:rsidR="00692216" w:rsidRDefault="00692216" w:rsidP="001B5BC6">
      <w:pPr>
        <w:jc w:val="both"/>
        <w:rPr>
          <w:b/>
          <w:sz w:val="28"/>
          <w:szCs w:val="28"/>
        </w:rPr>
      </w:pPr>
    </w:p>
    <w:p w:rsidR="001B5BC6" w:rsidRPr="001073BE" w:rsidRDefault="001B5BC6" w:rsidP="001B5BC6">
      <w:pPr>
        <w:jc w:val="both"/>
        <w:rPr>
          <w:b/>
          <w:i/>
          <w:sz w:val="28"/>
          <w:szCs w:val="28"/>
        </w:rPr>
      </w:pPr>
      <w:r w:rsidRPr="001073BE">
        <w:rPr>
          <w:b/>
          <w:i/>
          <w:sz w:val="28"/>
          <w:szCs w:val="28"/>
        </w:rPr>
        <w:lastRenderedPageBreak/>
        <w:t>Elektroenerģijas cenas ES</w:t>
      </w:r>
    </w:p>
    <w:p w:rsidR="001B5BC6" w:rsidRPr="00AD4AFC" w:rsidRDefault="001B5BC6" w:rsidP="001B5BC6">
      <w:pPr>
        <w:jc w:val="both"/>
        <w:rPr>
          <w:i/>
          <w:sz w:val="28"/>
          <w:szCs w:val="28"/>
        </w:rPr>
      </w:pPr>
    </w:p>
    <w:p w:rsidR="001B5BC6" w:rsidRPr="00AD4AFC" w:rsidRDefault="001B5BC6" w:rsidP="001B5BC6">
      <w:pPr>
        <w:jc w:val="both"/>
        <w:rPr>
          <w:sz w:val="28"/>
          <w:szCs w:val="28"/>
        </w:rPr>
      </w:pPr>
      <w:r w:rsidRPr="00AD4AFC">
        <w:rPr>
          <w:noProof/>
          <w:sz w:val="28"/>
          <w:szCs w:val="28"/>
          <w:lang w:eastAsia="lv-LV"/>
        </w:rPr>
        <w:drawing>
          <wp:inline distT="0" distB="0" distL="0" distR="0" wp14:anchorId="4E13FCE6" wp14:editId="6FD9F55E">
            <wp:extent cx="5671128" cy="2534573"/>
            <wp:effectExtent l="19050" t="0" r="2482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15450" w:rsidRPr="001073BE" w:rsidRDefault="00F15450" w:rsidP="00F15450">
      <w:pPr>
        <w:jc w:val="both"/>
        <w:rPr>
          <w:i/>
          <w:sz w:val="20"/>
          <w:szCs w:val="20"/>
        </w:rPr>
      </w:pPr>
      <w:r w:rsidRPr="001073BE">
        <w:rPr>
          <w:i/>
          <w:sz w:val="20"/>
          <w:szCs w:val="20"/>
        </w:rPr>
        <w:t xml:space="preserve">1.attēls. </w:t>
      </w:r>
      <w:r w:rsidRPr="001073BE">
        <w:rPr>
          <w:b/>
          <w:sz w:val="20"/>
          <w:szCs w:val="20"/>
        </w:rPr>
        <w:t xml:space="preserve">Elektroenerģijas cena ar nodokļiem </w:t>
      </w:r>
      <w:r w:rsidRPr="001073BE">
        <w:rPr>
          <w:b/>
          <w:sz w:val="20"/>
          <w:szCs w:val="20"/>
          <w:u w:val="single"/>
        </w:rPr>
        <w:t>mājsaimniecībām</w:t>
      </w:r>
      <w:r w:rsidRPr="001073BE">
        <w:rPr>
          <w:b/>
          <w:sz w:val="20"/>
          <w:szCs w:val="20"/>
        </w:rPr>
        <w:t>, patēriņš 2500-5000 kWh. 2013.gada otrā puse</w:t>
      </w:r>
      <w:r w:rsidRPr="001073BE">
        <w:rPr>
          <w:sz w:val="20"/>
          <w:szCs w:val="20"/>
        </w:rPr>
        <w:t>.</w:t>
      </w:r>
    </w:p>
    <w:p w:rsidR="001B5BC6" w:rsidRPr="001073BE" w:rsidRDefault="005513E6" w:rsidP="001073BE">
      <w:pPr>
        <w:rPr>
          <w:i/>
          <w:sz w:val="20"/>
          <w:szCs w:val="20"/>
        </w:rPr>
      </w:pPr>
      <w:r w:rsidRPr="001073BE">
        <w:rPr>
          <w:i/>
          <w:sz w:val="20"/>
          <w:szCs w:val="20"/>
        </w:rPr>
        <w:t>Avots: Eurostat</w:t>
      </w:r>
    </w:p>
    <w:p w:rsidR="00AD4AFC" w:rsidRDefault="00AD4AFC" w:rsidP="001B5BC6">
      <w:pPr>
        <w:jc w:val="both"/>
        <w:rPr>
          <w:i/>
          <w:sz w:val="28"/>
          <w:szCs w:val="28"/>
        </w:rPr>
      </w:pPr>
    </w:p>
    <w:p w:rsidR="001B5BC6" w:rsidRPr="00AD4AFC" w:rsidRDefault="001B5BC6" w:rsidP="001B5BC6">
      <w:pPr>
        <w:jc w:val="both"/>
        <w:rPr>
          <w:sz w:val="28"/>
          <w:szCs w:val="28"/>
        </w:rPr>
      </w:pPr>
      <w:r w:rsidRPr="00AD4AFC">
        <w:rPr>
          <w:noProof/>
          <w:sz w:val="28"/>
          <w:szCs w:val="28"/>
          <w:lang w:eastAsia="lv-LV"/>
        </w:rPr>
        <w:drawing>
          <wp:inline distT="0" distB="0" distL="0" distR="0" wp14:anchorId="17A713FB" wp14:editId="7FB64F2F">
            <wp:extent cx="5600700" cy="2802467"/>
            <wp:effectExtent l="0" t="0" r="1905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15450" w:rsidRPr="001073BE" w:rsidRDefault="00F15450" w:rsidP="00F15450">
      <w:pPr>
        <w:jc w:val="both"/>
        <w:rPr>
          <w:i/>
          <w:sz w:val="20"/>
          <w:szCs w:val="20"/>
        </w:rPr>
      </w:pPr>
      <w:r w:rsidRPr="001073BE">
        <w:rPr>
          <w:i/>
          <w:sz w:val="20"/>
          <w:szCs w:val="20"/>
        </w:rPr>
        <w:t xml:space="preserve">2.attēls. </w:t>
      </w:r>
      <w:r w:rsidRPr="001073BE">
        <w:rPr>
          <w:b/>
          <w:sz w:val="20"/>
          <w:szCs w:val="20"/>
        </w:rPr>
        <w:t>Elektroenerģijas cenas ar nodokļiem rūpniecības sektoram, patēriņš 500-2000 MWh. 2013.gada otrā puse</w:t>
      </w:r>
      <w:r w:rsidRPr="001073BE">
        <w:rPr>
          <w:sz w:val="20"/>
          <w:szCs w:val="20"/>
        </w:rPr>
        <w:t>.</w:t>
      </w:r>
    </w:p>
    <w:p w:rsidR="001B5BC6" w:rsidRPr="001073BE" w:rsidRDefault="00F15450" w:rsidP="001073BE">
      <w:pPr>
        <w:rPr>
          <w:i/>
          <w:sz w:val="20"/>
          <w:szCs w:val="20"/>
        </w:rPr>
      </w:pPr>
      <w:r w:rsidRPr="001073BE">
        <w:rPr>
          <w:i/>
          <w:sz w:val="20"/>
          <w:szCs w:val="20"/>
        </w:rPr>
        <w:t xml:space="preserve"> </w:t>
      </w:r>
      <w:r w:rsidR="005513E6" w:rsidRPr="001073BE">
        <w:rPr>
          <w:i/>
          <w:sz w:val="20"/>
          <w:szCs w:val="20"/>
        </w:rPr>
        <w:t>Avots: Eurostat</w:t>
      </w:r>
    </w:p>
    <w:p w:rsidR="00E512D7" w:rsidRDefault="00E512D7" w:rsidP="00F63B34">
      <w:pPr>
        <w:ind w:firstLine="720"/>
        <w:jc w:val="both"/>
        <w:rPr>
          <w:rFonts w:eastAsia="Times New Roman" w:cs="Times New Roman"/>
          <w:bCs/>
          <w:color w:val="000000"/>
          <w:sz w:val="28"/>
          <w:szCs w:val="28"/>
          <w:lang w:eastAsia="lv-LV"/>
        </w:rPr>
      </w:pPr>
    </w:p>
    <w:p w:rsidR="00756C1E" w:rsidRPr="00AD4AFC" w:rsidRDefault="00756C1E" w:rsidP="00F63B34">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Apskatot </w:t>
      </w:r>
      <w:r w:rsidR="00F15450">
        <w:rPr>
          <w:rFonts w:eastAsia="Times New Roman" w:cs="Times New Roman"/>
          <w:bCs/>
          <w:color w:val="000000"/>
          <w:sz w:val="28"/>
          <w:szCs w:val="28"/>
          <w:lang w:eastAsia="lv-LV"/>
        </w:rPr>
        <w:t>1. un 2.attēlu</w:t>
      </w:r>
      <w:r w:rsidR="00F15450" w:rsidRPr="00AD4AFC">
        <w:rPr>
          <w:rFonts w:eastAsia="Times New Roman" w:cs="Times New Roman"/>
          <w:bCs/>
          <w:color w:val="000000"/>
          <w:sz w:val="28"/>
          <w:szCs w:val="28"/>
          <w:lang w:eastAsia="lv-LV"/>
        </w:rPr>
        <w:t xml:space="preserve"> </w:t>
      </w:r>
      <w:r w:rsidRPr="00AD4AFC">
        <w:rPr>
          <w:rFonts w:eastAsia="Times New Roman" w:cs="Times New Roman"/>
          <w:bCs/>
          <w:color w:val="000000"/>
          <w:sz w:val="28"/>
          <w:szCs w:val="28"/>
          <w:lang w:eastAsia="lv-LV"/>
        </w:rPr>
        <w:t>par elektroenerģijas</w:t>
      </w:r>
      <w:r w:rsidR="00F15450">
        <w:rPr>
          <w:rFonts w:eastAsia="Times New Roman" w:cs="Times New Roman"/>
          <w:bCs/>
          <w:color w:val="000000"/>
          <w:sz w:val="28"/>
          <w:szCs w:val="28"/>
          <w:lang w:eastAsia="lv-LV"/>
        </w:rPr>
        <w:t xml:space="preserve"> kopējām</w:t>
      </w:r>
      <w:r w:rsidRPr="00AD4AFC">
        <w:rPr>
          <w:rFonts w:eastAsia="Times New Roman" w:cs="Times New Roman"/>
          <w:bCs/>
          <w:color w:val="000000"/>
          <w:sz w:val="28"/>
          <w:szCs w:val="28"/>
          <w:lang w:eastAsia="lv-LV"/>
        </w:rPr>
        <w:t xml:space="preserve"> cenām rūpniecības sektoram ar patēriņu starp 500 – 2000 MWh, var secināt, ka Vācijā komersants maks</w:t>
      </w:r>
      <w:r w:rsidR="008A312B">
        <w:rPr>
          <w:rFonts w:eastAsia="Times New Roman" w:cs="Times New Roman"/>
          <w:bCs/>
          <w:color w:val="000000"/>
          <w:sz w:val="28"/>
          <w:szCs w:val="28"/>
          <w:lang w:eastAsia="lv-LV"/>
        </w:rPr>
        <w:t>ā 190,2 EUR</w:t>
      </w:r>
      <w:r w:rsidRPr="00AD4AFC">
        <w:rPr>
          <w:rFonts w:eastAsia="Times New Roman" w:cs="Times New Roman"/>
          <w:bCs/>
          <w:color w:val="000000"/>
          <w:sz w:val="28"/>
          <w:szCs w:val="28"/>
          <w:lang w:eastAsia="lv-LV"/>
        </w:rPr>
        <w:t>/</w:t>
      </w:r>
      <w:r w:rsidR="008A312B">
        <w:rPr>
          <w:rFonts w:eastAsia="Times New Roman" w:cs="Times New Roman"/>
          <w:bCs/>
          <w:color w:val="000000"/>
          <w:sz w:val="28"/>
          <w:szCs w:val="28"/>
          <w:lang w:eastAsia="lv-LV"/>
        </w:rPr>
        <w:t>MWh, salīdzinot ar 139,4 EUR</w:t>
      </w:r>
      <w:r w:rsidRPr="00AD4AFC">
        <w:rPr>
          <w:rFonts w:eastAsia="Times New Roman" w:cs="Times New Roman"/>
          <w:bCs/>
          <w:color w:val="000000"/>
          <w:sz w:val="28"/>
          <w:szCs w:val="28"/>
          <w:lang w:eastAsia="lv-LV"/>
        </w:rPr>
        <w:t xml:space="preserve">/MWh Latvijas komersantam. </w:t>
      </w:r>
      <w:r w:rsidR="00F74A27" w:rsidRPr="00AD4AFC">
        <w:rPr>
          <w:rFonts w:eastAsia="Times New Roman" w:cs="Times New Roman"/>
          <w:bCs/>
          <w:color w:val="000000"/>
          <w:sz w:val="28"/>
          <w:szCs w:val="28"/>
          <w:lang w:eastAsia="lv-LV"/>
        </w:rPr>
        <w:t xml:space="preserve">Neskatoties uz to elektroenerģijas izmaksas </w:t>
      </w:r>
      <w:proofErr w:type="spellStart"/>
      <w:r w:rsidR="00F74A27" w:rsidRPr="00AD4AFC">
        <w:rPr>
          <w:rFonts w:eastAsia="Times New Roman" w:cs="Times New Roman"/>
          <w:bCs/>
          <w:color w:val="000000"/>
          <w:sz w:val="28"/>
          <w:szCs w:val="28"/>
          <w:lang w:eastAsia="lv-LV"/>
        </w:rPr>
        <w:t>energointensīvām</w:t>
      </w:r>
      <w:proofErr w:type="spellEnd"/>
      <w:r w:rsidR="00F74A27" w:rsidRPr="00AD4AFC">
        <w:rPr>
          <w:rFonts w:eastAsia="Times New Roman" w:cs="Times New Roman"/>
          <w:bCs/>
          <w:color w:val="000000"/>
          <w:sz w:val="28"/>
          <w:szCs w:val="28"/>
          <w:lang w:eastAsia="lv-LV"/>
        </w:rPr>
        <w:t xml:space="preserve"> nozarēm ir apgrieztas otrādāk, tas ir,</w:t>
      </w:r>
      <w:r w:rsidRPr="00AD4AFC">
        <w:rPr>
          <w:rFonts w:eastAsia="Times New Roman" w:cs="Times New Roman"/>
          <w:bCs/>
          <w:color w:val="000000"/>
          <w:sz w:val="28"/>
          <w:szCs w:val="28"/>
          <w:lang w:eastAsia="lv-LV"/>
        </w:rPr>
        <w:t xml:space="preserve"> Vācijā</w:t>
      </w:r>
      <w:r w:rsidR="008F7188">
        <w:rPr>
          <w:rStyle w:val="FootnoteReference"/>
          <w:rFonts w:eastAsia="Times New Roman" w:cs="Times New Roman"/>
          <w:bCs/>
          <w:color w:val="000000"/>
          <w:sz w:val="28"/>
          <w:szCs w:val="28"/>
          <w:lang w:eastAsia="lv-LV"/>
        </w:rPr>
        <w:footnoteReference w:id="2"/>
      </w:r>
      <w:r w:rsidRPr="00AD4AFC">
        <w:rPr>
          <w:rFonts w:eastAsia="Times New Roman" w:cs="Times New Roman"/>
          <w:bCs/>
          <w:color w:val="000000"/>
          <w:sz w:val="28"/>
          <w:szCs w:val="28"/>
          <w:lang w:eastAsia="lv-LV"/>
        </w:rPr>
        <w:t xml:space="preserve"> īste</w:t>
      </w:r>
      <w:r w:rsidR="008A312B">
        <w:rPr>
          <w:rFonts w:eastAsia="Times New Roman" w:cs="Times New Roman"/>
          <w:bCs/>
          <w:color w:val="000000"/>
          <w:sz w:val="28"/>
          <w:szCs w:val="28"/>
          <w:lang w:eastAsia="lv-LV"/>
        </w:rPr>
        <w:t>notais</w:t>
      </w:r>
      <w:r w:rsidR="00994EC5" w:rsidRPr="00AD4AFC">
        <w:rPr>
          <w:rFonts w:eastAsia="Times New Roman" w:cs="Times New Roman"/>
          <w:bCs/>
          <w:color w:val="000000"/>
          <w:sz w:val="28"/>
          <w:szCs w:val="28"/>
          <w:lang w:eastAsia="lv-LV"/>
        </w:rPr>
        <w:t xml:space="preserve"> atbalsta </w:t>
      </w:r>
      <w:r w:rsidR="008A312B">
        <w:rPr>
          <w:rFonts w:eastAsia="Times New Roman" w:cs="Times New Roman"/>
          <w:bCs/>
          <w:color w:val="000000"/>
          <w:sz w:val="28"/>
          <w:szCs w:val="28"/>
          <w:lang w:eastAsia="lv-LV"/>
        </w:rPr>
        <w:t>mehānisms</w:t>
      </w:r>
      <w:r w:rsidR="00994EC5" w:rsidRPr="00AD4AFC">
        <w:rPr>
          <w:rFonts w:eastAsia="Times New Roman" w:cs="Times New Roman"/>
          <w:bCs/>
          <w:color w:val="000000"/>
          <w:sz w:val="28"/>
          <w:szCs w:val="28"/>
          <w:lang w:eastAsia="lv-LV"/>
        </w:rPr>
        <w:t xml:space="preserve"> </w:t>
      </w:r>
      <w:r w:rsidR="00F74A27" w:rsidRPr="00AD4AFC">
        <w:rPr>
          <w:rFonts w:eastAsia="Times New Roman" w:cs="Times New Roman"/>
          <w:bCs/>
          <w:color w:val="000000"/>
          <w:sz w:val="28"/>
          <w:szCs w:val="28"/>
          <w:lang w:eastAsia="lv-LV"/>
        </w:rPr>
        <w:t>energointensīviem uzņēmumiem</w:t>
      </w:r>
      <w:r w:rsidR="00994EC5" w:rsidRPr="00AD4AFC">
        <w:rPr>
          <w:rFonts w:eastAsia="Times New Roman" w:cs="Times New Roman"/>
          <w:bCs/>
          <w:color w:val="000000"/>
          <w:sz w:val="28"/>
          <w:szCs w:val="28"/>
          <w:lang w:eastAsia="lv-LV"/>
        </w:rPr>
        <w:t xml:space="preserve"> nodrošin</w:t>
      </w:r>
      <w:r w:rsidR="00F74A27" w:rsidRPr="00AD4AFC">
        <w:rPr>
          <w:rFonts w:eastAsia="Times New Roman" w:cs="Times New Roman"/>
          <w:bCs/>
          <w:color w:val="000000"/>
          <w:sz w:val="28"/>
          <w:szCs w:val="28"/>
          <w:lang w:eastAsia="lv-LV"/>
        </w:rPr>
        <w:t>a iespēju samazināt elektroenerģijas izmaksas savās operatīvajās izmaksās, tādejādi nodrošin</w:t>
      </w:r>
      <w:r w:rsidR="00994EC5" w:rsidRPr="00AD4AFC">
        <w:rPr>
          <w:rFonts w:eastAsia="Times New Roman" w:cs="Times New Roman"/>
          <w:bCs/>
          <w:color w:val="000000"/>
          <w:sz w:val="28"/>
          <w:szCs w:val="28"/>
          <w:lang w:eastAsia="lv-LV"/>
        </w:rPr>
        <w:t xml:space="preserve">ot šo uzņēmumu </w:t>
      </w:r>
      <w:r w:rsidR="00994EC5" w:rsidRPr="00AD4AFC">
        <w:rPr>
          <w:rFonts w:eastAsia="Times New Roman" w:cs="Times New Roman"/>
          <w:bCs/>
          <w:color w:val="000000"/>
          <w:sz w:val="28"/>
          <w:szCs w:val="28"/>
          <w:lang w:eastAsia="lv-LV"/>
        </w:rPr>
        <w:lastRenderedPageBreak/>
        <w:t>starptautiskās konkurētspējas nemazināšanos un</w:t>
      </w:r>
      <w:r w:rsidR="00CD3596">
        <w:rPr>
          <w:rFonts w:eastAsia="Times New Roman" w:cs="Times New Roman"/>
          <w:bCs/>
          <w:color w:val="000000"/>
          <w:sz w:val="28"/>
          <w:szCs w:val="28"/>
          <w:lang w:eastAsia="lv-LV"/>
        </w:rPr>
        <w:t>,</w:t>
      </w:r>
      <w:r w:rsidR="00994EC5" w:rsidRPr="00AD4AFC">
        <w:rPr>
          <w:rFonts w:eastAsia="Times New Roman" w:cs="Times New Roman"/>
          <w:bCs/>
          <w:color w:val="000000"/>
          <w:sz w:val="28"/>
          <w:szCs w:val="28"/>
          <w:lang w:eastAsia="lv-LV"/>
        </w:rPr>
        <w:t xml:space="preserve"> saglabājot un radot jau</w:t>
      </w:r>
      <w:r w:rsidR="00F74A27" w:rsidRPr="00AD4AFC">
        <w:rPr>
          <w:rFonts w:eastAsia="Times New Roman" w:cs="Times New Roman"/>
          <w:bCs/>
          <w:color w:val="000000"/>
          <w:sz w:val="28"/>
          <w:szCs w:val="28"/>
          <w:lang w:eastAsia="lv-LV"/>
        </w:rPr>
        <w:t xml:space="preserve">nas darba vietas šajās nozarēs. Savukārt, attiecīgie Latvijas energointensīvie uzņēmumi tieši saistībā ar augstajām </w:t>
      </w:r>
      <w:r w:rsidR="008A312B">
        <w:rPr>
          <w:rFonts w:eastAsia="Times New Roman" w:cs="Times New Roman"/>
          <w:bCs/>
          <w:color w:val="000000"/>
          <w:sz w:val="28"/>
          <w:szCs w:val="28"/>
          <w:lang w:eastAsia="lv-LV"/>
        </w:rPr>
        <w:t>elektroenerģijas izmaksām zaudē</w:t>
      </w:r>
      <w:r w:rsidR="008A312B" w:rsidRPr="008A312B">
        <w:rPr>
          <w:rFonts w:eastAsia="Times New Roman" w:cs="Times New Roman"/>
          <w:bCs/>
          <w:color w:val="000000"/>
          <w:sz w:val="28"/>
          <w:szCs w:val="28"/>
          <w:lang w:eastAsia="lv-LV"/>
        </w:rPr>
        <w:t xml:space="preserve"> </w:t>
      </w:r>
      <w:r w:rsidR="008A312B" w:rsidRPr="00AD4AFC">
        <w:rPr>
          <w:rFonts w:eastAsia="Times New Roman" w:cs="Times New Roman"/>
          <w:bCs/>
          <w:color w:val="000000"/>
          <w:sz w:val="28"/>
          <w:szCs w:val="28"/>
          <w:lang w:eastAsia="lv-LV"/>
        </w:rPr>
        <w:t>konkurencē</w:t>
      </w:r>
      <w:r w:rsidR="008A312B">
        <w:rPr>
          <w:rFonts w:eastAsia="Times New Roman" w:cs="Times New Roman"/>
          <w:bCs/>
          <w:color w:val="000000"/>
          <w:sz w:val="28"/>
          <w:szCs w:val="28"/>
          <w:lang w:eastAsia="lv-LV"/>
        </w:rPr>
        <w:t xml:space="preserve"> ar citu ES dalībvalstu </w:t>
      </w:r>
      <w:r w:rsidR="00F74A27" w:rsidRPr="00AD4AFC">
        <w:rPr>
          <w:rFonts w:eastAsia="Times New Roman" w:cs="Times New Roman"/>
          <w:bCs/>
          <w:color w:val="000000"/>
          <w:sz w:val="28"/>
          <w:szCs w:val="28"/>
          <w:lang w:eastAsia="lv-LV"/>
        </w:rPr>
        <w:t>ener</w:t>
      </w:r>
      <w:r w:rsidR="008A312B">
        <w:rPr>
          <w:rFonts w:eastAsia="Times New Roman" w:cs="Times New Roman"/>
          <w:bCs/>
          <w:color w:val="000000"/>
          <w:sz w:val="28"/>
          <w:szCs w:val="28"/>
          <w:lang w:eastAsia="lv-LV"/>
        </w:rPr>
        <w:t>gointensīvajiem uzņēmumiem</w:t>
      </w:r>
      <w:r w:rsidR="00F74A27" w:rsidRPr="00AD4AFC">
        <w:rPr>
          <w:rFonts w:eastAsia="Times New Roman" w:cs="Times New Roman"/>
          <w:bCs/>
          <w:color w:val="000000"/>
          <w:sz w:val="28"/>
          <w:szCs w:val="28"/>
          <w:lang w:eastAsia="lv-LV"/>
        </w:rPr>
        <w:t xml:space="preserve"> par attiecīgo tirgus daļu. </w:t>
      </w:r>
      <w:r w:rsidRPr="00AD4AFC">
        <w:rPr>
          <w:rFonts w:eastAsia="Times New Roman" w:cs="Times New Roman"/>
          <w:bCs/>
          <w:color w:val="000000"/>
          <w:sz w:val="28"/>
          <w:szCs w:val="28"/>
          <w:lang w:eastAsia="lv-LV"/>
        </w:rPr>
        <w:t xml:space="preserve"> </w:t>
      </w:r>
    </w:p>
    <w:p w:rsidR="00F74A27" w:rsidRPr="001073BE" w:rsidRDefault="00F74A27" w:rsidP="00EC0183">
      <w:pPr>
        <w:jc w:val="both"/>
        <w:rPr>
          <w:i/>
          <w:sz w:val="28"/>
          <w:szCs w:val="28"/>
        </w:rPr>
      </w:pPr>
    </w:p>
    <w:p w:rsidR="007A562C" w:rsidRPr="005B42CF" w:rsidRDefault="00187562" w:rsidP="005B42CF">
      <w:pPr>
        <w:pStyle w:val="ListParagraph"/>
        <w:numPr>
          <w:ilvl w:val="0"/>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 xml:space="preserve">Īstenotie pasākumi </w:t>
      </w:r>
      <w:r w:rsidR="00CD3596" w:rsidRPr="005B42CF">
        <w:rPr>
          <w:rFonts w:eastAsia="Times New Roman" w:cs="Times New Roman"/>
          <w:b/>
          <w:bCs/>
          <w:i/>
          <w:color w:val="000000"/>
          <w:sz w:val="28"/>
          <w:szCs w:val="28"/>
          <w:lang w:eastAsia="lv-LV"/>
        </w:rPr>
        <w:t>OIK</w:t>
      </w:r>
      <w:r w:rsidR="00EC0183" w:rsidRPr="005B42CF">
        <w:rPr>
          <w:rFonts w:eastAsia="Times New Roman" w:cs="Times New Roman"/>
          <w:b/>
          <w:bCs/>
          <w:i/>
          <w:color w:val="000000"/>
          <w:sz w:val="28"/>
          <w:szCs w:val="28"/>
          <w:lang w:eastAsia="lv-LV"/>
        </w:rPr>
        <w:t xml:space="preserve"> vērtības</w:t>
      </w:r>
      <w:r w:rsidRPr="005B42CF">
        <w:rPr>
          <w:rFonts w:eastAsia="Times New Roman" w:cs="Times New Roman"/>
          <w:b/>
          <w:bCs/>
          <w:i/>
          <w:color w:val="000000"/>
          <w:sz w:val="28"/>
          <w:szCs w:val="28"/>
          <w:lang w:eastAsia="lv-LV"/>
        </w:rPr>
        <w:t xml:space="preserve"> pieauguma ierobežošanai </w:t>
      </w:r>
    </w:p>
    <w:p w:rsidR="00F63B34" w:rsidRPr="00AD4AFC" w:rsidRDefault="00F63B34" w:rsidP="00EC0183">
      <w:pPr>
        <w:jc w:val="both"/>
        <w:rPr>
          <w:rFonts w:eastAsia="Times New Roman" w:cs="Times New Roman"/>
          <w:b/>
          <w:bCs/>
          <w:color w:val="000000"/>
          <w:sz w:val="28"/>
          <w:szCs w:val="28"/>
          <w:lang w:eastAsia="lv-LV"/>
        </w:rPr>
      </w:pPr>
    </w:p>
    <w:p w:rsidR="00561D49" w:rsidRPr="00AD4AFC" w:rsidRDefault="00561D49" w:rsidP="00561D49">
      <w:pPr>
        <w:ind w:firstLine="709"/>
        <w:jc w:val="both"/>
        <w:rPr>
          <w:rFonts w:cs="Times New Roman"/>
          <w:sz w:val="28"/>
          <w:szCs w:val="28"/>
        </w:rPr>
      </w:pPr>
      <w:r w:rsidRPr="00AD4AFC">
        <w:rPr>
          <w:rFonts w:cs="Times New Roman"/>
          <w:sz w:val="28"/>
          <w:szCs w:val="28"/>
        </w:rPr>
        <w:t xml:space="preserve">Saskaņā ar EM veikto tautsaimniecības attīstības vērtējumu </w:t>
      </w:r>
      <w:r w:rsidR="00CD3596">
        <w:rPr>
          <w:rFonts w:cs="Times New Roman"/>
          <w:sz w:val="28"/>
          <w:szCs w:val="28"/>
        </w:rPr>
        <w:t xml:space="preserve">sākot ar </w:t>
      </w:r>
      <w:r w:rsidRPr="00AD4AFC">
        <w:rPr>
          <w:rFonts w:cs="Times New Roman"/>
          <w:sz w:val="28"/>
          <w:szCs w:val="28"/>
        </w:rPr>
        <w:t>2013.</w:t>
      </w:r>
      <w:r w:rsidR="00CD3596" w:rsidRPr="00AD4AFC">
        <w:rPr>
          <w:rFonts w:cs="Times New Roman"/>
          <w:sz w:val="28"/>
          <w:szCs w:val="28"/>
        </w:rPr>
        <w:t>gad</w:t>
      </w:r>
      <w:r w:rsidR="00CD3596">
        <w:rPr>
          <w:rFonts w:cs="Times New Roman"/>
          <w:sz w:val="28"/>
          <w:szCs w:val="28"/>
        </w:rPr>
        <w:t>a 1.aprīli</w:t>
      </w:r>
      <w:r w:rsidR="00CD3596" w:rsidRPr="00AD4AFC">
        <w:rPr>
          <w:rFonts w:cs="Times New Roman"/>
          <w:sz w:val="28"/>
          <w:szCs w:val="28"/>
        </w:rPr>
        <w:t xml:space="preserve"> </w:t>
      </w:r>
      <w:r w:rsidRPr="00AD4AFC">
        <w:rPr>
          <w:rFonts w:cs="Times New Roman"/>
          <w:sz w:val="28"/>
          <w:szCs w:val="28"/>
        </w:rPr>
        <w:t xml:space="preserve">fiksētais OIK līmenis (2,69 EUR centi/kWh) nedrīkst pieaugt, lai saglabātu attīstības iespējas visām tautsaimniecības nozarēm. </w:t>
      </w:r>
    </w:p>
    <w:p w:rsidR="00561D49" w:rsidRPr="00AD4AFC" w:rsidRDefault="00561D49" w:rsidP="00EC0183">
      <w:pPr>
        <w:jc w:val="both"/>
        <w:rPr>
          <w:rFonts w:cs="Times New Roman"/>
          <w:b/>
          <w:i/>
          <w:sz w:val="28"/>
          <w:szCs w:val="28"/>
        </w:rPr>
      </w:pPr>
    </w:p>
    <w:p w:rsidR="00187562" w:rsidRPr="005B42CF" w:rsidRDefault="00CE3533" w:rsidP="005B42CF">
      <w:pPr>
        <w:pStyle w:val="ListParagraph"/>
        <w:numPr>
          <w:ilvl w:val="1"/>
          <w:numId w:val="14"/>
        </w:numPr>
        <w:jc w:val="both"/>
        <w:rPr>
          <w:rFonts w:cs="Times New Roman"/>
          <w:b/>
          <w:i/>
          <w:sz w:val="28"/>
          <w:szCs w:val="28"/>
        </w:rPr>
      </w:pPr>
      <w:r w:rsidRPr="005B42CF">
        <w:rPr>
          <w:rFonts w:cs="Times New Roman"/>
          <w:b/>
          <w:i/>
          <w:sz w:val="28"/>
          <w:szCs w:val="28"/>
        </w:rPr>
        <w:t>Subsīdiju sniegšanas tiesiskā regulējuma izmaiņas</w:t>
      </w:r>
    </w:p>
    <w:p w:rsidR="00CE3533" w:rsidRPr="00AD4AFC" w:rsidRDefault="00CE3533" w:rsidP="008A312B">
      <w:pPr>
        <w:ind w:firstLine="709"/>
        <w:jc w:val="both"/>
        <w:rPr>
          <w:rFonts w:cs="Times New Roman"/>
          <w:sz w:val="28"/>
          <w:szCs w:val="28"/>
        </w:rPr>
      </w:pPr>
      <w:r w:rsidRPr="00AD4AFC">
        <w:rPr>
          <w:rFonts w:cs="Times New Roman"/>
          <w:sz w:val="28"/>
          <w:szCs w:val="28"/>
        </w:rPr>
        <w:t xml:space="preserve">Ministru kabineta </w:t>
      </w:r>
      <w:r w:rsidR="008A312B">
        <w:rPr>
          <w:rFonts w:cs="Times New Roman"/>
          <w:sz w:val="28"/>
          <w:szCs w:val="28"/>
        </w:rPr>
        <w:t xml:space="preserve">2013.gada </w:t>
      </w:r>
      <w:r w:rsidRPr="00AD4AFC">
        <w:rPr>
          <w:rFonts w:cs="Times New Roman"/>
          <w:sz w:val="28"/>
          <w:szCs w:val="28"/>
        </w:rPr>
        <w:t>30.jūlija sēdē tika pieņemti Ministru kabineta noteikum</w:t>
      </w:r>
      <w:r w:rsidR="00662F55">
        <w:rPr>
          <w:rFonts w:cs="Times New Roman"/>
          <w:sz w:val="28"/>
          <w:szCs w:val="28"/>
        </w:rPr>
        <w:t>i Nr.465</w:t>
      </w:r>
      <w:r w:rsidR="004F4B3F" w:rsidRPr="00AD4AFC">
        <w:rPr>
          <w:rFonts w:cs="Times New Roman"/>
          <w:sz w:val="28"/>
          <w:szCs w:val="28"/>
        </w:rPr>
        <w:t xml:space="preserve"> </w:t>
      </w:r>
      <w:r w:rsidRPr="00AD4AFC">
        <w:rPr>
          <w:rFonts w:cs="Times New Roman"/>
          <w:sz w:val="28"/>
          <w:szCs w:val="28"/>
        </w:rPr>
        <w:t>„Gr</w:t>
      </w:r>
      <w:r w:rsidR="008A312B">
        <w:rPr>
          <w:rFonts w:cs="Times New Roman"/>
          <w:sz w:val="28"/>
          <w:szCs w:val="28"/>
        </w:rPr>
        <w:t>ozījumi Ministru kabineta 2010.gada 16.</w:t>
      </w:r>
      <w:r w:rsidRPr="00AD4AFC">
        <w:rPr>
          <w:rFonts w:cs="Times New Roman"/>
          <w:sz w:val="28"/>
          <w:szCs w:val="28"/>
        </w:rPr>
        <w:t>marta noteikumos Nr.262 „Noteikumi par elektroenerģijas ražošanu, izmantojot atjaunojamos energoresursus, un cenu noteikšanas kārtību”” un Ministru kabineta noteikum</w:t>
      </w:r>
      <w:r w:rsidR="00662F55">
        <w:rPr>
          <w:rFonts w:cs="Times New Roman"/>
          <w:sz w:val="28"/>
          <w:szCs w:val="28"/>
        </w:rPr>
        <w:t>i Nr.466</w:t>
      </w:r>
      <w:r w:rsidR="004F4B3F" w:rsidRPr="00AD4AFC">
        <w:rPr>
          <w:rFonts w:cs="Times New Roman"/>
          <w:sz w:val="28"/>
          <w:szCs w:val="28"/>
        </w:rPr>
        <w:t xml:space="preserve"> </w:t>
      </w:r>
      <w:r w:rsidRPr="00AD4AFC">
        <w:rPr>
          <w:rFonts w:cs="Times New Roman"/>
          <w:sz w:val="28"/>
          <w:szCs w:val="28"/>
        </w:rPr>
        <w:t>„Gr</w:t>
      </w:r>
      <w:r w:rsidR="008A312B">
        <w:rPr>
          <w:rFonts w:cs="Times New Roman"/>
          <w:sz w:val="28"/>
          <w:szCs w:val="28"/>
        </w:rPr>
        <w:t>ozījumi Ministru kabineta 2009.gada 10.</w:t>
      </w:r>
      <w:r w:rsidRPr="00AD4AFC">
        <w:rPr>
          <w:rFonts w:cs="Times New Roman"/>
          <w:sz w:val="28"/>
          <w:szCs w:val="28"/>
        </w:rPr>
        <w:t xml:space="preserve">marta noteikumos Nr.221 „Noteikumi par elektroenerģijas ražošanu un cenu noteikšanu, ražojot elektroenerģiju koģenerācijā””, kas paredz pastiprinātas uzraudzības mehānismus pār projektu ieviešanas gaitu, </w:t>
      </w:r>
      <w:r w:rsidR="00F74A27" w:rsidRPr="00AD4AFC">
        <w:rPr>
          <w:rFonts w:cs="Times New Roman"/>
          <w:sz w:val="28"/>
          <w:szCs w:val="28"/>
        </w:rPr>
        <w:t>nolūkā</w:t>
      </w:r>
      <w:r w:rsidRPr="00AD4AFC">
        <w:rPr>
          <w:rFonts w:cs="Times New Roman"/>
          <w:sz w:val="28"/>
          <w:szCs w:val="28"/>
        </w:rPr>
        <w:t xml:space="preserve"> izvairīties no sniegtā atbalsta nepamatotas ietekmes uz elektroenerģijas </w:t>
      </w:r>
      <w:r w:rsidR="00CD3596">
        <w:rPr>
          <w:rFonts w:cs="Times New Roman"/>
          <w:sz w:val="28"/>
          <w:szCs w:val="28"/>
        </w:rPr>
        <w:t>kopējo cenu</w:t>
      </w:r>
      <w:r w:rsidRPr="00AD4AFC">
        <w:rPr>
          <w:rFonts w:cs="Times New Roman"/>
          <w:sz w:val="28"/>
          <w:szCs w:val="28"/>
        </w:rPr>
        <w:t xml:space="preserve"> un</w:t>
      </w:r>
      <w:r w:rsidR="004F4B3F" w:rsidRPr="00AD4AFC">
        <w:rPr>
          <w:rFonts w:cs="Times New Roman"/>
          <w:sz w:val="28"/>
          <w:szCs w:val="28"/>
        </w:rPr>
        <w:t xml:space="preserve"> </w:t>
      </w:r>
      <w:r w:rsidRPr="00AD4AFC">
        <w:rPr>
          <w:rFonts w:cs="Times New Roman"/>
          <w:sz w:val="28"/>
          <w:szCs w:val="28"/>
        </w:rPr>
        <w:t xml:space="preserve">iegūt pārliecību, ka obligātā iepirkuma ietvaros elektroenerģijas ražotājiem </w:t>
      </w:r>
      <w:r w:rsidR="004F4B3F" w:rsidRPr="00AD4AFC">
        <w:rPr>
          <w:rFonts w:cs="Times New Roman"/>
          <w:sz w:val="28"/>
          <w:szCs w:val="28"/>
        </w:rPr>
        <w:t xml:space="preserve">piešķirtais atbalsts </w:t>
      </w:r>
      <w:r w:rsidRPr="00AD4AFC">
        <w:rPr>
          <w:rFonts w:cs="Times New Roman"/>
          <w:sz w:val="28"/>
          <w:szCs w:val="28"/>
        </w:rPr>
        <w:t xml:space="preserve">tiek </w:t>
      </w:r>
      <w:r w:rsidR="004F4B3F" w:rsidRPr="00AD4AFC">
        <w:rPr>
          <w:rFonts w:cs="Times New Roman"/>
          <w:sz w:val="28"/>
          <w:szCs w:val="28"/>
        </w:rPr>
        <w:t xml:space="preserve">izmantots </w:t>
      </w:r>
      <w:r w:rsidRPr="00AD4AFC">
        <w:rPr>
          <w:rFonts w:cs="Times New Roman"/>
          <w:sz w:val="28"/>
          <w:szCs w:val="28"/>
        </w:rPr>
        <w:t>efektīvi un atbilstoši paredzētajiem mērķiem.</w:t>
      </w:r>
    </w:p>
    <w:p w:rsidR="001B5BC6" w:rsidRPr="00662F55" w:rsidRDefault="008203D5" w:rsidP="008A312B">
      <w:pPr>
        <w:ind w:firstLine="709"/>
        <w:jc w:val="both"/>
        <w:rPr>
          <w:rFonts w:cs="Times New Roman"/>
          <w:sz w:val="28"/>
          <w:szCs w:val="28"/>
        </w:rPr>
      </w:pPr>
      <w:r w:rsidRPr="00662F55">
        <w:rPr>
          <w:rFonts w:cs="Times New Roman"/>
          <w:sz w:val="28"/>
          <w:szCs w:val="28"/>
        </w:rPr>
        <w:t>Piemērojot j</w:t>
      </w:r>
      <w:r w:rsidR="00CE3533" w:rsidRPr="00662F55">
        <w:rPr>
          <w:rFonts w:cs="Times New Roman"/>
          <w:sz w:val="28"/>
          <w:szCs w:val="28"/>
        </w:rPr>
        <w:t>aun</w:t>
      </w:r>
      <w:r w:rsidRPr="00662F55">
        <w:rPr>
          <w:rFonts w:cs="Times New Roman"/>
          <w:sz w:val="28"/>
          <w:szCs w:val="28"/>
        </w:rPr>
        <w:t>o</w:t>
      </w:r>
      <w:r w:rsidR="00CE3533" w:rsidRPr="00662F55">
        <w:rPr>
          <w:rFonts w:cs="Times New Roman"/>
          <w:sz w:val="28"/>
          <w:szCs w:val="28"/>
        </w:rPr>
        <w:t xml:space="preserve"> regulējum</w:t>
      </w:r>
      <w:r w:rsidRPr="00662F55">
        <w:rPr>
          <w:rFonts w:cs="Times New Roman"/>
          <w:sz w:val="28"/>
          <w:szCs w:val="28"/>
        </w:rPr>
        <w:t>u</w:t>
      </w:r>
      <w:r w:rsidR="00662F55" w:rsidRPr="00662F55">
        <w:t xml:space="preserve"> </w:t>
      </w:r>
      <w:r w:rsidR="00662F55" w:rsidRPr="00662F55">
        <w:rPr>
          <w:rFonts w:cs="Times New Roman"/>
          <w:sz w:val="28"/>
          <w:szCs w:val="28"/>
        </w:rPr>
        <w:t>Ministru kabineta 2009.gada 10.marta noteikumos Nr.221 „Noteikumi par elektroenerģijas ražošanu un cenu noteikšanu, ražojot elektroenerģiju koģenerācijā”</w:t>
      </w:r>
      <w:r w:rsidR="00CD3596">
        <w:rPr>
          <w:rFonts w:cs="Times New Roman"/>
          <w:sz w:val="28"/>
          <w:szCs w:val="28"/>
        </w:rPr>
        <w:t xml:space="preserve"> (turpmāk – MK noteikumi Nr.221)</w:t>
      </w:r>
      <w:r w:rsidR="00662F55" w:rsidRPr="00E512D7">
        <w:rPr>
          <w:rFonts w:cs="Times New Roman"/>
          <w:sz w:val="28"/>
          <w:szCs w:val="28"/>
        </w:rPr>
        <w:t>, līdz 2013.gada 31.decembrim:</w:t>
      </w:r>
      <w:r w:rsidR="00662F55" w:rsidRPr="00662F55">
        <w:rPr>
          <w:rFonts w:cs="Times New Roman"/>
          <w:sz w:val="28"/>
          <w:szCs w:val="28"/>
        </w:rPr>
        <w:t xml:space="preserve"> </w:t>
      </w:r>
    </w:p>
    <w:p w:rsidR="001B5BC6" w:rsidRPr="00662F55" w:rsidRDefault="001B5BC6" w:rsidP="001B5BC6">
      <w:pPr>
        <w:pStyle w:val="ListParagraph"/>
        <w:numPr>
          <w:ilvl w:val="0"/>
          <w:numId w:val="6"/>
        </w:numPr>
        <w:jc w:val="both"/>
        <w:rPr>
          <w:rFonts w:cs="Times New Roman"/>
          <w:sz w:val="28"/>
          <w:szCs w:val="28"/>
        </w:rPr>
      </w:pPr>
      <w:r w:rsidRPr="00662F55">
        <w:rPr>
          <w:rFonts w:cs="Times New Roman"/>
          <w:sz w:val="28"/>
          <w:szCs w:val="28"/>
        </w:rPr>
        <w:t>133 komersanti uzsāk</w:t>
      </w:r>
      <w:r w:rsidR="00662F55">
        <w:rPr>
          <w:rFonts w:cs="Times New Roman"/>
          <w:sz w:val="28"/>
          <w:szCs w:val="28"/>
        </w:rPr>
        <w:t>a</w:t>
      </w:r>
      <w:r w:rsidRPr="00662F55">
        <w:rPr>
          <w:rFonts w:cs="Times New Roman"/>
          <w:sz w:val="28"/>
          <w:szCs w:val="28"/>
        </w:rPr>
        <w:t xml:space="preserve"> ražošanu;</w:t>
      </w:r>
    </w:p>
    <w:p w:rsidR="001B5BC6" w:rsidRPr="00662F55" w:rsidRDefault="001B5BC6" w:rsidP="001B5BC6">
      <w:pPr>
        <w:pStyle w:val="ListParagraph"/>
        <w:numPr>
          <w:ilvl w:val="0"/>
          <w:numId w:val="6"/>
        </w:numPr>
        <w:jc w:val="both"/>
        <w:rPr>
          <w:rFonts w:cs="Times New Roman"/>
          <w:sz w:val="28"/>
          <w:szCs w:val="28"/>
        </w:rPr>
      </w:pPr>
      <w:r w:rsidRPr="00662F55">
        <w:rPr>
          <w:rFonts w:cs="Times New Roman"/>
          <w:sz w:val="28"/>
          <w:szCs w:val="28"/>
        </w:rPr>
        <w:t>436 komersanti nebija uzsākuši ražošanu;</w:t>
      </w:r>
    </w:p>
    <w:p w:rsidR="001B5BC6" w:rsidRPr="00662F55" w:rsidRDefault="001B5BC6" w:rsidP="001B5BC6">
      <w:pPr>
        <w:pStyle w:val="ListParagraph"/>
        <w:numPr>
          <w:ilvl w:val="0"/>
          <w:numId w:val="6"/>
        </w:numPr>
        <w:jc w:val="both"/>
        <w:rPr>
          <w:rFonts w:cs="Times New Roman"/>
          <w:sz w:val="28"/>
          <w:szCs w:val="28"/>
        </w:rPr>
      </w:pPr>
      <w:r w:rsidRPr="00662F55">
        <w:rPr>
          <w:rFonts w:cs="Times New Roman"/>
          <w:sz w:val="28"/>
          <w:szCs w:val="28"/>
        </w:rPr>
        <w:t>262 komersanti no 436</w:t>
      </w:r>
      <w:r w:rsidR="00662F55">
        <w:rPr>
          <w:rFonts w:cs="Times New Roman"/>
          <w:sz w:val="28"/>
          <w:szCs w:val="28"/>
        </w:rPr>
        <w:t xml:space="preserve"> komersantiem, kas nebija uzsākuši ražošanu,</w:t>
      </w:r>
      <w:r w:rsidRPr="00662F55">
        <w:rPr>
          <w:rFonts w:cs="Times New Roman"/>
          <w:sz w:val="28"/>
          <w:szCs w:val="28"/>
        </w:rPr>
        <w:t xml:space="preserve"> nebija iesnieg</w:t>
      </w:r>
      <w:r w:rsidR="00EF7CE4" w:rsidRPr="00662F55">
        <w:rPr>
          <w:rFonts w:cs="Times New Roman"/>
          <w:sz w:val="28"/>
          <w:szCs w:val="28"/>
        </w:rPr>
        <w:t>uši EM nepieciešamos dokumentus.</w:t>
      </w:r>
      <w:r w:rsidRPr="00662F55">
        <w:rPr>
          <w:rFonts w:cs="Times New Roman"/>
          <w:sz w:val="28"/>
          <w:szCs w:val="28"/>
        </w:rPr>
        <w:t xml:space="preserve"> </w:t>
      </w:r>
    </w:p>
    <w:p w:rsidR="00CE3533" w:rsidRPr="00AD4AFC" w:rsidRDefault="00662F55" w:rsidP="008A312B">
      <w:pPr>
        <w:ind w:firstLine="709"/>
        <w:jc w:val="both"/>
        <w:rPr>
          <w:rFonts w:cs="Times New Roman"/>
          <w:sz w:val="28"/>
          <w:szCs w:val="28"/>
        </w:rPr>
      </w:pPr>
      <w:r>
        <w:rPr>
          <w:rFonts w:cs="Times New Roman"/>
          <w:sz w:val="28"/>
          <w:szCs w:val="28"/>
        </w:rPr>
        <w:t xml:space="preserve">Tā rezultātā </w:t>
      </w:r>
      <w:r w:rsidR="001B5BC6" w:rsidRPr="00AD4AFC">
        <w:rPr>
          <w:rFonts w:cs="Times New Roman"/>
          <w:sz w:val="28"/>
          <w:szCs w:val="28"/>
        </w:rPr>
        <w:t>EM līdz 2014.</w:t>
      </w:r>
      <w:r w:rsidR="004F4B3F" w:rsidRPr="00AD4AFC">
        <w:rPr>
          <w:rFonts w:cs="Times New Roman"/>
          <w:sz w:val="28"/>
          <w:szCs w:val="28"/>
        </w:rPr>
        <w:t>gada 1.februārim</w:t>
      </w:r>
      <w:r w:rsidR="001B5BC6" w:rsidRPr="00AD4AFC">
        <w:rPr>
          <w:rFonts w:cs="Times New Roman"/>
          <w:sz w:val="28"/>
          <w:szCs w:val="28"/>
        </w:rPr>
        <w:t xml:space="preserve"> pieņēma 245 lēmumus par tiesību pārdot koģenerācijas stacijā saražoto elektroenerģiju obligātā iepirkuma ietvaros atcelšanu (ar kopējo plānoto elektrisko jaudu 294,88 MW)</w:t>
      </w:r>
      <w:r w:rsidR="00EF7CE4" w:rsidRPr="00AD4AFC">
        <w:rPr>
          <w:rFonts w:cs="Times New Roman"/>
          <w:sz w:val="28"/>
          <w:szCs w:val="28"/>
        </w:rPr>
        <w:t xml:space="preserve">, tādējādi samazinot </w:t>
      </w:r>
      <w:r w:rsidR="00CD3596" w:rsidRPr="00AD4AFC">
        <w:rPr>
          <w:rFonts w:cs="Times New Roman"/>
          <w:sz w:val="28"/>
          <w:szCs w:val="28"/>
        </w:rPr>
        <w:t>potenciāl</w:t>
      </w:r>
      <w:r w:rsidR="00CD3596">
        <w:rPr>
          <w:rFonts w:cs="Times New Roman"/>
          <w:sz w:val="28"/>
          <w:szCs w:val="28"/>
        </w:rPr>
        <w:t>o pieguma</w:t>
      </w:r>
      <w:r w:rsidR="00CD3596" w:rsidRPr="00AD4AFC">
        <w:rPr>
          <w:rFonts w:cs="Times New Roman"/>
          <w:sz w:val="28"/>
          <w:szCs w:val="28"/>
        </w:rPr>
        <w:t xml:space="preserve"> </w:t>
      </w:r>
      <w:r w:rsidR="004F4B3F" w:rsidRPr="00AD4AFC">
        <w:rPr>
          <w:rFonts w:cs="Times New Roman"/>
          <w:sz w:val="28"/>
          <w:szCs w:val="28"/>
        </w:rPr>
        <w:t>ietekmi</w:t>
      </w:r>
      <w:r w:rsidR="00EF7CE4" w:rsidRPr="00AD4AFC">
        <w:rPr>
          <w:rFonts w:cs="Times New Roman"/>
          <w:sz w:val="28"/>
          <w:szCs w:val="28"/>
        </w:rPr>
        <w:t xml:space="preserve"> uz OIK līmeni nākotnē</w:t>
      </w:r>
      <w:r w:rsidR="001B5BC6" w:rsidRPr="00AD4AFC">
        <w:rPr>
          <w:rFonts w:cs="Times New Roman"/>
          <w:sz w:val="28"/>
          <w:szCs w:val="28"/>
        </w:rPr>
        <w:t>.</w:t>
      </w:r>
    </w:p>
    <w:p w:rsidR="00CD3596" w:rsidRPr="00AD4AFC" w:rsidRDefault="00CD3596" w:rsidP="00EF7CE4">
      <w:pPr>
        <w:jc w:val="both"/>
        <w:rPr>
          <w:rFonts w:cs="Times New Roman"/>
          <w:sz w:val="28"/>
          <w:szCs w:val="28"/>
        </w:rPr>
      </w:pPr>
    </w:p>
    <w:p w:rsidR="00EF7CE4" w:rsidRPr="005B42CF" w:rsidRDefault="00EF7CE4" w:rsidP="005B42CF">
      <w:pPr>
        <w:pStyle w:val="ListParagraph"/>
        <w:numPr>
          <w:ilvl w:val="1"/>
          <w:numId w:val="14"/>
        </w:numPr>
        <w:jc w:val="both"/>
        <w:rPr>
          <w:rFonts w:cs="Times New Roman"/>
          <w:b/>
          <w:i/>
          <w:sz w:val="28"/>
          <w:szCs w:val="28"/>
        </w:rPr>
      </w:pPr>
      <w:r w:rsidRPr="005B42CF">
        <w:rPr>
          <w:rFonts w:cs="Times New Roman"/>
          <w:b/>
          <w:i/>
          <w:sz w:val="28"/>
          <w:szCs w:val="28"/>
        </w:rPr>
        <w:t>Risku ierobežošana saistībā ar dabasgāzes cenas pieaugumu</w:t>
      </w:r>
    </w:p>
    <w:p w:rsidR="00EF7CE4" w:rsidRPr="00AD4AFC" w:rsidRDefault="004F4B3F" w:rsidP="008A312B">
      <w:pPr>
        <w:ind w:firstLine="709"/>
        <w:jc w:val="both"/>
        <w:rPr>
          <w:rFonts w:cs="Times New Roman"/>
          <w:sz w:val="28"/>
          <w:szCs w:val="28"/>
        </w:rPr>
      </w:pPr>
      <w:r w:rsidRPr="00AD4AFC">
        <w:rPr>
          <w:rFonts w:cs="Times New Roman"/>
          <w:sz w:val="28"/>
          <w:szCs w:val="28"/>
        </w:rPr>
        <w:t xml:space="preserve">Ministru kabinets </w:t>
      </w:r>
      <w:r w:rsidR="00F64048" w:rsidRPr="00AD4AFC">
        <w:rPr>
          <w:rFonts w:cs="Times New Roman"/>
          <w:sz w:val="28"/>
          <w:szCs w:val="28"/>
        </w:rPr>
        <w:t>2014.gada 22.aprīlī pieņ</w:t>
      </w:r>
      <w:r w:rsidRPr="00AD4AFC">
        <w:rPr>
          <w:rFonts w:cs="Times New Roman"/>
          <w:sz w:val="28"/>
          <w:szCs w:val="28"/>
        </w:rPr>
        <w:t>ē</w:t>
      </w:r>
      <w:r w:rsidR="00F64048" w:rsidRPr="00AD4AFC">
        <w:rPr>
          <w:rFonts w:cs="Times New Roman"/>
          <w:sz w:val="28"/>
          <w:szCs w:val="28"/>
        </w:rPr>
        <w:t>m</w:t>
      </w:r>
      <w:r w:rsidRPr="00AD4AFC">
        <w:rPr>
          <w:rFonts w:cs="Times New Roman"/>
          <w:sz w:val="28"/>
          <w:szCs w:val="28"/>
        </w:rPr>
        <w:t>a</w:t>
      </w:r>
      <w:r w:rsidR="00F64048" w:rsidRPr="00AD4AFC">
        <w:rPr>
          <w:rFonts w:cs="Times New Roman"/>
          <w:sz w:val="28"/>
          <w:szCs w:val="28"/>
        </w:rPr>
        <w:t xml:space="preserve"> un 2014.gadā 1.maijā stājās spēkā grozījumi </w:t>
      </w:r>
      <w:r w:rsidRPr="00AD4AFC">
        <w:rPr>
          <w:color w:val="000000"/>
          <w:sz w:val="28"/>
          <w:szCs w:val="28"/>
        </w:rPr>
        <w:t>Ministru kabineta 2010.gada 16.marta noteikumos Nr.262 „</w:t>
      </w:r>
      <w:r w:rsidRPr="00AD4AFC">
        <w:rPr>
          <w:bCs/>
          <w:color w:val="000000"/>
          <w:sz w:val="28"/>
          <w:szCs w:val="28"/>
        </w:rPr>
        <w:t>Noteikumi par elektroenerģijas ražošanu, izmantojot atjaunojamos energoresursus, un cenu noteikšanas kārtību</w:t>
      </w:r>
      <w:r w:rsidRPr="00AD4AFC">
        <w:rPr>
          <w:color w:val="000000"/>
          <w:sz w:val="28"/>
          <w:szCs w:val="28"/>
        </w:rPr>
        <w:t xml:space="preserve">” </w:t>
      </w:r>
      <w:r w:rsidR="00662F55">
        <w:rPr>
          <w:color w:val="000000"/>
          <w:sz w:val="28"/>
          <w:szCs w:val="28"/>
        </w:rPr>
        <w:t xml:space="preserve">un </w:t>
      </w:r>
      <w:r w:rsidR="00CD3596">
        <w:rPr>
          <w:rFonts w:cs="Times New Roman"/>
          <w:sz w:val="28"/>
          <w:szCs w:val="28"/>
        </w:rPr>
        <w:t>MK</w:t>
      </w:r>
      <w:r w:rsidR="00662F55" w:rsidRPr="00AD4AFC">
        <w:rPr>
          <w:rFonts w:cs="Times New Roman"/>
          <w:sz w:val="28"/>
          <w:szCs w:val="28"/>
        </w:rPr>
        <w:t xml:space="preserve"> noteikumos Nr.221</w:t>
      </w:r>
      <w:r w:rsidR="00F64048" w:rsidRPr="00AD4AFC">
        <w:rPr>
          <w:rFonts w:cs="Times New Roman"/>
          <w:sz w:val="28"/>
          <w:szCs w:val="28"/>
        </w:rPr>
        <w:t xml:space="preserve">, kas nodrošina obligātā iepirkuma izmaksu nepalielināšanos neprognozējamā </w:t>
      </w:r>
      <w:r w:rsidR="00F64048" w:rsidRPr="00AD4AFC">
        <w:rPr>
          <w:rFonts w:cs="Times New Roman"/>
          <w:sz w:val="28"/>
          <w:szCs w:val="28"/>
        </w:rPr>
        <w:lastRenderedPageBreak/>
        <w:t>dabasgāzes tirdzniecības cenas pieauguma rezultātā, ierobežojot obligātā iepirkuma cenas noteikšanas formulās iekļautās komponentes, proti, dabasgāzes tirdzniecības gala tarifa mainību, šīs komponentes maksimālo robežvērtību (369,93 EUR/</w:t>
      </w:r>
      <w:proofErr w:type="spellStart"/>
      <w:r w:rsidR="00F64048" w:rsidRPr="00AD4AFC">
        <w:rPr>
          <w:rFonts w:cs="Times New Roman"/>
          <w:sz w:val="28"/>
          <w:szCs w:val="28"/>
        </w:rPr>
        <w:t>tūkst</w:t>
      </w:r>
      <w:proofErr w:type="spellEnd"/>
      <w:r w:rsidR="00F64048" w:rsidRPr="00AD4AFC">
        <w:rPr>
          <w:rFonts w:cs="Times New Roman"/>
          <w:sz w:val="28"/>
          <w:szCs w:val="28"/>
        </w:rPr>
        <w:t>. n.m3) fiksējot 2014.gada marta dabasgāzes tirdzniecības cenas (277,46 EUR/</w:t>
      </w:r>
      <w:proofErr w:type="spellStart"/>
      <w:r w:rsidR="00F64048" w:rsidRPr="00AD4AFC">
        <w:rPr>
          <w:rFonts w:cs="Times New Roman"/>
          <w:sz w:val="28"/>
          <w:szCs w:val="28"/>
        </w:rPr>
        <w:t>tūkst</w:t>
      </w:r>
      <w:proofErr w:type="spellEnd"/>
      <w:r w:rsidR="00F64048" w:rsidRPr="00AD4AFC">
        <w:rPr>
          <w:rFonts w:cs="Times New Roman"/>
          <w:sz w:val="28"/>
          <w:szCs w:val="28"/>
        </w:rPr>
        <w:t xml:space="preserve">. n.m3) līmenī, </w:t>
      </w:r>
      <w:r w:rsidR="00CD3596" w:rsidRPr="00AD4AFC">
        <w:rPr>
          <w:rFonts w:cs="Times New Roman"/>
          <w:sz w:val="28"/>
          <w:szCs w:val="28"/>
        </w:rPr>
        <w:t>kur</w:t>
      </w:r>
      <w:r w:rsidR="00CD3596">
        <w:rPr>
          <w:rFonts w:cs="Times New Roman"/>
          <w:sz w:val="28"/>
          <w:szCs w:val="28"/>
        </w:rPr>
        <w:t>a</w:t>
      </w:r>
      <w:r w:rsidR="00CD3596" w:rsidRPr="00AD4AFC">
        <w:rPr>
          <w:rFonts w:cs="Times New Roman"/>
          <w:sz w:val="28"/>
          <w:szCs w:val="28"/>
        </w:rPr>
        <w:t xml:space="preserve"> </w:t>
      </w:r>
      <w:r w:rsidR="00F64048" w:rsidRPr="00AD4AFC">
        <w:rPr>
          <w:rFonts w:cs="Times New Roman"/>
          <w:sz w:val="28"/>
          <w:szCs w:val="28"/>
        </w:rPr>
        <w:t xml:space="preserve">arī turpmāk </w:t>
      </w:r>
      <w:r w:rsidR="00CD3596" w:rsidRPr="00AD4AFC">
        <w:rPr>
          <w:rFonts w:cs="Times New Roman"/>
          <w:sz w:val="28"/>
          <w:szCs w:val="28"/>
        </w:rPr>
        <w:t>ti</w:t>
      </w:r>
      <w:r w:rsidR="00CD3596">
        <w:rPr>
          <w:rFonts w:cs="Times New Roman"/>
          <w:sz w:val="28"/>
          <w:szCs w:val="28"/>
        </w:rPr>
        <w:t>ks</w:t>
      </w:r>
      <w:r w:rsidR="00CD3596" w:rsidRPr="00AD4AFC">
        <w:rPr>
          <w:rFonts w:cs="Times New Roman"/>
          <w:sz w:val="28"/>
          <w:szCs w:val="28"/>
        </w:rPr>
        <w:t xml:space="preserve"> </w:t>
      </w:r>
      <w:r w:rsidR="00F64048" w:rsidRPr="00AD4AFC">
        <w:rPr>
          <w:rFonts w:cs="Times New Roman"/>
          <w:sz w:val="28"/>
          <w:szCs w:val="28"/>
        </w:rPr>
        <w:t>izmantot</w:t>
      </w:r>
      <w:r w:rsidR="00CD3596">
        <w:rPr>
          <w:rFonts w:cs="Times New Roman"/>
          <w:sz w:val="28"/>
          <w:szCs w:val="28"/>
        </w:rPr>
        <w:t>a</w:t>
      </w:r>
      <w:r w:rsidR="00F64048" w:rsidRPr="00AD4AFC">
        <w:rPr>
          <w:rFonts w:cs="Times New Roman"/>
          <w:sz w:val="28"/>
          <w:szCs w:val="28"/>
        </w:rPr>
        <w:t xml:space="preserve"> mainīgā koeficienta vietā.</w:t>
      </w:r>
    </w:p>
    <w:p w:rsidR="00F64048" w:rsidRPr="00AD4AFC" w:rsidRDefault="00F64048" w:rsidP="00F64048">
      <w:pPr>
        <w:ind w:firstLine="426"/>
        <w:jc w:val="both"/>
        <w:rPr>
          <w:rFonts w:cs="Times New Roman"/>
          <w:sz w:val="28"/>
          <w:szCs w:val="28"/>
        </w:rPr>
      </w:pPr>
      <w:r w:rsidRPr="00AD4AFC">
        <w:rPr>
          <w:rFonts w:cs="Times New Roman"/>
          <w:sz w:val="28"/>
          <w:szCs w:val="28"/>
        </w:rPr>
        <w:t>Šāds solis bija nepieciešams, lai nepieļautu atbalsta apjoma pieaugumu</w:t>
      </w:r>
      <w:r w:rsidR="00561D49" w:rsidRPr="00AD4AFC">
        <w:rPr>
          <w:rFonts w:cs="Times New Roman"/>
          <w:sz w:val="28"/>
          <w:szCs w:val="28"/>
        </w:rPr>
        <w:t xml:space="preserve"> ar faktiskajām </w:t>
      </w:r>
      <w:r w:rsidR="004F4B3F" w:rsidRPr="00AD4AFC">
        <w:rPr>
          <w:rFonts w:cs="Times New Roman"/>
          <w:sz w:val="28"/>
          <w:szCs w:val="28"/>
        </w:rPr>
        <w:t xml:space="preserve">elektroenerģijas </w:t>
      </w:r>
      <w:r w:rsidR="00561D49" w:rsidRPr="00AD4AFC">
        <w:rPr>
          <w:rFonts w:cs="Times New Roman"/>
          <w:sz w:val="28"/>
          <w:szCs w:val="28"/>
        </w:rPr>
        <w:t>ražošanām izmaksām nesaistīto faktoru dēļ.</w:t>
      </w:r>
    </w:p>
    <w:p w:rsidR="00561D49" w:rsidRPr="00AD4AFC" w:rsidRDefault="00561D49" w:rsidP="00F64048">
      <w:pPr>
        <w:ind w:firstLine="426"/>
        <w:jc w:val="both"/>
        <w:rPr>
          <w:rFonts w:cs="Times New Roman"/>
          <w:sz w:val="28"/>
          <w:szCs w:val="28"/>
        </w:rPr>
      </w:pPr>
    </w:p>
    <w:p w:rsidR="00561D49" w:rsidRPr="005B42CF" w:rsidRDefault="00561D49" w:rsidP="005B42CF">
      <w:pPr>
        <w:pStyle w:val="ListParagraph"/>
        <w:numPr>
          <w:ilvl w:val="1"/>
          <w:numId w:val="14"/>
        </w:numPr>
        <w:jc w:val="both"/>
        <w:rPr>
          <w:rFonts w:cs="Times New Roman"/>
          <w:b/>
          <w:i/>
          <w:sz w:val="28"/>
          <w:szCs w:val="28"/>
        </w:rPr>
      </w:pPr>
      <w:r w:rsidRPr="005B42CF">
        <w:rPr>
          <w:rFonts w:cs="Times New Roman"/>
          <w:b/>
          <w:i/>
          <w:sz w:val="28"/>
          <w:szCs w:val="28"/>
        </w:rPr>
        <w:t>Atbalsta samazināšana  dabasgāzes koģenerācijas stacijām ar</w:t>
      </w:r>
      <w:r w:rsidR="00CD3596" w:rsidRPr="005B42CF">
        <w:rPr>
          <w:rFonts w:cs="Times New Roman"/>
          <w:b/>
          <w:i/>
          <w:sz w:val="28"/>
          <w:szCs w:val="28"/>
        </w:rPr>
        <w:t xml:space="preserve"> elektrisko</w:t>
      </w:r>
      <w:r w:rsidRPr="005B42CF">
        <w:rPr>
          <w:rFonts w:cs="Times New Roman"/>
          <w:b/>
          <w:i/>
          <w:sz w:val="28"/>
          <w:szCs w:val="28"/>
        </w:rPr>
        <w:t xml:space="preserve"> jaudu virs 4 MW</w:t>
      </w:r>
    </w:p>
    <w:p w:rsidR="00561D49" w:rsidRPr="00E512D7" w:rsidRDefault="00561D49" w:rsidP="008A312B">
      <w:pPr>
        <w:ind w:firstLine="709"/>
        <w:jc w:val="both"/>
        <w:rPr>
          <w:rFonts w:cs="Times New Roman"/>
          <w:sz w:val="28"/>
          <w:szCs w:val="28"/>
        </w:rPr>
      </w:pPr>
      <w:r w:rsidRPr="00E512D7">
        <w:rPr>
          <w:rFonts w:cs="Times New Roman"/>
          <w:sz w:val="28"/>
          <w:szCs w:val="28"/>
        </w:rPr>
        <w:t xml:space="preserve">Šajā grupā ir četras koģenerācijas stacijas </w:t>
      </w:r>
      <w:r w:rsidR="00CD3596">
        <w:rPr>
          <w:rFonts w:cs="Times New Roman"/>
          <w:sz w:val="28"/>
          <w:szCs w:val="28"/>
        </w:rPr>
        <w:t>–</w:t>
      </w:r>
      <w:r w:rsidRPr="00E512D7">
        <w:rPr>
          <w:rFonts w:cs="Times New Roman"/>
          <w:sz w:val="28"/>
          <w:szCs w:val="28"/>
        </w:rPr>
        <w:t xml:space="preserve"> </w:t>
      </w:r>
      <w:r w:rsidR="00CD3596">
        <w:rPr>
          <w:rFonts w:cs="Times New Roman"/>
          <w:sz w:val="28"/>
          <w:szCs w:val="28"/>
        </w:rPr>
        <w:t xml:space="preserve">akciju sabiedrības </w:t>
      </w:r>
      <w:r w:rsidRPr="00E512D7">
        <w:rPr>
          <w:rFonts w:cs="Times New Roman"/>
          <w:sz w:val="28"/>
          <w:szCs w:val="28"/>
        </w:rPr>
        <w:t xml:space="preserve">„Latvenergo” Rīgas TEC-1 un TEC-2, AS „Rīgas siltums” siltumcentrāle „Imanta” un </w:t>
      </w:r>
      <w:r w:rsidR="00CD3596">
        <w:rPr>
          <w:rFonts w:cs="Times New Roman"/>
          <w:sz w:val="28"/>
          <w:szCs w:val="28"/>
        </w:rPr>
        <w:t>sabiedrības ar ierobežotu atbildību</w:t>
      </w:r>
      <w:r w:rsidR="00CD3596" w:rsidRPr="00E512D7">
        <w:rPr>
          <w:rFonts w:cs="Times New Roman"/>
          <w:sz w:val="28"/>
          <w:szCs w:val="28"/>
        </w:rPr>
        <w:t xml:space="preserve"> </w:t>
      </w:r>
      <w:r w:rsidRPr="00E512D7">
        <w:rPr>
          <w:rFonts w:cs="Times New Roman"/>
          <w:sz w:val="28"/>
          <w:szCs w:val="28"/>
        </w:rPr>
        <w:t xml:space="preserve">„Juglas jauda”. Visas </w:t>
      </w:r>
      <w:r w:rsidR="00CD3596">
        <w:rPr>
          <w:rFonts w:cs="Times New Roman"/>
          <w:sz w:val="28"/>
          <w:szCs w:val="28"/>
        </w:rPr>
        <w:t xml:space="preserve">minētās </w:t>
      </w:r>
      <w:r w:rsidRPr="00E512D7">
        <w:rPr>
          <w:rFonts w:cs="Times New Roman"/>
          <w:sz w:val="28"/>
          <w:szCs w:val="28"/>
        </w:rPr>
        <w:t xml:space="preserve">stacijas atrodas Rīgā, uz kuras siltumenerģijas tarifiem atbalsta izmaiņas ietekmi neatstāj. Līdz ar to ir veikti grozījumi </w:t>
      </w:r>
      <w:r w:rsidR="00CD3596">
        <w:rPr>
          <w:rFonts w:cs="Times New Roman"/>
          <w:sz w:val="28"/>
          <w:szCs w:val="28"/>
        </w:rPr>
        <w:t>MK</w:t>
      </w:r>
      <w:r w:rsidR="00943A66" w:rsidRPr="00E512D7">
        <w:rPr>
          <w:rFonts w:cs="Times New Roman"/>
          <w:sz w:val="28"/>
          <w:szCs w:val="28"/>
        </w:rPr>
        <w:t xml:space="preserve"> noteikumu Nr.221 </w:t>
      </w:r>
      <w:r w:rsidR="00CD3596">
        <w:rPr>
          <w:rFonts w:cs="Times New Roman"/>
          <w:sz w:val="28"/>
          <w:szCs w:val="28"/>
        </w:rPr>
        <w:t xml:space="preserve"> </w:t>
      </w:r>
      <w:r w:rsidRPr="00E512D7">
        <w:rPr>
          <w:rFonts w:cs="Times New Roman"/>
          <w:sz w:val="28"/>
          <w:szCs w:val="28"/>
        </w:rPr>
        <w:t xml:space="preserve">52.punktā (pieņemti Ministru kabineta 2013.gada 30.jūlija sēdē), samazinot atbalsta intensitāti. </w:t>
      </w:r>
      <w:r w:rsidR="00943A66" w:rsidRPr="00E512D7">
        <w:rPr>
          <w:rFonts w:cs="Times New Roman"/>
          <w:sz w:val="28"/>
          <w:szCs w:val="28"/>
        </w:rPr>
        <w:t xml:space="preserve">Līdz 2013.gada vidum </w:t>
      </w:r>
      <w:r w:rsidRPr="00E512D7">
        <w:rPr>
          <w:rFonts w:cs="Times New Roman"/>
          <w:sz w:val="28"/>
          <w:szCs w:val="28"/>
        </w:rPr>
        <w:t>šīs stacijas saņ</w:t>
      </w:r>
      <w:r w:rsidR="00943A66" w:rsidRPr="00E512D7">
        <w:rPr>
          <w:rFonts w:cs="Times New Roman"/>
          <w:sz w:val="28"/>
          <w:szCs w:val="28"/>
        </w:rPr>
        <w:t>ē</w:t>
      </w:r>
      <w:r w:rsidRPr="00E512D7">
        <w:rPr>
          <w:rFonts w:cs="Times New Roman"/>
          <w:sz w:val="28"/>
          <w:szCs w:val="28"/>
        </w:rPr>
        <w:t>m</w:t>
      </w:r>
      <w:r w:rsidR="00943A66" w:rsidRPr="00E512D7">
        <w:rPr>
          <w:rFonts w:cs="Times New Roman"/>
          <w:sz w:val="28"/>
          <w:szCs w:val="28"/>
        </w:rPr>
        <w:t>a</w:t>
      </w:r>
      <w:r w:rsidRPr="00E512D7">
        <w:rPr>
          <w:rFonts w:cs="Times New Roman"/>
          <w:sz w:val="28"/>
          <w:szCs w:val="28"/>
        </w:rPr>
        <w:t xml:space="preserve"> atbalstu, kas veidoj</w:t>
      </w:r>
      <w:r w:rsidR="00943A66" w:rsidRPr="00E512D7">
        <w:rPr>
          <w:rFonts w:cs="Times New Roman"/>
          <w:sz w:val="28"/>
          <w:szCs w:val="28"/>
        </w:rPr>
        <w:t>ā</w:t>
      </w:r>
      <w:r w:rsidRPr="00E512D7">
        <w:rPr>
          <w:rFonts w:cs="Times New Roman"/>
          <w:sz w:val="28"/>
          <w:szCs w:val="28"/>
        </w:rPr>
        <w:t xml:space="preserve">s no jaudas komponentes un  enerģijas komponentes. </w:t>
      </w:r>
      <w:r w:rsidR="00943A66" w:rsidRPr="00E512D7">
        <w:rPr>
          <w:rFonts w:cs="Times New Roman"/>
          <w:sz w:val="28"/>
          <w:szCs w:val="28"/>
        </w:rPr>
        <w:t>Augstāk minētie g</w:t>
      </w:r>
      <w:r w:rsidRPr="00E512D7">
        <w:rPr>
          <w:rFonts w:cs="Times New Roman"/>
          <w:sz w:val="28"/>
          <w:szCs w:val="28"/>
        </w:rPr>
        <w:t xml:space="preserve">rozījumi paredzēja atteikties no enerģijas komponentes, saglabājot atbalstu par jaudu, vienlaikus izvirzot nosacījumu, ka uzstādītā jauda jāizmanto vismaz 1200 stundas gadā. Jaudas komponente tiek samazināta, ja pēc nostrādātajām 1200 stundām elektroenerģijas biržas </w:t>
      </w:r>
      <w:proofErr w:type="spellStart"/>
      <w:r w:rsidRPr="00E512D7">
        <w:rPr>
          <w:rFonts w:cs="Times New Roman"/>
          <w:i/>
          <w:sz w:val="28"/>
          <w:szCs w:val="28"/>
        </w:rPr>
        <w:t>spot</w:t>
      </w:r>
      <w:proofErr w:type="spellEnd"/>
      <w:r w:rsidRPr="00E512D7">
        <w:rPr>
          <w:rFonts w:cs="Times New Roman"/>
          <w:sz w:val="28"/>
          <w:szCs w:val="28"/>
        </w:rPr>
        <w:t xml:space="preserve"> cena pārsniedz mainīgās izmaksas. Šāds mehānisms nodrošinās elektroenerģijas ražošanā nepieciešamā dabasgāzes apjoma samazināšanos un neveicinās elektroenerģijas ražošanu, ja elektroenerģijas cena būs zema, bet dabasgāzes cena augsta. </w:t>
      </w:r>
    </w:p>
    <w:p w:rsidR="00EF7CE4" w:rsidRPr="00D41FE6" w:rsidRDefault="00561D49" w:rsidP="008A312B">
      <w:pPr>
        <w:ind w:firstLine="709"/>
        <w:jc w:val="both"/>
        <w:rPr>
          <w:rFonts w:cs="Times New Roman"/>
          <w:sz w:val="28"/>
          <w:szCs w:val="28"/>
        </w:rPr>
      </w:pPr>
      <w:r w:rsidRPr="00E512D7">
        <w:rPr>
          <w:rFonts w:cs="Times New Roman"/>
          <w:sz w:val="28"/>
          <w:szCs w:val="28"/>
        </w:rPr>
        <w:t xml:space="preserve">Priekšlikuma rezultātā piedāvātās izmaiņas samazinās </w:t>
      </w:r>
      <w:r w:rsidR="00943A66" w:rsidRPr="00E512D7">
        <w:rPr>
          <w:rFonts w:cs="Times New Roman"/>
          <w:sz w:val="28"/>
          <w:szCs w:val="28"/>
        </w:rPr>
        <w:t>obligātā iepirkuma</w:t>
      </w:r>
      <w:r w:rsidRPr="00E512D7">
        <w:rPr>
          <w:rFonts w:cs="Times New Roman"/>
          <w:sz w:val="28"/>
          <w:szCs w:val="28"/>
        </w:rPr>
        <w:t xml:space="preserve"> izmaksājamās atbalsta summas apmēru, sākot ar 2014.gadu, aptuveni 28,45 </w:t>
      </w:r>
      <w:proofErr w:type="spellStart"/>
      <w:r w:rsidRPr="00E512D7">
        <w:rPr>
          <w:rFonts w:cs="Times New Roman"/>
          <w:sz w:val="28"/>
          <w:szCs w:val="28"/>
        </w:rPr>
        <w:t>milj</w:t>
      </w:r>
      <w:proofErr w:type="spellEnd"/>
      <w:r w:rsidRPr="00E512D7">
        <w:rPr>
          <w:rFonts w:cs="Times New Roman"/>
          <w:sz w:val="28"/>
          <w:szCs w:val="28"/>
        </w:rPr>
        <w:t xml:space="preserve">. </w:t>
      </w:r>
      <w:r w:rsidR="005513E6" w:rsidRPr="00E512D7">
        <w:rPr>
          <w:rFonts w:cs="Times New Roman"/>
          <w:sz w:val="28"/>
          <w:szCs w:val="28"/>
        </w:rPr>
        <w:t>EUR</w:t>
      </w:r>
      <w:r w:rsidRPr="00E512D7">
        <w:rPr>
          <w:rFonts w:cs="Times New Roman"/>
          <w:sz w:val="28"/>
          <w:szCs w:val="28"/>
        </w:rPr>
        <w:t xml:space="preserve"> apjomā</w:t>
      </w:r>
      <w:r w:rsidRPr="00E512D7">
        <w:rPr>
          <w:rStyle w:val="FootnoteReference"/>
          <w:rFonts w:cs="Times New Roman"/>
          <w:sz w:val="28"/>
          <w:szCs w:val="28"/>
        </w:rPr>
        <w:footnoteReference w:id="3"/>
      </w:r>
      <w:r w:rsidRPr="00E512D7">
        <w:rPr>
          <w:rFonts w:cs="Times New Roman"/>
          <w:sz w:val="28"/>
          <w:szCs w:val="28"/>
        </w:rPr>
        <w:t xml:space="preserve"> katru gadu, kamēr minētas koģenerācijas stacijas ar uzstādīto elektrisko jaudu virs </w:t>
      </w:r>
      <w:r w:rsidR="00943A66" w:rsidRPr="00E512D7">
        <w:rPr>
          <w:rFonts w:cs="Times New Roman"/>
          <w:sz w:val="28"/>
          <w:szCs w:val="28"/>
        </w:rPr>
        <w:t xml:space="preserve"> </w:t>
      </w:r>
      <w:r w:rsidR="00943A66" w:rsidRPr="00D41FE6">
        <w:rPr>
          <w:rFonts w:cs="Times New Roman"/>
          <w:sz w:val="28"/>
          <w:szCs w:val="28"/>
        </w:rPr>
        <w:t>4 MW</w:t>
      </w:r>
      <w:r w:rsidRPr="00D41FE6">
        <w:rPr>
          <w:rFonts w:cs="Times New Roman"/>
          <w:sz w:val="28"/>
          <w:szCs w:val="28"/>
        </w:rPr>
        <w:t xml:space="preserve"> saņems atbalstu obligātā iepirkuma ietvaros.</w:t>
      </w:r>
    </w:p>
    <w:p w:rsidR="00D41FE6" w:rsidRPr="00D41FE6" w:rsidRDefault="00D41FE6" w:rsidP="00D41FE6">
      <w:pPr>
        <w:pStyle w:val="BodyTextIndent2"/>
        <w:spacing w:after="0" w:line="240" w:lineRule="auto"/>
        <w:ind w:left="0" w:firstLine="709"/>
        <w:jc w:val="both"/>
        <w:rPr>
          <w:rFonts w:ascii="Times New Roman" w:hAnsi="Times New Roman"/>
          <w:color w:val="000000"/>
          <w:sz w:val="28"/>
          <w:szCs w:val="28"/>
        </w:rPr>
      </w:pPr>
      <w:r w:rsidRPr="00D41FE6">
        <w:rPr>
          <w:rFonts w:ascii="Times New Roman" w:hAnsi="Times New Roman"/>
          <w:color w:val="000000"/>
          <w:sz w:val="28"/>
          <w:szCs w:val="28"/>
        </w:rPr>
        <w:t>Veicot obligātā iepirkuma tiesis</w:t>
      </w:r>
      <w:r w:rsidR="0013209E">
        <w:rPr>
          <w:rFonts w:ascii="Times New Roman" w:hAnsi="Times New Roman"/>
          <w:color w:val="000000"/>
          <w:sz w:val="28"/>
          <w:szCs w:val="28"/>
        </w:rPr>
        <w:t>kā regulējuma sakārtošanu 2014.gada 1.</w:t>
      </w:r>
      <w:r w:rsidRPr="00D41FE6">
        <w:rPr>
          <w:rFonts w:ascii="Times New Roman" w:hAnsi="Times New Roman"/>
          <w:color w:val="000000"/>
          <w:sz w:val="28"/>
          <w:szCs w:val="28"/>
        </w:rPr>
        <w:t>janvārī spēkā stājas Elektroenerģijas tirgus likuma (</w:t>
      </w:r>
      <w:r w:rsidR="0013209E">
        <w:rPr>
          <w:rFonts w:ascii="Times New Roman" w:hAnsi="Times New Roman"/>
          <w:color w:val="000000"/>
          <w:sz w:val="28"/>
          <w:szCs w:val="28"/>
        </w:rPr>
        <w:t xml:space="preserve">turpmāk - </w:t>
      </w:r>
      <w:r w:rsidRPr="00D41FE6">
        <w:rPr>
          <w:rFonts w:ascii="Times New Roman" w:hAnsi="Times New Roman"/>
          <w:color w:val="000000"/>
          <w:sz w:val="28"/>
          <w:szCs w:val="28"/>
        </w:rPr>
        <w:t>ETL) 28.</w:t>
      </w:r>
      <w:r w:rsidRPr="00D41FE6">
        <w:rPr>
          <w:rFonts w:ascii="Times New Roman" w:hAnsi="Times New Roman"/>
          <w:color w:val="000000"/>
          <w:sz w:val="28"/>
          <w:szCs w:val="28"/>
          <w:vertAlign w:val="superscript"/>
        </w:rPr>
        <w:t>1</w:t>
      </w:r>
      <w:r w:rsidR="0013209E">
        <w:rPr>
          <w:rFonts w:ascii="Times New Roman" w:hAnsi="Times New Roman"/>
          <w:color w:val="000000"/>
          <w:sz w:val="28"/>
          <w:szCs w:val="28"/>
        </w:rPr>
        <w:t xml:space="preserve"> panta otrā </w:t>
      </w:r>
      <w:proofErr w:type="spellStart"/>
      <w:r w:rsidR="0013209E">
        <w:rPr>
          <w:rFonts w:ascii="Times New Roman" w:hAnsi="Times New Roman"/>
          <w:color w:val="000000"/>
          <w:sz w:val="28"/>
          <w:szCs w:val="28"/>
        </w:rPr>
        <w:t>prim</w:t>
      </w:r>
      <w:proofErr w:type="spellEnd"/>
      <w:r w:rsidR="0013209E">
        <w:rPr>
          <w:rFonts w:ascii="Times New Roman" w:hAnsi="Times New Roman"/>
          <w:color w:val="000000"/>
          <w:sz w:val="28"/>
          <w:szCs w:val="28"/>
        </w:rPr>
        <w:t xml:space="preserve"> daļa</w:t>
      </w:r>
      <w:r w:rsidRPr="00D41FE6">
        <w:rPr>
          <w:rFonts w:ascii="Times New Roman" w:hAnsi="Times New Roman"/>
          <w:color w:val="000000"/>
          <w:sz w:val="28"/>
          <w:szCs w:val="28"/>
        </w:rPr>
        <w:t xml:space="preserve">, kura nosaka, ka ražotājs, kas elektroenerģiju ražo koģenerācijas stacijā, kuras uzstādītā elektriskā jauda ir lielāka par </w:t>
      </w:r>
      <w:r w:rsidR="0013209E">
        <w:rPr>
          <w:rFonts w:ascii="Times New Roman" w:hAnsi="Times New Roman"/>
          <w:color w:val="000000"/>
          <w:sz w:val="28"/>
          <w:szCs w:val="28"/>
        </w:rPr>
        <w:t>4 MW, un kas līdz 2013.gada 31.</w:t>
      </w:r>
      <w:r w:rsidRPr="00D41FE6">
        <w:rPr>
          <w:rFonts w:ascii="Times New Roman" w:hAnsi="Times New Roman"/>
          <w:color w:val="000000"/>
          <w:sz w:val="28"/>
          <w:szCs w:val="28"/>
        </w:rPr>
        <w:t>decembrim ir izmantojis ETL 28.pantā noteiktajā kārtībā iegūtās tiesības pārdot saražoto elektroenerģiju obligā</w:t>
      </w:r>
      <w:r w:rsidR="0013209E">
        <w:rPr>
          <w:rFonts w:ascii="Times New Roman" w:hAnsi="Times New Roman"/>
          <w:color w:val="000000"/>
          <w:sz w:val="28"/>
          <w:szCs w:val="28"/>
        </w:rPr>
        <w:t>tā iepirkuma ietvaros, no 2014.</w:t>
      </w:r>
      <w:r w:rsidRPr="00D41FE6">
        <w:rPr>
          <w:rFonts w:ascii="Times New Roman" w:hAnsi="Times New Roman"/>
          <w:color w:val="000000"/>
          <w:sz w:val="28"/>
          <w:szCs w:val="28"/>
        </w:rPr>
        <w:t xml:space="preserve">gada 1.janvāra </w:t>
      </w:r>
      <w:r w:rsidRPr="00E512D7">
        <w:rPr>
          <w:rFonts w:ascii="Times New Roman" w:hAnsi="Times New Roman"/>
          <w:color w:val="000000"/>
          <w:sz w:val="28"/>
          <w:szCs w:val="28"/>
        </w:rPr>
        <w:t>saņem garantēto maksu par koģenerācijas stacijā</w:t>
      </w:r>
      <w:r w:rsidRPr="00D41FE6">
        <w:rPr>
          <w:rFonts w:ascii="Times New Roman" w:hAnsi="Times New Roman"/>
          <w:color w:val="000000"/>
          <w:sz w:val="28"/>
          <w:szCs w:val="28"/>
        </w:rPr>
        <w:t xml:space="preserve"> uzstādīto elektrisko jaudu atbilstoši tiem pašiem nosacījumiem par darbības režīmu, termiņiem un jaudas komponentes aprēķinu, kādi uz koģenerācijas staciju attiecās līdz 2013.gada 31.decembrim.</w:t>
      </w:r>
    </w:p>
    <w:p w:rsidR="00561D49" w:rsidRPr="00AD4AFC" w:rsidRDefault="00561D49" w:rsidP="00EF7CE4">
      <w:pPr>
        <w:jc w:val="both"/>
        <w:rPr>
          <w:rFonts w:cs="Times New Roman"/>
          <w:sz w:val="28"/>
          <w:szCs w:val="28"/>
        </w:rPr>
      </w:pPr>
    </w:p>
    <w:p w:rsidR="007A562C" w:rsidRPr="005B42CF" w:rsidRDefault="00187562" w:rsidP="005B42CF">
      <w:pPr>
        <w:pStyle w:val="ListParagraph"/>
        <w:numPr>
          <w:ilvl w:val="1"/>
          <w:numId w:val="14"/>
        </w:numPr>
        <w:jc w:val="both"/>
        <w:rPr>
          <w:rFonts w:cs="Times New Roman"/>
          <w:b/>
          <w:i/>
          <w:sz w:val="28"/>
          <w:szCs w:val="28"/>
        </w:rPr>
      </w:pPr>
      <w:r w:rsidRPr="005B42CF">
        <w:rPr>
          <w:rFonts w:cs="Times New Roman"/>
          <w:b/>
          <w:i/>
          <w:sz w:val="28"/>
          <w:szCs w:val="28"/>
        </w:rPr>
        <w:lastRenderedPageBreak/>
        <w:t>Subsidētās elektroenerģijas nodoklis</w:t>
      </w:r>
    </w:p>
    <w:p w:rsidR="007A562C" w:rsidRPr="00AD4AFC" w:rsidRDefault="007A562C" w:rsidP="008A312B">
      <w:pPr>
        <w:ind w:firstLine="709"/>
        <w:jc w:val="both"/>
        <w:rPr>
          <w:rFonts w:cs="Times New Roman"/>
          <w:sz w:val="28"/>
          <w:szCs w:val="28"/>
        </w:rPr>
      </w:pPr>
      <w:r w:rsidRPr="00AD4AFC">
        <w:rPr>
          <w:rFonts w:cs="Times New Roman"/>
          <w:sz w:val="28"/>
          <w:szCs w:val="28"/>
        </w:rPr>
        <w:t xml:space="preserve">Lai saglabātu atbalstu elektroenerģijas ražošanai, izmantojot AER vai augstas efektivitātes koģenerācijas iekārtas, tajā pat laikā nepieļaujot būtisku OIK palielinājumu un atstātu to 2013.gada līmenī (2,69 centi/kWh), ir ievests </w:t>
      </w:r>
      <w:r w:rsidR="00187562" w:rsidRPr="00AD4AFC">
        <w:rPr>
          <w:rFonts w:cs="Times New Roman"/>
          <w:sz w:val="28"/>
          <w:szCs w:val="28"/>
        </w:rPr>
        <w:t xml:space="preserve">subsidētās elektroenerģijas nodoklis (turpmāk – </w:t>
      </w:r>
      <w:r w:rsidRPr="00AD4AFC">
        <w:rPr>
          <w:rFonts w:cs="Times New Roman"/>
          <w:sz w:val="28"/>
          <w:szCs w:val="28"/>
        </w:rPr>
        <w:t>SEN</w:t>
      </w:r>
      <w:r w:rsidR="00187562" w:rsidRPr="00AD4AFC">
        <w:rPr>
          <w:rFonts w:cs="Times New Roman"/>
          <w:sz w:val="28"/>
          <w:szCs w:val="28"/>
        </w:rPr>
        <w:t>)</w:t>
      </w:r>
      <w:r w:rsidRPr="00AD4AFC">
        <w:rPr>
          <w:rFonts w:cs="Times New Roman"/>
          <w:sz w:val="28"/>
          <w:szCs w:val="28"/>
        </w:rPr>
        <w:t>. Subsidētās elektroenerģijas nodokļa likums, kas Latvijas Republikas Saeimā pieņemts 2013.gada 6.novembrī un ir stājies spēkā 2014.gada 1.janvārī, nosaka SEN objektu, SEN maksātājus, SEN likmi, subsidētās elektroenerģijas ražotāju reģistra</w:t>
      </w:r>
      <w:r w:rsidRPr="00AD4AFC">
        <w:rPr>
          <w:rStyle w:val="FootnoteReference"/>
          <w:rFonts w:cs="Times New Roman"/>
          <w:sz w:val="28"/>
          <w:szCs w:val="28"/>
        </w:rPr>
        <w:footnoteReference w:id="4"/>
      </w:r>
      <w:r w:rsidRPr="00AD4AFC">
        <w:rPr>
          <w:rFonts w:cs="Times New Roman"/>
          <w:sz w:val="28"/>
          <w:szCs w:val="28"/>
        </w:rPr>
        <w:t xml:space="preserve"> izveidošanas un uzturēšanas kārtību, SEN aprēķināšanas, maksāšanas un administrēšanas kārtību, kā arī atbildību par šā likuma pārkāpumiem.</w:t>
      </w:r>
    </w:p>
    <w:p w:rsidR="007A562C" w:rsidRPr="00AD4AFC" w:rsidRDefault="007A562C" w:rsidP="00187562">
      <w:pPr>
        <w:ind w:firstLine="644"/>
        <w:jc w:val="both"/>
        <w:rPr>
          <w:rFonts w:cs="Times New Roman"/>
          <w:sz w:val="28"/>
          <w:szCs w:val="28"/>
        </w:rPr>
      </w:pPr>
      <w:r w:rsidRPr="00AD4AFC">
        <w:rPr>
          <w:rFonts w:cs="Times New Roman"/>
          <w:sz w:val="28"/>
          <w:szCs w:val="28"/>
        </w:rPr>
        <w:t xml:space="preserve">Subsidētās elektroenerģijas nodokļa likums </w:t>
      </w:r>
      <w:r w:rsidR="00CD3596">
        <w:rPr>
          <w:rFonts w:cs="Times New Roman"/>
          <w:sz w:val="28"/>
          <w:szCs w:val="28"/>
        </w:rPr>
        <w:t>nosaka, ka</w:t>
      </w:r>
      <w:r w:rsidR="00CD3596" w:rsidRPr="00AD4AFC">
        <w:rPr>
          <w:rFonts w:cs="Times New Roman"/>
          <w:sz w:val="28"/>
          <w:szCs w:val="28"/>
        </w:rPr>
        <w:t xml:space="preserve"> </w:t>
      </w:r>
      <w:r w:rsidRPr="00AD4AFC">
        <w:rPr>
          <w:rFonts w:cs="Times New Roman"/>
          <w:sz w:val="28"/>
          <w:szCs w:val="28"/>
        </w:rPr>
        <w:t xml:space="preserve">SEN </w:t>
      </w:r>
      <w:r w:rsidR="00CD3596">
        <w:rPr>
          <w:rFonts w:cs="Times New Roman"/>
          <w:sz w:val="28"/>
          <w:szCs w:val="28"/>
        </w:rPr>
        <w:t xml:space="preserve">tiek </w:t>
      </w:r>
      <w:r w:rsidRPr="00AD4AFC">
        <w:rPr>
          <w:rFonts w:cs="Times New Roman"/>
          <w:sz w:val="28"/>
          <w:szCs w:val="28"/>
        </w:rPr>
        <w:t>piemērot</w:t>
      </w:r>
      <w:r w:rsidR="00CD3596">
        <w:rPr>
          <w:rFonts w:cs="Times New Roman"/>
          <w:sz w:val="28"/>
          <w:szCs w:val="28"/>
        </w:rPr>
        <w:t>s</w:t>
      </w:r>
      <w:r w:rsidRPr="00AD4AFC">
        <w:rPr>
          <w:rFonts w:cs="Times New Roman"/>
          <w:sz w:val="28"/>
          <w:szCs w:val="28"/>
        </w:rPr>
        <w:t xml:space="preserve"> no 2014.gada 1.</w:t>
      </w:r>
      <w:r w:rsidR="00D41FE6" w:rsidRPr="00AD4AFC" w:rsidDel="00D41FE6">
        <w:rPr>
          <w:rFonts w:cs="Times New Roman"/>
          <w:sz w:val="28"/>
          <w:szCs w:val="28"/>
        </w:rPr>
        <w:t xml:space="preserve"> </w:t>
      </w:r>
      <w:r w:rsidRPr="00AD4AFC">
        <w:rPr>
          <w:rFonts w:cs="Times New Roman"/>
          <w:sz w:val="28"/>
          <w:szCs w:val="28"/>
        </w:rPr>
        <w:t xml:space="preserve">janvāra līdz 2017.gada 31.decembrim. </w:t>
      </w:r>
      <w:r w:rsidR="00FF31F8" w:rsidRPr="00AD4AFC">
        <w:rPr>
          <w:rFonts w:cs="Times New Roman"/>
          <w:sz w:val="28"/>
          <w:szCs w:val="28"/>
        </w:rPr>
        <w:t xml:space="preserve">SEN </w:t>
      </w:r>
      <w:r w:rsidRPr="00AD4AFC">
        <w:rPr>
          <w:rFonts w:cs="Times New Roman"/>
          <w:sz w:val="28"/>
          <w:szCs w:val="28"/>
        </w:rPr>
        <w:t>ir noteiktas trīs dažādas likmes:</w:t>
      </w:r>
    </w:p>
    <w:p w:rsidR="007A562C" w:rsidRPr="00AD4AFC" w:rsidRDefault="007A562C" w:rsidP="00187562">
      <w:pPr>
        <w:numPr>
          <w:ilvl w:val="1"/>
          <w:numId w:val="1"/>
        </w:numPr>
        <w:jc w:val="both"/>
        <w:rPr>
          <w:rFonts w:cs="Times New Roman"/>
          <w:sz w:val="28"/>
          <w:szCs w:val="28"/>
        </w:rPr>
      </w:pPr>
      <w:r w:rsidRPr="00AD4AFC">
        <w:rPr>
          <w:rFonts w:cs="Times New Roman"/>
          <w:sz w:val="28"/>
          <w:szCs w:val="28"/>
        </w:rPr>
        <w:t>15% dabasgāzes koģenerācijas stacijām;</w:t>
      </w:r>
    </w:p>
    <w:p w:rsidR="007A562C" w:rsidRPr="00AD4AFC" w:rsidRDefault="007A562C" w:rsidP="00187562">
      <w:pPr>
        <w:numPr>
          <w:ilvl w:val="1"/>
          <w:numId w:val="1"/>
        </w:numPr>
        <w:jc w:val="both"/>
        <w:rPr>
          <w:rFonts w:cs="Times New Roman"/>
          <w:sz w:val="28"/>
          <w:szCs w:val="28"/>
        </w:rPr>
      </w:pPr>
      <w:r w:rsidRPr="00AD4AFC">
        <w:rPr>
          <w:rFonts w:cs="Times New Roman"/>
          <w:sz w:val="28"/>
          <w:szCs w:val="28"/>
        </w:rPr>
        <w:t>10% AER izmantojošām stacijām;</w:t>
      </w:r>
    </w:p>
    <w:p w:rsidR="007A562C" w:rsidRPr="00AD4AFC" w:rsidRDefault="007A562C" w:rsidP="00187562">
      <w:pPr>
        <w:pStyle w:val="ListParagraph"/>
        <w:numPr>
          <w:ilvl w:val="1"/>
          <w:numId w:val="1"/>
        </w:numPr>
        <w:jc w:val="both"/>
        <w:rPr>
          <w:rFonts w:cs="Times New Roman"/>
          <w:sz w:val="28"/>
          <w:szCs w:val="28"/>
        </w:rPr>
      </w:pPr>
      <w:r w:rsidRPr="00AD4AFC">
        <w:rPr>
          <w:rFonts w:cs="Times New Roman"/>
          <w:sz w:val="28"/>
          <w:szCs w:val="28"/>
        </w:rPr>
        <w:t>5% stacijām, kas atbilst zemāk minētajiem nosacījumiem:</w:t>
      </w:r>
    </w:p>
    <w:p w:rsidR="007A562C" w:rsidRPr="00AD4AFC" w:rsidRDefault="007A562C" w:rsidP="00187562">
      <w:pPr>
        <w:pStyle w:val="ListParagraph"/>
        <w:numPr>
          <w:ilvl w:val="0"/>
          <w:numId w:val="2"/>
        </w:numPr>
        <w:jc w:val="both"/>
        <w:rPr>
          <w:rFonts w:cs="Times New Roman"/>
          <w:sz w:val="28"/>
          <w:szCs w:val="28"/>
        </w:rPr>
      </w:pPr>
      <w:r w:rsidRPr="00AD4AFC">
        <w:rPr>
          <w:rFonts w:cs="Times New Roman"/>
          <w:sz w:val="28"/>
          <w:szCs w:val="28"/>
        </w:rPr>
        <w:t>augstas efektivitātes dabas gāzes koģenerācijas stacijas ar elektrisko jaudu līdz 4 MW vai arī stacijas, kas izmanto AER bez jaudas ierobežojuma, kuras nodrošina ar siltumenerģiju centralizētās siltumapgādes sistēmas;</w:t>
      </w:r>
    </w:p>
    <w:p w:rsidR="007A562C" w:rsidRPr="00AD4AFC" w:rsidRDefault="007A562C" w:rsidP="00187562">
      <w:pPr>
        <w:pStyle w:val="ListParagraph"/>
        <w:numPr>
          <w:ilvl w:val="0"/>
          <w:numId w:val="2"/>
        </w:numPr>
        <w:jc w:val="both"/>
        <w:rPr>
          <w:rFonts w:cs="Times New Roman"/>
          <w:sz w:val="28"/>
          <w:szCs w:val="28"/>
        </w:rPr>
      </w:pPr>
      <w:r w:rsidRPr="00AD4AFC">
        <w:rPr>
          <w:rFonts w:cs="Times New Roman"/>
          <w:sz w:val="28"/>
          <w:szCs w:val="28"/>
        </w:rPr>
        <w:t>augstas efektivitātes koģenerācijas stacijas ar elektrisko jaudu līdz 4 MW, kas vismaz 30% elektroenerģijas ražošanas nodrošina ar dzīvnieku izcelsmes blakusproduktiem vai to atvasinājumiem un, kas vismaz 70% no izejvielām nodrošina pats vai iegādājas no ražotāja, kam pieder vairāk nekā 50% no nodokļa maksātāja pamatkapitāla, turklāt saražotā siltumenerģija tiek izmantota savas produkcijas ražošanā;</w:t>
      </w:r>
    </w:p>
    <w:p w:rsidR="007A562C" w:rsidRPr="00AD4AFC" w:rsidRDefault="007A562C" w:rsidP="00187562">
      <w:pPr>
        <w:pStyle w:val="ListParagraph"/>
        <w:numPr>
          <w:ilvl w:val="0"/>
          <w:numId w:val="2"/>
        </w:numPr>
        <w:jc w:val="both"/>
        <w:rPr>
          <w:rFonts w:cs="Times New Roman"/>
          <w:sz w:val="28"/>
          <w:szCs w:val="28"/>
        </w:rPr>
      </w:pPr>
      <w:r w:rsidRPr="00AD4AFC">
        <w:rPr>
          <w:rFonts w:cs="Times New Roman"/>
          <w:sz w:val="28"/>
          <w:szCs w:val="28"/>
        </w:rPr>
        <w:t>augstas efektivitātes koksnes biomasas koģenerācijas stacijas ar elektrisko jaudu līdz 4 MW un vismaz 70% no koģenerācijas procesā iegūtās siltumenerģijas izmanto savas produkcijas ražošanā;</w:t>
      </w:r>
    </w:p>
    <w:p w:rsidR="007A562C" w:rsidRPr="00AD4AFC" w:rsidRDefault="007A562C" w:rsidP="00187562">
      <w:pPr>
        <w:pStyle w:val="ListParagraph"/>
        <w:numPr>
          <w:ilvl w:val="0"/>
          <w:numId w:val="2"/>
        </w:numPr>
        <w:jc w:val="both"/>
        <w:rPr>
          <w:rFonts w:cs="Times New Roman"/>
          <w:sz w:val="28"/>
          <w:szCs w:val="28"/>
        </w:rPr>
      </w:pPr>
      <w:r w:rsidRPr="00AD4AFC">
        <w:rPr>
          <w:rFonts w:cs="Times New Roman"/>
          <w:sz w:val="28"/>
          <w:szCs w:val="28"/>
        </w:rPr>
        <w:t>augstas efektivitātes dabas gāzes koģenerācijas stacijas ar elektrisko jaudu līdz 4 MW vai bez uzstādītās elektriskās jaudas ierobežojuma AER koģenerācijas stacijās, kas vismaz 70% no saražotās siltumenerģijas izmanto augu veģetācijas procesa nodrošināšanai segtajās platībās, kuru kopējā platība ir ne mazāka kā 5000 m</w:t>
      </w:r>
      <w:r w:rsidRPr="00AD4AFC">
        <w:rPr>
          <w:rFonts w:cs="Times New Roman"/>
          <w:sz w:val="28"/>
          <w:szCs w:val="28"/>
          <w:vertAlign w:val="superscript"/>
        </w:rPr>
        <w:t>2</w:t>
      </w:r>
      <w:r w:rsidRPr="00AD4AFC">
        <w:rPr>
          <w:rFonts w:cs="Times New Roman"/>
          <w:sz w:val="28"/>
          <w:szCs w:val="28"/>
        </w:rPr>
        <w:t xml:space="preserve">. </w:t>
      </w:r>
    </w:p>
    <w:p w:rsidR="007A562C" w:rsidRPr="00AD4AFC" w:rsidRDefault="007A562C" w:rsidP="00187562">
      <w:pPr>
        <w:pStyle w:val="ListParagraph"/>
        <w:ind w:left="0" w:firstLine="708"/>
        <w:jc w:val="both"/>
        <w:rPr>
          <w:rFonts w:cs="Times New Roman"/>
          <w:sz w:val="28"/>
          <w:szCs w:val="28"/>
        </w:rPr>
      </w:pPr>
      <w:r w:rsidRPr="00AD4AFC">
        <w:rPr>
          <w:rFonts w:cs="Times New Roman"/>
          <w:sz w:val="28"/>
          <w:szCs w:val="28"/>
        </w:rPr>
        <w:t xml:space="preserve">SEN ir noteikta pamata likme 15% apjomā un samazinātā SEN likmi 10% un 5% apjomā noteiktam subjektu lokam, lai nodrošinātu aspektu, ka tiek nodrošināts samērīgums un nodokļa slogs nav nesamērīgs. </w:t>
      </w:r>
    </w:p>
    <w:p w:rsidR="007A562C" w:rsidRPr="00AD4AFC" w:rsidRDefault="007A562C" w:rsidP="00187562">
      <w:pPr>
        <w:pStyle w:val="ListParagraph"/>
        <w:ind w:left="0" w:firstLine="708"/>
        <w:jc w:val="both"/>
        <w:rPr>
          <w:rFonts w:cs="Times New Roman"/>
          <w:sz w:val="28"/>
          <w:szCs w:val="28"/>
        </w:rPr>
      </w:pPr>
      <w:r w:rsidRPr="00AD4AFC">
        <w:rPr>
          <w:rFonts w:cs="Times New Roman"/>
          <w:sz w:val="28"/>
          <w:szCs w:val="28"/>
        </w:rPr>
        <w:t xml:space="preserve">Proti, SEN likme tiek noteikta, ņemot vērā stacijā izmantotā energoresursa veidu. Enerģijas ražotāju, kas elektroenerģijas ražošanai izmanto fosilos </w:t>
      </w:r>
      <w:r w:rsidRPr="00AD4AFC">
        <w:rPr>
          <w:rFonts w:cs="Times New Roman"/>
          <w:sz w:val="28"/>
          <w:szCs w:val="28"/>
        </w:rPr>
        <w:lastRenderedPageBreak/>
        <w:t xml:space="preserve">energoresursus un rada nelabvēlīgu ietekmi uz vidi, saņemtais atbalsts tiek aplikts ar SEN 15% apmērā, savukārt, to enerģijas ražotāju, kas elektroenerģijas ražošanai izmanto AER, tiek aplikts ar SEN 10% apmērā, tādejādi veicinot </w:t>
      </w:r>
      <w:r w:rsidR="00CD3596">
        <w:rPr>
          <w:rFonts w:cs="Times New Roman"/>
          <w:sz w:val="28"/>
          <w:szCs w:val="28"/>
        </w:rPr>
        <w:t>AER</w:t>
      </w:r>
      <w:r w:rsidRPr="00AD4AFC">
        <w:rPr>
          <w:rFonts w:cs="Times New Roman"/>
          <w:sz w:val="28"/>
          <w:szCs w:val="28"/>
        </w:rPr>
        <w:t xml:space="preserve"> izmantošanu. </w:t>
      </w:r>
    </w:p>
    <w:p w:rsidR="007A562C" w:rsidRPr="00AD4AFC" w:rsidRDefault="007A562C" w:rsidP="00187562">
      <w:pPr>
        <w:pStyle w:val="ListParagraph"/>
        <w:ind w:left="0" w:firstLine="708"/>
        <w:jc w:val="both"/>
        <w:rPr>
          <w:rFonts w:cs="Times New Roman"/>
          <w:sz w:val="28"/>
          <w:szCs w:val="28"/>
        </w:rPr>
      </w:pPr>
      <w:r w:rsidRPr="00AD4AFC">
        <w:rPr>
          <w:rFonts w:cs="Times New Roman"/>
          <w:sz w:val="28"/>
          <w:szCs w:val="28"/>
        </w:rPr>
        <w:t xml:space="preserve">Savukārt, lai neradītu būtisku ietekmi uz centralizētas siltumapgādes sistēmā piegādātās siltumenerģijas gala tarifa pieaugumu, augstas efektivitātes koģenerācijas stacijām, kuras pieder komersantiem, kas pārdod </w:t>
      </w:r>
      <w:r w:rsidR="00D41FE6">
        <w:rPr>
          <w:rFonts w:cs="Times New Roman"/>
          <w:sz w:val="28"/>
          <w:szCs w:val="28"/>
        </w:rPr>
        <w:t xml:space="preserve">Sabiedrisko pakalpojumu regulēšanas komisijā (turpmāk – </w:t>
      </w:r>
      <w:r w:rsidRPr="00AD4AFC">
        <w:rPr>
          <w:rFonts w:cs="Times New Roman"/>
          <w:sz w:val="28"/>
          <w:szCs w:val="28"/>
        </w:rPr>
        <w:t>SPRK</w:t>
      </w:r>
      <w:r w:rsidR="00D41FE6">
        <w:rPr>
          <w:rFonts w:cs="Times New Roman"/>
          <w:sz w:val="28"/>
          <w:szCs w:val="28"/>
        </w:rPr>
        <w:t>)</w:t>
      </w:r>
      <w:r w:rsidRPr="00AD4AFC">
        <w:rPr>
          <w:rFonts w:cs="Times New Roman"/>
          <w:sz w:val="28"/>
          <w:szCs w:val="28"/>
        </w:rPr>
        <w:t xml:space="preserve"> licencētam siltumapgādes pārvades vai sadales komersantam, vai pārdod kā SPRK licencēts siltumapgādes pārvades vai sadales komersants, tiek piemērota SEN likme 5% apmērā. </w:t>
      </w:r>
    </w:p>
    <w:p w:rsidR="007A562C" w:rsidRPr="00AD4AFC" w:rsidRDefault="007A562C" w:rsidP="00187562">
      <w:pPr>
        <w:pStyle w:val="ListParagraph"/>
        <w:ind w:left="0" w:firstLine="708"/>
        <w:jc w:val="both"/>
        <w:rPr>
          <w:rFonts w:cs="Times New Roman"/>
          <w:sz w:val="28"/>
          <w:szCs w:val="28"/>
        </w:rPr>
      </w:pPr>
      <w:r w:rsidRPr="00AD4AFC">
        <w:rPr>
          <w:rFonts w:cs="Times New Roman"/>
          <w:sz w:val="28"/>
          <w:szCs w:val="28"/>
        </w:rPr>
        <w:t xml:space="preserve">Tāpat samazinātā SEN 5% likme tiek piemērota vietējo uzņēmēju atbalstam, proti, lauksaimniecības un ražošanas uzņēmumiem, kas saražoto siltumenerģiju izmanto savas produkcijas ražošanā un ražošanas procesā ir izmantoti dzīvnieku izcelsmes blakusprodukti vai atvasināti produkti, uzņēmumiem, kas elektroenerģiju saražoto no koksnes biomasas, kā arī uzņēmējiem, kas ne mazāk kā 70 procentus no koģenerācijas procesā iegūtās siltumenerģijas, kas paliek pāri pēc enerģiju ražojošo vai pārveidojošo galveno iekārtu enerģijas patēriņa, izmanto augu veģetācijas procesa nodrošināšanai segtajās platībās, kuru kopējā platība ir ne mazāka par 5000 kvadrātmetriem. </w:t>
      </w:r>
    </w:p>
    <w:p w:rsidR="007A562C" w:rsidRPr="00AD4AFC" w:rsidRDefault="007A562C" w:rsidP="00187562">
      <w:pPr>
        <w:pStyle w:val="ListParagraph"/>
        <w:ind w:left="0" w:firstLine="708"/>
        <w:jc w:val="both"/>
        <w:rPr>
          <w:rFonts w:cs="Times New Roman"/>
          <w:sz w:val="28"/>
          <w:szCs w:val="28"/>
        </w:rPr>
      </w:pPr>
      <w:r w:rsidRPr="00AD4AFC">
        <w:rPr>
          <w:rFonts w:cs="Times New Roman"/>
          <w:sz w:val="28"/>
          <w:szCs w:val="28"/>
        </w:rPr>
        <w:t>Līdzšinējā atbalsta mehānisma administrēšanu (</w:t>
      </w:r>
      <w:proofErr w:type="spellStart"/>
      <w:r w:rsidRPr="00AD4AFC">
        <w:rPr>
          <w:rFonts w:cs="Times New Roman"/>
          <w:sz w:val="28"/>
          <w:szCs w:val="28"/>
        </w:rPr>
        <w:t>t.sk</w:t>
      </w:r>
      <w:proofErr w:type="spellEnd"/>
      <w:r w:rsidRPr="00AD4AFC">
        <w:rPr>
          <w:rFonts w:cs="Times New Roman"/>
          <w:sz w:val="28"/>
          <w:szCs w:val="28"/>
        </w:rPr>
        <w:t>.</w:t>
      </w:r>
      <w:r w:rsidR="005513E6">
        <w:rPr>
          <w:rFonts w:cs="Times New Roman"/>
          <w:sz w:val="28"/>
          <w:szCs w:val="28"/>
        </w:rPr>
        <w:t>,</w:t>
      </w:r>
      <w:r w:rsidRPr="00AD4AFC">
        <w:rPr>
          <w:rFonts w:cs="Times New Roman"/>
          <w:sz w:val="28"/>
          <w:szCs w:val="28"/>
        </w:rPr>
        <w:t xml:space="preserve"> līdzšinējā atbalsta mehānismu izsniegšanu, ieturot SEN atkarībā no stacijas veida) veic jauns esošā publiskā tirgotāja akciju sabiedrības „Latvenergo” meitas uzņēmums (akciju sabiedrība „Enerģijas publiskais tirgotājs” jeb turpmāk tekstā - EPT), nodrošinot, ka elektroenerģijas atbalstam paredzētie finanšu līdzekļi netiek izmantoti citiem EPT darbības virzieniem. EPT līdzekļus, kas radušies, ieturot SEN,  ieskaita valsts budžetā. </w:t>
      </w:r>
    </w:p>
    <w:p w:rsidR="007A562C" w:rsidRPr="00AD4AFC" w:rsidRDefault="007A562C" w:rsidP="00187562">
      <w:pPr>
        <w:ind w:firstLine="708"/>
        <w:jc w:val="both"/>
        <w:rPr>
          <w:rFonts w:cs="Times New Roman"/>
          <w:sz w:val="28"/>
          <w:szCs w:val="28"/>
        </w:rPr>
      </w:pPr>
      <w:r w:rsidRPr="00AD4AFC">
        <w:rPr>
          <w:rFonts w:cs="Times New Roman"/>
          <w:sz w:val="28"/>
          <w:szCs w:val="28"/>
        </w:rPr>
        <w:t xml:space="preserve">SEN ieviešana bija nepieciešama, lai novērstu izmaksu palielināšanos gan elektroenerģijas lietotājiem, gan valsts budžetam, kas var apdraudēt atbalstu videi draudzīgas elektroenerģijas ražošanai esošajā apmērā. Pie tam jāņem vērā, ka elektroenerģijas ražošanai no AER izmantoto tehnoloģiju izmaksas ar laiku samazinās, palielinoties to izplatībai, savukārt izmaksājamais atbalsta apjoms līdzšinējā atbalsta mehānismā palielinās, jo tā lielums ir piesaistīts dabasgāzes tirdzniecības tarifam. </w:t>
      </w:r>
    </w:p>
    <w:p w:rsidR="007A562C" w:rsidRPr="000F7510" w:rsidRDefault="007A562C" w:rsidP="00187562">
      <w:pPr>
        <w:ind w:firstLine="720"/>
        <w:jc w:val="both"/>
        <w:rPr>
          <w:rFonts w:cs="Times New Roman"/>
          <w:sz w:val="28"/>
          <w:szCs w:val="28"/>
        </w:rPr>
      </w:pPr>
    </w:p>
    <w:p w:rsidR="007A562C" w:rsidRPr="00AD4AFC" w:rsidRDefault="007A562C" w:rsidP="00187562">
      <w:pPr>
        <w:ind w:firstLine="720"/>
        <w:jc w:val="both"/>
        <w:rPr>
          <w:rFonts w:cs="Times New Roman"/>
          <w:color w:val="000000"/>
          <w:sz w:val="28"/>
          <w:szCs w:val="28"/>
        </w:rPr>
      </w:pPr>
      <w:r w:rsidRPr="00AD4AFC">
        <w:rPr>
          <w:rFonts w:cs="Times New Roman"/>
          <w:color w:val="000000"/>
          <w:sz w:val="28"/>
          <w:szCs w:val="28"/>
        </w:rPr>
        <w:t xml:space="preserve">OIK elektroenerģijas lietotājiem tiek piemērota no katra kalendārā gada 1.aprīļa, līdz nākamā kalendārā gada 31.martam par iepriekšējo kalendāro gadu. </w:t>
      </w:r>
    </w:p>
    <w:p w:rsidR="00187562" w:rsidRPr="00AD4AFC" w:rsidRDefault="00187562" w:rsidP="00187562">
      <w:pPr>
        <w:jc w:val="both"/>
        <w:rPr>
          <w:rFonts w:eastAsia="Times New Roman" w:cs="Times New Roman"/>
          <w:bCs/>
          <w:color w:val="000000"/>
          <w:sz w:val="28"/>
          <w:szCs w:val="28"/>
          <w:lang w:eastAsia="lv-LV"/>
        </w:rPr>
      </w:pPr>
    </w:p>
    <w:p w:rsidR="007A562C" w:rsidRPr="005B42CF" w:rsidRDefault="00277DAC" w:rsidP="005B42CF">
      <w:pPr>
        <w:pStyle w:val="ListParagraph"/>
        <w:numPr>
          <w:ilvl w:val="0"/>
          <w:numId w:val="14"/>
        </w:numPr>
        <w:jc w:val="both"/>
        <w:rPr>
          <w:rFonts w:eastAsia="Times New Roman" w:cs="Times New Roman"/>
          <w:b/>
          <w:bCs/>
          <w:color w:val="000000"/>
          <w:sz w:val="28"/>
          <w:szCs w:val="28"/>
          <w:lang w:eastAsia="lv-LV"/>
        </w:rPr>
      </w:pPr>
      <w:r w:rsidRPr="005B42CF">
        <w:rPr>
          <w:rFonts w:eastAsia="Times New Roman" w:cs="Times New Roman"/>
          <w:b/>
          <w:bCs/>
          <w:i/>
          <w:color w:val="000000"/>
          <w:sz w:val="28"/>
          <w:szCs w:val="28"/>
          <w:lang w:eastAsia="lv-LV"/>
        </w:rPr>
        <w:t>OIK</w:t>
      </w:r>
      <w:r w:rsidR="00CE3533" w:rsidRPr="005B42CF">
        <w:rPr>
          <w:rFonts w:eastAsia="Times New Roman" w:cs="Times New Roman"/>
          <w:b/>
          <w:bCs/>
          <w:i/>
          <w:color w:val="000000"/>
          <w:sz w:val="28"/>
          <w:szCs w:val="28"/>
          <w:lang w:eastAsia="lv-LV"/>
        </w:rPr>
        <w:t xml:space="preserve"> vērtības</w:t>
      </w:r>
      <w:r w:rsidR="00187562" w:rsidRPr="005B42CF">
        <w:rPr>
          <w:rFonts w:eastAsia="Times New Roman" w:cs="Times New Roman"/>
          <w:b/>
          <w:bCs/>
          <w:i/>
          <w:color w:val="000000"/>
          <w:sz w:val="28"/>
          <w:szCs w:val="28"/>
          <w:lang w:eastAsia="lv-LV"/>
        </w:rPr>
        <w:t xml:space="preserve"> prognoze</w:t>
      </w:r>
    </w:p>
    <w:p w:rsidR="00F63B34" w:rsidRPr="00AD4AFC" w:rsidRDefault="00F63B34" w:rsidP="00EC0183">
      <w:pPr>
        <w:jc w:val="both"/>
        <w:rPr>
          <w:rFonts w:eastAsia="Times New Roman" w:cs="Times New Roman"/>
          <w:b/>
          <w:bCs/>
          <w:color w:val="000000"/>
          <w:sz w:val="28"/>
          <w:szCs w:val="28"/>
          <w:lang w:eastAsia="lv-LV"/>
        </w:rPr>
      </w:pPr>
    </w:p>
    <w:p w:rsidR="00EC0183" w:rsidRPr="00AD4AFC" w:rsidRDefault="00EC0183" w:rsidP="00187562">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OIK vērtības ierobežošanas nepieciešamība lielā mērā izriet no fakta, ka tās pieaugums</w:t>
      </w:r>
      <w:r w:rsidR="00277DAC">
        <w:rPr>
          <w:rFonts w:eastAsia="Times New Roman" w:cs="Times New Roman"/>
          <w:bCs/>
          <w:color w:val="000000"/>
          <w:sz w:val="28"/>
          <w:szCs w:val="28"/>
          <w:lang w:eastAsia="lv-LV"/>
        </w:rPr>
        <w:t xml:space="preserve"> (skatīt 3.attēlu)</w:t>
      </w:r>
      <w:r w:rsidRPr="00AD4AFC">
        <w:rPr>
          <w:rFonts w:eastAsia="Times New Roman" w:cs="Times New Roman"/>
          <w:bCs/>
          <w:color w:val="000000"/>
          <w:sz w:val="28"/>
          <w:szCs w:val="28"/>
          <w:lang w:eastAsia="lv-LV"/>
        </w:rPr>
        <w:t xml:space="preserve"> ir bijis straujš un neproporcionāls tautsaimniecības </w:t>
      </w:r>
      <w:r w:rsidR="00692216">
        <w:rPr>
          <w:rFonts w:eastAsia="Times New Roman" w:cs="Times New Roman"/>
          <w:bCs/>
          <w:color w:val="000000"/>
          <w:sz w:val="28"/>
          <w:szCs w:val="28"/>
          <w:lang w:eastAsia="lv-LV"/>
        </w:rPr>
        <w:t>attīstības tendencēm</w:t>
      </w:r>
      <w:r w:rsidRPr="00AD4AFC">
        <w:rPr>
          <w:rFonts w:eastAsia="Times New Roman" w:cs="Times New Roman"/>
          <w:bCs/>
          <w:color w:val="000000"/>
          <w:sz w:val="28"/>
          <w:szCs w:val="28"/>
          <w:lang w:eastAsia="lv-LV"/>
        </w:rPr>
        <w:t xml:space="preserve">.  </w:t>
      </w:r>
    </w:p>
    <w:p w:rsidR="00EC0183" w:rsidRPr="00AD4AFC" w:rsidRDefault="00EC0183" w:rsidP="00187562">
      <w:pPr>
        <w:ind w:firstLine="720"/>
        <w:jc w:val="both"/>
        <w:rPr>
          <w:rFonts w:eastAsia="Times New Roman" w:cs="Times New Roman"/>
          <w:bCs/>
          <w:color w:val="000000"/>
          <w:sz w:val="28"/>
          <w:szCs w:val="28"/>
          <w:lang w:eastAsia="lv-LV"/>
        </w:rPr>
      </w:pPr>
    </w:p>
    <w:p w:rsidR="00EC0183" w:rsidRPr="00AD4AFC" w:rsidRDefault="00EC0183" w:rsidP="00EC0183">
      <w:pPr>
        <w:jc w:val="both"/>
        <w:rPr>
          <w:rFonts w:eastAsia="Times New Roman" w:cs="Times New Roman"/>
          <w:bCs/>
          <w:color w:val="000000"/>
          <w:sz w:val="28"/>
          <w:szCs w:val="28"/>
          <w:lang w:eastAsia="lv-LV"/>
        </w:rPr>
      </w:pPr>
      <w:r w:rsidRPr="00AD4AFC">
        <w:rPr>
          <w:rFonts w:eastAsia="Times New Roman" w:cs="Times New Roman"/>
          <w:bCs/>
          <w:noProof/>
          <w:color w:val="000000"/>
          <w:sz w:val="28"/>
          <w:szCs w:val="28"/>
          <w:lang w:eastAsia="lv-LV"/>
        </w:rPr>
        <w:lastRenderedPageBreak/>
        <w:drawing>
          <wp:inline distT="0" distB="0" distL="0" distR="0" wp14:anchorId="6889FC6E" wp14:editId="10A5EF5D">
            <wp:extent cx="5486400" cy="2639060"/>
            <wp:effectExtent l="0" t="0" r="0" b="8890"/>
            <wp:docPr id="8196" name="Picture 4" descr="C:\Users\TimofejevaA\AppData\Local\Microsoft\Windows\Temporary Internet Files\Content.Outlook\MX76ITQD\SPRK_O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C:\Users\TimofejevaA\AppData\Local\Microsoft\Windows\Temporary Internet Files\Content.Outlook\MX76ITQD\SPRK_OI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639060"/>
                    </a:xfrm>
                    <a:prstGeom prst="rect">
                      <a:avLst/>
                    </a:prstGeom>
                    <a:noFill/>
                    <a:ln>
                      <a:noFill/>
                    </a:ln>
                    <a:extLst/>
                  </pic:spPr>
                </pic:pic>
              </a:graphicData>
            </a:graphic>
          </wp:inline>
        </w:drawing>
      </w:r>
    </w:p>
    <w:p w:rsidR="00277DAC" w:rsidRPr="001073BE" w:rsidRDefault="00277DAC" w:rsidP="001073BE">
      <w:pPr>
        <w:jc w:val="both"/>
        <w:rPr>
          <w:rFonts w:eastAsia="Times New Roman" w:cs="Times New Roman"/>
          <w:bCs/>
          <w:i/>
          <w:color w:val="000000"/>
          <w:sz w:val="20"/>
          <w:szCs w:val="20"/>
          <w:lang w:eastAsia="lv-LV"/>
        </w:rPr>
      </w:pPr>
      <w:r w:rsidRPr="001073BE">
        <w:rPr>
          <w:rFonts w:eastAsia="Times New Roman" w:cs="Times New Roman"/>
          <w:bCs/>
          <w:i/>
          <w:color w:val="000000"/>
          <w:sz w:val="20"/>
          <w:szCs w:val="20"/>
          <w:lang w:eastAsia="lv-LV"/>
        </w:rPr>
        <w:t xml:space="preserve">3.attēls. </w:t>
      </w:r>
      <w:r w:rsidRPr="001073BE">
        <w:rPr>
          <w:rFonts w:eastAsia="Times New Roman" w:cs="Times New Roman"/>
          <w:b/>
          <w:bCs/>
          <w:color w:val="000000"/>
          <w:sz w:val="20"/>
          <w:szCs w:val="20"/>
          <w:lang w:eastAsia="lv-LV"/>
        </w:rPr>
        <w:t>Apstiprinātā OIK no 2008.gada 1.oktobra</w:t>
      </w:r>
      <w:r w:rsidRPr="001073BE">
        <w:rPr>
          <w:rFonts w:eastAsia="Times New Roman" w:cs="Times New Roman"/>
          <w:bCs/>
          <w:i/>
          <w:color w:val="000000"/>
          <w:sz w:val="20"/>
          <w:szCs w:val="20"/>
          <w:lang w:eastAsia="lv-LV"/>
        </w:rPr>
        <w:t>.</w:t>
      </w:r>
    </w:p>
    <w:p w:rsidR="00277DAC" w:rsidRDefault="00277DAC" w:rsidP="001073BE">
      <w:pPr>
        <w:jc w:val="both"/>
        <w:rPr>
          <w:rFonts w:eastAsia="Times New Roman" w:cs="Times New Roman"/>
          <w:bCs/>
          <w:i/>
          <w:color w:val="000000"/>
          <w:sz w:val="20"/>
          <w:szCs w:val="20"/>
          <w:lang w:eastAsia="lv-LV"/>
        </w:rPr>
      </w:pPr>
      <w:r w:rsidRPr="001073BE">
        <w:rPr>
          <w:rFonts w:eastAsia="Times New Roman" w:cs="Times New Roman"/>
          <w:bCs/>
          <w:i/>
          <w:color w:val="000000"/>
          <w:sz w:val="20"/>
          <w:szCs w:val="20"/>
          <w:lang w:eastAsia="lv-LV"/>
        </w:rPr>
        <w:t>Avots: EM</w:t>
      </w:r>
    </w:p>
    <w:p w:rsidR="00277DAC" w:rsidRPr="001073BE" w:rsidRDefault="00277DAC" w:rsidP="001073BE">
      <w:pPr>
        <w:jc w:val="both"/>
        <w:rPr>
          <w:rFonts w:eastAsia="Times New Roman" w:cs="Times New Roman"/>
          <w:bCs/>
          <w:i/>
          <w:color w:val="000000"/>
          <w:sz w:val="20"/>
          <w:szCs w:val="20"/>
          <w:lang w:eastAsia="lv-LV"/>
        </w:rPr>
      </w:pPr>
    </w:p>
    <w:p w:rsidR="00187562" w:rsidRPr="00AD4AFC" w:rsidRDefault="00187562" w:rsidP="00187562">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Ņemot vērā iepriekšējā nodaļā izskatītos pasākumus, EM prognozē </w:t>
      </w:r>
      <w:r w:rsidR="00EC0183" w:rsidRPr="00AD4AFC">
        <w:rPr>
          <w:rFonts w:eastAsia="Times New Roman" w:cs="Times New Roman"/>
          <w:bCs/>
          <w:color w:val="000000"/>
          <w:sz w:val="28"/>
          <w:szCs w:val="28"/>
          <w:lang w:eastAsia="lv-LV"/>
        </w:rPr>
        <w:t>OIK</w:t>
      </w:r>
      <w:r w:rsidR="00CE3533" w:rsidRPr="00AD4AFC">
        <w:rPr>
          <w:rFonts w:eastAsia="Times New Roman" w:cs="Times New Roman"/>
          <w:bCs/>
          <w:color w:val="000000"/>
          <w:sz w:val="28"/>
          <w:szCs w:val="28"/>
          <w:lang w:eastAsia="lv-LV"/>
        </w:rPr>
        <w:t xml:space="preserve"> nemainīgu lielumu līdz 2017.gadam</w:t>
      </w:r>
      <w:r w:rsidR="00277DAC">
        <w:rPr>
          <w:rFonts w:eastAsia="Times New Roman" w:cs="Times New Roman"/>
          <w:bCs/>
          <w:color w:val="000000"/>
          <w:sz w:val="28"/>
          <w:szCs w:val="28"/>
          <w:lang w:eastAsia="lv-LV"/>
        </w:rPr>
        <w:t xml:space="preserve"> (skatīt 4.attēlu)</w:t>
      </w:r>
      <w:r w:rsidRPr="00AD4AFC">
        <w:rPr>
          <w:rFonts w:eastAsia="Times New Roman" w:cs="Times New Roman"/>
          <w:bCs/>
          <w:color w:val="000000"/>
          <w:sz w:val="28"/>
          <w:szCs w:val="28"/>
          <w:lang w:eastAsia="lv-LV"/>
        </w:rPr>
        <w:t>.</w:t>
      </w:r>
    </w:p>
    <w:p w:rsidR="00187562" w:rsidRPr="00AD4AFC" w:rsidRDefault="00187562" w:rsidP="00187562">
      <w:pPr>
        <w:jc w:val="both"/>
        <w:rPr>
          <w:rFonts w:eastAsia="Times New Roman" w:cs="Times New Roman"/>
          <w:bCs/>
          <w:color w:val="000000"/>
          <w:sz w:val="28"/>
          <w:szCs w:val="28"/>
          <w:lang w:eastAsia="lv-LV"/>
        </w:rPr>
      </w:pPr>
    </w:p>
    <w:p w:rsidR="00187562" w:rsidRPr="00E512D7" w:rsidRDefault="00187562" w:rsidP="00E512D7">
      <w:pPr>
        <w:jc w:val="both"/>
        <w:rPr>
          <w:rFonts w:cs="Times New Roman"/>
          <w:i/>
          <w:sz w:val="28"/>
          <w:szCs w:val="28"/>
        </w:rPr>
      </w:pPr>
    </w:p>
    <w:tbl>
      <w:tblPr>
        <w:tblW w:w="9042" w:type="dxa"/>
        <w:tblCellMar>
          <w:left w:w="0" w:type="dxa"/>
          <w:right w:w="0" w:type="dxa"/>
        </w:tblCellMar>
        <w:tblLook w:val="04A0" w:firstRow="1" w:lastRow="0" w:firstColumn="1" w:lastColumn="0" w:noHBand="0" w:noVBand="1"/>
      </w:tblPr>
      <w:tblGrid>
        <w:gridCol w:w="2205"/>
        <w:gridCol w:w="1669"/>
        <w:gridCol w:w="1476"/>
        <w:gridCol w:w="1846"/>
        <w:gridCol w:w="1846"/>
      </w:tblGrid>
      <w:tr w:rsidR="00187562" w:rsidRPr="00AD4AFC" w:rsidTr="00F516E5">
        <w:trPr>
          <w:cantSplit/>
          <w:trHeight w:val="300"/>
        </w:trPr>
        <w:tc>
          <w:tcPr>
            <w:tcW w:w="22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87562" w:rsidRPr="00AD4AFC" w:rsidRDefault="00187562" w:rsidP="00CE3533">
            <w:pPr>
              <w:jc w:val="right"/>
              <w:rPr>
                <w:rFonts w:cs="Times New Roman"/>
                <w:b/>
                <w:bCs/>
                <w:color w:val="000000"/>
                <w:szCs w:val="28"/>
                <w:lang w:eastAsia="lv-LV"/>
              </w:rPr>
            </w:pPr>
          </w:p>
        </w:tc>
        <w:tc>
          <w:tcPr>
            <w:tcW w:w="166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center"/>
              <w:rPr>
                <w:rFonts w:cs="Times New Roman"/>
                <w:b/>
                <w:bCs/>
                <w:color w:val="000000"/>
                <w:szCs w:val="28"/>
                <w:lang w:eastAsia="lv-LV"/>
              </w:rPr>
            </w:pPr>
            <w:r w:rsidRPr="00AD4AFC">
              <w:rPr>
                <w:rFonts w:cs="Times New Roman"/>
                <w:b/>
                <w:bCs/>
                <w:color w:val="000000"/>
                <w:sz w:val="28"/>
                <w:szCs w:val="28"/>
                <w:lang w:eastAsia="lv-LV"/>
              </w:rPr>
              <w:t>2014</w:t>
            </w:r>
          </w:p>
        </w:tc>
        <w:tc>
          <w:tcPr>
            <w:tcW w:w="14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center"/>
              <w:rPr>
                <w:rFonts w:cs="Times New Roman"/>
                <w:b/>
                <w:bCs/>
                <w:color w:val="000000"/>
                <w:szCs w:val="28"/>
                <w:lang w:eastAsia="lv-LV"/>
              </w:rPr>
            </w:pPr>
            <w:r w:rsidRPr="00AD4AFC">
              <w:rPr>
                <w:rFonts w:cs="Times New Roman"/>
                <w:b/>
                <w:bCs/>
                <w:color w:val="000000"/>
                <w:sz w:val="28"/>
                <w:szCs w:val="28"/>
                <w:lang w:eastAsia="lv-LV"/>
              </w:rPr>
              <w:t>2015</w:t>
            </w:r>
          </w:p>
        </w:tc>
        <w:tc>
          <w:tcPr>
            <w:tcW w:w="184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center"/>
              <w:rPr>
                <w:rFonts w:cs="Times New Roman"/>
                <w:b/>
                <w:bCs/>
                <w:color w:val="000000"/>
                <w:szCs w:val="28"/>
                <w:lang w:eastAsia="lv-LV"/>
              </w:rPr>
            </w:pPr>
            <w:r w:rsidRPr="00AD4AFC">
              <w:rPr>
                <w:rFonts w:cs="Times New Roman"/>
                <w:b/>
                <w:bCs/>
                <w:color w:val="000000"/>
                <w:sz w:val="28"/>
                <w:szCs w:val="28"/>
                <w:lang w:eastAsia="lv-LV"/>
              </w:rPr>
              <w:t>2016</w:t>
            </w:r>
          </w:p>
        </w:tc>
        <w:tc>
          <w:tcPr>
            <w:tcW w:w="1846" w:type="dxa"/>
            <w:tcBorders>
              <w:top w:val="single" w:sz="8" w:space="0" w:color="auto"/>
              <w:left w:val="nil"/>
              <w:bottom w:val="single" w:sz="8" w:space="0" w:color="auto"/>
              <w:right w:val="single" w:sz="8" w:space="0" w:color="auto"/>
            </w:tcBorders>
          </w:tcPr>
          <w:p w:rsidR="00187562" w:rsidRPr="00AD4AFC" w:rsidRDefault="00187562" w:rsidP="00CE3533">
            <w:pPr>
              <w:jc w:val="center"/>
              <w:rPr>
                <w:rFonts w:cs="Times New Roman"/>
                <w:b/>
                <w:bCs/>
                <w:color w:val="000000"/>
                <w:szCs w:val="28"/>
                <w:lang w:eastAsia="lv-LV"/>
              </w:rPr>
            </w:pPr>
            <w:r w:rsidRPr="00AD4AFC">
              <w:rPr>
                <w:rFonts w:cs="Times New Roman"/>
                <w:b/>
                <w:bCs/>
                <w:color w:val="000000"/>
                <w:sz w:val="28"/>
                <w:szCs w:val="28"/>
                <w:lang w:eastAsia="lv-LV"/>
              </w:rPr>
              <w:t>2017</w:t>
            </w:r>
          </w:p>
        </w:tc>
      </w:tr>
      <w:tr w:rsidR="00187562" w:rsidRPr="00AD4AFC" w:rsidTr="00F516E5">
        <w:trPr>
          <w:cantSplit/>
          <w:trHeight w:val="300"/>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Patērētā elektroenerģija, GWh</w:t>
            </w:r>
          </w:p>
        </w:tc>
        <w:tc>
          <w:tcPr>
            <w:tcW w:w="1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6859</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7089</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7100</w:t>
            </w:r>
          </w:p>
        </w:tc>
        <w:tc>
          <w:tcPr>
            <w:tcW w:w="1846" w:type="dxa"/>
            <w:tcBorders>
              <w:top w:val="nil"/>
              <w:left w:val="nil"/>
              <w:bottom w:val="single" w:sz="8" w:space="0" w:color="auto"/>
              <w:right w:val="single" w:sz="8" w:space="0" w:color="auto"/>
            </w:tcBorders>
            <w:vAlign w:val="center"/>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7300</w:t>
            </w:r>
          </w:p>
        </w:tc>
      </w:tr>
      <w:tr w:rsidR="00187562" w:rsidRPr="00AD4AFC" w:rsidTr="00F516E5">
        <w:trPr>
          <w:cantSplit/>
          <w:trHeight w:val="300"/>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562" w:rsidRPr="00AD4AFC" w:rsidRDefault="00187562" w:rsidP="00CE3533">
            <w:pPr>
              <w:jc w:val="right"/>
              <w:rPr>
                <w:rFonts w:cs="Times New Roman"/>
                <w:color w:val="000000"/>
                <w:szCs w:val="28"/>
              </w:rPr>
            </w:pPr>
            <w:r w:rsidRPr="00AD4AFC">
              <w:rPr>
                <w:rFonts w:cs="Times New Roman"/>
                <w:color w:val="000000"/>
                <w:sz w:val="28"/>
                <w:szCs w:val="28"/>
                <w:lang w:eastAsia="lv-LV"/>
              </w:rPr>
              <w:t>EURcenti/kWh</w:t>
            </w:r>
          </w:p>
        </w:tc>
        <w:tc>
          <w:tcPr>
            <w:tcW w:w="1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rPr>
            </w:pPr>
            <w:r w:rsidRPr="00AD4AFC">
              <w:rPr>
                <w:rFonts w:cs="Times New Roman"/>
                <w:color w:val="000000"/>
                <w:sz w:val="28"/>
                <w:szCs w:val="28"/>
                <w:lang w:eastAsia="lv-LV"/>
              </w:rPr>
              <w:t>2,69</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rPr>
            </w:pPr>
            <w:r w:rsidRPr="00AD4AFC">
              <w:rPr>
                <w:rFonts w:cs="Times New Roman"/>
                <w:color w:val="000000"/>
                <w:sz w:val="28"/>
                <w:szCs w:val="28"/>
                <w:lang w:eastAsia="lv-LV"/>
              </w:rPr>
              <w:t>2,69</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color w:val="000000"/>
                <w:szCs w:val="28"/>
              </w:rPr>
            </w:pPr>
            <w:r w:rsidRPr="00AD4AFC">
              <w:rPr>
                <w:rFonts w:cs="Times New Roman"/>
                <w:color w:val="000000"/>
                <w:sz w:val="28"/>
                <w:szCs w:val="28"/>
                <w:lang w:eastAsia="lv-LV"/>
              </w:rPr>
              <w:t>2,69</w:t>
            </w:r>
          </w:p>
        </w:tc>
        <w:tc>
          <w:tcPr>
            <w:tcW w:w="1846" w:type="dxa"/>
            <w:tcBorders>
              <w:top w:val="nil"/>
              <w:left w:val="nil"/>
              <w:bottom w:val="single" w:sz="8" w:space="0" w:color="auto"/>
              <w:right w:val="single" w:sz="8" w:space="0" w:color="auto"/>
            </w:tcBorders>
            <w:vAlign w:val="center"/>
          </w:tcPr>
          <w:p w:rsidR="00187562" w:rsidRPr="00AD4AFC" w:rsidRDefault="00187562" w:rsidP="00CE3533">
            <w:pPr>
              <w:jc w:val="right"/>
              <w:rPr>
                <w:rFonts w:cs="Times New Roman"/>
                <w:color w:val="000000"/>
                <w:szCs w:val="28"/>
                <w:lang w:eastAsia="lv-LV"/>
              </w:rPr>
            </w:pPr>
            <w:r w:rsidRPr="00AD4AFC">
              <w:rPr>
                <w:rFonts w:cs="Times New Roman"/>
                <w:color w:val="000000"/>
                <w:sz w:val="28"/>
                <w:szCs w:val="28"/>
                <w:lang w:eastAsia="lv-LV"/>
              </w:rPr>
              <w:t>2,69</w:t>
            </w:r>
          </w:p>
        </w:tc>
      </w:tr>
      <w:tr w:rsidR="00187562" w:rsidRPr="00AD4AFC" w:rsidTr="00F516E5">
        <w:trPr>
          <w:cantSplit/>
          <w:trHeight w:val="300"/>
        </w:trPr>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562" w:rsidRPr="00AD4AFC" w:rsidRDefault="00187562" w:rsidP="00CE3533">
            <w:pPr>
              <w:jc w:val="right"/>
              <w:rPr>
                <w:rFonts w:cs="Times New Roman"/>
                <w:b/>
                <w:bCs/>
                <w:color w:val="000000"/>
                <w:szCs w:val="28"/>
                <w:lang w:eastAsia="lv-LV"/>
              </w:rPr>
            </w:pPr>
            <w:r w:rsidRPr="00AD4AFC">
              <w:rPr>
                <w:rFonts w:cs="Times New Roman"/>
                <w:b/>
                <w:bCs/>
                <w:color w:val="000000"/>
                <w:sz w:val="28"/>
                <w:szCs w:val="28"/>
                <w:lang w:eastAsia="lv-LV"/>
              </w:rPr>
              <w:t xml:space="preserve">Kopējais atbalsts, </w:t>
            </w:r>
          </w:p>
          <w:p w:rsidR="00187562" w:rsidRPr="00AD4AFC" w:rsidRDefault="00187562" w:rsidP="00CE3533">
            <w:pPr>
              <w:jc w:val="right"/>
              <w:rPr>
                <w:rFonts w:cs="Times New Roman"/>
                <w:b/>
                <w:color w:val="000000"/>
                <w:szCs w:val="28"/>
              </w:rPr>
            </w:pPr>
            <w:proofErr w:type="spellStart"/>
            <w:r w:rsidRPr="00AD4AFC">
              <w:rPr>
                <w:rFonts w:cs="Times New Roman"/>
                <w:b/>
                <w:bCs/>
                <w:color w:val="000000"/>
                <w:sz w:val="28"/>
                <w:szCs w:val="28"/>
                <w:lang w:eastAsia="lv-LV"/>
              </w:rPr>
              <w:t>milj</w:t>
            </w:r>
            <w:proofErr w:type="spellEnd"/>
            <w:r w:rsidRPr="00AD4AFC">
              <w:rPr>
                <w:rFonts w:cs="Times New Roman"/>
                <w:b/>
                <w:bCs/>
                <w:color w:val="000000"/>
                <w:sz w:val="28"/>
                <w:szCs w:val="28"/>
                <w:lang w:eastAsia="lv-LV"/>
              </w:rPr>
              <w:t>. EUR</w:t>
            </w:r>
          </w:p>
        </w:tc>
        <w:tc>
          <w:tcPr>
            <w:tcW w:w="166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b/>
                <w:bCs/>
                <w:color w:val="000000"/>
                <w:szCs w:val="28"/>
                <w:lang w:eastAsia="lv-LV"/>
              </w:rPr>
            </w:pPr>
          </w:p>
          <w:p w:rsidR="00187562" w:rsidRPr="00AD4AFC" w:rsidRDefault="00187562" w:rsidP="00CE3533">
            <w:pPr>
              <w:jc w:val="right"/>
              <w:rPr>
                <w:rFonts w:cs="Times New Roman"/>
                <w:b/>
                <w:color w:val="000000"/>
                <w:szCs w:val="28"/>
              </w:rPr>
            </w:pPr>
            <w:r w:rsidRPr="00AD4AFC">
              <w:rPr>
                <w:rFonts w:cs="Times New Roman"/>
                <w:b/>
                <w:bCs/>
                <w:color w:val="000000"/>
                <w:sz w:val="28"/>
                <w:szCs w:val="28"/>
                <w:lang w:eastAsia="lv-LV"/>
              </w:rPr>
              <w:t>213,63</w:t>
            </w:r>
          </w:p>
        </w:tc>
        <w:tc>
          <w:tcPr>
            <w:tcW w:w="14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b/>
                <w:bCs/>
                <w:color w:val="000000"/>
                <w:szCs w:val="28"/>
                <w:lang w:eastAsia="lv-LV"/>
              </w:rPr>
            </w:pPr>
          </w:p>
          <w:p w:rsidR="00187562" w:rsidRPr="00AD4AFC" w:rsidRDefault="00187562" w:rsidP="00CE3533">
            <w:pPr>
              <w:jc w:val="right"/>
              <w:rPr>
                <w:rFonts w:cs="Times New Roman"/>
                <w:b/>
                <w:color w:val="000000"/>
                <w:szCs w:val="28"/>
              </w:rPr>
            </w:pPr>
            <w:r w:rsidRPr="00AD4AFC">
              <w:rPr>
                <w:rFonts w:cs="Times New Roman"/>
                <w:b/>
                <w:bCs/>
                <w:color w:val="000000"/>
                <w:sz w:val="28"/>
                <w:szCs w:val="28"/>
                <w:lang w:eastAsia="lv-LV"/>
              </w:rPr>
              <w:t>238,30</w:t>
            </w:r>
          </w:p>
        </w:tc>
        <w:tc>
          <w:tcPr>
            <w:tcW w:w="184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7562" w:rsidRPr="00AD4AFC" w:rsidRDefault="00187562" w:rsidP="00CE3533">
            <w:pPr>
              <w:jc w:val="right"/>
              <w:rPr>
                <w:rFonts w:cs="Times New Roman"/>
                <w:b/>
                <w:bCs/>
                <w:color w:val="000000"/>
                <w:szCs w:val="28"/>
                <w:lang w:eastAsia="lv-LV"/>
              </w:rPr>
            </w:pPr>
          </w:p>
          <w:p w:rsidR="00187562" w:rsidRPr="00AD4AFC" w:rsidRDefault="00187562" w:rsidP="00CE3533">
            <w:pPr>
              <w:jc w:val="right"/>
              <w:rPr>
                <w:rFonts w:cs="Times New Roman"/>
                <w:b/>
                <w:color w:val="000000"/>
                <w:szCs w:val="28"/>
              </w:rPr>
            </w:pPr>
            <w:r w:rsidRPr="00AD4AFC">
              <w:rPr>
                <w:rFonts w:cs="Times New Roman"/>
                <w:b/>
                <w:bCs/>
                <w:color w:val="000000"/>
                <w:sz w:val="28"/>
                <w:szCs w:val="28"/>
                <w:lang w:eastAsia="lv-LV"/>
              </w:rPr>
              <w:t>247,00</w:t>
            </w:r>
          </w:p>
        </w:tc>
        <w:tc>
          <w:tcPr>
            <w:tcW w:w="1846" w:type="dxa"/>
            <w:tcBorders>
              <w:top w:val="nil"/>
              <w:left w:val="nil"/>
              <w:bottom w:val="single" w:sz="8" w:space="0" w:color="auto"/>
              <w:right w:val="single" w:sz="8" w:space="0" w:color="auto"/>
            </w:tcBorders>
            <w:vAlign w:val="center"/>
          </w:tcPr>
          <w:p w:rsidR="00187562" w:rsidRPr="00AD4AFC" w:rsidRDefault="00187562" w:rsidP="00CE3533">
            <w:pPr>
              <w:jc w:val="right"/>
              <w:rPr>
                <w:rFonts w:cs="Times New Roman"/>
                <w:b/>
                <w:bCs/>
                <w:color w:val="000000"/>
                <w:szCs w:val="28"/>
                <w:lang w:eastAsia="lv-LV"/>
              </w:rPr>
            </w:pPr>
          </w:p>
          <w:p w:rsidR="00187562" w:rsidRPr="00AD4AFC" w:rsidRDefault="00187562" w:rsidP="00CE3533">
            <w:pPr>
              <w:jc w:val="right"/>
              <w:rPr>
                <w:rFonts w:cs="Times New Roman"/>
                <w:b/>
                <w:bCs/>
                <w:color w:val="000000"/>
                <w:szCs w:val="28"/>
                <w:lang w:eastAsia="lv-LV"/>
              </w:rPr>
            </w:pPr>
            <w:r w:rsidRPr="00AD4AFC">
              <w:rPr>
                <w:rFonts w:cs="Times New Roman"/>
                <w:b/>
                <w:bCs/>
                <w:color w:val="000000"/>
                <w:sz w:val="28"/>
                <w:szCs w:val="28"/>
                <w:lang w:eastAsia="lv-LV"/>
              </w:rPr>
              <w:t>265,32</w:t>
            </w:r>
          </w:p>
        </w:tc>
      </w:tr>
    </w:tbl>
    <w:p w:rsidR="00277DAC" w:rsidRPr="001073BE" w:rsidRDefault="00277DAC" w:rsidP="00277DAC">
      <w:pPr>
        <w:jc w:val="both"/>
        <w:rPr>
          <w:rFonts w:cs="Times New Roman"/>
          <w:i/>
          <w:sz w:val="20"/>
          <w:szCs w:val="20"/>
        </w:rPr>
      </w:pPr>
      <w:r w:rsidRPr="001073BE">
        <w:rPr>
          <w:rFonts w:cs="Times New Roman"/>
          <w:i/>
          <w:sz w:val="20"/>
          <w:szCs w:val="20"/>
        </w:rPr>
        <w:t>4.attēls.</w:t>
      </w:r>
      <w:r w:rsidRPr="001073BE">
        <w:rPr>
          <w:rFonts w:cs="Times New Roman"/>
          <w:b/>
          <w:sz w:val="20"/>
          <w:szCs w:val="20"/>
        </w:rPr>
        <w:t>EM prognozes par OIK lielumu un nepieciešamo atbalstu.</w:t>
      </w:r>
    </w:p>
    <w:p w:rsidR="00277DAC" w:rsidRPr="001073BE" w:rsidRDefault="00277DAC" w:rsidP="00277DAC">
      <w:pPr>
        <w:jc w:val="both"/>
        <w:rPr>
          <w:rFonts w:cs="Times New Roman"/>
          <w:i/>
          <w:sz w:val="20"/>
          <w:szCs w:val="20"/>
        </w:rPr>
      </w:pPr>
      <w:r w:rsidRPr="001073BE">
        <w:rPr>
          <w:rFonts w:cs="Times New Roman"/>
          <w:i/>
          <w:sz w:val="20"/>
          <w:szCs w:val="20"/>
        </w:rPr>
        <w:t>Avots: EM</w:t>
      </w:r>
    </w:p>
    <w:p w:rsidR="00187562" w:rsidRPr="00AD4AFC" w:rsidRDefault="00187562" w:rsidP="00187562">
      <w:pPr>
        <w:jc w:val="both"/>
        <w:rPr>
          <w:rFonts w:eastAsia="Times New Roman" w:cs="Times New Roman"/>
          <w:bCs/>
          <w:color w:val="000000"/>
          <w:sz w:val="28"/>
          <w:szCs w:val="28"/>
          <w:lang w:eastAsia="lv-LV"/>
        </w:rPr>
      </w:pPr>
    </w:p>
    <w:p w:rsidR="006B0474" w:rsidRPr="005B42CF" w:rsidRDefault="006B0474" w:rsidP="005B42CF">
      <w:pPr>
        <w:pStyle w:val="ListParagraph"/>
        <w:numPr>
          <w:ilvl w:val="0"/>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 xml:space="preserve">Atbrīvojumu piemērošana lieliem elektroenerģijas </w:t>
      </w:r>
      <w:r w:rsidR="00FF31F8" w:rsidRPr="005B42CF">
        <w:rPr>
          <w:rFonts w:eastAsia="Times New Roman" w:cs="Times New Roman"/>
          <w:b/>
          <w:bCs/>
          <w:i/>
          <w:color w:val="000000"/>
          <w:sz w:val="28"/>
          <w:szCs w:val="28"/>
          <w:lang w:eastAsia="lv-LV"/>
        </w:rPr>
        <w:t xml:space="preserve">lietotājiem </w:t>
      </w:r>
      <w:r w:rsidRPr="005B42CF">
        <w:rPr>
          <w:rFonts w:eastAsia="Times New Roman" w:cs="Times New Roman"/>
          <w:b/>
          <w:bCs/>
          <w:i/>
          <w:color w:val="000000"/>
          <w:sz w:val="28"/>
          <w:szCs w:val="28"/>
          <w:lang w:eastAsia="lv-LV"/>
        </w:rPr>
        <w:t>ES</w:t>
      </w:r>
      <w:r w:rsidR="005130C7" w:rsidRPr="005B42CF">
        <w:rPr>
          <w:rFonts w:eastAsia="Times New Roman" w:cs="Times New Roman"/>
          <w:b/>
          <w:bCs/>
          <w:i/>
          <w:color w:val="000000"/>
          <w:sz w:val="28"/>
          <w:szCs w:val="28"/>
          <w:lang w:eastAsia="lv-LV"/>
        </w:rPr>
        <w:t>: Vācijas un Austrijas piemērs</w:t>
      </w:r>
      <w:r w:rsidRPr="005B42CF">
        <w:rPr>
          <w:rFonts w:eastAsia="Times New Roman" w:cs="Times New Roman"/>
          <w:b/>
          <w:bCs/>
          <w:i/>
          <w:color w:val="000000"/>
          <w:sz w:val="28"/>
          <w:szCs w:val="28"/>
          <w:lang w:eastAsia="lv-LV"/>
        </w:rPr>
        <w:t xml:space="preserve"> </w:t>
      </w:r>
    </w:p>
    <w:p w:rsidR="00561D49" w:rsidRPr="00AD4AFC" w:rsidRDefault="00561D49" w:rsidP="00187562">
      <w:pPr>
        <w:ind w:firstLine="720"/>
        <w:jc w:val="both"/>
        <w:rPr>
          <w:rFonts w:cs="Times New Roman"/>
          <w:b/>
          <w:bCs/>
          <w:sz w:val="28"/>
          <w:szCs w:val="28"/>
        </w:rPr>
      </w:pPr>
    </w:p>
    <w:p w:rsidR="00DE70F2" w:rsidRPr="00AD4AFC" w:rsidRDefault="00561D49" w:rsidP="00561D49">
      <w:pPr>
        <w:ind w:firstLine="709"/>
        <w:jc w:val="both"/>
        <w:rPr>
          <w:rFonts w:cs="Times New Roman"/>
          <w:bCs/>
          <w:sz w:val="28"/>
          <w:szCs w:val="28"/>
        </w:rPr>
      </w:pPr>
      <w:r w:rsidRPr="00AD4AFC">
        <w:rPr>
          <w:rFonts w:cs="Times New Roman"/>
          <w:bCs/>
          <w:sz w:val="28"/>
          <w:szCs w:val="28"/>
        </w:rPr>
        <w:t xml:space="preserve">Neskatoties uz jau īstenotājiem pasākumiem OIK pieauguma ierobežošanai, joprojām saglabājas potenciāls OIK līmeņa samazināšanai attiecībā uz noteiktām elektroenerģijas lietotāju grupām. ES līmenī visplašākā analīze ir pieejama par modeļiem, </w:t>
      </w:r>
      <w:r w:rsidR="00FF31F8" w:rsidRPr="00AD4AFC">
        <w:rPr>
          <w:rFonts w:cs="Times New Roman"/>
          <w:bCs/>
          <w:sz w:val="28"/>
          <w:szCs w:val="28"/>
        </w:rPr>
        <w:t xml:space="preserve">kas </w:t>
      </w:r>
      <w:r w:rsidRPr="00AD4AFC">
        <w:rPr>
          <w:rFonts w:cs="Times New Roman"/>
          <w:bCs/>
          <w:sz w:val="28"/>
          <w:szCs w:val="28"/>
        </w:rPr>
        <w:t>ir piemēroti Vācijā un Austrijā</w:t>
      </w:r>
      <w:r w:rsidR="00F63B34" w:rsidRPr="00AD4AFC">
        <w:rPr>
          <w:rFonts w:cs="Times New Roman"/>
          <w:bCs/>
          <w:sz w:val="28"/>
          <w:szCs w:val="28"/>
        </w:rPr>
        <w:t>.</w:t>
      </w:r>
      <w:r w:rsidR="00FF31F8" w:rsidRPr="00AD4AFC">
        <w:rPr>
          <w:rFonts w:cs="Times New Roman"/>
          <w:bCs/>
          <w:sz w:val="28"/>
          <w:szCs w:val="28"/>
        </w:rPr>
        <w:t xml:space="preserve"> </w:t>
      </w:r>
    </w:p>
    <w:p w:rsidR="007F3FBF" w:rsidRPr="00AD4AFC" w:rsidRDefault="007F3FBF" w:rsidP="00561D49">
      <w:pPr>
        <w:ind w:firstLine="709"/>
        <w:jc w:val="both"/>
        <w:rPr>
          <w:rFonts w:cs="Times New Roman"/>
          <w:sz w:val="28"/>
          <w:szCs w:val="28"/>
        </w:rPr>
      </w:pPr>
      <w:r w:rsidRPr="00AD4AFC">
        <w:rPr>
          <w:rFonts w:cs="Times New Roman"/>
          <w:b/>
          <w:bCs/>
          <w:sz w:val="28"/>
          <w:szCs w:val="28"/>
        </w:rPr>
        <w:t>Vācijā</w:t>
      </w:r>
      <w:r w:rsidRPr="00AD4AFC">
        <w:rPr>
          <w:rFonts w:cs="Times New Roman"/>
          <w:sz w:val="28"/>
          <w:szCs w:val="28"/>
        </w:rPr>
        <w:t xml:space="preserve"> lieliem rūpnieciskiem elektroenerģijas patērētājiem, kuru patēriņš ir virs 1 GWh gadā un elektroenerģijas izmaksas pret kopējo pievienoto vērtību koeficientam pārsniedz 14%, ir iespēja saņemt AER maksas samazinājumu. Taču Eiropas Komisija 2011.gada beigās ierosināja pārbaudes lietu par Vācijas Federatīvajā republikā </w:t>
      </w:r>
      <w:proofErr w:type="spellStart"/>
      <w:r w:rsidRPr="00AD4AFC">
        <w:rPr>
          <w:rFonts w:cs="Times New Roman"/>
          <w:i/>
          <w:iCs/>
          <w:sz w:val="28"/>
          <w:szCs w:val="28"/>
        </w:rPr>
        <w:t>feed-in</w:t>
      </w:r>
      <w:proofErr w:type="spellEnd"/>
      <w:r w:rsidRPr="00AD4AFC">
        <w:rPr>
          <w:rFonts w:cs="Times New Roman"/>
          <w:sz w:val="28"/>
          <w:szCs w:val="28"/>
        </w:rPr>
        <w:t xml:space="preserve"> atbalsta mehānisma ietvaros piešķirto atbrīvojumu energoietilpīgiem ražošanas uzņēmumiem, kas paredz tiem atbrīvojumu pilnā apmērā no </w:t>
      </w:r>
      <w:proofErr w:type="spellStart"/>
      <w:r w:rsidRPr="00AD4AFC">
        <w:rPr>
          <w:rFonts w:cs="Times New Roman"/>
          <w:i/>
          <w:iCs/>
          <w:sz w:val="28"/>
          <w:szCs w:val="28"/>
        </w:rPr>
        <w:t>feed-in</w:t>
      </w:r>
      <w:proofErr w:type="spellEnd"/>
      <w:r w:rsidRPr="00AD4AFC">
        <w:rPr>
          <w:rFonts w:cs="Times New Roman"/>
          <w:sz w:val="28"/>
          <w:szCs w:val="28"/>
        </w:rPr>
        <w:t xml:space="preserve"> izmaksu segšanas. Eiropas Komisijas, </w:t>
      </w:r>
      <w:r w:rsidRPr="00AD4AFC">
        <w:rPr>
          <w:rFonts w:cs="Times New Roman"/>
          <w:sz w:val="28"/>
          <w:szCs w:val="28"/>
        </w:rPr>
        <w:lastRenderedPageBreak/>
        <w:t xml:space="preserve">ierosinot pārbaudes lietu norādīja, ka </w:t>
      </w:r>
      <w:r w:rsidRPr="00AD4AFC">
        <w:rPr>
          <w:rFonts w:cs="Times New Roman"/>
          <w:bCs/>
          <w:sz w:val="28"/>
          <w:szCs w:val="28"/>
        </w:rPr>
        <w:t>tas var saturēt valsts atbalsta pazīmes</w:t>
      </w:r>
      <w:r w:rsidRPr="00AD4AFC">
        <w:rPr>
          <w:rFonts w:cs="Times New Roman"/>
          <w:sz w:val="28"/>
          <w:szCs w:val="28"/>
        </w:rPr>
        <w:t>, jo kalpo nevis AER veicināšanai, bet gan energoietilpīgo ražošanas izņēmumu atbalstam</w:t>
      </w:r>
      <w:r w:rsidR="003818BD" w:rsidRPr="00AD4AFC">
        <w:rPr>
          <w:rStyle w:val="FootnoteReference"/>
          <w:rFonts w:cs="Times New Roman"/>
          <w:sz w:val="28"/>
          <w:szCs w:val="28"/>
        </w:rPr>
        <w:footnoteReference w:id="5"/>
      </w:r>
      <w:r w:rsidRPr="00AD4AFC">
        <w:rPr>
          <w:rFonts w:cs="Times New Roman"/>
          <w:sz w:val="28"/>
          <w:szCs w:val="28"/>
        </w:rPr>
        <w:t>.</w:t>
      </w:r>
    </w:p>
    <w:p w:rsidR="007F3FBF" w:rsidRPr="00AD4AFC" w:rsidRDefault="007F3FBF" w:rsidP="00561D49">
      <w:pPr>
        <w:ind w:firstLine="709"/>
        <w:jc w:val="both"/>
        <w:rPr>
          <w:rFonts w:cs="Times New Roman"/>
          <w:i/>
          <w:iCs/>
          <w:sz w:val="28"/>
          <w:szCs w:val="28"/>
        </w:rPr>
      </w:pPr>
      <w:r w:rsidRPr="00AD4AFC">
        <w:rPr>
          <w:rFonts w:cs="Times New Roman"/>
          <w:sz w:val="28"/>
          <w:szCs w:val="28"/>
        </w:rPr>
        <w:t xml:space="preserve">2008.gada 27.jūnijā </w:t>
      </w:r>
      <w:r w:rsidRPr="00AD4AFC">
        <w:rPr>
          <w:rFonts w:cs="Times New Roman"/>
          <w:b/>
          <w:sz w:val="28"/>
          <w:szCs w:val="28"/>
        </w:rPr>
        <w:t>Austrija</w:t>
      </w:r>
      <w:r w:rsidRPr="00AD4AFC">
        <w:rPr>
          <w:rFonts w:cs="Times New Roman"/>
          <w:sz w:val="28"/>
          <w:szCs w:val="28"/>
        </w:rPr>
        <w:t xml:space="preserve"> iesniedza Eiropas Komisijai saskaņošanai  izmaiņas atbalsta mehānisma atjaunojamās enerģijas atbalstam. </w:t>
      </w:r>
      <w:r w:rsidR="005513E6" w:rsidRPr="00AD4AFC">
        <w:rPr>
          <w:rFonts w:cs="Times New Roman"/>
          <w:sz w:val="28"/>
          <w:szCs w:val="28"/>
        </w:rPr>
        <w:t>Tika grozīts Zaļās elektrības likums (</w:t>
      </w:r>
      <w:proofErr w:type="spellStart"/>
      <w:r w:rsidR="005513E6" w:rsidRPr="00AD4AFC">
        <w:rPr>
          <w:rFonts w:cs="Times New Roman"/>
          <w:i/>
          <w:iCs/>
          <w:sz w:val="28"/>
          <w:szCs w:val="28"/>
        </w:rPr>
        <w:t>Green</w:t>
      </w:r>
      <w:proofErr w:type="spellEnd"/>
      <w:r w:rsidR="005513E6" w:rsidRPr="00AD4AFC">
        <w:rPr>
          <w:rFonts w:cs="Times New Roman"/>
          <w:i/>
          <w:iCs/>
          <w:sz w:val="28"/>
          <w:szCs w:val="28"/>
        </w:rPr>
        <w:t xml:space="preserve"> Electricity </w:t>
      </w:r>
      <w:proofErr w:type="spellStart"/>
      <w:r w:rsidR="005513E6" w:rsidRPr="00AD4AFC">
        <w:rPr>
          <w:rFonts w:cs="Times New Roman"/>
          <w:i/>
          <w:iCs/>
          <w:sz w:val="28"/>
          <w:szCs w:val="28"/>
        </w:rPr>
        <w:t>Act</w:t>
      </w:r>
      <w:proofErr w:type="spellEnd"/>
      <w:r w:rsidR="005513E6" w:rsidRPr="00AD4AFC">
        <w:rPr>
          <w:rFonts w:cs="Times New Roman"/>
          <w:sz w:val="28"/>
          <w:szCs w:val="28"/>
        </w:rPr>
        <w:t>) un, tā ietvaros bija paredzēts, ka lielie elektroenerģijas patērētāji varēja lūgt elektroenerģijas tirgotājam viņiem nepiegādāt „zaļo” elektroenerģiju un attiecīgi saņemt atbrīvojumu no atbalsta komponentes maksas, ja elektroenerģijas ražotāji pierāda, ka izmaksas „zaļā” elektroenerģijai sastāda vismaz 0,5% no viņu neto produkcijas vērtības un tie var pretendēt atbilstoši Austrijas Enerģijas nodokļa likuma (</w:t>
      </w:r>
      <w:r w:rsidR="005513E6" w:rsidRPr="00AD4AFC">
        <w:rPr>
          <w:rFonts w:cs="Times New Roman"/>
          <w:i/>
          <w:iCs/>
          <w:sz w:val="28"/>
          <w:szCs w:val="28"/>
        </w:rPr>
        <w:t xml:space="preserve">Energy </w:t>
      </w:r>
      <w:proofErr w:type="spellStart"/>
      <w:r w:rsidR="005513E6" w:rsidRPr="00AD4AFC">
        <w:rPr>
          <w:rFonts w:cs="Times New Roman"/>
          <w:i/>
          <w:iCs/>
          <w:sz w:val="28"/>
          <w:szCs w:val="28"/>
        </w:rPr>
        <w:t>Tax</w:t>
      </w:r>
      <w:proofErr w:type="spellEnd"/>
      <w:r w:rsidR="005513E6">
        <w:rPr>
          <w:rFonts w:cs="Times New Roman"/>
          <w:i/>
          <w:iCs/>
          <w:sz w:val="28"/>
          <w:szCs w:val="28"/>
        </w:rPr>
        <w:t xml:space="preserve"> </w:t>
      </w:r>
      <w:proofErr w:type="spellStart"/>
      <w:r w:rsidR="005513E6" w:rsidRPr="00AD4AFC">
        <w:rPr>
          <w:rFonts w:cs="Times New Roman"/>
          <w:i/>
          <w:iCs/>
          <w:sz w:val="28"/>
          <w:szCs w:val="28"/>
        </w:rPr>
        <w:t>Rebate</w:t>
      </w:r>
      <w:proofErr w:type="spellEnd"/>
      <w:r w:rsidR="005513E6" w:rsidRPr="00AD4AFC">
        <w:rPr>
          <w:rFonts w:cs="Times New Roman"/>
          <w:i/>
          <w:iCs/>
          <w:sz w:val="28"/>
          <w:szCs w:val="28"/>
        </w:rPr>
        <w:t xml:space="preserve"> </w:t>
      </w:r>
      <w:proofErr w:type="spellStart"/>
      <w:r w:rsidR="005513E6" w:rsidRPr="00AD4AFC">
        <w:rPr>
          <w:rFonts w:cs="Times New Roman"/>
          <w:i/>
          <w:iCs/>
          <w:sz w:val="28"/>
          <w:szCs w:val="28"/>
        </w:rPr>
        <w:t>Act</w:t>
      </w:r>
      <w:proofErr w:type="spellEnd"/>
      <w:r w:rsidR="005513E6" w:rsidRPr="00AD4AFC">
        <w:rPr>
          <w:rFonts w:cs="Times New Roman"/>
          <w:i/>
          <w:iCs/>
          <w:sz w:val="28"/>
          <w:szCs w:val="28"/>
        </w:rPr>
        <w:t>)</w:t>
      </w:r>
      <w:r w:rsidR="005513E6" w:rsidRPr="00AD4AFC">
        <w:rPr>
          <w:rFonts w:cs="Times New Roman"/>
          <w:sz w:val="28"/>
          <w:szCs w:val="28"/>
        </w:rPr>
        <w:t xml:space="preserve"> prasībām. </w:t>
      </w:r>
      <w:r w:rsidRPr="00AD4AFC">
        <w:rPr>
          <w:rFonts w:cs="Times New Roman"/>
          <w:sz w:val="28"/>
          <w:szCs w:val="28"/>
        </w:rPr>
        <w:t>Ja viņi tika atbrīvoti no atbalsta komponentes maksas, tad veica kompensācijas iemaksu 0,5% no uzņēmuma viņu neto produkcijas vērtības Austrijas kompetentai izpētes institūcijai</w:t>
      </w:r>
      <w:r w:rsidR="00561D49" w:rsidRPr="00AD4AFC">
        <w:rPr>
          <w:rFonts w:cs="Times New Roman"/>
          <w:sz w:val="28"/>
          <w:szCs w:val="28"/>
        </w:rPr>
        <w:t xml:space="preserve"> </w:t>
      </w:r>
      <w:r w:rsidRPr="00AD4AFC">
        <w:rPr>
          <w:rFonts w:cs="Times New Roman"/>
          <w:sz w:val="28"/>
          <w:szCs w:val="28"/>
        </w:rPr>
        <w:t>(</w:t>
      </w:r>
      <w:proofErr w:type="spellStart"/>
      <w:r w:rsidRPr="00AD4AFC">
        <w:rPr>
          <w:rFonts w:cs="Times New Roman"/>
          <w:i/>
          <w:iCs/>
          <w:sz w:val="28"/>
          <w:szCs w:val="28"/>
        </w:rPr>
        <w:t>Abwicklungsstelle</w:t>
      </w:r>
      <w:proofErr w:type="spellEnd"/>
      <w:r w:rsidRPr="00AD4AFC">
        <w:rPr>
          <w:rFonts w:cs="Times New Roman"/>
          <w:i/>
          <w:iCs/>
          <w:sz w:val="28"/>
          <w:szCs w:val="28"/>
        </w:rPr>
        <w:t xml:space="preserve"> </w:t>
      </w:r>
      <w:proofErr w:type="spellStart"/>
      <w:r w:rsidRPr="00AD4AFC">
        <w:rPr>
          <w:rFonts w:cs="Times New Roman"/>
          <w:i/>
          <w:iCs/>
          <w:sz w:val="28"/>
          <w:szCs w:val="28"/>
        </w:rPr>
        <w:t>für</w:t>
      </w:r>
      <w:proofErr w:type="spellEnd"/>
      <w:r w:rsidRPr="00AD4AFC">
        <w:rPr>
          <w:rFonts w:cs="Times New Roman"/>
          <w:i/>
          <w:iCs/>
          <w:sz w:val="28"/>
          <w:szCs w:val="28"/>
        </w:rPr>
        <w:t xml:space="preserve"> </w:t>
      </w:r>
      <w:proofErr w:type="spellStart"/>
      <w:r w:rsidRPr="00AD4AFC">
        <w:rPr>
          <w:rFonts w:cs="Times New Roman"/>
          <w:i/>
          <w:iCs/>
          <w:sz w:val="28"/>
          <w:szCs w:val="28"/>
        </w:rPr>
        <w:t>Ökostrom</w:t>
      </w:r>
      <w:proofErr w:type="spellEnd"/>
      <w:r w:rsidRPr="00AD4AFC">
        <w:rPr>
          <w:rFonts w:cs="Times New Roman"/>
          <w:i/>
          <w:iCs/>
          <w:sz w:val="28"/>
          <w:szCs w:val="28"/>
        </w:rPr>
        <w:t xml:space="preserve"> AG</w:t>
      </w:r>
      <w:r w:rsidRPr="00AD4AFC">
        <w:rPr>
          <w:rFonts w:cs="Times New Roman"/>
          <w:sz w:val="28"/>
          <w:szCs w:val="28"/>
        </w:rPr>
        <w:t>). Eiropas Komisijas Konkurences ģenerāldirektorāts savā 2011.gada 8.marta lēmumā šādā tiesiskajā regulējumā saskatīja selektivitātes kritērijus</w:t>
      </w:r>
      <w:r w:rsidR="003A36C8">
        <w:rPr>
          <w:rFonts w:cs="Times New Roman"/>
          <w:sz w:val="28"/>
          <w:szCs w:val="28"/>
        </w:rPr>
        <w:t xml:space="preserve"> un pieņēma negatīvu lēmumu, norādot, ka pasākums nav saderīgs ar iekšējo tirgu</w:t>
      </w:r>
      <w:r w:rsidRPr="00AD4AFC">
        <w:rPr>
          <w:rStyle w:val="FootnoteReference"/>
          <w:rFonts w:cs="Times New Roman"/>
          <w:sz w:val="28"/>
          <w:szCs w:val="28"/>
        </w:rPr>
        <w:footnoteReference w:id="6"/>
      </w:r>
      <w:r w:rsidRPr="00AD4AFC">
        <w:rPr>
          <w:rFonts w:cs="Times New Roman"/>
          <w:sz w:val="28"/>
          <w:szCs w:val="28"/>
        </w:rPr>
        <w:t xml:space="preserve">. </w:t>
      </w:r>
    </w:p>
    <w:p w:rsidR="007F3FBF" w:rsidRPr="00AD4AFC" w:rsidRDefault="007F3FBF" w:rsidP="00561D49">
      <w:pPr>
        <w:ind w:firstLine="709"/>
        <w:jc w:val="both"/>
        <w:rPr>
          <w:rFonts w:cs="Times New Roman"/>
          <w:b/>
          <w:bCs/>
          <w:sz w:val="28"/>
          <w:szCs w:val="28"/>
        </w:rPr>
      </w:pPr>
      <w:r w:rsidRPr="00AD4AFC">
        <w:rPr>
          <w:rFonts w:cs="Times New Roman"/>
          <w:sz w:val="28"/>
          <w:szCs w:val="28"/>
        </w:rPr>
        <w:t>2011.gada 22.jūlijā Austrija Eiropas Komisijai nosūtīja saskaņošanai veiktos grozījumus Austrijas Zaļās elektrības likumā (</w:t>
      </w:r>
      <w:proofErr w:type="spellStart"/>
      <w:r w:rsidRPr="00AD4AFC">
        <w:rPr>
          <w:rFonts w:cs="Times New Roman"/>
          <w:i/>
          <w:iCs/>
          <w:sz w:val="28"/>
          <w:szCs w:val="28"/>
        </w:rPr>
        <w:t>Green</w:t>
      </w:r>
      <w:proofErr w:type="spellEnd"/>
      <w:r w:rsidRPr="00AD4AFC">
        <w:rPr>
          <w:rFonts w:cs="Times New Roman"/>
          <w:i/>
          <w:iCs/>
          <w:sz w:val="28"/>
          <w:szCs w:val="28"/>
        </w:rPr>
        <w:t xml:space="preserve"> Electricity </w:t>
      </w:r>
      <w:proofErr w:type="spellStart"/>
      <w:r w:rsidRPr="00AD4AFC">
        <w:rPr>
          <w:rFonts w:cs="Times New Roman"/>
          <w:i/>
          <w:iCs/>
          <w:sz w:val="28"/>
          <w:szCs w:val="28"/>
        </w:rPr>
        <w:t>Act</w:t>
      </w:r>
      <w:proofErr w:type="spellEnd"/>
      <w:r w:rsidRPr="00AD4AFC">
        <w:rPr>
          <w:rFonts w:cs="Times New Roman"/>
          <w:sz w:val="28"/>
          <w:szCs w:val="28"/>
        </w:rPr>
        <w:t>), kas paredzēja ieviest principu, ka atbalsta izmaksas elektroenerģijas, kas saražota, izmantojot AER, tiek sadalītas starp tīkla pieslēguma grupām pēc attiecīgās tīkla grupas iedalījuma. Austrijā AER atbalsta mehānisma izmaksas uzņēmumiem tiek diferencēts atkarībā no attiecīgās tīkla pieslēguma grupas, mainoties tīkla maksai. Katrai tīkla pieslēguma grupai tiek noteikts konkrēts procents, kas tai jāsamaksā no kopējā iepriekšējā gadā izmaksātā līdzekļu apjoma, lai kopsummā visas tīkla grupas nosegtu iepriekšējā gadā izmaksāto līdzekļu apjomu. Noteiktais procents tiek pārskatīts katru gadu, atkarībā no atbalsta izmaksu apjoma un noteiktais procents ir vienāds visas Austrijas teritorijā, bet nav atkarīgs no lietotāja lieluma vai elektroenerģijas patēriņa. Līdz ar to energoietilpīgie elektroenerģijas patērētāji sedz atbalsta izmaksas tāpat kā citi elektroenerģijas lietotāji. Ņemot vērā, ka energoietilpīgas ražošanas uzņēmumi ir dažādās tīkla pieslēguma grupās, tad ne visi energointensīvie uzņēmumi maksā relatīvi mazākas pieslēguma maksas. Līdz ar to arī Eiropas Komisija selektivitātes kritēriju esamību nesaskatīja un 2012.gada 8.februārī pieņēma pozitīvu lēmumu</w:t>
      </w:r>
      <w:r w:rsidRPr="00AD4AFC">
        <w:rPr>
          <w:rStyle w:val="FootnoteReference"/>
          <w:rFonts w:cs="Times New Roman"/>
          <w:sz w:val="28"/>
          <w:szCs w:val="28"/>
        </w:rPr>
        <w:footnoteReference w:id="7"/>
      </w:r>
      <w:r w:rsidRPr="00AD4AFC">
        <w:rPr>
          <w:rFonts w:cs="Times New Roman"/>
          <w:sz w:val="28"/>
          <w:szCs w:val="28"/>
        </w:rPr>
        <w:t xml:space="preserve"> 2009.gadā ierosinātas pārkāpuma procedūras ie</w:t>
      </w:r>
      <w:r w:rsidR="005513E6">
        <w:rPr>
          <w:rFonts w:cs="Times New Roman"/>
          <w:sz w:val="28"/>
          <w:szCs w:val="28"/>
        </w:rPr>
        <w:t>tvaros</w:t>
      </w:r>
      <w:r w:rsidRPr="00AD4AFC">
        <w:rPr>
          <w:rFonts w:cs="Times New Roman"/>
          <w:sz w:val="28"/>
          <w:szCs w:val="28"/>
        </w:rPr>
        <w:t>.</w:t>
      </w:r>
      <w:r w:rsidRPr="00AD4AFC">
        <w:rPr>
          <w:rFonts w:cs="Times New Roman"/>
          <w:b/>
          <w:bCs/>
          <w:sz w:val="28"/>
          <w:szCs w:val="28"/>
        </w:rPr>
        <w:t xml:space="preserve"> </w:t>
      </w:r>
    </w:p>
    <w:p w:rsidR="00561D49" w:rsidRPr="00AD4AFC" w:rsidRDefault="00561D49" w:rsidP="00187562">
      <w:pPr>
        <w:ind w:firstLine="720"/>
        <w:jc w:val="both"/>
        <w:rPr>
          <w:rFonts w:cs="Times New Roman"/>
          <w:sz w:val="28"/>
          <w:szCs w:val="28"/>
        </w:rPr>
      </w:pPr>
      <w:r w:rsidRPr="00AD4AFC">
        <w:rPr>
          <w:rFonts w:cs="Times New Roman"/>
          <w:sz w:val="28"/>
          <w:szCs w:val="28"/>
        </w:rPr>
        <w:t xml:space="preserve">Kopumā var konstatēt, ka līdzšinējie </w:t>
      </w:r>
      <w:r w:rsidR="00277DAC">
        <w:rPr>
          <w:rFonts w:cs="Times New Roman"/>
          <w:sz w:val="28"/>
          <w:szCs w:val="28"/>
        </w:rPr>
        <w:t xml:space="preserve">ES </w:t>
      </w:r>
      <w:r w:rsidRPr="00AD4AFC">
        <w:rPr>
          <w:rFonts w:cs="Times New Roman"/>
          <w:sz w:val="28"/>
          <w:szCs w:val="28"/>
        </w:rPr>
        <w:t xml:space="preserve">dalībvalstu mēģinājumi radīt mehānismus, kuri diferencētu OIK maksājumus dažādiem elektroenerģijas </w:t>
      </w:r>
      <w:r w:rsidRPr="00AD4AFC">
        <w:rPr>
          <w:rFonts w:cs="Times New Roman"/>
          <w:sz w:val="28"/>
          <w:szCs w:val="28"/>
        </w:rPr>
        <w:lastRenderedPageBreak/>
        <w:t xml:space="preserve">lietotājiem bija apgrūtināti vienota ES regulējuma trūkuma dēļ, kas veidoja valsts atbalsta regulējuma normu interpretācijas iespējas.  </w:t>
      </w:r>
    </w:p>
    <w:p w:rsidR="00903B88" w:rsidRPr="00AD4AFC" w:rsidRDefault="00903B88" w:rsidP="00903B88">
      <w:pPr>
        <w:ind w:firstLine="720"/>
        <w:jc w:val="both"/>
        <w:rPr>
          <w:rFonts w:cs="Times New Roman"/>
          <w:bCs/>
          <w:sz w:val="28"/>
          <w:szCs w:val="28"/>
        </w:rPr>
      </w:pPr>
      <w:r w:rsidRPr="00AD4AFC">
        <w:rPr>
          <w:rFonts w:cs="Times New Roman"/>
          <w:sz w:val="28"/>
          <w:szCs w:val="28"/>
        </w:rPr>
        <w:t xml:space="preserve">Lai novērstu interpretācijas iespējas un lai nodrošinātu konkurences nekropļošanu, jaunajās valsts atbalsta vadlīnijās </w:t>
      </w:r>
      <w:r w:rsidRPr="00AD4AFC">
        <w:rPr>
          <w:rFonts w:cs="Times New Roman"/>
          <w:color w:val="000000"/>
          <w:sz w:val="28"/>
          <w:szCs w:val="28"/>
        </w:rPr>
        <w:t>„Pamatnostādnes par valsts atbalstu vides aizsardzībai un enerģētikai 2014.–2020. gadam</w:t>
      </w:r>
      <w:r w:rsidRPr="00AD4AFC">
        <w:rPr>
          <w:rFonts w:cs="Times New Roman"/>
          <w:color w:val="000000"/>
          <w:sz w:val="28"/>
          <w:szCs w:val="28"/>
          <w:vertAlign w:val="superscript"/>
        </w:rPr>
        <w:footnoteReference w:id="8"/>
      </w:r>
      <w:r w:rsidRPr="00AD4AFC">
        <w:rPr>
          <w:rFonts w:cs="Times New Roman"/>
          <w:color w:val="000000"/>
          <w:sz w:val="28"/>
          <w:szCs w:val="28"/>
        </w:rPr>
        <w:t xml:space="preserve"> (spēkā no 2014.gada 1.jūlijā) (turpmāk – Vadlīnijas), dalībvalstīm pastāv iespēja piemērot līdzīgu</w:t>
      </w:r>
      <w:r w:rsidR="003A36C8">
        <w:rPr>
          <w:rFonts w:cs="Times New Roman"/>
          <w:color w:val="000000"/>
          <w:sz w:val="28"/>
          <w:szCs w:val="28"/>
        </w:rPr>
        <w:t>s</w:t>
      </w:r>
      <w:r w:rsidRPr="00AD4AFC">
        <w:rPr>
          <w:rFonts w:cs="Times New Roman"/>
          <w:color w:val="000000"/>
          <w:sz w:val="28"/>
          <w:szCs w:val="28"/>
        </w:rPr>
        <w:t xml:space="preserve"> atbalsta mehānismu</w:t>
      </w:r>
      <w:r w:rsidR="003A36C8">
        <w:rPr>
          <w:rFonts w:cs="Times New Roman"/>
          <w:color w:val="000000"/>
          <w:sz w:val="28"/>
          <w:szCs w:val="28"/>
        </w:rPr>
        <w:t>s, lai nodrošinātu nacionālo energointensīvo uzņēmumu konkurētspēju</w:t>
      </w:r>
      <w:r w:rsidRPr="00AD4AFC">
        <w:rPr>
          <w:rFonts w:cs="Times New Roman"/>
          <w:color w:val="000000"/>
          <w:sz w:val="28"/>
          <w:szCs w:val="28"/>
        </w:rPr>
        <w:t xml:space="preserve">. Ar šo Vadlīniju publicēšanu Eiropas Komisija ir sakārtojusi tiesisko paļāvību ne tikai ES dalībvalstīm, bet arī </w:t>
      </w:r>
      <w:proofErr w:type="spellStart"/>
      <w:r w:rsidRPr="00AD4AFC">
        <w:rPr>
          <w:rFonts w:cs="Times New Roman"/>
          <w:color w:val="000000"/>
          <w:sz w:val="28"/>
          <w:szCs w:val="28"/>
        </w:rPr>
        <w:t>energointensīvām</w:t>
      </w:r>
      <w:proofErr w:type="spellEnd"/>
      <w:r w:rsidRPr="00AD4AFC">
        <w:rPr>
          <w:rFonts w:cs="Times New Roman"/>
          <w:color w:val="000000"/>
          <w:sz w:val="28"/>
          <w:szCs w:val="28"/>
        </w:rPr>
        <w:t xml:space="preserve"> nozarēm un uzņēmumiem, nodrošinot vismaz iespēju, ka </w:t>
      </w:r>
      <w:r w:rsidR="00544245">
        <w:rPr>
          <w:rFonts w:cs="Times New Roman"/>
          <w:color w:val="000000"/>
          <w:sz w:val="28"/>
          <w:szCs w:val="28"/>
        </w:rPr>
        <w:t>ES dalībvalstis</w:t>
      </w:r>
      <w:r w:rsidRPr="00AD4AFC">
        <w:rPr>
          <w:rFonts w:cs="Times New Roman"/>
          <w:color w:val="000000"/>
          <w:sz w:val="28"/>
          <w:szCs w:val="28"/>
        </w:rPr>
        <w:t xml:space="preserve"> var izstrādāt un saskaņot ar Eiropas Komisiju savus nacionālos atbalsta mehānismus. </w:t>
      </w:r>
    </w:p>
    <w:p w:rsidR="00903B88" w:rsidRDefault="00903B88" w:rsidP="00187562">
      <w:pPr>
        <w:rPr>
          <w:rFonts w:cs="Times New Roman"/>
          <w:sz w:val="28"/>
          <w:szCs w:val="28"/>
        </w:rPr>
      </w:pPr>
    </w:p>
    <w:p w:rsidR="006B0474" w:rsidRPr="005B42CF" w:rsidRDefault="006B0474" w:rsidP="005B42CF">
      <w:pPr>
        <w:pStyle w:val="ListParagraph"/>
        <w:numPr>
          <w:ilvl w:val="0"/>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 xml:space="preserve">ES </w:t>
      </w:r>
      <w:r w:rsidR="009B0273" w:rsidRPr="005B42CF">
        <w:rPr>
          <w:rFonts w:eastAsia="Times New Roman" w:cs="Times New Roman"/>
          <w:b/>
          <w:bCs/>
          <w:i/>
          <w:color w:val="000000"/>
          <w:sz w:val="28"/>
          <w:szCs w:val="28"/>
          <w:lang w:eastAsia="lv-LV"/>
        </w:rPr>
        <w:t xml:space="preserve">vienots </w:t>
      </w:r>
      <w:r w:rsidRPr="005B42CF">
        <w:rPr>
          <w:rFonts w:eastAsia="Times New Roman" w:cs="Times New Roman"/>
          <w:b/>
          <w:bCs/>
          <w:i/>
          <w:color w:val="000000"/>
          <w:sz w:val="28"/>
          <w:szCs w:val="28"/>
          <w:lang w:eastAsia="lv-LV"/>
        </w:rPr>
        <w:t>tiesiskais regulējums</w:t>
      </w:r>
    </w:p>
    <w:p w:rsidR="00903B88" w:rsidRPr="00AD4AFC" w:rsidRDefault="00903B88" w:rsidP="00187562">
      <w:pPr>
        <w:jc w:val="both"/>
        <w:rPr>
          <w:rFonts w:eastAsia="Times New Roman" w:cs="Times New Roman"/>
          <w:b/>
          <w:bCs/>
          <w:color w:val="000000"/>
          <w:sz w:val="28"/>
          <w:szCs w:val="28"/>
          <w:lang w:eastAsia="lv-LV"/>
        </w:rPr>
      </w:pPr>
    </w:p>
    <w:p w:rsidR="006B0474" w:rsidRPr="00AD4AFC" w:rsidRDefault="00903B88" w:rsidP="009B0273">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Vadlīnijas</w:t>
      </w:r>
      <w:r w:rsidR="00F22D83" w:rsidRPr="00AD4AFC">
        <w:rPr>
          <w:rFonts w:eastAsia="Times New Roman" w:cs="Times New Roman"/>
          <w:bCs/>
          <w:color w:val="000000"/>
          <w:sz w:val="28"/>
          <w:szCs w:val="28"/>
          <w:lang w:eastAsia="lv-LV"/>
        </w:rPr>
        <w:t xml:space="preserve"> nosaka kārtību atbrīvojumu piemērošanai </w:t>
      </w:r>
      <w:r w:rsidR="009B0273" w:rsidRPr="00AD4AFC">
        <w:rPr>
          <w:rFonts w:eastAsia="Times New Roman" w:cs="Times New Roman"/>
          <w:bCs/>
          <w:color w:val="000000"/>
          <w:sz w:val="28"/>
          <w:szCs w:val="28"/>
          <w:lang w:eastAsia="lv-LV"/>
        </w:rPr>
        <w:t>OIK līdzvērtīgiem maksājumiem, kuri saistīti ar AER izmantošanu (</w:t>
      </w:r>
      <w:r w:rsidR="009B0273" w:rsidRPr="00AD4AFC">
        <w:rPr>
          <w:rFonts w:eastAsia="Times New Roman" w:cs="Times New Roman"/>
          <w:bCs/>
          <w:i/>
          <w:iCs/>
          <w:color w:val="000000"/>
          <w:sz w:val="28"/>
          <w:szCs w:val="28"/>
          <w:lang w:eastAsia="lv-LV"/>
        </w:rPr>
        <w:t>Atbalsts, ko sniedz, samazinot līdzdalību enerģijas no atjaunojamiem energoresursiem finansēšanā</w:t>
      </w:r>
      <w:r w:rsidR="009B0273" w:rsidRPr="00AD4AFC">
        <w:rPr>
          <w:rFonts w:eastAsia="Times New Roman" w:cs="Times New Roman"/>
          <w:bCs/>
          <w:color w:val="000000"/>
          <w:sz w:val="28"/>
          <w:szCs w:val="28"/>
          <w:lang w:eastAsia="lv-LV"/>
        </w:rPr>
        <w:t>).</w:t>
      </w:r>
    </w:p>
    <w:p w:rsidR="009B0273" w:rsidRPr="00AD4AFC" w:rsidRDefault="009B0273" w:rsidP="009B0273">
      <w:pPr>
        <w:ind w:firstLine="720"/>
        <w:jc w:val="both"/>
        <w:rPr>
          <w:rFonts w:eastAsia="Times New Roman" w:cs="Times New Roman"/>
          <w:sz w:val="28"/>
          <w:szCs w:val="28"/>
          <w:lang w:eastAsia="lv-LV"/>
        </w:rPr>
      </w:pPr>
      <w:r w:rsidRPr="00AD4AFC">
        <w:rPr>
          <w:rFonts w:eastAsia="Times New Roman" w:cs="Times New Roman"/>
          <w:bCs/>
          <w:color w:val="000000"/>
          <w:sz w:val="28"/>
          <w:szCs w:val="28"/>
          <w:lang w:eastAsia="lv-LV"/>
        </w:rPr>
        <w:t>E</w:t>
      </w:r>
      <w:r w:rsidR="00A852EC" w:rsidRPr="00AD4AFC">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sidR="00A852EC" w:rsidRPr="00AD4AFC">
        <w:rPr>
          <w:rFonts w:eastAsia="Times New Roman" w:cs="Times New Roman"/>
          <w:bCs/>
          <w:color w:val="000000"/>
          <w:sz w:val="28"/>
          <w:szCs w:val="28"/>
          <w:lang w:eastAsia="lv-LV"/>
        </w:rPr>
        <w:t>omisija</w:t>
      </w:r>
      <w:r w:rsidRPr="00AD4AFC">
        <w:rPr>
          <w:rFonts w:eastAsia="Times New Roman" w:cs="Times New Roman"/>
          <w:bCs/>
          <w:color w:val="000000"/>
          <w:sz w:val="28"/>
          <w:szCs w:val="28"/>
          <w:lang w:eastAsia="lv-LV"/>
        </w:rPr>
        <w:t xml:space="preserve"> norāda, ka finansējums enerģijas no </w:t>
      </w:r>
      <w:r w:rsidR="00CD3596">
        <w:rPr>
          <w:rFonts w:eastAsia="Times New Roman" w:cs="Times New Roman"/>
          <w:bCs/>
          <w:color w:val="000000"/>
          <w:sz w:val="28"/>
          <w:szCs w:val="28"/>
          <w:lang w:eastAsia="lv-LV"/>
        </w:rPr>
        <w:t xml:space="preserve">AER </w:t>
      </w:r>
      <w:r w:rsidRPr="00AD4AFC">
        <w:rPr>
          <w:rFonts w:eastAsia="Times New Roman" w:cs="Times New Roman"/>
          <w:bCs/>
          <w:color w:val="000000"/>
          <w:sz w:val="28"/>
          <w:szCs w:val="28"/>
          <w:lang w:eastAsia="lv-LV"/>
        </w:rPr>
        <w:t xml:space="preserve">atbalstam, izmantojot maksas, kā tāds nav vērsts uz negatīvu ārējo ietekmi un attiecīgi tieši neietekmē vidi. Tādēļ šādas maksas pamatā atšķiras no netiešajiem nodokļiem, ko uzliek elektroenerģijai, pat ja to rezultātā arī var pieaugt elektroenerģijas cenas. Elektroenerģijas izmaksu palielinājums var būt tiešs, ja nosaka īpašu maksu, ko iekasē no elektroenerģijas lietotājiem papildus elektroenerģijas cenai, vai netiešs tādu papildu maksu veidā, ko sedz elektroenerģijas piegādātāji, pamatojoties uz saistībām pirkt </w:t>
      </w:r>
      <w:r w:rsidR="00CD3596">
        <w:rPr>
          <w:rFonts w:eastAsia="Times New Roman" w:cs="Times New Roman"/>
          <w:bCs/>
          <w:color w:val="000000"/>
          <w:sz w:val="28"/>
          <w:szCs w:val="28"/>
          <w:lang w:eastAsia="lv-LV"/>
        </w:rPr>
        <w:t>AER</w:t>
      </w:r>
      <w:r w:rsidRPr="00AD4AFC">
        <w:rPr>
          <w:rFonts w:eastAsia="Times New Roman" w:cs="Times New Roman"/>
          <w:bCs/>
          <w:color w:val="000000"/>
          <w:sz w:val="28"/>
          <w:szCs w:val="28"/>
          <w:lang w:eastAsia="lv-LV"/>
        </w:rPr>
        <w:t xml:space="preserve"> enerģiju, un ko viņi pēc tam novirza uz saviem klientiem – elektroenerģijas lietotājiem. E</w:t>
      </w:r>
      <w:r w:rsidR="00A852EC" w:rsidRPr="00AD4AFC">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sidR="00A852EC" w:rsidRPr="00AD4AFC">
        <w:rPr>
          <w:rFonts w:eastAsia="Times New Roman" w:cs="Times New Roman"/>
          <w:bCs/>
          <w:color w:val="000000"/>
          <w:sz w:val="28"/>
          <w:szCs w:val="28"/>
          <w:lang w:eastAsia="lv-LV"/>
        </w:rPr>
        <w:t>omisija</w:t>
      </w:r>
      <w:r w:rsidRPr="00AD4AFC">
        <w:rPr>
          <w:rFonts w:eastAsia="Times New Roman" w:cs="Times New Roman"/>
          <w:bCs/>
          <w:color w:val="000000"/>
          <w:sz w:val="28"/>
          <w:szCs w:val="28"/>
          <w:lang w:eastAsia="lv-LV"/>
        </w:rPr>
        <w:t xml:space="preserve"> atzīst, ka</w:t>
      </w:r>
      <w:r w:rsidRPr="00AD4AFC">
        <w:rPr>
          <w:rFonts w:eastAsia="Times New Roman" w:cs="Times New Roman"/>
          <w:sz w:val="28"/>
          <w:szCs w:val="28"/>
          <w:lang w:eastAsia="lv-LV"/>
        </w:rPr>
        <w:t xml:space="preserve">, ja izmaksas, kas rodas saistībā ar finansējumu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atbalstam, sedz enerģijas lietotāji, tad šīs izmaksas būtu jāsedz tādā veidā, kas nerada diskrimināciju enerģijas lietotāju vidū.</w:t>
      </w:r>
    </w:p>
    <w:p w:rsidR="009B0273" w:rsidRPr="00AD4AFC" w:rsidRDefault="009B0273" w:rsidP="009B0273">
      <w:pPr>
        <w:ind w:firstLine="720"/>
        <w:jc w:val="both"/>
        <w:rPr>
          <w:rFonts w:eastAsia="Times New Roman" w:cs="Times New Roman"/>
          <w:sz w:val="28"/>
          <w:szCs w:val="28"/>
          <w:lang w:eastAsia="lv-LV"/>
        </w:rPr>
      </w:pPr>
      <w:r w:rsidRPr="00AD4AFC">
        <w:rPr>
          <w:rFonts w:eastAsia="Times New Roman" w:cs="Times New Roman"/>
          <w:sz w:val="28"/>
          <w:szCs w:val="28"/>
          <w:lang w:eastAsia="lv-LV"/>
        </w:rPr>
        <w:t xml:space="preserve">Tomēr var būt nepieciešami daži šo izmaksu mērķtiecīgi samazinājumi, lai nodrošinātu pietiekamu finansējuma bāzi enerģijas no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atbalstam un tādējādi palīdzētu sasniegt ES līmenī noteiktos mērķus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jomā. No vienas puses, lai novērstu to, ka uzņēmumiem, kurus jo īpaši ietekmē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finansēšanas izmaksas, tiek radīti īpaši nelabvēlīgi konkurences apstākļi, dalībvalstis var vēlēties piešķirt daļēju kompensāciju par šīm papildu izmaksām. Bez šādas kompensācijas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finansēšana var nebūt ilgtspējīga un var mazināties sabiedrības atbalsts vērienīgu pasākumu ieviešanai nolūkā veicināt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enerģiju. No otras puses, ja šāda kompensācija ir pārāk liela vai tiek piešķirta pārāk daudziem elektroenerģijas lietotājiem, var būt apdraudēts vispārējais finansējums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atbalstam un tāpat var būt </w:t>
      </w:r>
      <w:r w:rsidRPr="00AD4AFC">
        <w:rPr>
          <w:rFonts w:eastAsia="Times New Roman" w:cs="Times New Roman"/>
          <w:sz w:val="28"/>
          <w:szCs w:val="28"/>
          <w:lang w:eastAsia="lv-LV"/>
        </w:rPr>
        <w:lastRenderedPageBreak/>
        <w:t xml:space="preserve">traucēts sabiedrības atbalsts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enerģijas veicināšanai, kā arī konkurences un tirdzniecības kropļojumi var būt īpaši lieli.</w:t>
      </w:r>
    </w:p>
    <w:p w:rsidR="009B0273" w:rsidRPr="00AD4AFC" w:rsidRDefault="009B0273" w:rsidP="009B0273">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E</w:t>
      </w:r>
      <w:r w:rsidR="00A852EC" w:rsidRPr="00AD4AFC">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sidR="00A852EC" w:rsidRPr="00AD4AFC">
        <w:rPr>
          <w:rFonts w:eastAsia="Times New Roman" w:cs="Times New Roman"/>
          <w:bCs/>
          <w:color w:val="000000"/>
          <w:sz w:val="28"/>
          <w:szCs w:val="28"/>
          <w:lang w:eastAsia="lv-LV"/>
        </w:rPr>
        <w:t>omisija</w:t>
      </w:r>
      <w:r w:rsidRPr="00AD4AFC">
        <w:rPr>
          <w:rFonts w:eastAsia="Times New Roman" w:cs="Times New Roman"/>
          <w:bCs/>
          <w:color w:val="000000"/>
          <w:sz w:val="28"/>
          <w:szCs w:val="28"/>
          <w:lang w:eastAsia="lv-LV"/>
        </w:rPr>
        <w:t xml:space="preserve"> izvirza šādus principus iespējamo atbrīvojumu piemērošanai:</w:t>
      </w:r>
    </w:p>
    <w:p w:rsidR="00DF78BF" w:rsidRPr="00AD4AFC" w:rsidRDefault="00277DAC" w:rsidP="00DF78BF">
      <w:pPr>
        <w:pStyle w:val="ListParagraph"/>
        <w:numPr>
          <w:ilvl w:val="0"/>
          <w:numId w:val="8"/>
        </w:numPr>
        <w:jc w:val="both"/>
        <w:rPr>
          <w:rFonts w:eastAsia="Times New Roman" w:cs="Times New Roman"/>
          <w:sz w:val="28"/>
          <w:szCs w:val="28"/>
          <w:lang w:eastAsia="lv-LV"/>
        </w:rPr>
      </w:pPr>
      <w:r>
        <w:rPr>
          <w:rFonts w:eastAsia="Times New Roman" w:cs="Times New Roman"/>
          <w:sz w:val="28"/>
          <w:szCs w:val="28"/>
          <w:lang w:eastAsia="lv-LV"/>
        </w:rPr>
        <w:t xml:space="preserve">ES </w:t>
      </w:r>
      <w:r w:rsidR="009B0273" w:rsidRPr="00AD4AFC">
        <w:rPr>
          <w:rFonts w:eastAsia="Times New Roman" w:cs="Times New Roman"/>
          <w:sz w:val="28"/>
          <w:szCs w:val="28"/>
          <w:lang w:eastAsia="lv-LV"/>
        </w:rPr>
        <w:t xml:space="preserve">dalībvalstīm būs jāpierāda, ka papildu izmaksas, kas atspoguļotas augstākajās elektroenerģijas cenās, kuras sedz atbalsta saņēmēji, izriet tikai no enerģijas no </w:t>
      </w:r>
      <w:r w:rsidR="00CD3596">
        <w:rPr>
          <w:rFonts w:eastAsia="Times New Roman" w:cs="Times New Roman"/>
          <w:sz w:val="28"/>
          <w:szCs w:val="28"/>
          <w:lang w:eastAsia="lv-LV"/>
        </w:rPr>
        <w:t>AER</w:t>
      </w:r>
      <w:r w:rsidR="009B0273" w:rsidRPr="00AD4AFC">
        <w:rPr>
          <w:rFonts w:eastAsia="Times New Roman" w:cs="Times New Roman"/>
          <w:sz w:val="28"/>
          <w:szCs w:val="28"/>
          <w:lang w:eastAsia="lv-LV"/>
        </w:rPr>
        <w:t xml:space="preserve"> atbalsta. Papildu izmaksas nevar pārsniegt finansējumu enerģijas no </w:t>
      </w:r>
      <w:r w:rsidR="00CD3596">
        <w:rPr>
          <w:rFonts w:eastAsia="Times New Roman" w:cs="Times New Roman"/>
          <w:sz w:val="28"/>
          <w:szCs w:val="28"/>
          <w:lang w:eastAsia="lv-LV"/>
        </w:rPr>
        <w:t>AER</w:t>
      </w:r>
      <w:r w:rsidR="009B0273" w:rsidRPr="00AD4AFC">
        <w:rPr>
          <w:rFonts w:eastAsia="Times New Roman" w:cs="Times New Roman"/>
          <w:sz w:val="28"/>
          <w:szCs w:val="28"/>
          <w:lang w:eastAsia="lv-LV"/>
        </w:rPr>
        <w:t xml:space="preserve"> atbalstam;</w:t>
      </w:r>
    </w:p>
    <w:p w:rsidR="00DF78BF" w:rsidRPr="00AD4AFC" w:rsidRDefault="009B0273" w:rsidP="00DF78BF">
      <w:pPr>
        <w:pStyle w:val="ListParagraph"/>
        <w:numPr>
          <w:ilvl w:val="0"/>
          <w:numId w:val="8"/>
        </w:numPr>
        <w:jc w:val="both"/>
        <w:rPr>
          <w:rFonts w:eastAsia="Times New Roman" w:cs="Times New Roman"/>
          <w:sz w:val="28"/>
          <w:szCs w:val="28"/>
          <w:lang w:eastAsia="lv-LV"/>
        </w:rPr>
      </w:pPr>
      <w:r w:rsidRPr="00AD4AFC">
        <w:rPr>
          <w:rFonts w:eastAsia="Times New Roman" w:cs="Times New Roman"/>
          <w:sz w:val="28"/>
          <w:szCs w:val="28"/>
          <w:lang w:eastAsia="lv-LV"/>
        </w:rPr>
        <w:t xml:space="preserve">Atbalsts būtu jāattiecina tikai uz nozarēm, kuru konkurētspēja ir apdraudēta to izmaksu dēļ, kas rodas finansējuma enerģijas no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atbalstam rezultātā, ņemot vērā to </w:t>
      </w:r>
      <w:proofErr w:type="spellStart"/>
      <w:r w:rsidRPr="00AD4AFC">
        <w:rPr>
          <w:rFonts w:eastAsia="Times New Roman" w:cs="Times New Roman"/>
          <w:sz w:val="28"/>
          <w:szCs w:val="28"/>
          <w:lang w:eastAsia="lv-LV"/>
        </w:rPr>
        <w:t>elektroietilpību</w:t>
      </w:r>
      <w:proofErr w:type="spellEnd"/>
      <w:r w:rsidRPr="00AD4AFC">
        <w:rPr>
          <w:rFonts w:eastAsia="Times New Roman" w:cs="Times New Roman"/>
          <w:sz w:val="28"/>
          <w:szCs w:val="28"/>
          <w:lang w:eastAsia="lv-LV"/>
        </w:rPr>
        <w:t xml:space="preserve"> un starptautisko tirdzniecību (E</w:t>
      </w:r>
      <w:r w:rsidR="00277DAC">
        <w:rPr>
          <w:rFonts w:eastAsia="Times New Roman" w:cs="Times New Roman"/>
          <w:sz w:val="28"/>
          <w:szCs w:val="28"/>
          <w:lang w:eastAsia="lv-LV"/>
        </w:rPr>
        <w:t xml:space="preserve">iropas </w:t>
      </w:r>
      <w:r w:rsidRPr="00AD4AFC">
        <w:rPr>
          <w:rFonts w:eastAsia="Times New Roman" w:cs="Times New Roman"/>
          <w:sz w:val="28"/>
          <w:szCs w:val="28"/>
          <w:lang w:eastAsia="lv-LV"/>
        </w:rPr>
        <w:t>K</w:t>
      </w:r>
      <w:r w:rsidR="00277DAC">
        <w:rPr>
          <w:rFonts w:eastAsia="Times New Roman" w:cs="Times New Roman"/>
          <w:sz w:val="28"/>
          <w:szCs w:val="28"/>
          <w:lang w:eastAsia="lv-LV"/>
        </w:rPr>
        <w:t>omisija</w:t>
      </w:r>
      <w:r w:rsidRPr="00AD4AFC">
        <w:rPr>
          <w:rFonts w:eastAsia="Times New Roman" w:cs="Times New Roman"/>
          <w:sz w:val="28"/>
          <w:szCs w:val="28"/>
          <w:lang w:eastAsia="lv-LV"/>
        </w:rPr>
        <w:t xml:space="preserve"> ir izveidojusi nozaru sarakstu un noteikusi papildus nosacījumus)</w:t>
      </w:r>
      <w:r w:rsidR="00DF78BF" w:rsidRPr="00AD4AFC">
        <w:rPr>
          <w:rFonts w:eastAsia="Times New Roman" w:cs="Times New Roman"/>
          <w:sz w:val="28"/>
          <w:szCs w:val="28"/>
          <w:lang w:eastAsia="lv-LV"/>
        </w:rPr>
        <w:t>;</w:t>
      </w:r>
    </w:p>
    <w:p w:rsidR="00DF78BF" w:rsidRPr="00AD4AFC" w:rsidRDefault="009B0273" w:rsidP="00DF78BF">
      <w:pPr>
        <w:pStyle w:val="ListParagraph"/>
        <w:numPr>
          <w:ilvl w:val="0"/>
          <w:numId w:val="8"/>
        </w:numPr>
        <w:jc w:val="both"/>
        <w:rPr>
          <w:rFonts w:eastAsia="Times New Roman" w:cs="Times New Roman"/>
          <w:sz w:val="28"/>
          <w:szCs w:val="28"/>
          <w:lang w:eastAsia="lv-LV"/>
        </w:rPr>
      </w:pPr>
      <w:r w:rsidRPr="00AD4AFC">
        <w:rPr>
          <w:rFonts w:eastAsia="Times New Roman" w:cs="Times New Roman"/>
          <w:sz w:val="28"/>
          <w:szCs w:val="28"/>
          <w:lang w:eastAsia="lv-LV"/>
        </w:rPr>
        <w:t xml:space="preserve">Atbalstāmajā nozarē </w:t>
      </w:r>
      <w:r w:rsidR="00277DAC">
        <w:rPr>
          <w:rFonts w:eastAsia="Times New Roman" w:cs="Times New Roman"/>
          <w:sz w:val="28"/>
          <w:szCs w:val="28"/>
          <w:lang w:eastAsia="lv-LV"/>
        </w:rPr>
        <w:t xml:space="preserve">ES </w:t>
      </w:r>
      <w:r w:rsidRPr="00AD4AFC">
        <w:rPr>
          <w:rFonts w:eastAsia="Times New Roman" w:cs="Times New Roman"/>
          <w:sz w:val="28"/>
          <w:szCs w:val="28"/>
          <w:lang w:eastAsia="lv-LV"/>
        </w:rPr>
        <w:t>dalībvalstīm jānodrošina, ka atbalsta saņēmēju atlase ir balstīta uz objektīviem, nediskriminējošiem un pārredzamiem kritērijiem un atbalsta piešķiršana notiek principā tādā pašā veidā visiem konkurentiem tajā pašā nozarē, ja tie atr</w:t>
      </w:r>
      <w:r w:rsidR="00DF78BF" w:rsidRPr="00AD4AFC">
        <w:rPr>
          <w:rFonts w:eastAsia="Times New Roman" w:cs="Times New Roman"/>
          <w:sz w:val="28"/>
          <w:szCs w:val="28"/>
          <w:lang w:eastAsia="lv-LV"/>
        </w:rPr>
        <w:t>odas līdzīgā faktiskā situācijā;</w:t>
      </w:r>
    </w:p>
    <w:p w:rsidR="00DF78BF" w:rsidRPr="00AD4AFC" w:rsidRDefault="009B0273" w:rsidP="00DF78BF">
      <w:pPr>
        <w:pStyle w:val="ListParagraph"/>
        <w:numPr>
          <w:ilvl w:val="0"/>
          <w:numId w:val="8"/>
        </w:numPr>
        <w:jc w:val="both"/>
        <w:rPr>
          <w:rFonts w:eastAsia="Times New Roman" w:cs="Times New Roman"/>
          <w:sz w:val="28"/>
          <w:szCs w:val="28"/>
          <w:lang w:eastAsia="lv-LV"/>
        </w:rPr>
      </w:pPr>
      <w:r w:rsidRPr="00AD4AFC">
        <w:rPr>
          <w:rFonts w:eastAsia="Times New Roman" w:cs="Times New Roman"/>
          <w:sz w:val="28"/>
          <w:szCs w:val="28"/>
          <w:lang w:eastAsia="lv-LV"/>
        </w:rPr>
        <w:t xml:space="preserve">Atbalsta saņēmēji vismaz attiecībā uz 15% no maksājamajām papildu izmaksām nesaņem samazinājumu. Nepieciešamības gadījumā dalībvalstīm ir iespēja to izmaksu summu, ko rada atbalsta </w:t>
      </w:r>
      <w:r w:rsidR="00CD3596">
        <w:rPr>
          <w:rFonts w:eastAsia="Times New Roman" w:cs="Times New Roman"/>
          <w:sz w:val="28"/>
          <w:szCs w:val="28"/>
          <w:lang w:eastAsia="lv-LV"/>
        </w:rPr>
        <w:t>AER</w:t>
      </w:r>
      <w:r w:rsidRPr="00AD4AFC">
        <w:rPr>
          <w:rFonts w:eastAsia="Times New Roman" w:cs="Times New Roman"/>
          <w:sz w:val="28"/>
          <w:szCs w:val="28"/>
          <w:lang w:eastAsia="lv-LV"/>
        </w:rPr>
        <w:t xml:space="preserve"> enerģijai finansēšana un kas jāmaksā uzņēmuma līmenī, samazināt līdz 4% no attiecīgā uzņēmuma bruto pievienotās vērtības. Uzņēmumiem, kuru </w:t>
      </w:r>
      <w:proofErr w:type="spellStart"/>
      <w:r w:rsidRPr="00AD4AFC">
        <w:rPr>
          <w:rFonts w:eastAsia="Times New Roman" w:cs="Times New Roman"/>
          <w:sz w:val="28"/>
          <w:szCs w:val="28"/>
          <w:lang w:eastAsia="lv-LV"/>
        </w:rPr>
        <w:t>elektroietilpība</w:t>
      </w:r>
      <w:proofErr w:type="spellEnd"/>
      <w:r w:rsidRPr="00AD4AFC">
        <w:rPr>
          <w:rFonts w:eastAsia="Times New Roman" w:cs="Times New Roman"/>
          <w:sz w:val="28"/>
          <w:szCs w:val="28"/>
          <w:lang w:eastAsia="lv-LV"/>
        </w:rPr>
        <w:t xml:space="preserve"> ir vismaz 20%, </w:t>
      </w:r>
      <w:r w:rsidR="00277DAC">
        <w:rPr>
          <w:rFonts w:eastAsia="Times New Roman" w:cs="Times New Roman"/>
          <w:sz w:val="28"/>
          <w:szCs w:val="28"/>
          <w:lang w:eastAsia="lv-LV"/>
        </w:rPr>
        <w:t xml:space="preserve">ES </w:t>
      </w:r>
      <w:r w:rsidRPr="00AD4AFC">
        <w:rPr>
          <w:rFonts w:eastAsia="Times New Roman" w:cs="Times New Roman"/>
          <w:sz w:val="28"/>
          <w:szCs w:val="28"/>
          <w:lang w:eastAsia="lv-LV"/>
        </w:rPr>
        <w:t>dalībvalstis var ierobežot kopējo maksājamo summu līdz 0,5% no attiecīgā uzņē</w:t>
      </w:r>
      <w:r w:rsidR="00DF78BF" w:rsidRPr="00AD4AFC">
        <w:rPr>
          <w:rFonts w:eastAsia="Times New Roman" w:cs="Times New Roman"/>
          <w:sz w:val="28"/>
          <w:szCs w:val="28"/>
          <w:lang w:eastAsia="lv-LV"/>
        </w:rPr>
        <w:t>muma bruto pievienotās vērtības;</w:t>
      </w:r>
    </w:p>
    <w:p w:rsidR="00DF78BF" w:rsidRPr="00AD4AFC" w:rsidRDefault="00DF78BF" w:rsidP="00DF78BF">
      <w:pPr>
        <w:pStyle w:val="ListParagraph"/>
        <w:numPr>
          <w:ilvl w:val="0"/>
          <w:numId w:val="8"/>
        </w:numPr>
        <w:jc w:val="both"/>
        <w:rPr>
          <w:rFonts w:eastAsia="Times New Roman" w:cs="Times New Roman"/>
          <w:sz w:val="28"/>
          <w:szCs w:val="28"/>
          <w:lang w:eastAsia="lv-LV"/>
        </w:rPr>
      </w:pPr>
      <w:r w:rsidRPr="00AD4AFC">
        <w:rPr>
          <w:rFonts w:eastAsia="Times New Roman" w:cs="Times New Roman"/>
          <w:sz w:val="28"/>
          <w:szCs w:val="28"/>
          <w:lang w:eastAsia="lv-LV"/>
        </w:rPr>
        <w:t>Ja atbalstu piešķir maksas samazinājuma veidā, ir jāievieš </w:t>
      </w:r>
      <w:proofErr w:type="spellStart"/>
      <w:r w:rsidRPr="00AD4AFC">
        <w:rPr>
          <w:rFonts w:eastAsia="Times New Roman" w:cs="Times New Roman"/>
          <w:i/>
          <w:iCs/>
          <w:sz w:val="28"/>
          <w:szCs w:val="28"/>
          <w:lang w:eastAsia="lv-LV"/>
        </w:rPr>
        <w:t>ex</w:t>
      </w:r>
      <w:r w:rsidR="00277DAC">
        <w:rPr>
          <w:rFonts w:eastAsia="Times New Roman" w:cs="Times New Roman"/>
          <w:i/>
          <w:iCs/>
          <w:sz w:val="28"/>
          <w:szCs w:val="28"/>
          <w:lang w:eastAsia="lv-LV"/>
        </w:rPr>
        <w:t>-</w:t>
      </w:r>
      <w:proofErr w:type="spellEnd"/>
      <w:r w:rsidRPr="00AD4AFC">
        <w:rPr>
          <w:rFonts w:eastAsia="Times New Roman" w:cs="Times New Roman"/>
          <w:i/>
          <w:iCs/>
          <w:sz w:val="28"/>
          <w:szCs w:val="28"/>
          <w:lang w:eastAsia="lv-LV"/>
        </w:rPr>
        <w:t xml:space="preserve"> post</w:t>
      </w:r>
      <w:r w:rsidRPr="00AD4AFC">
        <w:rPr>
          <w:rFonts w:eastAsia="Times New Roman" w:cs="Times New Roman"/>
          <w:sz w:val="28"/>
          <w:szCs w:val="28"/>
          <w:lang w:eastAsia="lv-LV"/>
        </w:rPr>
        <w:t> uzraudzības mehānisms, lai nodrošinātu, ka jebkāda atbalsta pārmaksa tiks atmaksāta līdz nākamā gada 1.jūlijam. Ja atbalstu piešķir fiksētas ikgadējas kompensācijas veidā, tā ir jāaprēķina, pamatojoties uz vēsturiskiem datiem, t. i., uz datiem par patērēto elektroenerģiju un bruto pievienoto vērtību attiecīgajā bāzes gadā.</w:t>
      </w:r>
    </w:p>
    <w:p w:rsidR="00DF78BF" w:rsidRPr="00AD4AFC" w:rsidRDefault="00DF78BF" w:rsidP="009B0273">
      <w:pPr>
        <w:ind w:firstLine="720"/>
        <w:jc w:val="both"/>
        <w:rPr>
          <w:rFonts w:eastAsia="Times New Roman" w:cs="Times New Roman"/>
          <w:sz w:val="28"/>
          <w:szCs w:val="28"/>
          <w:lang w:eastAsia="lv-LV"/>
        </w:rPr>
      </w:pPr>
      <w:r w:rsidRPr="00AD4AFC">
        <w:rPr>
          <w:rFonts w:eastAsia="Times New Roman" w:cs="Times New Roman"/>
          <w:sz w:val="28"/>
          <w:szCs w:val="28"/>
          <w:lang w:eastAsia="lv-LV"/>
        </w:rPr>
        <w:t>Šādu vispārīgu principu noteikšana ES līmenī padara par iespējamu atsākt diskusijas Latvijā par papildus OIK samazināšanas pasākumiem energoietilpīgajiem uzņēmumiem.</w:t>
      </w:r>
      <w:r w:rsidR="00DF774B" w:rsidRPr="00AD4AFC">
        <w:rPr>
          <w:rFonts w:eastAsia="Times New Roman" w:cs="Times New Roman"/>
          <w:sz w:val="28"/>
          <w:szCs w:val="28"/>
          <w:lang w:eastAsia="lv-LV"/>
        </w:rPr>
        <w:t xml:space="preserve"> Šīs diskusijas turpināšanai ir nepieciešams veikt padziļinātu analīzi par atbilstošu nozaru uzņēmumu enerģijas patēriņu un modelēt OIK sloga pārdales risinājumus, ievērojot citu elektroenerģijas lietotāju intereses.</w:t>
      </w:r>
    </w:p>
    <w:p w:rsidR="00F12E80" w:rsidRPr="00AD4AFC" w:rsidRDefault="00F12E80" w:rsidP="00F12E80">
      <w:pPr>
        <w:jc w:val="both"/>
        <w:rPr>
          <w:rFonts w:eastAsia="Times New Roman" w:cs="Times New Roman"/>
          <w:sz w:val="28"/>
          <w:szCs w:val="28"/>
          <w:lang w:eastAsia="lv-LV"/>
        </w:rPr>
      </w:pPr>
    </w:p>
    <w:p w:rsidR="006B0474" w:rsidRPr="005B42CF" w:rsidRDefault="00F12E80" w:rsidP="005B42CF">
      <w:pPr>
        <w:pStyle w:val="ListParagraph"/>
        <w:numPr>
          <w:ilvl w:val="1"/>
          <w:numId w:val="14"/>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Subsīdiju</w:t>
      </w:r>
      <w:r w:rsidR="00F75CF9" w:rsidRPr="005B42CF">
        <w:rPr>
          <w:rFonts w:eastAsia="Times New Roman" w:cs="Times New Roman"/>
          <w:b/>
          <w:bCs/>
          <w:i/>
          <w:color w:val="000000"/>
          <w:sz w:val="28"/>
          <w:szCs w:val="28"/>
          <w:lang w:eastAsia="lv-LV"/>
        </w:rPr>
        <w:t xml:space="preserve"> </w:t>
      </w:r>
      <w:r w:rsidRPr="005B42CF">
        <w:rPr>
          <w:rFonts w:eastAsia="Times New Roman" w:cs="Times New Roman"/>
          <w:b/>
          <w:bCs/>
          <w:i/>
          <w:color w:val="000000"/>
          <w:sz w:val="28"/>
          <w:szCs w:val="28"/>
          <w:lang w:eastAsia="lv-LV"/>
        </w:rPr>
        <w:t>elektroenerģijas</w:t>
      </w:r>
      <w:r w:rsidR="00F75CF9" w:rsidRPr="005B42CF">
        <w:rPr>
          <w:rFonts w:eastAsia="Times New Roman" w:cs="Times New Roman"/>
          <w:b/>
          <w:bCs/>
          <w:i/>
          <w:color w:val="000000"/>
          <w:sz w:val="28"/>
          <w:szCs w:val="28"/>
          <w:lang w:eastAsia="lv-LV"/>
        </w:rPr>
        <w:t xml:space="preserve"> ražotājiem saskaņošanas process ar Eiropas Komisiju </w:t>
      </w:r>
    </w:p>
    <w:p w:rsidR="009B4D26" w:rsidRPr="00AD4AFC" w:rsidRDefault="009B4D26" w:rsidP="00187562">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E</w:t>
      </w:r>
      <w:r w:rsidR="00E512D7">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sidR="00E512D7">
        <w:rPr>
          <w:rFonts w:eastAsia="Times New Roman" w:cs="Times New Roman"/>
          <w:bCs/>
          <w:color w:val="000000"/>
          <w:sz w:val="28"/>
          <w:szCs w:val="28"/>
          <w:lang w:eastAsia="lv-LV"/>
        </w:rPr>
        <w:t>omisijas</w:t>
      </w:r>
      <w:r w:rsidRPr="00AD4AFC">
        <w:rPr>
          <w:rFonts w:eastAsia="Times New Roman" w:cs="Times New Roman"/>
          <w:bCs/>
          <w:color w:val="000000"/>
          <w:sz w:val="28"/>
          <w:szCs w:val="28"/>
          <w:lang w:eastAsia="lv-LV"/>
        </w:rPr>
        <w:t xml:space="preserve"> publicētās pamatnostādnes papildus iepriekšminētajam iezīmē  </w:t>
      </w:r>
      <w:r w:rsidR="00884D38" w:rsidRPr="00AD4AFC">
        <w:rPr>
          <w:rFonts w:eastAsia="Times New Roman" w:cs="Times New Roman"/>
          <w:bCs/>
          <w:color w:val="000000"/>
          <w:sz w:val="28"/>
          <w:szCs w:val="28"/>
          <w:lang w:eastAsia="lv-LV"/>
        </w:rPr>
        <w:t xml:space="preserve">arī nepieciešamību </w:t>
      </w:r>
      <w:proofErr w:type="spellStart"/>
      <w:r w:rsidR="00884D38" w:rsidRPr="00AD4AFC">
        <w:rPr>
          <w:rFonts w:eastAsia="Times New Roman" w:cs="Times New Roman"/>
          <w:bCs/>
          <w:color w:val="000000"/>
          <w:sz w:val="28"/>
          <w:szCs w:val="28"/>
          <w:lang w:eastAsia="lv-LV"/>
        </w:rPr>
        <w:t>notificēt</w:t>
      </w:r>
      <w:proofErr w:type="spellEnd"/>
      <w:r w:rsidR="00884D38" w:rsidRPr="00AD4AFC">
        <w:rPr>
          <w:rFonts w:eastAsia="Times New Roman" w:cs="Times New Roman"/>
          <w:bCs/>
          <w:color w:val="000000"/>
          <w:sz w:val="28"/>
          <w:szCs w:val="28"/>
          <w:lang w:eastAsia="lv-LV"/>
        </w:rPr>
        <w:t xml:space="preserve"> E</w:t>
      </w:r>
      <w:r w:rsidR="00277DAC">
        <w:rPr>
          <w:rFonts w:eastAsia="Times New Roman" w:cs="Times New Roman"/>
          <w:bCs/>
          <w:color w:val="000000"/>
          <w:sz w:val="28"/>
          <w:szCs w:val="28"/>
          <w:lang w:eastAsia="lv-LV"/>
        </w:rPr>
        <w:t xml:space="preserve">iropas </w:t>
      </w:r>
      <w:r w:rsidR="00884D38" w:rsidRPr="00AD4AFC">
        <w:rPr>
          <w:rFonts w:eastAsia="Times New Roman" w:cs="Times New Roman"/>
          <w:bCs/>
          <w:color w:val="000000"/>
          <w:sz w:val="28"/>
          <w:szCs w:val="28"/>
          <w:lang w:eastAsia="lv-LV"/>
        </w:rPr>
        <w:t>K</w:t>
      </w:r>
      <w:r w:rsidR="00277DAC">
        <w:rPr>
          <w:rFonts w:eastAsia="Times New Roman" w:cs="Times New Roman"/>
          <w:bCs/>
          <w:color w:val="000000"/>
          <w:sz w:val="28"/>
          <w:szCs w:val="28"/>
          <w:lang w:eastAsia="lv-LV"/>
        </w:rPr>
        <w:t>omisijā</w:t>
      </w:r>
      <w:r w:rsidR="00884D38" w:rsidRPr="00AD4AFC">
        <w:rPr>
          <w:rFonts w:eastAsia="Times New Roman" w:cs="Times New Roman"/>
          <w:bCs/>
          <w:color w:val="000000"/>
          <w:sz w:val="28"/>
          <w:szCs w:val="28"/>
          <w:lang w:eastAsia="lv-LV"/>
        </w:rPr>
        <w:t xml:space="preserve"> līdz šim piemērotās valsts atbalsta shēmas</w:t>
      </w:r>
      <w:r w:rsidR="00B5764A" w:rsidRPr="00AD4AFC">
        <w:rPr>
          <w:rFonts w:eastAsia="Times New Roman" w:cs="Times New Roman"/>
          <w:bCs/>
          <w:color w:val="000000"/>
          <w:sz w:val="28"/>
          <w:szCs w:val="28"/>
          <w:lang w:eastAsia="lv-LV"/>
        </w:rPr>
        <w:t>. Šis process ir uzsākts 2013.gada decembrī un atbilstoši E</w:t>
      </w:r>
      <w:r w:rsidR="00277DAC">
        <w:rPr>
          <w:rFonts w:eastAsia="Times New Roman" w:cs="Times New Roman"/>
          <w:bCs/>
          <w:color w:val="000000"/>
          <w:sz w:val="28"/>
          <w:szCs w:val="28"/>
          <w:lang w:eastAsia="lv-LV"/>
        </w:rPr>
        <w:t xml:space="preserve">iropas </w:t>
      </w:r>
      <w:r w:rsidR="00B5764A" w:rsidRPr="00AD4AFC">
        <w:rPr>
          <w:rFonts w:eastAsia="Times New Roman" w:cs="Times New Roman"/>
          <w:bCs/>
          <w:color w:val="000000"/>
          <w:sz w:val="28"/>
          <w:szCs w:val="28"/>
          <w:lang w:eastAsia="lv-LV"/>
        </w:rPr>
        <w:lastRenderedPageBreak/>
        <w:t>K</w:t>
      </w:r>
      <w:r w:rsidR="00277DAC">
        <w:rPr>
          <w:rFonts w:eastAsia="Times New Roman" w:cs="Times New Roman"/>
          <w:bCs/>
          <w:color w:val="000000"/>
          <w:sz w:val="28"/>
          <w:szCs w:val="28"/>
          <w:lang w:eastAsia="lv-LV"/>
        </w:rPr>
        <w:t>omisijas</w:t>
      </w:r>
      <w:r w:rsidR="00B5764A" w:rsidRPr="00AD4AFC">
        <w:rPr>
          <w:rFonts w:eastAsia="Times New Roman" w:cs="Times New Roman"/>
          <w:bCs/>
          <w:color w:val="000000"/>
          <w:sz w:val="28"/>
          <w:szCs w:val="28"/>
          <w:lang w:eastAsia="lv-LV"/>
        </w:rPr>
        <w:t xml:space="preserve"> sniegtajai informācijai valsts atbalsta saderības analīze tiks veikta, pamatojoties uz 2014.gadā publicētajām </w:t>
      </w:r>
      <w:r w:rsidR="00277DAC">
        <w:rPr>
          <w:rFonts w:eastAsia="Times New Roman" w:cs="Times New Roman"/>
          <w:bCs/>
          <w:color w:val="000000"/>
          <w:sz w:val="28"/>
          <w:szCs w:val="28"/>
          <w:lang w:eastAsia="lv-LV"/>
        </w:rPr>
        <w:t>Vadlīnijām</w:t>
      </w:r>
      <w:r w:rsidR="00B5764A" w:rsidRPr="00AD4AFC">
        <w:rPr>
          <w:rFonts w:eastAsia="Times New Roman" w:cs="Times New Roman"/>
          <w:bCs/>
          <w:color w:val="000000"/>
          <w:sz w:val="28"/>
          <w:szCs w:val="28"/>
          <w:lang w:eastAsia="lv-LV"/>
        </w:rPr>
        <w:t xml:space="preserve">. </w:t>
      </w:r>
      <w:r w:rsidR="00B370B6" w:rsidRPr="00AD4AFC">
        <w:rPr>
          <w:rFonts w:eastAsia="Times New Roman" w:cs="Times New Roman"/>
          <w:bCs/>
          <w:color w:val="000000"/>
          <w:sz w:val="28"/>
          <w:szCs w:val="28"/>
          <w:lang w:eastAsia="lv-LV"/>
        </w:rPr>
        <w:t>Līdz valsts atbalsta shēmu saskaņošanai piemērot atbalsta atbrīvojumus nebūs iespējams.</w:t>
      </w:r>
    </w:p>
    <w:p w:rsidR="00533E91" w:rsidRPr="00166AED" w:rsidRDefault="00533E91" w:rsidP="00187562">
      <w:pPr>
        <w:jc w:val="both"/>
        <w:rPr>
          <w:rFonts w:cs="Times New Roman"/>
          <w:szCs w:val="24"/>
        </w:rPr>
      </w:pPr>
      <w:r w:rsidRPr="00AD4AFC">
        <w:rPr>
          <w:rFonts w:eastAsia="Times New Roman" w:cs="Times New Roman"/>
          <w:bCs/>
          <w:color w:val="000000"/>
          <w:sz w:val="28"/>
          <w:szCs w:val="28"/>
          <w:lang w:eastAsia="lv-LV"/>
        </w:rPr>
        <w:tab/>
        <w:t xml:space="preserve">Vienlaikus ir atsevišķi notificējams atbalsts lielām </w:t>
      </w:r>
      <w:r w:rsidR="005513E6" w:rsidRPr="00AD4AFC">
        <w:rPr>
          <w:rFonts w:eastAsia="Times New Roman" w:cs="Times New Roman"/>
          <w:bCs/>
          <w:color w:val="000000"/>
          <w:sz w:val="28"/>
          <w:szCs w:val="28"/>
          <w:lang w:eastAsia="lv-LV"/>
        </w:rPr>
        <w:t>koģenerācijas</w:t>
      </w:r>
      <w:r w:rsidRPr="00AD4AFC">
        <w:rPr>
          <w:rFonts w:eastAsia="Times New Roman" w:cs="Times New Roman"/>
          <w:bCs/>
          <w:color w:val="000000"/>
          <w:sz w:val="28"/>
          <w:szCs w:val="28"/>
          <w:lang w:eastAsia="lv-LV"/>
        </w:rPr>
        <w:t xml:space="preserve"> </w:t>
      </w:r>
      <w:r w:rsidR="005513E6" w:rsidRPr="00AD4AFC">
        <w:rPr>
          <w:rFonts w:eastAsia="Times New Roman" w:cs="Times New Roman"/>
          <w:bCs/>
          <w:color w:val="000000"/>
          <w:sz w:val="28"/>
          <w:szCs w:val="28"/>
          <w:lang w:eastAsia="lv-LV"/>
        </w:rPr>
        <w:t>stacijām</w:t>
      </w:r>
      <w:r w:rsidR="00166AED">
        <w:rPr>
          <w:rFonts w:eastAsia="Times New Roman" w:cs="Times New Roman"/>
          <w:bCs/>
          <w:color w:val="000000"/>
          <w:sz w:val="28"/>
          <w:szCs w:val="28"/>
          <w:lang w:eastAsia="lv-LV"/>
        </w:rPr>
        <w:t xml:space="preserve"> attiecībā uz maksājumiem par pārdoto elektroener</w:t>
      </w:r>
      <w:r w:rsidR="00E512D7">
        <w:rPr>
          <w:rFonts w:eastAsia="Times New Roman" w:cs="Times New Roman"/>
          <w:bCs/>
          <w:color w:val="000000"/>
          <w:sz w:val="28"/>
          <w:szCs w:val="28"/>
          <w:lang w:eastAsia="lv-LV"/>
        </w:rPr>
        <w:t>ģiju obligātā iepirkuma</w:t>
      </w:r>
      <w:r w:rsidR="00166AED">
        <w:rPr>
          <w:rFonts w:eastAsia="Times New Roman" w:cs="Times New Roman"/>
          <w:bCs/>
          <w:color w:val="000000"/>
          <w:sz w:val="28"/>
          <w:szCs w:val="28"/>
          <w:lang w:eastAsia="lv-LV"/>
        </w:rPr>
        <w:t xml:space="preserve"> ietvaros atbilstoši pārdotās elektroenerģijas apjomam un fiksētajiem maksājumiem par stacijā uzstādīto elektrisko jaudu</w:t>
      </w:r>
      <w:r w:rsidR="00166AED">
        <w:rPr>
          <w:rFonts w:cs="Times New Roman"/>
          <w:szCs w:val="24"/>
        </w:rPr>
        <w:t xml:space="preserve"> </w:t>
      </w:r>
      <w:r w:rsidRPr="00AD4AFC">
        <w:rPr>
          <w:rFonts w:eastAsia="Times New Roman" w:cs="Times New Roman"/>
          <w:bCs/>
          <w:color w:val="000000"/>
          <w:sz w:val="28"/>
          <w:szCs w:val="28"/>
          <w:lang w:eastAsia="lv-LV"/>
        </w:rPr>
        <w:t xml:space="preserve">(Latvijā šādā kategorijā ir </w:t>
      </w:r>
      <w:r w:rsidR="00277DAC">
        <w:rPr>
          <w:rFonts w:eastAsia="Times New Roman" w:cs="Times New Roman"/>
          <w:bCs/>
          <w:color w:val="000000"/>
          <w:sz w:val="28"/>
          <w:szCs w:val="28"/>
          <w:lang w:eastAsia="lv-LV"/>
        </w:rPr>
        <w:t>četri</w:t>
      </w:r>
      <w:r w:rsidR="00277DAC" w:rsidRPr="00AD4AFC">
        <w:rPr>
          <w:rFonts w:eastAsia="Times New Roman" w:cs="Times New Roman"/>
          <w:bCs/>
          <w:color w:val="000000"/>
          <w:sz w:val="28"/>
          <w:szCs w:val="28"/>
          <w:lang w:eastAsia="lv-LV"/>
        </w:rPr>
        <w:t xml:space="preserve"> uzņēmum</w:t>
      </w:r>
      <w:r w:rsidR="00277DAC">
        <w:rPr>
          <w:rFonts w:eastAsia="Times New Roman" w:cs="Times New Roman"/>
          <w:bCs/>
          <w:color w:val="000000"/>
          <w:sz w:val="28"/>
          <w:szCs w:val="28"/>
          <w:lang w:eastAsia="lv-LV"/>
        </w:rPr>
        <w:t>i</w:t>
      </w:r>
      <w:r w:rsidRPr="00AD4AFC">
        <w:rPr>
          <w:rFonts w:eastAsia="Times New Roman" w:cs="Times New Roman"/>
          <w:bCs/>
          <w:color w:val="000000"/>
          <w:sz w:val="28"/>
          <w:szCs w:val="28"/>
          <w:lang w:eastAsia="lv-LV"/>
        </w:rPr>
        <w:t xml:space="preserve">). Ņemot vērā informāciju, kas tiek saņemta no </w:t>
      </w:r>
      <w:r w:rsidR="005513E6" w:rsidRPr="00AD4AFC">
        <w:rPr>
          <w:rFonts w:eastAsia="Times New Roman" w:cs="Times New Roman"/>
          <w:bCs/>
          <w:color w:val="000000"/>
          <w:sz w:val="28"/>
          <w:szCs w:val="28"/>
          <w:lang w:eastAsia="lv-LV"/>
        </w:rPr>
        <w:t>kaimiņvalstīm</w:t>
      </w:r>
      <w:r w:rsidRPr="00AD4AFC">
        <w:rPr>
          <w:rFonts w:eastAsia="Times New Roman" w:cs="Times New Roman"/>
          <w:bCs/>
          <w:color w:val="000000"/>
          <w:sz w:val="28"/>
          <w:szCs w:val="28"/>
          <w:lang w:eastAsia="lv-LV"/>
        </w:rPr>
        <w:t>, jāparedz, ka saskaņošanas process var būt ilgstošs: Igaunija ir uzsākusi savu atbalsta shēmu notifikāciju vēl 2012.gada decembrī.</w:t>
      </w:r>
    </w:p>
    <w:p w:rsidR="00B5764A" w:rsidRPr="00AD4AFC" w:rsidRDefault="00B5764A" w:rsidP="00187562">
      <w:pPr>
        <w:jc w:val="both"/>
        <w:rPr>
          <w:rFonts w:eastAsia="Times New Roman" w:cs="Times New Roman"/>
          <w:bCs/>
          <w:color w:val="000000"/>
          <w:sz w:val="28"/>
          <w:szCs w:val="28"/>
          <w:lang w:eastAsia="lv-LV"/>
        </w:rPr>
      </w:pPr>
    </w:p>
    <w:p w:rsidR="00AB3206" w:rsidRPr="005B42CF" w:rsidRDefault="00AB3206" w:rsidP="005B42CF">
      <w:pPr>
        <w:pStyle w:val="ListParagraph"/>
        <w:numPr>
          <w:ilvl w:val="0"/>
          <w:numId w:val="14"/>
        </w:numPr>
        <w:jc w:val="both"/>
        <w:rPr>
          <w:rFonts w:eastAsia="Times New Roman" w:cs="Times New Roman"/>
          <w:b/>
          <w:i/>
          <w:sz w:val="28"/>
          <w:szCs w:val="28"/>
          <w:lang w:eastAsia="lv-LV"/>
        </w:rPr>
      </w:pPr>
      <w:r w:rsidRPr="005B42CF">
        <w:rPr>
          <w:rFonts w:eastAsia="Times New Roman" w:cs="Times New Roman"/>
          <w:b/>
          <w:i/>
          <w:sz w:val="28"/>
          <w:szCs w:val="28"/>
          <w:lang w:eastAsia="lv-LV"/>
        </w:rPr>
        <w:t xml:space="preserve">Potenciālā </w:t>
      </w:r>
      <w:r w:rsidR="00277DAC" w:rsidRPr="005B42CF">
        <w:rPr>
          <w:rFonts w:eastAsia="Times New Roman" w:cs="Times New Roman"/>
          <w:b/>
          <w:i/>
          <w:sz w:val="28"/>
          <w:szCs w:val="28"/>
          <w:lang w:eastAsia="lv-LV"/>
        </w:rPr>
        <w:t>OIK</w:t>
      </w:r>
      <w:r w:rsidR="00E512D7" w:rsidRPr="005B42CF">
        <w:rPr>
          <w:rFonts w:eastAsia="Times New Roman" w:cs="Times New Roman"/>
          <w:b/>
          <w:i/>
          <w:sz w:val="28"/>
          <w:szCs w:val="28"/>
          <w:lang w:eastAsia="lv-LV"/>
        </w:rPr>
        <w:t xml:space="preserve"> </w:t>
      </w:r>
      <w:r w:rsidRPr="005B42CF">
        <w:rPr>
          <w:rFonts w:eastAsia="Times New Roman" w:cs="Times New Roman"/>
          <w:b/>
          <w:i/>
          <w:sz w:val="28"/>
          <w:szCs w:val="28"/>
          <w:lang w:eastAsia="lv-LV"/>
        </w:rPr>
        <w:t>samazināšanas shēmas īstenošana Latvijā energoietilpīgajiem uzņēmumiem</w:t>
      </w:r>
    </w:p>
    <w:p w:rsidR="00F12E80" w:rsidRPr="00AD4AFC" w:rsidRDefault="00F12E80" w:rsidP="00187562">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r>
    </w:p>
    <w:p w:rsidR="00CE7103" w:rsidRPr="00AD4AFC" w:rsidRDefault="00CE7103" w:rsidP="00187562">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r>
      <w:r w:rsidR="00DF774B" w:rsidRPr="00AD4AFC">
        <w:rPr>
          <w:rFonts w:eastAsia="Times New Roman" w:cs="Times New Roman"/>
          <w:bCs/>
          <w:color w:val="000000"/>
          <w:sz w:val="28"/>
          <w:szCs w:val="28"/>
          <w:lang w:eastAsia="lv-LV"/>
        </w:rPr>
        <w:t xml:space="preserve">Atbilstoši </w:t>
      </w:r>
      <w:r w:rsidR="00277DAC">
        <w:rPr>
          <w:rFonts w:eastAsia="Times New Roman" w:cs="Times New Roman"/>
          <w:bCs/>
          <w:color w:val="000000"/>
          <w:sz w:val="28"/>
          <w:szCs w:val="28"/>
          <w:lang w:eastAsia="lv-LV"/>
        </w:rPr>
        <w:t>akciju sabiedrības</w:t>
      </w:r>
      <w:r w:rsidR="00277DAC" w:rsidRPr="00AD4AFC">
        <w:rPr>
          <w:rFonts w:eastAsia="Times New Roman" w:cs="Times New Roman"/>
          <w:bCs/>
          <w:color w:val="000000"/>
          <w:sz w:val="28"/>
          <w:szCs w:val="28"/>
          <w:lang w:eastAsia="lv-LV"/>
        </w:rPr>
        <w:t xml:space="preserve"> </w:t>
      </w:r>
      <w:r w:rsidR="00DF774B" w:rsidRPr="00AD4AFC">
        <w:rPr>
          <w:rFonts w:eastAsia="Times New Roman" w:cs="Times New Roman"/>
          <w:bCs/>
          <w:color w:val="000000"/>
          <w:sz w:val="28"/>
          <w:szCs w:val="28"/>
          <w:lang w:eastAsia="lv-LV"/>
        </w:rPr>
        <w:t>„Latvenergo” publicētajam apkopojumam par 2013.gadu, AER daļa OIK ir vismaz 35% (ja netiek pieskaitīta koģenerācija)</w:t>
      </w:r>
      <w:r w:rsidR="00277DAC">
        <w:rPr>
          <w:rFonts w:eastAsia="Times New Roman" w:cs="Times New Roman"/>
          <w:bCs/>
          <w:color w:val="000000"/>
          <w:sz w:val="28"/>
          <w:szCs w:val="28"/>
          <w:lang w:eastAsia="lv-LV"/>
        </w:rPr>
        <w:t>, skatīt 5.attēlu</w:t>
      </w:r>
      <w:r w:rsidR="00DF774B" w:rsidRPr="00AD4AFC">
        <w:rPr>
          <w:rFonts w:eastAsia="Times New Roman" w:cs="Times New Roman"/>
          <w:bCs/>
          <w:color w:val="000000"/>
          <w:sz w:val="28"/>
          <w:szCs w:val="28"/>
          <w:lang w:eastAsia="lv-LV"/>
        </w:rPr>
        <w:t>. Potenciālā OIK samazināšanas pasākumi skartu vismaz šo OIK daļu.</w:t>
      </w:r>
    </w:p>
    <w:p w:rsidR="00692216" w:rsidRDefault="00692216" w:rsidP="00187562">
      <w:pPr>
        <w:jc w:val="both"/>
        <w:rPr>
          <w:rFonts w:eastAsia="Times New Roman" w:cs="Times New Roman"/>
          <w:bCs/>
          <w:color w:val="000000"/>
          <w:sz w:val="28"/>
          <w:szCs w:val="28"/>
          <w:lang w:eastAsia="lv-LV"/>
        </w:rPr>
      </w:pPr>
    </w:p>
    <w:p w:rsidR="00CE7103" w:rsidRPr="00AD4AFC" w:rsidRDefault="00CE7103" w:rsidP="00CE7103">
      <w:pPr>
        <w:jc w:val="center"/>
        <w:rPr>
          <w:rFonts w:eastAsia="Times New Roman" w:cs="Times New Roman"/>
          <w:bCs/>
          <w:color w:val="000000"/>
          <w:sz w:val="28"/>
          <w:szCs w:val="28"/>
          <w:lang w:eastAsia="lv-LV"/>
        </w:rPr>
      </w:pPr>
      <w:r w:rsidRPr="00AD4AFC">
        <w:rPr>
          <w:noProof/>
          <w:sz w:val="28"/>
          <w:szCs w:val="28"/>
          <w:lang w:eastAsia="lv-LV"/>
        </w:rPr>
        <w:drawing>
          <wp:inline distT="0" distB="0" distL="0" distR="0" wp14:anchorId="08DFF6E3" wp14:editId="130F0C47">
            <wp:extent cx="5008034" cy="2294590"/>
            <wp:effectExtent l="0" t="0" r="2540" b="0"/>
            <wp:docPr id="1" name="Picture 1" descr="http://www.latvenergo.lv/resources/web/news/OIK_kompensacija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tvenergo.lv/resources/web/news/OIK_kompensacija_20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6746" cy="2294000"/>
                    </a:xfrm>
                    <a:prstGeom prst="rect">
                      <a:avLst/>
                    </a:prstGeom>
                    <a:noFill/>
                    <a:ln>
                      <a:noFill/>
                    </a:ln>
                  </pic:spPr>
                </pic:pic>
              </a:graphicData>
            </a:graphic>
          </wp:inline>
        </w:drawing>
      </w:r>
    </w:p>
    <w:p w:rsidR="00277DAC" w:rsidRPr="001073BE" w:rsidRDefault="00277DAC" w:rsidP="001073BE">
      <w:pPr>
        <w:rPr>
          <w:rFonts w:eastAsia="Times New Roman" w:cs="Times New Roman"/>
          <w:bCs/>
          <w:i/>
          <w:color w:val="000000"/>
          <w:sz w:val="20"/>
          <w:szCs w:val="20"/>
          <w:lang w:eastAsia="lv-LV"/>
        </w:rPr>
      </w:pPr>
      <w:r w:rsidRPr="001073BE">
        <w:rPr>
          <w:rFonts w:eastAsia="Times New Roman" w:cs="Times New Roman"/>
          <w:bCs/>
          <w:i/>
          <w:color w:val="000000"/>
          <w:sz w:val="20"/>
          <w:szCs w:val="20"/>
          <w:lang w:eastAsia="lv-LV"/>
        </w:rPr>
        <w:t xml:space="preserve">5.attēls. </w:t>
      </w:r>
      <w:r w:rsidRPr="001073BE">
        <w:rPr>
          <w:rFonts w:eastAsia="Times New Roman" w:cs="Times New Roman"/>
          <w:b/>
          <w:bCs/>
          <w:color w:val="000000"/>
          <w:sz w:val="20"/>
          <w:szCs w:val="20"/>
          <w:lang w:eastAsia="lv-LV"/>
        </w:rPr>
        <w:t>Subsīdiju sadalījums elektroenerģijas ražošanai Latvijā 2013.gadā</w:t>
      </w:r>
      <w:r w:rsidRPr="001073BE">
        <w:rPr>
          <w:rStyle w:val="FootnoteReference"/>
          <w:rFonts w:eastAsia="Times New Roman" w:cs="Times New Roman"/>
          <w:bCs/>
          <w:i/>
          <w:color w:val="000000"/>
          <w:sz w:val="20"/>
          <w:szCs w:val="20"/>
          <w:lang w:eastAsia="lv-LV"/>
        </w:rPr>
        <w:footnoteReference w:id="9"/>
      </w:r>
    </w:p>
    <w:p w:rsidR="00F12E80" w:rsidRPr="001073BE" w:rsidRDefault="00277DAC" w:rsidP="00187562">
      <w:pPr>
        <w:jc w:val="both"/>
        <w:rPr>
          <w:rFonts w:eastAsia="Times New Roman" w:cs="Times New Roman"/>
          <w:bCs/>
          <w:i/>
          <w:color w:val="000000"/>
          <w:sz w:val="20"/>
          <w:szCs w:val="20"/>
          <w:lang w:eastAsia="lv-LV"/>
        </w:rPr>
      </w:pPr>
      <w:r w:rsidRPr="001073BE">
        <w:rPr>
          <w:rFonts w:eastAsia="Times New Roman" w:cs="Times New Roman"/>
          <w:bCs/>
          <w:i/>
          <w:color w:val="000000"/>
          <w:sz w:val="20"/>
          <w:szCs w:val="20"/>
          <w:lang w:eastAsia="lv-LV"/>
        </w:rPr>
        <w:t>Avots: Akciju sabiedrība „Latvenergo”</w:t>
      </w:r>
    </w:p>
    <w:p w:rsidR="00277DAC" w:rsidRPr="00AD4AFC" w:rsidRDefault="00277DAC" w:rsidP="00187562">
      <w:pPr>
        <w:jc w:val="both"/>
        <w:rPr>
          <w:rFonts w:eastAsia="Times New Roman" w:cs="Times New Roman"/>
          <w:bCs/>
          <w:color w:val="000000"/>
          <w:sz w:val="28"/>
          <w:szCs w:val="28"/>
          <w:lang w:eastAsia="lv-LV"/>
        </w:rPr>
      </w:pPr>
    </w:p>
    <w:p w:rsidR="000C30C4" w:rsidRPr="005B42CF" w:rsidRDefault="000C30C4" w:rsidP="005B42CF">
      <w:pPr>
        <w:pStyle w:val="ListParagraph"/>
        <w:numPr>
          <w:ilvl w:val="1"/>
          <w:numId w:val="14"/>
        </w:numPr>
        <w:jc w:val="both"/>
        <w:rPr>
          <w:rFonts w:eastAsia="Times New Roman" w:cs="Times New Roman"/>
          <w:b/>
          <w:bCs/>
          <w:color w:val="000000"/>
          <w:sz w:val="28"/>
          <w:szCs w:val="28"/>
          <w:lang w:eastAsia="lv-LV"/>
        </w:rPr>
      </w:pPr>
      <w:r w:rsidRPr="005B42CF">
        <w:rPr>
          <w:rFonts w:cs="Times New Roman"/>
          <w:b/>
          <w:i/>
          <w:sz w:val="28"/>
          <w:szCs w:val="28"/>
        </w:rPr>
        <w:t>EM piedāvātais mehānisms OIK atvieglojuma saņemšanai energointensīvajiem uzņēmumiem un prognoze par pārējo lietotāju kompensācijas apmēru</w:t>
      </w:r>
    </w:p>
    <w:p w:rsidR="000C30C4" w:rsidRPr="00AD4AFC" w:rsidRDefault="000C30C4" w:rsidP="000C30C4">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 xml:space="preserve">Papildus </w:t>
      </w:r>
      <w:r>
        <w:rPr>
          <w:rFonts w:eastAsia="Times New Roman" w:cs="Times New Roman"/>
          <w:bCs/>
          <w:color w:val="000000"/>
          <w:sz w:val="28"/>
          <w:szCs w:val="28"/>
          <w:lang w:eastAsia="lv-LV"/>
        </w:rPr>
        <w:t>zemāk minētajam</w:t>
      </w:r>
      <w:r w:rsidRPr="00AD4AFC">
        <w:rPr>
          <w:rFonts w:eastAsia="Times New Roman" w:cs="Times New Roman"/>
          <w:bCs/>
          <w:color w:val="000000"/>
          <w:sz w:val="28"/>
          <w:szCs w:val="28"/>
          <w:lang w:eastAsia="lv-LV"/>
        </w:rPr>
        <w:t xml:space="preserve"> KPMG aprēķinam EM veica analīzi par ietekmi uz lielākajiem energointensīvajiem uzņēmumiem, balstoties uz Vadlīnijās minētajiem nosacījumiem. Būtiski ir uzsvērt, ka Vadlīnijās ir noteikts ierobežojums attiecībā uz nozarēm, kurām būtu piemērojams Vadlīnijās ietvertais OIK samazinājums, kā arī Vadlīnijas nosaka vairākus nosacījumus</w:t>
      </w:r>
      <w:r>
        <w:rPr>
          <w:rFonts w:eastAsia="Times New Roman" w:cs="Times New Roman"/>
          <w:bCs/>
          <w:color w:val="000000"/>
          <w:sz w:val="28"/>
          <w:szCs w:val="28"/>
          <w:lang w:eastAsia="lv-LV"/>
        </w:rPr>
        <w:t xml:space="preserve">, </w:t>
      </w:r>
      <w:r>
        <w:rPr>
          <w:rFonts w:eastAsia="Times New Roman" w:cs="Times New Roman"/>
          <w:bCs/>
          <w:color w:val="000000"/>
          <w:sz w:val="28"/>
          <w:szCs w:val="28"/>
          <w:lang w:eastAsia="lv-LV"/>
        </w:rPr>
        <w:lastRenderedPageBreak/>
        <w:t>proti,</w:t>
      </w:r>
      <w:r w:rsidRPr="00AD4AFC">
        <w:rPr>
          <w:rFonts w:eastAsia="Times New Roman" w:cs="Times New Roman"/>
          <w:bCs/>
          <w:color w:val="000000"/>
          <w:sz w:val="28"/>
          <w:szCs w:val="28"/>
          <w:lang w:eastAsia="lv-LV"/>
        </w:rPr>
        <w:t xml:space="preserve"> OIK atvieglojumi attiecas tikai uz AER, kas, kā minēts iepriekš veido 35% no OIK komponentes. Pie tam, atbalsta saņēmēji vismaz attiecībā uz 15% no maksājamajām papildu izmaksām nesaņem samazinājumu, tātad samazinājums var būt līdz 85%.</w:t>
      </w:r>
    </w:p>
    <w:p w:rsidR="000C30C4" w:rsidRPr="00AD4AFC" w:rsidRDefault="000C30C4" w:rsidP="000C30C4">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 xml:space="preserve">Lai veiktu sākotnējo aprēķinus un novērtētu sākotnējo ietekmi, tika izvirzīti vairāki pieņēmumi: </w:t>
      </w:r>
    </w:p>
    <w:p w:rsidR="000C30C4" w:rsidRPr="00AD4AFC" w:rsidRDefault="000C30C4" w:rsidP="000C30C4">
      <w:pPr>
        <w:pStyle w:val="ListParagraph"/>
        <w:numPr>
          <w:ilvl w:val="0"/>
          <w:numId w:val="9"/>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Analīze tika veikt par uzņēmumiem, kuri 2012.gadā patērēja vairāk kā 50 000 000 kWh, kas veidoja 9</w:t>
      </w:r>
      <w:r>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5% no valsts kopējā patēriņa</w:t>
      </w:r>
      <w:r>
        <w:rPr>
          <w:rFonts w:eastAsia="Times New Roman" w:cs="Times New Roman"/>
          <w:bCs/>
          <w:color w:val="000000"/>
          <w:sz w:val="28"/>
          <w:szCs w:val="28"/>
          <w:lang w:eastAsia="lv-LV"/>
        </w:rPr>
        <w:t>.</w:t>
      </w:r>
    </w:p>
    <w:p w:rsidR="000C30C4" w:rsidRPr="00AD4AFC" w:rsidRDefault="000C30C4" w:rsidP="000C30C4">
      <w:pPr>
        <w:pStyle w:val="ListParagraph"/>
        <w:numPr>
          <w:ilvl w:val="0"/>
          <w:numId w:val="9"/>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Analīzes netika ietverti uzņēmumi, kas neatbilst Vadlīnijās definētām NACE kategorijām</w:t>
      </w:r>
      <w:r>
        <w:rPr>
          <w:rFonts w:eastAsia="Times New Roman" w:cs="Times New Roman"/>
          <w:bCs/>
          <w:color w:val="000000"/>
          <w:sz w:val="28"/>
          <w:szCs w:val="28"/>
          <w:lang w:eastAsia="lv-LV"/>
        </w:rPr>
        <w:t>.</w:t>
      </w:r>
    </w:p>
    <w:p w:rsidR="000C30C4" w:rsidRPr="00AD4AFC" w:rsidRDefault="000C30C4" w:rsidP="000C30C4">
      <w:pPr>
        <w:pStyle w:val="ListParagraph"/>
        <w:numPr>
          <w:ilvl w:val="0"/>
          <w:numId w:val="9"/>
        </w:num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Bāzes OIK, tiek balstīts ņemot vērā EM prognozes un tajā ir ietverti līdz šim pieņemtie lēmumi attiecībā uz risinājumiem OIK samazināšanā. </w:t>
      </w:r>
    </w:p>
    <w:p w:rsidR="000C30C4" w:rsidRDefault="000C30C4" w:rsidP="000C30C4">
      <w:pPr>
        <w:ind w:left="425"/>
        <w:jc w:val="right"/>
        <w:rPr>
          <w:rFonts w:cs="Times New Roman"/>
          <w:b/>
          <w:sz w:val="28"/>
          <w:szCs w:val="28"/>
        </w:rPr>
      </w:pPr>
    </w:p>
    <w:p w:rsidR="000C30C4" w:rsidRDefault="000C30C4" w:rsidP="000C30C4">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Atbilstoši veiktajiem aprēķiniem, kas balstīti uz augstāk minētajiem ierobežojumiem un pieņēmumiem, energointensīvo uzņēmumu izmaksas par elektroenerģiju samazināsies par 10-11%, atbilstoši pārējiem lietotājiem lineārā izlīdzinājuma gadījumā tās pieaugs par 1,0-1,2%.</w:t>
      </w:r>
    </w:p>
    <w:p w:rsidR="000C30C4" w:rsidRDefault="000C30C4" w:rsidP="000C30C4">
      <w:pPr>
        <w:ind w:left="425"/>
        <w:jc w:val="right"/>
        <w:rPr>
          <w:rFonts w:cs="Times New Roman"/>
          <w:b/>
          <w:sz w:val="28"/>
          <w:szCs w:val="28"/>
        </w:rPr>
      </w:pPr>
      <w:r>
        <w:rPr>
          <w:rFonts w:cs="Times New Roman"/>
          <w:b/>
          <w:sz w:val="28"/>
          <w:szCs w:val="28"/>
        </w:rPr>
        <w:t>1.tabula.</w:t>
      </w:r>
    </w:p>
    <w:p w:rsidR="000C30C4" w:rsidRDefault="000C30C4" w:rsidP="000C30C4">
      <w:pPr>
        <w:ind w:left="425"/>
        <w:jc w:val="right"/>
        <w:rPr>
          <w:rFonts w:cs="Times New Roman"/>
          <w:b/>
          <w:sz w:val="28"/>
          <w:szCs w:val="28"/>
        </w:rPr>
      </w:pPr>
      <w:r>
        <w:rPr>
          <w:rFonts w:cs="Times New Roman"/>
          <w:b/>
          <w:sz w:val="28"/>
          <w:szCs w:val="28"/>
        </w:rPr>
        <w:t>OIK vērtības prognoze</w:t>
      </w:r>
    </w:p>
    <w:tbl>
      <w:tblPr>
        <w:tblStyle w:val="TableGrid"/>
        <w:tblW w:w="0" w:type="auto"/>
        <w:tblLook w:val="04A0" w:firstRow="1" w:lastRow="0" w:firstColumn="1" w:lastColumn="0" w:noHBand="0" w:noVBand="1"/>
      </w:tblPr>
      <w:tblGrid>
        <w:gridCol w:w="7196"/>
        <w:gridCol w:w="1984"/>
      </w:tblGrid>
      <w:tr w:rsidR="000C30C4" w:rsidTr="00B51B7F">
        <w:tc>
          <w:tcPr>
            <w:tcW w:w="7196" w:type="dxa"/>
            <w:tcBorders>
              <w:top w:val="single" w:sz="4" w:space="0" w:color="auto"/>
              <w:left w:val="single" w:sz="4" w:space="0" w:color="auto"/>
              <w:bottom w:val="single" w:sz="4" w:space="0" w:color="auto"/>
              <w:right w:val="single" w:sz="4" w:space="0" w:color="auto"/>
            </w:tcBorders>
          </w:tcPr>
          <w:p w:rsidR="000C30C4" w:rsidRDefault="000C30C4" w:rsidP="00B51B7F">
            <w:pPr>
              <w:jc w:val="both"/>
              <w:rPr>
                <w:rFonts w:cs="Times New Roman"/>
                <w:szCs w:val="28"/>
              </w:rPr>
            </w:pP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eastAsia="Times New Roman" w:cs="Times New Roman"/>
                <w:color w:val="000000"/>
                <w:szCs w:val="28"/>
                <w:lang w:eastAsia="lv-LV"/>
              </w:rPr>
            </w:pPr>
            <w:r>
              <w:rPr>
                <w:rFonts w:eastAsia="Times New Roman" w:cs="Times New Roman"/>
                <w:color w:val="000000"/>
                <w:sz w:val="28"/>
                <w:szCs w:val="28"/>
                <w:lang w:eastAsia="lv-LV"/>
              </w:rPr>
              <w:t>2017.gads</w:t>
            </w:r>
          </w:p>
        </w:tc>
      </w:tr>
      <w:tr w:rsidR="000C30C4" w:rsidTr="00B51B7F">
        <w:tc>
          <w:tcPr>
            <w:tcW w:w="7196"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rPr>
                <w:rFonts w:eastAsia="Times New Roman" w:cs="Times New Roman"/>
                <w:color w:val="000000"/>
                <w:szCs w:val="28"/>
                <w:lang w:eastAsia="lv-LV"/>
              </w:rPr>
            </w:pPr>
            <w:r>
              <w:rPr>
                <w:rFonts w:eastAsia="Times New Roman" w:cs="Times New Roman"/>
                <w:color w:val="000000"/>
                <w:sz w:val="28"/>
                <w:szCs w:val="28"/>
                <w:lang w:eastAsia="lv-LV"/>
              </w:rPr>
              <w:t>EM OIK prognozes , EUR centi/kWh</w:t>
            </w: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eastAsia="Times New Roman" w:cs="Times New Roman"/>
                <w:color w:val="000000"/>
                <w:szCs w:val="28"/>
                <w:lang w:eastAsia="lv-LV"/>
              </w:rPr>
            </w:pPr>
            <w:r>
              <w:rPr>
                <w:rFonts w:eastAsia="Times New Roman" w:cs="Times New Roman"/>
                <w:color w:val="000000"/>
                <w:sz w:val="28"/>
                <w:szCs w:val="28"/>
                <w:lang w:eastAsia="lv-LV"/>
              </w:rPr>
              <w:t>2,69</w:t>
            </w:r>
          </w:p>
        </w:tc>
      </w:tr>
      <w:tr w:rsidR="000C30C4" w:rsidTr="00B51B7F">
        <w:tc>
          <w:tcPr>
            <w:tcW w:w="7196"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rPr>
                <w:rFonts w:eastAsia="Times New Roman" w:cs="Times New Roman"/>
                <w:color w:val="000000"/>
                <w:szCs w:val="28"/>
                <w:lang w:eastAsia="lv-LV"/>
              </w:rPr>
            </w:pPr>
            <w:r>
              <w:rPr>
                <w:rFonts w:eastAsia="Times New Roman" w:cs="Times New Roman"/>
                <w:color w:val="000000"/>
                <w:sz w:val="28"/>
                <w:szCs w:val="28"/>
                <w:lang w:eastAsia="lv-LV"/>
              </w:rPr>
              <w:t>AER daļa (35%)</w:t>
            </w: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eastAsia="Times New Roman" w:cs="Times New Roman"/>
                <w:color w:val="000000"/>
                <w:szCs w:val="28"/>
                <w:lang w:eastAsia="lv-LV"/>
              </w:rPr>
            </w:pPr>
            <w:r>
              <w:rPr>
                <w:rFonts w:eastAsia="Times New Roman" w:cs="Times New Roman"/>
                <w:color w:val="000000"/>
                <w:sz w:val="28"/>
                <w:szCs w:val="28"/>
                <w:lang w:eastAsia="lv-LV"/>
              </w:rPr>
              <w:t>0,94</w:t>
            </w:r>
          </w:p>
        </w:tc>
      </w:tr>
      <w:tr w:rsidR="000C30C4" w:rsidTr="00B51B7F">
        <w:tc>
          <w:tcPr>
            <w:tcW w:w="7196"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right"/>
              <w:rPr>
                <w:rFonts w:eastAsia="Times New Roman" w:cs="Times New Roman"/>
                <w:color w:val="000000"/>
                <w:szCs w:val="24"/>
                <w:lang w:eastAsia="lv-LV"/>
              </w:rPr>
            </w:pPr>
            <w:r>
              <w:rPr>
                <w:rFonts w:eastAsia="Times New Roman" w:cs="Times New Roman"/>
                <w:color w:val="000000"/>
                <w:szCs w:val="24"/>
                <w:lang w:eastAsia="lv-LV"/>
              </w:rPr>
              <w:t xml:space="preserve">   </w:t>
            </w:r>
            <w:proofErr w:type="spellStart"/>
            <w:r>
              <w:rPr>
                <w:rFonts w:eastAsia="Times New Roman" w:cs="Times New Roman"/>
                <w:color w:val="000000"/>
                <w:szCs w:val="24"/>
                <w:lang w:eastAsia="lv-LV"/>
              </w:rPr>
              <w:t>t.sk</w:t>
            </w:r>
            <w:proofErr w:type="spellEnd"/>
            <w:r>
              <w:rPr>
                <w:rFonts w:eastAsia="Times New Roman" w:cs="Times New Roman"/>
                <w:color w:val="000000"/>
                <w:szCs w:val="24"/>
                <w:lang w:eastAsia="lv-LV"/>
              </w:rPr>
              <w:t>., daļa, kuru var pārdalīt uz citām lietotāju grupām  (85%)</w:t>
            </w: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eastAsia="Times New Roman" w:cs="Times New Roman"/>
                <w:color w:val="000000"/>
                <w:szCs w:val="28"/>
                <w:lang w:eastAsia="lv-LV"/>
              </w:rPr>
            </w:pPr>
            <w:r>
              <w:rPr>
                <w:rFonts w:eastAsia="Times New Roman" w:cs="Times New Roman"/>
                <w:color w:val="000000"/>
                <w:sz w:val="28"/>
                <w:szCs w:val="28"/>
                <w:lang w:eastAsia="lv-LV"/>
              </w:rPr>
              <w:t>0,80</w:t>
            </w:r>
          </w:p>
        </w:tc>
      </w:tr>
      <w:tr w:rsidR="000C30C4" w:rsidTr="00B51B7F">
        <w:tc>
          <w:tcPr>
            <w:tcW w:w="7196"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rPr>
                <w:rFonts w:eastAsia="Times New Roman" w:cs="Times New Roman"/>
                <w:color w:val="000000"/>
                <w:szCs w:val="28"/>
                <w:lang w:eastAsia="lv-LV"/>
              </w:rPr>
            </w:pPr>
            <w:r>
              <w:rPr>
                <w:rFonts w:eastAsia="Times New Roman" w:cs="Times New Roman"/>
                <w:color w:val="000000"/>
                <w:sz w:val="28"/>
                <w:szCs w:val="28"/>
                <w:lang w:eastAsia="lv-LV"/>
              </w:rPr>
              <w:t>Lielo lietotāju OIK, EUR centi/kWh</w:t>
            </w: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cs="Times New Roman"/>
                <w:b/>
                <w:bCs/>
                <w:color w:val="000000"/>
                <w:szCs w:val="28"/>
              </w:rPr>
            </w:pPr>
            <w:r>
              <w:rPr>
                <w:rFonts w:cs="Times New Roman"/>
                <w:b/>
                <w:bCs/>
                <w:color w:val="000000"/>
                <w:sz w:val="28"/>
                <w:szCs w:val="28"/>
              </w:rPr>
              <w:t>1,89</w:t>
            </w:r>
          </w:p>
        </w:tc>
      </w:tr>
      <w:tr w:rsidR="000C30C4" w:rsidTr="00B51B7F">
        <w:tc>
          <w:tcPr>
            <w:tcW w:w="7196"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rPr>
                <w:rFonts w:eastAsia="Times New Roman" w:cs="Times New Roman"/>
                <w:color w:val="000000"/>
                <w:szCs w:val="28"/>
                <w:lang w:eastAsia="lv-LV"/>
              </w:rPr>
            </w:pPr>
            <w:r>
              <w:rPr>
                <w:rFonts w:eastAsia="Times New Roman" w:cs="Times New Roman"/>
                <w:color w:val="000000"/>
                <w:sz w:val="28"/>
                <w:szCs w:val="28"/>
                <w:lang w:eastAsia="lv-LV"/>
              </w:rPr>
              <w:t xml:space="preserve">Pārējo lietotāju OIK (ar kompensējošo palielinājumu) </w:t>
            </w:r>
          </w:p>
        </w:tc>
        <w:tc>
          <w:tcPr>
            <w:tcW w:w="1984" w:type="dxa"/>
            <w:tcBorders>
              <w:top w:val="single" w:sz="4" w:space="0" w:color="auto"/>
              <w:left w:val="single" w:sz="4" w:space="0" w:color="auto"/>
              <w:bottom w:val="single" w:sz="4" w:space="0" w:color="auto"/>
              <w:right w:val="single" w:sz="4" w:space="0" w:color="auto"/>
            </w:tcBorders>
            <w:vAlign w:val="bottom"/>
            <w:hideMark/>
          </w:tcPr>
          <w:p w:rsidR="000C30C4" w:rsidRDefault="000C30C4" w:rsidP="00B51B7F">
            <w:pPr>
              <w:jc w:val="center"/>
              <w:rPr>
                <w:rFonts w:cs="Times New Roman"/>
                <w:b/>
                <w:bCs/>
                <w:color w:val="000000"/>
                <w:szCs w:val="28"/>
                <w:highlight w:val="yellow"/>
              </w:rPr>
            </w:pPr>
            <w:r>
              <w:rPr>
                <w:rFonts w:cs="Times New Roman"/>
                <w:b/>
                <w:bCs/>
                <w:color w:val="000000"/>
                <w:sz w:val="28"/>
                <w:szCs w:val="28"/>
              </w:rPr>
              <w:t>2,77</w:t>
            </w:r>
          </w:p>
        </w:tc>
      </w:tr>
    </w:tbl>
    <w:p w:rsidR="000C30C4" w:rsidRPr="00C93557" w:rsidRDefault="000C30C4" w:rsidP="000C30C4">
      <w:pPr>
        <w:jc w:val="both"/>
        <w:rPr>
          <w:rFonts w:eastAsia="Times New Roman" w:cs="Times New Roman"/>
          <w:bCs/>
          <w:i/>
          <w:color w:val="000000"/>
          <w:sz w:val="20"/>
          <w:szCs w:val="20"/>
          <w:lang w:eastAsia="lv-LV"/>
        </w:rPr>
      </w:pPr>
      <w:r w:rsidRPr="00C93557">
        <w:rPr>
          <w:rFonts w:eastAsia="Times New Roman" w:cs="Times New Roman"/>
          <w:bCs/>
          <w:i/>
          <w:color w:val="000000"/>
          <w:sz w:val="20"/>
          <w:szCs w:val="20"/>
          <w:lang w:eastAsia="lv-LV"/>
        </w:rPr>
        <w:t>Avots: EM</w:t>
      </w:r>
    </w:p>
    <w:p w:rsidR="000C30C4" w:rsidRPr="00AD4AFC" w:rsidRDefault="000C30C4" w:rsidP="000C30C4">
      <w:pPr>
        <w:ind w:firstLine="720"/>
        <w:jc w:val="both"/>
        <w:rPr>
          <w:rFonts w:eastAsia="Times New Roman" w:cs="Times New Roman"/>
          <w:bCs/>
          <w:color w:val="000000"/>
          <w:sz w:val="28"/>
          <w:szCs w:val="28"/>
          <w:lang w:eastAsia="lv-LV"/>
        </w:rPr>
      </w:pPr>
    </w:p>
    <w:p w:rsidR="000C30C4" w:rsidRPr="00AD4AFC" w:rsidRDefault="000C30C4" w:rsidP="000C30C4">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OIK atbrīvošanas mehānismu ieviešanai ir konsekventi veicami šādi pasākumi:</w:t>
      </w:r>
    </w:p>
    <w:p w:rsidR="000C30C4" w:rsidRPr="00AD4AFC" w:rsidRDefault="000C30C4" w:rsidP="000C30C4">
      <w:pPr>
        <w:pStyle w:val="ListParagraph"/>
        <w:numPr>
          <w:ilvl w:val="3"/>
          <w:numId w:val="1"/>
        </w:numPr>
        <w:ind w:left="1134"/>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Mērķa auditorijas noteikšana, pamatojoties uz E</w:t>
      </w:r>
      <w:r>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Pr>
          <w:rFonts w:eastAsia="Times New Roman" w:cs="Times New Roman"/>
          <w:bCs/>
          <w:color w:val="000000"/>
          <w:sz w:val="28"/>
          <w:szCs w:val="28"/>
          <w:lang w:eastAsia="lv-LV"/>
        </w:rPr>
        <w:t>omisijas</w:t>
      </w:r>
      <w:r w:rsidRPr="00AD4AFC">
        <w:rPr>
          <w:rFonts w:eastAsia="Times New Roman" w:cs="Times New Roman"/>
          <w:bCs/>
          <w:color w:val="000000"/>
          <w:sz w:val="28"/>
          <w:szCs w:val="28"/>
          <w:lang w:eastAsia="lv-LV"/>
        </w:rPr>
        <w:t xml:space="preserve"> </w:t>
      </w:r>
      <w:r>
        <w:rPr>
          <w:rFonts w:eastAsia="Times New Roman" w:cs="Times New Roman"/>
          <w:bCs/>
          <w:color w:val="000000"/>
          <w:sz w:val="28"/>
          <w:szCs w:val="28"/>
          <w:lang w:eastAsia="lv-LV"/>
        </w:rPr>
        <w:t>vadlīnijām</w:t>
      </w:r>
      <w:r w:rsidRPr="00AD4AFC">
        <w:rPr>
          <w:rFonts w:eastAsia="Times New Roman" w:cs="Times New Roman"/>
          <w:bCs/>
          <w:color w:val="000000"/>
          <w:sz w:val="28"/>
          <w:szCs w:val="28"/>
          <w:lang w:eastAsia="lv-LV"/>
        </w:rPr>
        <w:t>, kā arī ievērojot aktuālo informāciju par patēriņa struktūru un tās nākotnes izmaiņām;</w:t>
      </w:r>
    </w:p>
    <w:p w:rsidR="000C30C4" w:rsidRPr="00AD4AFC" w:rsidRDefault="000C30C4" w:rsidP="000C30C4">
      <w:pPr>
        <w:pStyle w:val="ListParagraph"/>
        <w:numPr>
          <w:ilvl w:val="3"/>
          <w:numId w:val="1"/>
        </w:numPr>
        <w:ind w:left="1134"/>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Latvijas </w:t>
      </w:r>
      <w:r>
        <w:rPr>
          <w:rFonts w:eastAsia="Times New Roman" w:cs="Times New Roman"/>
          <w:bCs/>
          <w:color w:val="000000"/>
          <w:sz w:val="28"/>
          <w:szCs w:val="28"/>
          <w:lang w:eastAsia="lv-LV"/>
        </w:rPr>
        <w:t>atbalsta</w:t>
      </w:r>
      <w:r w:rsidRPr="00AD4AFC">
        <w:rPr>
          <w:rFonts w:eastAsia="Times New Roman" w:cs="Times New Roman"/>
          <w:bCs/>
          <w:color w:val="000000"/>
          <w:sz w:val="28"/>
          <w:szCs w:val="28"/>
          <w:lang w:eastAsia="lv-LV"/>
        </w:rPr>
        <w:t xml:space="preserve"> shēmas saskaņošana ar E</w:t>
      </w:r>
      <w:r>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Pr>
          <w:rFonts w:eastAsia="Times New Roman" w:cs="Times New Roman"/>
          <w:bCs/>
          <w:color w:val="000000"/>
          <w:sz w:val="28"/>
          <w:szCs w:val="28"/>
          <w:lang w:eastAsia="lv-LV"/>
        </w:rPr>
        <w:t>omisiju</w:t>
      </w:r>
      <w:r w:rsidRPr="00AD4AFC">
        <w:rPr>
          <w:rFonts w:eastAsia="Times New Roman" w:cs="Times New Roman"/>
          <w:bCs/>
          <w:color w:val="000000"/>
          <w:sz w:val="28"/>
          <w:szCs w:val="28"/>
          <w:lang w:eastAsia="lv-LV"/>
        </w:rPr>
        <w:t xml:space="preserve">, pamatojoties uz publicētajām </w:t>
      </w:r>
      <w:r>
        <w:rPr>
          <w:rFonts w:eastAsia="Times New Roman" w:cs="Times New Roman"/>
          <w:bCs/>
          <w:color w:val="000000"/>
          <w:sz w:val="28"/>
          <w:szCs w:val="28"/>
          <w:lang w:eastAsia="lv-LV"/>
        </w:rPr>
        <w:t>Vadlīnijām</w:t>
      </w:r>
      <w:r w:rsidRPr="00AD4AFC">
        <w:rPr>
          <w:rFonts w:eastAsia="Times New Roman" w:cs="Times New Roman"/>
          <w:bCs/>
          <w:color w:val="000000"/>
          <w:sz w:val="28"/>
          <w:szCs w:val="28"/>
          <w:lang w:eastAsia="lv-LV"/>
        </w:rPr>
        <w:t>;</w:t>
      </w:r>
    </w:p>
    <w:p w:rsidR="000C30C4" w:rsidRPr="00AD4AFC" w:rsidRDefault="000C30C4" w:rsidP="000C30C4">
      <w:pPr>
        <w:pStyle w:val="ListParagraph"/>
        <w:numPr>
          <w:ilvl w:val="3"/>
          <w:numId w:val="1"/>
        </w:numPr>
        <w:ind w:left="1134"/>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Lēmumu pieņemšana par OIK sadalījumu starp citām lietotāju kategorijām, modelējot tādu iznākumu, kas nodrošinātu efektīvāku risinājumu no cenu konkurētspējas un sabiedrības interešu viedokļa.</w:t>
      </w:r>
    </w:p>
    <w:p w:rsidR="000C30C4" w:rsidRPr="00AD4AFC" w:rsidRDefault="000C30C4" w:rsidP="000C30C4">
      <w:pPr>
        <w:ind w:firstLine="720"/>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Attiecībā uz pēdējo būtu jāņem vērā tas, ka spiedienu uz elektroenerģijas</w:t>
      </w:r>
      <w:r>
        <w:rPr>
          <w:rFonts w:eastAsia="Times New Roman" w:cs="Times New Roman"/>
          <w:bCs/>
          <w:color w:val="000000"/>
          <w:sz w:val="28"/>
          <w:szCs w:val="28"/>
          <w:lang w:eastAsia="lv-LV"/>
        </w:rPr>
        <w:t xml:space="preserve"> kopējo</w:t>
      </w:r>
      <w:r w:rsidRPr="00AD4AFC">
        <w:rPr>
          <w:rFonts w:eastAsia="Times New Roman" w:cs="Times New Roman"/>
          <w:bCs/>
          <w:color w:val="000000"/>
          <w:sz w:val="28"/>
          <w:szCs w:val="28"/>
          <w:lang w:eastAsia="lv-LV"/>
        </w:rPr>
        <w:t xml:space="preserve"> cen</w:t>
      </w:r>
      <w:r>
        <w:rPr>
          <w:rFonts w:eastAsia="Times New Roman" w:cs="Times New Roman"/>
          <w:bCs/>
          <w:color w:val="000000"/>
          <w:sz w:val="28"/>
          <w:szCs w:val="28"/>
          <w:lang w:eastAsia="lv-LV"/>
        </w:rPr>
        <w:t>u</w:t>
      </w:r>
      <w:r w:rsidRPr="00AD4AFC">
        <w:rPr>
          <w:rFonts w:eastAsia="Times New Roman" w:cs="Times New Roman"/>
          <w:bCs/>
          <w:color w:val="000000"/>
          <w:sz w:val="28"/>
          <w:szCs w:val="28"/>
          <w:lang w:eastAsia="lv-LV"/>
        </w:rPr>
        <w:t xml:space="preserve"> (t</w:t>
      </w:r>
      <w:r>
        <w:rPr>
          <w:rFonts w:eastAsia="Times New Roman" w:cs="Times New Roman"/>
          <w:bCs/>
          <w:color w:val="000000"/>
          <w:sz w:val="28"/>
          <w:szCs w:val="28"/>
          <w:lang w:eastAsia="lv-LV"/>
        </w:rPr>
        <w:t>o</w:t>
      </w:r>
      <w:r w:rsidRPr="00AD4AFC">
        <w:rPr>
          <w:rFonts w:eastAsia="Times New Roman" w:cs="Times New Roman"/>
          <w:bCs/>
          <w:color w:val="000000"/>
          <w:sz w:val="28"/>
          <w:szCs w:val="28"/>
          <w:lang w:eastAsia="lv-LV"/>
        </w:rPr>
        <w:t xml:space="preserve"> pazeminot) atstās fiziskās infrastruktūras izveide, </w:t>
      </w:r>
      <w:proofErr w:type="spellStart"/>
      <w:r w:rsidRPr="00AD4AFC">
        <w:rPr>
          <w:rFonts w:eastAsia="Times New Roman" w:cs="Times New Roman"/>
          <w:bCs/>
          <w:color w:val="000000"/>
          <w:sz w:val="28"/>
          <w:szCs w:val="28"/>
          <w:lang w:eastAsia="lv-LV"/>
        </w:rPr>
        <w:t>t.i</w:t>
      </w:r>
      <w:proofErr w:type="spellEnd"/>
      <w:r w:rsidRPr="00AD4AFC">
        <w:rPr>
          <w:rFonts w:eastAsia="Times New Roman" w:cs="Times New Roman"/>
          <w:bCs/>
          <w:color w:val="000000"/>
          <w:sz w:val="28"/>
          <w:szCs w:val="28"/>
          <w:lang w:eastAsia="lv-LV"/>
        </w:rPr>
        <w:t>.</w:t>
      </w:r>
      <w:r>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w:t>
      </w:r>
      <w:proofErr w:type="spellStart"/>
      <w:r w:rsidRPr="00AD4AFC">
        <w:rPr>
          <w:rFonts w:eastAsia="Times New Roman" w:cs="Times New Roman"/>
          <w:bCs/>
          <w:color w:val="000000"/>
          <w:sz w:val="28"/>
          <w:szCs w:val="28"/>
          <w:lang w:eastAsia="lv-LV"/>
        </w:rPr>
        <w:t>starpsavienojumi</w:t>
      </w:r>
      <w:proofErr w:type="spellEnd"/>
      <w:r w:rsidRPr="00AD4AFC">
        <w:rPr>
          <w:rFonts w:eastAsia="Times New Roman" w:cs="Times New Roman"/>
          <w:bCs/>
          <w:color w:val="000000"/>
          <w:sz w:val="28"/>
          <w:szCs w:val="28"/>
          <w:lang w:eastAsia="lv-LV"/>
        </w:rPr>
        <w:t xml:space="preserve"> starp Latviju un Lietuvu, kā arī Latviju un Igauniju, kas ir paredzēts attiecīgi 2017./2018. un 2019./2020.gadā. Informācija par šo projektu īstenošanu ietverta EM informatīvajā ziņojumā </w:t>
      </w:r>
      <w:r>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Par enerģētikas politikas </w:t>
      </w:r>
      <w:r w:rsidRPr="00AD4AFC">
        <w:rPr>
          <w:rFonts w:eastAsia="Times New Roman" w:cs="Times New Roman"/>
          <w:bCs/>
          <w:color w:val="000000"/>
          <w:sz w:val="28"/>
          <w:szCs w:val="28"/>
          <w:lang w:eastAsia="lv-LV"/>
        </w:rPr>
        <w:lastRenderedPageBreak/>
        <w:t>finansēšanu laika posmā no 2014.-2020.gadam</w:t>
      </w:r>
      <w:r>
        <w:rPr>
          <w:rFonts w:eastAsia="Times New Roman" w:cs="Times New Roman"/>
          <w:bCs/>
          <w:color w:val="000000"/>
          <w:sz w:val="28"/>
          <w:szCs w:val="28"/>
          <w:lang w:eastAsia="lv-LV"/>
        </w:rPr>
        <w:t>”</w:t>
      </w:r>
      <w:r w:rsidRPr="00AD4AFC" w:rsidDel="00371682">
        <w:rPr>
          <w:rFonts w:eastAsia="Times New Roman" w:cs="Times New Roman"/>
          <w:bCs/>
          <w:color w:val="000000"/>
          <w:sz w:val="28"/>
          <w:szCs w:val="28"/>
          <w:lang w:eastAsia="lv-LV"/>
        </w:rPr>
        <w:t xml:space="preserve"> </w:t>
      </w:r>
      <w:r w:rsidRPr="00AD4AFC">
        <w:rPr>
          <w:rFonts w:eastAsia="Times New Roman" w:cs="Times New Roman"/>
          <w:bCs/>
          <w:color w:val="000000"/>
          <w:sz w:val="28"/>
          <w:szCs w:val="28"/>
          <w:lang w:eastAsia="lv-LV"/>
        </w:rPr>
        <w:t xml:space="preserve">(MK 20.05.2014. sēdes </w:t>
      </w:r>
      <w:proofErr w:type="spellStart"/>
      <w:r w:rsidRPr="00AD4AFC">
        <w:rPr>
          <w:rFonts w:eastAsia="Times New Roman" w:cs="Times New Roman"/>
          <w:bCs/>
          <w:color w:val="000000"/>
          <w:sz w:val="28"/>
          <w:szCs w:val="28"/>
          <w:lang w:eastAsia="lv-LV"/>
        </w:rPr>
        <w:t>prot</w:t>
      </w:r>
      <w:proofErr w:type="spellEnd"/>
      <w:r w:rsidRPr="00AD4AFC">
        <w:rPr>
          <w:rFonts w:eastAsia="Times New Roman" w:cs="Times New Roman"/>
          <w:bCs/>
          <w:color w:val="000000"/>
          <w:sz w:val="28"/>
          <w:szCs w:val="28"/>
          <w:lang w:eastAsia="lv-LV"/>
        </w:rPr>
        <w:t>. Nr.29 39.§).</w:t>
      </w:r>
    </w:p>
    <w:p w:rsidR="000C30C4" w:rsidRDefault="000C30C4" w:rsidP="006F4BA8">
      <w:pPr>
        <w:jc w:val="both"/>
        <w:rPr>
          <w:rFonts w:eastAsia="Times New Roman" w:cs="Times New Roman"/>
          <w:b/>
          <w:bCs/>
          <w:i/>
          <w:color w:val="000000"/>
          <w:sz w:val="28"/>
          <w:szCs w:val="28"/>
          <w:lang w:eastAsia="lv-LV"/>
        </w:rPr>
      </w:pPr>
    </w:p>
    <w:p w:rsidR="007D36C7" w:rsidRDefault="000C30C4" w:rsidP="005B42CF">
      <w:pPr>
        <w:ind w:left="1134" w:hanging="708"/>
        <w:jc w:val="both"/>
        <w:rPr>
          <w:rFonts w:eastAsia="Times New Roman" w:cs="Times New Roman"/>
          <w:bCs/>
          <w:color w:val="000000"/>
          <w:sz w:val="28"/>
          <w:szCs w:val="28"/>
          <w:lang w:eastAsia="lv-LV"/>
        </w:rPr>
      </w:pPr>
      <w:r>
        <w:rPr>
          <w:rFonts w:eastAsia="Times New Roman" w:cs="Times New Roman"/>
          <w:b/>
          <w:bCs/>
          <w:i/>
          <w:color w:val="000000"/>
          <w:sz w:val="28"/>
          <w:szCs w:val="28"/>
          <w:lang w:eastAsia="lv-LV"/>
        </w:rPr>
        <w:t xml:space="preserve">7.2. </w:t>
      </w:r>
      <w:r w:rsidR="007D36C7">
        <w:rPr>
          <w:rFonts w:eastAsia="Times New Roman" w:cs="Times New Roman"/>
          <w:b/>
          <w:bCs/>
          <w:i/>
          <w:color w:val="000000"/>
          <w:sz w:val="28"/>
          <w:szCs w:val="28"/>
          <w:lang w:eastAsia="lv-LV"/>
        </w:rPr>
        <w:t>KPMG novērtējums ”</w:t>
      </w:r>
      <w:r w:rsidR="007D36C7" w:rsidRPr="007D36C7">
        <w:rPr>
          <w:rFonts w:eastAsia="Times New Roman" w:cs="Times New Roman"/>
          <w:b/>
          <w:bCs/>
          <w:i/>
          <w:color w:val="000000"/>
          <w:sz w:val="28"/>
          <w:szCs w:val="28"/>
          <w:lang w:eastAsia="lv-LV"/>
        </w:rPr>
        <w:t xml:space="preserve">Latvijā piemēroto </w:t>
      </w:r>
      <w:r w:rsidR="00277DAC">
        <w:rPr>
          <w:rFonts w:eastAsia="Times New Roman" w:cs="Times New Roman"/>
          <w:b/>
          <w:bCs/>
          <w:i/>
          <w:color w:val="000000"/>
          <w:sz w:val="28"/>
          <w:szCs w:val="28"/>
          <w:lang w:eastAsia="lv-LV"/>
        </w:rPr>
        <w:t>OIK</w:t>
      </w:r>
      <w:r w:rsidR="007D36C7" w:rsidRPr="007D36C7">
        <w:rPr>
          <w:rFonts w:eastAsia="Times New Roman" w:cs="Times New Roman"/>
          <w:b/>
          <w:bCs/>
          <w:i/>
          <w:color w:val="000000"/>
          <w:sz w:val="28"/>
          <w:szCs w:val="28"/>
          <w:lang w:eastAsia="lv-LV"/>
        </w:rPr>
        <w:t xml:space="preserve"> ekonomiskā analīze, apskatot OIK atbalstu lieliem TEC projektiem un elektroenerģijas ražošanai no AER</w:t>
      </w:r>
      <w:r w:rsidR="007D36C7">
        <w:rPr>
          <w:rFonts w:eastAsia="Times New Roman" w:cs="Times New Roman"/>
          <w:b/>
          <w:bCs/>
          <w:i/>
          <w:color w:val="000000"/>
          <w:sz w:val="28"/>
          <w:szCs w:val="28"/>
          <w:lang w:eastAsia="lv-LV"/>
        </w:rPr>
        <w:t>”</w:t>
      </w:r>
      <w:r w:rsidR="006F4BA8" w:rsidRPr="00AD4AFC">
        <w:rPr>
          <w:rFonts w:eastAsia="Times New Roman" w:cs="Times New Roman"/>
          <w:bCs/>
          <w:color w:val="000000"/>
          <w:sz w:val="28"/>
          <w:szCs w:val="28"/>
          <w:lang w:eastAsia="lv-LV"/>
        </w:rPr>
        <w:tab/>
      </w:r>
    </w:p>
    <w:p w:rsidR="00DF78BF" w:rsidRPr="00AD4AFC" w:rsidRDefault="006F4BA8" w:rsidP="00942BFB">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 xml:space="preserve">2012.gadā kompānija KPMG pēc Būvmateriālu Ražotāju Asociācijas pasūtījuma ir </w:t>
      </w:r>
      <w:r w:rsidR="00533E91" w:rsidRPr="00AD4AFC">
        <w:rPr>
          <w:rFonts w:eastAsia="Times New Roman" w:cs="Times New Roman"/>
          <w:bCs/>
          <w:color w:val="000000"/>
          <w:sz w:val="28"/>
          <w:szCs w:val="28"/>
          <w:lang w:eastAsia="lv-LV"/>
        </w:rPr>
        <w:t>veikusi</w:t>
      </w:r>
      <w:r w:rsidR="007D36C7">
        <w:rPr>
          <w:rFonts w:eastAsia="Times New Roman" w:cs="Times New Roman"/>
          <w:bCs/>
          <w:color w:val="000000"/>
          <w:sz w:val="28"/>
          <w:szCs w:val="28"/>
          <w:lang w:eastAsia="lv-LV"/>
        </w:rPr>
        <w:t xml:space="preserve"> OIK ekonomisko analīzi un </w:t>
      </w:r>
      <w:r w:rsidRPr="00AD4AFC">
        <w:rPr>
          <w:rFonts w:eastAsia="Times New Roman" w:cs="Times New Roman"/>
          <w:bCs/>
          <w:color w:val="000000"/>
          <w:sz w:val="28"/>
          <w:szCs w:val="28"/>
          <w:lang w:eastAsia="lv-LV"/>
        </w:rPr>
        <w:t>apskat</w:t>
      </w:r>
      <w:r w:rsidR="007D36C7">
        <w:rPr>
          <w:rFonts w:eastAsia="Times New Roman" w:cs="Times New Roman"/>
          <w:bCs/>
          <w:color w:val="000000"/>
          <w:sz w:val="28"/>
          <w:szCs w:val="28"/>
          <w:lang w:eastAsia="lv-LV"/>
        </w:rPr>
        <w:t>ījusi,</w:t>
      </w:r>
      <w:r w:rsidRPr="00AD4AFC">
        <w:rPr>
          <w:rFonts w:eastAsia="Times New Roman" w:cs="Times New Roman"/>
          <w:bCs/>
          <w:color w:val="000000"/>
          <w:sz w:val="28"/>
          <w:szCs w:val="28"/>
          <w:lang w:eastAsia="lv-LV"/>
        </w:rPr>
        <w:t xml:space="preserve"> tai skaitā</w:t>
      </w:r>
      <w:r w:rsidR="007D36C7">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jautājumu par iespējamiem </w:t>
      </w:r>
      <w:r w:rsidR="00533E91" w:rsidRPr="00AD4AFC">
        <w:rPr>
          <w:rFonts w:eastAsia="Times New Roman" w:cs="Times New Roman"/>
          <w:bCs/>
          <w:color w:val="000000"/>
          <w:sz w:val="28"/>
          <w:szCs w:val="28"/>
          <w:lang w:eastAsia="lv-LV"/>
        </w:rPr>
        <w:t>energoietilpīgo</w:t>
      </w:r>
      <w:r w:rsidRPr="00AD4AFC">
        <w:rPr>
          <w:rFonts w:eastAsia="Times New Roman" w:cs="Times New Roman"/>
          <w:bCs/>
          <w:color w:val="000000"/>
          <w:sz w:val="28"/>
          <w:szCs w:val="28"/>
          <w:lang w:eastAsia="lv-LV"/>
        </w:rPr>
        <w:t xml:space="preserve"> uzņēmumu atbrīvojumiem no OIK maksājumiem. Jāatzīst, ka šis pētījums ir izstrādāts pirms E</w:t>
      </w:r>
      <w:r w:rsidR="007D36C7">
        <w:rPr>
          <w:rFonts w:eastAsia="Times New Roman" w:cs="Times New Roman"/>
          <w:bCs/>
          <w:color w:val="000000"/>
          <w:sz w:val="28"/>
          <w:szCs w:val="28"/>
          <w:lang w:eastAsia="lv-LV"/>
        </w:rPr>
        <w:t xml:space="preserve">iropas </w:t>
      </w:r>
      <w:r w:rsidRPr="00AD4AFC">
        <w:rPr>
          <w:rFonts w:eastAsia="Times New Roman" w:cs="Times New Roman"/>
          <w:bCs/>
          <w:color w:val="000000"/>
          <w:sz w:val="28"/>
          <w:szCs w:val="28"/>
          <w:lang w:eastAsia="lv-LV"/>
        </w:rPr>
        <w:t>K</w:t>
      </w:r>
      <w:r w:rsidR="007D36C7">
        <w:rPr>
          <w:rFonts w:eastAsia="Times New Roman" w:cs="Times New Roman"/>
          <w:bCs/>
          <w:color w:val="000000"/>
          <w:sz w:val="28"/>
          <w:szCs w:val="28"/>
          <w:lang w:eastAsia="lv-LV"/>
        </w:rPr>
        <w:t>omisija</w:t>
      </w:r>
      <w:r w:rsidRPr="00AD4AFC">
        <w:rPr>
          <w:rFonts w:eastAsia="Times New Roman" w:cs="Times New Roman"/>
          <w:bCs/>
          <w:color w:val="000000"/>
          <w:sz w:val="28"/>
          <w:szCs w:val="28"/>
          <w:lang w:eastAsia="lv-LV"/>
        </w:rPr>
        <w:t xml:space="preserve"> </w:t>
      </w:r>
      <w:r w:rsidR="007D36C7">
        <w:rPr>
          <w:rFonts w:eastAsia="Times New Roman" w:cs="Times New Roman"/>
          <w:bCs/>
          <w:color w:val="000000"/>
          <w:sz w:val="28"/>
          <w:szCs w:val="28"/>
          <w:lang w:eastAsia="lv-LV"/>
        </w:rPr>
        <w:t xml:space="preserve">bija </w:t>
      </w:r>
      <w:r w:rsidRPr="00AD4AFC">
        <w:rPr>
          <w:rFonts w:eastAsia="Times New Roman" w:cs="Times New Roman"/>
          <w:bCs/>
          <w:color w:val="000000"/>
          <w:sz w:val="28"/>
          <w:szCs w:val="28"/>
          <w:lang w:eastAsia="lv-LV"/>
        </w:rPr>
        <w:t xml:space="preserve">publicējusi iepriekšminētās </w:t>
      </w:r>
      <w:r w:rsidR="00277DAC">
        <w:rPr>
          <w:rFonts w:eastAsia="Times New Roman" w:cs="Times New Roman"/>
          <w:bCs/>
          <w:color w:val="000000"/>
          <w:sz w:val="28"/>
          <w:szCs w:val="28"/>
          <w:lang w:eastAsia="lv-LV"/>
        </w:rPr>
        <w:t>Vadlīnijas</w:t>
      </w:r>
      <w:r w:rsidR="00A231B5">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w:t>
      </w:r>
      <w:r w:rsidR="00A231B5">
        <w:rPr>
          <w:rFonts w:eastAsia="Times New Roman" w:cs="Times New Roman"/>
          <w:bCs/>
          <w:color w:val="000000"/>
          <w:sz w:val="28"/>
          <w:szCs w:val="28"/>
          <w:lang w:eastAsia="lv-LV"/>
        </w:rPr>
        <w:t>Pēc EM izvērtējuma</w:t>
      </w:r>
      <w:r w:rsidRPr="00AD4AFC">
        <w:rPr>
          <w:rFonts w:eastAsia="Times New Roman" w:cs="Times New Roman"/>
          <w:bCs/>
          <w:color w:val="000000"/>
          <w:sz w:val="28"/>
          <w:szCs w:val="28"/>
          <w:lang w:eastAsia="lv-LV"/>
        </w:rPr>
        <w:t xml:space="preserve"> </w:t>
      </w:r>
      <w:r w:rsidR="00A231B5">
        <w:rPr>
          <w:rFonts w:eastAsia="Times New Roman" w:cs="Times New Roman"/>
          <w:bCs/>
          <w:color w:val="000000"/>
          <w:sz w:val="28"/>
          <w:szCs w:val="28"/>
          <w:lang w:eastAsia="lv-LV"/>
        </w:rPr>
        <w:t>pētījumā</w:t>
      </w:r>
      <w:r w:rsidR="00A231B5" w:rsidRPr="00AD4AFC">
        <w:rPr>
          <w:rFonts w:eastAsia="Times New Roman" w:cs="Times New Roman"/>
          <w:bCs/>
          <w:color w:val="000000"/>
          <w:sz w:val="28"/>
          <w:szCs w:val="28"/>
          <w:lang w:eastAsia="lv-LV"/>
        </w:rPr>
        <w:t xml:space="preserve"> </w:t>
      </w:r>
      <w:r w:rsidRPr="00AD4AFC">
        <w:rPr>
          <w:rFonts w:eastAsia="Times New Roman" w:cs="Times New Roman"/>
          <w:bCs/>
          <w:color w:val="000000"/>
          <w:sz w:val="28"/>
          <w:szCs w:val="28"/>
          <w:lang w:eastAsia="lv-LV"/>
        </w:rPr>
        <w:t>ietvert</w:t>
      </w:r>
      <w:r w:rsidR="00A231B5">
        <w:rPr>
          <w:rFonts w:eastAsia="Times New Roman" w:cs="Times New Roman"/>
          <w:bCs/>
          <w:color w:val="000000"/>
          <w:sz w:val="28"/>
          <w:szCs w:val="28"/>
          <w:lang w:eastAsia="lv-LV"/>
        </w:rPr>
        <w:t>ā</w:t>
      </w:r>
      <w:r w:rsidRPr="00AD4AFC">
        <w:rPr>
          <w:rFonts w:eastAsia="Times New Roman" w:cs="Times New Roman"/>
          <w:bCs/>
          <w:color w:val="000000"/>
          <w:sz w:val="28"/>
          <w:szCs w:val="28"/>
          <w:lang w:eastAsia="lv-LV"/>
        </w:rPr>
        <w:t>s atsevišķ</w:t>
      </w:r>
      <w:r w:rsidR="00A231B5">
        <w:rPr>
          <w:rFonts w:eastAsia="Times New Roman" w:cs="Times New Roman"/>
          <w:bCs/>
          <w:color w:val="000000"/>
          <w:sz w:val="28"/>
          <w:szCs w:val="28"/>
          <w:lang w:eastAsia="lv-LV"/>
        </w:rPr>
        <w:t>ā</w:t>
      </w:r>
      <w:r w:rsidRPr="00AD4AFC">
        <w:rPr>
          <w:rFonts w:eastAsia="Times New Roman" w:cs="Times New Roman"/>
          <w:bCs/>
          <w:color w:val="000000"/>
          <w:sz w:val="28"/>
          <w:szCs w:val="28"/>
          <w:lang w:eastAsia="lv-LV"/>
        </w:rPr>
        <w:t>s indikācijas par iespējamiem risinājumiem</w:t>
      </w:r>
      <w:r w:rsidR="00A231B5">
        <w:rPr>
          <w:rFonts w:eastAsia="Times New Roman" w:cs="Times New Roman"/>
          <w:bCs/>
          <w:color w:val="000000"/>
          <w:sz w:val="28"/>
          <w:szCs w:val="28"/>
          <w:lang w:eastAsia="lv-LV"/>
        </w:rPr>
        <w:t xml:space="preserve"> pilnībā neatbilst pašreizējam tiesiskajam ietvaram valsts atbalsta jomā</w:t>
      </w:r>
      <w:r w:rsidRPr="00AD4AFC">
        <w:rPr>
          <w:rFonts w:eastAsia="Times New Roman" w:cs="Times New Roman"/>
          <w:bCs/>
          <w:color w:val="000000"/>
          <w:sz w:val="28"/>
          <w:szCs w:val="28"/>
          <w:lang w:eastAsia="lv-LV"/>
        </w:rPr>
        <w:t>.</w:t>
      </w:r>
    </w:p>
    <w:p w:rsidR="00245801" w:rsidRPr="00AD4AFC" w:rsidRDefault="006F4BA8" w:rsidP="00942BFB">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KPMG rosināja sadalīt visus Latvijas elektroenerģijas lietotājus trijās grupās pēc patēriņa, attiecīgi tālāk noteikt katrai grupai piemēroja</w:t>
      </w:r>
      <w:r w:rsidR="005513E6">
        <w:rPr>
          <w:rFonts w:eastAsia="Times New Roman" w:cs="Times New Roman"/>
          <w:bCs/>
          <w:color w:val="000000"/>
          <w:sz w:val="28"/>
          <w:szCs w:val="28"/>
          <w:lang w:eastAsia="lv-LV"/>
        </w:rPr>
        <w:t>mus OIK maksājumus. Latvijas 3.</w:t>
      </w:r>
      <w:r w:rsidRPr="00AD4AFC">
        <w:rPr>
          <w:rFonts w:eastAsia="Times New Roman" w:cs="Times New Roman"/>
          <w:bCs/>
          <w:color w:val="000000"/>
          <w:sz w:val="28"/>
          <w:szCs w:val="28"/>
          <w:lang w:eastAsia="lv-LV"/>
        </w:rPr>
        <w:t>energosistēmas līmenis ietver</w:t>
      </w:r>
      <w:r w:rsidR="005513E6">
        <w:rPr>
          <w:rFonts w:eastAsia="Times New Roman" w:cs="Times New Roman"/>
          <w:bCs/>
          <w:color w:val="000000"/>
          <w:sz w:val="28"/>
          <w:szCs w:val="28"/>
          <w:lang w:eastAsia="lv-LV"/>
        </w:rPr>
        <w:t xml:space="preserve"> mājsaimniecības un birojus, 2.</w:t>
      </w:r>
      <w:r w:rsidRPr="00AD4AFC">
        <w:rPr>
          <w:rFonts w:eastAsia="Times New Roman" w:cs="Times New Roman"/>
          <w:bCs/>
          <w:color w:val="000000"/>
          <w:sz w:val="28"/>
          <w:szCs w:val="28"/>
          <w:lang w:eastAsia="lv-LV"/>
        </w:rPr>
        <w:t>energosistēmas līmenis</w:t>
      </w:r>
      <w:r w:rsidR="00277DAC">
        <w:rPr>
          <w:rFonts w:eastAsia="Times New Roman" w:cs="Times New Roman"/>
          <w:bCs/>
          <w:color w:val="000000"/>
          <w:sz w:val="28"/>
          <w:szCs w:val="28"/>
          <w:lang w:eastAsia="lv-LV"/>
        </w:rPr>
        <w:t>,</w:t>
      </w:r>
      <w:r w:rsidRPr="00AD4AFC">
        <w:rPr>
          <w:rFonts w:eastAsia="Times New Roman" w:cs="Times New Roman"/>
          <w:bCs/>
          <w:color w:val="000000"/>
          <w:sz w:val="28"/>
          <w:szCs w:val="28"/>
          <w:lang w:eastAsia="lv-LV"/>
        </w:rPr>
        <w:t xml:space="preserve"> galvenokārt ietver m</w:t>
      </w:r>
      <w:r w:rsidR="005513E6">
        <w:rPr>
          <w:rFonts w:eastAsia="Times New Roman" w:cs="Times New Roman"/>
          <w:bCs/>
          <w:color w:val="000000"/>
          <w:sz w:val="28"/>
          <w:szCs w:val="28"/>
          <w:lang w:eastAsia="lv-LV"/>
        </w:rPr>
        <w:t>azos un vidējos uzņēmumus un 1.</w:t>
      </w:r>
      <w:r w:rsidRPr="00AD4AFC">
        <w:rPr>
          <w:rFonts w:eastAsia="Times New Roman" w:cs="Times New Roman"/>
          <w:bCs/>
          <w:color w:val="000000"/>
          <w:sz w:val="28"/>
          <w:szCs w:val="28"/>
          <w:lang w:eastAsia="lv-LV"/>
        </w:rPr>
        <w:t>energosistēmas līmenis ietver lielos ražotājus. Elektroenerģijas patēriņš katrā patērētāju grupā kā daļa no kopējā elektroenerģijas patēriņa tika iegūts no Latvijas Stat</w:t>
      </w:r>
      <w:r w:rsidR="005513E6">
        <w:rPr>
          <w:rFonts w:eastAsia="Times New Roman" w:cs="Times New Roman"/>
          <w:bCs/>
          <w:color w:val="000000"/>
          <w:sz w:val="28"/>
          <w:szCs w:val="28"/>
          <w:lang w:eastAsia="lv-LV"/>
        </w:rPr>
        <w:t>istikas biroja datiem par 2011.</w:t>
      </w:r>
      <w:r w:rsidRPr="00AD4AFC">
        <w:rPr>
          <w:rFonts w:eastAsia="Times New Roman" w:cs="Times New Roman"/>
          <w:bCs/>
          <w:color w:val="000000"/>
          <w:sz w:val="28"/>
          <w:szCs w:val="28"/>
          <w:lang w:eastAsia="lv-LV"/>
        </w:rPr>
        <w:t>gadu. Tādejādi 1.energosis</w:t>
      </w:r>
      <w:r w:rsidR="005513E6">
        <w:rPr>
          <w:rFonts w:eastAsia="Times New Roman" w:cs="Times New Roman"/>
          <w:bCs/>
          <w:color w:val="000000"/>
          <w:sz w:val="28"/>
          <w:szCs w:val="28"/>
          <w:lang w:eastAsia="lv-LV"/>
        </w:rPr>
        <w:t>tēmas līmenis patērē 19,58%, 2.</w:t>
      </w:r>
      <w:r w:rsidRPr="00AD4AFC">
        <w:rPr>
          <w:rFonts w:eastAsia="Times New Roman" w:cs="Times New Roman"/>
          <w:bCs/>
          <w:color w:val="000000"/>
          <w:sz w:val="28"/>
          <w:szCs w:val="28"/>
          <w:lang w:eastAsia="lv-LV"/>
        </w:rPr>
        <w:t>energosistēmas</w:t>
      </w:r>
      <w:r w:rsidR="005513E6">
        <w:rPr>
          <w:rFonts w:eastAsia="Times New Roman" w:cs="Times New Roman"/>
          <w:bCs/>
          <w:color w:val="000000"/>
          <w:sz w:val="28"/>
          <w:szCs w:val="28"/>
          <w:lang w:eastAsia="lv-LV"/>
        </w:rPr>
        <w:t xml:space="preserve"> līmenis patērē 39,</w:t>
      </w:r>
      <w:r w:rsidRPr="00AD4AFC">
        <w:rPr>
          <w:rFonts w:eastAsia="Times New Roman" w:cs="Times New Roman"/>
          <w:bCs/>
          <w:color w:val="000000"/>
          <w:sz w:val="28"/>
          <w:szCs w:val="28"/>
          <w:lang w:eastAsia="lv-LV"/>
        </w:rPr>
        <w:t>34%</w:t>
      </w:r>
      <w:r w:rsidR="005513E6">
        <w:rPr>
          <w:rFonts w:eastAsia="Times New Roman" w:cs="Times New Roman"/>
          <w:bCs/>
          <w:color w:val="000000"/>
          <w:sz w:val="28"/>
          <w:szCs w:val="28"/>
          <w:lang w:eastAsia="lv-LV"/>
        </w:rPr>
        <w:t xml:space="preserve"> un 3.energosistēmas līmenis 41,</w:t>
      </w:r>
      <w:r w:rsidRPr="00AD4AFC">
        <w:rPr>
          <w:rFonts w:eastAsia="Times New Roman" w:cs="Times New Roman"/>
          <w:bCs/>
          <w:color w:val="000000"/>
          <w:sz w:val="28"/>
          <w:szCs w:val="28"/>
          <w:lang w:eastAsia="lv-LV"/>
        </w:rPr>
        <w:t>08% no kopējās Latvijā patērētās elektroenerģijas.</w:t>
      </w:r>
    </w:p>
    <w:p w:rsidR="006F4BA8" w:rsidRDefault="006F4BA8" w:rsidP="00942BFB">
      <w:pPr>
        <w:jc w:val="both"/>
        <w:rPr>
          <w:rFonts w:eastAsia="Times New Roman" w:cs="Times New Roman"/>
          <w:bCs/>
          <w:color w:val="000000"/>
          <w:sz w:val="28"/>
          <w:szCs w:val="28"/>
          <w:lang w:eastAsia="lv-LV"/>
        </w:rPr>
      </w:pPr>
      <w:r w:rsidRPr="00AD4AFC">
        <w:rPr>
          <w:rFonts w:eastAsia="Times New Roman" w:cs="Times New Roman"/>
          <w:bCs/>
          <w:color w:val="000000"/>
          <w:sz w:val="28"/>
          <w:szCs w:val="28"/>
          <w:lang w:eastAsia="lv-LV"/>
        </w:rPr>
        <w:tab/>
        <w:t xml:space="preserve">Modelēšanas rezultāti (piedāvātā regulējuma neto ietekme Latvijā (tikai atbalsts elektroenerģijas ražošanai no AER)) iezīmēja, ka uzreiz pēc OIK </w:t>
      </w:r>
      <w:r w:rsidR="00533E91" w:rsidRPr="00AD4AFC">
        <w:rPr>
          <w:rFonts w:eastAsia="Times New Roman" w:cs="Times New Roman"/>
          <w:bCs/>
          <w:color w:val="000000"/>
          <w:sz w:val="28"/>
          <w:szCs w:val="28"/>
          <w:lang w:eastAsia="lv-LV"/>
        </w:rPr>
        <w:t>atbrīvošanas</w:t>
      </w:r>
      <w:r w:rsidRPr="00AD4AFC">
        <w:rPr>
          <w:rFonts w:eastAsia="Times New Roman" w:cs="Times New Roman"/>
          <w:bCs/>
          <w:color w:val="000000"/>
          <w:sz w:val="28"/>
          <w:szCs w:val="28"/>
          <w:lang w:eastAsia="lv-LV"/>
        </w:rPr>
        <w:t xml:space="preserve"> shēmas ieviešanas lieli ražošanas uzņēmumi</w:t>
      </w:r>
      <w:r w:rsidR="00533E91" w:rsidRPr="00AD4AFC">
        <w:rPr>
          <w:rFonts w:eastAsia="Times New Roman" w:cs="Times New Roman"/>
          <w:bCs/>
          <w:color w:val="000000"/>
          <w:sz w:val="28"/>
          <w:szCs w:val="28"/>
          <w:lang w:eastAsia="lv-LV"/>
        </w:rPr>
        <w:t xml:space="preserve"> (64 uzņēmumi pēc KPMG piedāvātās klasifikācijas)</w:t>
      </w:r>
      <w:r w:rsidRPr="00AD4AFC">
        <w:rPr>
          <w:rFonts w:eastAsia="Times New Roman" w:cs="Times New Roman"/>
          <w:bCs/>
          <w:color w:val="000000"/>
          <w:sz w:val="28"/>
          <w:szCs w:val="28"/>
          <w:lang w:eastAsia="lv-LV"/>
        </w:rPr>
        <w:t xml:space="preserve"> varētu ietaupīt līdz 17,1% no elektroenerģijas </w:t>
      </w:r>
      <w:r w:rsidR="00277DAC">
        <w:rPr>
          <w:rFonts w:eastAsia="Times New Roman" w:cs="Times New Roman"/>
          <w:bCs/>
          <w:color w:val="000000"/>
          <w:sz w:val="28"/>
          <w:szCs w:val="28"/>
          <w:lang w:eastAsia="lv-LV"/>
        </w:rPr>
        <w:t>kopējās cenas</w:t>
      </w:r>
      <w:r w:rsidRPr="00AD4AFC">
        <w:rPr>
          <w:rFonts w:eastAsia="Times New Roman" w:cs="Times New Roman"/>
          <w:bCs/>
          <w:color w:val="000000"/>
          <w:sz w:val="28"/>
          <w:szCs w:val="28"/>
          <w:lang w:eastAsia="lv-LV"/>
        </w:rPr>
        <w:t>.</w:t>
      </w:r>
    </w:p>
    <w:p w:rsidR="00222EA2" w:rsidRDefault="00222EA2" w:rsidP="006F4BA8">
      <w:pPr>
        <w:jc w:val="both"/>
        <w:rPr>
          <w:rFonts w:eastAsia="Times New Roman" w:cs="Times New Roman"/>
          <w:bCs/>
          <w:color w:val="000000"/>
          <w:sz w:val="28"/>
          <w:szCs w:val="28"/>
          <w:lang w:eastAsia="lv-LV"/>
        </w:rPr>
      </w:pPr>
    </w:p>
    <w:p w:rsidR="00942BFB" w:rsidRPr="005B42CF" w:rsidRDefault="00942BFB" w:rsidP="005B42CF">
      <w:pPr>
        <w:pStyle w:val="ListParagraph"/>
        <w:numPr>
          <w:ilvl w:val="1"/>
          <w:numId w:val="15"/>
        </w:numPr>
        <w:jc w:val="both"/>
        <w:rPr>
          <w:rFonts w:eastAsia="Times New Roman" w:cs="Times New Roman"/>
          <w:b/>
          <w:bCs/>
          <w:i/>
          <w:color w:val="000000"/>
          <w:sz w:val="28"/>
          <w:szCs w:val="28"/>
          <w:lang w:eastAsia="lv-LV"/>
        </w:rPr>
      </w:pPr>
      <w:r w:rsidRPr="005B42CF">
        <w:rPr>
          <w:rFonts w:eastAsia="Times New Roman" w:cs="Times New Roman"/>
          <w:b/>
          <w:bCs/>
          <w:i/>
          <w:color w:val="000000"/>
          <w:sz w:val="28"/>
          <w:szCs w:val="28"/>
          <w:lang w:eastAsia="lv-LV"/>
        </w:rPr>
        <w:t>Grozījumi Enerģētikas tirgus likumā saistībā ar apstrādes rūpniecības konkurētspējas veicināšanu</w:t>
      </w:r>
      <w:r w:rsidR="00A231B5" w:rsidRPr="005B42CF">
        <w:rPr>
          <w:rFonts w:eastAsia="Times New Roman" w:cs="Times New Roman"/>
          <w:b/>
          <w:bCs/>
          <w:i/>
          <w:color w:val="000000"/>
          <w:sz w:val="28"/>
          <w:szCs w:val="28"/>
          <w:lang w:eastAsia="lv-LV"/>
        </w:rPr>
        <w:t xml:space="preserve"> (Zaļo un zemnieku savienības alternatīvais priekšlikums)</w:t>
      </w:r>
    </w:p>
    <w:p w:rsidR="00942BFB" w:rsidRPr="00942BFB" w:rsidRDefault="00942BFB" w:rsidP="00942BFB">
      <w:pPr>
        <w:ind w:firstLine="720"/>
        <w:jc w:val="both"/>
        <w:rPr>
          <w:sz w:val="28"/>
          <w:szCs w:val="28"/>
        </w:rPr>
      </w:pPr>
      <w:r w:rsidRPr="00942BFB">
        <w:rPr>
          <w:sz w:val="28"/>
          <w:szCs w:val="28"/>
        </w:rPr>
        <w:t xml:space="preserve">Apstrādes rūpniecības viena no būtiskajām iezīmēm ir salīdzinoši augsta </w:t>
      </w:r>
      <w:proofErr w:type="spellStart"/>
      <w:r w:rsidRPr="00942BFB">
        <w:rPr>
          <w:sz w:val="28"/>
          <w:szCs w:val="28"/>
        </w:rPr>
        <w:t>energointensitāte</w:t>
      </w:r>
      <w:proofErr w:type="spellEnd"/>
      <w:r w:rsidRPr="00942BFB">
        <w:rPr>
          <w:sz w:val="28"/>
          <w:szCs w:val="28"/>
        </w:rPr>
        <w:t xml:space="preserve">, īpaši attiecībā uz elektroenerģijas patēriņu, jo liela daļa ražošanas procesu Latvijas apstrādes rūpniecības nozarē ir elektrificēti. Apstrādes rūpniecība 2012.gadā patērēja 27% no elektroenerģijas gala patēriņa, bet veidoja tikai 13% no </w:t>
      </w:r>
      <w:r w:rsidR="00277DAC">
        <w:rPr>
          <w:sz w:val="28"/>
          <w:szCs w:val="28"/>
        </w:rPr>
        <w:t>iekšzemes kopprodukta (</w:t>
      </w:r>
      <w:r w:rsidRPr="00942BFB">
        <w:rPr>
          <w:sz w:val="28"/>
          <w:szCs w:val="28"/>
        </w:rPr>
        <w:t>IKP</w:t>
      </w:r>
      <w:r w:rsidR="00277DAC">
        <w:rPr>
          <w:sz w:val="28"/>
          <w:szCs w:val="28"/>
        </w:rPr>
        <w:t>)</w:t>
      </w:r>
      <w:r w:rsidRPr="00942BFB">
        <w:rPr>
          <w:sz w:val="28"/>
          <w:szCs w:val="28"/>
        </w:rPr>
        <w:t>.</w:t>
      </w:r>
    </w:p>
    <w:p w:rsidR="00942BFB" w:rsidRDefault="00942BFB" w:rsidP="00942BFB">
      <w:pPr>
        <w:jc w:val="both"/>
        <w:rPr>
          <w:sz w:val="28"/>
          <w:szCs w:val="28"/>
        </w:rPr>
      </w:pPr>
      <w:r>
        <w:rPr>
          <w:sz w:val="28"/>
          <w:szCs w:val="28"/>
        </w:rPr>
        <w:lastRenderedPageBreak/>
        <w:t>Diemžēl, pateicoties dažādiem cēloņiem, a</w:t>
      </w:r>
      <w:r w:rsidRPr="00942BFB">
        <w:rPr>
          <w:sz w:val="28"/>
          <w:szCs w:val="28"/>
        </w:rPr>
        <w:t>pstrādes rūpniecība Latvijā šobrīd maksā vienu no augstākajām cenām par elektroenerģiju visā ES</w:t>
      </w:r>
      <w:r w:rsidR="00371682">
        <w:rPr>
          <w:sz w:val="28"/>
          <w:szCs w:val="28"/>
        </w:rPr>
        <w:t xml:space="preserve"> (skatīt 6.attēlu)</w:t>
      </w:r>
      <w:r w:rsidRPr="00942BFB">
        <w:rPr>
          <w:sz w:val="28"/>
          <w:szCs w:val="28"/>
        </w:rPr>
        <w:t>.</w:t>
      </w:r>
      <w:r w:rsidRPr="00942BFB">
        <w:rPr>
          <w:noProof/>
          <w:sz w:val="28"/>
          <w:szCs w:val="28"/>
          <w:lang w:eastAsia="lv-LV"/>
        </w:rPr>
        <w:drawing>
          <wp:inline distT="0" distB="0" distL="0" distR="0" wp14:anchorId="396ABBE2" wp14:editId="4EB6AFC8">
            <wp:extent cx="5354781" cy="2715491"/>
            <wp:effectExtent l="0" t="0" r="17780" b="2794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71682" w:rsidRDefault="00371682" w:rsidP="001073BE">
      <w:pPr>
        <w:rPr>
          <w:i/>
          <w:sz w:val="28"/>
          <w:szCs w:val="28"/>
        </w:rPr>
      </w:pPr>
    </w:p>
    <w:p w:rsidR="00371682" w:rsidRPr="001073BE" w:rsidRDefault="00371682" w:rsidP="00371682">
      <w:pPr>
        <w:jc w:val="both"/>
        <w:rPr>
          <w:i/>
          <w:iCs/>
          <w:sz w:val="20"/>
          <w:szCs w:val="20"/>
        </w:rPr>
      </w:pPr>
      <w:r w:rsidRPr="001073BE">
        <w:rPr>
          <w:i/>
          <w:sz w:val="20"/>
          <w:szCs w:val="20"/>
        </w:rPr>
        <w:t xml:space="preserve">6.attēls. </w:t>
      </w:r>
      <w:r w:rsidRPr="001073BE">
        <w:rPr>
          <w:b/>
          <w:iCs/>
          <w:sz w:val="20"/>
          <w:szCs w:val="20"/>
        </w:rPr>
        <w:t>Elektroenerģijas cena rūpnieciskiem patērētājiem (2013).</w:t>
      </w:r>
    </w:p>
    <w:p w:rsidR="00942BFB" w:rsidRPr="001073BE" w:rsidRDefault="00942BFB" w:rsidP="001073BE">
      <w:pPr>
        <w:rPr>
          <w:i/>
          <w:sz w:val="20"/>
          <w:szCs w:val="20"/>
        </w:rPr>
      </w:pPr>
      <w:r w:rsidRPr="001073BE">
        <w:rPr>
          <w:i/>
          <w:sz w:val="20"/>
          <w:szCs w:val="20"/>
        </w:rPr>
        <w:t>Avots: Eurostat</w:t>
      </w:r>
    </w:p>
    <w:p w:rsidR="00942BFB" w:rsidRDefault="00942BFB" w:rsidP="00942BFB">
      <w:pPr>
        <w:jc w:val="both"/>
        <w:rPr>
          <w:sz w:val="28"/>
          <w:szCs w:val="28"/>
        </w:rPr>
      </w:pPr>
    </w:p>
    <w:p w:rsidR="00B6750B" w:rsidRDefault="00D6587F" w:rsidP="00D6587F">
      <w:pPr>
        <w:ind w:firstLine="709"/>
        <w:jc w:val="both"/>
        <w:rPr>
          <w:sz w:val="28"/>
          <w:szCs w:val="28"/>
        </w:rPr>
      </w:pPr>
      <w:r w:rsidRPr="00942BFB">
        <w:rPr>
          <w:noProof/>
          <w:sz w:val="28"/>
          <w:szCs w:val="28"/>
          <w:lang w:eastAsia="lv-LV"/>
        </w:rPr>
        <w:drawing>
          <wp:inline distT="0" distB="0" distL="0" distR="0" wp14:anchorId="51826DF6" wp14:editId="13C15C33">
            <wp:extent cx="5277485" cy="3447415"/>
            <wp:effectExtent l="0" t="0" r="18415" b="1968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71682" w:rsidRPr="001073BE" w:rsidRDefault="00371682" w:rsidP="00371682">
      <w:pPr>
        <w:jc w:val="both"/>
        <w:rPr>
          <w:sz w:val="20"/>
          <w:szCs w:val="20"/>
        </w:rPr>
      </w:pPr>
      <w:r w:rsidRPr="001073BE">
        <w:rPr>
          <w:i/>
          <w:sz w:val="20"/>
          <w:szCs w:val="20"/>
        </w:rPr>
        <w:t xml:space="preserve">7.attēls. </w:t>
      </w:r>
      <w:r w:rsidRPr="001073BE">
        <w:rPr>
          <w:b/>
          <w:i/>
          <w:iCs/>
          <w:sz w:val="20"/>
          <w:szCs w:val="20"/>
        </w:rPr>
        <w:t xml:space="preserve">Ražošanas nozaru eksporta vērtības palielināšanas potenciāls </w:t>
      </w:r>
      <w:proofErr w:type="spellStart"/>
      <w:r w:rsidRPr="001073BE">
        <w:rPr>
          <w:b/>
          <w:i/>
          <w:iCs/>
          <w:sz w:val="20"/>
          <w:szCs w:val="20"/>
        </w:rPr>
        <w:t>milj</w:t>
      </w:r>
      <w:proofErr w:type="spellEnd"/>
      <w:r w:rsidRPr="001073BE">
        <w:rPr>
          <w:b/>
          <w:i/>
          <w:iCs/>
          <w:sz w:val="20"/>
          <w:szCs w:val="20"/>
        </w:rPr>
        <w:t>. LVL (2013).</w:t>
      </w:r>
    </w:p>
    <w:p w:rsidR="00B6750B" w:rsidRPr="001073BE" w:rsidRDefault="00B6750B" w:rsidP="001073BE">
      <w:pPr>
        <w:rPr>
          <w:i/>
          <w:sz w:val="20"/>
          <w:szCs w:val="20"/>
        </w:rPr>
      </w:pPr>
      <w:r w:rsidRPr="001073BE">
        <w:rPr>
          <w:i/>
          <w:sz w:val="20"/>
          <w:szCs w:val="20"/>
        </w:rPr>
        <w:t>Avots: Izglītības un zinātnes ministrija</w:t>
      </w:r>
    </w:p>
    <w:p w:rsidR="00B6750B" w:rsidRDefault="00B6750B" w:rsidP="00D6587F">
      <w:pPr>
        <w:ind w:firstLine="709"/>
        <w:jc w:val="both"/>
        <w:rPr>
          <w:sz w:val="28"/>
          <w:szCs w:val="28"/>
        </w:rPr>
      </w:pPr>
    </w:p>
    <w:p w:rsidR="00D6587F" w:rsidRPr="00942BFB" w:rsidRDefault="00D6587F" w:rsidP="00D6587F">
      <w:pPr>
        <w:ind w:firstLine="709"/>
        <w:jc w:val="both"/>
        <w:rPr>
          <w:sz w:val="28"/>
          <w:szCs w:val="28"/>
        </w:rPr>
      </w:pPr>
      <w:r>
        <w:rPr>
          <w:sz w:val="28"/>
          <w:szCs w:val="28"/>
        </w:rPr>
        <w:t>N</w:t>
      </w:r>
      <w:r w:rsidRPr="00942BFB">
        <w:rPr>
          <w:sz w:val="28"/>
          <w:szCs w:val="28"/>
        </w:rPr>
        <w:t>eietekmējot citu elektroenerģijas patērētāju izmaksas, ir iespējams selektīvi īstenot divu veidu atbalsta pasākumus a</w:t>
      </w:r>
      <w:r>
        <w:rPr>
          <w:sz w:val="28"/>
          <w:szCs w:val="28"/>
        </w:rPr>
        <w:t>pstrādes rūpniecības uzņēmumiem.</w:t>
      </w:r>
    </w:p>
    <w:p w:rsidR="00D6587F" w:rsidRDefault="00D6587F" w:rsidP="00D6587F">
      <w:pPr>
        <w:ind w:firstLine="709"/>
        <w:jc w:val="both"/>
        <w:rPr>
          <w:sz w:val="28"/>
          <w:szCs w:val="28"/>
        </w:rPr>
      </w:pPr>
      <w:r>
        <w:rPr>
          <w:sz w:val="28"/>
          <w:szCs w:val="28"/>
        </w:rPr>
        <w:lastRenderedPageBreak/>
        <w:t>P</w:t>
      </w:r>
      <w:r w:rsidRPr="00942BFB">
        <w:rPr>
          <w:sz w:val="28"/>
          <w:szCs w:val="28"/>
        </w:rPr>
        <w:t>ar pamatu ņemot Vācijā</w:t>
      </w:r>
      <w:r>
        <w:rPr>
          <w:rStyle w:val="FootnoteReference"/>
          <w:sz w:val="28"/>
          <w:szCs w:val="28"/>
        </w:rPr>
        <w:footnoteReference w:id="10"/>
      </w:r>
      <w:r w:rsidRPr="00942BFB">
        <w:rPr>
          <w:sz w:val="28"/>
          <w:szCs w:val="28"/>
        </w:rPr>
        <w:t xml:space="preserve"> izmantotu atbalsta sistēmu, piemērot izņēmumu no OIK maksājumiem pārvades sistēmai pieslēgtajiem apstrādes rūpniecības uzņēmumiem. </w:t>
      </w:r>
      <w:r>
        <w:rPr>
          <w:sz w:val="28"/>
          <w:szCs w:val="28"/>
        </w:rPr>
        <w:t>Jāņem vērā, ka šobrīd</w:t>
      </w:r>
      <w:r w:rsidRPr="00942BFB">
        <w:rPr>
          <w:sz w:val="28"/>
          <w:szCs w:val="28"/>
        </w:rPr>
        <w:t xml:space="preserve"> strādājošs ir tikai vie</w:t>
      </w:r>
      <w:r>
        <w:rPr>
          <w:sz w:val="28"/>
          <w:szCs w:val="28"/>
        </w:rPr>
        <w:t>ns šāds uzņēmums</w:t>
      </w:r>
      <w:r w:rsidRPr="00942BFB">
        <w:rPr>
          <w:sz w:val="28"/>
          <w:szCs w:val="28"/>
        </w:rPr>
        <w:t xml:space="preserve">. </w:t>
      </w:r>
      <w:r>
        <w:rPr>
          <w:sz w:val="28"/>
          <w:szCs w:val="28"/>
        </w:rPr>
        <w:t xml:space="preserve">Līdz ar to </w:t>
      </w:r>
      <w:r w:rsidRPr="00942BFB">
        <w:rPr>
          <w:sz w:val="28"/>
          <w:szCs w:val="28"/>
        </w:rPr>
        <w:t xml:space="preserve">tiktu radīti priekšnoteikumi </w:t>
      </w:r>
      <w:r w:rsidR="00371682">
        <w:rPr>
          <w:sz w:val="28"/>
          <w:szCs w:val="28"/>
        </w:rPr>
        <w:t>AS „</w:t>
      </w:r>
      <w:r w:rsidRPr="00942BFB">
        <w:rPr>
          <w:sz w:val="28"/>
          <w:szCs w:val="28"/>
        </w:rPr>
        <w:t xml:space="preserve">Liepājas </w:t>
      </w:r>
      <w:r w:rsidR="00371682" w:rsidRPr="00942BFB">
        <w:rPr>
          <w:sz w:val="28"/>
          <w:szCs w:val="28"/>
        </w:rPr>
        <w:t>metalurg</w:t>
      </w:r>
      <w:r w:rsidR="00371682">
        <w:rPr>
          <w:sz w:val="28"/>
          <w:szCs w:val="28"/>
        </w:rPr>
        <w:t>s”</w:t>
      </w:r>
      <w:r w:rsidR="00371682" w:rsidRPr="00942BFB">
        <w:rPr>
          <w:sz w:val="28"/>
          <w:szCs w:val="28"/>
        </w:rPr>
        <w:t xml:space="preserve"> </w:t>
      </w:r>
      <w:r w:rsidRPr="00942BFB">
        <w:rPr>
          <w:sz w:val="28"/>
          <w:szCs w:val="28"/>
        </w:rPr>
        <w:t xml:space="preserve">ražošanas atsākšanai </w:t>
      </w:r>
      <w:r>
        <w:rPr>
          <w:sz w:val="28"/>
          <w:szCs w:val="28"/>
        </w:rPr>
        <w:t>un</w:t>
      </w:r>
      <w:r w:rsidRPr="00942BFB">
        <w:rPr>
          <w:sz w:val="28"/>
          <w:szCs w:val="28"/>
        </w:rPr>
        <w:t xml:space="preserve"> jaunu šāda mēroga investīciju piesaistei.</w:t>
      </w:r>
    </w:p>
    <w:p w:rsidR="00D6587F" w:rsidRDefault="00D6587F" w:rsidP="00D6587F">
      <w:pPr>
        <w:ind w:firstLine="709"/>
        <w:jc w:val="both"/>
        <w:rPr>
          <w:sz w:val="28"/>
          <w:szCs w:val="28"/>
        </w:rPr>
      </w:pPr>
      <w:r>
        <w:rPr>
          <w:sz w:val="28"/>
          <w:szCs w:val="28"/>
        </w:rPr>
        <w:t>Priekšlikumā attiecībā uz grozījumiem ETL ir ņemtas vērā Vadlīnijas un tajās noteiktie priekšnosacījumi.</w:t>
      </w:r>
    </w:p>
    <w:p w:rsidR="00B6750B" w:rsidRPr="00942BFB" w:rsidRDefault="00B6750B" w:rsidP="00163D90">
      <w:pPr>
        <w:ind w:firstLine="709"/>
        <w:jc w:val="both"/>
        <w:rPr>
          <w:sz w:val="28"/>
          <w:szCs w:val="28"/>
        </w:rPr>
      </w:pPr>
      <w:r>
        <w:rPr>
          <w:sz w:val="28"/>
          <w:szCs w:val="28"/>
        </w:rPr>
        <w:t>Pieņemot</w:t>
      </w:r>
      <w:r w:rsidRPr="00942BFB">
        <w:rPr>
          <w:sz w:val="28"/>
          <w:szCs w:val="28"/>
        </w:rPr>
        <w:t xml:space="preserve"> grozījumus</w:t>
      </w:r>
      <w:r>
        <w:rPr>
          <w:sz w:val="28"/>
          <w:szCs w:val="28"/>
        </w:rPr>
        <w:t xml:space="preserve"> ETL</w:t>
      </w:r>
      <w:r w:rsidRPr="00942BFB">
        <w:rPr>
          <w:sz w:val="28"/>
          <w:szCs w:val="28"/>
        </w:rPr>
        <w:t>, kas ieviestu apstrādes rūpniecības konkurētspēju veicinošus instrumentus, Ministru kabinetam būtu nepieciešams atbalstīt tās valstis (Vācija, Austrija, Skandināvijas valstis), kas jau piemēro šādus instrument</w:t>
      </w:r>
      <w:r>
        <w:rPr>
          <w:sz w:val="28"/>
          <w:szCs w:val="28"/>
        </w:rPr>
        <w:t>us</w:t>
      </w:r>
      <w:r w:rsidR="00F03826">
        <w:rPr>
          <w:sz w:val="28"/>
          <w:szCs w:val="28"/>
        </w:rPr>
        <w:t>,</w:t>
      </w:r>
      <w:r w:rsidRPr="00942BFB">
        <w:rPr>
          <w:sz w:val="28"/>
          <w:szCs w:val="28"/>
        </w:rPr>
        <w:t xml:space="preserve"> </w:t>
      </w:r>
      <w:r w:rsidR="00F03826" w:rsidRPr="00942BFB">
        <w:rPr>
          <w:sz w:val="28"/>
          <w:szCs w:val="28"/>
        </w:rPr>
        <w:t>sarunās ar Eiropas Komisiju</w:t>
      </w:r>
      <w:r w:rsidR="00F03826">
        <w:rPr>
          <w:sz w:val="28"/>
          <w:szCs w:val="28"/>
        </w:rPr>
        <w:t>, kas ir</w:t>
      </w:r>
      <w:r w:rsidRPr="00942BFB">
        <w:rPr>
          <w:sz w:val="28"/>
          <w:szCs w:val="28"/>
        </w:rPr>
        <w:t xml:space="preserve"> uzsāk</w:t>
      </w:r>
      <w:r w:rsidR="00F03826">
        <w:rPr>
          <w:sz w:val="28"/>
          <w:szCs w:val="28"/>
        </w:rPr>
        <w:t>usi</w:t>
      </w:r>
      <w:r w:rsidRPr="00942BFB">
        <w:rPr>
          <w:sz w:val="28"/>
          <w:szCs w:val="28"/>
        </w:rPr>
        <w:t xml:space="preserve"> pārbaudes procedūras</w:t>
      </w:r>
      <w:r w:rsidR="00F03826">
        <w:rPr>
          <w:sz w:val="28"/>
          <w:szCs w:val="28"/>
        </w:rPr>
        <w:t xml:space="preserve"> un plāno izstrādāt vadlīnijas atbalsta nosacījumiem</w:t>
      </w:r>
      <w:r w:rsidRPr="00942BFB">
        <w:rPr>
          <w:sz w:val="28"/>
          <w:szCs w:val="28"/>
        </w:rPr>
        <w:t xml:space="preserve">. </w:t>
      </w:r>
    </w:p>
    <w:p w:rsidR="00B6750B" w:rsidRDefault="00163D90" w:rsidP="00D6587F">
      <w:pPr>
        <w:ind w:firstLine="709"/>
        <w:jc w:val="both"/>
        <w:rPr>
          <w:sz w:val="28"/>
          <w:szCs w:val="28"/>
        </w:rPr>
      </w:pPr>
      <w:r>
        <w:rPr>
          <w:sz w:val="28"/>
          <w:szCs w:val="28"/>
        </w:rPr>
        <w:t>Piedāvātie grozījumi ETL:</w:t>
      </w:r>
    </w:p>
    <w:tbl>
      <w:tblPr>
        <w:tblStyle w:val="TableGrid"/>
        <w:tblW w:w="0" w:type="auto"/>
        <w:tblLook w:val="04A0" w:firstRow="1" w:lastRow="0" w:firstColumn="1" w:lastColumn="0" w:noHBand="0" w:noVBand="1"/>
      </w:tblPr>
      <w:tblGrid>
        <w:gridCol w:w="9287"/>
      </w:tblGrid>
      <w:tr w:rsidR="00F03826" w:rsidTr="00163D90">
        <w:tc>
          <w:tcPr>
            <w:tcW w:w="9287" w:type="dxa"/>
            <w:shd w:val="clear" w:color="auto" w:fill="auto"/>
          </w:tcPr>
          <w:p w:rsidR="00F03826" w:rsidRPr="00942BFB" w:rsidRDefault="00163D90" w:rsidP="00F03826">
            <w:pPr>
              <w:jc w:val="both"/>
              <w:rPr>
                <w:sz w:val="28"/>
                <w:szCs w:val="28"/>
              </w:rPr>
            </w:pPr>
            <w:r>
              <w:rPr>
                <w:sz w:val="28"/>
                <w:szCs w:val="28"/>
              </w:rPr>
              <w:t xml:space="preserve">1. </w:t>
            </w:r>
            <w:r w:rsidR="00F03826" w:rsidRPr="00942BFB">
              <w:rPr>
                <w:sz w:val="28"/>
                <w:szCs w:val="28"/>
              </w:rPr>
              <w:t>Izteikt likuma 28.panta piekto daļu šādā redakcijā:</w:t>
            </w:r>
          </w:p>
          <w:p w:rsidR="00F03826" w:rsidRPr="00942BFB" w:rsidRDefault="00F03826" w:rsidP="00F03826">
            <w:pPr>
              <w:jc w:val="both"/>
              <w:rPr>
                <w:sz w:val="28"/>
                <w:szCs w:val="28"/>
              </w:rPr>
            </w:pPr>
            <w:r w:rsidRPr="00942BFB">
              <w:rPr>
                <w:sz w:val="28"/>
                <w:szCs w:val="28"/>
              </w:rPr>
              <w:t>„(5) Publiskais tirgotājs atsevišķi uzskaita šā panta trešajā un ceturtajā daļā noteiktajā kārtībā iepirktās elektroenerģijas apjomu un izmaksas. Šā iepirkuma izmaksas sedz visi Latvijas elektroenerģijas galalietotāji</w:t>
            </w:r>
            <w:r>
              <w:rPr>
                <w:sz w:val="28"/>
                <w:szCs w:val="28"/>
              </w:rPr>
              <w:t xml:space="preserve"> </w:t>
            </w:r>
            <w:r w:rsidRPr="00942BFB">
              <w:rPr>
                <w:sz w:val="28"/>
                <w:szCs w:val="28"/>
              </w:rPr>
              <w:t xml:space="preserve">proporcionāli savam elektroenerģijas patēriņam, kompensējot publiskajam tirgotājam iepirkuma izdevumus. </w:t>
            </w:r>
            <w:r>
              <w:rPr>
                <w:sz w:val="28"/>
                <w:szCs w:val="28"/>
                <w:u w:val="single"/>
              </w:rPr>
              <w:t>Lietotāji, kas atbilst NACE saimnieciskās darbības klasifikācijas kodam C un nav pieslēgti sadales sistēmai, iepirkuma izmaksas gada periodā sedz apmērā līdz 1 miljonam EUR, bet ne mazāk kā 20% no vispārējā pienākuma atbilstoši kopējam patēri</w:t>
            </w:r>
            <w:r w:rsidR="00163D90">
              <w:rPr>
                <w:sz w:val="28"/>
                <w:szCs w:val="28"/>
                <w:u w:val="single"/>
              </w:rPr>
              <w:t>ņam.</w:t>
            </w:r>
            <w:r w:rsidR="00163D90">
              <w:rPr>
                <w:sz w:val="28"/>
                <w:szCs w:val="28"/>
              </w:rPr>
              <w:t xml:space="preserve"> Kompensējamo izmaksu aprēķinā ņem vērā likumā par valsts budžetu kārtējam gadam noteikto valsts budžeta dotāciju obligātā iepirkuma komponenšu apmēra mazināšanai. </w:t>
            </w:r>
            <w:r w:rsidRPr="00942BFB">
              <w:rPr>
                <w:sz w:val="28"/>
                <w:szCs w:val="28"/>
              </w:rPr>
              <w:t>Iepirkuma izmaksu attiecināšanas aprēķina metodiku nosaka regulators.</w:t>
            </w:r>
            <w:r w:rsidR="00163D90">
              <w:rPr>
                <w:sz w:val="28"/>
                <w:szCs w:val="28"/>
              </w:rPr>
              <w:t xml:space="preserve"> Kompensējamo izmaksu un attiecīgo publiskā tirgotāja ieņēmumu starpību pārskata gadā publiskais tirgotājs atzīst aktīvos vai saistībās.</w:t>
            </w:r>
            <w:r w:rsidRPr="00942BFB">
              <w:rPr>
                <w:sz w:val="28"/>
                <w:szCs w:val="28"/>
              </w:rPr>
              <w:t>”</w:t>
            </w:r>
            <w:r w:rsidR="00163D90">
              <w:rPr>
                <w:sz w:val="28"/>
                <w:szCs w:val="28"/>
              </w:rPr>
              <w:t xml:space="preserve">  </w:t>
            </w:r>
          </w:p>
          <w:p w:rsidR="00F03826" w:rsidRPr="00942BFB" w:rsidRDefault="00F03826" w:rsidP="00F03826">
            <w:pPr>
              <w:jc w:val="both"/>
              <w:rPr>
                <w:sz w:val="28"/>
                <w:szCs w:val="28"/>
              </w:rPr>
            </w:pPr>
          </w:p>
          <w:p w:rsidR="00F03826" w:rsidRPr="00942BFB" w:rsidRDefault="00371682" w:rsidP="00F03826">
            <w:pPr>
              <w:jc w:val="both"/>
              <w:rPr>
                <w:sz w:val="28"/>
                <w:szCs w:val="28"/>
              </w:rPr>
            </w:pPr>
            <w:r>
              <w:rPr>
                <w:sz w:val="28"/>
                <w:szCs w:val="28"/>
              </w:rPr>
              <w:t>2</w:t>
            </w:r>
            <w:r w:rsidR="00F03826" w:rsidRPr="00942BFB">
              <w:rPr>
                <w:sz w:val="28"/>
                <w:szCs w:val="28"/>
              </w:rPr>
              <w:t>. Izteikt likuma 28.</w:t>
            </w:r>
            <w:r w:rsidR="00F03826" w:rsidRPr="00942BFB">
              <w:rPr>
                <w:sz w:val="28"/>
                <w:szCs w:val="28"/>
                <w:vertAlign w:val="superscript"/>
              </w:rPr>
              <w:t>1</w:t>
            </w:r>
            <w:r w:rsidR="00F03826" w:rsidRPr="00942BFB">
              <w:rPr>
                <w:sz w:val="28"/>
                <w:szCs w:val="28"/>
              </w:rPr>
              <w:t>panta ceturto daļu šādā redakcijā:</w:t>
            </w:r>
          </w:p>
          <w:p w:rsidR="00F03826" w:rsidRPr="00942BFB" w:rsidRDefault="00F03826" w:rsidP="00F03826">
            <w:pPr>
              <w:jc w:val="both"/>
              <w:rPr>
                <w:sz w:val="28"/>
                <w:szCs w:val="28"/>
              </w:rPr>
            </w:pPr>
            <w:r w:rsidRPr="00942BFB">
              <w:rPr>
                <w:sz w:val="28"/>
                <w:szCs w:val="28"/>
              </w:rPr>
              <w:t>„(4) Publiskais tirgotājs atsevišķi uzskaita šā panta trešajā daļā noteiktajā kārtībā veiktos maksājumus. Izmaksas, ko veido maksājumi par uzstādīto elektrisko jaudu, sedz visi Latvijas elektroenerģijas galalietotāji</w:t>
            </w:r>
            <w:r w:rsidR="00163D90">
              <w:rPr>
                <w:sz w:val="28"/>
                <w:szCs w:val="28"/>
              </w:rPr>
              <w:t xml:space="preserve"> </w:t>
            </w:r>
            <w:r w:rsidRPr="00942BFB">
              <w:rPr>
                <w:sz w:val="28"/>
                <w:szCs w:val="28"/>
              </w:rPr>
              <w:t xml:space="preserve">proporcionāli savam elektroenerģijas patēriņam, kompensējot publiskajam tirgotājam iepirkuma izdevumus. </w:t>
            </w:r>
            <w:r w:rsidR="00163D90">
              <w:rPr>
                <w:sz w:val="28"/>
                <w:szCs w:val="28"/>
                <w:u w:val="single"/>
              </w:rPr>
              <w:t>Lietotāji, kas atbilst NACE saimnieciskās darbības klasifikācijas kodam C un nav pieslēgti sadales sistēmai, iepirkuma izmaksas gada periodā sedz apmērā līdz 1 miljonam EUR, bet ne mazāk kā 20% no vispārējā pienākuma atbilstoši kopējam patēriņam.</w:t>
            </w:r>
            <w:r w:rsidR="00163D90">
              <w:rPr>
                <w:sz w:val="28"/>
                <w:szCs w:val="28"/>
              </w:rPr>
              <w:t xml:space="preserve"> Kompensējamo izmaksu aprēķinā ņem vērā likumā par valsts budžetu kārtējam gadam noteikto valsts budžeta dotāciju obligātā iepirkuma komponenšu apmēra mazināšanai. </w:t>
            </w:r>
            <w:r w:rsidR="00163D90" w:rsidRPr="00942BFB">
              <w:rPr>
                <w:sz w:val="28"/>
                <w:szCs w:val="28"/>
              </w:rPr>
              <w:t>Iepirkuma izmaksu attiecināšanas aprēķina metodiku nosaka regulators.</w:t>
            </w:r>
            <w:r w:rsidR="00163D90">
              <w:rPr>
                <w:sz w:val="28"/>
                <w:szCs w:val="28"/>
              </w:rPr>
              <w:t xml:space="preserve"> Kompensējamo izmaksu un attiecīgo publiskā tirgotāja ieņēmumu starpību pārskata gadā publiskais tirgotājs </w:t>
            </w:r>
            <w:r w:rsidR="00163D90">
              <w:rPr>
                <w:sz w:val="28"/>
                <w:szCs w:val="28"/>
              </w:rPr>
              <w:lastRenderedPageBreak/>
              <w:t>atzīst aktīvos vai saistībās.</w:t>
            </w:r>
            <w:r w:rsidR="00163D90" w:rsidRPr="00942BFB">
              <w:rPr>
                <w:sz w:val="28"/>
                <w:szCs w:val="28"/>
              </w:rPr>
              <w:t>”</w:t>
            </w:r>
            <w:r w:rsidR="00163D90">
              <w:rPr>
                <w:sz w:val="28"/>
                <w:szCs w:val="28"/>
              </w:rPr>
              <w:t xml:space="preserve">  </w:t>
            </w:r>
          </w:p>
          <w:p w:rsidR="00F03826" w:rsidRPr="00942BFB" w:rsidRDefault="00F03826" w:rsidP="00F03826">
            <w:pPr>
              <w:jc w:val="both"/>
              <w:rPr>
                <w:sz w:val="28"/>
                <w:szCs w:val="28"/>
              </w:rPr>
            </w:pPr>
          </w:p>
          <w:p w:rsidR="00F03826" w:rsidRPr="00942BFB" w:rsidRDefault="00371682" w:rsidP="00F03826">
            <w:pPr>
              <w:jc w:val="both"/>
              <w:rPr>
                <w:sz w:val="28"/>
                <w:szCs w:val="28"/>
              </w:rPr>
            </w:pPr>
            <w:r>
              <w:rPr>
                <w:sz w:val="28"/>
                <w:szCs w:val="28"/>
              </w:rPr>
              <w:t>3</w:t>
            </w:r>
            <w:r w:rsidR="00F03826" w:rsidRPr="00942BFB">
              <w:rPr>
                <w:sz w:val="28"/>
                <w:szCs w:val="28"/>
              </w:rPr>
              <w:t>. Izteikt likuma 29.</w:t>
            </w:r>
            <w:r w:rsidR="00F03826" w:rsidRPr="00942BFB">
              <w:rPr>
                <w:sz w:val="28"/>
                <w:szCs w:val="28"/>
                <w:vertAlign w:val="superscript"/>
              </w:rPr>
              <w:t>1</w:t>
            </w:r>
            <w:r w:rsidR="00F03826" w:rsidRPr="00942BFB">
              <w:rPr>
                <w:sz w:val="28"/>
                <w:szCs w:val="28"/>
              </w:rPr>
              <w:t>panta ceturto daļu šādā redakcijā:</w:t>
            </w:r>
          </w:p>
          <w:p w:rsidR="00F03826" w:rsidRPr="00942BFB" w:rsidRDefault="00F03826" w:rsidP="00F03826">
            <w:pPr>
              <w:jc w:val="both"/>
              <w:rPr>
                <w:sz w:val="28"/>
                <w:szCs w:val="28"/>
              </w:rPr>
            </w:pPr>
            <w:r w:rsidRPr="00942BFB">
              <w:rPr>
                <w:sz w:val="28"/>
                <w:szCs w:val="28"/>
              </w:rPr>
              <w:t>„(4) Publiskais tirgotājs atsevišķi uzskaita saskaņā ar šā panta trešo daļu veikto maksājumu apjomus. Izmaksas, ko veido maksājumi par uzstādīto elektrisko jaudu, sedz visi Latvijas elektroenerģijas galalietotāji</w:t>
            </w:r>
            <w:r w:rsidR="00163D90">
              <w:rPr>
                <w:sz w:val="28"/>
                <w:szCs w:val="28"/>
              </w:rPr>
              <w:t xml:space="preserve"> </w:t>
            </w:r>
            <w:r w:rsidRPr="00942BFB">
              <w:rPr>
                <w:sz w:val="28"/>
                <w:szCs w:val="28"/>
              </w:rPr>
              <w:t xml:space="preserve">proporcionāli savam elektroenerģijas patēriņam, kompensējot publiskajam tirgotājam iepirkuma izdevumus. </w:t>
            </w:r>
            <w:r w:rsidR="00163D90">
              <w:rPr>
                <w:sz w:val="28"/>
                <w:szCs w:val="28"/>
                <w:u w:val="single"/>
              </w:rPr>
              <w:t>Lietotāji, kas atbilst NACE saimnieciskās darbības klasifikācijas kodam C un nav pieslēgti sadales sistēmai, iepirkuma izmaksas gada periodā sedz apmērā līdz 1 miljonam EUR, bet ne mazāk kā 20% no vispārējā pienākuma atbilstoši kopējam patēriņam.</w:t>
            </w:r>
            <w:r w:rsidR="00163D90">
              <w:rPr>
                <w:sz w:val="28"/>
                <w:szCs w:val="28"/>
              </w:rPr>
              <w:t xml:space="preserve"> Kompensējamo izmaksu aprēķinā ņem vērā likumā par valsts budžetu kārtējam gadam noteikto valsts budžeta dotāciju obligātā iepirkuma komponenšu apmēra mazināšanai. </w:t>
            </w:r>
            <w:r w:rsidR="00163D90" w:rsidRPr="00942BFB">
              <w:rPr>
                <w:sz w:val="28"/>
                <w:szCs w:val="28"/>
              </w:rPr>
              <w:t>Iepirkuma izmaksu attiecināšanas aprēķina metodiku nosaka regulators.</w:t>
            </w:r>
            <w:r w:rsidR="00163D90">
              <w:rPr>
                <w:sz w:val="28"/>
                <w:szCs w:val="28"/>
              </w:rPr>
              <w:t xml:space="preserve"> Kompensējamo izmaksu un attiecīgo publiskā tirgotāja ieņēmumu starpību pārskata gadā publiskais tirgotājs atzīst aktīvos vai saistībās.</w:t>
            </w:r>
            <w:r w:rsidR="00163D90" w:rsidRPr="00942BFB">
              <w:rPr>
                <w:sz w:val="28"/>
                <w:szCs w:val="28"/>
              </w:rPr>
              <w:t>”</w:t>
            </w:r>
            <w:r w:rsidR="00163D90">
              <w:rPr>
                <w:sz w:val="28"/>
                <w:szCs w:val="28"/>
              </w:rPr>
              <w:t xml:space="preserve">  </w:t>
            </w:r>
          </w:p>
          <w:p w:rsidR="00F03826" w:rsidRPr="00942BFB" w:rsidRDefault="00F03826" w:rsidP="00F03826">
            <w:pPr>
              <w:jc w:val="both"/>
              <w:rPr>
                <w:sz w:val="28"/>
                <w:szCs w:val="28"/>
              </w:rPr>
            </w:pPr>
          </w:p>
          <w:p w:rsidR="00F03826" w:rsidRPr="00942BFB" w:rsidRDefault="00371682" w:rsidP="00F03826">
            <w:pPr>
              <w:jc w:val="both"/>
              <w:rPr>
                <w:sz w:val="28"/>
                <w:szCs w:val="28"/>
              </w:rPr>
            </w:pPr>
            <w:r>
              <w:rPr>
                <w:sz w:val="28"/>
                <w:szCs w:val="28"/>
              </w:rPr>
              <w:t>4</w:t>
            </w:r>
            <w:r w:rsidR="00F03826" w:rsidRPr="00942BFB">
              <w:rPr>
                <w:sz w:val="28"/>
                <w:szCs w:val="28"/>
              </w:rPr>
              <w:t>. Izteikt 30.panta trešo daļu šādā redakcijā:</w:t>
            </w:r>
          </w:p>
          <w:p w:rsidR="00F03826" w:rsidRDefault="00F03826" w:rsidP="00D6587F">
            <w:pPr>
              <w:jc w:val="both"/>
              <w:rPr>
                <w:sz w:val="28"/>
                <w:szCs w:val="28"/>
              </w:rPr>
            </w:pPr>
            <w:r w:rsidRPr="00942BFB">
              <w:rPr>
                <w:sz w:val="28"/>
                <w:szCs w:val="28"/>
              </w:rPr>
              <w:t>„(3) Publiskais tirgotājs atsevišķi uzskaita šā likuma 29.pantā un šā panta pirmajā, 1.1 un otrajā daļā noteiktajā kārtībā iepirktās elektroenerģijas apjomu un izmaksas. Šā iepirkuma izmaksas sedz visi Latvijas elektroenerģijas galalietotāji</w:t>
            </w:r>
            <w:r w:rsidR="00163D90">
              <w:rPr>
                <w:sz w:val="28"/>
                <w:szCs w:val="28"/>
              </w:rPr>
              <w:t xml:space="preserve"> </w:t>
            </w:r>
            <w:r w:rsidRPr="00942BFB">
              <w:rPr>
                <w:sz w:val="28"/>
                <w:szCs w:val="28"/>
              </w:rPr>
              <w:t xml:space="preserve">proporcionāli savam elektroenerģijas patēriņam, kompensējot publiskajam tirgotājam iepirkuma izdevumus. </w:t>
            </w:r>
            <w:r w:rsidR="00163D90">
              <w:rPr>
                <w:sz w:val="28"/>
                <w:szCs w:val="28"/>
                <w:u w:val="single"/>
              </w:rPr>
              <w:t>Lietotāji, kas atbilst NACE saimnieciskās darbības klasifikācijas kodam C un nav pieslēgti sadales sistēmai, iepirkuma izmaksas gada periodā sedz apmērā līdz 1 miljonam EUR, bet ne mazāk kā 20% no vispārējā pienākuma atbilstoši kopējam patēriņam.</w:t>
            </w:r>
            <w:r w:rsidR="00163D90">
              <w:rPr>
                <w:sz w:val="28"/>
                <w:szCs w:val="28"/>
              </w:rPr>
              <w:t xml:space="preserve"> Kompensējamo izmaksu aprēķinā ņem vērā likumā par valsts budžetu kārtējam gadam noteikto valsts budžeta dotāciju obligātā iepirkuma komponenšu apmēra mazināšanai. </w:t>
            </w:r>
            <w:r w:rsidR="00163D90" w:rsidRPr="00942BFB">
              <w:rPr>
                <w:sz w:val="28"/>
                <w:szCs w:val="28"/>
              </w:rPr>
              <w:t>Iepirkuma izmaksu attiecināšanas aprēķina metodiku nosaka regulators.</w:t>
            </w:r>
            <w:r w:rsidR="00163D90">
              <w:rPr>
                <w:sz w:val="28"/>
                <w:szCs w:val="28"/>
              </w:rPr>
              <w:t xml:space="preserve"> Kompensējamo izmaksu un attiecīgo publiskā tirgotāja ieņēmumu starpību pārskata gadā publiskais tirgotājs atzīst aktīvos vai saistībās.</w:t>
            </w:r>
            <w:r w:rsidR="00163D90" w:rsidRPr="00942BFB">
              <w:rPr>
                <w:sz w:val="28"/>
                <w:szCs w:val="28"/>
              </w:rPr>
              <w:t>”</w:t>
            </w:r>
          </w:p>
        </w:tc>
      </w:tr>
    </w:tbl>
    <w:p w:rsidR="00942BFB" w:rsidRPr="00942BFB" w:rsidRDefault="00942BFB" w:rsidP="00942BFB">
      <w:pPr>
        <w:jc w:val="both"/>
        <w:rPr>
          <w:rFonts w:eastAsia="Times New Roman" w:cs="Times New Roman"/>
          <w:b/>
          <w:bCs/>
          <w:i/>
          <w:color w:val="000000"/>
          <w:sz w:val="28"/>
          <w:szCs w:val="28"/>
          <w:lang w:eastAsia="lv-LV"/>
        </w:rPr>
      </w:pPr>
    </w:p>
    <w:p w:rsidR="006B0474" w:rsidRPr="005B42CF" w:rsidRDefault="006B0474" w:rsidP="005B42CF">
      <w:pPr>
        <w:pStyle w:val="ListParagraph"/>
        <w:numPr>
          <w:ilvl w:val="0"/>
          <w:numId w:val="15"/>
        </w:numPr>
        <w:jc w:val="both"/>
        <w:rPr>
          <w:rFonts w:eastAsia="Times New Roman" w:cs="Times New Roman"/>
          <w:b/>
          <w:bCs/>
          <w:color w:val="000000"/>
          <w:sz w:val="28"/>
          <w:szCs w:val="28"/>
          <w:lang w:eastAsia="lv-LV"/>
        </w:rPr>
      </w:pPr>
      <w:r w:rsidRPr="005B42CF">
        <w:rPr>
          <w:rFonts w:eastAsia="Times New Roman" w:cs="Times New Roman"/>
          <w:b/>
          <w:bCs/>
          <w:color w:val="000000"/>
          <w:sz w:val="28"/>
          <w:szCs w:val="28"/>
          <w:lang w:eastAsia="lv-LV"/>
        </w:rPr>
        <w:t>Piedāvātā rīcība</w:t>
      </w:r>
    </w:p>
    <w:p w:rsidR="006B0474" w:rsidRPr="00AD4AFC" w:rsidRDefault="006B0474" w:rsidP="00187562">
      <w:pPr>
        <w:jc w:val="both"/>
        <w:rPr>
          <w:rFonts w:eastAsia="Times New Roman" w:cs="Times New Roman"/>
          <w:bCs/>
          <w:color w:val="000000"/>
          <w:sz w:val="28"/>
          <w:szCs w:val="28"/>
          <w:lang w:eastAsia="lv-LV"/>
        </w:rPr>
      </w:pPr>
    </w:p>
    <w:p w:rsidR="006B0474" w:rsidRDefault="005B42CF" w:rsidP="00187562">
      <w:pPr>
        <w:jc w:val="both"/>
        <w:rPr>
          <w:rFonts w:eastAsia="Times New Roman" w:cs="Times New Roman"/>
          <w:bCs/>
          <w:color w:val="000000"/>
          <w:sz w:val="28"/>
          <w:szCs w:val="28"/>
          <w:lang w:eastAsia="lv-LV"/>
        </w:rPr>
      </w:pPr>
      <w:r w:rsidRPr="005B42CF">
        <w:rPr>
          <w:rFonts w:eastAsia="Times New Roman" w:cs="Times New Roman"/>
          <w:b/>
          <w:bCs/>
          <w:color w:val="000000"/>
          <w:sz w:val="28"/>
          <w:szCs w:val="28"/>
          <w:lang w:eastAsia="lv-LV"/>
        </w:rPr>
        <w:t>1.</w:t>
      </w:r>
      <w:r>
        <w:rPr>
          <w:rFonts w:eastAsia="Times New Roman" w:cs="Times New Roman"/>
          <w:bCs/>
          <w:color w:val="000000"/>
          <w:sz w:val="28"/>
          <w:szCs w:val="28"/>
          <w:lang w:eastAsia="lv-LV"/>
        </w:rPr>
        <w:t xml:space="preserve"> </w:t>
      </w:r>
      <w:r w:rsidR="009B4D26" w:rsidRPr="00AD4AFC">
        <w:rPr>
          <w:rFonts w:eastAsia="Times New Roman" w:cs="Times New Roman"/>
          <w:bCs/>
          <w:color w:val="000000"/>
          <w:sz w:val="28"/>
          <w:szCs w:val="28"/>
          <w:lang w:eastAsia="lv-LV"/>
        </w:rPr>
        <w:t xml:space="preserve">Enerģētikas politikas pamatnostādnēs paredzēt pasākumus, kuri ir vērsti uz OIK maksājumu samazinājumu energoietilpīgajiem uzņēmumiem, pamatojoties uz tiem principiem, kuri noteikti Eiropas Komisijas </w:t>
      </w:r>
      <w:r w:rsidR="00371682">
        <w:rPr>
          <w:rFonts w:eastAsia="Times New Roman" w:cs="Times New Roman"/>
          <w:bCs/>
          <w:color w:val="000000"/>
          <w:sz w:val="28"/>
          <w:szCs w:val="28"/>
          <w:lang w:eastAsia="lv-LV"/>
        </w:rPr>
        <w:t>Vadlīnijās</w:t>
      </w:r>
      <w:r w:rsidR="00BB27B7" w:rsidRPr="00AD4AFC">
        <w:rPr>
          <w:rFonts w:eastAsia="Times New Roman" w:cs="Times New Roman"/>
          <w:bCs/>
          <w:color w:val="000000"/>
          <w:sz w:val="28"/>
          <w:szCs w:val="28"/>
          <w:lang w:eastAsia="lv-LV"/>
        </w:rPr>
        <w:t>.</w:t>
      </w:r>
    </w:p>
    <w:p w:rsidR="00FC7284" w:rsidRDefault="00FC7284" w:rsidP="00187562">
      <w:pPr>
        <w:jc w:val="both"/>
        <w:rPr>
          <w:sz w:val="28"/>
          <w:szCs w:val="28"/>
        </w:rPr>
      </w:pPr>
    </w:p>
    <w:p w:rsidR="00920EF6" w:rsidRPr="00920EF6" w:rsidRDefault="005B42CF" w:rsidP="00187562">
      <w:pPr>
        <w:jc w:val="both"/>
        <w:rPr>
          <w:rFonts w:eastAsia="Times New Roman" w:cs="Times New Roman"/>
          <w:bCs/>
          <w:color w:val="000000"/>
          <w:sz w:val="28"/>
          <w:szCs w:val="28"/>
          <w:lang w:eastAsia="lv-LV"/>
        </w:rPr>
      </w:pPr>
      <w:r w:rsidRPr="005B42CF">
        <w:rPr>
          <w:b/>
          <w:sz w:val="28"/>
          <w:szCs w:val="28"/>
        </w:rPr>
        <w:t>2.</w:t>
      </w:r>
      <w:r>
        <w:rPr>
          <w:sz w:val="28"/>
          <w:szCs w:val="28"/>
        </w:rPr>
        <w:t xml:space="preserve"> </w:t>
      </w:r>
      <w:r w:rsidR="00920EF6" w:rsidRPr="00920EF6">
        <w:rPr>
          <w:sz w:val="28"/>
          <w:szCs w:val="28"/>
        </w:rPr>
        <w:t xml:space="preserve">Līdz 2015.gada 31.decembrim </w:t>
      </w:r>
      <w:r w:rsidR="00371682">
        <w:rPr>
          <w:sz w:val="28"/>
          <w:szCs w:val="28"/>
        </w:rPr>
        <w:t>EM</w:t>
      </w:r>
      <w:r w:rsidR="00920EF6" w:rsidRPr="00920EF6">
        <w:rPr>
          <w:sz w:val="28"/>
          <w:szCs w:val="28"/>
        </w:rPr>
        <w:t xml:space="preserve"> sadarbībā ar Finanšu ministriju iesniegt Eiropas Komisijā saskaņošanai atbalsta mehānismu, lai samazinātu līdzdalību enerģijas, kas ražota no </w:t>
      </w:r>
      <w:r w:rsidR="00CD3596">
        <w:rPr>
          <w:sz w:val="28"/>
          <w:szCs w:val="28"/>
        </w:rPr>
        <w:t>AER</w:t>
      </w:r>
      <w:r w:rsidR="00920EF6" w:rsidRPr="00920EF6">
        <w:rPr>
          <w:sz w:val="28"/>
          <w:szCs w:val="28"/>
        </w:rPr>
        <w:t>, finansēšanā Latvijas energoietilpīgajiem uzņēmumiem.</w:t>
      </w:r>
    </w:p>
    <w:p w:rsidR="00E512D7" w:rsidRDefault="00E512D7" w:rsidP="00187562">
      <w:pPr>
        <w:jc w:val="both"/>
        <w:rPr>
          <w:rFonts w:eastAsia="Times New Roman" w:cs="Times New Roman"/>
          <w:bCs/>
          <w:color w:val="000000"/>
          <w:sz w:val="28"/>
          <w:szCs w:val="28"/>
          <w:lang w:eastAsia="lv-LV"/>
        </w:rPr>
      </w:pPr>
    </w:p>
    <w:p w:rsidR="009B4D26" w:rsidRPr="00AD4AFC" w:rsidRDefault="005B42CF" w:rsidP="00187562">
      <w:pPr>
        <w:jc w:val="both"/>
        <w:rPr>
          <w:rFonts w:eastAsia="Times New Roman" w:cs="Times New Roman"/>
          <w:bCs/>
          <w:color w:val="000000"/>
          <w:sz w:val="28"/>
          <w:szCs w:val="28"/>
          <w:lang w:eastAsia="lv-LV"/>
        </w:rPr>
      </w:pPr>
      <w:r w:rsidRPr="005B42CF">
        <w:rPr>
          <w:rFonts w:eastAsia="Times New Roman" w:cs="Times New Roman"/>
          <w:b/>
          <w:bCs/>
          <w:color w:val="000000"/>
          <w:sz w:val="28"/>
          <w:szCs w:val="28"/>
          <w:lang w:eastAsia="lv-LV"/>
        </w:rPr>
        <w:lastRenderedPageBreak/>
        <w:t>3.</w:t>
      </w:r>
      <w:r>
        <w:rPr>
          <w:rFonts w:eastAsia="Times New Roman" w:cs="Times New Roman"/>
          <w:bCs/>
          <w:color w:val="000000"/>
          <w:sz w:val="28"/>
          <w:szCs w:val="28"/>
          <w:lang w:eastAsia="lv-LV"/>
        </w:rPr>
        <w:t xml:space="preserve"> </w:t>
      </w:r>
      <w:r w:rsidR="009B4D26" w:rsidRPr="00AD4AFC">
        <w:rPr>
          <w:rFonts w:eastAsia="Times New Roman" w:cs="Times New Roman"/>
          <w:bCs/>
          <w:color w:val="000000"/>
          <w:sz w:val="28"/>
          <w:szCs w:val="28"/>
          <w:lang w:eastAsia="lv-LV"/>
        </w:rPr>
        <w:t>Noteikt, ka OIK maksājumu samazinājums energoietilpīgajiem uzņēmumiem ir piemērojams no 2017.gada 1.janvāra</w:t>
      </w:r>
      <w:r w:rsidR="00166AED">
        <w:rPr>
          <w:rFonts w:eastAsia="Times New Roman" w:cs="Times New Roman"/>
          <w:bCs/>
          <w:color w:val="000000"/>
          <w:sz w:val="28"/>
          <w:szCs w:val="28"/>
          <w:lang w:eastAsia="lv-LV"/>
        </w:rPr>
        <w:t>, pie nosacījuma, ja ir saņemts Eiropas Komisijas lēmums</w:t>
      </w:r>
      <w:r w:rsidR="009B4D26" w:rsidRPr="00AD4AFC">
        <w:rPr>
          <w:rFonts w:eastAsia="Times New Roman" w:cs="Times New Roman"/>
          <w:bCs/>
          <w:color w:val="000000"/>
          <w:sz w:val="28"/>
          <w:szCs w:val="28"/>
          <w:lang w:eastAsia="lv-LV"/>
        </w:rPr>
        <w:t>.</w:t>
      </w:r>
    </w:p>
    <w:p w:rsidR="006B0474" w:rsidRPr="00AD4AFC" w:rsidRDefault="006B0474" w:rsidP="00187562">
      <w:pPr>
        <w:jc w:val="both"/>
        <w:rPr>
          <w:rFonts w:eastAsia="Times New Roman" w:cs="Times New Roman"/>
          <w:b/>
          <w:bCs/>
          <w:color w:val="000000"/>
          <w:sz w:val="28"/>
          <w:szCs w:val="28"/>
          <w:lang w:eastAsia="lv-LV"/>
        </w:rPr>
      </w:pPr>
    </w:p>
    <w:p w:rsidR="00692216" w:rsidRPr="00AD4AFC" w:rsidRDefault="00692216" w:rsidP="00187562">
      <w:pPr>
        <w:jc w:val="both"/>
        <w:rPr>
          <w:rFonts w:eastAsia="Times New Roman" w:cs="Times New Roman"/>
          <w:b/>
          <w:bCs/>
          <w:color w:val="000000"/>
          <w:sz w:val="28"/>
          <w:szCs w:val="28"/>
          <w:lang w:eastAsia="lv-LV"/>
        </w:rPr>
      </w:pPr>
    </w:p>
    <w:p w:rsidR="00850F42" w:rsidRPr="00AD4AFC" w:rsidRDefault="00850F42" w:rsidP="00850F42">
      <w:pPr>
        <w:suppressAutoHyphens/>
        <w:rPr>
          <w:sz w:val="28"/>
          <w:szCs w:val="28"/>
        </w:rPr>
      </w:pPr>
      <w:r w:rsidRPr="00AD4AFC">
        <w:rPr>
          <w:sz w:val="28"/>
          <w:szCs w:val="28"/>
        </w:rPr>
        <w:t>Iesniedzējs:</w:t>
      </w:r>
    </w:p>
    <w:p w:rsidR="00850F42" w:rsidRPr="00AD4AFC" w:rsidRDefault="00850F42" w:rsidP="00850F42">
      <w:pPr>
        <w:suppressAutoHyphens/>
        <w:rPr>
          <w:sz w:val="28"/>
          <w:szCs w:val="28"/>
        </w:rPr>
      </w:pPr>
    </w:p>
    <w:p w:rsidR="00850F42" w:rsidRPr="00AD4AFC" w:rsidRDefault="001F00C1" w:rsidP="00850F42">
      <w:pPr>
        <w:pStyle w:val="BodyTextIndent2"/>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e</w:t>
      </w:r>
      <w:r w:rsidR="00850F42" w:rsidRPr="00AD4AFC">
        <w:rPr>
          <w:rFonts w:ascii="Times New Roman" w:hAnsi="Times New Roman"/>
          <w:color w:val="000000"/>
          <w:sz w:val="28"/>
          <w:szCs w:val="28"/>
        </w:rPr>
        <w:t>konomikas ministrs</w:t>
      </w:r>
      <w:r w:rsidR="00850F42" w:rsidRPr="00AD4AFC">
        <w:rPr>
          <w:rFonts w:ascii="Times New Roman" w:hAnsi="Times New Roman"/>
          <w:color w:val="000000"/>
          <w:sz w:val="28"/>
          <w:szCs w:val="28"/>
        </w:rPr>
        <w:tab/>
      </w:r>
      <w:r w:rsidR="00850F42" w:rsidRPr="00AD4AFC">
        <w:rPr>
          <w:rFonts w:ascii="Times New Roman" w:hAnsi="Times New Roman"/>
          <w:color w:val="000000"/>
          <w:sz w:val="28"/>
          <w:szCs w:val="28"/>
        </w:rPr>
        <w:tab/>
      </w:r>
      <w:r w:rsidR="00850F42" w:rsidRPr="00AD4AFC">
        <w:rPr>
          <w:rFonts w:ascii="Times New Roman" w:hAnsi="Times New Roman"/>
          <w:color w:val="000000"/>
          <w:sz w:val="28"/>
          <w:szCs w:val="28"/>
        </w:rPr>
        <w:tab/>
      </w:r>
      <w:r w:rsidR="00850F42" w:rsidRPr="00AD4AFC">
        <w:rPr>
          <w:rFonts w:ascii="Times New Roman" w:hAnsi="Times New Roman"/>
          <w:color w:val="000000"/>
          <w:sz w:val="28"/>
          <w:szCs w:val="28"/>
        </w:rPr>
        <w:tab/>
      </w:r>
      <w:r w:rsidR="00850F42" w:rsidRPr="00AD4AFC">
        <w:rPr>
          <w:rFonts w:ascii="Times New Roman" w:hAnsi="Times New Roman"/>
          <w:color w:val="000000"/>
          <w:sz w:val="28"/>
          <w:szCs w:val="28"/>
        </w:rPr>
        <w:tab/>
        <w:t xml:space="preserve">     </w:t>
      </w:r>
      <w:r w:rsidR="00850F42" w:rsidRPr="00AD4AFC">
        <w:rPr>
          <w:rFonts w:ascii="Times New Roman" w:hAnsi="Times New Roman"/>
          <w:color w:val="000000"/>
          <w:sz w:val="28"/>
          <w:szCs w:val="28"/>
        </w:rPr>
        <w:tab/>
      </w:r>
      <w:r w:rsidR="00850F42" w:rsidRPr="00AD4AFC">
        <w:rPr>
          <w:rFonts w:ascii="Times New Roman" w:hAnsi="Times New Roman"/>
          <w:color w:val="000000"/>
          <w:sz w:val="28"/>
          <w:szCs w:val="28"/>
        </w:rPr>
        <w:tab/>
        <w:t>V.Dombrovskis</w:t>
      </w:r>
    </w:p>
    <w:p w:rsidR="00850F42" w:rsidRPr="00AD4AFC" w:rsidRDefault="00850F42" w:rsidP="00850F42">
      <w:pPr>
        <w:pStyle w:val="BodyTextIndent2"/>
        <w:suppressAutoHyphens/>
        <w:spacing w:after="60" w:line="240" w:lineRule="auto"/>
        <w:ind w:left="0" w:firstLine="0"/>
        <w:rPr>
          <w:rFonts w:ascii="Times New Roman" w:hAnsi="Times New Roman"/>
          <w:bCs/>
          <w:sz w:val="28"/>
          <w:szCs w:val="28"/>
        </w:rPr>
      </w:pPr>
    </w:p>
    <w:p w:rsidR="00850F42" w:rsidRPr="00AD4AFC" w:rsidRDefault="00850F42" w:rsidP="00850F42">
      <w:pPr>
        <w:pStyle w:val="BodyTextIndent2"/>
        <w:suppressAutoHyphens/>
        <w:spacing w:after="60" w:line="240" w:lineRule="auto"/>
        <w:ind w:left="0" w:firstLine="0"/>
        <w:rPr>
          <w:rFonts w:ascii="Times New Roman" w:hAnsi="Times New Roman"/>
          <w:bCs/>
          <w:sz w:val="28"/>
          <w:szCs w:val="28"/>
        </w:rPr>
      </w:pPr>
    </w:p>
    <w:p w:rsidR="00850F42" w:rsidRPr="00AD4AFC" w:rsidRDefault="00850F42" w:rsidP="00850F42">
      <w:pPr>
        <w:pStyle w:val="BodyTextIndent2"/>
        <w:suppressAutoHyphens/>
        <w:spacing w:after="60" w:line="240" w:lineRule="auto"/>
        <w:ind w:left="0" w:firstLine="0"/>
        <w:rPr>
          <w:rFonts w:ascii="Times New Roman" w:hAnsi="Times New Roman"/>
          <w:sz w:val="28"/>
          <w:szCs w:val="28"/>
        </w:rPr>
      </w:pPr>
      <w:r w:rsidRPr="00AD4AFC">
        <w:rPr>
          <w:rFonts w:ascii="Times New Roman" w:hAnsi="Times New Roman"/>
          <w:bCs/>
          <w:sz w:val="28"/>
          <w:szCs w:val="28"/>
        </w:rPr>
        <w:t>Vīza:</w:t>
      </w:r>
      <w:r w:rsidRPr="00AD4AFC">
        <w:rPr>
          <w:rFonts w:ascii="Times New Roman" w:hAnsi="Times New Roman"/>
          <w:sz w:val="28"/>
          <w:szCs w:val="28"/>
        </w:rPr>
        <w:t xml:space="preserve"> </w:t>
      </w:r>
    </w:p>
    <w:p w:rsidR="00850F42" w:rsidRPr="00AD4AFC" w:rsidRDefault="00850F42" w:rsidP="000C30C4">
      <w:pPr>
        <w:pStyle w:val="BodyTextIndent2"/>
        <w:suppressAutoHyphens/>
        <w:spacing w:after="0" w:line="240" w:lineRule="auto"/>
        <w:ind w:left="0" w:firstLine="0"/>
        <w:rPr>
          <w:color w:val="000000"/>
          <w:sz w:val="28"/>
          <w:szCs w:val="28"/>
        </w:rPr>
      </w:pPr>
      <w:r w:rsidRPr="00AD4AFC">
        <w:rPr>
          <w:rFonts w:ascii="Times New Roman" w:hAnsi="Times New Roman"/>
          <w:sz w:val="28"/>
          <w:szCs w:val="28"/>
        </w:rPr>
        <w:t>valsts sekretār</w:t>
      </w:r>
      <w:r w:rsidR="000C30C4">
        <w:rPr>
          <w:rFonts w:ascii="Times New Roman" w:hAnsi="Times New Roman"/>
          <w:sz w:val="28"/>
          <w:szCs w:val="28"/>
        </w:rPr>
        <w:t>s</w:t>
      </w:r>
      <w:r w:rsidRPr="00AD4AFC">
        <w:rPr>
          <w:rFonts w:ascii="Times New Roman" w:hAnsi="Times New Roman"/>
          <w:sz w:val="28"/>
          <w:szCs w:val="28"/>
        </w:rPr>
        <w:tab/>
      </w:r>
      <w:r w:rsidRPr="00AD4AFC">
        <w:rPr>
          <w:rFonts w:ascii="Times New Roman" w:hAnsi="Times New Roman"/>
          <w:sz w:val="28"/>
          <w:szCs w:val="28"/>
        </w:rPr>
        <w:tab/>
      </w:r>
      <w:r w:rsidRPr="00AD4AFC">
        <w:rPr>
          <w:rFonts w:ascii="Times New Roman" w:hAnsi="Times New Roman"/>
          <w:sz w:val="28"/>
          <w:szCs w:val="28"/>
        </w:rPr>
        <w:tab/>
      </w:r>
      <w:r w:rsidRPr="00AD4AFC">
        <w:rPr>
          <w:rFonts w:ascii="Times New Roman" w:hAnsi="Times New Roman"/>
          <w:sz w:val="28"/>
          <w:szCs w:val="28"/>
        </w:rPr>
        <w:tab/>
      </w:r>
      <w:r w:rsidRPr="00AD4AFC">
        <w:rPr>
          <w:rFonts w:ascii="Times New Roman" w:hAnsi="Times New Roman"/>
          <w:sz w:val="28"/>
          <w:szCs w:val="28"/>
        </w:rPr>
        <w:tab/>
      </w:r>
      <w:r w:rsidRPr="00AD4AFC">
        <w:rPr>
          <w:rFonts w:ascii="Times New Roman" w:hAnsi="Times New Roman"/>
          <w:sz w:val="28"/>
          <w:szCs w:val="28"/>
        </w:rPr>
        <w:tab/>
      </w:r>
      <w:r w:rsidRPr="00AD4AFC">
        <w:rPr>
          <w:rFonts w:ascii="Times New Roman" w:hAnsi="Times New Roman"/>
          <w:sz w:val="28"/>
          <w:szCs w:val="28"/>
        </w:rPr>
        <w:tab/>
      </w:r>
      <w:r w:rsidR="005B42CF">
        <w:rPr>
          <w:rFonts w:ascii="Times New Roman" w:hAnsi="Times New Roman"/>
          <w:sz w:val="28"/>
          <w:szCs w:val="28"/>
        </w:rPr>
        <w:tab/>
      </w:r>
      <w:r w:rsidR="000C30C4">
        <w:rPr>
          <w:rFonts w:ascii="Times New Roman" w:hAnsi="Times New Roman"/>
          <w:sz w:val="28"/>
          <w:szCs w:val="28"/>
        </w:rPr>
        <w:t>M.Lazdovskis</w:t>
      </w:r>
      <w:r w:rsidRPr="00AD4AFC">
        <w:rPr>
          <w:rFonts w:ascii="Times New Roman" w:hAnsi="Times New Roman"/>
          <w:sz w:val="28"/>
          <w:szCs w:val="28"/>
        </w:rPr>
        <w:t xml:space="preserve"> </w:t>
      </w:r>
    </w:p>
    <w:p w:rsidR="00850F42" w:rsidRDefault="00850F42" w:rsidP="00850F42">
      <w:pPr>
        <w:suppressAutoHyphens/>
        <w:rPr>
          <w:szCs w:val="24"/>
        </w:rPr>
      </w:pPr>
    </w:p>
    <w:p w:rsidR="00231F70" w:rsidRDefault="00231F70" w:rsidP="00850F42">
      <w:pPr>
        <w:suppressAutoHyphens/>
        <w:rPr>
          <w:szCs w:val="24"/>
        </w:rPr>
      </w:pPr>
    </w:p>
    <w:p w:rsidR="00231F70" w:rsidRDefault="00231F70" w:rsidP="00850F42">
      <w:pPr>
        <w:suppressAutoHyphens/>
        <w:rPr>
          <w:szCs w:val="24"/>
        </w:rPr>
      </w:pPr>
    </w:p>
    <w:p w:rsidR="00231F70" w:rsidRDefault="00231F70" w:rsidP="00850F42">
      <w:pPr>
        <w:suppressAutoHyphens/>
        <w:rPr>
          <w:szCs w:val="24"/>
        </w:rPr>
      </w:pPr>
    </w:p>
    <w:p w:rsidR="00231F70" w:rsidRDefault="00231F70" w:rsidP="00850F42">
      <w:pPr>
        <w:suppressAutoHyphens/>
        <w:rPr>
          <w:szCs w:val="24"/>
        </w:rPr>
      </w:pPr>
    </w:p>
    <w:p w:rsidR="00231F70" w:rsidRPr="00850F42" w:rsidRDefault="00231F70" w:rsidP="00850F42">
      <w:pPr>
        <w:suppressAutoHyphens/>
        <w:rPr>
          <w:szCs w:val="24"/>
        </w:rPr>
      </w:pPr>
    </w:p>
    <w:p w:rsidR="00850F42" w:rsidRDefault="00850F42" w:rsidP="00850F42">
      <w:pPr>
        <w:suppressAutoHyphens/>
        <w:rPr>
          <w:szCs w:val="24"/>
        </w:rPr>
      </w:pPr>
      <w:r w:rsidRPr="00850F42">
        <w:rPr>
          <w:szCs w:val="24"/>
        </w:rPr>
        <w:tab/>
      </w:r>
    </w:p>
    <w:p w:rsidR="003D25AA" w:rsidRDefault="003D25AA" w:rsidP="00850F42">
      <w:pPr>
        <w:suppressAutoHyphens/>
        <w:rPr>
          <w:szCs w:val="24"/>
        </w:rPr>
      </w:pPr>
    </w:p>
    <w:p w:rsidR="003D25AA" w:rsidRDefault="003D25AA" w:rsidP="00850F42">
      <w:pPr>
        <w:suppressAutoHyphens/>
        <w:rPr>
          <w:szCs w:val="24"/>
        </w:rPr>
      </w:pPr>
    </w:p>
    <w:p w:rsidR="003D25AA" w:rsidRPr="00850F42" w:rsidRDefault="003D25AA" w:rsidP="00850F42">
      <w:pPr>
        <w:suppressAutoHyphens/>
        <w:rPr>
          <w:szCs w:val="24"/>
        </w:rPr>
      </w:pPr>
    </w:p>
    <w:p w:rsidR="00850F42" w:rsidRPr="00385E49" w:rsidRDefault="00850F42" w:rsidP="00850F42">
      <w:pPr>
        <w:suppressAutoHyphens/>
        <w:rPr>
          <w:color w:val="000000" w:themeColor="text1"/>
          <w:sz w:val="20"/>
        </w:rPr>
      </w:pPr>
    </w:p>
    <w:p w:rsidR="00850F42" w:rsidRPr="001B58F7" w:rsidRDefault="00884E7B" w:rsidP="00850F42">
      <w:pPr>
        <w:suppressAutoHyphens/>
        <w:rPr>
          <w:color w:val="000000" w:themeColor="text1"/>
          <w:sz w:val="20"/>
          <w:szCs w:val="20"/>
        </w:rPr>
      </w:pPr>
      <w:r>
        <w:rPr>
          <w:color w:val="000000" w:themeColor="text1"/>
          <w:sz w:val="20"/>
          <w:szCs w:val="20"/>
        </w:rPr>
        <w:t>2</w:t>
      </w:r>
      <w:r w:rsidR="005B42CF">
        <w:rPr>
          <w:color w:val="000000" w:themeColor="text1"/>
          <w:sz w:val="20"/>
          <w:szCs w:val="20"/>
        </w:rPr>
        <w:t>6</w:t>
      </w:r>
      <w:r w:rsidR="00850F42" w:rsidRPr="001B58F7">
        <w:rPr>
          <w:color w:val="000000" w:themeColor="text1"/>
          <w:sz w:val="20"/>
          <w:szCs w:val="20"/>
        </w:rPr>
        <w:t>.0</w:t>
      </w:r>
      <w:r w:rsidR="00920EF6" w:rsidRPr="001B58F7">
        <w:rPr>
          <w:color w:val="000000" w:themeColor="text1"/>
          <w:sz w:val="20"/>
          <w:szCs w:val="20"/>
        </w:rPr>
        <w:t>8</w:t>
      </w:r>
      <w:r w:rsidR="00850F42" w:rsidRPr="001B58F7">
        <w:rPr>
          <w:color w:val="000000" w:themeColor="text1"/>
          <w:sz w:val="20"/>
          <w:szCs w:val="20"/>
        </w:rPr>
        <w:t xml:space="preserve">.2014. </w:t>
      </w:r>
      <w:r>
        <w:rPr>
          <w:color w:val="000000" w:themeColor="text1"/>
          <w:sz w:val="20"/>
          <w:szCs w:val="20"/>
        </w:rPr>
        <w:t>0</w:t>
      </w:r>
      <w:r w:rsidR="005B42CF">
        <w:rPr>
          <w:color w:val="000000" w:themeColor="text1"/>
          <w:sz w:val="20"/>
          <w:szCs w:val="20"/>
        </w:rPr>
        <w:t>9</w:t>
      </w:r>
      <w:r w:rsidR="00692216" w:rsidRPr="001B58F7">
        <w:rPr>
          <w:color w:val="000000" w:themeColor="text1"/>
          <w:sz w:val="20"/>
          <w:szCs w:val="20"/>
        </w:rPr>
        <w:t>:</w:t>
      </w:r>
      <w:r w:rsidR="005B42CF">
        <w:rPr>
          <w:color w:val="000000" w:themeColor="text1"/>
          <w:sz w:val="20"/>
          <w:szCs w:val="20"/>
        </w:rPr>
        <w:t>1</w:t>
      </w:r>
      <w:r w:rsidR="00CF01E5">
        <w:rPr>
          <w:color w:val="000000" w:themeColor="text1"/>
          <w:sz w:val="20"/>
          <w:szCs w:val="20"/>
        </w:rPr>
        <w:t>4</w:t>
      </w:r>
      <w:bookmarkStart w:id="0" w:name="_GoBack"/>
      <w:bookmarkEnd w:id="0"/>
    </w:p>
    <w:p w:rsidR="00850F42" w:rsidRPr="001B58F7" w:rsidRDefault="003D25AA" w:rsidP="00850F42">
      <w:pPr>
        <w:suppressAutoHyphens/>
        <w:rPr>
          <w:color w:val="000000" w:themeColor="text1"/>
          <w:sz w:val="20"/>
          <w:szCs w:val="20"/>
        </w:rPr>
      </w:pPr>
      <w:r>
        <w:rPr>
          <w:sz w:val="20"/>
          <w:szCs w:val="20"/>
        </w:rPr>
        <w:t>47</w:t>
      </w:r>
      <w:r w:rsidR="000C30C4">
        <w:rPr>
          <w:sz w:val="20"/>
          <w:szCs w:val="20"/>
        </w:rPr>
        <w:t>6</w:t>
      </w:r>
      <w:r w:rsidR="005B42CF">
        <w:rPr>
          <w:sz w:val="20"/>
          <w:szCs w:val="20"/>
        </w:rPr>
        <w:t>3</w:t>
      </w:r>
    </w:p>
    <w:p w:rsidR="00850F42" w:rsidRDefault="00850F42" w:rsidP="00850F42">
      <w:pPr>
        <w:suppressAutoHyphens/>
        <w:rPr>
          <w:color w:val="000000" w:themeColor="text1"/>
          <w:sz w:val="20"/>
        </w:rPr>
      </w:pPr>
      <w:r>
        <w:rPr>
          <w:color w:val="000000" w:themeColor="text1"/>
          <w:sz w:val="20"/>
        </w:rPr>
        <w:t>A.Timofejeva</w:t>
      </w:r>
    </w:p>
    <w:p w:rsidR="00850F42" w:rsidRDefault="00850F42" w:rsidP="00850F42">
      <w:pPr>
        <w:suppressAutoHyphens/>
        <w:rPr>
          <w:color w:val="000000" w:themeColor="text1"/>
          <w:sz w:val="20"/>
        </w:rPr>
      </w:pPr>
      <w:r>
        <w:rPr>
          <w:color w:val="000000" w:themeColor="text1"/>
          <w:sz w:val="20"/>
        </w:rPr>
        <w:t>67013227</w:t>
      </w:r>
    </w:p>
    <w:p w:rsidR="00850F42" w:rsidRDefault="00D33024" w:rsidP="00850F42">
      <w:pPr>
        <w:suppressAutoHyphens/>
        <w:rPr>
          <w:color w:val="000000" w:themeColor="text1"/>
          <w:sz w:val="20"/>
        </w:rPr>
      </w:pPr>
      <w:hyperlink r:id="rId15" w:history="1">
        <w:r w:rsidR="00850F42" w:rsidRPr="004A2506">
          <w:rPr>
            <w:rStyle w:val="Hyperlink"/>
            <w:sz w:val="20"/>
          </w:rPr>
          <w:t>Aija.Timofejeva@em.gov.lv</w:t>
        </w:r>
      </w:hyperlink>
    </w:p>
    <w:p w:rsidR="00850F42" w:rsidRPr="00A12010" w:rsidRDefault="00850F42" w:rsidP="00850F42">
      <w:pPr>
        <w:suppressAutoHyphens/>
        <w:rPr>
          <w:szCs w:val="26"/>
        </w:rPr>
      </w:pPr>
    </w:p>
    <w:p w:rsidR="00850F42" w:rsidRPr="00EC0183" w:rsidRDefault="00850F42" w:rsidP="00187562">
      <w:pPr>
        <w:jc w:val="both"/>
        <w:rPr>
          <w:rFonts w:eastAsia="Times New Roman" w:cs="Times New Roman"/>
          <w:b/>
          <w:bCs/>
          <w:color w:val="000000"/>
          <w:szCs w:val="24"/>
          <w:lang w:eastAsia="lv-LV"/>
        </w:rPr>
      </w:pPr>
    </w:p>
    <w:p w:rsidR="00D266E0" w:rsidRPr="00EC0183" w:rsidRDefault="00D266E0" w:rsidP="00187562">
      <w:pPr>
        <w:rPr>
          <w:rFonts w:cs="Times New Roman"/>
          <w:szCs w:val="24"/>
        </w:rPr>
      </w:pPr>
    </w:p>
    <w:sectPr w:rsidR="00D266E0" w:rsidRPr="00EC0183" w:rsidSect="00F03826">
      <w:footerReference w:type="default" r:id="rId16"/>
      <w:pgSz w:w="11906" w:h="16838" w:code="9"/>
      <w:pgMar w:top="1418" w:right="1134" w:bottom="1134" w:left="1701"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24" w:rsidRDefault="00D33024" w:rsidP="007F3FBF">
      <w:r>
        <w:separator/>
      </w:r>
    </w:p>
  </w:endnote>
  <w:endnote w:type="continuationSeparator" w:id="0">
    <w:p w:rsidR="00D33024" w:rsidRDefault="00D33024" w:rsidP="007F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C1" w:rsidRPr="001F00C1" w:rsidRDefault="001F00C1" w:rsidP="001F00C1">
    <w:pPr>
      <w:jc w:val="both"/>
      <w:rPr>
        <w:rFonts w:eastAsia="Times New Roman" w:cs="Times New Roman"/>
        <w:bCs/>
        <w:color w:val="000000"/>
        <w:sz w:val="20"/>
        <w:szCs w:val="20"/>
        <w:lang w:eastAsia="lv-LV"/>
      </w:rPr>
    </w:pPr>
    <w:r w:rsidRPr="001F00C1">
      <w:rPr>
        <w:sz w:val="20"/>
        <w:szCs w:val="20"/>
      </w:rPr>
      <w:t>EMZino_</w:t>
    </w:r>
    <w:r w:rsidR="005B42CF">
      <w:rPr>
        <w:sz w:val="20"/>
        <w:szCs w:val="20"/>
      </w:rPr>
      <w:t>2</w:t>
    </w:r>
    <w:r w:rsidR="005B42CF">
      <w:rPr>
        <w:sz w:val="20"/>
        <w:szCs w:val="20"/>
      </w:rPr>
      <w:t>6</w:t>
    </w:r>
    <w:r w:rsidR="005B42CF" w:rsidRPr="001F00C1">
      <w:rPr>
        <w:sz w:val="20"/>
        <w:szCs w:val="20"/>
      </w:rPr>
      <w:t>0814</w:t>
    </w:r>
    <w:r w:rsidRPr="001F00C1">
      <w:rPr>
        <w:sz w:val="20"/>
        <w:szCs w:val="20"/>
      </w:rPr>
      <w:t xml:space="preserve">_lielie_uznemumi; </w:t>
    </w:r>
    <w:r w:rsidRPr="001F00C1">
      <w:rPr>
        <w:rFonts w:eastAsia="Times New Roman" w:cs="Times New Roman"/>
        <w:bCs/>
        <w:color w:val="000000"/>
        <w:sz w:val="20"/>
        <w:szCs w:val="20"/>
        <w:lang w:eastAsia="lv-LV"/>
      </w:rPr>
      <w:t>Informatīvais ziņojums „Par energointensīvo uzņēmumu konkurētspējas veicināšanu”</w:t>
    </w:r>
  </w:p>
  <w:p w:rsidR="00AD4AFC" w:rsidRPr="002A0D2C" w:rsidRDefault="00AD4AFC" w:rsidP="00AD4AFC">
    <w:pPr>
      <w:jc w:val="right"/>
      <w:rPr>
        <w:rFonts w:eastAsia="Times New Roman" w:cs="Times New Roman"/>
        <w:bCs/>
        <w:color w:val="000000"/>
        <w:szCs w:val="24"/>
        <w:lang w:eastAsia="lv-LV"/>
      </w:rPr>
    </w:pPr>
    <w:r>
      <w:rPr>
        <w:rFonts w:eastAsia="Times New Roman" w:cs="Times New Roman"/>
        <w:bCs/>
        <w:color w:val="000000"/>
        <w:szCs w:val="24"/>
        <w:lang w:eastAsia="lv-LV"/>
      </w:rPr>
      <w:fldChar w:fldCharType="begin"/>
    </w:r>
    <w:r>
      <w:rPr>
        <w:rFonts w:eastAsia="Times New Roman" w:cs="Times New Roman"/>
        <w:bCs/>
        <w:color w:val="000000"/>
        <w:szCs w:val="24"/>
        <w:lang w:eastAsia="lv-LV"/>
      </w:rPr>
      <w:instrText xml:space="preserve"> PAGE  \* Arabic  \* MERGEFORMAT </w:instrText>
    </w:r>
    <w:r>
      <w:rPr>
        <w:rFonts w:eastAsia="Times New Roman" w:cs="Times New Roman"/>
        <w:bCs/>
        <w:color w:val="000000"/>
        <w:szCs w:val="24"/>
        <w:lang w:eastAsia="lv-LV"/>
      </w:rPr>
      <w:fldChar w:fldCharType="separate"/>
    </w:r>
    <w:r w:rsidR="00CF01E5">
      <w:rPr>
        <w:rFonts w:eastAsia="Times New Roman" w:cs="Times New Roman"/>
        <w:bCs/>
        <w:noProof/>
        <w:color w:val="000000"/>
        <w:szCs w:val="24"/>
        <w:lang w:eastAsia="lv-LV"/>
      </w:rPr>
      <w:t>18</w:t>
    </w:r>
    <w:r>
      <w:rPr>
        <w:rFonts w:eastAsia="Times New Roman" w:cs="Times New Roman"/>
        <w:bCs/>
        <w:color w:val="000000"/>
        <w:szCs w:val="24"/>
        <w:lang w:eastAsia="lv-LV"/>
      </w:rPr>
      <w:fldChar w:fldCharType="end"/>
    </w:r>
  </w:p>
  <w:p w:rsidR="004F4B3F" w:rsidRDefault="004F4B3F">
    <w:pPr>
      <w:pStyle w:val="Footer"/>
    </w:pPr>
  </w:p>
  <w:p w:rsidR="004F4B3F" w:rsidRDefault="004F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24" w:rsidRDefault="00D33024" w:rsidP="007F3FBF">
      <w:r>
        <w:separator/>
      </w:r>
    </w:p>
  </w:footnote>
  <w:footnote w:type="continuationSeparator" w:id="0">
    <w:p w:rsidR="00D33024" w:rsidRDefault="00D33024" w:rsidP="007F3FBF">
      <w:r>
        <w:continuationSeparator/>
      </w:r>
    </w:p>
  </w:footnote>
  <w:footnote w:id="1">
    <w:p w:rsidR="001B5BC6" w:rsidRDefault="001B5BC6" w:rsidP="001B5BC6">
      <w:pPr>
        <w:pStyle w:val="FootnoteText"/>
      </w:pPr>
      <w:r>
        <w:rPr>
          <w:rStyle w:val="FootnoteReference"/>
        </w:rPr>
        <w:footnoteRef/>
      </w:r>
      <w:r>
        <w:t xml:space="preserve"> AS „Sadales tīkls” elektroenerģijas sadales sistēmas pakalpojumu diferencētie tarifi (bez PVN) tika apstiprināti ar 2011.gada 12.janvāra Sabiedrisko pakalpojumu regulēšanas komisijas padomes lēmumu Nr.16 „Par akciju sabiedrības „Sadales tīkls” elektroenerģijas sadales sistēmas pakalpojumu tarifiem”. Tarifi stājās spēkā 2011.gada 1.aprīlī.  Savukārt, pārvades pakalpojumu tarifs tiek aprēķināts saskaņā ar likumu par „Elektroenerģijas pārvades sistēmas pakalpojumu tarifu aprēķināšanas metodika” un ir izdoti ar Sabiedrisko pakalpojumu regulēšanas komisijas padomes. No 2012.gada 1.aprīļa spēkā ir ar 22.02.2012. lēmumu Nr.44 ''Par akciju sabiedrības ''Augstsprieguma tīkls'' elektroenerģijas pārvades sistēmas pakalpojumu tarifiem' ' apstiprināti elektroenerģijas pārvades sistēmas pakalpojumu diferencētie tarifi.</w:t>
      </w:r>
    </w:p>
  </w:footnote>
  <w:footnote w:id="2">
    <w:p w:rsidR="008F7188" w:rsidRDefault="008F7188">
      <w:pPr>
        <w:pStyle w:val="FootnoteText"/>
      </w:pPr>
      <w:r>
        <w:rPr>
          <w:rStyle w:val="FootnoteReference"/>
        </w:rPr>
        <w:footnoteRef/>
      </w:r>
      <w:r>
        <w:t xml:space="preserve"> </w:t>
      </w:r>
      <w:r>
        <w:t>Informācija par atbalsta shēmu</w:t>
      </w:r>
      <w:r w:rsidRPr="008F7188">
        <w:t xml:space="preserve"> - http://ec.europa.eu/competition/elojade/isef/case_details.cfm? proc_code=3_SA_33995</w:t>
      </w:r>
    </w:p>
  </w:footnote>
  <w:footnote w:id="3">
    <w:p w:rsidR="00561D49" w:rsidRDefault="00561D49">
      <w:pPr>
        <w:pStyle w:val="FootnoteText"/>
      </w:pPr>
      <w:r>
        <w:rPr>
          <w:rStyle w:val="FootnoteReference"/>
        </w:rPr>
        <w:footnoteRef/>
      </w:r>
      <w:r>
        <w:t xml:space="preserve"> </w:t>
      </w:r>
      <w:r w:rsidRPr="00561D49">
        <w:t xml:space="preserve">Informatīvais ziņojums "Komplekss risinājums elektroenerģijas tirgus problemātikai" (MK 13.08.2013. sēdes </w:t>
      </w:r>
      <w:proofErr w:type="spellStart"/>
      <w:r w:rsidRPr="00561D49">
        <w:t>prot</w:t>
      </w:r>
      <w:proofErr w:type="spellEnd"/>
      <w:r w:rsidRPr="00561D49">
        <w:t xml:space="preserve">. </w:t>
      </w:r>
      <w:proofErr w:type="spellStart"/>
      <w:r w:rsidRPr="00561D49">
        <w:t>Nr</w:t>
      </w:r>
      <w:proofErr w:type="spellEnd"/>
      <w:r w:rsidRPr="00561D49">
        <w:t>. 44 156.§).</w:t>
      </w:r>
    </w:p>
  </w:footnote>
  <w:footnote w:id="4">
    <w:p w:rsidR="007A562C" w:rsidRDefault="007A562C" w:rsidP="007A562C">
      <w:pPr>
        <w:pStyle w:val="FootnoteText"/>
      </w:pPr>
      <w:r>
        <w:rPr>
          <w:rStyle w:val="FootnoteReference"/>
        </w:rPr>
        <w:footnoteRef/>
      </w:r>
      <w:r>
        <w:t xml:space="preserve"> </w:t>
      </w:r>
      <w:r>
        <w:t xml:space="preserve">Pieejams: </w:t>
      </w:r>
      <w:hyperlink r:id="rId1" w:history="1">
        <w:r w:rsidRPr="00FD3693">
          <w:rPr>
            <w:rStyle w:val="Hyperlink"/>
          </w:rPr>
          <w:t>http://www.em.gov.lv/em/2nd/em/2nd/?cat=30981</w:t>
        </w:r>
      </w:hyperlink>
      <w:r>
        <w:t xml:space="preserve"> </w:t>
      </w:r>
    </w:p>
  </w:footnote>
  <w:footnote w:id="5">
    <w:p w:rsidR="003818BD" w:rsidRDefault="003818BD">
      <w:pPr>
        <w:pStyle w:val="FootnoteText"/>
      </w:pPr>
      <w:r>
        <w:rPr>
          <w:rStyle w:val="FootnoteReference"/>
        </w:rPr>
        <w:footnoteRef/>
      </w:r>
      <w:r>
        <w:t xml:space="preserve"> </w:t>
      </w:r>
      <w:r>
        <w:t xml:space="preserve">Informācija par ierosināto lietu - </w:t>
      </w:r>
      <w:r w:rsidRPr="003818BD">
        <w:t>http://ec.europa.eu/competition/elojade/isef/case_details.cfm?</w:t>
      </w:r>
      <w:r>
        <w:t xml:space="preserve"> </w:t>
      </w:r>
      <w:r w:rsidRPr="003818BD">
        <w:t>proc_code=3_SA_33995</w:t>
      </w:r>
      <w:r w:rsidR="008F6DC9">
        <w:t xml:space="preserve"> </w:t>
      </w:r>
    </w:p>
  </w:footnote>
  <w:footnote w:id="6">
    <w:p w:rsidR="007F3FBF" w:rsidRDefault="007F3FBF">
      <w:pPr>
        <w:pStyle w:val="FootnoteText"/>
      </w:pPr>
      <w:r>
        <w:rPr>
          <w:rStyle w:val="FootnoteReference"/>
        </w:rPr>
        <w:footnoteRef/>
      </w:r>
      <w:r>
        <w:t xml:space="preserve"> </w:t>
      </w:r>
      <w:r w:rsidRPr="007F3FBF">
        <w:t xml:space="preserve">Eiropas Komisijas 2011.gada 8.marta lēmums lietā: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w:t>
      </w:r>
      <w:proofErr w:type="spellStart"/>
      <w:r w:rsidRPr="007F3FBF">
        <w:rPr>
          <w:i/>
        </w:rPr>
        <w:t>measure</w:t>
      </w:r>
      <w:proofErr w:type="spellEnd"/>
      <w:r w:rsidRPr="007F3FBF">
        <w:rPr>
          <w:i/>
        </w:rPr>
        <w:t xml:space="preserve"> No C 24/2009 (</w:t>
      </w:r>
      <w:proofErr w:type="spellStart"/>
      <w:r w:rsidRPr="007F3FBF">
        <w:rPr>
          <w:i/>
        </w:rPr>
        <w:t>ex</w:t>
      </w:r>
      <w:proofErr w:type="spellEnd"/>
      <w:r w:rsidRPr="007F3FBF">
        <w:rPr>
          <w:i/>
        </w:rPr>
        <w:t xml:space="preserve"> N 446/2008),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for </w:t>
      </w:r>
      <w:proofErr w:type="spellStart"/>
      <w:r w:rsidRPr="007F3FBF">
        <w:rPr>
          <w:i/>
        </w:rPr>
        <w:t>energy-intensive</w:t>
      </w:r>
      <w:proofErr w:type="spellEnd"/>
      <w:r w:rsidRPr="007F3FBF">
        <w:rPr>
          <w:i/>
        </w:rPr>
        <w:t xml:space="preserve"> </w:t>
      </w:r>
      <w:proofErr w:type="spellStart"/>
      <w:r w:rsidRPr="007F3FBF">
        <w:rPr>
          <w:i/>
        </w:rPr>
        <w:t>businesses</w:t>
      </w:r>
      <w:proofErr w:type="spellEnd"/>
      <w:r w:rsidRPr="007F3FBF">
        <w:rPr>
          <w:i/>
        </w:rPr>
        <w:t xml:space="preserve"> </w:t>
      </w:r>
      <w:proofErr w:type="spellStart"/>
      <w:r w:rsidRPr="007F3FBF">
        <w:rPr>
          <w:i/>
        </w:rPr>
        <w:t>under</w:t>
      </w:r>
      <w:proofErr w:type="spellEnd"/>
      <w:r w:rsidRPr="007F3FBF">
        <w:rPr>
          <w:i/>
        </w:rPr>
        <w:t xml:space="preserve"> the </w:t>
      </w:r>
      <w:proofErr w:type="spellStart"/>
      <w:r w:rsidRPr="007F3FBF">
        <w:rPr>
          <w:i/>
        </w:rPr>
        <w:t>Green</w:t>
      </w:r>
      <w:proofErr w:type="spellEnd"/>
      <w:r w:rsidRPr="007F3FBF">
        <w:rPr>
          <w:i/>
        </w:rPr>
        <w:t xml:space="preserve"> Electricity </w:t>
      </w:r>
      <w:proofErr w:type="spellStart"/>
      <w:r w:rsidRPr="007F3FBF">
        <w:rPr>
          <w:i/>
        </w:rPr>
        <w:t>Act</w:t>
      </w:r>
      <w:proofErr w:type="spellEnd"/>
      <w:r w:rsidRPr="007F3FBF">
        <w:rPr>
          <w:i/>
        </w:rPr>
        <w:t xml:space="preserve"> </w:t>
      </w:r>
      <w:proofErr w:type="spellStart"/>
      <w:r w:rsidRPr="007F3FBF">
        <w:rPr>
          <w:i/>
        </w:rPr>
        <w:t>in</w:t>
      </w:r>
      <w:proofErr w:type="spellEnd"/>
      <w:r w:rsidRPr="007F3FBF">
        <w:rPr>
          <w:i/>
        </w:rPr>
        <w:t xml:space="preserve"> </w:t>
      </w:r>
      <w:proofErr w:type="spellStart"/>
      <w:r w:rsidRPr="007F3FBF">
        <w:rPr>
          <w:i/>
        </w:rPr>
        <w:t>Austria</w:t>
      </w:r>
      <w:proofErr w:type="spellEnd"/>
    </w:p>
  </w:footnote>
  <w:footnote w:id="7">
    <w:p w:rsidR="007F3FBF" w:rsidRDefault="007F3FBF">
      <w:pPr>
        <w:pStyle w:val="FootnoteText"/>
      </w:pPr>
      <w:r>
        <w:rPr>
          <w:rStyle w:val="FootnoteReference"/>
        </w:rPr>
        <w:footnoteRef/>
      </w:r>
      <w:r>
        <w:t xml:space="preserve"> </w:t>
      </w:r>
      <w:r w:rsidRPr="007F3FBF">
        <w:t xml:space="preserve">Eiropas Komisijas 2012. gada 8. februāra lēmums lietā: </w:t>
      </w:r>
      <w:proofErr w:type="spellStart"/>
      <w:r w:rsidRPr="007F3FBF">
        <w:rPr>
          <w:i/>
        </w:rPr>
        <w:t>State</w:t>
      </w:r>
      <w:proofErr w:type="spellEnd"/>
      <w:r w:rsidRPr="007F3FBF">
        <w:rPr>
          <w:i/>
        </w:rPr>
        <w:t xml:space="preserve"> </w:t>
      </w:r>
      <w:proofErr w:type="spellStart"/>
      <w:r w:rsidRPr="007F3FBF">
        <w:rPr>
          <w:i/>
        </w:rPr>
        <w:t>aid</w:t>
      </w:r>
      <w:proofErr w:type="spellEnd"/>
      <w:r w:rsidRPr="007F3FBF">
        <w:rPr>
          <w:i/>
        </w:rPr>
        <w:t xml:space="preserve"> SA.33384 (2011/N) – </w:t>
      </w:r>
      <w:proofErr w:type="spellStart"/>
      <w:r w:rsidRPr="007F3FBF">
        <w:rPr>
          <w:i/>
        </w:rPr>
        <w:t>Austria</w:t>
      </w:r>
      <w:proofErr w:type="spellEnd"/>
      <w:r w:rsidRPr="007F3FBF">
        <w:rPr>
          <w:i/>
        </w:rPr>
        <w:t xml:space="preserve"> </w:t>
      </w:r>
      <w:proofErr w:type="spellStart"/>
      <w:r w:rsidRPr="007F3FBF">
        <w:rPr>
          <w:i/>
        </w:rPr>
        <w:t>Ökostromgesetz</w:t>
      </w:r>
      <w:proofErr w:type="spellEnd"/>
      <w:r w:rsidRPr="007F3FBF">
        <w:rPr>
          <w:i/>
        </w:rPr>
        <w:t xml:space="preserve"> 2012 (</w:t>
      </w:r>
      <w:proofErr w:type="spellStart"/>
      <w:r w:rsidRPr="007F3FBF">
        <w:rPr>
          <w:i/>
        </w:rPr>
        <w:t>Green</w:t>
      </w:r>
      <w:proofErr w:type="spellEnd"/>
      <w:r w:rsidRPr="007F3FBF">
        <w:rPr>
          <w:i/>
        </w:rPr>
        <w:t xml:space="preserve"> Electricity </w:t>
      </w:r>
      <w:proofErr w:type="spellStart"/>
      <w:r w:rsidRPr="007F3FBF">
        <w:rPr>
          <w:i/>
        </w:rPr>
        <w:t>Act</w:t>
      </w:r>
      <w:proofErr w:type="spellEnd"/>
      <w:r w:rsidRPr="007F3FBF">
        <w:rPr>
          <w:i/>
        </w:rPr>
        <w:t xml:space="preserve"> 2012)</w:t>
      </w:r>
    </w:p>
  </w:footnote>
  <w:footnote w:id="8">
    <w:p w:rsidR="00903B88" w:rsidRDefault="00903B88" w:rsidP="00903B88">
      <w:pPr>
        <w:pStyle w:val="FootnoteText"/>
      </w:pPr>
      <w:r w:rsidRPr="001519DB">
        <w:rPr>
          <w:rStyle w:val="FootnoteReference"/>
          <w:color w:val="000000" w:themeColor="text1"/>
        </w:rPr>
        <w:footnoteRef/>
      </w:r>
      <w:r w:rsidRPr="001519DB">
        <w:rPr>
          <w:color w:val="000000" w:themeColor="text1"/>
        </w:rPr>
        <w:t xml:space="preserve"> </w:t>
      </w:r>
      <w:hyperlink r:id="rId2" w:history="1">
        <w:r w:rsidRPr="001519DB">
          <w:rPr>
            <w:rStyle w:val="Hyperlink"/>
            <w:color w:val="000000" w:themeColor="text1"/>
          </w:rPr>
          <w:t>http://eur-lex.europa.eu/legal-content/EN/TXT/HTML/?uri=OJ:C:2014:200:FULL&amp;from=EN</w:t>
        </w:r>
      </w:hyperlink>
      <w:r w:rsidRPr="001519DB">
        <w:rPr>
          <w:color w:val="000000" w:themeColor="text1"/>
        </w:rPr>
        <w:t xml:space="preserve"> </w:t>
      </w:r>
    </w:p>
  </w:footnote>
  <w:footnote w:id="9">
    <w:p w:rsidR="00277DAC" w:rsidRDefault="00277DAC" w:rsidP="00277DAC">
      <w:pPr>
        <w:pStyle w:val="FootnoteText"/>
      </w:pPr>
      <w:r>
        <w:rPr>
          <w:rStyle w:val="FootnoteReference"/>
        </w:rPr>
        <w:footnoteRef/>
      </w:r>
      <w:r>
        <w:t xml:space="preserve"> </w:t>
      </w:r>
      <w:r w:rsidRPr="00DF774B">
        <w:t>http://www.latvenergo.lv/lat/oik/obligata_iepirkuma_komponente/subsidiju_sadalijums_elektroenergijas_razosanai_latvija/</w:t>
      </w:r>
    </w:p>
  </w:footnote>
  <w:footnote w:id="10">
    <w:p w:rsidR="00D6587F" w:rsidRDefault="00D6587F">
      <w:pPr>
        <w:pStyle w:val="FootnoteText"/>
      </w:pPr>
      <w:r>
        <w:rPr>
          <w:rStyle w:val="FootnoteReference"/>
        </w:rPr>
        <w:footnoteRef/>
      </w:r>
      <w:r>
        <w:t xml:space="preserve"> </w:t>
      </w:r>
      <w:r>
        <w:t>Informācija par atbalsta shēmu</w:t>
      </w:r>
      <w:r w:rsidRPr="008F7188">
        <w:t xml:space="preserve"> - http://ec.europa.eu/competition/elojade/isef/case_details.cfm? proc_code=3_SA_33995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0EB"/>
    <w:multiLevelType w:val="hybridMultilevel"/>
    <w:tmpl w:val="75A26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1C3AC1"/>
    <w:multiLevelType w:val="hybridMultilevel"/>
    <w:tmpl w:val="E08AC49E"/>
    <w:lvl w:ilvl="0" w:tplc="B3C042D6">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9B186A50">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49C504C"/>
    <w:multiLevelType w:val="hybridMultilevel"/>
    <w:tmpl w:val="8E1AEF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723858"/>
    <w:multiLevelType w:val="hybridMultilevel"/>
    <w:tmpl w:val="A13E54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B05FAE"/>
    <w:multiLevelType w:val="multilevel"/>
    <w:tmpl w:val="86783A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44D46B3"/>
    <w:multiLevelType w:val="hybridMultilevel"/>
    <w:tmpl w:val="F0FA6CC2"/>
    <w:lvl w:ilvl="0" w:tplc="B3C042D6">
      <w:start w:val="1"/>
      <w:numFmt w:val="decimal"/>
      <w:lvlText w:val="(%1)"/>
      <w:lvlJc w:val="left"/>
      <w:pPr>
        <w:ind w:left="644"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2A021D"/>
    <w:multiLevelType w:val="hybridMultilevel"/>
    <w:tmpl w:val="79E255F8"/>
    <w:lvl w:ilvl="0" w:tplc="8DC8B28A">
      <w:start w:val="1"/>
      <w:numFmt w:val="bullet"/>
      <w:lvlText w:val=""/>
      <w:lvlJc w:val="left"/>
      <w:pPr>
        <w:tabs>
          <w:tab w:val="num" w:pos="720"/>
        </w:tabs>
        <w:ind w:left="720" w:hanging="360"/>
      </w:pPr>
      <w:rPr>
        <w:rFonts w:ascii="Wingdings" w:hAnsi="Wingdings" w:hint="default"/>
      </w:rPr>
    </w:lvl>
    <w:lvl w:ilvl="1" w:tplc="F7982C96">
      <w:start w:val="1530"/>
      <w:numFmt w:val="bullet"/>
      <w:lvlText w:val=""/>
      <w:lvlJc w:val="left"/>
      <w:pPr>
        <w:tabs>
          <w:tab w:val="num" w:pos="1440"/>
        </w:tabs>
        <w:ind w:left="1440" w:hanging="360"/>
      </w:pPr>
      <w:rPr>
        <w:rFonts w:ascii="Wingdings" w:hAnsi="Wingdings" w:hint="default"/>
      </w:rPr>
    </w:lvl>
    <w:lvl w:ilvl="2" w:tplc="C768636A" w:tentative="1">
      <w:start w:val="1"/>
      <w:numFmt w:val="bullet"/>
      <w:lvlText w:val=""/>
      <w:lvlJc w:val="left"/>
      <w:pPr>
        <w:tabs>
          <w:tab w:val="num" w:pos="2160"/>
        </w:tabs>
        <w:ind w:left="2160" w:hanging="360"/>
      </w:pPr>
      <w:rPr>
        <w:rFonts w:ascii="Wingdings" w:hAnsi="Wingdings" w:hint="default"/>
      </w:rPr>
    </w:lvl>
    <w:lvl w:ilvl="3" w:tplc="5E44A90E" w:tentative="1">
      <w:start w:val="1"/>
      <w:numFmt w:val="bullet"/>
      <w:lvlText w:val=""/>
      <w:lvlJc w:val="left"/>
      <w:pPr>
        <w:tabs>
          <w:tab w:val="num" w:pos="2880"/>
        </w:tabs>
        <w:ind w:left="2880" w:hanging="360"/>
      </w:pPr>
      <w:rPr>
        <w:rFonts w:ascii="Wingdings" w:hAnsi="Wingdings" w:hint="default"/>
      </w:rPr>
    </w:lvl>
    <w:lvl w:ilvl="4" w:tplc="0CE8800A" w:tentative="1">
      <w:start w:val="1"/>
      <w:numFmt w:val="bullet"/>
      <w:lvlText w:val=""/>
      <w:lvlJc w:val="left"/>
      <w:pPr>
        <w:tabs>
          <w:tab w:val="num" w:pos="3600"/>
        </w:tabs>
        <w:ind w:left="3600" w:hanging="360"/>
      </w:pPr>
      <w:rPr>
        <w:rFonts w:ascii="Wingdings" w:hAnsi="Wingdings" w:hint="default"/>
      </w:rPr>
    </w:lvl>
    <w:lvl w:ilvl="5" w:tplc="5DDAD6A8" w:tentative="1">
      <w:start w:val="1"/>
      <w:numFmt w:val="bullet"/>
      <w:lvlText w:val=""/>
      <w:lvlJc w:val="left"/>
      <w:pPr>
        <w:tabs>
          <w:tab w:val="num" w:pos="4320"/>
        </w:tabs>
        <w:ind w:left="4320" w:hanging="360"/>
      </w:pPr>
      <w:rPr>
        <w:rFonts w:ascii="Wingdings" w:hAnsi="Wingdings" w:hint="default"/>
      </w:rPr>
    </w:lvl>
    <w:lvl w:ilvl="6" w:tplc="9E1892D2" w:tentative="1">
      <w:start w:val="1"/>
      <w:numFmt w:val="bullet"/>
      <w:lvlText w:val=""/>
      <w:lvlJc w:val="left"/>
      <w:pPr>
        <w:tabs>
          <w:tab w:val="num" w:pos="5040"/>
        </w:tabs>
        <w:ind w:left="5040" w:hanging="360"/>
      </w:pPr>
      <w:rPr>
        <w:rFonts w:ascii="Wingdings" w:hAnsi="Wingdings" w:hint="default"/>
      </w:rPr>
    </w:lvl>
    <w:lvl w:ilvl="7" w:tplc="018A446E" w:tentative="1">
      <w:start w:val="1"/>
      <w:numFmt w:val="bullet"/>
      <w:lvlText w:val=""/>
      <w:lvlJc w:val="left"/>
      <w:pPr>
        <w:tabs>
          <w:tab w:val="num" w:pos="5760"/>
        </w:tabs>
        <w:ind w:left="5760" w:hanging="360"/>
      </w:pPr>
      <w:rPr>
        <w:rFonts w:ascii="Wingdings" w:hAnsi="Wingdings" w:hint="default"/>
      </w:rPr>
    </w:lvl>
    <w:lvl w:ilvl="8" w:tplc="ACC6B1A6" w:tentative="1">
      <w:start w:val="1"/>
      <w:numFmt w:val="bullet"/>
      <w:lvlText w:val=""/>
      <w:lvlJc w:val="left"/>
      <w:pPr>
        <w:tabs>
          <w:tab w:val="num" w:pos="6480"/>
        </w:tabs>
        <w:ind w:left="6480" w:hanging="360"/>
      </w:pPr>
      <w:rPr>
        <w:rFonts w:ascii="Wingdings" w:hAnsi="Wingdings" w:hint="default"/>
      </w:rPr>
    </w:lvl>
  </w:abstractNum>
  <w:abstractNum w:abstractNumId="7">
    <w:nsid w:val="31B7766B"/>
    <w:multiLevelType w:val="hybridMultilevel"/>
    <w:tmpl w:val="B09E51A2"/>
    <w:lvl w:ilvl="0" w:tplc="11788874">
      <w:start w:val="1"/>
      <w:numFmt w:val="lowerRoman"/>
      <w:lvlText w:val="%1."/>
      <w:lvlJc w:val="left"/>
      <w:pPr>
        <w:ind w:left="2160" w:hanging="72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324245BE"/>
    <w:multiLevelType w:val="hybridMultilevel"/>
    <w:tmpl w:val="5A000F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D3B22A5"/>
    <w:multiLevelType w:val="multilevel"/>
    <w:tmpl w:val="547EBEAE"/>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4D5E64CB"/>
    <w:multiLevelType w:val="hybridMultilevel"/>
    <w:tmpl w:val="500A0BFC"/>
    <w:lvl w:ilvl="0" w:tplc="4946752A">
      <w:start w:val="1"/>
      <w:numFmt w:val="bullet"/>
      <w:lvlText w:val="-"/>
      <w:lvlJc w:val="left"/>
      <w:pPr>
        <w:ind w:left="1004" w:hanging="360"/>
      </w:pPr>
      <w:rPr>
        <w:rFonts w:ascii="Times New Roman" w:eastAsiaTheme="minorHAnsi"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nsid w:val="6ACE3590"/>
    <w:multiLevelType w:val="hybridMultilevel"/>
    <w:tmpl w:val="3552D9F2"/>
    <w:lvl w:ilvl="0" w:tplc="ACC0CD2C">
      <w:start w:val="1"/>
      <w:numFmt w:val="bullet"/>
      <w:lvlText w:val=""/>
      <w:lvlJc w:val="left"/>
      <w:pPr>
        <w:tabs>
          <w:tab w:val="num" w:pos="720"/>
        </w:tabs>
        <w:ind w:left="720" w:hanging="360"/>
      </w:pPr>
      <w:rPr>
        <w:rFonts w:ascii="Wingdings" w:hAnsi="Wingdings" w:hint="default"/>
      </w:rPr>
    </w:lvl>
    <w:lvl w:ilvl="1" w:tplc="A34AF2BE">
      <w:start w:val="1"/>
      <w:numFmt w:val="bullet"/>
      <w:lvlText w:val=""/>
      <w:lvlJc w:val="left"/>
      <w:pPr>
        <w:tabs>
          <w:tab w:val="num" w:pos="1440"/>
        </w:tabs>
        <w:ind w:left="1440" w:hanging="360"/>
      </w:pPr>
      <w:rPr>
        <w:rFonts w:ascii="Wingdings" w:hAnsi="Wingdings" w:hint="default"/>
      </w:rPr>
    </w:lvl>
    <w:lvl w:ilvl="2" w:tplc="E9A29DEE" w:tentative="1">
      <w:start w:val="1"/>
      <w:numFmt w:val="bullet"/>
      <w:lvlText w:val=""/>
      <w:lvlJc w:val="left"/>
      <w:pPr>
        <w:tabs>
          <w:tab w:val="num" w:pos="2160"/>
        </w:tabs>
        <w:ind w:left="2160" w:hanging="360"/>
      </w:pPr>
      <w:rPr>
        <w:rFonts w:ascii="Wingdings" w:hAnsi="Wingdings" w:hint="default"/>
      </w:rPr>
    </w:lvl>
    <w:lvl w:ilvl="3" w:tplc="4E9C14B2" w:tentative="1">
      <w:start w:val="1"/>
      <w:numFmt w:val="bullet"/>
      <w:lvlText w:val=""/>
      <w:lvlJc w:val="left"/>
      <w:pPr>
        <w:tabs>
          <w:tab w:val="num" w:pos="2880"/>
        </w:tabs>
        <w:ind w:left="2880" w:hanging="360"/>
      </w:pPr>
      <w:rPr>
        <w:rFonts w:ascii="Wingdings" w:hAnsi="Wingdings" w:hint="default"/>
      </w:rPr>
    </w:lvl>
    <w:lvl w:ilvl="4" w:tplc="3572B85C" w:tentative="1">
      <w:start w:val="1"/>
      <w:numFmt w:val="bullet"/>
      <w:lvlText w:val=""/>
      <w:lvlJc w:val="left"/>
      <w:pPr>
        <w:tabs>
          <w:tab w:val="num" w:pos="3600"/>
        </w:tabs>
        <w:ind w:left="3600" w:hanging="360"/>
      </w:pPr>
      <w:rPr>
        <w:rFonts w:ascii="Wingdings" w:hAnsi="Wingdings" w:hint="default"/>
      </w:rPr>
    </w:lvl>
    <w:lvl w:ilvl="5" w:tplc="0FA0EB56" w:tentative="1">
      <w:start w:val="1"/>
      <w:numFmt w:val="bullet"/>
      <w:lvlText w:val=""/>
      <w:lvlJc w:val="left"/>
      <w:pPr>
        <w:tabs>
          <w:tab w:val="num" w:pos="4320"/>
        </w:tabs>
        <w:ind w:left="4320" w:hanging="360"/>
      </w:pPr>
      <w:rPr>
        <w:rFonts w:ascii="Wingdings" w:hAnsi="Wingdings" w:hint="default"/>
      </w:rPr>
    </w:lvl>
    <w:lvl w:ilvl="6" w:tplc="F47CE2DC" w:tentative="1">
      <w:start w:val="1"/>
      <w:numFmt w:val="bullet"/>
      <w:lvlText w:val=""/>
      <w:lvlJc w:val="left"/>
      <w:pPr>
        <w:tabs>
          <w:tab w:val="num" w:pos="5040"/>
        </w:tabs>
        <w:ind w:left="5040" w:hanging="360"/>
      </w:pPr>
      <w:rPr>
        <w:rFonts w:ascii="Wingdings" w:hAnsi="Wingdings" w:hint="default"/>
      </w:rPr>
    </w:lvl>
    <w:lvl w:ilvl="7" w:tplc="CA048F50" w:tentative="1">
      <w:start w:val="1"/>
      <w:numFmt w:val="bullet"/>
      <w:lvlText w:val=""/>
      <w:lvlJc w:val="left"/>
      <w:pPr>
        <w:tabs>
          <w:tab w:val="num" w:pos="5760"/>
        </w:tabs>
        <w:ind w:left="5760" w:hanging="360"/>
      </w:pPr>
      <w:rPr>
        <w:rFonts w:ascii="Wingdings" w:hAnsi="Wingdings" w:hint="default"/>
      </w:rPr>
    </w:lvl>
    <w:lvl w:ilvl="8" w:tplc="92F07086" w:tentative="1">
      <w:start w:val="1"/>
      <w:numFmt w:val="bullet"/>
      <w:lvlText w:val=""/>
      <w:lvlJc w:val="left"/>
      <w:pPr>
        <w:tabs>
          <w:tab w:val="num" w:pos="6480"/>
        </w:tabs>
        <w:ind w:left="6480" w:hanging="360"/>
      </w:pPr>
      <w:rPr>
        <w:rFonts w:ascii="Wingdings" w:hAnsi="Wingdings" w:hint="default"/>
      </w:rPr>
    </w:lvl>
  </w:abstractNum>
  <w:abstractNum w:abstractNumId="12">
    <w:nsid w:val="6D911239"/>
    <w:multiLevelType w:val="hybridMultilevel"/>
    <w:tmpl w:val="1936981E"/>
    <w:lvl w:ilvl="0" w:tplc="3716B806">
      <w:start w:val="1"/>
      <w:numFmt w:val="decimal"/>
      <w:lvlText w:val="%1)"/>
      <w:lvlJc w:val="left"/>
      <w:pPr>
        <w:ind w:left="720" w:hanging="360"/>
      </w:pPr>
      <w:rPr>
        <w:rFonts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6114617"/>
    <w:multiLevelType w:val="hybridMultilevel"/>
    <w:tmpl w:val="417A3A92"/>
    <w:lvl w:ilvl="0" w:tplc="04260001">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4">
    <w:nsid w:val="76CB1A67"/>
    <w:multiLevelType w:val="multilevel"/>
    <w:tmpl w:val="46BAAC4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7"/>
  </w:num>
  <w:num w:numId="3">
    <w:abstractNumId w:val="0"/>
  </w:num>
  <w:num w:numId="4">
    <w:abstractNumId w:val="9"/>
  </w:num>
  <w:num w:numId="5">
    <w:abstractNumId w:val="3"/>
  </w:num>
  <w:num w:numId="6">
    <w:abstractNumId w:val="10"/>
  </w:num>
  <w:num w:numId="7">
    <w:abstractNumId w:val="5"/>
  </w:num>
  <w:num w:numId="8">
    <w:abstractNumId w:val="2"/>
  </w:num>
  <w:num w:numId="9">
    <w:abstractNumId w:val="13"/>
  </w:num>
  <w:num w:numId="10">
    <w:abstractNumId w:val="12"/>
  </w:num>
  <w:num w:numId="11">
    <w:abstractNumId w:val="11"/>
  </w:num>
  <w:num w:numId="12">
    <w:abstractNumId w:val="6"/>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01"/>
    <w:rsid w:val="00041571"/>
    <w:rsid w:val="000706FF"/>
    <w:rsid w:val="00080431"/>
    <w:rsid w:val="000901E5"/>
    <w:rsid w:val="000C30C4"/>
    <w:rsid w:val="000F7510"/>
    <w:rsid w:val="001073BE"/>
    <w:rsid w:val="00117F6B"/>
    <w:rsid w:val="0013209E"/>
    <w:rsid w:val="00157FC2"/>
    <w:rsid w:val="00163D90"/>
    <w:rsid w:val="001657F3"/>
    <w:rsid w:val="00166AED"/>
    <w:rsid w:val="00187562"/>
    <w:rsid w:val="001B58F7"/>
    <w:rsid w:val="001B5BC6"/>
    <w:rsid w:val="001E3BB8"/>
    <w:rsid w:val="001F00C1"/>
    <w:rsid w:val="0021040F"/>
    <w:rsid w:val="00222EA2"/>
    <w:rsid w:val="00231F70"/>
    <w:rsid w:val="0024095F"/>
    <w:rsid w:val="00245801"/>
    <w:rsid w:val="00246012"/>
    <w:rsid w:val="0027137C"/>
    <w:rsid w:val="00277DAC"/>
    <w:rsid w:val="002A0D2C"/>
    <w:rsid w:val="003103EB"/>
    <w:rsid w:val="00371682"/>
    <w:rsid w:val="003818BD"/>
    <w:rsid w:val="003820F7"/>
    <w:rsid w:val="003A36C8"/>
    <w:rsid w:val="003C5AFA"/>
    <w:rsid w:val="003D25AA"/>
    <w:rsid w:val="003F6D20"/>
    <w:rsid w:val="00472EFB"/>
    <w:rsid w:val="00494215"/>
    <w:rsid w:val="004A3B57"/>
    <w:rsid w:val="004A5F5F"/>
    <w:rsid w:val="004B087E"/>
    <w:rsid w:val="004E2E31"/>
    <w:rsid w:val="004F4B3F"/>
    <w:rsid w:val="005130C7"/>
    <w:rsid w:val="005311B8"/>
    <w:rsid w:val="00533E91"/>
    <w:rsid w:val="005409F8"/>
    <w:rsid w:val="00544245"/>
    <w:rsid w:val="005513E6"/>
    <w:rsid w:val="00561D49"/>
    <w:rsid w:val="005B42CF"/>
    <w:rsid w:val="005F6DEA"/>
    <w:rsid w:val="00662F55"/>
    <w:rsid w:val="00664A14"/>
    <w:rsid w:val="00692216"/>
    <w:rsid w:val="006B0474"/>
    <w:rsid w:val="006C6976"/>
    <w:rsid w:val="006D5045"/>
    <w:rsid w:val="006F4BA8"/>
    <w:rsid w:val="007065B0"/>
    <w:rsid w:val="00756C1E"/>
    <w:rsid w:val="007A562C"/>
    <w:rsid w:val="007D36C7"/>
    <w:rsid w:val="007E404F"/>
    <w:rsid w:val="007F3FBF"/>
    <w:rsid w:val="008203D5"/>
    <w:rsid w:val="00821689"/>
    <w:rsid w:val="00850F42"/>
    <w:rsid w:val="00883759"/>
    <w:rsid w:val="00884D38"/>
    <w:rsid w:val="00884E7B"/>
    <w:rsid w:val="0089535F"/>
    <w:rsid w:val="008A312B"/>
    <w:rsid w:val="008B3D9A"/>
    <w:rsid w:val="008F6DC9"/>
    <w:rsid w:val="008F7188"/>
    <w:rsid w:val="0090177F"/>
    <w:rsid w:val="00903B88"/>
    <w:rsid w:val="00920EF6"/>
    <w:rsid w:val="00931DD8"/>
    <w:rsid w:val="00942BFB"/>
    <w:rsid w:val="00943A66"/>
    <w:rsid w:val="00994EC5"/>
    <w:rsid w:val="0099711F"/>
    <w:rsid w:val="009B0273"/>
    <w:rsid w:val="009B4D26"/>
    <w:rsid w:val="00A10CFA"/>
    <w:rsid w:val="00A231B5"/>
    <w:rsid w:val="00A852EC"/>
    <w:rsid w:val="00AB3206"/>
    <w:rsid w:val="00AD4AFC"/>
    <w:rsid w:val="00B370B6"/>
    <w:rsid w:val="00B471AB"/>
    <w:rsid w:val="00B5764A"/>
    <w:rsid w:val="00B6750B"/>
    <w:rsid w:val="00B76966"/>
    <w:rsid w:val="00BB27B7"/>
    <w:rsid w:val="00BC23B7"/>
    <w:rsid w:val="00C32DAB"/>
    <w:rsid w:val="00C8573F"/>
    <w:rsid w:val="00C93557"/>
    <w:rsid w:val="00CB4B9D"/>
    <w:rsid w:val="00CD3596"/>
    <w:rsid w:val="00CE3533"/>
    <w:rsid w:val="00CE7103"/>
    <w:rsid w:val="00CF01E5"/>
    <w:rsid w:val="00CF1248"/>
    <w:rsid w:val="00D04DD9"/>
    <w:rsid w:val="00D266E0"/>
    <w:rsid w:val="00D33024"/>
    <w:rsid w:val="00D41FE6"/>
    <w:rsid w:val="00D6587F"/>
    <w:rsid w:val="00D6593D"/>
    <w:rsid w:val="00D74FFC"/>
    <w:rsid w:val="00D83B01"/>
    <w:rsid w:val="00DE70F2"/>
    <w:rsid w:val="00DF774B"/>
    <w:rsid w:val="00DF78BF"/>
    <w:rsid w:val="00E34604"/>
    <w:rsid w:val="00E35D1C"/>
    <w:rsid w:val="00E37582"/>
    <w:rsid w:val="00E512D7"/>
    <w:rsid w:val="00E57F4D"/>
    <w:rsid w:val="00E85533"/>
    <w:rsid w:val="00EC0183"/>
    <w:rsid w:val="00EC4FEF"/>
    <w:rsid w:val="00EE6761"/>
    <w:rsid w:val="00EF6F42"/>
    <w:rsid w:val="00EF7CE4"/>
    <w:rsid w:val="00F03826"/>
    <w:rsid w:val="00F12E80"/>
    <w:rsid w:val="00F15450"/>
    <w:rsid w:val="00F22D83"/>
    <w:rsid w:val="00F6030F"/>
    <w:rsid w:val="00F63B34"/>
    <w:rsid w:val="00F64048"/>
    <w:rsid w:val="00F74A27"/>
    <w:rsid w:val="00F75CF9"/>
    <w:rsid w:val="00FA00EB"/>
    <w:rsid w:val="00FA08EC"/>
    <w:rsid w:val="00FC7284"/>
    <w:rsid w:val="00FF31F8"/>
    <w:rsid w:val="00F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83"/>
    <w:rPr>
      <w:sz w:val="24"/>
    </w:rPr>
  </w:style>
  <w:style w:type="paragraph" w:styleId="Heading1">
    <w:name w:val="heading 1"/>
    <w:basedOn w:val="Normal"/>
    <w:next w:val="Normal"/>
    <w:link w:val="Heading1Char"/>
    <w:uiPriority w:val="9"/>
    <w:qFormat/>
    <w:rsid w:val="007A562C"/>
    <w:pPr>
      <w:keepNext/>
      <w:keepLines/>
      <w:spacing w:before="480"/>
      <w:outlineLvl w:val="0"/>
    </w:pPr>
    <w:rPr>
      <w:rFonts w:asciiTheme="majorHAnsi" w:eastAsiaTheme="majorEastAsia" w:hAnsiTheme="majorHAnsi"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D83B01"/>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rsid w:val="00D83B01"/>
  </w:style>
  <w:style w:type="character" w:customStyle="1" w:styleId="apple-converted-space">
    <w:name w:val="apple-converted-space"/>
    <w:basedOn w:val="DefaultParagraphFont"/>
    <w:rsid w:val="00D83B01"/>
  </w:style>
  <w:style w:type="character" w:styleId="Hyperlink">
    <w:name w:val="Hyperlink"/>
    <w:basedOn w:val="DefaultParagraphFont"/>
    <w:uiPriority w:val="99"/>
    <w:unhideWhenUsed/>
    <w:rsid w:val="00D83B01"/>
    <w:rPr>
      <w:color w:val="0000FF"/>
      <w:u w:val="single"/>
    </w:rPr>
  </w:style>
  <w:style w:type="character" w:customStyle="1" w:styleId="super">
    <w:name w:val="super"/>
    <w:basedOn w:val="DefaultParagraphFont"/>
    <w:rsid w:val="00D83B01"/>
  </w:style>
  <w:style w:type="paragraph" w:customStyle="1" w:styleId="Normal1">
    <w:name w:val="Normal1"/>
    <w:basedOn w:val="Normal"/>
    <w:rsid w:val="00D83B01"/>
    <w:pPr>
      <w:spacing w:before="100" w:beforeAutospacing="1" w:after="100" w:afterAutospacing="1"/>
    </w:pPr>
    <w:rPr>
      <w:rFonts w:eastAsia="Times New Roman" w:cs="Times New Roman"/>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7F3FBF"/>
    <w:pPr>
      <w:ind w:firstLine="720"/>
      <w:jc w:val="both"/>
    </w:pPr>
    <w:rPr>
      <w:rFonts w:cs="Times New Roman"/>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F3FBF"/>
    <w:rPr>
      <w:rFonts w:cs="Times New Roman"/>
      <w:sz w:val="20"/>
      <w:szCs w:val="20"/>
    </w:rPr>
  </w:style>
  <w:style w:type="character" w:styleId="FootnoteReference">
    <w:name w:val="footnote reference"/>
    <w:aliases w:val="Footnote Reference Number,SUPERS,Footnote symbol,Stinking Styles22,BVI fnr,Footnote Reference Superscript,(Footnote Reference),Footnote reference number,note TESI,EN Footnote Reference,Voetnootverwijzing,Times 10 Point,No"/>
    <w:basedOn w:val="DefaultParagraphFont"/>
    <w:uiPriority w:val="99"/>
    <w:unhideWhenUsed/>
    <w:rsid w:val="007F3FBF"/>
    <w:rPr>
      <w:vertAlign w:val="superscript"/>
    </w:rPr>
  </w:style>
  <w:style w:type="character" w:customStyle="1" w:styleId="Heading1Char">
    <w:name w:val="Heading 1 Char"/>
    <w:basedOn w:val="DefaultParagraphFont"/>
    <w:link w:val="Heading1"/>
    <w:uiPriority w:val="9"/>
    <w:rsid w:val="007A562C"/>
    <w:rPr>
      <w:rFonts w:asciiTheme="majorHAnsi" w:eastAsiaTheme="majorEastAsia" w:hAnsiTheme="majorHAnsi" w:cstheme="majorBidi"/>
      <w:b/>
      <w:bCs/>
      <w:color w:val="1F497D" w:themeColor="text2"/>
      <w:sz w:val="32"/>
      <w:szCs w:val="28"/>
    </w:rPr>
  </w:style>
  <w:style w:type="paragraph" w:styleId="ListParagraph">
    <w:name w:val="List Paragraph"/>
    <w:aliases w:val="2"/>
    <w:basedOn w:val="Normal"/>
    <w:link w:val="ListParagraphChar"/>
    <w:uiPriority w:val="34"/>
    <w:qFormat/>
    <w:rsid w:val="00CE3533"/>
    <w:pPr>
      <w:ind w:left="720"/>
      <w:contextualSpacing/>
    </w:pPr>
  </w:style>
  <w:style w:type="paragraph" w:styleId="BalloonText">
    <w:name w:val="Balloon Text"/>
    <w:basedOn w:val="Normal"/>
    <w:link w:val="BalloonTextChar"/>
    <w:uiPriority w:val="99"/>
    <w:semiHidden/>
    <w:unhideWhenUsed/>
    <w:rsid w:val="00EC0183"/>
    <w:rPr>
      <w:rFonts w:ascii="Tahoma" w:hAnsi="Tahoma" w:cs="Tahoma"/>
      <w:sz w:val="16"/>
      <w:szCs w:val="16"/>
    </w:rPr>
  </w:style>
  <w:style w:type="character" w:customStyle="1" w:styleId="BalloonTextChar">
    <w:name w:val="Balloon Text Char"/>
    <w:basedOn w:val="DefaultParagraphFont"/>
    <w:link w:val="BalloonText"/>
    <w:uiPriority w:val="99"/>
    <w:semiHidden/>
    <w:rsid w:val="00EC0183"/>
    <w:rPr>
      <w:rFonts w:ascii="Tahoma" w:hAnsi="Tahoma" w:cs="Tahoma"/>
      <w:sz w:val="16"/>
      <w:szCs w:val="16"/>
    </w:rPr>
  </w:style>
  <w:style w:type="character" w:styleId="CommentReference">
    <w:name w:val="annotation reference"/>
    <w:basedOn w:val="DefaultParagraphFont"/>
    <w:uiPriority w:val="99"/>
    <w:semiHidden/>
    <w:unhideWhenUsed/>
    <w:rsid w:val="00E57F4D"/>
    <w:rPr>
      <w:sz w:val="16"/>
      <w:szCs w:val="16"/>
    </w:rPr>
  </w:style>
  <w:style w:type="paragraph" w:styleId="CommentText">
    <w:name w:val="annotation text"/>
    <w:basedOn w:val="Normal"/>
    <w:link w:val="CommentTextChar"/>
    <w:uiPriority w:val="99"/>
    <w:semiHidden/>
    <w:unhideWhenUsed/>
    <w:rsid w:val="00E57F4D"/>
    <w:rPr>
      <w:sz w:val="20"/>
      <w:szCs w:val="20"/>
    </w:rPr>
  </w:style>
  <w:style w:type="character" w:customStyle="1" w:styleId="CommentTextChar">
    <w:name w:val="Comment Text Char"/>
    <w:basedOn w:val="DefaultParagraphFont"/>
    <w:link w:val="CommentText"/>
    <w:uiPriority w:val="99"/>
    <w:semiHidden/>
    <w:rsid w:val="00E57F4D"/>
    <w:rPr>
      <w:sz w:val="20"/>
      <w:szCs w:val="20"/>
    </w:rPr>
  </w:style>
  <w:style w:type="paragraph" w:styleId="CommentSubject">
    <w:name w:val="annotation subject"/>
    <w:basedOn w:val="CommentText"/>
    <w:next w:val="CommentText"/>
    <w:link w:val="CommentSubjectChar"/>
    <w:uiPriority w:val="99"/>
    <w:semiHidden/>
    <w:unhideWhenUsed/>
    <w:rsid w:val="00E57F4D"/>
    <w:rPr>
      <w:b/>
      <w:bCs/>
    </w:rPr>
  </w:style>
  <w:style w:type="character" w:customStyle="1" w:styleId="CommentSubjectChar">
    <w:name w:val="Comment Subject Char"/>
    <w:basedOn w:val="CommentTextChar"/>
    <w:link w:val="CommentSubject"/>
    <w:uiPriority w:val="99"/>
    <w:semiHidden/>
    <w:rsid w:val="00E57F4D"/>
    <w:rPr>
      <w:b/>
      <w:bCs/>
      <w:sz w:val="20"/>
      <w:szCs w:val="20"/>
    </w:rPr>
  </w:style>
  <w:style w:type="paragraph" w:styleId="Header">
    <w:name w:val="header"/>
    <w:basedOn w:val="Normal"/>
    <w:link w:val="HeaderChar"/>
    <w:uiPriority w:val="99"/>
    <w:unhideWhenUsed/>
    <w:rsid w:val="004F4B3F"/>
    <w:pPr>
      <w:tabs>
        <w:tab w:val="center" w:pos="4153"/>
        <w:tab w:val="right" w:pos="8306"/>
      </w:tabs>
    </w:pPr>
  </w:style>
  <w:style w:type="character" w:customStyle="1" w:styleId="HeaderChar">
    <w:name w:val="Header Char"/>
    <w:basedOn w:val="DefaultParagraphFont"/>
    <w:link w:val="Header"/>
    <w:uiPriority w:val="99"/>
    <w:rsid w:val="004F4B3F"/>
    <w:rPr>
      <w:sz w:val="24"/>
    </w:rPr>
  </w:style>
  <w:style w:type="paragraph" w:styleId="Footer">
    <w:name w:val="footer"/>
    <w:basedOn w:val="Normal"/>
    <w:link w:val="FooterChar"/>
    <w:uiPriority w:val="99"/>
    <w:unhideWhenUsed/>
    <w:rsid w:val="004F4B3F"/>
    <w:pPr>
      <w:tabs>
        <w:tab w:val="center" w:pos="4153"/>
        <w:tab w:val="right" w:pos="8306"/>
      </w:tabs>
    </w:pPr>
  </w:style>
  <w:style w:type="character" w:customStyle="1" w:styleId="FooterChar">
    <w:name w:val="Footer Char"/>
    <w:basedOn w:val="DefaultParagraphFont"/>
    <w:link w:val="Footer"/>
    <w:uiPriority w:val="99"/>
    <w:rsid w:val="004F4B3F"/>
    <w:rPr>
      <w:sz w:val="24"/>
    </w:rPr>
  </w:style>
  <w:style w:type="table" w:styleId="TableGrid">
    <w:name w:val="Table Grid"/>
    <w:basedOn w:val="TableNormal"/>
    <w:uiPriority w:val="59"/>
    <w:rsid w:val="00EE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50F42"/>
    <w:pPr>
      <w:spacing w:after="120" w:line="480" w:lineRule="auto"/>
      <w:ind w:left="283" w:firstLine="720"/>
    </w:pPr>
    <w:rPr>
      <w:rFonts w:ascii="Calibri" w:eastAsia="Times New Roman" w:hAnsi="Calibri" w:cs="Times New Roman"/>
      <w:sz w:val="20"/>
      <w:szCs w:val="20"/>
      <w:lang w:eastAsia="lv-LV"/>
    </w:rPr>
  </w:style>
  <w:style w:type="character" w:customStyle="1" w:styleId="BodyTextIndent2Char">
    <w:name w:val="Body Text Indent 2 Char"/>
    <w:basedOn w:val="DefaultParagraphFont"/>
    <w:link w:val="BodyTextIndent2"/>
    <w:uiPriority w:val="99"/>
    <w:rsid w:val="00850F42"/>
    <w:rPr>
      <w:rFonts w:ascii="Calibri" w:eastAsia="Times New Roman" w:hAnsi="Calibri" w:cs="Times New Roman"/>
      <w:sz w:val="20"/>
      <w:szCs w:val="20"/>
      <w:lang w:eastAsia="lv-LV"/>
    </w:rPr>
  </w:style>
  <w:style w:type="character" w:customStyle="1" w:styleId="ListParagraphChar">
    <w:name w:val="List Paragraph Char"/>
    <w:aliases w:val="2 Char"/>
    <w:link w:val="ListParagraph"/>
    <w:uiPriority w:val="34"/>
    <w:locked/>
    <w:rsid w:val="00166A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183"/>
    <w:rPr>
      <w:sz w:val="24"/>
    </w:rPr>
  </w:style>
  <w:style w:type="paragraph" w:styleId="Heading1">
    <w:name w:val="heading 1"/>
    <w:basedOn w:val="Normal"/>
    <w:next w:val="Normal"/>
    <w:link w:val="Heading1Char"/>
    <w:uiPriority w:val="9"/>
    <w:qFormat/>
    <w:rsid w:val="007A562C"/>
    <w:pPr>
      <w:keepNext/>
      <w:keepLines/>
      <w:spacing w:before="480"/>
      <w:outlineLvl w:val="0"/>
    </w:pPr>
    <w:rPr>
      <w:rFonts w:asciiTheme="majorHAnsi" w:eastAsiaTheme="majorEastAsia" w:hAnsiTheme="majorHAnsi" w:cstheme="majorBidi"/>
      <w:b/>
      <w:bCs/>
      <w:color w:val="1F497D"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D83B01"/>
    <w:pPr>
      <w:spacing w:before="100" w:beforeAutospacing="1" w:after="100" w:afterAutospacing="1"/>
    </w:pPr>
    <w:rPr>
      <w:rFonts w:eastAsia="Times New Roman" w:cs="Times New Roman"/>
      <w:szCs w:val="24"/>
      <w:lang w:eastAsia="lv-LV"/>
    </w:rPr>
  </w:style>
  <w:style w:type="character" w:customStyle="1" w:styleId="italic">
    <w:name w:val="italic"/>
    <w:basedOn w:val="DefaultParagraphFont"/>
    <w:rsid w:val="00D83B01"/>
  </w:style>
  <w:style w:type="character" w:customStyle="1" w:styleId="apple-converted-space">
    <w:name w:val="apple-converted-space"/>
    <w:basedOn w:val="DefaultParagraphFont"/>
    <w:rsid w:val="00D83B01"/>
  </w:style>
  <w:style w:type="character" w:styleId="Hyperlink">
    <w:name w:val="Hyperlink"/>
    <w:basedOn w:val="DefaultParagraphFont"/>
    <w:uiPriority w:val="99"/>
    <w:unhideWhenUsed/>
    <w:rsid w:val="00D83B01"/>
    <w:rPr>
      <w:color w:val="0000FF"/>
      <w:u w:val="single"/>
    </w:rPr>
  </w:style>
  <w:style w:type="character" w:customStyle="1" w:styleId="super">
    <w:name w:val="super"/>
    <w:basedOn w:val="DefaultParagraphFont"/>
    <w:rsid w:val="00D83B01"/>
  </w:style>
  <w:style w:type="paragraph" w:customStyle="1" w:styleId="Normal1">
    <w:name w:val="Normal1"/>
    <w:basedOn w:val="Normal"/>
    <w:rsid w:val="00D83B01"/>
    <w:pPr>
      <w:spacing w:before="100" w:beforeAutospacing="1" w:after="100" w:afterAutospacing="1"/>
    </w:pPr>
    <w:rPr>
      <w:rFonts w:eastAsia="Times New Roman" w:cs="Times New Roman"/>
      <w:szCs w:val="24"/>
      <w:lang w:eastAsia="lv-LV"/>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unhideWhenUsed/>
    <w:rsid w:val="007F3FBF"/>
    <w:pPr>
      <w:ind w:firstLine="720"/>
      <w:jc w:val="both"/>
    </w:pPr>
    <w:rPr>
      <w:rFonts w:cs="Times New Roman"/>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rsid w:val="007F3FBF"/>
    <w:rPr>
      <w:rFonts w:cs="Times New Roman"/>
      <w:sz w:val="20"/>
      <w:szCs w:val="20"/>
    </w:rPr>
  </w:style>
  <w:style w:type="character" w:styleId="FootnoteReference">
    <w:name w:val="footnote reference"/>
    <w:aliases w:val="Footnote Reference Number,SUPERS,Footnote symbol,Stinking Styles22,BVI fnr,Footnote Reference Superscript,(Footnote Reference),Footnote reference number,note TESI,EN Footnote Reference,Voetnootverwijzing,Times 10 Point,No"/>
    <w:basedOn w:val="DefaultParagraphFont"/>
    <w:uiPriority w:val="99"/>
    <w:unhideWhenUsed/>
    <w:rsid w:val="007F3FBF"/>
    <w:rPr>
      <w:vertAlign w:val="superscript"/>
    </w:rPr>
  </w:style>
  <w:style w:type="character" w:customStyle="1" w:styleId="Heading1Char">
    <w:name w:val="Heading 1 Char"/>
    <w:basedOn w:val="DefaultParagraphFont"/>
    <w:link w:val="Heading1"/>
    <w:uiPriority w:val="9"/>
    <w:rsid w:val="007A562C"/>
    <w:rPr>
      <w:rFonts w:asciiTheme="majorHAnsi" w:eastAsiaTheme="majorEastAsia" w:hAnsiTheme="majorHAnsi" w:cstheme="majorBidi"/>
      <w:b/>
      <w:bCs/>
      <w:color w:val="1F497D" w:themeColor="text2"/>
      <w:sz w:val="32"/>
      <w:szCs w:val="28"/>
    </w:rPr>
  </w:style>
  <w:style w:type="paragraph" w:styleId="ListParagraph">
    <w:name w:val="List Paragraph"/>
    <w:aliases w:val="2"/>
    <w:basedOn w:val="Normal"/>
    <w:link w:val="ListParagraphChar"/>
    <w:uiPriority w:val="34"/>
    <w:qFormat/>
    <w:rsid w:val="00CE3533"/>
    <w:pPr>
      <w:ind w:left="720"/>
      <w:contextualSpacing/>
    </w:pPr>
  </w:style>
  <w:style w:type="paragraph" w:styleId="BalloonText">
    <w:name w:val="Balloon Text"/>
    <w:basedOn w:val="Normal"/>
    <w:link w:val="BalloonTextChar"/>
    <w:uiPriority w:val="99"/>
    <w:semiHidden/>
    <w:unhideWhenUsed/>
    <w:rsid w:val="00EC0183"/>
    <w:rPr>
      <w:rFonts w:ascii="Tahoma" w:hAnsi="Tahoma" w:cs="Tahoma"/>
      <w:sz w:val="16"/>
      <w:szCs w:val="16"/>
    </w:rPr>
  </w:style>
  <w:style w:type="character" w:customStyle="1" w:styleId="BalloonTextChar">
    <w:name w:val="Balloon Text Char"/>
    <w:basedOn w:val="DefaultParagraphFont"/>
    <w:link w:val="BalloonText"/>
    <w:uiPriority w:val="99"/>
    <w:semiHidden/>
    <w:rsid w:val="00EC0183"/>
    <w:rPr>
      <w:rFonts w:ascii="Tahoma" w:hAnsi="Tahoma" w:cs="Tahoma"/>
      <w:sz w:val="16"/>
      <w:szCs w:val="16"/>
    </w:rPr>
  </w:style>
  <w:style w:type="character" w:styleId="CommentReference">
    <w:name w:val="annotation reference"/>
    <w:basedOn w:val="DefaultParagraphFont"/>
    <w:uiPriority w:val="99"/>
    <w:semiHidden/>
    <w:unhideWhenUsed/>
    <w:rsid w:val="00E57F4D"/>
    <w:rPr>
      <w:sz w:val="16"/>
      <w:szCs w:val="16"/>
    </w:rPr>
  </w:style>
  <w:style w:type="paragraph" w:styleId="CommentText">
    <w:name w:val="annotation text"/>
    <w:basedOn w:val="Normal"/>
    <w:link w:val="CommentTextChar"/>
    <w:uiPriority w:val="99"/>
    <w:semiHidden/>
    <w:unhideWhenUsed/>
    <w:rsid w:val="00E57F4D"/>
    <w:rPr>
      <w:sz w:val="20"/>
      <w:szCs w:val="20"/>
    </w:rPr>
  </w:style>
  <w:style w:type="character" w:customStyle="1" w:styleId="CommentTextChar">
    <w:name w:val="Comment Text Char"/>
    <w:basedOn w:val="DefaultParagraphFont"/>
    <w:link w:val="CommentText"/>
    <w:uiPriority w:val="99"/>
    <w:semiHidden/>
    <w:rsid w:val="00E57F4D"/>
    <w:rPr>
      <w:sz w:val="20"/>
      <w:szCs w:val="20"/>
    </w:rPr>
  </w:style>
  <w:style w:type="paragraph" w:styleId="CommentSubject">
    <w:name w:val="annotation subject"/>
    <w:basedOn w:val="CommentText"/>
    <w:next w:val="CommentText"/>
    <w:link w:val="CommentSubjectChar"/>
    <w:uiPriority w:val="99"/>
    <w:semiHidden/>
    <w:unhideWhenUsed/>
    <w:rsid w:val="00E57F4D"/>
    <w:rPr>
      <w:b/>
      <w:bCs/>
    </w:rPr>
  </w:style>
  <w:style w:type="character" w:customStyle="1" w:styleId="CommentSubjectChar">
    <w:name w:val="Comment Subject Char"/>
    <w:basedOn w:val="CommentTextChar"/>
    <w:link w:val="CommentSubject"/>
    <w:uiPriority w:val="99"/>
    <w:semiHidden/>
    <w:rsid w:val="00E57F4D"/>
    <w:rPr>
      <w:b/>
      <w:bCs/>
      <w:sz w:val="20"/>
      <w:szCs w:val="20"/>
    </w:rPr>
  </w:style>
  <w:style w:type="paragraph" w:styleId="Header">
    <w:name w:val="header"/>
    <w:basedOn w:val="Normal"/>
    <w:link w:val="HeaderChar"/>
    <w:uiPriority w:val="99"/>
    <w:unhideWhenUsed/>
    <w:rsid w:val="004F4B3F"/>
    <w:pPr>
      <w:tabs>
        <w:tab w:val="center" w:pos="4153"/>
        <w:tab w:val="right" w:pos="8306"/>
      </w:tabs>
    </w:pPr>
  </w:style>
  <w:style w:type="character" w:customStyle="1" w:styleId="HeaderChar">
    <w:name w:val="Header Char"/>
    <w:basedOn w:val="DefaultParagraphFont"/>
    <w:link w:val="Header"/>
    <w:uiPriority w:val="99"/>
    <w:rsid w:val="004F4B3F"/>
    <w:rPr>
      <w:sz w:val="24"/>
    </w:rPr>
  </w:style>
  <w:style w:type="paragraph" w:styleId="Footer">
    <w:name w:val="footer"/>
    <w:basedOn w:val="Normal"/>
    <w:link w:val="FooterChar"/>
    <w:uiPriority w:val="99"/>
    <w:unhideWhenUsed/>
    <w:rsid w:val="004F4B3F"/>
    <w:pPr>
      <w:tabs>
        <w:tab w:val="center" w:pos="4153"/>
        <w:tab w:val="right" w:pos="8306"/>
      </w:tabs>
    </w:pPr>
  </w:style>
  <w:style w:type="character" w:customStyle="1" w:styleId="FooterChar">
    <w:name w:val="Footer Char"/>
    <w:basedOn w:val="DefaultParagraphFont"/>
    <w:link w:val="Footer"/>
    <w:uiPriority w:val="99"/>
    <w:rsid w:val="004F4B3F"/>
    <w:rPr>
      <w:sz w:val="24"/>
    </w:rPr>
  </w:style>
  <w:style w:type="table" w:styleId="TableGrid">
    <w:name w:val="Table Grid"/>
    <w:basedOn w:val="TableNormal"/>
    <w:uiPriority w:val="59"/>
    <w:rsid w:val="00EE6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850F42"/>
    <w:pPr>
      <w:spacing w:after="120" w:line="480" w:lineRule="auto"/>
      <w:ind w:left="283" w:firstLine="720"/>
    </w:pPr>
    <w:rPr>
      <w:rFonts w:ascii="Calibri" w:eastAsia="Times New Roman" w:hAnsi="Calibri" w:cs="Times New Roman"/>
      <w:sz w:val="20"/>
      <w:szCs w:val="20"/>
      <w:lang w:eastAsia="lv-LV"/>
    </w:rPr>
  </w:style>
  <w:style w:type="character" w:customStyle="1" w:styleId="BodyTextIndent2Char">
    <w:name w:val="Body Text Indent 2 Char"/>
    <w:basedOn w:val="DefaultParagraphFont"/>
    <w:link w:val="BodyTextIndent2"/>
    <w:uiPriority w:val="99"/>
    <w:rsid w:val="00850F42"/>
    <w:rPr>
      <w:rFonts w:ascii="Calibri" w:eastAsia="Times New Roman" w:hAnsi="Calibri" w:cs="Times New Roman"/>
      <w:sz w:val="20"/>
      <w:szCs w:val="20"/>
      <w:lang w:eastAsia="lv-LV"/>
    </w:rPr>
  </w:style>
  <w:style w:type="character" w:customStyle="1" w:styleId="ListParagraphChar">
    <w:name w:val="List Paragraph Char"/>
    <w:aliases w:val="2 Char"/>
    <w:link w:val="ListParagraph"/>
    <w:uiPriority w:val="34"/>
    <w:locked/>
    <w:rsid w:val="00166A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9509">
      <w:bodyDiv w:val="1"/>
      <w:marLeft w:val="0"/>
      <w:marRight w:val="0"/>
      <w:marTop w:val="0"/>
      <w:marBottom w:val="0"/>
      <w:divBdr>
        <w:top w:val="none" w:sz="0" w:space="0" w:color="auto"/>
        <w:left w:val="none" w:sz="0" w:space="0" w:color="auto"/>
        <w:bottom w:val="none" w:sz="0" w:space="0" w:color="auto"/>
        <w:right w:val="none" w:sz="0" w:space="0" w:color="auto"/>
      </w:divBdr>
    </w:div>
    <w:div w:id="393042560">
      <w:bodyDiv w:val="1"/>
      <w:marLeft w:val="0"/>
      <w:marRight w:val="0"/>
      <w:marTop w:val="0"/>
      <w:marBottom w:val="0"/>
      <w:divBdr>
        <w:top w:val="none" w:sz="0" w:space="0" w:color="auto"/>
        <w:left w:val="none" w:sz="0" w:space="0" w:color="auto"/>
        <w:bottom w:val="none" w:sz="0" w:space="0" w:color="auto"/>
        <w:right w:val="none" w:sz="0" w:space="0" w:color="auto"/>
      </w:divBdr>
      <w:divsChild>
        <w:div w:id="2098118">
          <w:marLeft w:val="734"/>
          <w:marRight w:val="0"/>
          <w:marTop w:val="0"/>
          <w:marBottom w:val="0"/>
          <w:divBdr>
            <w:top w:val="none" w:sz="0" w:space="0" w:color="auto"/>
            <w:left w:val="none" w:sz="0" w:space="0" w:color="auto"/>
            <w:bottom w:val="none" w:sz="0" w:space="0" w:color="auto"/>
            <w:right w:val="none" w:sz="0" w:space="0" w:color="auto"/>
          </w:divBdr>
        </w:div>
        <w:div w:id="133184696">
          <w:marLeft w:val="734"/>
          <w:marRight w:val="0"/>
          <w:marTop w:val="0"/>
          <w:marBottom w:val="0"/>
          <w:divBdr>
            <w:top w:val="none" w:sz="0" w:space="0" w:color="auto"/>
            <w:left w:val="none" w:sz="0" w:space="0" w:color="auto"/>
            <w:bottom w:val="none" w:sz="0" w:space="0" w:color="auto"/>
            <w:right w:val="none" w:sz="0" w:space="0" w:color="auto"/>
          </w:divBdr>
        </w:div>
        <w:div w:id="411852851">
          <w:marLeft w:val="1426"/>
          <w:marRight w:val="0"/>
          <w:marTop w:val="0"/>
          <w:marBottom w:val="0"/>
          <w:divBdr>
            <w:top w:val="none" w:sz="0" w:space="0" w:color="auto"/>
            <w:left w:val="none" w:sz="0" w:space="0" w:color="auto"/>
            <w:bottom w:val="none" w:sz="0" w:space="0" w:color="auto"/>
            <w:right w:val="none" w:sz="0" w:space="0" w:color="auto"/>
          </w:divBdr>
        </w:div>
        <w:div w:id="1407219505">
          <w:marLeft w:val="1426"/>
          <w:marRight w:val="0"/>
          <w:marTop w:val="0"/>
          <w:marBottom w:val="0"/>
          <w:divBdr>
            <w:top w:val="none" w:sz="0" w:space="0" w:color="auto"/>
            <w:left w:val="none" w:sz="0" w:space="0" w:color="auto"/>
            <w:bottom w:val="none" w:sz="0" w:space="0" w:color="auto"/>
            <w:right w:val="none" w:sz="0" w:space="0" w:color="auto"/>
          </w:divBdr>
        </w:div>
        <w:div w:id="1293487062">
          <w:marLeft w:val="1426"/>
          <w:marRight w:val="0"/>
          <w:marTop w:val="0"/>
          <w:marBottom w:val="0"/>
          <w:divBdr>
            <w:top w:val="none" w:sz="0" w:space="0" w:color="auto"/>
            <w:left w:val="none" w:sz="0" w:space="0" w:color="auto"/>
            <w:bottom w:val="none" w:sz="0" w:space="0" w:color="auto"/>
            <w:right w:val="none" w:sz="0" w:space="0" w:color="auto"/>
          </w:divBdr>
        </w:div>
        <w:div w:id="594554720">
          <w:marLeft w:val="1426"/>
          <w:marRight w:val="0"/>
          <w:marTop w:val="0"/>
          <w:marBottom w:val="0"/>
          <w:divBdr>
            <w:top w:val="none" w:sz="0" w:space="0" w:color="auto"/>
            <w:left w:val="none" w:sz="0" w:space="0" w:color="auto"/>
            <w:bottom w:val="none" w:sz="0" w:space="0" w:color="auto"/>
            <w:right w:val="none" w:sz="0" w:space="0" w:color="auto"/>
          </w:divBdr>
        </w:div>
      </w:divsChild>
    </w:div>
    <w:div w:id="831601367">
      <w:bodyDiv w:val="1"/>
      <w:marLeft w:val="0"/>
      <w:marRight w:val="0"/>
      <w:marTop w:val="0"/>
      <w:marBottom w:val="0"/>
      <w:divBdr>
        <w:top w:val="none" w:sz="0" w:space="0" w:color="auto"/>
        <w:left w:val="none" w:sz="0" w:space="0" w:color="auto"/>
        <w:bottom w:val="none" w:sz="0" w:space="0" w:color="auto"/>
        <w:right w:val="none" w:sz="0" w:space="0" w:color="auto"/>
      </w:divBdr>
      <w:divsChild>
        <w:div w:id="2082022010">
          <w:marLeft w:val="734"/>
          <w:marRight w:val="0"/>
          <w:marTop w:val="0"/>
          <w:marBottom w:val="0"/>
          <w:divBdr>
            <w:top w:val="none" w:sz="0" w:space="0" w:color="auto"/>
            <w:left w:val="none" w:sz="0" w:space="0" w:color="auto"/>
            <w:bottom w:val="none" w:sz="0" w:space="0" w:color="auto"/>
            <w:right w:val="none" w:sz="0" w:space="0" w:color="auto"/>
          </w:divBdr>
        </w:div>
        <w:div w:id="1020619187">
          <w:marLeft w:val="734"/>
          <w:marRight w:val="0"/>
          <w:marTop w:val="0"/>
          <w:marBottom w:val="0"/>
          <w:divBdr>
            <w:top w:val="none" w:sz="0" w:space="0" w:color="auto"/>
            <w:left w:val="none" w:sz="0" w:space="0" w:color="auto"/>
            <w:bottom w:val="none" w:sz="0" w:space="0" w:color="auto"/>
            <w:right w:val="none" w:sz="0" w:space="0" w:color="auto"/>
          </w:divBdr>
        </w:div>
        <w:div w:id="1411776622">
          <w:marLeft w:val="1426"/>
          <w:marRight w:val="0"/>
          <w:marTop w:val="0"/>
          <w:marBottom w:val="0"/>
          <w:divBdr>
            <w:top w:val="none" w:sz="0" w:space="0" w:color="auto"/>
            <w:left w:val="none" w:sz="0" w:space="0" w:color="auto"/>
            <w:bottom w:val="none" w:sz="0" w:space="0" w:color="auto"/>
            <w:right w:val="none" w:sz="0" w:space="0" w:color="auto"/>
          </w:divBdr>
        </w:div>
        <w:div w:id="144707289">
          <w:marLeft w:val="1426"/>
          <w:marRight w:val="0"/>
          <w:marTop w:val="0"/>
          <w:marBottom w:val="0"/>
          <w:divBdr>
            <w:top w:val="none" w:sz="0" w:space="0" w:color="auto"/>
            <w:left w:val="none" w:sz="0" w:space="0" w:color="auto"/>
            <w:bottom w:val="none" w:sz="0" w:space="0" w:color="auto"/>
            <w:right w:val="none" w:sz="0" w:space="0" w:color="auto"/>
          </w:divBdr>
        </w:div>
        <w:div w:id="488013405">
          <w:marLeft w:val="1426"/>
          <w:marRight w:val="0"/>
          <w:marTop w:val="0"/>
          <w:marBottom w:val="0"/>
          <w:divBdr>
            <w:top w:val="none" w:sz="0" w:space="0" w:color="auto"/>
            <w:left w:val="none" w:sz="0" w:space="0" w:color="auto"/>
            <w:bottom w:val="none" w:sz="0" w:space="0" w:color="auto"/>
            <w:right w:val="none" w:sz="0" w:space="0" w:color="auto"/>
          </w:divBdr>
        </w:div>
        <w:div w:id="1525244269">
          <w:marLeft w:val="1426"/>
          <w:marRight w:val="0"/>
          <w:marTop w:val="0"/>
          <w:marBottom w:val="0"/>
          <w:divBdr>
            <w:top w:val="none" w:sz="0" w:space="0" w:color="auto"/>
            <w:left w:val="none" w:sz="0" w:space="0" w:color="auto"/>
            <w:bottom w:val="none" w:sz="0" w:space="0" w:color="auto"/>
            <w:right w:val="none" w:sz="0" w:space="0" w:color="auto"/>
          </w:divBdr>
        </w:div>
      </w:divsChild>
    </w:div>
    <w:div w:id="1578781803">
      <w:bodyDiv w:val="1"/>
      <w:marLeft w:val="0"/>
      <w:marRight w:val="0"/>
      <w:marTop w:val="0"/>
      <w:marBottom w:val="0"/>
      <w:divBdr>
        <w:top w:val="none" w:sz="0" w:space="0" w:color="auto"/>
        <w:left w:val="none" w:sz="0" w:space="0" w:color="auto"/>
        <w:bottom w:val="none" w:sz="0" w:space="0" w:color="auto"/>
        <w:right w:val="none" w:sz="0" w:space="0" w:color="auto"/>
      </w:divBdr>
    </w:div>
    <w:div w:id="1700861375">
      <w:bodyDiv w:val="1"/>
      <w:marLeft w:val="0"/>
      <w:marRight w:val="0"/>
      <w:marTop w:val="0"/>
      <w:marBottom w:val="0"/>
      <w:divBdr>
        <w:top w:val="none" w:sz="0" w:space="0" w:color="auto"/>
        <w:left w:val="none" w:sz="0" w:space="0" w:color="auto"/>
        <w:bottom w:val="none" w:sz="0" w:space="0" w:color="auto"/>
        <w:right w:val="none" w:sz="0" w:space="0" w:color="auto"/>
      </w:divBdr>
    </w:div>
    <w:div w:id="1702051627">
      <w:bodyDiv w:val="1"/>
      <w:marLeft w:val="0"/>
      <w:marRight w:val="0"/>
      <w:marTop w:val="0"/>
      <w:marBottom w:val="0"/>
      <w:divBdr>
        <w:top w:val="none" w:sz="0" w:space="0" w:color="auto"/>
        <w:left w:val="none" w:sz="0" w:space="0" w:color="auto"/>
        <w:bottom w:val="none" w:sz="0" w:space="0" w:color="auto"/>
        <w:right w:val="none" w:sz="0" w:space="0" w:color="auto"/>
      </w:divBdr>
    </w:div>
    <w:div w:id="20739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mailto:Aija.Timofejeva@em.gov.lv"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HTML/?uri=OJ:C:2014:200:FULL&amp;from=EN" TargetMode="External"/><Relationship Id="rId1" Type="http://schemas.openxmlformats.org/officeDocument/2006/relationships/hyperlink" Target="http://www.em.gov.lv/em/2nd/em/2nd/?cat=3098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rokofjevaI\AppData\Local\Microsoft\Windows\Temporary%20Internet%20Files\Content.Outlook\L5DXNB3V\Eurostat_elc_dabasg_cenas_2013_2puse_06062014.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Gatis\AppData\Local\Microsoft\Windows\Temporary%20Internet%20Files\Content.IE5\RR0XN9SE\nrg_pc_205.xls"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atis\Documents\CSP\Gatis%20-%20Dati.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spPr>
            <a:solidFill>
              <a:schemeClr val="accent1"/>
            </a:solidFill>
          </c:spPr>
          <c:invertIfNegative val="0"/>
          <c:dPt>
            <c:idx val="10"/>
            <c:invertIfNegative val="0"/>
            <c:bubble3D val="0"/>
            <c:spPr>
              <a:solidFill>
                <a:srgbClr val="0000FF"/>
              </a:solidFill>
            </c:spPr>
          </c:dPt>
          <c:dPt>
            <c:idx val="24"/>
            <c:invertIfNegative val="0"/>
            <c:bubble3D val="0"/>
            <c:spPr>
              <a:solidFill>
                <a:srgbClr val="990000"/>
              </a:solidFill>
            </c:spPr>
          </c:dPt>
          <c:dLbls>
            <c:numFmt formatCode="#,##0.0" sourceLinked="0"/>
            <c:txPr>
              <a:bodyPr rot="-5400000" vert="horz"/>
              <a:lstStyle/>
              <a:p>
                <a:pPr>
                  <a:defRPr sz="900" b="1"/>
                </a:pPr>
                <a:endParaRPr lang="lv-LV"/>
              </a:p>
            </c:txPr>
            <c:showLegendKey val="0"/>
            <c:showVal val="1"/>
            <c:showCatName val="0"/>
            <c:showSerName val="0"/>
            <c:showPercent val="0"/>
            <c:showBubbleSize val="0"/>
            <c:showLeaderLines val="0"/>
          </c:dLbls>
          <c:cat>
            <c:strRef>
              <c:f>elektr_majsaimn!$A$17:$A$45</c:f>
              <c:strCache>
                <c:ptCount val="29"/>
                <c:pt idx="0">
                  <c:v>Denmark</c:v>
                </c:pt>
                <c:pt idx="1">
                  <c:v>Germany </c:v>
                </c:pt>
                <c:pt idx="2">
                  <c:v>Cyprus</c:v>
                </c:pt>
                <c:pt idx="3">
                  <c:v>Ireland</c:v>
                </c:pt>
                <c:pt idx="4">
                  <c:v>Italy</c:v>
                </c:pt>
                <c:pt idx="5">
                  <c:v>Belgium</c:v>
                </c:pt>
                <c:pt idx="6">
                  <c:v>Portugal</c:v>
                </c:pt>
                <c:pt idx="7">
                  <c:v>Spain</c:v>
                </c:pt>
                <c:pt idx="8">
                  <c:v>Sweden</c:v>
                </c:pt>
                <c:pt idx="9">
                  <c:v>Austria</c:v>
                </c:pt>
                <c:pt idx="10">
                  <c:v>EU (28 countries)</c:v>
                </c:pt>
                <c:pt idx="11">
                  <c:v>Netherlands</c:v>
                </c:pt>
                <c:pt idx="12">
                  <c:v>United Kingdom</c:v>
                </c:pt>
                <c:pt idx="13">
                  <c:v>Malta</c:v>
                </c:pt>
                <c:pt idx="14">
                  <c:v>Greece</c:v>
                </c:pt>
                <c:pt idx="15">
                  <c:v>Slovakia</c:v>
                </c:pt>
                <c:pt idx="16">
                  <c:v>Slovenia</c:v>
                </c:pt>
                <c:pt idx="17">
                  <c:v>Luxembourg</c:v>
                </c:pt>
                <c:pt idx="18">
                  <c:v>France</c:v>
                </c:pt>
                <c:pt idx="19">
                  <c:v>Finland</c:v>
                </c:pt>
                <c:pt idx="20">
                  <c:v>Czech Republic</c:v>
                </c:pt>
                <c:pt idx="21">
                  <c:v>Poland</c:v>
                </c:pt>
                <c:pt idx="22">
                  <c:v>Lithuania</c:v>
                </c:pt>
                <c:pt idx="23">
                  <c:v>Estonia</c:v>
                </c:pt>
                <c:pt idx="24">
                  <c:v>Latvia</c:v>
                </c:pt>
                <c:pt idx="25">
                  <c:v>Croatia</c:v>
                </c:pt>
                <c:pt idx="26">
                  <c:v>Hungary</c:v>
                </c:pt>
                <c:pt idx="27">
                  <c:v>Romania</c:v>
                </c:pt>
                <c:pt idx="28">
                  <c:v>Bulgaria</c:v>
                </c:pt>
              </c:strCache>
            </c:strRef>
          </c:cat>
          <c:val>
            <c:numRef>
              <c:f>elektr_majsaimn!$C$17:$C$45</c:f>
              <c:numCache>
                <c:formatCode>0.0</c:formatCode>
                <c:ptCount val="29"/>
                <c:pt idx="0">
                  <c:v>293.60000000000002</c:v>
                </c:pt>
                <c:pt idx="1">
                  <c:v>292.10000000000002</c:v>
                </c:pt>
                <c:pt idx="2">
                  <c:v>248.1</c:v>
                </c:pt>
                <c:pt idx="3">
                  <c:v>240.5</c:v>
                </c:pt>
                <c:pt idx="4">
                  <c:v>232.3</c:v>
                </c:pt>
                <c:pt idx="5">
                  <c:v>221.5</c:v>
                </c:pt>
                <c:pt idx="6">
                  <c:v>213.10000000000002</c:v>
                </c:pt>
                <c:pt idx="7">
                  <c:v>207.5</c:v>
                </c:pt>
                <c:pt idx="8">
                  <c:v>204.6</c:v>
                </c:pt>
                <c:pt idx="9">
                  <c:v>201.8</c:v>
                </c:pt>
                <c:pt idx="10">
                  <c:v>200.9</c:v>
                </c:pt>
                <c:pt idx="11">
                  <c:v>191.5</c:v>
                </c:pt>
                <c:pt idx="12">
                  <c:v>179.7</c:v>
                </c:pt>
                <c:pt idx="13">
                  <c:v>170</c:v>
                </c:pt>
                <c:pt idx="14">
                  <c:v>169.7</c:v>
                </c:pt>
                <c:pt idx="15">
                  <c:v>167.8</c:v>
                </c:pt>
                <c:pt idx="16">
                  <c:v>165.7</c:v>
                </c:pt>
                <c:pt idx="17">
                  <c:v>164.6</c:v>
                </c:pt>
                <c:pt idx="18">
                  <c:v>158.9</c:v>
                </c:pt>
                <c:pt idx="19">
                  <c:v>155.9</c:v>
                </c:pt>
                <c:pt idx="20">
                  <c:v>149.29999999999998</c:v>
                </c:pt>
                <c:pt idx="21">
                  <c:v>143.69999999999999</c:v>
                </c:pt>
                <c:pt idx="22">
                  <c:v>139.1</c:v>
                </c:pt>
                <c:pt idx="23">
                  <c:v>136.69999999999999</c:v>
                </c:pt>
                <c:pt idx="24">
                  <c:v>135.80000000000001</c:v>
                </c:pt>
                <c:pt idx="25">
                  <c:v>135</c:v>
                </c:pt>
                <c:pt idx="26">
                  <c:v>132.6</c:v>
                </c:pt>
                <c:pt idx="27">
                  <c:v>127.90000000000002</c:v>
                </c:pt>
                <c:pt idx="28">
                  <c:v>88.2</c:v>
                </c:pt>
              </c:numCache>
            </c:numRef>
          </c:val>
        </c:ser>
        <c:dLbls>
          <c:showLegendKey val="0"/>
          <c:showVal val="0"/>
          <c:showCatName val="0"/>
          <c:showSerName val="0"/>
          <c:showPercent val="0"/>
          <c:showBubbleSize val="0"/>
        </c:dLbls>
        <c:gapWidth val="50"/>
        <c:axId val="83922304"/>
        <c:axId val="84092800"/>
      </c:barChart>
      <c:catAx>
        <c:axId val="83922304"/>
        <c:scaling>
          <c:orientation val="minMax"/>
        </c:scaling>
        <c:delete val="0"/>
        <c:axPos val="b"/>
        <c:majorTickMark val="out"/>
        <c:minorTickMark val="none"/>
        <c:tickLblPos val="nextTo"/>
        <c:txPr>
          <a:bodyPr rot="-5400000" vert="horz"/>
          <a:lstStyle/>
          <a:p>
            <a:pPr>
              <a:defRPr sz="1050"/>
            </a:pPr>
            <a:endParaRPr lang="lv-LV"/>
          </a:p>
        </c:txPr>
        <c:crossAx val="84092800"/>
        <c:crosses val="autoZero"/>
        <c:auto val="1"/>
        <c:lblAlgn val="ctr"/>
        <c:lblOffset val="100"/>
        <c:noMultiLvlLbl val="0"/>
      </c:catAx>
      <c:valAx>
        <c:axId val="84092800"/>
        <c:scaling>
          <c:orientation val="minMax"/>
        </c:scaling>
        <c:delete val="0"/>
        <c:axPos val="l"/>
        <c:majorGridlines/>
        <c:title>
          <c:tx>
            <c:rich>
              <a:bodyPr rot="-5400000" vert="horz"/>
              <a:lstStyle/>
              <a:p>
                <a:pPr>
                  <a:defRPr sz="1100"/>
                </a:pPr>
                <a:r>
                  <a:rPr lang="lv-LV" sz="1100"/>
                  <a:t>EUR/MWh</a:t>
                </a:r>
              </a:p>
            </c:rich>
          </c:tx>
          <c:layout>
            <c:manualLayout>
              <c:xMode val="edge"/>
              <c:yMode val="edge"/>
              <c:x val="1.7520793871309093E-3"/>
              <c:y val="0.29320204573193775"/>
            </c:manualLayout>
          </c:layout>
          <c:overlay val="0"/>
        </c:title>
        <c:numFmt formatCode="#,##0" sourceLinked="0"/>
        <c:majorTickMark val="out"/>
        <c:minorTickMark val="none"/>
        <c:tickLblPos val="nextTo"/>
        <c:spPr>
          <a:ln>
            <a:solidFill>
              <a:schemeClr val="bg1">
                <a:lumMod val="50000"/>
              </a:schemeClr>
            </a:solidFill>
          </a:ln>
        </c:spPr>
        <c:txPr>
          <a:bodyPr/>
          <a:lstStyle/>
          <a:p>
            <a:pPr>
              <a:defRPr sz="1100"/>
            </a:pPr>
            <a:endParaRPr lang="lv-LV"/>
          </a:p>
        </c:txPr>
        <c:crossAx val="83922304"/>
        <c:crosses val="autoZero"/>
        <c:crossBetween val="between"/>
      </c:valAx>
      <c:spPr>
        <a:ln>
          <a:solidFill>
            <a:schemeClr val="bg1">
              <a:lumMod val="50000"/>
            </a:schemeClr>
          </a:solid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c:spPr>
          <c:invertIfNegative val="0"/>
          <c:dPt>
            <c:idx val="8"/>
            <c:invertIfNegative val="0"/>
            <c:bubble3D val="0"/>
            <c:spPr>
              <a:solidFill>
                <a:srgbClr val="0000FF"/>
              </a:solidFill>
            </c:spPr>
          </c:dPt>
          <c:dPt>
            <c:idx val="13"/>
            <c:invertIfNegative val="0"/>
            <c:bubble3D val="0"/>
            <c:spPr>
              <a:solidFill>
                <a:srgbClr val="990000"/>
              </a:solidFill>
            </c:spPr>
          </c:dPt>
          <c:dLbls>
            <c:numFmt formatCode="#,##0.0" sourceLinked="0"/>
            <c:txPr>
              <a:bodyPr rot="-5400000" vert="horz"/>
              <a:lstStyle/>
              <a:p>
                <a:pPr>
                  <a:defRPr sz="900" b="1"/>
                </a:pPr>
                <a:endParaRPr lang="lv-LV"/>
              </a:p>
            </c:txPr>
            <c:showLegendKey val="0"/>
            <c:showVal val="1"/>
            <c:showCatName val="0"/>
            <c:showSerName val="0"/>
            <c:showPercent val="0"/>
            <c:showBubbleSize val="0"/>
            <c:showLeaderLines val="0"/>
          </c:dLbls>
          <c:cat>
            <c:strRef>
              <c:f>elektr_rupn!$R$17:$R$45</c:f>
              <c:strCache>
                <c:ptCount val="29"/>
                <c:pt idx="0">
                  <c:v>Denmark</c:v>
                </c:pt>
                <c:pt idx="1">
                  <c:v>Cyprus</c:v>
                </c:pt>
                <c:pt idx="2">
                  <c:v>Italy</c:v>
                </c:pt>
                <c:pt idx="3">
                  <c:v>Germany</c:v>
                </c:pt>
                <c:pt idx="4">
                  <c:v>Malta</c:v>
                </c:pt>
                <c:pt idx="5">
                  <c:v>Ireland</c:v>
                </c:pt>
                <c:pt idx="6">
                  <c:v>Slovakia</c:v>
                </c:pt>
                <c:pt idx="7">
                  <c:v>Lithuania</c:v>
                </c:pt>
                <c:pt idx="8">
                  <c:v>EU (28 countries)</c:v>
                </c:pt>
                <c:pt idx="9">
                  <c:v>Spain</c:v>
                </c:pt>
                <c:pt idx="10">
                  <c:v>United Kingdom</c:v>
                </c:pt>
                <c:pt idx="11">
                  <c:v>Greece</c:v>
                </c:pt>
                <c:pt idx="12">
                  <c:v>Portugal</c:v>
                </c:pt>
                <c:pt idx="13">
                  <c:v>Latvia</c:v>
                </c:pt>
                <c:pt idx="14">
                  <c:v>Austria</c:v>
                </c:pt>
                <c:pt idx="15">
                  <c:v>Belgium</c:v>
                </c:pt>
                <c:pt idx="16">
                  <c:v>Hungary</c:v>
                </c:pt>
                <c:pt idx="17">
                  <c:v>Czech Republic</c:v>
                </c:pt>
                <c:pt idx="18">
                  <c:v>Romania</c:v>
                </c:pt>
                <c:pt idx="19">
                  <c:v>Croatia</c:v>
                </c:pt>
                <c:pt idx="20">
                  <c:v>Estonia</c:v>
                </c:pt>
                <c:pt idx="21">
                  <c:v>Slovenia</c:v>
                </c:pt>
                <c:pt idx="22">
                  <c:v>Netherlands</c:v>
                </c:pt>
                <c:pt idx="23">
                  <c:v>Poland</c:v>
                </c:pt>
                <c:pt idx="24">
                  <c:v>Luxembourg</c:v>
                </c:pt>
                <c:pt idx="25">
                  <c:v>France</c:v>
                </c:pt>
                <c:pt idx="26">
                  <c:v>Sweden</c:v>
                </c:pt>
                <c:pt idx="27">
                  <c:v>Finland</c:v>
                </c:pt>
                <c:pt idx="28">
                  <c:v>Bulgaria</c:v>
                </c:pt>
              </c:strCache>
            </c:strRef>
          </c:cat>
          <c:val>
            <c:numRef>
              <c:f>elektr_rupn!$T$17:$T$45</c:f>
              <c:numCache>
                <c:formatCode>General</c:formatCode>
                <c:ptCount val="29"/>
                <c:pt idx="0">
                  <c:v>246.29999999999998</c:v>
                </c:pt>
                <c:pt idx="1">
                  <c:v>236.7</c:v>
                </c:pt>
                <c:pt idx="2">
                  <c:v>199.5</c:v>
                </c:pt>
                <c:pt idx="3">
                  <c:v>190.20000000000002</c:v>
                </c:pt>
                <c:pt idx="4">
                  <c:v>189</c:v>
                </c:pt>
                <c:pt idx="5">
                  <c:v>154.1</c:v>
                </c:pt>
                <c:pt idx="6">
                  <c:v>152.29999999999998</c:v>
                </c:pt>
                <c:pt idx="7">
                  <c:v>148.5</c:v>
                </c:pt>
                <c:pt idx="8">
                  <c:v>147.10000000000002</c:v>
                </c:pt>
                <c:pt idx="9">
                  <c:v>145.4</c:v>
                </c:pt>
                <c:pt idx="10">
                  <c:v>143.6</c:v>
                </c:pt>
                <c:pt idx="11">
                  <c:v>140</c:v>
                </c:pt>
                <c:pt idx="12">
                  <c:v>139.69999999999999</c:v>
                </c:pt>
                <c:pt idx="13">
                  <c:v>139.4</c:v>
                </c:pt>
                <c:pt idx="14">
                  <c:v>132.70000000000002</c:v>
                </c:pt>
                <c:pt idx="15">
                  <c:v>132.5</c:v>
                </c:pt>
                <c:pt idx="16">
                  <c:v>122.89999999999999</c:v>
                </c:pt>
                <c:pt idx="17">
                  <c:v>119.8</c:v>
                </c:pt>
                <c:pt idx="18">
                  <c:v>118.5</c:v>
                </c:pt>
                <c:pt idx="19">
                  <c:v>118</c:v>
                </c:pt>
                <c:pt idx="20">
                  <c:v>116.4</c:v>
                </c:pt>
                <c:pt idx="21">
                  <c:v>115.3</c:v>
                </c:pt>
                <c:pt idx="22">
                  <c:v>113.8</c:v>
                </c:pt>
                <c:pt idx="23">
                  <c:v>107.89999999999999</c:v>
                </c:pt>
                <c:pt idx="24">
                  <c:v>106.30000000000001</c:v>
                </c:pt>
                <c:pt idx="25">
                  <c:v>101.9</c:v>
                </c:pt>
                <c:pt idx="26">
                  <c:v>93.399999999999991</c:v>
                </c:pt>
                <c:pt idx="27">
                  <c:v>92.899999999999991</c:v>
                </c:pt>
                <c:pt idx="28">
                  <c:v>87.1</c:v>
                </c:pt>
              </c:numCache>
            </c:numRef>
          </c:val>
        </c:ser>
        <c:dLbls>
          <c:showLegendKey val="0"/>
          <c:showVal val="0"/>
          <c:showCatName val="0"/>
          <c:showSerName val="0"/>
          <c:showPercent val="0"/>
          <c:showBubbleSize val="0"/>
        </c:dLbls>
        <c:gapWidth val="50"/>
        <c:axId val="83682816"/>
        <c:axId val="83684352"/>
      </c:barChart>
      <c:catAx>
        <c:axId val="83682816"/>
        <c:scaling>
          <c:orientation val="minMax"/>
        </c:scaling>
        <c:delete val="0"/>
        <c:axPos val="b"/>
        <c:majorTickMark val="out"/>
        <c:minorTickMark val="none"/>
        <c:tickLblPos val="nextTo"/>
        <c:txPr>
          <a:bodyPr rot="-5400000" vert="horz"/>
          <a:lstStyle/>
          <a:p>
            <a:pPr>
              <a:defRPr sz="1050"/>
            </a:pPr>
            <a:endParaRPr lang="lv-LV"/>
          </a:p>
        </c:txPr>
        <c:crossAx val="83684352"/>
        <c:crosses val="autoZero"/>
        <c:auto val="1"/>
        <c:lblAlgn val="ctr"/>
        <c:lblOffset val="100"/>
        <c:noMultiLvlLbl val="0"/>
      </c:catAx>
      <c:valAx>
        <c:axId val="83684352"/>
        <c:scaling>
          <c:orientation val="minMax"/>
        </c:scaling>
        <c:delete val="0"/>
        <c:axPos val="l"/>
        <c:majorGridlines/>
        <c:title>
          <c:tx>
            <c:rich>
              <a:bodyPr rot="-5400000" vert="horz"/>
              <a:lstStyle/>
              <a:p>
                <a:pPr>
                  <a:defRPr sz="1100"/>
                </a:pPr>
                <a:r>
                  <a:rPr lang="lv-LV" sz="1100"/>
                  <a:t>EUR/MWh</a:t>
                </a:r>
              </a:p>
            </c:rich>
          </c:tx>
          <c:layout>
            <c:manualLayout>
              <c:xMode val="edge"/>
              <c:yMode val="edge"/>
              <c:x val="1.752079387130908E-3"/>
              <c:y val="0.29320204573193775"/>
            </c:manualLayout>
          </c:layout>
          <c:overlay val="0"/>
        </c:title>
        <c:numFmt formatCode="#,##0" sourceLinked="0"/>
        <c:majorTickMark val="out"/>
        <c:minorTickMark val="none"/>
        <c:tickLblPos val="nextTo"/>
        <c:spPr>
          <a:ln>
            <a:solidFill>
              <a:schemeClr val="bg1">
                <a:lumMod val="50000"/>
              </a:schemeClr>
            </a:solidFill>
          </a:ln>
        </c:spPr>
        <c:txPr>
          <a:bodyPr/>
          <a:lstStyle/>
          <a:p>
            <a:pPr>
              <a:defRPr sz="1100"/>
            </a:pPr>
            <a:endParaRPr lang="lv-LV"/>
          </a:p>
        </c:txPr>
        <c:crossAx val="83682816"/>
        <c:crosses val="autoZero"/>
        <c:crossBetween val="between"/>
      </c:valAx>
      <c:spPr>
        <a:ln>
          <a:solidFill>
            <a:schemeClr val="bg1">
              <a:lumMod val="50000"/>
            </a:schemeClr>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[nrg_pc_205.xls]Data!$B$12</c:f>
              <c:strCache>
                <c:ptCount val="1"/>
                <c:pt idx="0">
                  <c:v>Band IE : 20 000 MWh &lt; Consumption &lt; 70 000 MWh</c:v>
                </c:pt>
              </c:strCache>
            </c:strRef>
          </c:tx>
          <c:spPr>
            <a:solidFill>
              <a:schemeClr val="accent1"/>
            </a:solidFill>
            <a:ln>
              <a:noFill/>
            </a:ln>
            <a:effectLst/>
          </c:spPr>
          <c:invertIfNegative val="0"/>
          <c:cat>
            <c:strRef>
              <c:f>[nrg_pc_205.xls]Data!$A$13:$A$40</c:f>
              <c:strCache>
                <c:ptCount val="28"/>
                <c:pt idx="0">
                  <c:v>Lithuania</c:v>
                </c:pt>
                <c:pt idx="1">
                  <c:v>Czech Republic</c:v>
                </c:pt>
                <c:pt idx="2">
                  <c:v>UK</c:v>
                </c:pt>
                <c:pt idx="3">
                  <c:v>Ireland</c:v>
                </c:pt>
                <c:pt idx="4">
                  <c:v>Slovakia</c:v>
                </c:pt>
                <c:pt idx="5">
                  <c:v>Italy</c:v>
                </c:pt>
                <c:pt idx="6">
                  <c:v>Latvia</c:v>
                </c:pt>
                <c:pt idx="7">
                  <c:v>Denmark</c:v>
                </c:pt>
                <c:pt idx="8">
                  <c:v>Portugal</c:v>
                </c:pt>
                <c:pt idx="9">
                  <c:v>Spain</c:v>
                </c:pt>
                <c:pt idx="10">
                  <c:v>Poland</c:v>
                </c:pt>
                <c:pt idx="11">
                  <c:v>Netherlands</c:v>
                </c:pt>
                <c:pt idx="12">
                  <c:v>Hungary</c:v>
                </c:pt>
                <c:pt idx="13">
                  <c:v>Euro area</c:v>
                </c:pt>
                <c:pt idx="14">
                  <c:v>Belgium</c:v>
                </c:pt>
                <c:pt idx="15">
                  <c:v>Austria</c:v>
                </c:pt>
                <c:pt idx="16">
                  <c:v>Estonia</c:v>
                </c:pt>
                <c:pt idx="17">
                  <c:v>Germany</c:v>
                </c:pt>
                <c:pt idx="18">
                  <c:v>Slovenia</c:v>
                </c:pt>
                <c:pt idx="19">
                  <c:v>Luxembourg</c:v>
                </c:pt>
                <c:pt idx="20">
                  <c:v>Romania</c:v>
                </c:pt>
                <c:pt idx="21">
                  <c:v>Croatia</c:v>
                </c:pt>
                <c:pt idx="22">
                  <c:v>Bulgaria</c:v>
                </c:pt>
                <c:pt idx="23">
                  <c:v>Greece</c:v>
                </c:pt>
                <c:pt idx="24">
                  <c:v>France</c:v>
                </c:pt>
                <c:pt idx="25">
                  <c:v>Finland</c:v>
                </c:pt>
                <c:pt idx="26">
                  <c:v>Sweden</c:v>
                </c:pt>
                <c:pt idx="27">
                  <c:v>Norway</c:v>
                </c:pt>
              </c:strCache>
            </c:strRef>
          </c:cat>
          <c:val>
            <c:numRef>
              <c:f>[nrg_pc_205.xls]Data!$B$13:$B$40</c:f>
              <c:numCache>
                <c:formatCode>#\ ##0.0000</c:formatCode>
                <c:ptCount val="28"/>
                <c:pt idx="0">
                  <c:v>0.1162</c:v>
                </c:pt>
                <c:pt idx="1">
                  <c:v>9.2399999999999996E-2</c:v>
                </c:pt>
                <c:pt idx="2">
                  <c:v>9.9400000000000002E-2</c:v>
                </c:pt>
                <c:pt idx="3">
                  <c:v>0.107</c:v>
                </c:pt>
                <c:pt idx="4">
                  <c:v>0.106</c:v>
                </c:pt>
                <c:pt idx="5">
                  <c:v>0.10100000000000001</c:v>
                </c:pt>
                <c:pt idx="6">
                  <c:v>9.7699999999999995E-2</c:v>
                </c:pt>
                <c:pt idx="7">
                  <c:v>7.6999999999999999E-2</c:v>
                </c:pt>
                <c:pt idx="8">
                  <c:v>8.0199999999999994E-2</c:v>
                </c:pt>
                <c:pt idx="9">
                  <c:v>8.3500000000000005E-2</c:v>
                </c:pt>
                <c:pt idx="10">
                  <c:v>7.5800000000000006E-2</c:v>
                </c:pt>
                <c:pt idx="11">
                  <c:v>7.1199999999999999E-2</c:v>
                </c:pt>
                <c:pt idx="12">
                  <c:v>9.6500000000000002E-2</c:v>
                </c:pt>
                <c:pt idx="13">
                  <c:v>7.5300000000000006E-2</c:v>
                </c:pt>
                <c:pt idx="14">
                  <c:v>7.0599999999999996E-2</c:v>
                </c:pt>
                <c:pt idx="15">
                  <c:v>7.0800000000000002E-2</c:v>
                </c:pt>
                <c:pt idx="16">
                  <c:v>6.0900000000000003E-2</c:v>
                </c:pt>
                <c:pt idx="17">
                  <c:v>7.1099999999999997E-2</c:v>
                </c:pt>
                <c:pt idx="18">
                  <c:v>7.1300000000000002E-2</c:v>
                </c:pt>
                <c:pt idx="19">
                  <c:v>6.3399999999999998E-2</c:v>
                </c:pt>
                <c:pt idx="20">
                  <c:v>6.7199999999999996E-2</c:v>
                </c:pt>
                <c:pt idx="21">
                  <c:v>5.9400000000000001E-2</c:v>
                </c:pt>
                <c:pt idx="22">
                  <c:v>6.13E-2</c:v>
                </c:pt>
                <c:pt idx="23">
                  <c:v>7.7299999999999994E-2</c:v>
                </c:pt>
                <c:pt idx="24">
                  <c:v>5.7000000000000002E-2</c:v>
                </c:pt>
                <c:pt idx="25">
                  <c:v>5.2900000000000003E-2</c:v>
                </c:pt>
                <c:pt idx="26">
                  <c:v>5.7700000000000001E-2</c:v>
                </c:pt>
                <c:pt idx="27">
                  <c:v>4.3900000000000002E-2</c:v>
                </c:pt>
              </c:numCache>
            </c:numRef>
          </c:val>
        </c:ser>
        <c:ser>
          <c:idx val="1"/>
          <c:order val="1"/>
          <c:tx>
            <c:strRef>
              <c:f>[nrg_pc_205.xls]Data!$C$12</c:f>
              <c:strCache>
                <c:ptCount val="1"/>
                <c:pt idx="0">
                  <c:v>Band IF : 70 000 MWh &lt; Consumption &lt; 150 000 MWh</c:v>
                </c:pt>
              </c:strCache>
            </c:strRef>
          </c:tx>
          <c:spPr>
            <a:solidFill>
              <a:schemeClr val="accent2"/>
            </a:solidFill>
            <a:ln>
              <a:noFill/>
            </a:ln>
            <a:effectLst/>
          </c:spPr>
          <c:invertIfNegative val="0"/>
          <c:cat>
            <c:strRef>
              <c:f>[nrg_pc_205.xls]Data!$A$13:$A$40</c:f>
              <c:strCache>
                <c:ptCount val="28"/>
                <c:pt idx="0">
                  <c:v>Lithuania</c:v>
                </c:pt>
                <c:pt idx="1">
                  <c:v>Czech Republic</c:v>
                </c:pt>
                <c:pt idx="2">
                  <c:v>UK</c:v>
                </c:pt>
                <c:pt idx="3">
                  <c:v>Ireland</c:v>
                </c:pt>
                <c:pt idx="4">
                  <c:v>Slovakia</c:v>
                </c:pt>
                <c:pt idx="5">
                  <c:v>Italy</c:v>
                </c:pt>
                <c:pt idx="6">
                  <c:v>Latvia</c:v>
                </c:pt>
                <c:pt idx="7">
                  <c:v>Denmark</c:v>
                </c:pt>
                <c:pt idx="8">
                  <c:v>Portugal</c:v>
                </c:pt>
                <c:pt idx="9">
                  <c:v>Spain</c:v>
                </c:pt>
                <c:pt idx="10">
                  <c:v>Poland</c:v>
                </c:pt>
                <c:pt idx="11">
                  <c:v>Netherlands</c:v>
                </c:pt>
                <c:pt idx="12">
                  <c:v>Hungary</c:v>
                </c:pt>
                <c:pt idx="13">
                  <c:v>Euro area</c:v>
                </c:pt>
                <c:pt idx="14">
                  <c:v>Belgium</c:v>
                </c:pt>
                <c:pt idx="15">
                  <c:v>Austria</c:v>
                </c:pt>
                <c:pt idx="16">
                  <c:v>Estonia</c:v>
                </c:pt>
                <c:pt idx="17">
                  <c:v>Germany</c:v>
                </c:pt>
                <c:pt idx="18">
                  <c:v>Slovenia</c:v>
                </c:pt>
                <c:pt idx="19">
                  <c:v>Luxembourg</c:v>
                </c:pt>
                <c:pt idx="20">
                  <c:v>Romania</c:v>
                </c:pt>
                <c:pt idx="21">
                  <c:v>Croatia</c:v>
                </c:pt>
                <c:pt idx="22">
                  <c:v>Bulgaria</c:v>
                </c:pt>
                <c:pt idx="23">
                  <c:v>Greece</c:v>
                </c:pt>
                <c:pt idx="24">
                  <c:v>France</c:v>
                </c:pt>
                <c:pt idx="25">
                  <c:v>Finland</c:v>
                </c:pt>
                <c:pt idx="26">
                  <c:v>Sweden</c:v>
                </c:pt>
                <c:pt idx="27">
                  <c:v>Norway</c:v>
                </c:pt>
              </c:strCache>
            </c:strRef>
          </c:cat>
          <c:val>
            <c:numRef>
              <c:f>[nrg_pc_205.xls]Data!$C$13:$C$40</c:f>
              <c:numCache>
                <c:formatCode>#\ ##0.0000</c:formatCode>
                <c:ptCount val="28"/>
                <c:pt idx="0">
                  <c:v>0.1162</c:v>
                </c:pt>
                <c:pt idx="1">
                  <c:v>9.8799999999999999E-2</c:v>
                </c:pt>
                <c:pt idx="2">
                  <c:v>9.74E-2</c:v>
                </c:pt>
                <c:pt idx="3">
                  <c:v>9.5799999999999996E-2</c:v>
                </c:pt>
                <c:pt idx="4">
                  <c:v>9.2200000000000004E-2</c:v>
                </c:pt>
                <c:pt idx="5">
                  <c:v>9.1300000000000006E-2</c:v>
                </c:pt>
                <c:pt idx="6">
                  <c:v>8.1699999999999995E-2</c:v>
                </c:pt>
                <c:pt idx="7">
                  <c:v>7.6999999999999999E-2</c:v>
                </c:pt>
                <c:pt idx="8">
                  <c:v>7.5399999999999995E-2</c:v>
                </c:pt>
                <c:pt idx="9">
                  <c:v>7.3300000000000004E-2</c:v>
                </c:pt>
                <c:pt idx="10">
                  <c:v>7.1999999999999995E-2</c:v>
                </c:pt>
                <c:pt idx="11">
                  <c:v>7.0300000000000001E-2</c:v>
                </c:pt>
                <c:pt idx="12">
                  <c:v>6.9900000000000004E-2</c:v>
                </c:pt>
                <c:pt idx="13">
                  <c:v>6.88E-2</c:v>
                </c:pt>
                <c:pt idx="14">
                  <c:v>6.8099999999999994E-2</c:v>
                </c:pt>
                <c:pt idx="15">
                  <c:v>6.4500000000000002E-2</c:v>
                </c:pt>
                <c:pt idx="16">
                  <c:v>6.4399999999999999E-2</c:v>
                </c:pt>
                <c:pt idx="17">
                  <c:v>6.4199999999999993E-2</c:v>
                </c:pt>
                <c:pt idx="18">
                  <c:v>6.3500000000000001E-2</c:v>
                </c:pt>
                <c:pt idx="19">
                  <c:v>6.3399999999999998E-2</c:v>
                </c:pt>
                <c:pt idx="20">
                  <c:v>6.1499999999999999E-2</c:v>
                </c:pt>
                <c:pt idx="21">
                  <c:v>5.96E-2</c:v>
                </c:pt>
                <c:pt idx="22">
                  <c:v>5.8599999999999999E-2</c:v>
                </c:pt>
                <c:pt idx="23">
                  <c:v>5.6899999999999999E-2</c:v>
                </c:pt>
                <c:pt idx="24">
                  <c:v>5.4699999999999999E-2</c:v>
                </c:pt>
                <c:pt idx="25">
                  <c:v>5.16E-2</c:v>
                </c:pt>
                <c:pt idx="26">
                  <c:v>4.8500000000000001E-2</c:v>
                </c:pt>
                <c:pt idx="27">
                  <c:v>3.5799999999999998E-2</c:v>
                </c:pt>
              </c:numCache>
            </c:numRef>
          </c:val>
        </c:ser>
        <c:dLbls>
          <c:showLegendKey val="0"/>
          <c:showVal val="0"/>
          <c:showCatName val="0"/>
          <c:showSerName val="0"/>
          <c:showPercent val="0"/>
          <c:showBubbleSize val="0"/>
        </c:dLbls>
        <c:gapWidth val="219"/>
        <c:overlap val="-27"/>
        <c:axId val="83836288"/>
        <c:axId val="83846272"/>
      </c:barChart>
      <c:catAx>
        <c:axId val="8383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83846272"/>
        <c:crosses val="autoZero"/>
        <c:auto val="1"/>
        <c:lblAlgn val="ctr"/>
        <c:lblOffset val="100"/>
        <c:noMultiLvlLbl val="0"/>
      </c:catAx>
      <c:valAx>
        <c:axId val="83846272"/>
        <c:scaling>
          <c:orientation val="minMax"/>
        </c:scaling>
        <c:delete val="0"/>
        <c:axPos val="l"/>
        <c:majorGridlines>
          <c:spPr>
            <a:ln w="9525" cap="flat" cmpd="sng" algn="ctr">
              <a:solidFill>
                <a:schemeClr val="tx1">
                  <a:lumMod val="15000"/>
                  <a:lumOff val="85000"/>
                </a:schemeClr>
              </a:solidFill>
              <a:round/>
            </a:ln>
            <a:effectLst/>
          </c:spPr>
        </c:majorGridlines>
        <c:numFmt formatCode="#\ ##0.00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83836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400" b="0" i="0" baseline="0">
                <a:effectLst/>
              </a:rPr>
              <a:t>Preču un pakalpojumu nozaru eksporta vērtības palielināšanas potenciāls milj.LVL </a:t>
            </a:r>
            <a:endParaRPr lang="lv-LV" sz="1400">
              <a:effectLst/>
            </a:endParaRPr>
          </a:p>
        </c:rich>
      </c:tx>
      <c:overlay val="0"/>
      <c:spPr>
        <a:noFill/>
        <a:ln>
          <a:noFill/>
        </a:ln>
        <a:effectLst/>
      </c:spPr>
    </c:title>
    <c:autoTitleDeleted val="0"/>
    <c:plotArea>
      <c:layout/>
      <c:bubbleChart>
        <c:varyColors val="0"/>
        <c:ser>
          <c:idx val="1"/>
          <c:order val="0"/>
          <c:tx>
            <c:strRef>
              <c:f>Bubles!$B$6</c:f>
              <c:strCache>
                <c:ptCount val="1"/>
                <c:pt idx="0">
                  <c:v>Pārtikas rūpniecība</c:v>
                </c:pt>
              </c:strCache>
            </c:strRef>
          </c:tx>
          <c:spPr>
            <a:solidFill>
              <a:schemeClr val="accent2">
                <a:alpha val="75000"/>
              </a:schemeClr>
            </a:solidFill>
            <a:ln w="25400">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Bubles!$C$6</c:f>
              <c:numCache>
                <c:formatCode>0.0</c:formatCode>
                <c:ptCount val="1"/>
                <c:pt idx="0">
                  <c:v>1423.1</c:v>
                </c:pt>
              </c:numCache>
            </c:numRef>
          </c:xVal>
          <c:yVal>
            <c:numRef>
              <c:f>Bubles!$D$6</c:f>
              <c:numCache>
                <c:formatCode>General</c:formatCode>
                <c:ptCount val="1"/>
                <c:pt idx="0">
                  <c:v>221.7</c:v>
                </c:pt>
              </c:numCache>
            </c:numRef>
          </c:yVal>
          <c:bubbleSize>
            <c:numRef>
              <c:f>Bubles!$E$6</c:f>
              <c:numCache>
                <c:formatCode>General</c:formatCode>
                <c:ptCount val="1"/>
                <c:pt idx="0">
                  <c:v>366.7</c:v>
                </c:pt>
              </c:numCache>
            </c:numRef>
          </c:bubbleSize>
          <c:bubble3D val="0"/>
        </c:ser>
        <c:ser>
          <c:idx val="2"/>
          <c:order val="1"/>
          <c:tx>
            <c:v>Ķīmijas rūpniecība</c:v>
          </c:tx>
          <c:spPr>
            <a:solidFill>
              <a:schemeClr val="accent3">
                <a:alpha val="75000"/>
              </a:schemeClr>
            </a:solidFill>
            <a:ln w="25400">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Bubles!$C$7</c:f>
              <c:numCache>
                <c:formatCode>0.0</c:formatCode>
                <c:ptCount val="1"/>
                <c:pt idx="0">
                  <c:v>658.2</c:v>
                </c:pt>
              </c:numCache>
            </c:numRef>
          </c:xVal>
          <c:yVal>
            <c:numRef>
              <c:f>Bubles!$D$7</c:f>
              <c:numCache>
                <c:formatCode>General</c:formatCode>
                <c:ptCount val="1"/>
                <c:pt idx="0">
                  <c:v>36.099999999999994</c:v>
                </c:pt>
              </c:numCache>
            </c:numRef>
          </c:yVal>
          <c:bubbleSize>
            <c:numRef>
              <c:f>Bubles!$E$7</c:f>
              <c:numCache>
                <c:formatCode>General</c:formatCode>
                <c:ptCount val="1"/>
                <c:pt idx="0">
                  <c:v>209.29999999999998</c:v>
                </c:pt>
              </c:numCache>
            </c:numRef>
          </c:bubbleSize>
          <c:bubble3D val="0"/>
        </c:ser>
        <c:ser>
          <c:idx val="3"/>
          <c:order val="2"/>
          <c:tx>
            <c:v>Kokrūpniecība,mēbeles</c:v>
          </c:tx>
          <c:spPr>
            <a:solidFill>
              <a:schemeClr val="accent4">
                <a:alpha val="75000"/>
              </a:schemeClr>
            </a:solidFill>
            <a:ln w="25400">
              <a:noFill/>
            </a:ln>
            <a:effectLst/>
          </c:spPr>
          <c:invertIfNegative val="0"/>
          <c:dLbls>
            <c:dLbl>
              <c:idx val="0"/>
              <c:layout>
                <c:manualLayout>
                  <c:x val="-0.16269928284148213"/>
                  <c:y val="-1.2516248264422686E-2"/>
                </c:manualLayout>
              </c:layout>
              <c:dLblPos val="r"/>
              <c:showLegendKey val="0"/>
              <c:showVal val="0"/>
              <c:showCatName val="0"/>
              <c:showSerName val="0"/>
              <c:showPercent val="0"/>
              <c:showBubbleSize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Bubles!$C$8</c:f>
              <c:numCache>
                <c:formatCode>0.0</c:formatCode>
                <c:ptCount val="1"/>
                <c:pt idx="0">
                  <c:v>1261.0999999999999</c:v>
                </c:pt>
              </c:numCache>
            </c:numRef>
          </c:xVal>
          <c:yVal>
            <c:numRef>
              <c:f>Bubles!$D$8</c:f>
              <c:numCache>
                <c:formatCode>General</c:formatCode>
                <c:ptCount val="1"/>
                <c:pt idx="0">
                  <c:v>231.59999999999997</c:v>
                </c:pt>
              </c:numCache>
            </c:numRef>
          </c:yVal>
          <c:bubbleSize>
            <c:numRef>
              <c:f>Bubles!$E$8</c:f>
              <c:numCache>
                <c:formatCode>General</c:formatCode>
                <c:ptCount val="1"/>
                <c:pt idx="0">
                  <c:v>716.09999999999991</c:v>
                </c:pt>
              </c:numCache>
            </c:numRef>
          </c:bubbleSize>
          <c:bubble3D val="0"/>
        </c:ser>
        <c:ser>
          <c:idx val="4"/>
          <c:order val="3"/>
          <c:tx>
            <c:v>Vieglā rūpniecība</c:v>
          </c:tx>
          <c:spPr>
            <a:solidFill>
              <a:schemeClr val="accent5">
                <a:alpha val="75000"/>
              </a:schemeClr>
            </a:solidFill>
            <a:ln w="25400">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Bubles!$C$9</c:f>
              <c:numCache>
                <c:formatCode>0.0</c:formatCode>
                <c:ptCount val="1"/>
                <c:pt idx="0">
                  <c:v>325</c:v>
                </c:pt>
              </c:numCache>
            </c:numRef>
          </c:xVal>
          <c:yVal>
            <c:numRef>
              <c:f>Bubles!$D$9</c:f>
              <c:numCache>
                <c:formatCode>General</c:formatCode>
                <c:ptCount val="1"/>
                <c:pt idx="0">
                  <c:v>26.700000000000003</c:v>
                </c:pt>
              </c:numCache>
            </c:numRef>
          </c:yVal>
          <c:bubbleSize>
            <c:numRef>
              <c:f>Bubles!$E$9</c:f>
              <c:numCache>
                <c:formatCode>General</c:formatCode>
                <c:ptCount val="1"/>
                <c:pt idx="0">
                  <c:v>78.399999999999991</c:v>
                </c:pt>
              </c:numCache>
            </c:numRef>
          </c:bubbleSize>
          <c:bubble3D val="0"/>
        </c:ser>
        <c:ser>
          <c:idx val="5"/>
          <c:order val="4"/>
          <c:tx>
            <c:v>Būvmateriālu ražošana</c:v>
          </c:tx>
          <c:spPr>
            <a:solidFill>
              <a:schemeClr val="accent6">
                <a:alpha val="75000"/>
              </a:schemeClr>
            </a:solidFill>
            <a:ln w="25400">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Bubles!$C$10</c:f>
              <c:numCache>
                <c:formatCode>0.0</c:formatCode>
                <c:ptCount val="1"/>
                <c:pt idx="0">
                  <c:v>177.4</c:v>
                </c:pt>
              </c:numCache>
            </c:numRef>
          </c:xVal>
          <c:yVal>
            <c:numRef>
              <c:f>Bubles!$D$10</c:f>
              <c:numCache>
                <c:formatCode>General</c:formatCode>
                <c:ptCount val="1"/>
                <c:pt idx="0">
                  <c:v>378.59999999999997</c:v>
                </c:pt>
              </c:numCache>
            </c:numRef>
          </c:yVal>
          <c:bubbleSize>
            <c:numRef>
              <c:f>Bubles!$E$10</c:f>
              <c:numCache>
                <c:formatCode>General</c:formatCode>
                <c:ptCount val="1"/>
                <c:pt idx="0">
                  <c:v>46.9</c:v>
                </c:pt>
              </c:numCache>
            </c:numRef>
          </c:bubbleSize>
          <c:bubble3D val="0"/>
        </c:ser>
        <c:ser>
          <c:idx val="6"/>
          <c:order val="5"/>
          <c:tx>
            <c:v>Metāli un mašīnbūve</c:v>
          </c:tx>
          <c:spPr>
            <a:solidFill>
              <a:schemeClr val="accent1">
                <a:lumMod val="60000"/>
                <a:alpha val="75000"/>
              </a:schemeClr>
            </a:solidFill>
            <a:ln w="25400">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0"/>
            <c:showCatName val="0"/>
            <c:showSerName val="0"/>
            <c:showPercent val="0"/>
            <c:showBubbleSize val="1"/>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Bubles!$C$11</c:f>
              <c:numCache>
                <c:formatCode>0.0</c:formatCode>
                <c:ptCount val="1"/>
                <c:pt idx="0">
                  <c:v>2135.3564232084</c:v>
                </c:pt>
              </c:numCache>
            </c:numRef>
          </c:xVal>
          <c:yVal>
            <c:numRef>
              <c:f>Bubles!$D$11</c:f>
              <c:numCache>
                <c:formatCode>General</c:formatCode>
                <c:ptCount val="1"/>
                <c:pt idx="0">
                  <c:v>124.89999999999999</c:v>
                </c:pt>
              </c:numCache>
            </c:numRef>
          </c:yVal>
          <c:bubbleSize>
            <c:numRef>
              <c:f>Bubles!$E$11</c:f>
              <c:numCache>
                <c:formatCode>General</c:formatCode>
                <c:ptCount val="1"/>
                <c:pt idx="0">
                  <c:v>471.7</c:v>
                </c:pt>
              </c:numCache>
            </c:numRef>
          </c:bubbleSize>
          <c:bubble3D val="0"/>
        </c:ser>
        <c:dLbls>
          <c:dLblPos val="ctr"/>
          <c:showLegendKey val="0"/>
          <c:showVal val="1"/>
          <c:showCatName val="0"/>
          <c:showSerName val="0"/>
          <c:showPercent val="0"/>
          <c:showBubbleSize val="0"/>
        </c:dLbls>
        <c:bubbleScale val="190"/>
        <c:showNegBubbles val="0"/>
        <c:axId val="83927424"/>
        <c:axId val="83929344"/>
        <c:extLst>
          <c:ext xmlns:c15="http://schemas.microsoft.com/office/drawing/2012/chart" uri="{02D57815-91ED-43cb-92C2-25804820EDAC}">
            <c15:filteredBubbleSeries>
              <c15:ser>
                <c:idx val="7"/>
                <c:order val="6"/>
                <c:tx>
                  <c:v>Tūrisms</c:v>
                </c:tx>
                <c:spPr>
                  <a:solidFill>
                    <a:schemeClr val="accent2">
                      <a:lumMod val="60000"/>
                      <a:alpha val="75000"/>
                    </a:schemeClr>
                  </a:solidFill>
                  <a:ln w="25400">
                    <a:noFill/>
                  </a:ln>
                  <a:effectLst/>
                </c:spPr>
                <c:invertIfNegative val="0"/>
                <c:dLbls>
                  <c:dLbl>
                    <c:idx val="0"/>
                    <c:layout>
                      <c:manualLayout>
                        <c:x val="-5.6869819818318124E-2"/>
                        <c:y val="-1.882353096174409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852F9B7D-CE00-4D95-A80C-7A60C5941D2A}" type="YVALUE">
                            <a:rPr lang="en-US" sz="900"/>
                            <a:pPr>
                              <a:defRPr/>
                            </a:pPr>
                            <a:t>[Y VALUE]</a:t>
                          </a:fld>
                          <a:endParaRPr lang="lv-LV"/>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c:ex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c:ext uri="{02D57815-91ED-43cb-92C2-25804820EDAC}">
                        <c15:formulaRef>
                          <c15:sqref>Bubles!$C$16</c15:sqref>
                        </c15:formulaRef>
                      </c:ext>
                    </c:extLst>
                    <c:numCache>
                      <c:formatCode>General</c:formatCode>
                      <c:ptCount val="1"/>
                      <c:pt idx="0">
                        <c:v>549.34199999999998</c:v>
                      </c:pt>
                    </c:numCache>
                  </c:numRef>
                </c:xVal>
                <c:yVal>
                  <c:numRef>
                    <c:extLst>
                      <c:ext uri="{02D57815-91ED-43cb-92C2-25804820EDAC}">
                        <c15:formulaRef>
                          <c15:sqref>Bubles!$D$16</c15:sqref>
                        </c15:formulaRef>
                      </c:ext>
                    </c:extLst>
                    <c:numCache>
                      <c:formatCode>General</c:formatCode>
                      <c:ptCount val="1"/>
                      <c:pt idx="0">
                        <c:v>45.6</c:v>
                      </c:pt>
                    </c:numCache>
                  </c:numRef>
                </c:yVal>
                <c:bubbleSize>
                  <c:numRef>
                    <c:extLst>
                      <c:ext uri="{02D57815-91ED-43cb-92C2-25804820EDAC}">
                        <c15:formulaRef>
                          <c15:sqref>Bubles!$E$16</c15:sqref>
                        </c15:formulaRef>
                      </c:ext>
                    </c:extLst>
                    <c:numCache>
                      <c:formatCode>#,##0.0</c:formatCode>
                      <c:ptCount val="1"/>
                      <c:pt idx="0">
                        <c:v>65.383451889691841</c:v>
                      </c:pt>
                    </c:numCache>
                  </c:numRef>
                </c:bubbleSize>
                <c:bubble3D val="0"/>
              </c15:ser>
            </c15:filteredBubbleSeries>
            <c15:filteredBubbleSeries>
              <c15:ser>
                <c:idx val="8"/>
                <c:order val="7"/>
                <c:tx>
                  <c:v>IKT</c:v>
                </c:tx>
                <c:spPr>
                  <a:solidFill>
                    <a:schemeClr val="accent3">
                      <a:lumMod val="60000"/>
                      <a:alpha val="75000"/>
                    </a:schemeClr>
                  </a:solidFill>
                  <a:ln w="25400">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97C95275-B96C-46C2-B14B-C338BC773D28}" type="BUBBLESIZE">
                            <a:rPr lang="en-US" sz="900"/>
                            <a:pPr>
                              <a:defRPr/>
                            </a:pPr>
                            <a:t>[BUBBLE SIZE]</a:t>
                          </a:fld>
                          <a:endParaRPr lang="lv-LV"/>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Bubles!$C$17</c15:sqref>
                        </c15:formulaRef>
                      </c:ext>
                    </c:extLst>
                    <c:numCache>
                      <c:formatCode>General</c:formatCode>
                      <c:ptCount val="1"/>
                      <c:pt idx="0">
                        <c:v>185.47399999999999</c:v>
                      </c:pt>
                    </c:numCache>
                  </c:numRef>
                </c:xVal>
                <c:yVal>
                  <c:numRef>
                    <c:extLst xmlns:c15="http://schemas.microsoft.com/office/drawing/2012/chart">
                      <c:ext xmlns:c15="http://schemas.microsoft.com/office/drawing/2012/chart" uri="{02D57815-91ED-43cb-92C2-25804820EDAC}">
                        <c15:formulaRef>
                          <c15:sqref>Bubles!$D$17</c15:sqref>
                        </c15:formulaRef>
                      </c:ext>
                    </c:extLst>
                    <c:numCache>
                      <c:formatCode>General</c:formatCode>
                      <c:ptCount val="1"/>
                      <c:pt idx="0">
                        <c:v>235.19999999999996</c:v>
                      </c:pt>
                    </c:numCache>
                  </c:numRef>
                </c:yVal>
                <c:bubbleSize>
                  <c:numRef>
                    <c:extLst xmlns:c15="http://schemas.microsoft.com/office/drawing/2012/chart">
                      <c:ext xmlns:c15="http://schemas.microsoft.com/office/drawing/2012/chart" uri="{02D57815-91ED-43cb-92C2-25804820EDAC}">
                        <c15:formulaRef>
                          <c15:sqref>Bubles!$E$17</c15:sqref>
                        </c15:formulaRef>
                      </c:ext>
                    </c:extLst>
                    <c:numCache>
                      <c:formatCode>#,##0.0</c:formatCode>
                      <c:ptCount val="1"/>
                      <c:pt idx="0">
                        <c:v>455.47309737525887</c:v>
                      </c:pt>
                    </c:numCache>
                  </c:numRef>
                </c:bubbleSize>
                <c:bubble3D val="0"/>
              </c15:ser>
            </c15:filteredBubbleSeries>
            <c15:filteredBubbleSeries>
              <c15:ser>
                <c:idx val="9"/>
                <c:order val="8"/>
                <c:tx>
                  <c:v>Būvniecība</c:v>
                </c:tx>
                <c:spPr>
                  <a:solidFill>
                    <a:schemeClr val="accent4">
                      <a:lumMod val="60000"/>
                      <a:alpha val="75000"/>
                    </a:schemeClr>
                  </a:solidFill>
                  <a:ln w="25400">
                    <a:noFill/>
                  </a:ln>
                  <a:effectLst/>
                </c:spPr>
                <c:invertIfNegative val="0"/>
                <c:dLbls>
                  <c:dLbl>
                    <c:idx val="0"/>
                    <c:layout>
                      <c:manualLayout>
                        <c:x val="-8.2770634129355231E-2"/>
                        <c:y val="4.6013075684263348E-2"/>
                      </c:manualLayout>
                    </c:layout>
                    <c:tx>
                      <c:rich>
                        <a:bodyPr/>
                        <a:lstStyle/>
                        <a:p>
                          <a:fld id="{59C92769-ED33-4591-B8AE-EB6A8D3ACFF3}" type="BUBBLESIZE">
                            <a:rPr lang="en-US" sz="900"/>
                            <a:pPr/>
                            <a:t>[BUBBLE SIZE]</a:t>
                          </a:fld>
                          <a:endParaRPr lang="lv-LV"/>
                        </a:p>
                      </c:rich>
                    </c:tx>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Bubles!$C$18</c15:sqref>
                        </c15:formulaRef>
                      </c:ext>
                    </c:extLst>
                    <c:numCache>
                      <c:formatCode>General</c:formatCode>
                      <c:ptCount val="1"/>
                      <c:pt idx="0">
                        <c:v>107.60300000000001</c:v>
                      </c:pt>
                    </c:numCache>
                  </c:numRef>
                </c:xVal>
                <c:yVal>
                  <c:numRef>
                    <c:extLst xmlns:c15="http://schemas.microsoft.com/office/drawing/2012/chart">
                      <c:ext xmlns:c15="http://schemas.microsoft.com/office/drawing/2012/chart" uri="{02D57815-91ED-43cb-92C2-25804820EDAC}">
                        <c15:formulaRef>
                          <c15:sqref>Bubles!$D$18</c15:sqref>
                        </c15:formulaRef>
                      </c:ext>
                    </c:extLst>
                    <c:numCache>
                      <c:formatCode>General</c:formatCode>
                      <c:ptCount val="1"/>
                      <c:pt idx="0">
                        <c:v>377.20000000000016</c:v>
                      </c:pt>
                    </c:numCache>
                  </c:numRef>
                </c:yVal>
                <c:bubbleSize>
                  <c:numRef>
                    <c:extLst xmlns:c15="http://schemas.microsoft.com/office/drawing/2012/chart">
                      <c:ext xmlns:c15="http://schemas.microsoft.com/office/drawing/2012/chart" uri="{02D57815-91ED-43cb-92C2-25804820EDAC}">
                        <c15:formulaRef>
                          <c15:sqref>Bubles!$E$18</c15:sqref>
                        </c15:formulaRef>
                      </c:ext>
                    </c:extLst>
                    <c:numCache>
                      <c:formatCode>#,##0.0</c:formatCode>
                      <c:ptCount val="1"/>
                      <c:pt idx="0">
                        <c:v>248.4</c:v>
                      </c:pt>
                    </c:numCache>
                  </c:numRef>
                </c:bubbleSize>
                <c:bubble3D val="0"/>
              </c15:ser>
            </c15:filteredBubbleSeries>
            <c15:filteredBubbleSeries>
              <c15:ser>
                <c:idx val="0"/>
                <c:order val="9"/>
                <c:tx>
                  <c:v>Veselības pakalpojumi</c:v>
                </c:tx>
                <c:spPr>
                  <a:solidFill>
                    <a:schemeClr val="accent1">
                      <a:alpha val="75000"/>
                    </a:schemeClr>
                  </a:solidFill>
                  <a:ln w="25400">
                    <a:noFill/>
                  </a:ln>
                  <a:effectLst/>
                </c:spPr>
                <c:invertIfNegative val="0"/>
                <c:dLbls>
                  <c:dLbl>
                    <c:idx val="0"/>
                    <c:layout>
                      <c:manualLayout>
                        <c:x val="-2.0171353643020522E-2"/>
                        <c:y val="-1.6732027521550306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10AA7862-10CA-4626-A22F-0967A1B7296E}" type="BUBBLESIZE">
                            <a:rPr lang="en-US" sz="900"/>
                            <a:pPr>
                              <a:defRPr/>
                            </a:pPr>
                            <a:t>[BUBBLE SIZE]</a:t>
                          </a:fld>
                          <a:endParaRPr lang="lv-LV"/>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Bubles!$C$20</c15:sqref>
                        </c15:formulaRef>
                      </c:ext>
                    </c:extLst>
                    <c:numCache>
                      <c:formatCode>General</c:formatCode>
                      <c:ptCount val="1"/>
                      <c:pt idx="0">
                        <c:v>2.8319999999999999</c:v>
                      </c:pt>
                    </c:numCache>
                  </c:numRef>
                </c:xVal>
                <c:yVal>
                  <c:numRef>
                    <c:extLst xmlns:c15="http://schemas.microsoft.com/office/drawing/2012/chart">
                      <c:ext xmlns:c15="http://schemas.microsoft.com/office/drawing/2012/chart" uri="{02D57815-91ED-43cb-92C2-25804820EDAC}">
                        <c15:formulaRef>
                          <c15:sqref>Bubles!$D$20</c15:sqref>
                        </c15:formulaRef>
                      </c:ext>
                    </c:extLst>
                    <c:numCache>
                      <c:formatCode>General</c:formatCode>
                      <c:ptCount val="1"/>
                      <c:pt idx="0">
                        <c:v>0.7</c:v>
                      </c:pt>
                    </c:numCache>
                  </c:numRef>
                </c:yVal>
                <c:bubbleSize>
                  <c:numRef>
                    <c:extLst xmlns:c15="http://schemas.microsoft.com/office/drawing/2012/chart">
                      <c:ext xmlns:c15="http://schemas.microsoft.com/office/drawing/2012/chart" uri="{02D57815-91ED-43cb-92C2-25804820EDAC}">
                        <c15:formulaRef>
                          <c15:sqref>Bubles!$E$20</c15:sqref>
                        </c15:formulaRef>
                      </c:ext>
                    </c:extLst>
                    <c:numCache>
                      <c:formatCode>#,##0.0</c:formatCode>
                      <c:ptCount val="1"/>
                      <c:pt idx="0">
                        <c:v>10.529093277167902</c:v>
                      </c:pt>
                    </c:numCache>
                  </c:numRef>
                </c:bubbleSize>
                <c:bubble3D val="0"/>
              </c15:ser>
            </c15:filteredBubbleSeries>
            <c15:filteredBubbleSeries>
              <c15:ser>
                <c:idx val="10"/>
                <c:order val="10"/>
                <c:tx>
                  <c:v>Elektronika, optika, medicīna</c:v>
                </c:tx>
                <c:spPr>
                  <a:solidFill>
                    <a:schemeClr val="accent5">
                      <a:lumMod val="60000"/>
                      <a:alpha val="75000"/>
                    </a:schemeClr>
                  </a:solidFill>
                  <a:ln w="25400">
                    <a:noFill/>
                  </a:ln>
                  <a:effectLst/>
                </c:spPr>
                <c:invertIfNegative val="0"/>
                <c:dLbls>
                  <c:dLbl>
                    <c:idx val="0"/>
                    <c:layout>
                      <c:manualLayout>
                        <c:x val="-6.5720012117717372E-2"/>
                        <c:y val="6.2745103205813658E-3"/>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4CF43F3F-8D53-40A6-A09D-0206C708F890}" type="BUBBLESIZE">
                            <a:rPr lang="en-US" sz="900"/>
                            <a:pPr>
                              <a:defRPr/>
                            </a:pPr>
                            <a:t>[BUBBLE SIZE]</a:t>
                          </a:fld>
                          <a:endParaRPr lang="lv-LV"/>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Bubles!$C$12</c15:sqref>
                        </c15:formulaRef>
                      </c:ext>
                    </c:extLst>
                    <c:numCache>
                      <c:formatCode>0.0</c:formatCode>
                      <c:ptCount val="1"/>
                      <c:pt idx="0">
                        <c:v>525.79999999999995</c:v>
                      </c:pt>
                    </c:numCache>
                  </c:numRef>
                </c:xVal>
                <c:yVal>
                  <c:numRef>
                    <c:extLst xmlns:c15="http://schemas.microsoft.com/office/drawing/2012/chart">
                      <c:ext xmlns:c15="http://schemas.microsoft.com/office/drawing/2012/chart" uri="{02D57815-91ED-43cb-92C2-25804820EDAC}">
                        <c15:formulaRef>
                          <c15:sqref>Bubles!$D$12</c15:sqref>
                        </c15:formulaRef>
                      </c:ext>
                    </c:extLst>
                    <c:numCache>
                      <c:formatCode>General</c:formatCode>
                      <c:ptCount val="1"/>
                      <c:pt idx="0">
                        <c:v>16.899999999999999</c:v>
                      </c:pt>
                    </c:numCache>
                  </c:numRef>
                </c:yVal>
                <c:bubbleSize>
                  <c:numRef>
                    <c:extLst xmlns:c15="http://schemas.microsoft.com/office/drawing/2012/chart">
                      <c:ext xmlns:c15="http://schemas.microsoft.com/office/drawing/2012/chart" uri="{02D57815-91ED-43cb-92C2-25804820EDAC}">
                        <c15:formulaRef>
                          <c15:sqref>Bubles!$E$12</c15:sqref>
                        </c15:formulaRef>
                      </c:ext>
                    </c:extLst>
                    <c:numCache>
                      <c:formatCode>General</c:formatCode>
                      <c:ptCount val="1"/>
                      <c:pt idx="0">
                        <c:v>68.599999999999994</c:v>
                      </c:pt>
                    </c:numCache>
                  </c:numRef>
                </c:bubbleSize>
                <c:bubble3D val="0"/>
              </c15:ser>
            </c15:filteredBubbleSeries>
            <c15:filteredBubbleSeries>
              <c15:ser>
                <c:idx val="11"/>
                <c:order val="11"/>
                <c:tx>
                  <c:v>Elektroenerģija</c:v>
                </c:tx>
                <c:spPr>
                  <a:solidFill>
                    <a:schemeClr val="accent6">
                      <a:lumMod val="60000"/>
                      <a:alpha val="75000"/>
                    </a:schemeClr>
                  </a:solidFill>
                  <a:ln w="25400">
                    <a:noFill/>
                  </a:ln>
                  <a:effectLst/>
                </c:spPr>
                <c:invertIfNegative val="0"/>
                <c:dLbls>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53CFBEA4-D375-4520-B659-C71D02044420}" type="BUBBLESIZE">
                            <a:rPr lang="en-US" sz="900"/>
                            <a:pPr>
                              <a:defRPr/>
                            </a:pPr>
                            <a:t>[BUBBLE SIZE]</a:t>
                          </a:fld>
                          <a:endParaRPr lang="lv-LV"/>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extLst xmlns:c15="http://schemas.microsoft.com/office/drawing/2012/char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c:ext xmlns:c15="http://schemas.microsoft.com/office/drawing/2012/chart" uri="{02D57815-91ED-43cb-92C2-25804820EDAC}">
                        <c15:formulaRef>
                          <c15:sqref>Bubles!$C$13</c15:sqref>
                        </c15:formulaRef>
                      </c:ext>
                    </c:extLst>
                    <c:numCache>
                      <c:formatCode>0.0</c:formatCode>
                      <c:ptCount val="1"/>
                      <c:pt idx="0">
                        <c:v>50.1</c:v>
                      </c:pt>
                    </c:numCache>
                  </c:numRef>
                </c:xVal>
                <c:yVal>
                  <c:numRef>
                    <c:extLst xmlns:c15="http://schemas.microsoft.com/office/drawing/2012/chart">
                      <c:ext xmlns:c15="http://schemas.microsoft.com/office/drawing/2012/chart" uri="{02D57815-91ED-43cb-92C2-25804820EDAC}">
                        <c15:formulaRef>
                          <c15:sqref>Bubles!$D$13</c15:sqref>
                        </c15:formulaRef>
                      </c:ext>
                    </c:extLst>
                    <c:numCache>
                      <c:formatCode>General</c:formatCode>
                      <c:ptCount val="1"/>
                      <c:pt idx="0">
                        <c:v>316.60000000000002</c:v>
                      </c:pt>
                    </c:numCache>
                  </c:numRef>
                </c:yVal>
                <c:bubbleSize>
                  <c:numRef>
                    <c:extLst xmlns:c15="http://schemas.microsoft.com/office/drawing/2012/chart">
                      <c:ext xmlns:c15="http://schemas.microsoft.com/office/drawing/2012/chart" uri="{02D57815-91ED-43cb-92C2-25804820EDAC}">
                        <c15:formulaRef>
                          <c15:sqref>Bubles!$E$13</c15:sqref>
                        </c15:formulaRef>
                      </c:ext>
                    </c:extLst>
                    <c:numCache>
                      <c:formatCode>0.0</c:formatCode>
                      <c:ptCount val="1"/>
                      <c:pt idx="0">
                        <c:v>19.7</c:v>
                      </c:pt>
                    </c:numCache>
                  </c:numRef>
                </c:bubbleSize>
                <c:bubble3D val="0"/>
              </c15:ser>
            </c15:filteredBubbleSeries>
          </c:ext>
        </c:extLst>
      </c:bubbleChart>
      <c:valAx>
        <c:axId val="83927424"/>
        <c:scaling>
          <c:orientation val="minMax"/>
          <c:max val="2500"/>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Eksports, milj LVL</a:t>
                </a:r>
              </a:p>
            </c:rich>
          </c:tx>
          <c:overlay val="0"/>
          <c:spPr>
            <a:noFill/>
            <a:ln>
              <a:noFill/>
            </a:ln>
            <a:effectLst/>
          </c:sp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929344"/>
        <c:crosses val="autoZero"/>
        <c:crossBetween val="midCat"/>
      </c:valAx>
      <c:valAx>
        <c:axId val="83929344"/>
        <c:scaling>
          <c:orientation val="minMax"/>
          <c:max val="45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Ārvalstu tiešās investīcijas, milj. LVL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392742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7592-5E8A-4EC4-8C79-3C23A764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23922</Words>
  <Characters>13636</Characters>
  <Application>Microsoft Office Word</Application>
  <DocSecurity>0</DocSecurity>
  <Lines>113</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Spiridonovs</dc:creator>
  <cp:lastModifiedBy>Kārlis Piģēns</cp:lastModifiedBy>
  <cp:revision>4</cp:revision>
  <cp:lastPrinted>2014-08-13T13:28:00Z</cp:lastPrinted>
  <dcterms:created xsi:type="dcterms:W3CDTF">2014-08-25T09:05:00Z</dcterms:created>
  <dcterms:modified xsi:type="dcterms:W3CDTF">2014-08-26T06:14:00Z</dcterms:modified>
</cp:coreProperties>
</file>