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7D" w:rsidRDefault="00A97E7D" w:rsidP="00A97E7D">
      <w:pPr>
        <w:spacing w:after="0" w:line="240" w:lineRule="auto"/>
        <w:jc w:val="center"/>
        <w:outlineLvl w:val="2"/>
        <w:rPr>
          <w:rFonts w:ascii="Times New Roman" w:eastAsia="Times New Roman" w:hAnsi="Times New Roman" w:cs="Times New Roman"/>
          <w:b/>
          <w:bCs/>
          <w:sz w:val="28"/>
          <w:szCs w:val="28"/>
          <w:lang w:eastAsia="lv-LV"/>
        </w:rPr>
      </w:pPr>
    </w:p>
    <w:p w:rsidR="00A97E7D" w:rsidRDefault="00A97E7D" w:rsidP="00A97E7D">
      <w:pPr>
        <w:spacing w:after="0" w:line="240" w:lineRule="auto"/>
        <w:jc w:val="center"/>
        <w:outlineLvl w:val="2"/>
        <w:rPr>
          <w:rFonts w:ascii="Times New Roman" w:eastAsia="Times New Roman" w:hAnsi="Times New Roman" w:cs="Times New Roman"/>
          <w:b/>
          <w:bCs/>
          <w:sz w:val="28"/>
          <w:szCs w:val="28"/>
          <w:lang w:eastAsia="lv-LV"/>
        </w:rPr>
      </w:pPr>
      <w:r w:rsidRPr="00FA1075">
        <w:rPr>
          <w:rFonts w:ascii="Times New Roman" w:eastAsia="Times New Roman" w:hAnsi="Times New Roman" w:cs="Times New Roman"/>
          <w:b/>
          <w:bCs/>
          <w:sz w:val="28"/>
          <w:szCs w:val="28"/>
          <w:lang w:eastAsia="lv-LV"/>
        </w:rPr>
        <w:t>Likumprojekt</w:t>
      </w:r>
      <w:r>
        <w:rPr>
          <w:rFonts w:ascii="Times New Roman" w:eastAsia="Times New Roman" w:hAnsi="Times New Roman" w:cs="Times New Roman"/>
          <w:b/>
          <w:bCs/>
          <w:sz w:val="28"/>
          <w:szCs w:val="28"/>
          <w:lang w:eastAsia="lv-LV"/>
        </w:rPr>
        <w:t>a</w:t>
      </w:r>
      <w:r w:rsidRPr="00FA1075">
        <w:rPr>
          <w:rFonts w:ascii="Times New Roman" w:eastAsia="Times New Roman" w:hAnsi="Times New Roman" w:cs="Times New Roman"/>
          <w:b/>
          <w:bCs/>
          <w:sz w:val="28"/>
          <w:szCs w:val="28"/>
          <w:lang w:eastAsia="lv-LV"/>
        </w:rPr>
        <w:t xml:space="preserve"> „Grozījum</w:t>
      </w:r>
      <w:r w:rsidR="00B26F44">
        <w:rPr>
          <w:rFonts w:ascii="Times New Roman" w:eastAsia="Times New Roman" w:hAnsi="Times New Roman" w:cs="Times New Roman"/>
          <w:b/>
          <w:bCs/>
          <w:sz w:val="28"/>
          <w:szCs w:val="28"/>
          <w:lang w:eastAsia="lv-LV"/>
        </w:rPr>
        <w:t>i</w:t>
      </w:r>
      <w:r w:rsidRPr="00FA1075">
        <w:rPr>
          <w:rFonts w:ascii="Times New Roman" w:eastAsia="Times New Roman" w:hAnsi="Times New Roman" w:cs="Times New Roman"/>
          <w:b/>
          <w:bCs/>
          <w:sz w:val="28"/>
          <w:szCs w:val="28"/>
          <w:lang w:eastAsia="lv-LV"/>
        </w:rPr>
        <w:t xml:space="preserve"> likumā „</w:t>
      </w:r>
      <w:hyperlink r:id="rId8" w:tgtFrame="_blank" w:history="1">
        <w:r w:rsidRPr="00FA1075">
          <w:rPr>
            <w:rFonts w:ascii="Times New Roman" w:eastAsia="Times New Roman" w:hAnsi="Times New Roman" w:cs="Times New Roman"/>
            <w:b/>
            <w:bCs/>
            <w:sz w:val="28"/>
            <w:szCs w:val="28"/>
            <w:lang w:eastAsia="lv-LV"/>
          </w:rPr>
          <w:t>Par nodokļiem un nodevām</w:t>
        </w:r>
      </w:hyperlink>
      <w:r w:rsidRPr="00FA1075">
        <w:rPr>
          <w:rFonts w:ascii="Times New Roman" w:eastAsia="Times New Roman" w:hAnsi="Times New Roman" w:cs="Times New Roman"/>
          <w:b/>
          <w:bCs/>
          <w:sz w:val="28"/>
          <w:szCs w:val="28"/>
          <w:lang w:eastAsia="lv-LV"/>
        </w:rPr>
        <w:t>””</w:t>
      </w:r>
    </w:p>
    <w:p w:rsidR="00A97E7D" w:rsidRDefault="00A97E7D" w:rsidP="00A97E7D">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sākotnējās ietekmes novērtējuma ziņojums (anotācija)</w:t>
      </w:r>
    </w:p>
    <w:p w:rsidR="00A97E7D" w:rsidRDefault="00A97E7D" w:rsidP="00A97E7D">
      <w:pPr>
        <w:spacing w:after="0" w:line="240" w:lineRule="auto"/>
        <w:jc w:val="center"/>
        <w:rPr>
          <w:rFonts w:ascii="Times New Roman" w:eastAsia="Times New Roman" w:hAnsi="Times New Roman" w:cs="Times New Roman"/>
          <w:b/>
          <w:bCs/>
          <w:sz w:val="28"/>
          <w:szCs w:val="28"/>
          <w:lang w:eastAsia="lv-LV"/>
        </w:rPr>
      </w:pPr>
    </w:p>
    <w:p w:rsidR="00A97E7D" w:rsidRDefault="00A97E7D" w:rsidP="00A97E7D">
      <w:pPr>
        <w:spacing w:after="0" w:line="240" w:lineRule="auto"/>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A97E7D" w:rsidRPr="00DE73A5" w:rsidTr="00544C0B">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
              <w:gridCol w:w="2758"/>
              <w:gridCol w:w="6075"/>
            </w:tblGrid>
            <w:tr w:rsidR="00A45217" w:rsidRPr="00A45217" w:rsidTr="00544C0B">
              <w:trPr>
                <w:trHeight w:val="405"/>
                <w:tblCellSpacing w:w="15" w:type="dxa"/>
              </w:trPr>
              <w:tc>
                <w:tcPr>
                  <w:tcW w:w="4968" w:type="pct"/>
                  <w:gridSpan w:val="3"/>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I. Tiesību akta projekta izstrādes nepieciešamība</w:t>
                  </w:r>
                </w:p>
              </w:tc>
            </w:tr>
            <w:tr w:rsidR="00A45217" w:rsidRPr="00A45217" w:rsidTr="00544C0B">
              <w:trPr>
                <w:trHeight w:val="405"/>
                <w:tblCellSpacing w:w="15" w:type="dxa"/>
              </w:trPr>
              <w:tc>
                <w:tcPr>
                  <w:tcW w:w="237" w:type="pct"/>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w:t>
                  </w:r>
                </w:p>
              </w:tc>
              <w:tc>
                <w:tcPr>
                  <w:tcW w:w="147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Pamatojums</w:t>
                  </w:r>
                </w:p>
              </w:tc>
              <w:tc>
                <w:tcPr>
                  <w:tcW w:w="3224" w:type="pct"/>
                  <w:hideMark/>
                </w:tcPr>
                <w:p w:rsidR="00A97E7D" w:rsidRPr="00A45217" w:rsidRDefault="00A45217"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1) </w:t>
                  </w:r>
                  <w:r w:rsidR="00A97E7D" w:rsidRPr="00A45217">
                    <w:rPr>
                      <w:rFonts w:ascii="Times New Roman" w:hAnsi="Times New Roman" w:cs="Times New Roman"/>
                      <w:sz w:val="24"/>
                      <w:szCs w:val="24"/>
                    </w:rPr>
                    <w:t>Informatīvais ziņojums „</w:t>
                  </w:r>
                  <w:r w:rsidR="00A97E7D" w:rsidRPr="00A45217">
                    <w:rPr>
                      <w:rFonts w:ascii="Times New Roman" w:hAnsi="Times New Roman" w:cs="Times New Roman"/>
                      <w:b/>
                      <w:bCs/>
                      <w:sz w:val="24"/>
                      <w:szCs w:val="24"/>
                    </w:rPr>
                    <w:t>Par valsts nodevu būvniecības pakalpojumiem</w:t>
                  </w:r>
                  <w:r w:rsidR="00A97E7D" w:rsidRPr="00A45217">
                    <w:rPr>
                      <w:rFonts w:ascii="Times New Roman" w:hAnsi="Times New Roman" w:cs="Times New Roman"/>
                      <w:sz w:val="24"/>
                      <w:szCs w:val="24"/>
                    </w:rPr>
                    <w:t xml:space="preserve">” (izskatīts Ministru kabineta 2014.gada 19.novembra sēdē, TA-2656), kurš tika izstrādāts pamatojoties uz Ministru kabineta 29.07.2014. sēdes </w:t>
                  </w:r>
                  <w:proofErr w:type="spellStart"/>
                  <w:r w:rsidR="00A97E7D" w:rsidRPr="00A45217">
                    <w:rPr>
                      <w:rFonts w:ascii="Times New Roman" w:hAnsi="Times New Roman" w:cs="Times New Roman"/>
                      <w:sz w:val="24"/>
                      <w:szCs w:val="24"/>
                    </w:rPr>
                    <w:t>protokollēmuma</w:t>
                  </w:r>
                  <w:proofErr w:type="spellEnd"/>
                  <w:r w:rsidR="00A97E7D" w:rsidRPr="00A45217">
                    <w:rPr>
                      <w:rFonts w:ascii="Times New Roman" w:hAnsi="Times New Roman" w:cs="Times New Roman"/>
                      <w:sz w:val="24"/>
                      <w:szCs w:val="24"/>
                    </w:rPr>
                    <w:t xml:space="preserve"> (</w:t>
                  </w:r>
                  <w:proofErr w:type="spellStart"/>
                  <w:r w:rsidR="00A97E7D" w:rsidRPr="00A45217">
                    <w:rPr>
                      <w:rFonts w:ascii="Times New Roman" w:hAnsi="Times New Roman" w:cs="Times New Roman"/>
                      <w:sz w:val="24"/>
                      <w:szCs w:val="24"/>
                    </w:rPr>
                    <w:t>prot</w:t>
                  </w:r>
                  <w:proofErr w:type="spellEnd"/>
                  <w:r w:rsidR="00A97E7D" w:rsidRPr="00A45217">
                    <w:rPr>
                      <w:rFonts w:ascii="Times New Roman" w:hAnsi="Times New Roman" w:cs="Times New Roman"/>
                      <w:sz w:val="24"/>
                      <w:szCs w:val="24"/>
                    </w:rPr>
                    <w:t xml:space="preserve">. Nr.41 30.§) 5.punktu. </w:t>
                  </w:r>
                </w:p>
                <w:p w:rsidR="00A97E7D" w:rsidRPr="00A45217" w:rsidRDefault="00A45217" w:rsidP="000470EF">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hAnsi="Times New Roman" w:cs="Times New Roman"/>
                      <w:sz w:val="24"/>
                      <w:szCs w:val="24"/>
                    </w:rPr>
                    <w:t>2) </w:t>
                  </w:r>
                  <w:r w:rsidR="00A97E7D" w:rsidRPr="00A45217">
                    <w:rPr>
                      <w:rFonts w:ascii="Times New Roman" w:hAnsi="Times New Roman" w:cs="Times New Roman"/>
                      <w:sz w:val="24"/>
                      <w:szCs w:val="24"/>
                    </w:rPr>
                    <w:t>Ministru kabineta 2014.gada 21.oktobra sēdes (</w:t>
                  </w:r>
                  <w:proofErr w:type="spellStart"/>
                  <w:r w:rsidR="00A97E7D" w:rsidRPr="00A45217">
                    <w:rPr>
                      <w:rFonts w:ascii="Times New Roman" w:hAnsi="Times New Roman" w:cs="Times New Roman"/>
                      <w:sz w:val="24"/>
                      <w:szCs w:val="24"/>
                    </w:rPr>
                    <w:t>prot</w:t>
                  </w:r>
                  <w:proofErr w:type="spellEnd"/>
                  <w:r w:rsidR="00A97E7D" w:rsidRPr="00A45217">
                    <w:rPr>
                      <w:rFonts w:ascii="Times New Roman" w:hAnsi="Times New Roman" w:cs="Times New Roman"/>
                      <w:sz w:val="24"/>
                      <w:szCs w:val="24"/>
                    </w:rPr>
                    <w:t xml:space="preserve">. Nr.57, 5.§)  </w:t>
                  </w:r>
                  <w:proofErr w:type="spellStart"/>
                  <w:r w:rsidR="00A97E7D" w:rsidRPr="00A45217">
                    <w:rPr>
                      <w:rFonts w:ascii="Times New Roman" w:hAnsi="Times New Roman" w:cs="Times New Roman"/>
                      <w:sz w:val="24"/>
                      <w:szCs w:val="24"/>
                    </w:rPr>
                    <w:t>protokollēmuma</w:t>
                  </w:r>
                  <w:proofErr w:type="spellEnd"/>
                  <w:r w:rsidR="00A97E7D" w:rsidRPr="00A45217">
                    <w:rPr>
                      <w:rFonts w:ascii="Times New Roman" w:hAnsi="Times New Roman" w:cs="Times New Roman"/>
                      <w:sz w:val="24"/>
                      <w:szCs w:val="24"/>
                    </w:rPr>
                    <w:t xml:space="preserve"> 2.punktā dotais uzdevums</w:t>
                  </w:r>
                  <w:r w:rsidR="000470EF">
                    <w:rPr>
                      <w:rFonts w:ascii="Times New Roman" w:hAnsi="Times New Roman" w:cs="Times New Roman"/>
                      <w:sz w:val="24"/>
                      <w:szCs w:val="24"/>
                    </w:rPr>
                    <w:t>.</w:t>
                  </w:r>
                </w:p>
              </w:tc>
            </w:tr>
            <w:tr w:rsidR="00A45217" w:rsidRPr="00A45217" w:rsidTr="00544C0B">
              <w:trPr>
                <w:trHeight w:val="465"/>
                <w:tblCellSpacing w:w="15" w:type="dxa"/>
              </w:trPr>
              <w:tc>
                <w:tcPr>
                  <w:tcW w:w="237" w:type="pct"/>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w:t>
                  </w:r>
                </w:p>
              </w:tc>
              <w:tc>
                <w:tcPr>
                  <w:tcW w:w="147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4" w:type="pct"/>
                  <w:hideMark/>
                </w:tcPr>
                <w:p w:rsidR="00A97E7D" w:rsidRPr="00A45217" w:rsidRDefault="00A45217" w:rsidP="00544C0B">
                  <w:pPr>
                    <w:spacing w:after="0" w:line="240" w:lineRule="auto"/>
                    <w:ind w:left="57" w:right="57"/>
                    <w:jc w:val="both"/>
                    <w:rPr>
                      <w:rFonts w:ascii="Times New Roman" w:eastAsia="Times New Roman" w:hAnsi="Times New Roman" w:cs="Times New Roman"/>
                      <w:i/>
                      <w:sz w:val="24"/>
                      <w:szCs w:val="24"/>
                      <w:lang w:eastAsia="lv-LV"/>
                    </w:rPr>
                  </w:pPr>
                  <w:r w:rsidRPr="00A45217">
                    <w:rPr>
                      <w:rFonts w:ascii="Times New Roman" w:hAnsi="Times New Roman" w:cs="Times New Roman"/>
                      <w:sz w:val="24"/>
                      <w:szCs w:val="24"/>
                    </w:rPr>
                    <w:t>1) </w:t>
                  </w:r>
                  <w:r w:rsidR="00A97E7D" w:rsidRPr="00A45217">
                    <w:rPr>
                      <w:rFonts w:ascii="Times New Roman" w:hAnsi="Times New Roman" w:cs="Times New Roman"/>
                      <w:sz w:val="24"/>
                      <w:szCs w:val="24"/>
                    </w:rPr>
                    <w:t>Saskaņā ar likuma „Par nodokļiem un nodevām”  11.panta (</w:t>
                  </w:r>
                  <w:r w:rsidR="00A97E7D" w:rsidRPr="00A45217">
                    <w:rPr>
                      <w:rFonts w:ascii="Times New Roman" w:hAnsi="Times New Roman" w:cs="Times New Roman"/>
                      <w:bCs/>
                      <w:sz w:val="24"/>
                      <w:szCs w:val="24"/>
                    </w:rPr>
                    <w:t xml:space="preserve">valsts nodevu objekti) </w:t>
                  </w:r>
                  <w:r w:rsidR="00A97E7D" w:rsidRPr="00A45217">
                    <w:rPr>
                      <w:rFonts w:ascii="Times New Roman" w:hAnsi="Times New Roman" w:cs="Times New Roman"/>
                      <w:sz w:val="24"/>
                      <w:szCs w:val="24"/>
                    </w:rPr>
                    <w:t>otrās daļas 23.</w:t>
                  </w:r>
                  <w:r w:rsidR="00A97E7D" w:rsidRPr="00A45217">
                    <w:rPr>
                      <w:rFonts w:ascii="Times New Roman" w:hAnsi="Times New Roman" w:cs="Times New Roman"/>
                      <w:sz w:val="24"/>
                      <w:szCs w:val="24"/>
                      <w:vertAlign w:val="superscript"/>
                    </w:rPr>
                    <w:t>1</w:t>
                  </w:r>
                  <w:r w:rsidR="00A97E7D" w:rsidRPr="00A45217">
                    <w:rPr>
                      <w:rFonts w:ascii="Times New Roman" w:hAnsi="Times New Roman" w:cs="Times New Roman"/>
                      <w:sz w:val="24"/>
                      <w:szCs w:val="24"/>
                    </w:rPr>
                    <w:t xml:space="preserve">punktu, valsts nodevas ir maksājamas par valsts sniegto nodrošinājumu, juridiskajiem pakalpojumiem un likumos paredzētajiem speciāliem mērķiem - </w:t>
                  </w:r>
                  <w:r w:rsidR="00A97E7D" w:rsidRPr="00A45217">
                    <w:rPr>
                      <w:rFonts w:ascii="Times New Roman" w:hAnsi="Times New Roman" w:cs="Times New Roman"/>
                      <w:i/>
                      <w:sz w:val="24"/>
                      <w:szCs w:val="24"/>
                    </w:rPr>
                    <w:t xml:space="preserve">par reģistrācijas darbībām </w:t>
                  </w:r>
                  <w:proofErr w:type="spellStart"/>
                  <w:r w:rsidR="00A97E7D" w:rsidRPr="00A45217">
                    <w:rPr>
                      <w:rFonts w:ascii="Times New Roman" w:hAnsi="Times New Roman" w:cs="Times New Roman"/>
                      <w:i/>
                      <w:sz w:val="24"/>
                      <w:szCs w:val="24"/>
                    </w:rPr>
                    <w:t>būvkomersantu</w:t>
                  </w:r>
                  <w:proofErr w:type="spellEnd"/>
                  <w:r w:rsidR="00A97E7D" w:rsidRPr="00A45217">
                    <w:rPr>
                      <w:rFonts w:ascii="Times New Roman" w:hAnsi="Times New Roman" w:cs="Times New Roman"/>
                      <w:i/>
                      <w:sz w:val="24"/>
                      <w:szCs w:val="24"/>
                    </w:rPr>
                    <w:t xml:space="preserve"> reģistrā.</w:t>
                  </w:r>
                </w:p>
                <w:p w:rsidR="00A97E7D" w:rsidRPr="00A45217" w:rsidRDefault="00A97E7D" w:rsidP="00544C0B">
                  <w:pPr>
                    <w:autoSpaceDE w:val="0"/>
                    <w:autoSpaceDN w:val="0"/>
                    <w:adjustRightInd w:val="0"/>
                    <w:spacing w:after="0" w:line="240" w:lineRule="auto"/>
                    <w:ind w:left="57" w:right="57"/>
                    <w:jc w:val="both"/>
                    <w:rPr>
                      <w:rFonts w:ascii="Times New Roman" w:hAnsi="Times New Roman" w:cs="Times New Roman"/>
                      <w:bCs/>
                      <w:sz w:val="24"/>
                      <w:szCs w:val="24"/>
                    </w:rPr>
                  </w:pPr>
                  <w:r w:rsidRPr="00A45217">
                    <w:rPr>
                      <w:rFonts w:ascii="Times New Roman" w:hAnsi="Times New Roman" w:cs="Times New Roman"/>
                      <w:bCs/>
                      <w:sz w:val="24"/>
                      <w:szCs w:val="24"/>
                    </w:rPr>
                    <w:t xml:space="preserve">Saskaņā ar Būvniecības likuma 22.pantu, lai veiktu komercdarbību vienā vai vairākās būvniecības jomās, kā arī arhitektūras vai elektroenerģētikas jomā, komersants reģistrējas </w:t>
                  </w:r>
                  <w:proofErr w:type="spellStart"/>
                  <w:r w:rsidRPr="00A45217">
                    <w:rPr>
                      <w:rFonts w:ascii="Times New Roman" w:hAnsi="Times New Roman" w:cs="Times New Roman"/>
                      <w:bCs/>
                      <w:sz w:val="24"/>
                      <w:szCs w:val="24"/>
                    </w:rPr>
                    <w:t>būvkomersantu</w:t>
                  </w:r>
                  <w:proofErr w:type="spellEnd"/>
                  <w:r w:rsidRPr="00A45217">
                    <w:rPr>
                      <w:rFonts w:ascii="Times New Roman" w:hAnsi="Times New Roman" w:cs="Times New Roman"/>
                      <w:bCs/>
                      <w:sz w:val="24"/>
                      <w:szCs w:val="24"/>
                    </w:rPr>
                    <w:t xml:space="preserve"> reģistrā, iesniedzot informāciju par visiem uz darba līguma pamata nodarbinātajiem </w:t>
                  </w:r>
                  <w:proofErr w:type="spellStart"/>
                  <w:r w:rsidRPr="00A45217">
                    <w:rPr>
                      <w:rFonts w:ascii="Times New Roman" w:hAnsi="Times New Roman" w:cs="Times New Roman"/>
                      <w:bCs/>
                      <w:sz w:val="24"/>
                      <w:szCs w:val="24"/>
                    </w:rPr>
                    <w:t>būvspeciālistiem</w:t>
                  </w:r>
                  <w:proofErr w:type="spellEnd"/>
                  <w:r w:rsidRPr="00A45217">
                    <w:rPr>
                      <w:rFonts w:ascii="Times New Roman" w:hAnsi="Times New Roman" w:cs="Times New Roman"/>
                      <w:bCs/>
                      <w:sz w:val="24"/>
                      <w:szCs w:val="24"/>
                    </w:rPr>
                    <w:t>.</w:t>
                  </w:r>
                </w:p>
                <w:p w:rsidR="00A97E7D" w:rsidRPr="00A45217" w:rsidRDefault="00A97E7D" w:rsidP="00544C0B">
                  <w:pPr>
                    <w:autoSpaceDE w:val="0"/>
                    <w:autoSpaceDN w:val="0"/>
                    <w:adjustRightInd w:val="0"/>
                    <w:spacing w:after="0" w:line="240" w:lineRule="auto"/>
                    <w:ind w:left="57" w:right="57"/>
                    <w:jc w:val="both"/>
                    <w:rPr>
                      <w:rFonts w:ascii="Times New Roman" w:eastAsia="Times New Roman" w:hAnsi="Times New Roman" w:cs="Times New Roman"/>
                      <w:sz w:val="24"/>
                      <w:szCs w:val="24"/>
                      <w:u w:val="single"/>
                      <w:lang w:eastAsia="lv-LV"/>
                    </w:rPr>
                  </w:pPr>
                  <w:r w:rsidRPr="00A45217">
                    <w:rPr>
                      <w:rFonts w:ascii="Times New Roman" w:hAnsi="Times New Roman" w:cs="Times New Roman"/>
                      <w:bCs/>
                      <w:sz w:val="24"/>
                      <w:szCs w:val="24"/>
                    </w:rPr>
                    <w:t>Tādējādi reģistrācija attiecīgajā reģistrā ir priekšnosacījums, lai sniegtu pakalpojumus būvniecības jomā.</w:t>
                  </w:r>
                  <w:r w:rsidR="00D65CB4">
                    <w:rPr>
                      <w:rFonts w:ascii="Times New Roman" w:eastAsia="Times New Roman" w:hAnsi="Times New Roman" w:cs="Times New Roman"/>
                      <w:sz w:val="24"/>
                      <w:szCs w:val="24"/>
                      <w:u w:val="single"/>
                      <w:lang w:eastAsia="lv-LV"/>
                    </w:rPr>
                    <w:t xml:space="preserve"> Papildus jānorāda, ka reģistrācija ir iespējama tikai gadījumā, ja </w:t>
                  </w:r>
                  <w:proofErr w:type="spellStart"/>
                  <w:r w:rsidR="00D65CB4">
                    <w:rPr>
                      <w:rFonts w:ascii="Times New Roman" w:eastAsia="Times New Roman" w:hAnsi="Times New Roman" w:cs="Times New Roman"/>
                      <w:sz w:val="24"/>
                      <w:szCs w:val="24"/>
                      <w:u w:val="single"/>
                      <w:lang w:eastAsia="lv-LV"/>
                    </w:rPr>
                    <w:t>būvkomersants</w:t>
                  </w:r>
                  <w:proofErr w:type="spellEnd"/>
                  <w:r w:rsidR="00D65CB4">
                    <w:rPr>
                      <w:rFonts w:ascii="Times New Roman" w:eastAsia="Times New Roman" w:hAnsi="Times New Roman" w:cs="Times New Roman"/>
                      <w:sz w:val="24"/>
                      <w:szCs w:val="24"/>
                      <w:u w:val="single"/>
                      <w:lang w:eastAsia="lv-LV"/>
                    </w:rPr>
                    <w:t xml:space="preserve"> nodarbina </w:t>
                  </w:r>
                  <w:proofErr w:type="spellStart"/>
                  <w:r w:rsidR="00D65CB4">
                    <w:rPr>
                      <w:rFonts w:ascii="Times New Roman" w:eastAsia="Times New Roman" w:hAnsi="Times New Roman" w:cs="Times New Roman"/>
                      <w:sz w:val="24"/>
                      <w:szCs w:val="24"/>
                      <w:u w:val="single"/>
                      <w:lang w:eastAsia="lv-LV"/>
                    </w:rPr>
                    <w:t>būvspeciālistu</w:t>
                  </w:r>
                  <w:proofErr w:type="spellEnd"/>
                  <w:r w:rsidR="00D65CB4">
                    <w:rPr>
                      <w:rFonts w:ascii="Times New Roman" w:eastAsia="Times New Roman" w:hAnsi="Times New Roman" w:cs="Times New Roman"/>
                      <w:sz w:val="24"/>
                      <w:szCs w:val="24"/>
                      <w:u w:val="single"/>
                      <w:lang w:eastAsia="lv-LV"/>
                    </w:rPr>
                    <w:t xml:space="preserve"> kurš normatīvos aktos noteiktā kārtībā ir pārbaudīts un atzīts par tiesīgu pastāvīgi praktizēt Būvniecības likumā norādītajās jomās un saņēmis nepieciešamo dokumentu, kas to apliecina (Sertifikātu). Šāda sistēma ir veidota lai būvniecības nozarē, kas saistīta ar paaugstinātu risku notiktu rūpīga pakalpojumu sniedzēju atlase un pakalpojumu sniegšanai tiktu pielaisti tādi pakalpojumu sniedzēji, kuri </w:t>
                  </w:r>
                  <w:r w:rsidR="00067432">
                    <w:rPr>
                      <w:rFonts w:ascii="Times New Roman" w:eastAsia="Times New Roman" w:hAnsi="Times New Roman" w:cs="Times New Roman"/>
                      <w:sz w:val="24"/>
                      <w:szCs w:val="24"/>
                      <w:u w:val="single"/>
                      <w:lang w:eastAsia="lv-LV"/>
                    </w:rPr>
                    <w:t>veikuši zinām</w:t>
                  </w:r>
                  <w:r w:rsidR="00D65CB4">
                    <w:rPr>
                      <w:rFonts w:ascii="Times New Roman" w:eastAsia="Times New Roman" w:hAnsi="Times New Roman" w:cs="Times New Roman"/>
                      <w:sz w:val="24"/>
                      <w:szCs w:val="24"/>
                      <w:u w:val="single"/>
                      <w:lang w:eastAsia="lv-LV"/>
                    </w:rPr>
                    <w:t xml:space="preserve">u izvērtēšanas procedūru un atzīti par atbilstošiem pakalpojuma sniegšanai </w:t>
                  </w:r>
                  <w:proofErr w:type="spellStart"/>
                  <w:r w:rsidR="00D65CB4">
                    <w:rPr>
                      <w:rFonts w:ascii="Times New Roman" w:eastAsia="Times New Roman" w:hAnsi="Times New Roman" w:cs="Times New Roman"/>
                      <w:sz w:val="24"/>
                      <w:szCs w:val="24"/>
                      <w:u w:val="single"/>
                      <w:lang w:eastAsia="lv-LV"/>
                    </w:rPr>
                    <w:t>t.sk</w:t>
                  </w:r>
                  <w:proofErr w:type="spellEnd"/>
                  <w:r w:rsidR="00D65CB4">
                    <w:rPr>
                      <w:rFonts w:ascii="Times New Roman" w:eastAsia="Times New Roman" w:hAnsi="Times New Roman" w:cs="Times New Roman"/>
                      <w:sz w:val="24"/>
                      <w:szCs w:val="24"/>
                      <w:u w:val="single"/>
                      <w:lang w:eastAsia="lv-LV"/>
                    </w:rPr>
                    <w:t>. kuri nodarbina uz darba līguma pamata speciālistu, kas komersanta vārdā var būvniecības procesā patstāvīgi veikt konkrētu uz</w:t>
                  </w:r>
                  <w:r w:rsidR="00067432">
                    <w:rPr>
                      <w:rFonts w:ascii="Times New Roman" w:eastAsia="Times New Roman" w:hAnsi="Times New Roman" w:cs="Times New Roman"/>
                      <w:sz w:val="24"/>
                      <w:szCs w:val="24"/>
                      <w:u w:val="single"/>
                      <w:lang w:eastAsia="lv-LV"/>
                    </w:rPr>
                    <w:t>devumu.</w:t>
                  </w:r>
                </w:p>
                <w:p w:rsidR="00A97E7D" w:rsidRPr="00A45217" w:rsidRDefault="00A97E7D" w:rsidP="00544C0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hAnsi="Times New Roman" w:cs="Times New Roman"/>
                      <w:bCs/>
                      <w:sz w:val="24"/>
                      <w:szCs w:val="24"/>
                    </w:rPr>
                    <w:t xml:space="preserve">Tas arī atbilst likuma „Par nodokļiem un nodevām” 1.panta otrajā punktā noteiktajam, ka </w:t>
                  </w:r>
                  <w:r w:rsidRPr="00A45217">
                    <w:rPr>
                      <w:rFonts w:ascii="Times New Roman" w:hAnsi="Times New Roman" w:cs="Times New Roman"/>
                      <w:sz w:val="24"/>
                      <w:szCs w:val="24"/>
                    </w:rPr>
                    <w:t>valsts nodevas mērķis ir personu darbību regulēšana (kontrolēšana, veicināšana, ierobežošana).</w:t>
                  </w:r>
                  <w:r w:rsidRPr="00A45217">
                    <w:rPr>
                      <w:rFonts w:ascii="Times New Roman" w:hAnsi="Times New Roman" w:cs="Times New Roman"/>
                      <w:bCs/>
                      <w:sz w:val="24"/>
                      <w:szCs w:val="24"/>
                    </w:rPr>
                    <w:t xml:space="preserve"> </w:t>
                  </w:r>
                  <w:r w:rsidRPr="00A45217">
                    <w:rPr>
                      <w:rFonts w:ascii="Times New Roman" w:eastAsia="Times New Roman" w:hAnsi="Times New Roman" w:cs="Times New Roman"/>
                      <w:sz w:val="24"/>
                      <w:szCs w:val="24"/>
                      <w:lang w:eastAsia="lv-LV"/>
                    </w:rPr>
                    <w:t>Deleģējums nodevai būvniecības jomā ir noteikts minētā likuma 11.panta 23.</w:t>
                  </w:r>
                  <w:r w:rsidRPr="00A45217">
                    <w:rPr>
                      <w:rFonts w:ascii="Times New Roman" w:eastAsia="Times New Roman" w:hAnsi="Times New Roman" w:cs="Times New Roman"/>
                      <w:sz w:val="24"/>
                      <w:szCs w:val="24"/>
                      <w:vertAlign w:val="superscript"/>
                      <w:lang w:eastAsia="lv-LV"/>
                    </w:rPr>
                    <w:t>1</w:t>
                  </w:r>
                  <w:r w:rsidRPr="00A45217">
                    <w:rPr>
                      <w:rFonts w:ascii="Times New Roman" w:eastAsia="Times New Roman" w:hAnsi="Times New Roman" w:cs="Times New Roman"/>
                      <w:sz w:val="24"/>
                      <w:szCs w:val="24"/>
                      <w:lang w:eastAsia="lv-LV"/>
                    </w:rPr>
                    <w:t xml:space="preserve">punktā – tās ir reģistrācijas darbības </w:t>
                  </w:r>
                  <w:proofErr w:type="spellStart"/>
                  <w:r w:rsidRPr="00A45217">
                    <w:rPr>
                      <w:rFonts w:ascii="Times New Roman" w:eastAsia="Times New Roman" w:hAnsi="Times New Roman" w:cs="Times New Roman"/>
                      <w:sz w:val="24"/>
                      <w:szCs w:val="24"/>
                      <w:lang w:eastAsia="lv-LV"/>
                    </w:rPr>
                    <w:t>būvkomersantu</w:t>
                  </w:r>
                  <w:proofErr w:type="spellEnd"/>
                  <w:r w:rsidRPr="00A45217">
                    <w:rPr>
                      <w:rFonts w:ascii="Times New Roman" w:eastAsia="Times New Roman" w:hAnsi="Times New Roman" w:cs="Times New Roman"/>
                      <w:sz w:val="24"/>
                      <w:szCs w:val="24"/>
                      <w:lang w:eastAsia="lv-LV"/>
                    </w:rPr>
                    <w:t xml:space="preserve"> reģistrā. </w:t>
                  </w:r>
                </w:p>
                <w:p w:rsidR="000259E4" w:rsidRDefault="00A97E7D" w:rsidP="00544C0B">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Šobrīd nodeva par reģistrācijas darbībām </w:t>
                  </w:r>
                  <w:proofErr w:type="spellStart"/>
                  <w:r w:rsidRPr="00A45217">
                    <w:rPr>
                      <w:rFonts w:ascii="Times New Roman" w:eastAsia="Times New Roman" w:hAnsi="Times New Roman" w:cs="Times New Roman"/>
                      <w:sz w:val="24"/>
                      <w:szCs w:val="24"/>
                      <w:lang w:eastAsia="lv-LV"/>
                    </w:rPr>
                    <w:t>būvkomersantu</w:t>
                  </w:r>
                  <w:proofErr w:type="spellEnd"/>
                  <w:r w:rsidRPr="00A45217">
                    <w:rPr>
                      <w:rFonts w:ascii="Times New Roman" w:eastAsia="Times New Roman" w:hAnsi="Times New Roman" w:cs="Times New Roman"/>
                      <w:sz w:val="24"/>
                      <w:szCs w:val="24"/>
                      <w:lang w:eastAsia="lv-LV"/>
                    </w:rPr>
                    <w:t xml:space="preserve"> reģistrā atbilstoši Ministru kabineta noteikumiem Nr.116 </w:t>
                  </w:r>
                  <w:r w:rsidRPr="00A45217">
                    <w:rPr>
                      <w:rFonts w:ascii="Times New Roman" w:eastAsia="Times New Roman" w:hAnsi="Times New Roman" w:cs="Times New Roman"/>
                      <w:sz w:val="24"/>
                      <w:szCs w:val="24"/>
                      <w:lang w:eastAsia="lv-LV"/>
                    </w:rPr>
                    <w:lastRenderedPageBreak/>
                    <w:t>„</w:t>
                  </w:r>
                  <w:proofErr w:type="spellStart"/>
                  <w:r w:rsidRPr="00A45217">
                    <w:rPr>
                      <w:rFonts w:ascii="Times New Roman" w:eastAsia="Times New Roman" w:hAnsi="Times New Roman" w:cs="Times New Roman"/>
                      <w:sz w:val="24"/>
                      <w:szCs w:val="24"/>
                      <w:lang w:eastAsia="lv-LV"/>
                    </w:rPr>
                    <w:t>Būvkomersantu</w:t>
                  </w:r>
                  <w:proofErr w:type="spellEnd"/>
                  <w:r w:rsidRPr="00A45217">
                    <w:rPr>
                      <w:rFonts w:ascii="Times New Roman" w:eastAsia="Times New Roman" w:hAnsi="Times New Roman" w:cs="Times New Roman"/>
                      <w:sz w:val="24"/>
                      <w:szCs w:val="24"/>
                      <w:lang w:eastAsia="lv-LV"/>
                    </w:rPr>
                    <w:t xml:space="preserve"> reģistrācijas noteikumi” noteikta 70 vai 355 eiro apmērā (atkarībā no tā vai tiek veikta pirmreizēja vai atkārtota reģistrācija </w:t>
                  </w:r>
                  <w:proofErr w:type="spellStart"/>
                  <w:r w:rsidRPr="00A45217">
                    <w:rPr>
                      <w:rFonts w:ascii="Times New Roman" w:eastAsia="Times New Roman" w:hAnsi="Times New Roman" w:cs="Times New Roman"/>
                      <w:sz w:val="24"/>
                      <w:szCs w:val="24"/>
                      <w:lang w:eastAsia="lv-LV"/>
                    </w:rPr>
                    <w:t>būvkomersantu</w:t>
                  </w:r>
                  <w:proofErr w:type="spellEnd"/>
                  <w:r w:rsidRPr="00A45217">
                    <w:rPr>
                      <w:rFonts w:ascii="Times New Roman" w:eastAsia="Times New Roman" w:hAnsi="Times New Roman" w:cs="Times New Roman"/>
                      <w:sz w:val="24"/>
                      <w:szCs w:val="24"/>
                      <w:lang w:eastAsia="lv-LV"/>
                    </w:rPr>
                    <w:t xml:space="preserve"> reģistrā). Tā tiek maksāta vienu reizi. Taču Ekonomikas ministrijas ieskatā nodeva par reģistrācijas darbībām būtu maksājama </w:t>
                  </w:r>
                  <w:r w:rsidR="000259E4">
                    <w:rPr>
                      <w:rFonts w:ascii="Times New Roman" w:eastAsia="Times New Roman" w:hAnsi="Times New Roman" w:cs="Times New Roman"/>
                      <w:sz w:val="24"/>
                      <w:szCs w:val="24"/>
                      <w:lang w:eastAsia="lv-LV"/>
                    </w:rPr>
                    <w:t>ik g</w:t>
                  </w:r>
                  <w:r w:rsidRPr="00A45217">
                    <w:rPr>
                      <w:rFonts w:ascii="Times New Roman" w:eastAsia="Times New Roman" w:hAnsi="Times New Roman" w:cs="Times New Roman"/>
                      <w:sz w:val="24"/>
                      <w:szCs w:val="24"/>
                      <w:lang w:eastAsia="lv-LV"/>
                    </w:rPr>
                    <w:t>ad</w:t>
                  </w:r>
                  <w:r w:rsidR="000259E4">
                    <w:rPr>
                      <w:rFonts w:ascii="Times New Roman" w:eastAsia="Times New Roman" w:hAnsi="Times New Roman" w:cs="Times New Roman"/>
                      <w:sz w:val="24"/>
                      <w:szCs w:val="24"/>
                      <w:lang w:eastAsia="lv-LV"/>
                    </w:rPr>
                    <w:t>u</w:t>
                  </w:r>
                  <w:r w:rsidRPr="00A45217">
                    <w:rPr>
                      <w:rFonts w:ascii="Times New Roman" w:eastAsia="Times New Roman" w:hAnsi="Times New Roman" w:cs="Times New Roman"/>
                      <w:sz w:val="24"/>
                      <w:szCs w:val="24"/>
                      <w:lang w:eastAsia="lv-LV"/>
                    </w:rPr>
                    <w:t xml:space="preserve">, </w:t>
                  </w:r>
                  <w:r w:rsidR="000259E4">
                    <w:rPr>
                      <w:rFonts w:ascii="Times New Roman" w:eastAsia="Times New Roman" w:hAnsi="Times New Roman" w:cs="Times New Roman"/>
                      <w:sz w:val="24"/>
                      <w:szCs w:val="24"/>
                      <w:lang w:eastAsia="lv-LV"/>
                    </w:rPr>
                    <w:t xml:space="preserve">kad komersants darbojies būvniecības jomā un sniedzis attiecīgus pakalpojumus. </w:t>
                  </w:r>
                </w:p>
                <w:p w:rsidR="00A97E7D" w:rsidRPr="00A45217" w:rsidRDefault="000259E4" w:rsidP="000259E4">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Tās apmērs nosakāms</w:t>
                  </w:r>
                  <w:r w:rsidR="00A97E7D" w:rsidRPr="00A45217">
                    <w:rPr>
                      <w:rFonts w:ascii="Times New Roman" w:eastAsia="Times New Roman" w:hAnsi="Times New Roman" w:cs="Times New Roman"/>
                      <w:sz w:val="24"/>
                      <w:szCs w:val="24"/>
                      <w:lang w:eastAsia="lv-LV"/>
                    </w:rPr>
                    <w:t xml:space="preserve"> atbilstoši </w:t>
                  </w:r>
                  <w:proofErr w:type="spellStart"/>
                  <w:r w:rsidR="00A97E7D" w:rsidRPr="00A45217">
                    <w:rPr>
                      <w:rFonts w:ascii="Times New Roman" w:eastAsia="Times New Roman" w:hAnsi="Times New Roman" w:cs="Times New Roman"/>
                      <w:sz w:val="24"/>
                      <w:szCs w:val="24"/>
                      <w:lang w:eastAsia="lv-LV"/>
                    </w:rPr>
                    <w:t>būvkomersant</w:t>
                  </w:r>
                  <w:r>
                    <w:rPr>
                      <w:rFonts w:ascii="Times New Roman" w:eastAsia="Times New Roman" w:hAnsi="Times New Roman" w:cs="Times New Roman"/>
                      <w:sz w:val="24"/>
                      <w:szCs w:val="24"/>
                      <w:lang w:eastAsia="lv-LV"/>
                    </w:rPr>
                    <w:t>a</w:t>
                  </w:r>
                  <w:proofErr w:type="spellEnd"/>
                  <w:r>
                    <w:rPr>
                      <w:rFonts w:ascii="Times New Roman" w:eastAsia="Times New Roman" w:hAnsi="Times New Roman" w:cs="Times New Roman"/>
                      <w:sz w:val="24"/>
                      <w:szCs w:val="24"/>
                      <w:lang w:eastAsia="lv-LV"/>
                    </w:rPr>
                    <w:t xml:space="preserve"> iepriekšējā gada apgrozījumam, bet kamēr tas nav zināms, visiem komersantiem vienādā apmērā (70 eiro, kā tas jau ir spēkā esošajos Ministru kabineta noteikumos Nr.116).</w:t>
                  </w:r>
                  <w:r w:rsidR="00A97E7D" w:rsidRPr="00A452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Ievērojot </w:t>
                  </w:r>
                  <w:r>
                    <w:rPr>
                      <w:rFonts w:ascii="Times New Roman" w:hAnsi="Times New Roman" w:cs="Times New Roman"/>
                      <w:bCs/>
                      <w:sz w:val="24"/>
                      <w:szCs w:val="24"/>
                    </w:rPr>
                    <w:t xml:space="preserve">minēto ir precizējams </w:t>
                  </w:r>
                  <w:r w:rsidR="00A97E7D" w:rsidRPr="00A45217">
                    <w:rPr>
                      <w:rFonts w:ascii="Times New Roman" w:hAnsi="Times New Roman" w:cs="Times New Roman"/>
                      <w:bCs/>
                      <w:sz w:val="24"/>
                      <w:szCs w:val="24"/>
                    </w:rPr>
                    <w:t xml:space="preserve">deleģējums likumā „Par nodokļiem un </w:t>
                  </w:r>
                  <w:r>
                    <w:rPr>
                      <w:rFonts w:ascii="Times New Roman" w:hAnsi="Times New Roman" w:cs="Times New Roman"/>
                      <w:bCs/>
                      <w:sz w:val="24"/>
                      <w:szCs w:val="24"/>
                    </w:rPr>
                    <w:t xml:space="preserve">likums </w:t>
                  </w:r>
                  <w:r w:rsidR="00A97E7D" w:rsidRPr="00A45217">
                    <w:rPr>
                      <w:rFonts w:ascii="Times New Roman" w:hAnsi="Times New Roman" w:cs="Times New Roman"/>
                      <w:bCs/>
                      <w:sz w:val="24"/>
                      <w:szCs w:val="24"/>
                    </w:rPr>
                    <w:t xml:space="preserve">nodevām”, nosakot, ka </w:t>
                  </w:r>
                  <w:r w:rsidR="00A97E7D" w:rsidRPr="00A45217">
                    <w:rPr>
                      <w:rFonts w:ascii="Times New Roman" w:eastAsia="Times New Roman" w:hAnsi="Times New Roman" w:cs="Times New Roman"/>
                      <w:sz w:val="24"/>
                      <w:szCs w:val="24"/>
                      <w:lang w:eastAsia="lv-LV"/>
                    </w:rPr>
                    <w:t>11.panta 23.</w:t>
                  </w:r>
                  <w:r w:rsidR="00A97E7D" w:rsidRPr="00A45217">
                    <w:rPr>
                      <w:rFonts w:ascii="Times New Roman" w:eastAsia="Times New Roman" w:hAnsi="Times New Roman" w:cs="Times New Roman"/>
                      <w:sz w:val="24"/>
                      <w:szCs w:val="24"/>
                      <w:vertAlign w:val="superscript"/>
                      <w:lang w:eastAsia="lv-LV"/>
                    </w:rPr>
                    <w:t>1</w:t>
                  </w:r>
                  <w:r w:rsidR="00A97E7D" w:rsidRPr="00A45217">
                    <w:rPr>
                      <w:rFonts w:ascii="Times New Roman" w:eastAsia="Times New Roman" w:hAnsi="Times New Roman" w:cs="Times New Roman"/>
                      <w:sz w:val="24"/>
                      <w:szCs w:val="24"/>
                      <w:lang w:eastAsia="lv-LV"/>
                    </w:rPr>
                    <w:t xml:space="preserve">punktā minētā nodeva – </w:t>
                  </w:r>
                  <w:r w:rsidR="00A97E7D" w:rsidRPr="00A45217">
                    <w:rPr>
                      <w:rFonts w:ascii="Times New Roman" w:eastAsia="Times New Roman" w:hAnsi="Times New Roman" w:cs="Times New Roman"/>
                      <w:sz w:val="24"/>
                      <w:szCs w:val="24"/>
                      <w:u w:val="single"/>
                      <w:lang w:eastAsia="lv-LV"/>
                    </w:rPr>
                    <w:t xml:space="preserve">par reģistrācijas darbībām </w:t>
                  </w:r>
                  <w:proofErr w:type="spellStart"/>
                  <w:r w:rsidR="00A97E7D" w:rsidRPr="00A45217">
                    <w:rPr>
                      <w:rFonts w:ascii="Times New Roman" w:eastAsia="Times New Roman" w:hAnsi="Times New Roman" w:cs="Times New Roman"/>
                      <w:sz w:val="24"/>
                      <w:szCs w:val="24"/>
                      <w:u w:val="single"/>
                      <w:lang w:eastAsia="lv-LV"/>
                    </w:rPr>
                    <w:t>būvkomersantu</w:t>
                  </w:r>
                  <w:proofErr w:type="spellEnd"/>
                  <w:r w:rsidR="00A97E7D" w:rsidRPr="00A45217">
                    <w:rPr>
                      <w:rFonts w:ascii="Times New Roman" w:eastAsia="Times New Roman" w:hAnsi="Times New Roman" w:cs="Times New Roman"/>
                      <w:sz w:val="24"/>
                      <w:szCs w:val="24"/>
                      <w:u w:val="single"/>
                      <w:lang w:eastAsia="lv-LV"/>
                    </w:rPr>
                    <w:t xml:space="preserve"> reģistrā, ir ikgadēja.</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Ekonomikas ministrija ir veikusi aprēķinus par iespējām finansēt būvniecības nozares kvalitatīvai attīstībai nepieciešamos pasākumus, mainot nodevas par reģistrācijas darbībām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reģistrā apmēru un maksāšanas kārtību. Šo būvniecības nodevu būtu nepieciešams rēķināt no būvdarbu apjoma, ko </w:t>
                  </w:r>
                  <w:proofErr w:type="spellStart"/>
                  <w:r w:rsidRPr="00A45217">
                    <w:rPr>
                      <w:rFonts w:ascii="Times New Roman" w:hAnsi="Times New Roman" w:cs="Times New Roman"/>
                      <w:sz w:val="24"/>
                      <w:szCs w:val="24"/>
                    </w:rPr>
                    <w:t>būvkomersants</w:t>
                  </w:r>
                  <w:proofErr w:type="spellEnd"/>
                  <w:r w:rsidRPr="00A45217">
                    <w:rPr>
                      <w:rFonts w:ascii="Times New Roman" w:hAnsi="Times New Roman" w:cs="Times New Roman"/>
                      <w:sz w:val="24"/>
                      <w:szCs w:val="24"/>
                    </w:rPr>
                    <w:t xml:space="preserve"> veicis saviem spēkiem, lai novērstu situāciju, ka nodeva tiek iekasēta gan no ģenerāluzņēmēja gan apakšuzņēmējiem par vienu un to pašu būvdarbu apjomu. </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Informācija par </w:t>
                  </w:r>
                  <w:proofErr w:type="spellStart"/>
                  <w:r w:rsidRPr="00A45217">
                    <w:rPr>
                      <w:rFonts w:ascii="Times New Roman" w:hAnsi="Times New Roman" w:cs="Times New Roman"/>
                      <w:sz w:val="24"/>
                      <w:szCs w:val="24"/>
                    </w:rPr>
                    <w:t>būvkomnersanta</w:t>
                  </w:r>
                  <w:proofErr w:type="spellEnd"/>
                  <w:r w:rsidRPr="00A45217">
                    <w:rPr>
                      <w:rFonts w:ascii="Times New Roman" w:hAnsi="Times New Roman" w:cs="Times New Roman"/>
                      <w:sz w:val="24"/>
                      <w:szCs w:val="24"/>
                    </w:rPr>
                    <w:t xml:space="preserve"> paša spēkiem veiktajiem būvdarbiem tiek ik gadu iesniegta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reģistrā, tādējādi tā ir aktuāla un pieejama aprēķinu veikšanai. Nodevas tiks diferencētas atkarībā no </w:t>
                  </w:r>
                  <w:proofErr w:type="spellStart"/>
                  <w:r w:rsidRPr="00A45217">
                    <w:rPr>
                      <w:rFonts w:ascii="Times New Roman" w:hAnsi="Times New Roman" w:cs="Times New Roman"/>
                      <w:sz w:val="24"/>
                      <w:szCs w:val="24"/>
                    </w:rPr>
                    <w:t>būvkomersanta</w:t>
                  </w:r>
                  <w:proofErr w:type="spellEnd"/>
                  <w:r w:rsidRPr="00A45217">
                    <w:rPr>
                      <w:rFonts w:ascii="Times New Roman" w:hAnsi="Times New Roman" w:cs="Times New Roman"/>
                      <w:sz w:val="24"/>
                      <w:szCs w:val="24"/>
                    </w:rPr>
                    <w:t xml:space="preserve"> veikto darbu apjoma konkrētajā gadā, tādējādi nodrošinot taisnīgāku pieeju nozares finansēšanas jautājumā </w:t>
                  </w:r>
                  <w:proofErr w:type="spellStart"/>
                  <w:r w:rsidRPr="00A45217">
                    <w:rPr>
                      <w:rFonts w:ascii="Times New Roman" w:hAnsi="Times New Roman" w:cs="Times New Roman"/>
                      <w:sz w:val="24"/>
                      <w:szCs w:val="24"/>
                    </w:rPr>
                    <w:t>t.i</w:t>
                  </w:r>
                  <w:proofErr w:type="spellEnd"/>
                  <w:r w:rsidRPr="00A45217">
                    <w:rPr>
                      <w:rFonts w:ascii="Times New Roman" w:hAnsi="Times New Roman" w:cs="Times New Roman"/>
                      <w:sz w:val="24"/>
                      <w:szCs w:val="24"/>
                    </w:rPr>
                    <w:t>. komersantam ar lielāku apgrozījumu nosakot lielāku maksājamo nodevu, savukārt komersantam ar mazāku apgrozījumu – attiecīgi mazāku maksājamo nodevu.</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Lai nodrošinātu kvalitatīvu un sabiedrībai drošu būvniecību, mazinot administratīvo slogu būvniecības nozarē strādājošiem, nepieciešams finansējums. Piedāvātais nodevu apmērs ļaus finansēt nepieciešamos pasākumus informatīvajā ziņojumā minēto mērķu sasniegšanai: </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 - būvniecības kontroles sistēmas izveidei;</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 - būvniecības nozares standartu izstrādei un pilnveidošanai, kā arī nozares izpētes pasākumiem;</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būvniecības informācijas sistēmas pakalpojumu paplašināšanai;</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 -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klasifikācijas sistēmas izveidei un nodrošināšanai.</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Likumprojekts paredz, ka </w:t>
                  </w:r>
                  <w:proofErr w:type="spellStart"/>
                  <w:r w:rsidRPr="00A45217">
                    <w:rPr>
                      <w:rFonts w:ascii="Times New Roman" w:hAnsi="Times New Roman" w:cs="Times New Roman"/>
                      <w:sz w:val="24"/>
                      <w:szCs w:val="24"/>
                    </w:rPr>
                    <w:t>būvkomersantam</w:t>
                  </w:r>
                  <w:proofErr w:type="spellEnd"/>
                  <w:r w:rsidRPr="00A45217">
                    <w:rPr>
                      <w:rFonts w:ascii="Times New Roman" w:hAnsi="Times New Roman" w:cs="Times New Roman"/>
                      <w:sz w:val="24"/>
                      <w:szCs w:val="24"/>
                    </w:rPr>
                    <w:t xml:space="preserve"> valsts nodeva ir maksājama par ikgadējās reģistrācijas darbībām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reģistrā. </w:t>
                  </w:r>
                </w:p>
                <w:p w:rsidR="00A97E7D" w:rsidRPr="00A45217" w:rsidRDefault="00A45217" w:rsidP="00B26F44">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hAnsi="Times New Roman" w:cs="Times New Roman"/>
                      <w:sz w:val="24"/>
                      <w:szCs w:val="24"/>
                    </w:rPr>
                    <w:t>2) </w:t>
                  </w:r>
                  <w:r w:rsidR="00A97E7D" w:rsidRPr="00A45217">
                    <w:rPr>
                      <w:rFonts w:ascii="Times New Roman" w:hAnsi="Times New Roman" w:cs="Times New Roman"/>
                      <w:sz w:val="24"/>
                      <w:szCs w:val="24"/>
                    </w:rPr>
                    <w:t>Saskaņā ar likuma „Par nodokļiem un nodevām”  12.panta (</w:t>
                  </w:r>
                  <w:r w:rsidR="00A97E7D" w:rsidRPr="00A45217">
                    <w:rPr>
                      <w:rFonts w:ascii="Times New Roman" w:hAnsi="Times New Roman" w:cs="Times New Roman"/>
                      <w:bCs/>
                      <w:sz w:val="24"/>
                      <w:szCs w:val="24"/>
                    </w:rPr>
                    <w:t xml:space="preserve">Pašvaldību nodevu objekti) </w:t>
                  </w:r>
                  <w:r w:rsidR="00A97E7D" w:rsidRPr="00A45217">
                    <w:rPr>
                      <w:rFonts w:ascii="Times New Roman" w:hAnsi="Times New Roman" w:cs="Times New Roman"/>
                      <w:sz w:val="24"/>
                      <w:szCs w:val="24"/>
                    </w:rPr>
                    <w:t xml:space="preserve">pirmās daļas </w:t>
                  </w:r>
                  <w:r w:rsidR="00A97E7D" w:rsidRPr="00A45217">
                    <w:rPr>
                      <w:rFonts w:ascii="Times New Roman" w:hAnsi="Times New Roman" w:cs="Times New Roman"/>
                      <w:sz w:val="24"/>
                      <w:szCs w:val="24"/>
                    </w:rPr>
                    <w:lastRenderedPageBreak/>
                    <w:t>10.punktu v</w:t>
                  </w:r>
                  <w:r w:rsidR="00A97E7D" w:rsidRPr="00A45217">
                    <w:rPr>
                      <w:rFonts w:ascii="Times New Roman" w:eastAsia="Times New Roman" w:hAnsi="Times New Roman" w:cs="Times New Roman"/>
                      <w:sz w:val="24"/>
                      <w:szCs w:val="24"/>
                      <w:lang w:eastAsia="lv-LV"/>
                    </w:rPr>
                    <w:t xml:space="preserve">ietējās pašvaldības domei ir tiesības Ministru kabineta noteikumos noteiktajā kārtībā savā administratīvajā teritorijā uzlikt pašvaldības nodevas par būvatļaujas saņemšanu. </w:t>
                  </w:r>
                </w:p>
                <w:p w:rsidR="00A97E7D" w:rsidRPr="00A45217" w:rsidRDefault="000470EF" w:rsidP="00B26F4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Atbilstoši likuma „Par nodokļiem un nodevām” 1.panta 3.punktam, p</w:t>
                  </w:r>
                  <w:r w:rsidR="00A97E7D" w:rsidRPr="00A45217">
                    <w:rPr>
                      <w:rFonts w:ascii="Times New Roman" w:hAnsi="Times New Roman" w:cs="Times New Roman"/>
                      <w:sz w:val="24"/>
                      <w:szCs w:val="24"/>
                    </w:rPr>
                    <w:t xml:space="preserve">ašvaldības nodeva ir pašvaldības domes noteikts obligāts maksājums pašvaldības pamatbudžetā vai speciālajā budžetā. Pašvaldības nodevas apmērs nav tiešā veidā saistīts ar pašvaldības vai tās iestādes veiktās darbības izmaksu segšanu. Nodeva uzskatāma par politikas veidošanas un regulēšanas instrumentu, tā tiek noteikta ar mērķi atsevišķu politikas mērķu sasniegšanai, regulējot (kontrolējot, veicinot, ierobežojot) personas darbību. </w:t>
                  </w:r>
                </w:p>
                <w:p w:rsidR="00A97E7D" w:rsidRPr="00A45217" w:rsidRDefault="00A97E7D" w:rsidP="00B26F44">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Jaunais Būvniecības likums, kurš stājās spēkā 2014.gada 1.oktobrī, kā arī no likuma izrietošie Ministru kabineta noteikumi, kas nosaka būvniecības procesa kārtību ( Ministru kabineta 19.08.2014. noteikumi Nr.500 „</w:t>
                  </w:r>
                  <w:r w:rsidRPr="00A45217">
                    <w:rPr>
                      <w:rFonts w:ascii="Times New Roman" w:hAnsi="Times New Roman" w:cs="Times New Roman"/>
                      <w:bCs/>
                      <w:sz w:val="24"/>
                      <w:szCs w:val="24"/>
                    </w:rPr>
                    <w:t>Vispārīgie</w:t>
                  </w:r>
                  <w:r w:rsidRPr="00A45217">
                    <w:rPr>
                      <w:rFonts w:ascii="Times New Roman" w:hAnsi="Times New Roman" w:cs="Times New Roman"/>
                      <w:bCs/>
                      <w:i/>
                      <w:iCs/>
                      <w:sz w:val="24"/>
                      <w:szCs w:val="24"/>
                    </w:rPr>
                    <w:t xml:space="preserve"> </w:t>
                  </w:r>
                  <w:r w:rsidRPr="00A45217">
                    <w:rPr>
                      <w:rFonts w:ascii="Times New Roman" w:hAnsi="Times New Roman" w:cs="Times New Roman"/>
                      <w:bCs/>
                      <w:sz w:val="24"/>
                      <w:szCs w:val="24"/>
                    </w:rPr>
                    <w:t>būvnoteikumi</w:t>
                  </w:r>
                  <w:r w:rsidRPr="00A45217">
                    <w:rPr>
                      <w:rFonts w:ascii="Times New Roman" w:eastAsiaTheme="minorEastAsia" w:hAnsi="Times New Roman" w:cs="Times New Roman"/>
                      <w:sz w:val="24"/>
                      <w:szCs w:val="24"/>
                    </w:rPr>
                    <w:t xml:space="preserve">”; </w:t>
                  </w:r>
                  <w:r w:rsidRPr="00A45217">
                    <w:rPr>
                      <w:rFonts w:ascii="Times New Roman" w:hAnsi="Times New Roman" w:cs="Times New Roman"/>
                      <w:sz w:val="24"/>
                      <w:szCs w:val="24"/>
                    </w:rPr>
                    <w:t>Ministru kabineta 19.08.2014. noteikumi Nr.501  „</w:t>
                  </w:r>
                  <w:r w:rsidRPr="00A45217">
                    <w:rPr>
                      <w:rFonts w:ascii="Times New Roman" w:hAnsi="Times New Roman" w:cs="Times New Roman"/>
                      <w:bCs/>
                      <w:sz w:val="24"/>
                      <w:szCs w:val="24"/>
                    </w:rPr>
                    <w:t>Elektronisko sakaru tīklu ierīkošanas un būvniecības būvnoteikumi</w:t>
                  </w:r>
                  <w:r w:rsidRPr="00A45217">
                    <w:rPr>
                      <w:rFonts w:ascii="Times New Roman" w:hAnsi="Times New Roman" w:cs="Times New Roman"/>
                      <w:sz w:val="24"/>
                      <w:szCs w:val="24"/>
                    </w:rPr>
                    <w:t>”; Ministru kabineta 02.09.2014. noteikumi Nr.529 „</w:t>
                  </w:r>
                  <w:r w:rsidRPr="00A45217">
                    <w:rPr>
                      <w:rFonts w:ascii="Times New Roman" w:hAnsi="Times New Roman" w:cs="Times New Roman"/>
                      <w:bCs/>
                      <w:sz w:val="24"/>
                      <w:szCs w:val="24"/>
                    </w:rPr>
                    <w:t>Ēku būvnoteikumi</w:t>
                  </w:r>
                  <w:r w:rsidRPr="00A45217">
                    <w:rPr>
                      <w:rFonts w:ascii="Times New Roman" w:hAnsi="Times New Roman" w:cs="Times New Roman"/>
                      <w:sz w:val="24"/>
                      <w:szCs w:val="24"/>
                    </w:rPr>
                    <w:t>”; Ministru kabineta 16.09.2014. noteikumi Nr.550 „</w:t>
                  </w:r>
                  <w:r w:rsidR="000470EF">
                    <w:rPr>
                      <w:rFonts w:ascii="Times New Roman" w:hAnsi="Times New Roman" w:cs="Times New Roman"/>
                      <w:sz w:val="24"/>
                      <w:szCs w:val="24"/>
                    </w:rPr>
                    <w:t>Hidrotehnisko un m</w:t>
                  </w:r>
                  <w:r w:rsidRPr="00A45217">
                    <w:rPr>
                      <w:rFonts w:ascii="Times New Roman" w:hAnsi="Times New Roman" w:cs="Times New Roman"/>
                      <w:bCs/>
                      <w:sz w:val="24"/>
                      <w:szCs w:val="24"/>
                    </w:rPr>
                    <w:t>eliorācijas būvju būvnoteikumi</w:t>
                  </w:r>
                  <w:r w:rsidRPr="00A45217">
                    <w:rPr>
                      <w:rFonts w:ascii="Times New Roman" w:hAnsi="Times New Roman" w:cs="Times New Roman"/>
                      <w:sz w:val="24"/>
                      <w:szCs w:val="24"/>
                    </w:rPr>
                    <w:t>”; Ministru kabineta 16.09.2014. noteikumi Nr.551 „</w:t>
                  </w:r>
                  <w:r w:rsidRPr="00A45217">
                    <w:rPr>
                      <w:rFonts w:ascii="Times New Roman" w:hAnsi="Times New Roman" w:cs="Times New Roman"/>
                      <w:bCs/>
                      <w:sz w:val="24"/>
                      <w:szCs w:val="24"/>
                    </w:rPr>
                    <w:t>Ostu hidrotehnisko, siltumenerģijas, gāzes un citu, atsevišķi neklasificētu, inženierbūvju būvnoteikumi</w:t>
                  </w:r>
                  <w:r w:rsidRPr="00A45217">
                    <w:rPr>
                      <w:rFonts w:ascii="Times New Roman" w:hAnsi="Times New Roman" w:cs="Times New Roman"/>
                      <w:sz w:val="24"/>
                      <w:szCs w:val="24"/>
                    </w:rPr>
                    <w:t xml:space="preserve">”; Ministru kabineta 30.09.2014. noteikumi Nr.573 </w:t>
                  </w:r>
                  <w:r w:rsidRPr="00A45217">
                    <w:rPr>
                      <w:rFonts w:ascii="Times New Roman" w:hAnsi="Times New Roman" w:cs="Times New Roman"/>
                      <w:bCs/>
                      <w:sz w:val="24"/>
                      <w:szCs w:val="24"/>
                    </w:rPr>
                    <w:t xml:space="preserve">„Elektroenerģijas ražošanas, pārvades un sadales būvju būvnoteikumi”) </w:t>
                  </w:r>
                  <w:r w:rsidRPr="00A45217">
                    <w:rPr>
                      <w:rFonts w:ascii="Times New Roman" w:hAnsi="Times New Roman" w:cs="Times New Roman"/>
                      <w:sz w:val="24"/>
                      <w:szCs w:val="24"/>
                    </w:rPr>
                    <w:t xml:space="preserve">paredz būvniecības veidus, kuros netiek izdota būvatļauja, taču tāpat tiek pieņemts lēmums par būvniecības saskaņošanu – paskaidrojuma raksta saskaņošana (atzīme), apliecinājuma kartes saskaņošana (atzīme) un </w:t>
                  </w:r>
                  <w:proofErr w:type="spellStart"/>
                  <w:r w:rsidRPr="00A45217">
                    <w:rPr>
                      <w:rFonts w:ascii="Times New Roman" w:hAnsi="Times New Roman" w:cs="Times New Roman"/>
                      <w:sz w:val="24"/>
                      <w:szCs w:val="24"/>
                    </w:rPr>
                    <w:t>tml</w:t>
                  </w:r>
                  <w:proofErr w:type="spellEnd"/>
                  <w:r w:rsidRPr="00A45217">
                    <w:rPr>
                      <w:rFonts w:ascii="Times New Roman" w:hAnsi="Times New Roman" w:cs="Times New Roman"/>
                      <w:sz w:val="24"/>
                      <w:szCs w:val="24"/>
                    </w:rPr>
                    <w:t xml:space="preserve">., taču par šādu būvniecības saskaņošanu, vadoties no esošā un plānotā normatīvā regulējuma, pašvaldība nevar uzlikt </w:t>
                  </w:r>
                  <w:proofErr w:type="spellStart"/>
                  <w:r w:rsidRPr="00A45217">
                    <w:rPr>
                      <w:rFonts w:ascii="Times New Roman" w:hAnsi="Times New Roman" w:cs="Times New Roman"/>
                      <w:sz w:val="24"/>
                      <w:szCs w:val="24"/>
                    </w:rPr>
                    <w:t>būvnodevu</w:t>
                  </w:r>
                  <w:proofErr w:type="spellEnd"/>
                  <w:r w:rsidRPr="00A45217">
                    <w:rPr>
                      <w:rFonts w:ascii="Times New Roman" w:hAnsi="Times New Roman" w:cs="Times New Roman"/>
                      <w:sz w:val="24"/>
                      <w:szCs w:val="24"/>
                    </w:rPr>
                    <w:t>, kas nav pamatoti, jo tieši tāpat kā gadījumos, kad izdodama būvatļauja, pašvaldības institūcijām tieši tāpat rodas izmaksas par procesa nodrošināšanu, tikai mazākā apmērā. Jāpiebilst, ka vienkāršotās procedūras sastāda būtisku daļu no pieņemamajiem lēmumiem par būvniecības iecerēm.</w:t>
                  </w:r>
                </w:p>
                <w:p w:rsidR="00A97E7D" w:rsidRPr="00A45217" w:rsidRDefault="00A97E7D" w:rsidP="00B26F44">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Lai nodrošinātu, ka pašvaldības nodevu varētu iekasēt visos gadījumos, kad būvvalde izskata būvniecības ieceri, nepieciešams veikt grozījumus likumā “Par nodokļiem un nodevām”, paredzot, ka pašvaldības nodevas objekts ir jebkura būvniecības iecere, par kuru būvniecības procesā būvvalde pieņem lēmumu.</w:t>
                  </w:r>
                </w:p>
                <w:p w:rsidR="00A97E7D" w:rsidRPr="00A45217" w:rsidRDefault="00A97E7D" w:rsidP="00B26F44">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Likumprojekts paredz izteikt </w:t>
                  </w:r>
                  <w:r w:rsidRPr="00A45217">
                    <w:rPr>
                      <w:rFonts w:ascii="Times New Roman" w:eastAsia="Times New Roman" w:hAnsi="Times New Roman" w:cs="Times New Roman"/>
                      <w:sz w:val="24"/>
                      <w:szCs w:val="24"/>
                      <w:lang w:eastAsia="lv-LV"/>
                    </w:rPr>
                    <w:t>12.panta pirmās daļas 10.punktu šādā redakcijā: „būvatļaujas izdošanu vai būvniecības ieceres akceptu, izdarot atzīmi paskaidrojuma rakstā vai apliecinājuma kartē, būvniecību reglamentējošo normatīvo aktu noteiktajā kārtībā”</w:t>
                  </w:r>
                  <w:r w:rsidRPr="00A45217">
                    <w:rPr>
                      <w:rFonts w:ascii="Times New Roman" w:hAnsi="Times New Roman" w:cs="Times New Roman"/>
                      <w:sz w:val="24"/>
                      <w:szCs w:val="24"/>
                    </w:rPr>
                    <w:t>.</w:t>
                  </w:r>
                </w:p>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lastRenderedPageBreak/>
                    <w:t>Likumprojekts stāsies spēkā 2015.gada 1.janvārī.</w:t>
                  </w:r>
                </w:p>
                <w:p w:rsidR="00A97E7D" w:rsidRPr="00A45217" w:rsidRDefault="00A97E7D" w:rsidP="00544C0B">
                  <w:pPr>
                    <w:spacing w:after="0" w:line="240" w:lineRule="auto"/>
                    <w:ind w:left="57" w:right="57"/>
                    <w:jc w:val="both"/>
                    <w:rPr>
                      <w:rFonts w:ascii="Times New Roman" w:hAnsi="Times New Roman" w:cs="Times New Roman"/>
                      <w:sz w:val="24"/>
                      <w:szCs w:val="24"/>
                    </w:rPr>
                  </w:pPr>
                </w:p>
              </w:tc>
            </w:tr>
            <w:tr w:rsidR="00A45217" w:rsidRPr="00A45217" w:rsidTr="00544C0B">
              <w:trPr>
                <w:trHeight w:val="465"/>
                <w:tblCellSpacing w:w="15" w:type="dxa"/>
              </w:trPr>
              <w:tc>
                <w:tcPr>
                  <w:tcW w:w="237" w:type="pct"/>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lastRenderedPageBreak/>
                    <w:t>3.</w:t>
                  </w:r>
                </w:p>
              </w:tc>
              <w:tc>
                <w:tcPr>
                  <w:tcW w:w="147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Projekta izstrādē iesaistītās institūcijas</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224" w:type="pct"/>
                  <w:hideMark/>
                </w:tcPr>
                <w:p w:rsidR="00A97E7D" w:rsidRPr="00A45217" w:rsidRDefault="00A97E7D" w:rsidP="00544C0B">
                  <w:pPr>
                    <w:spacing w:after="0" w:line="240" w:lineRule="auto"/>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w:t>
                  </w:r>
                </w:p>
              </w:tc>
            </w:tr>
            <w:tr w:rsidR="00A45217" w:rsidRPr="00A45217" w:rsidTr="00544C0B">
              <w:trPr>
                <w:tblCellSpacing w:w="15" w:type="dxa"/>
              </w:trPr>
              <w:tc>
                <w:tcPr>
                  <w:tcW w:w="237" w:type="pct"/>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4.</w:t>
                  </w:r>
                </w:p>
              </w:tc>
              <w:tc>
                <w:tcPr>
                  <w:tcW w:w="147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Cita informācija</w:t>
                  </w:r>
                </w:p>
              </w:tc>
              <w:tc>
                <w:tcPr>
                  <w:tcW w:w="3224" w:type="pct"/>
                  <w:hideMark/>
                </w:tcPr>
                <w:p w:rsidR="00A97E7D" w:rsidRPr="00A45217" w:rsidRDefault="00A97E7D" w:rsidP="00544C0B">
                  <w:pPr>
                    <w:pStyle w:val="Normal1"/>
                    <w:jc w:val="both"/>
                    <w:rPr>
                      <w:rFonts w:ascii="Times New Roman" w:hAnsi="Times New Roman"/>
                      <w:sz w:val="24"/>
                      <w:szCs w:val="24"/>
                    </w:rPr>
                  </w:pPr>
                  <w:r w:rsidRPr="00A45217">
                    <w:rPr>
                      <w:rFonts w:ascii="Times New Roman" w:hAnsi="Times New Roman"/>
                      <w:sz w:val="24"/>
                      <w:szCs w:val="24"/>
                    </w:rPr>
                    <w:t xml:space="preserve">Nav </w:t>
                  </w:r>
                </w:p>
                <w:p w:rsidR="00A97E7D" w:rsidRPr="00A45217" w:rsidRDefault="00A97E7D" w:rsidP="00544C0B">
                  <w:pPr>
                    <w:pStyle w:val="Normal1"/>
                    <w:jc w:val="both"/>
                    <w:rPr>
                      <w:rFonts w:ascii="Times New Roman" w:hAnsi="Times New Roman"/>
                      <w:sz w:val="24"/>
                      <w:szCs w:val="24"/>
                    </w:rPr>
                  </w:pP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9"/>
              <w:gridCol w:w="2849"/>
              <w:gridCol w:w="5959"/>
            </w:tblGrid>
            <w:tr w:rsidR="00A45217" w:rsidRPr="00A45217" w:rsidTr="00544C0B">
              <w:trPr>
                <w:trHeight w:val="555"/>
                <w:tblCellSpacing w:w="15" w:type="dxa"/>
              </w:trPr>
              <w:tc>
                <w:tcPr>
                  <w:tcW w:w="4968" w:type="pct"/>
                  <w:gridSpan w:val="3"/>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5217" w:rsidRPr="00A45217" w:rsidTr="00544C0B">
              <w:trPr>
                <w:trHeight w:val="465"/>
                <w:tblCellSpacing w:w="15" w:type="dxa"/>
              </w:trPr>
              <w:tc>
                <w:tcPr>
                  <w:tcW w:w="251"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w:t>
                  </w:r>
                </w:p>
              </w:tc>
              <w:tc>
                <w:tcPr>
                  <w:tcW w:w="1523"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Sabiedrības </w:t>
                  </w:r>
                  <w:proofErr w:type="spellStart"/>
                  <w:r w:rsidRPr="00A45217">
                    <w:rPr>
                      <w:rFonts w:ascii="Times New Roman" w:eastAsia="Times New Roman" w:hAnsi="Times New Roman" w:cs="Times New Roman"/>
                      <w:sz w:val="24"/>
                      <w:szCs w:val="24"/>
                      <w:lang w:eastAsia="lv-LV"/>
                    </w:rPr>
                    <w:t>mērķgrupas</w:t>
                  </w:r>
                  <w:proofErr w:type="spellEnd"/>
                  <w:r w:rsidRPr="00A45217">
                    <w:rPr>
                      <w:rFonts w:ascii="Times New Roman" w:eastAsia="Times New Roman" w:hAnsi="Times New Roman" w:cs="Times New Roman"/>
                      <w:sz w:val="24"/>
                      <w:szCs w:val="24"/>
                      <w:lang w:eastAsia="lv-LV"/>
                    </w:rPr>
                    <w:t>, kuras tiesiskais regulējums ietekmē vai varētu ietekmēt</w:t>
                  </w:r>
                </w:p>
              </w:tc>
              <w:tc>
                <w:tcPr>
                  <w:tcW w:w="3162" w:type="pct"/>
                  <w:hideMark/>
                </w:tcPr>
                <w:p w:rsidR="00A97E7D" w:rsidRPr="00A45217" w:rsidRDefault="00A45217" w:rsidP="00544C0B">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 </w:t>
                  </w:r>
                  <w:proofErr w:type="spellStart"/>
                  <w:r w:rsidR="00A97E7D" w:rsidRPr="00A45217">
                    <w:rPr>
                      <w:rFonts w:ascii="Times New Roman" w:eastAsia="Times New Roman" w:hAnsi="Times New Roman" w:cs="Times New Roman"/>
                      <w:sz w:val="24"/>
                      <w:szCs w:val="24"/>
                      <w:lang w:eastAsia="lv-LV"/>
                    </w:rPr>
                    <w:t>Būvkomersanti</w:t>
                  </w:r>
                  <w:proofErr w:type="spellEnd"/>
                  <w:r w:rsidR="00A97E7D" w:rsidRPr="00A45217">
                    <w:rPr>
                      <w:rFonts w:ascii="Times New Roman" w:eastAsia="Times New Roman" w:hAnsi="Times New Roman" w:cs="Times New Roman"/>
                      <w:sz w:val="24"/>
                      <w:szCs w:val="24"/>
                      <w:lang w:eastAsia="lv-LV"/>
                    </w:rPr>
                    <w:t xml:space="preserve">, kas sniedz pakalpojumus būvniecības jomā – 3852 </w:t>
                  </w:r>
                  <w:proofErr w:type="spellStart"/>
                  <w:r w:rsidR="00A97E7D" w:rsidRPr="00A45217">
                    <w:rPr>
                      <w:rFonts w:ascii="Times New Roman" w:eastAsia="Times New Roman" w:hAnsi="Times New Roman" w:cs="Times New Roman"/>
                      <w:sz w:val="24"/>
                      <w:szCs w:val="24"/>
                      <w:lang w:eastAsia="lv-LV"/>
                    </w:rPr>
                    <w:t>būvkomersanti</w:t>
                  </w:r>
                  <w:proofErr w:type="spellEnd"/>
                  <w:r w:rsidR="00A97E7D" w:rsidRPr="00A45217">
                    <w:rPr>
                      <w:rFonts w:ascii="Times New Roman" w:eastAsia="Times New Roman" w:hAnsi="Times New Roman" w:cs="Times New Roman"/>
                      <w:sz w:val="24"/>
                      <w:szCs w:val="24"/>
                      <w:lang w:eastAsia="lv-LV"/>
                    </w:rPr>
                    <w:t xml:space="preserve"> (pēc 2012.gadā </w:t>
                  </w:r>
                  <w:proofErr w:type="spellStart"/>
                  <w:r w:rsidR="00A97E7D" w:rsidRPr="00A45217">
                    <w:rPr>
                      <w:rFonts w:ascii="Times New Roman" w:eastAsia="Times New Roman" w:hAnsi="Times New Roman" w:cs="Times New Roman"/>
                      <w:sz w:val="24"/>
                      <w:szCs w:val="24"/>
                      <w:lang w:eastAsia="lv-LV"/>
                    </w:rPr>
                    <w:t>būvkomersantu</w:t>
                  </w:r>
                  <w:proofErr w:type="spellEnd"/>
                  <w:r w:rsidR="00A97E7D" w:rsidRPr="00A45217">
                    <w:rPr>
                      <w:rFonts w:ascii="Times New Roman" w:eastAsia="Times New Roman" w:hAnsi="Times New Roman" w:cs="Times New Roman"/>
                      <w:sz w:val="24"/>
                      <w:szCs w:val="24"/>
                      <w:lang w:eastAsia="lv-LV"/>
                    </w:rPr>
                    <w:t xml:space="preserve"> reģistrā iesniegtajiem datiem).</w:t>
                  </w:r>
                </w:p>
                <w:p w:rsidR="00A97E7D" w:rsidRPr="00A45217" w:rsidRDefault="00A45217" w:rsidP="00A97E7D">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w:t>
                  </w:r>
                  <w:r w:rsidR="00A97E7D" w:rsidRPr="00A45217">
                    <w:rPr>
                      <w:rFonts w:ascii="Times New Roman" w:eastAsia="Times New Roman" w:hAnsi="Times New Roman" w:cs="Times New Roman"/>
                      <w:sz w:val="24"/>
                      <w:szCs w:val="24"/>
                      <w:lang w:eastAsia="lv-LV"/>
                    </w:rPr>
                    <w:t xml:space="preserve">Personas, kuras ierosinās būvniecību. </w:t>
                  </w:r>
                </w:p>
                <w:p w:rsidR="00A97E7D" w:rsidRPr="00A45217" w:rsidRDefault="00A97E7D" w:rsidP="00544C0B">
                  <w:pPr>
                    <w:spacing w:after="0" w:line="240" w:lineRule="auto"/>
                    <w:jc w:val="both"/>
                    <w:rPr>
                      <w:rFonts w:ascii="Times New Roman" w:eastAsia="Times New Roman" w:hAnsi="Times New Roman" w:cs="Times New Roman"/>
                      <w:sz w:val="24"/>
                      <w:szCs w:val="24"/>
                      <w:lang w:eastAsia="lv-LV"/>
                    </w:rPr>
                  </w:pPr>
                </w:p>
              </w:tc>
            </w:tr>
            <w:tr w:rsidR="00A45217" w:rsidRPr="00A45217" w:rsidTr="00544C0B">
              <w:trPr>
                <w:trHeight w:val="510"/>
                <w:tblCellSpacing w:w="15" w:type="dxa"/>
              </w:trPr>
              <w:tc>
                <w:tcPr>
                  <w:tcW w:w="251"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w:t>
                  </w:r>
                </w:p>
              </w:tc>
              <w:tc>
                <w:tcPr>
                  <w:tcW w:w="1523"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rsidR="00A97E7D" w:rsidRPr="00A45217" w:rsidRDefault="00A45217" w:rsidP="00A45217">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 </w:t>
                  </w:r>
                  <w:proofErr w:type="spellStart"/>
                  <w:r w:rsidR="00A97E7D" w:rsidRPr="00A45217">
                    <w:rPr>
                      <w:rFonts w:ascii="Times New Roman" w:eastAsia="Times New Roman" w:hAnsi="Times New Roman" w:cs="Times New Roman"/>
                      <w:sz w:val="24"/>
                      <w:szCs w:val="24"/>
                      <w:lang w:eastAsia="lv-LV"/>
                    </w:rPr>
                    <w:t>Būvkomersants</w:t>
                  </w:r>
                  <w:proofErr w:type="spellEnd"/>
                  <w:r w:rsidR="00A97E7D" w:rsidRPr="00A45217">
                    <w:rPr>
                      <w:rFonts w:ascii="Times New Roman" w:eastAsia="Times New Roman" w:hAnsi="Times New Roman" w:cs="Times New Roman"/>
                      <w:sz w:val="24"/>
                      <w:szCs w:val="24"/>
                      <w:lang w:eastAsia="lv-LV"/>
                    </w:rPr>
                    <w:t xml:space="preserve"> jau šobrīd maksā valsts nodevu par pirmreizēju un atkārtotu reģistrāciju </w:t>
                  </w:r>
                  <w:proofErr w:type="spellStart"/>
                  <w:r w:rsidR="00A97E7D" w:rsidRPr="00A45217">
                    <w:rPr>
                      <w:rFonts w:ascii="Times New Roman" w:eastAsia="Times New Roman" w:hAnsi="Times New Roman" w:cs="Times New Roman"/>
                      <w:sz w:val="24"/>
                      <w:szCs w:val="24"/>
                      <w:lang w:eastAsia="lv-LV"/>
                    </w:rPr>
                    <w:t>būvkomersantu</w:t>
                  </w:r>
                  <w:proofErr w:type="spellEnd"/>
                  <w:r w:rsidR="00A97E7D" w:rsidRPr="00A45217">
                    <w:rPr>
                      <w:rFonts w:ascii="Times New Roman" w:eastAsia="Times New Roman" w:hAnsi="Times New Roman" w:cs="Times New Roman"/>
                      <w:sz w:val="24"/>
                      <w:szCs w:val="24"/>
                      <w:lang w:eastAsia="lv-LV"/>
                    </w:rPr>
                    <w:t xml:space="preserve"> reģistrā. Par pirmreizēju reģistrāciju valsts nodeva tiek maksāta vienu reizi. </w:t>
                  </w:r>
                </w:p>
                <w:p w:rsidR="00A97E7D" w:rsidRPr="00A45217" w:rsidRDefault="00A45217" w:rsidP="00A45217">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w:t>
                  </w:r>
                  <w:r w:rsidR="00A97E7D" w:rsidRPr="00A45217">
                    <w:rPr>
                      <w:rFonts w:ascii="Times New Roman" w:eastAsia="Times New Roman" w:hAnsi="Times New Roman" w:cs="Times New Roman"/>
                      <w:sz w:val="24"/>
                      <w:szCs w:val="24"/>
                      <w:lang w:eastAsia="lv-LV"/>
                    </w:rPr>
                    <w:t>Personai būs pienākums maksāt pašvaldības nodevu arī par būvvaldes lēmuma par būvniecības ieceres akceptu, izdarot atzīmi paskaidrojuma rakstā vai apliecinājuma kartē.</w:t>
                  </w:r>
                </w:p>
                <w:p w:rsidR="00A45217" w:rsidRPr="00A45217" w:rsidRDefault="00A45217" w:rsidP="00A45217">
                  <w:pPr>
                    <w:spacing w:after="0" w:line="240" w:lineRule="auto"/>
                    <w:ind w:left="57" w:right="57"/>
                    <w:jc w:val="both"/>
                    <w:rPr>
                      <w:rFonts w:ascii="Times New Roman" w:eastAsia="Times New Roman" w:hAnsi="Times New Roman" w:cs="Times New Roman"/>
                      <w:sz w:val="24"/>
                      <w:szCs w:val="24"/>
                      <w:lang w:eastAsia="lv-LV"/>
                    </w:rPr>
                  </w:pPr>
                </w:p>
              </w:tc>
            </w:tr>
            <w:tr w:rsidR="00A45217" w:rsidRPr="00A45217" w:rsidTr="00544C0B">
              <w:trPr>
                <w:trHeight w:val="510"/>
                <w:tblCellSpacing w:w="15" w:type="dxa"/>
              </w:trPr>
              <w:tc>
                <w:tcPr>
                  <w:tcW w:w="251"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w:t>
                  </w:r>
                </w:p>
              </w:tc>
              <w:tc>
                <w:tcPr>
                  <w:tcW w:w="1523"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Administratīvo izmaksu monetārs novērtējums</w:t>
                  </w:r>
                </w:p>
              </w:tc>
              <w:tc>
                <w:tcPr>
                  <w:tcW w:w="3162" w:type="pct"/>
                  <w:hideMark/>
                </w:tcPr>
                <w:p w:rsidR="00A97E7D" w:rsidRPr="00A45217" w:rsidRDefault="00A45217" w:rsidP="00A45217">
                  <w:pPr>
                    <w:autoSpaceDE w:val="0"/>
                    <w:autoSpaceDN w:val="0"/>
                    <w:adjustRightInd w:val="0"/>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1) </w:t>
                  </w:r>
                  <w:r w:rsidR="00A97E7D" w:rsidRPr="00A45217">
                    <w:rPr>
                      <w:rFonts w:ascii="Times New Roman" w:hAnsi="Times New Roman" w:cs="Times New Roman"/>
                      <w:sz w:val="24"/>
                      <w:szCs w:val="24"/>
                    </w:rPr>
                    <w:t xml:space="preserve">Ikgadējā informācija </w:t>
                  </w:r>
                  <w:proofErr w:type="spellStart"/>
                  <w:r w:rsidR="00A97E7D" w:rsidRPr="00A45217">
                    <w:rPr>
                      <w:rFonts w:ascii="Times New Roman" w:hAnsi="Times New Roman" w:cs="Times New Roman"/>
                      <w:sz w:val="24"/>
                      <w:szCs w:val="24"/>
                    </w:rPr>
                    <w:t>būvkomersantu</w:t>
                  </w:r>
                  <w:proofErr w:type="spellEnd"/>
                  <w:r w:rsidR="00A97E7D" w:rsidRPr="00A45217">
                    <w:rPr>
                      <w:rFonts w:ascii="Times New Roman" w:hAnsi="Times New Roman" w:cs="Times New Roman"/>
                      <w:sz w:val="24"/>
                      <w:szCs w:val="24"/>
                    </w:rPr>
                    <w:t xml:space="preserve"> reģistrā tiek atjaunota, ja </w:t>
                  </w:r>
                  <w:proofErr w:type="spellStart"/>
                  <w:r w:rsidR="00A97E7D" w:rsidRPr="00A45217">
                    <w:rPr>
                      <w:rFonts w:ascii="Times New Roman" w:hAnsi="Times New Roman" w:cs="Times New Roman"/>
                      <w:sz w:val="24"/>
                      <w:szCs w:val="24"/>
                    </w:rPr>
                    <w:t>būvkomersants</w:t>
                  </w:r>
                  <w:proofErr w:type="spellEnd"/>
                  <w:r w:rsidR="00A97E7D" w:rsidRPr="00A45217">
                    <w:rPr>
                      <w:rFonts w:ascii="Times New Roman" w:hAnsi="Times New Roman" w:cs="Times New Roman"/>
                      <w:sz w:val="24"/>
                      <w:szCs w:val="24"/>
                    </w:rPr>
                    <w:t xml:space="preserve"> nomaksājis noteiktajā apmērā (nodevas apmērs nosakāms pēc pašu sniegtā pakalpojuma apmēra konkrētajā gadā) valsts nodevu par reģistrācijas darbībām </w:t>
                  </w:r>
                  <w:proofErr w:type="spellStart"/>
                  <w:r w:rsidR="00A97E7D" w:rsidRPr="00A45217">
                    <w:rPr>
                      <w:rFonts w:ascii="Times New Roman" w:hAnsi="Times New Roman" w:cs="Times New Roman"/>
                      <w:sz w:val="24"/>
                      <w:szCs w:val="24"/>
                    </w:rPr>
                    <w:t>būvkomersantu</w:t>
                  </w:r>
                  <w:proofErr w:type="spellEnd"/>
                  <w:r w:rsidR="00A97E7D" w:rsidRPr="00A45217">
                    <w:rPr>
                      <w:rFonts w:ascii="Times New Roman" w:hAnsi="Times New Roman" w:cs="Times New Roman"/>
                      <w:sz w:val="24"/>
                      <w:szCs w:val="24"/>
                    </w:rPr>
                    <w:t xml:space="preserve"> reģistrā. Valsts nodeva var tikt apmaksāta ar maksājumu iestādes starpniecību, kurai ir tiesības sniegt maksājumu pakalpojumus Maksājumu pakalpojumu un elektroniskās naudas likuma izpratnē, pirms ikgadējās informācijas iesnieguma iesniegšanas reģistrā iestādei papīra dokumenta formā vai izmantojot Valsts reģionālās attīstības aģentūras </w:t>
                  </w:r>
                  <w:proofErr w:type="spellStart"/>
                  <w:r w:rsidR="00A97E7D" w:rsidRPr="00A45217">
                    <w:rPr>
                      <w:rFonts w:ascii="Times New Roman" w:hAnsi="Times New Roman" w:cs="Times New Roman"/>
                      <w:sz w:val="24"/>
                      <w:szCs w:val="24"/>
                    </w:rPr>
                    <w:t>pārziņā</w:t>
                  </w:r>
                  <w:proofErr w:type="spellEnd"/>
                  <w:r w:rsidR="00A97E7D" w:rsidRPr="00A45217">
                    <w:rPr>
                      <w:rFonts w:ascii="Times New Roman" w:hAnsi="Times New Roman" w:cs="Times New Roman"/>
                      <w:sz w:val="24"/>
                      <w:szCs w:val="24"/>
                    </w:rPr>
                    <w:t xml:space="preserve"> esošā Valsts informācijas sistēmu savietotāja koplietošanas maksājuma moduli, ja minēto informāciju </w:t>
                  </w:r>
                  <w:proofErr w:type="spellStart"/>
                  <w:r w:rsidR="00A97E7D" w:rsidRPr="00A45217">
                    <w:rPr>
                      <w:rFonts w:ascii="Times New Roman" w:hAnsi="Times New Roman" w:cs="Times New Roman"/>
                      <w:sz w:val="24"/>
                      <w:szCs w:val="24"/>
                    </w:rPr>
                    <w:t>būvkomersants</w:t>
                  </w:r>
                  <w:proofErr w:type="spellEnd"/>
                  <w:r w:rsidR="00A97E7D" w:rsidRPr="00A45217">
                    <w:rPr>
                      <w:rFonts w:ascii="Times New Roman" w:hAnsi="Times New Roman" w:cs="Times New Roman"/>
                      <w:sz w:val="24"/>
                      <w:szCs w:val="24"/>
                    </w:rPr>
                    <w:t xml:space="preserve"> iesniedz reģistra iestādē elektroniski, aizpildot speciālu tiešsaistes formu būvniecības informācijas sistēmas tīmekļa vietnē </w:t>
                  </w:r>
                  <w:proofErr w:type="spellStart"/>
                  <w:r w:rsidR="00A97E7D" w:rsidRPr="00A45217">
                    <w:rPr>
                      <w:rFonts w:ascii="Times New Roman" w:hAnsi="Times New Roman" w:cs="Times New Roman"/>
                      <w:sz w:val="24"/>
                      <w:szCs w:val="24"/>
                    </w:rPr>
                    <w:t>www.bis.gov.lv</w:t>
                  </w:r>
                  <w:proofErr w:type="spellEnd"/>
                  <w:r w:rsidR="00A97E7D" w:rsidRPr="00A45217">
                    <w:rPr>
                      <w:rFonts w:ascii="Times New Roman" w:hAnsi="Times New Roman" w:cs="Times New Roman"/>
                      <w:sz w:val="24"/>
                      <w:szCs w:val="24"/>
                    </w:rPr>
                    <w:t>. Valsts nodevas iemaksāšana notiek Valsts kases kontā.</w:t>
                  </w:r>
                </w:p>
                <w:p w:rsidR="00A97E7D" w:rsidRPr="00A45217" w:rsidRDefault="00A97E7D" w:rsidP="00A45217">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Valsts nodevas maksājums ir </w:t>
                  </w:r>
                  <w:proofErr w:type="spellStart"/>
                  <w:r w:rsidRPr="00A45217">
                    <w:rPr>
                      <w:rFonts w:ascii="Times New Roman" w:eastAsia="Times New Roman" w:hAnsi="Times New Roman" w:cs="Times New Roman"/>
                      <w:sz w:val="24"/>
                      <w:szCs w:val="24"/>
                      <w:lang w:eastAsia="lv-LV"/>
                    </w:rPr>
                    <w:t>būvkomersanta</w:t>
                  </w:r>
                  <w:proofErr w:type="spellEnd"/>
                  <w:r w:rsidRPr="00A45217">
                    <w:rPr>
                      <w:rFonts w:ascii="Times New Roman" w:eastAsia="Times New Roman" w:hAnsi="Times New Roman" w:cs="Times New Roman"/>
                      <w:sz w:val="24"/>
                      <w:szCs w:val="24"/>
                      <w:lang w:eastAsia="lv-LV"/>
                    </w:rPr>
                    <w:t xml:space="preserve"> tiešās finansiālās izmaksas. Administratīvās izmaksas komersantam jau tiek samazinātas, jo nodevas maksājums tiek veikts, izmantojot banku pakalpojumus. Ņemot vērā, ka starpbanku maksājumi ir no 0,2 EUR līdz 0,5 EUR, </w:t>
                  </w:r>
                  <w:r w:rsidRPr="00A45217">
                    <w:rPr>
                      <w:rFonts w:ascii="Times New Roman" w:eastAsia="Times New Roman" w:hAnsi="Times New Roman" w:cs="Times New Roman"/>
                      <w:sz w:val="24"/>
                      <w:szCs w:val="24"/>
                      <w:lang w:eastAsia="lv-LV"/>
                    </w:rPr>
                    <w:lastRenderedPageBreak/>
                    <w:t xml:space="preserve">administratīvās izmaksas </w:t>
                  </w:r>
                  <w:proofErr w:type="spellStart"/>
                  <w:r w:rsidRPr="00A45217">
                    <w:rPr>
                      <w:rFonts w:ascii="Times New Roman" w:eastAsia="Times New Roman" w:hAnsi="Times New Roman" w:cs="Times New Roman"/>
                      <w:sz w:val="24"/>
                      <w:szCs w:val="24"/>
                      <w:lang w:eastAsia="lv-LV"/>
                    </w:rPr>
                    <w:t>būvkomersantam</w:t>
                  </w:r>
                  <w:proofErr w:type="spellEnd"/>
                  <w:r w:rsidRPr="00A45217">
                    <w:rPr>
                      <w:rFonts w:ascii="Times New Roman" w:eastAsia="Times New Roman" w:hAnsi="Times New Roman" w:cs="Times New Roman"/>
                      <w:sz w:val="24"/>
                      <w:szCs w:val="24"/>
                      <w:lang w:eastAsia="lv-LV"/>
                    </w:rPr>
                    <w:t xml:space="preserve"> katru gadu būs norādītajās robežās. </w:t>
                  </w:r>
                </w:p>
                <w:p w:rsidR="00A97E7D" w:rsidRPr="00A45217" w:rsidRDefault="00A97E7D" w:rsidP="00A45217">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 </w:t>
                  </w:r>
                  <w:r w:rsidR="00A45217" w:rsidRPr="00A45217">
                    <w:rPr>
                      <w:rFonts w:ascii="Times New Roman" w:eastAsia="Times New Roman" w:hAnsi="Times New Roman" w:cs="Times New Roman"/>
                      <w:sz w:val="24"/>
                      <w:szCs w:val="24"/>
                      <w:lang w:eastAsia="lv-LV"/>
                    </w:rPr>
                    <w:t>2) </w:t>
                  </w:r>
                  <w:r w:rsidRPr="00A45217">
                    <w:rPr>
                      <w:rFonts w:ascii="Times New Roman" w:eastAsia="Times New Roman" w:hAnsi="Times New Roman" w:cs="Times New Roman"/>
                      <w:sz w:val="24"/>
                      <w:szCs w:val="24"/>
                      <w:lang w:eastAsia="lv-LV"/>
                    </w:rPr>
                    <w:t xml:space="preserve">Ieviešot pašvaldības nodevu par jebkuru būvniecības ieceres izskatīšanu pašvaldībā, administratīvās izmaksas nav iespējams aprēķināt precīzi, tā kā dokumenta veids </w:t>
                  </w:r>
                  <w:r w:rsidRPr="00A45217">
                    <w:rPr>
                      <w:rFonts w:ascii="Times New Roman" w:eastAsia="Times New Roman" w:hAnsi="Times New Roman" w:cs="Times New Roman"/>
                      <w:i/>
                      <w:sz w:val="24"/>
                      <w:szCs w:val="24"/>
                      <w:lang w:eastAsia="lv-LV"/>
                    </w:rPr>
                    <w:t>paskaidrojuma raksts</w:t>
                  </w:r>
                  <w:r w:rsidRPr="00A45217">
                    <w:rPr>
                      <w:rFonts w:ascii="Times New Roman" w:eastAsia="Times New Roman" w:hAnsi="Times New Roman" w:cs="Times New Roman"/>
                      <w:sz w:val="24"/>
                      <w:szCs w:val="24"/>
                      <w:lang w:eastAsia="lv-LV"/>
                    </w:rPr>
                    <w:t xml:space="preserve"> tika ieviests tikai no 2014.gada 1.oktobra ar jaunā būvniecības regulējuma spēkā stāšanos. Bez tam, dažas pašvaldības jau šobrīd iekasē kā pašvaldības nodevu par būvvaldes pieņemtiem lēmumiem būvniecības procesā - Lēmuma par apliecinājuma kartes akceptēšanu vienkāršotajai renovācijai un vienkāršotajai rekonstrukcijai un Lēmuma par tehniskās shēmas saskaņošanu vienkāršoto inženiertīklu pievadu un iekšējo inženiertīklu izbūvei, rekonstrukcijai vai renovācijai.</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 </w:t>
                  </w:r>
                </w:p>
              </w:tc>
            </w:tr>
            <w:tr w:rsidR="00A45217" w:rsidRPr="00A45217" w:rsidTr="00544C0B">
              <w:trPr>
                <w:trHeight w:val="345"/>
                <w:tblCellSpacing w:w="15" w:type="dxa"/>
              </w:trPr>
              <w:tc>
                <w:tcPr>
                  <w:tcW w:w="251"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lastRenderedPageBreak/>
                    <w:t>4.</w:t>
                  </w:r>
                </w:p>
              </w:tc>
              <w:tc>
                <w:tcPr>
                  <w:tcW w:w="1523"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Cita informācija</w:t>
                  </w:r>
                </w:p>
              </w:tc>
              <w:tc>
                <w:tcPr>
                  <w:tcW w:w="3162" w:type="pct"/>
                  <w:hideMark/>
                </w:tcPr>
                <w:p w:rsidR="00A97E7D" w:rsidRPr="00A45217" w:rsidRDefault="00A97E7D" w:rsidP="00B26F44">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Likumprojekts paredz noteikt, </w:t>
                  </w:r>
                  <w:r w:rsidRPr="00A45217">
                    <w:rPr>
                      <w:rFonts w:ascii="Times New Roman" w:hAnsi="Times New Roman" w:cs="Times New Roman"/>
                      <w:sz w:val="24"/>
                      <w:szCs w:val="24"/>
                    </w:rPr>
                    <w:t xml:space="preserve">ka pašvaldības nodevas objekts ir jebkura būvniecības iecere, par kuru būvniecības procesā būvvalde pieņem lēmumu - ne tikai par būvatļaujas saņemšana, bet arī par </w:t>
                  </w:r>
                  <w:r w:rsidRPr="00A45217">
                    <w:rPr>
                      <w:rFonts w:ascii="Times New Roman" w:eastAsia="Times New Roman" w:hAnsi="Times New Roman" w:cs="Times New Roman"/>
                      <w:sz w:val="24"/>
                      <w:szCs w:val="24"/>
                      <w:lang w:eastAsia="lv-LV"/>
                    </w:rPr>
                    <w:t xml:space="preserve">būvniecības ieceres akceptu, izdarot atzīmi paskaidrojuma rakstā vai apliecinājuma kartē. </w:t>
                  </w:r>
                </w:p>
                <w:p w:rsidR="00A97E7D" w:rsidRPr="00A45217" w:rsidRDefault="00A97E7D" w:rsidP="00B26F44">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Pašvaldības nodevas apmēru katra pašvaldība nosaka saistošajos noteikumos, pie tam, daļa pašvaldību nodevas apmēra noteikšanai izmanto algoritms, kurā tiek vērtēts būves lietošanas veids (funkcija), būvniecības veids (jauna būvniecība, atjaunošana, pārbūve), būves apjoms (ēkām – platība, inženiertīkliem – garums), kā arī būves atrašanās vieta administratīvās teritorijas zonējumā. Šāds regulējums ir noteikts Rīgā, Pierīgas pašvaldībās, kā arī Republikas pilsētās. Daļā pašvaldību nodevas likme tiek noteikta kā konstants maksājums, kurā tiek vērtēta tikai  būves lietošanas veids (funkcija), būvniecības ierosinātājs – fiziska vai juridiska persona un būvniecības veids.</w:t>
                  </w:r>
                </w:p>
                <w:p w:rsidR="00A97E7D" w:rsidRPr="00A45217" w:rsidRDefault="00A97E7D" w:rsidP="00B26F44">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Jānorāda, ka, piemēram, Rīgas pilsētas Būvvalde iekasē pašvaldības nodevu par Būvvaldes izstrādāto oficiālo dokumentu un to apliecinātu kopiju saņemšanu pamatojoties uz </w:t>
                  </w:r>
                  <w:r w:rsidRPr="00A45217">
                    <w:rPr>
                      <w:rFonts w:ascii="Times New Roman" w:eastAsia="Times New Roman" w:hAnsi="Times New Roman" w:cs="Times New Roman"/>
                      <w:iCs/>
                      <w:sz w:val="24"/>
                      <w:szCs w:val="24"/>
                      <w:lang w:eastAsia="lv-LV"/>
                    </w:rPr>
                    <w:t>likuma “</w:t>
                  </w:r>
                  <w:hyperlink r:id="rId9" w:tgtFrame="_blank" w:history="1">
                    <w:r w:rsidRPr="00A45217">
                      <w:rPr>
                        <w:rFonts w:ascii="Times New Roman" w:eastAsia="Times New Roman" w:hAnsi="Times New Roman" w:cs="Times New Roman"/>
                        <w:iCs/>
                        <w:sz w:val="24"/>
                        <w:szCs w:val="24"/>
                        <w:lang w:eastAsia="lv-LV"/>
                      </w:rPr>
                      <w:t>Par nodokļiem un nodevām</w:t>
                    </w:r>
                  </w:hyperlink>
                  <w:r w:rsidRPr="00A45217">
                    <w:rPr>
                      <w:rFonts w:ascii="Times New Roman" w:eastAsia="Times New Roman" w:hAnsi="Times New Roman" w:cs="Times New Roman"/>
                      <w:iCs/>
                      <w:sz w:val="24"/>
                      <w:szCs w:val="24"/>
                      <w:lang w:eastAsia="lv-LV"/>
                    </w:rPr>
                    <w:t xml:space="preserve">” </w:t>
                  </w:r>
                  <w:hyperlink r:id="rId10" w:anchor="p12" w:tgtFrame="_blank" w:history="1">
                    <w:r w:rsidRPr="00A45217">
                      <w:rPr>
                        <w:rFonts w:ascii="Times New Roman" w:eastAsia="Times New Roman" w:hAnsi="Times New Roman" w:cs="Times New Roman"/>
                        <w:iCs/>
                        <w:sz w:val="24"/>
                        <w:szCs w:val="24"/>
                        <w:lang w:eastAsia="lv-LV"/>
                      </w:rPr>
                      <w:t>12.panta</w:t>
                    </w:r>
                  </w:hyperlink>
                  <w:r w:rsidRPr="00A45217">
                    <w:rPr>
                      <w:rFonts w:ascii="Times New Roman" w:eastAsia="Times New Roman" w:hAnsi="Times New Roman" w:cs="Times New Roman"/>
                      <w:iCs/>
                      <w:sz w:val="24"/>
                      <w:szCs w:val="24"/>
                      <w:lang w:eastAsia="lv-LV"/>
                    </w:rPr>
                    <w:t xml:space="preserve"> pirmās daļas 1.punktu (2009.gada 16.jūnija Rīgas domes saistošie noteikumi Nr.178). Šī nodeva tiek iekasēta par </w:t>
                  </w:r>
                  <w:r w:rsidRPr="00A45217">
                    <w:rPr>
                      <w:rFonts w:ascii="Times New Roman" w:eastAsia="Times New Roman" w:hAnsi="Times New Roman" w:cs="Times New Roman"/>
                      <w:sz w:val="24"/>
                      <w:szCs w:val="24"/>
                      <w:lang w:eastAsia="lv-LV"/>
                    </w:rPr>
                    <w:t>Lēmuma par apliecinājuma kartes akceptēšanu vienkāršotajai renovācijai un vienkāršotajai rekonstrukcijai un Lēmuma par tehniskās shēmas saskaņošanu vienkāršoto inženiertīklu pievadu un iekšējo inženiertīklu izbūvei, rekonstrukcijai vai renovācijai.</w:t>
                  </w:r>
                </w:p>
                <w:p w:rsidR="00A97E7D" w:rsidRPr="00A45217" w:rsidRDefault="00A97E7D" w:rsidP="00544C0B">
                  <w:pPr>
                    <w:spacing w:after="0" w:line="240" w:lineRule="auto"/>
                    <w:ind w:left="57" w:right="57"/>
                    <w:jc w:val="both"/>
                    <w:rPr>
                      <w:rFonts w:ascii="Times New Roman" w:eastAsia="Times New Roman" w:hAnsi="Times New Roman" w:cs="Times New Roman"/>
                      <w:sz w:val="24"/>
                      <w:szCs w:val="24"/>
                      <w:lang w:eastAsia="lv-LV"/>
                    </w:rPr>
                  </w:pP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34"/>
              <w:gridCol w:w="1422"/>
              <w:gridCol w:w="1247"/>
              <w:gridCol w:w="1458"/>
              <w:gridCol w:w="1307"/>
              <w:gridCol w:w="1349"/>
            </w:tblGrid>
            <w:tr w:rsidR="00A45217" w:rsidRPr="00A45217" w:rsidTr="00544C0B">
              <w:trPr>
                <w:trHeight w:val="360"/>
                <w:tblCellSpacing w:w="15" w:type="dxa"/>
                <w:jc w:val="center"/>
              </w:trPr>
              <w:tc>
                <w:tcPr>
                  <w:tcW w:w="4966" w:type="pct"/>
                  <w:gridSpan w:val="6"/>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III. Tiesību akta projekta ietekme uz valsts budžetu un pašvaldību budžetiem</w:t>
                  </w:r>
                </w:p>
              </w:tc>
            </w:tr>
            <w:tr w:rsidR="00A45217" w:rsidRPr="00A45217" w:rsidTr="00544C0B">
              <w:trPr>
                <w:tblCellSpacing w:w="15" w:type="dxa"/>
                <w:jc w:val="center"/>
              </w:trPr>
              <w:tc>
                <w:tcPr>
                  <w:tcW w:w="1358" w:type="pct"/>
                  <w:vMerge w:val="restart"/>
                  <w:vAlign w:val="center"/>
                  <w:hideMark/>
                </w:tcPr>
                <w:p w:rsidR="00A97E7D" w:rsidRPr="00A45217" w:rsidRDefault="00A97E7D" w:rsidP="00544C0B">
                  <w:pPr>
                    <w:spacing w:after="0" w:line="240" w:lineRule="auto"/>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Rādītāji</w:t>
                  </w:r>
                </w:p>
              </w:tc>
              <w:tc>
                <w:tcPr>
                  <w:tcW w:w="1422" w:type="pct"/>
                  <w:gridSpan w:val="2"/>
                  <w:vMerge w:val="restart"/>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2014</w:t>
                  </w:r>
                </w:p>
              </w:tc>
              <w:tc>
                <w:tcPr>
                  <w:tcW w:w="2153" w:type="pct"/>
                  <w:gridSpan w:val="3"/>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Turpmākie trīs gadi (</w:t>
                  </w:r>
                  <w:proofErr w:type="spellStart"/>
                  <w:r w:rsidRPr="00A45217">
                    <w:rPr>
                      <w:rFonts w:ascii="Times New Roman" w:eastAsia="Times New Roman" w:hAnsi="Times New Roman" w:cs="Times New Roman"/>
                      <w:i/>
                      <w:sz w:val="24"/>
                      <w:szCs w:val="24"/>
                      <w:lang w:eastAsia="lv-LV"/>
                    </w:rPr>
                    <w:t>euro</w:t>
                  </w:r>
                  <w:proofErr w:type="spellEnd"/>
                  <w:r w:rsidRPr="00A45217">
                    <w:rPr>
                      <w:rFonts w:ascii="Times New Roman" w:eastAsia="Times New Roman" w:hAnsi="Times New Roman" w:cs="Times New Roman"/>
                      <w:sz w:val="24"/>
                      <w:szCs w:val="24"/>
                      <w:lang w:eastAsia="lv-LV"/>
                    </w:rPr>
                    <w:t>)</w:t>
                  </w:r>
                </w:p>
              </w:tc>
            </w:tr>
            <w:tr w:rsidR="00A45217" w:rsidRPr="00A45217" w:rsidTr="00544C0B">
              <w:trPr>
                <w:tblCellSpacing w:w="15" w:type="dxa"/>
                <w:jc w:val="center"/>
              </w:trPr>
              <w:tc>
                <w:tcPr>
                  <w:tcW w:w="1358" w:type="pct"/>
                  <w:vMerge/>
                  <w:vAlign w:val="center"/>
                  <w:hideMark/>
                </w:tcPr>
                <w:p w:rsidR="00A97E7D" w:rsidRPr="00A45217" w:rsidRDefault="00A97E7D" w:rsidP="00544C0B">
                  <w:pPr>
                    <w:spacing w:after="0" w:line="240" w:lineRule="auto"/>
                    <w:rPr>
                      <w:rFonts w:ascii="Times New Roman" w:eastAsia="Times New Roman" w:hAnsi="Times New Roman" w:cs="Times New Roman"/>
                      <w:b/>
                      <w:bCs/>
                      <w:sz w:val="24"/>
                      <w:szCs w:val="24"/>
                      <w:lang w:eastAsia="lv-LV"/>
                    </w:rPr>
                  </w:pPr>
                </w:p>
              </w:tc>
              <w:tc>
                <w:tcPr>
                  <w:tcW w:w="1422" w:type="pct"/>
                  <w:gridSpan w:val="2"/>
                  <w:vMerge/>
                  <w:vAlign w:val="center"/>
                  <w:hideMark/>
                </w:tcPr>
                <w:p w:rsidR="00A97E7D" w:rsidRPr="00A45217" w:rsidRDefault="00A97E7D" w:rsidP="00544C0B">
                  <w:pPr>
                    <w:spacing w:after="0" w:line="240" w:lineRule="auto"/>
                    <w:rPr>
                      <w:rFonts w:ascii="Times New Roman" w:eastAsia="Times New Roman" w:hAnsi="Times New Roman" w:cs="Times New Roman"/>
                      <w:b/>
                      <w:bCs/>
                      <w:sz w:val="24"/>
                      <w:szCs w:val="24"/>
                      <w:lang w:eastAsia="lv-LV"/>
                    </w:rPr>
                  </w:pPr>
                </w:p>
              </w:tc>
              <w:tc>
                <w:tcPr>
                  <w:tcW w:w="779" w:type="pct"/>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2015</w:t>
                  </w:r>
                </w:p>
              </w:tc>
              <w:tc>
                <w:tcPr>
                  <w:tcW w:w="696" w:type="pct"/>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2016</w:t>
                  </w:r>
                </w:p>
              </w:tc>
              <w:tc>
                <w:tcPr>
                  <w:tcW w:w="645" w:type="pct"/>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2017</w:t>
                  </w:r>
                </w:p>
              </w:tc>
            </w:tr>
            <w:tr w:rsidR="00A45217" w:rsidRPr="00A45217" w:rsidTr="00544C0B">
              <w:trPr>
                <w:tblCellSpacing w:w="15" w:type="dxa"/>
                <w:jc w:val="center"/>
              </w:trPr>
              <w:tc>
                <w:tcPr>
                  <w:tcW w:w="1358" w:type="pct"/>
                  <w:vMerge/>
                  <w:vAlign w:val="center"/>
                  <w:hideMark/>
                </w:tcPr>
                <w:p w:rsidR="00A97E7D" w:rsidRPr="00A45217" w:rsidRDefault="00A97E7D" w:rsidP="00544C0B">
                  <w:pPr>
                    <w:spacing w:after="0" w:line="240" w:lineRule="auto"/>
                    <w:rPr>
                      <w:rFonts w:ascii="Times New Roman" w:eastAsia="Times New Roman" w:hAnsi="Times New Roman" w:cs="Times New Roman"/>
                      <w:b/>
                      <w:bCs/>
                      <w:sz w:val="24"/>
                      <w:szCs w:val="24"/>
                      <w:lang w:eastAsia="lv-LV"/>
                    </w:rPr>
                  </w:pPr>
                </w:p>
              </w:tc>
              <w:tc>
                <w:tcPr>
                  <w:tcW w:w="759"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saskaņā ar valsts budžetu kārtējam gadam</w:t>
                  </w:r>
                </w:p>
              </w:tc>
              <w:tc>
                <w:tcPr>
                  <w:tcW w:w="646"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izmaiņas kārtējā gadā, salīdzinot ar valsts budžetu kārtējam gadam</w:t>
                  </w:r>
                </w:p>
              </w:tc>
              <w:tc>
                <w:tcPr>
                  <w:tcW w:w="779"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izmaiņas, salīdzinot ar 2014. gadu</w:t>
                  </w:r>
                </w:p>
              </w:tc>
              <w:tc>
                <w:tcPr>
                  <w:tcW w:w="696"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izmaiņas, salīdzinot ar 2014. gadu</w:t>
                  </w:r>
                </w:p>
              </w:tc>
              <w:tc>
                <w:tcPr>
                  <w:tcW w:w="645"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izmaiņas, salīdzinot ar 2014. gadu</w:t>
                  </w:r>
                </w:p>
              </w:tc>
            </w:tr>
            <w:tr w:rsidR="00A45217" w:rsidRPr="00A45217" w:rsidTr="00544C0B">
              <w:trPr>
                <w:tblCellSpacing w:w="15" w:type="dxa"/>
                <w:jc w:val="center"/>
              </w:trPr>
              <w:tc>
                <w:tcPr>
                  <w:tcW w:w="1358"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w:t>
                  </w:r>
                </w:p>
              </w:tc>
              <w:tc>
                <w:tcPr>
                  <w:tcW w:w="759"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w:t>
                  </w:r>
                </w:p>
              </w:tc>
              <w:tc>
                <w:tcPr>
                  <w:tcW w:w="646"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w:t>
                  </w:r>
                </w:p>
              </w:tc>
              <w:tc>
                <w:tcPr>
                  <w:tcW w:w="779"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4</w:t>
                  </w:r>
                </w:p>
              </w:tc>
              <w:tc>
                <w:tcPr>
                  <w:tcW w:w="696"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5</w:t>
                  </w:r>
                </w:p>
              </w:tc>
              <w:tc>
                <w:tcPr>
                  <w:tcW w:w="645" w:type="pct"/>
                  <w:vAlign w:val="center"/>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6</w:t>
                  </w: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 Budžeta ieņēmumi:</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1.1. valsts pamatbudžets, tai skaitā ieņēmumi no maksas pakalpojumiem un citi pašu ieņēmumi</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1.2. valsts speciālais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1.3. pašvaldību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Budžeta izdevumi:</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1 985 700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2.1. valsts pamatbudžets</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1 985 700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2 185 700</w:t>
                  </w: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2.2. valsts speciālais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2.3. pašvaldību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 Finansiālā ietekme:</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200 000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3.1. valsts pamatbudžets</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200 000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3.2. speciālais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3.3. pašvaldību budžets</w:t>
                  </w:r>
                </w:p>
              </w:tc>
              <w:tc>
                <w:tcPr>
                  <w:tcW w:w="75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5. Precizēta finansiālā ietekme:</w:t>
                  </w:r>
                </w:p>
              </w:tc>
              <w:tc>
                <w:tcPr>
                  <w:tcW w:w="759" w:type="pct"/>
                  <w:vMerge w:val="restar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200 000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5.1. valsts pamatbudžets</w:t>
                  </w:r>
                </w:p>
              </w:tc>
              <w:tc>
                <w:tcPr>
                  <w:tcW w:w="759" w:type="pct"/>
                  <w:vMerge/>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200 000</w:t>
                  </w: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5.2. speciālais budžets</w:t>
                  </w:r>
                </w:p>
              </w:tc>
              <w:tc>
                <w:tcPr>
                  <w:tcW w:w="759" w:type="pct"/>
                  <w:vMerge/>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tabs>
                      <w:tab w:val="center" w:pos="901"/>
                    </w:tabs>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5.3. pašvaldību budžets</w:t>
                  </w:r>
                </w:p>
              </w:tc>
              <w:tc>
                <w:tcPr>
                  <w:tcW w:w="759" w:type="pct"/>
                  <w:vMerge/>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64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779"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96"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c>
                <w:tcPr>
                  <w:tcW w:w="645"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6. Detalizēts ieņēmumu un izdevumu aprēķins (ja nepieciešams, detalizētu ieņēmumu un </w:t>
                  </w:r>
                  <w:r w:rsidRPr="00A45217">
                    <w:rPr>
                      <w:rFonts w:ascii="Times New Roman" w:eastAsia="Times New Roman" w:hAnsi="Times New Roman" w:cs="Times New Roman"/>
                      <w:sz w:val="24"/>
                      <w:szCs w:val="24"/>
                      <w:lang w:eastAsia="lv-LV"/>
                    </w:rPr>
                    <w:lastRenderedPageBreak/>
                    <w:t>izdevumu aprēķinu var pievienot anotācijas pielikumā):</w:t>
                  </w:r>
                </w:p>
              </w:tc>
              <w:tc>
                <w:tcPr>
                  <w:tcW w:w="3592" w:type="pct"/>
                  <w:gridSpan w:val="5"/>
                  <w:vMerge w:val="restart"/>
                </w:tcPr>
                <w:p w:rsidR="00A97E7D" w:rsidRPr="00A45217" w:rsidRDefault="00A97E7D" w:rsidP="00544C0B">
                  <w:pPr>
                    <w:spacing w:after="0" w:line="240" w:lineRule="auto"/>
                    <w:rPr>
                      <w:rFonts w:ascii="Times New Roman" w:hAnsi="Times New Roman" w:cs="Times New Roman"/>
                    </w:rPr>
                  </w:pPr>
                  <w:r w:rsidRPr="00A45217">
                    <w:rPr>
                      <w:rFonts w:ascii="Times New Roman" w:hAnsi="Times New Roman" w:cs="Times New Roman"/>
                    </w:rPr>
                    <w:lastRenderedPageBreak/>
                    <w:t>Nodeva par būvniecības pakalpojumiem tiks ieskaitīta pamatbudžetā. Būvniecības kontroles nodrošināšanai tiks piešķirta dotācija no vispārējiem ieņēmumiem.</w:t>
                  </w:r>
                </w:p>
                <w:p w:rsidR="00A97E7D" w:rsidRDefault="00A97E7D" w:rsidP="00544C0B">
                  <w:pPr>
                    <w:spacing w:after="0" w:line="240" w:lineRule="auto"/>
                    <w:rPr>
                      <w:rFonts w:ascii="Times New Roman" w:hAnsi="Times New Roman" w:cs="Times New Roman"/>
                    </w:rPr>
                  </w:pPr>
                  <w:r w:rsidRPr="00A45217">
                    <w:rPr>
                      <w:rFonts w:ascii="Times New Roman" w:hAnsi="Times New Roman" w:cs="Times New Roman"/>
                    </w:rPr>
                    <w:t xml:space="preserve">Detalizēts nodevas aprēķins atspoguļots informatīvajā ziņojumā „Par valsts </w:t>
                  </w:r>
                  <w:r w:rsidRPr="00A45217">
                    <w:rPr>
                      <w:rFonts w:ascii="Times New Roman" w:hAnsi="Times New Roman" w:cs="Times New Roman"/>
                    </w:rPr>
                    <w:lastRenderedPageBreak/>
                    <w:t>nodevu būvniecības pakalpojumiem”.</w:t>
                  </w:r>
                </w:p>
                <w:p w:rsidR="00747602" w:rsidRDefault="00747602" w:rsidP="00544C0B">
                  <w:pPr>
                    <w:spacing w:after="0" w:line="240" w:lineRule="auto"/>
                    <w:rPr>
                      <w:rFonts w:ascii="Times New Roman" w:hAnsi="Times New Roman" w:cs="Times New Roman"/>
                    </w:rPr>
                  </w:pPr>
                  <w:r>
                    <w:rPr>
                      <w:rFonts w:ascii="Times New Roman" w:hAnsi="Times New Roman" w:cs="Times New Roman"/>
                    </w:rPr>
                    <w:t>Nodevu apmērs, kas tiks piemērots komersantam ievērojot tā paša spēkiem veikto darbu iepriekšējā kalendārā gadā:</w:t>
                  </w:r>
                </w:p>
                <w:p w:rsidR="00747602" w:rsidRPr="00747602" w:rsidRDefault="00747602" w:rsidP="00747602">
                  <w:pPr>
                    <w:spacing w:after="0" w:line="240" w:lineRule="auto"/>
                    <w:ind w:firstLine="238"/>
                    <w:jc w:val="both"/>
                    <w:rPr>
                      <w:rFonts w:ascii="Times New Roman" w:hAnsi="Times New Roman" w:cs="Times New Roman"/>
                      <w:sz w:val="24"/>
                      <w:szCs w:val="24"/>
                    </w:rPr>
                  </w:pPr>
                  <w:r w:rsidRPr="00747602">
                    <w:rPr>
                      <w:rFonts w:ascii="Times New Roman" w:hAnsi="Times New Roman" w:cs="Times New Roman"/>
                      <w:sz w:val="24"/>
                      <w:szCs w:val="24"/>
                    </w:rPr>
                    <w:t xml:space="preserve">-līdz 50 000 EUR - 1 522 </w:t>
                  </w:r>
                  <w:proofErr w:type="spellStart"/>
                  <w:r w:rsidRPr="00747602">
                    <w:rPr>
                      <w:rFonts w:ascii="Times New Roman" w:hAnsi="Times New Roman" w:cs="Times New Roman"/>
                      <w:sz w:val="24"/>
                      <w:szCs w:val="24"/>
                    </w:rPr>
                    <w:t>būvkomersanti</w:t>
                  </w:r>
                  <w:proofErr w:type="spellEnd"/>
                  <w:r w:rsidRPr="00747602">
                    <w:rPr>
                      <w:rFonts w:ascii="Times New Roman" w:hAnsi="Times New Roman" w:cs="Times New Roman"/>
                      <w:sz w:val="24"/>
                      <w:szCs w:val="24"/>
                    </w:rPr>
                    <w:t xml:space="preserve">, jeb 40% no kopējā </w:t>
                  </w:r>
                  <w:proofErr w:type="spellStart"/>
                  <w:r w:rsidRPr="00747602">
                    <w:rPr>
                      <w:rFonts w:ascii="Times New Roman" w:hAnsi="Times New Roman" w:cs="Times New Roman"/>
                      <w:sz w:val="24"/>
                      <w:szCs w:val="24"/>
                    </w:rPr>
                    <w:t>būvkomersantu</w:t>
                  </w:r>
                  <w:proofErr w:type="spellEnd"/>
                  <w:r w:rsidRPr="00747602">
                    <w:rPr>
                      <w:rFonts w:ascii="Times New Roman" w:hAnsi="Times New Roman" w:cs="Times New Roman"/>
                      <w:sz w:val="24"/>
                      <w:szCs w:val="24"/>
                    </w:rPr>
                    <w:t xml:space="preserve"> skaita, plānotā nodeva 100 </w:t>
                  </w:r>
                  <w:proofErr w:type="spellStart"/>
                  <w:r w:rsidRPr="00747602">
                    <w:rPr>
                      <w:rFonts w:ascii="Times New Roman" w:hAnsi="Times New Roman" w:cs="Times New Roman"/>
                      <w:i/>
                      <w:sz w:val="24"/>
                      <w:szCs w:val="24"/>
                    </w:rPr>
                    <w:t>euro</w:t>
                  </w:r>
                  <w:proofErr w:type="spellEnd"/>
                  <w:r w:rsidRPr="00747602">
                    <w:rPr>
                      <w:rFonts w:ascii="Times New Roman" w:hAnsi="Times New Roman" w:cs="Times New Roman"/>
                      <w:sz w:val="24"/>
                      <w:szCs w:val="24"/>
                    </w:rPr>
                    <w:t xml:space="preserve"> gadā</w:t>
                  </w:r>
                </w:p>
                <w:p w:rsidR="00747602" w:rsidRPr="00747602" w:rsidRDefault="00747602" w:rsidP="00747602">
                  <w:pPr>
                    <w:spacing w:after="0" w:line="240" w:lineRule="auto"/>
                    <w:ind w:firstLine="238"/>
                    <w:jc w:val="both"/>
                    <w:rPr>
                      <w:rFonts w:ascii="Times New Roman" w:hAnsi="Times New Roman" w:cs="Times New Roman"/>
                      <w:sz w:val="24"/>
                      <w:szCs w:val="24"/>
                    </w:rPr>
                  </w:pPr>
                  <w:r w:rsidRPr="00747602">
                    <w:rPr>
                      <w:rFonts w:ascii="Times New Roman" w:hAnsi="Times New Roman" w:cs="Times New Roman"/>
                      <w:sz w:val="24"/>
                      <w:szCs w:val="24"/>
                    </w:rPr>
                    <w:t xml:space="preserve">-no 50 000 līdz 500 000 EUR – 1629 </w:t>
                  </w:r>
                  <w:proofErr w:type="spellStart"/>
                  <w:r w:rsidRPr="00747602">
                    <w:rPr>
                      <w:rFonts w:ascii="Times New Roman" w:hAnsi="Times New Roman" w:cs="Times New Roman"/>
                      <w:sz w:val="24"/>
                      <w:szCs w:val="24"/>
                    </w:rPr>
                    <w:t>būvkomersanti</w:t>
                  </w:r>
                  <w:proofErr w:type="spellEnd"/>
                  <w:r w:rsidRPr="00747602">
                    <w:rPr>
                      <w:rFonts w:ascii="Times New Roman" w:hAnsi="Times New Roman" w:cs="Times New Roman"/>
                      <w:sz w:val="24"/>
                      <w:szCs w:val="24"/>
                    </w:rPr>
                    <w:t xml:space="preserve">, jeb 42% no kopējā </w:t>
                  </w:r>
                  <w:proofErr w:type="spellStart"/>
                  <w:r w:rsidRPr="00747602">
                    <w:rPr>
                      <w:rFonts w:ascii="Times New Roman" w:hAnsi="Times New Roman" w:cs="Times New Roman"/>
                      <w:sz w:val="24"/>
                      <w:szCs w:val="24"/>
                    </w:rPr>
                    <w:t>būvkomersantu</w:t>
                  </w:r>
                  <w:proofErr w:type="spellEnd"/>
                  <w:r w:rsidRPr="00747602">
                    <w:rPr>
                      <w:rFonts w:ascii="Times New Roman" w:hAnsi="Times New Roman" w:cs="Times New Roman"/>
                      <w:sz w:val="24"/>
                      <w:szCs w:val="24"/>
                    </w:rPr>
                    <w:t xml:space="preserve"> skaita, plānotā nodeva 500 </w:t>
                  </w:r>
                  <w:proofErr w:type="spellStart"/>
                  <w:r w:rsidRPr="00747602">
                    <w:rPr>
                      <w:rFonts w:ascii="Times New Roman" w:hAnsi="Times New Roman" w:cs="Times New Roman"/>
                      <w:i/>
                      <w:sz w:val="24"/>
                      <w:szCs w:val="24"/>
                    </w:rPr>
                    <w:t>euro</w:t>
                  </w:r>
                  <w:proofErr w:type="spellEnd"/>
                  <w:r w:rsidRPr="00747602">
                    <w:rPr>
                      <w:rFonts w:ascii="Times New Roman" w:hAnsi="Times New Roman" w:cs="Times New Roman"/>
                      <w:sz w:val="24"/>
                      <w:szCs w:val="24"/>
                    </w:rPr>
                    <w:t xml:space="preserve"> gadā</w:t>
                  </w:r>
                </w:p>
                <w:p w:rsidR="00747602" w:rsidRPr="00747602" w:rsidRDefault="00747602" w:rsidP="00747602">
                  <w:pPr>
                    <w:spacing w:after="0" w:line="240" w:lineRule="auto"/>
                    <w:ind w:firstLine="238"/>
                    <w:jc w:val="both"/>
                    <w:rPr>
                      <w:rFonts w:ascii="Times New Roman" w:hAnsi="Times New Roman" w:cs="Times New Roman"/>
                      <w:sz w:val="24"/>
                      <w:szCs w:val="24"/>
                    </w:rPr>
                  </w:pPr>
                  <w:r w:rsidRPr="00747602">
                    <w:rPr>
                      <w:rFonts w:ascii="Times New Roman" w:hAnsi="Times New Roman" w:cs="Times New Roman"/>
                      <w:sz w:val="24"/>
                      <w:szCs w:val="24"/>
                    </w:rPr>
                    <w:t xml:space="preserve">-no 500 000 līdz 1 </w:t>
                  </w:r>
                  <w:proofErr w:type="spellStart"/>
                  <w:r w:rsidRPr="00747602">
                    <w:rPr>
                      <w:rFonts w:ascii="Times New Roman" w:hAnsi="Times New Roman" w:cs="Times New Roman"/>
                      <w:sz w:val="24"/>
                      <w:szCs w:val="24"/>
                    </w:rPr>
                    <w:t>milj</w:t>
                  </w:r>
                  <w:proofErr w:type="spellEnd"/>
                  <w:r w:rsidRPr="00747602">
                    <w:rPr>
                      <w:rFonts w:ascii="Times New Roman" w:hAnsi="Times New Roman" w:cs="Times New Roman"/>
                      <w:sz w:val="24"/>
                      <w:szCs w:val="24"/>
                    </w:rPr>
                    <w:t xml:space="preserve">. EUR – 316 </w:t>
                  </w:r>
                  <w:proofErr w:type="spellStart"/>
                  <w:r w:rsidRPr="00747602">
                    <w:rPr>
                      <w:rFonts w:ascii="Times New Roman" w:hAnsi="Times New Roman" w:cs="Times New Roman"/>
                      <w:sz w:val="24"/>
                      <w:szCs w:val="24"/>
                    </w:rPr>
                    <w:t>būvkomersanti</w:t>
                  </w:r>
                  <w:proofErr w:type="spellEnd"/>
                  <w:r w:rsidRPr="00747602">
                    <w:rPr>
                      <w:rFonts w:ascii="Times New Roman" w:hAnsi="Times New Roman" w:cs="Times New Roman"/>
                      <w:sz w:val="24"/>
                      <w:szCs w:val="24"/>
                    </w:rPr>
                    <w:t xml:space="preserve">, jeb 8% no kopējā </w:t>
                  </w:r>
                  <w:proofErr w:type="spellStart"/>
                  <w:r w:rsidRPr="00747602">
                    <w:rPr>
                      <w:rFonts w:ascii="Times New Roman" w:hAnsi="Times New Roman" w:cs="Times New Roman"/>
                      <w:sz w:val="24"/>
                      <w:szCs w:val="24"/>
                    </w:rPr>
                    <w:t>būvkomersantu</w:t>
                  </w:r>
                  <w:proofErr w:type="spellEnd"/>
                  <w:r w:rsidRPr="00747602">
                    <w:rPr>
                      <w:rFonts w:ascii="Times New Roman" w:hAnsi="Times New Roman" w:cs="Times New Roman"/>
                      <w:sz w:val="24"/>
                      <w:szCs w:val="24"/>
                    </w:rPr>
                    <w:t xml:space="preserve"> skaita, plānotā nodeva 1000 </w:t>
                  </w:r>
                  <w:proofErr w:type="spellStart"/>
                  <w:r w:rsidRPr="00747602">
                    <w:rPr>
                      <w:rFonts w:ascii="Times New Roman" w:hAnsi="Times New Roman" w:cs="Times New Roman"/>
                      <w:i/>
                      <w:sz w:val="24"/>
                      <w:szCs w:val="24"/>
                    </w:rPr>
                    <w:t>euro</w:t>
                  </w:r>
                  <w:proofErr w:type="spellEnd"/>
                  <w:r w:rsidRPr="00747602">
                    <w:rPr>
                      <w:rFonts w:ascii="Times New Roman" w:hAnsi="Times New Roman" w:cs="Times New Roman"/>
                      <w:sz w:val="24"/>
                      <w:szCs w:val="24"/>
                    </w:rPr>
                    <w:t xml:space="preserve"> gadā</w:t>
                  </w:r>
                </w:p>
                <w:p w:rsidR="00747602" w:rsidRPr="00747602" w:rsidRDefault="00747602" w:rsidP="00747602">
                  <w:pPr>
                    <w:spacing w:after="0" w:line="240" w:lineRule="auto"/>
                    <w:ind w:firstLine="238"/>
                    <w:jc w:val="both"/>
                    <w:rPr>
                      <w:rFonts w:ascii="Times New Roman" w:hAnsi="Times New Roman" w:cs="Times New Roman"/>
                      <w:sz w:val="24"/>
                      <w:szCs w:val="24"/>
                    </w:rPr>
                  </w:pPr>
                  <w:r w:rsidRPr="00747602">
                    <w:rPr>
                      <w:rFonts w:ascii="Times New Roman" w:hAnsi="Times New Roman" w:cs="Times New Roman"/>
                      <w:sz w:val="24"/>
                      <w:szCs w:val="24"/>
                    </w:rPr>
                    <w:t xml:space="preserve">-no 1 </w:t>
                  </w:r>
                  <w:proofErr w:type="spellStart"/>
                  <w:r w:rsidRPr="00747602">
                    <w:rPr>
                      <w:rFonts w:ascii="Times New Roman" w:hAnsi="Times New Roman" w:cs="Times New Roman"/>
                      <w:sz w:val="24"/>
                      <w:szCs w:val="24"/>
                    </w:rPr>
                    <w:t>milj</w:t>
                  </w:r>
                  <w:proofErr w:type="spellEnd"/>
                  <w:r w:rsidRPr="00747602">
                    <w:rPr>
                      <w:rFonts w:ascii="Times New Roman" w:hAnsi="Times New Roman" w:cs="Times New Roman"/>
                      <w:sz w:val="24"/>
                      <w:szCs w:val="24"/>
                    </w:rPr>
                    <w:t xml:space="preserve">. līdz 5 </w:t>
                  </w:r>
                  <w:proofErr w:type="spellStart"/>
                  <w:r w:rsidRPr="00747602">
                    <w:rPr>
                      <w:rFonts w:ascii="Times New Roman" w:hAnsi="Times New Roman" w:cs="Times New Roman"/>
                      <w:sz w:val="24"/>
                      <w:szCs w:val="24"/>
                    </w:rPr>
                    <w:t>milj</w:t>
                  </w:r>
                  <w:proofErr w:type="spellEnd"/>
                  <w:r w:rsidRPr="00747602">
                    <w:rPr>
                      <w:rFonts w:ascii="Times New Roman" w:hAnsi="Times New Roman" w:cs="Times New Roman"/>
                      <w:sz w:val="24"/>
                      <w:szCs w:val="24"/>
                    </w:rPr>
                    <w:t xml:space="preserve">. EUR – 314 </w:t>
                  </w:r>
                  <w:proofErr w:type="spellStart"/>
                  <w:r w:rsidRPr="00747602">
                    <w:rPr>
                      <w:rFonts w:ascii="Times New Roman" w:hAnsi="Times New Roman" w:cs="Times New Roman"/>
                      <w:sz w:val="24"/>
                      <w:szCs w:val="24"/>
                    </w:rPr>
                    <w:t>būvkomersanti</w:t>
                  </w:r>
                  <w:proofErr w:type="spellEnd"/>
                  <w:r w:rsidRPr="00747602">
                    <w:rPr>
                      <w:rFonts w:ascii="Times New Roman" w:hAnsi="Times New Roman" w:cs="Times New Roman"/>
                      <w:sz w:val="24"/>
                      <w:szCs w:val="24"/>
                    </w:rPr>
                    <w:t xml:space="preserve">, jeb 8% no kopējā </w:t>
                  </w:r>
                  <w:proofErr w:type="spellStart"/>
                  <w:r w:rsidRPr="00747602">
                    <w:rPr>
                      <w:rFonts w:ascii="Times New Roman" w:hAnsi="Times New Roman" w:cs="Times New Roman"/>
                      <w:sz w:val="24"/>
                      <w:szCs w:val="24"/>
                    </w:rPr>
                    <w:t>būvkomersantu</w:t>
                  </w:r>
                  <w:proofErr w:type="spellEnd"/>
                  <w:r w:rsidRPr="00747602">
                    <w:rPr>
                      <w:rFonts w:ascii="Times New Roman" w:hAnsi="Times New Roman" w:cs="Times New Roman"/>
                      <w:sz w:val="24"/>
                      <w:szCs w:val="24"/>
                    </w:rPr>
                    <w:t xml:space="preserve"> skaita, plānotā nodeva 2000 </w:t>
                  </w:r>
                  <w:proofErr w:type="spellStart"/>
                  <w:r w:rsidRPr="00747602">
                    <w:rPr>
                      <w:rFonts w:ascii="Times New Roman" w:hAnsi="Times New Roman" w:cs="Times New Roman"/>
                      <w:i/>
                      <w:sz w:val="24"/>
                      <w:szCs w:val="24"/>
                    </w:rPr>
                    <w:t>euro</w:t>
                  </w:r>
                  <w:proofErr w:type="spellEnd"/>
                  <w:r w:rsidRPr="00747602">
                    <w:rPr>
                      <w:rFonts w:ascii="Times New Roman" w:hAnsi="Times New Roman" w:cs="Times New Roman"/>
                      <w:sz w:val="24"/>
                      <w:szCs w:val="24"/>
                    </w:rPr>
                    <w:t xml:space="preserve"> gadā</w:t>
                  </w:r>
                </w:p>
                <w:p w:rsidR="00747602" w:rsidRPr="00132761" w:rsidRDefault="00747602" w:rsidP="00747602">
                  <w:pPr>
                    <w:spacing w:after="0" w:line="240" w:lineRule="auto"/>
                    <w:ind w:firstLine="238"/>
                    <w:jc w:val="both"/>
                    <w:rPr>
                      <w:rFonts w:ascii="Times New Roman" w:hAnsi="Times New Roman" w:cs="Times New Roman"/>
                      <w:sz w:val="24"/>
                      <w:szCs w:val="24"/>
                    </w:rPr>
                  </w:pPr>
                  <w:r w:rsidRPr="00747602">
                    <w:rPr>
                      <w:rFonts w:ascii="Times New Roman" w:hAnsi="Times New Roman" w:cs="Times New Roman"/>
                      <w:sz w:val="24"/>
                      <w:szCs w:val="24"/>
                    </w:rPr>
                    <w:t xml:space="preserve">- </w:t>
                  </w:r>
                  <w:r w:rsidRPr="00132761">
                    <w:rPr>
                      <w:rFonts w:ascii="Times New Roman" w:hAnsi="Times New Roman" w:cs="Times New Roman"/>
                      <w:sz w:val="24"/>
                      <w:szCs w:val="24"/>
                    </w:rPr>
                    <w:t xml:space="preserve">no 5 </w:t>
                  </w:r>
                  <w:proofErr w:type="spellStart"/>
                  <w:r w:rsidRPr="00132761">
                    <w:rPr>
                      <w:rFonts w:ascii="Times New Roman" w:hAnsi="Times New Roman" w:cs="Times New Roman"/>
                      <w:sz w:val="24"/>
                      <w:szCs w:val="24"/>
                    </w:rPr>
                    <w:t>milj</w:t>
                  </w:r>
                  <w:proofErr w:type="spellEnd"/>
                  <w:r w:rsidRPr="00132761">
                    <w:rPr>
                      <w:rFonts w:ascii="Times New Roman" w:hAnsi="Times New Roman" w:cs="Times New Roman"/>
                      <w:sz w:val="24"/>
                      <w:szCs w:val="24"/>
                    </w:rPr>
                    <w:t xml:space="preserve">. līdz 10 </w:t>
                  </w:r>
                  <w:proofErr w:type="spellStart"/>
                  <w:r w:rsidRPr="00132761">
                    <w:rPr>
                      <w:rFonts w:ascii="Times New Roman" w:hAnsi="Times New Roman" w:cs="Times New Roman"/>
                      <w:sz w:val="24"/>
                      <w:szCs w:val="24"/>
                    </w:rPr>
                    <w:t>milj</w:t>
                  </w:r>
                  <w:proofErr w:type="spellEnd"/>
                  <w:r w:rsidRPr="00132761">
                    <w:rPr>
                      <w:rFonts w:ascii="Times New Roman" w:hAnsi="Times New Roman" w:cs="Times New Roman"/>
                      <w:sz w:val="24"/>
                      <w:szCs w:val="24"/>
                    </w:rPr>
                    <w:t xml:space="preserve">. EUR – 40 </w:t>
                  </w:r>
                  <w:proofErr w:type="spellStart"/>
                  <w:r w:rsidRPr="00132761">
                    <w:rPr>
                      <w:rFonts w:ascii="Times New Roman" w:hAnsi="Times New Roman" w:cs="Times New Roman"/>
                      <w:sz w:val="24"/>
                      <w:szCs w:val="24"/>
                    </w:rPr>
                    <w:t>būvkomersanti</w:t>
                  </w:r>
                  <w:proofErr w:type="spellEnd"/>
                  <w:r w:rsidRPr="00132761">
                    <w:rPr>
                      <w:rFonts w:ascii="Times New Roman" w:hAnsi="Times New Roman" w:cs="Times New Roman"/>
                      <w:sz w:val="24"/>
                      <w:szCs w:val="24"/>
                    </w:rPr>
                    <w:t xml:space="preserve">, jeb 1% no kopējā </w:t>
                  </w:r>
                  <w:proofErr w:type="spellStart"/>
                  <w:r w:rsidRPr="00132761">
                    <w:rPr>
                      <w:rFonts w:ascii="Times New Roman" w:hAnsi="Times New Roman" w:cs="Times New Roman"/>
                      <w:sz w:val="24"/>
                      <w:szCs w:val="24"/>
                    </w:rPr>
                    <w:t>būvkomersantu</w:t>
                  </w:r>
                  <w:proofErr w:type="spellEnd"/>
                  <w:r w:rsidRPr="00132761">
                    <w:rPr>
                      <w:rFonts w:ascii="Times New Roman" w:hAnsi="Times New Roman" w:cs="Times New Roman"/>
                      <w:sz w:val="24"/>
                      <w:szCs w:val="24"/>
                    </w:rPr>
                    <w:t xml:space="preserve"> skaita, plānotā nodeva 3000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gadā</w:t>
                  </w:r>
                </w:p>
                <w:p w:rsidR="00747602" w:rsidRPr="00132761" w:rsidRDefault="00747602" w:rsidP="00747602">
                  <w:pPr>
                    <w:spacing w:after="0" w:line="240" w:lineRule="auto"/>
                    <w:ind w:firstLine="238"/>
                    <w:jc w:val="both"/>
                    <w:rPr>
                      <w:rFonts w:ascii="Times New Roman" w:hAnsi="Times New Roman" w:cs="Times New Roman"/>
                      <w:sz w:val="24"/>
                      <w:szCs w:val="24"/>
                    </w:rPr>
                  </w:pPr>
                  <w:r w:rsidRPr="00132761">
                    <w:rPr>
                      <w:rFonts w:ascii="Times New Roman" w:hAnsi="Times New Roman" w:cs="Times New Roman"/>
                      <w:sz w:val="24"/>
                      <w:szCs w:val="24"/>
                    </w:rPr>
                    <w:t xml:space="preserve">- vairāk par 10 </w:t>
                  </w:r>
                  <w:proofErr w:type="spellStart"/>
                  <w:r w:rsidRPr="00132761">
                    <w:rPr>
                      <w:rFonts w:ascii="Times New Roman" w:hAnsi="Times New Roman" w:cs="Times New Roman"/>
                      <w:sz w:val="24"/>
                      <w:szCs w:val="24"/>
                    </w:rPr>
                    <w:t>milj</w:t>
                  </w:r>
                  <w:proofErr w:type="spellEnd"/>
                  <w:r w:rsidRPr="00132761">
                    <w:rPr>
                      <w:rFonts w:ascii="Times New Roman" w:hAnsi="Times New Roman" w:cs="Times New Roman"/>
                      <w:sz w:val="24"/>
                      <w:szCs w:val="24"/>
                    </w:rPr>
                    <w:t xml:space="preserve">. EUR – 31 </w:t>
                  </w:r>
                  <w:proofErr w:type="spellStart"/>
                  <w:r w:rsidRPr="00132761">
                    <w:rPr>
                      <w:rFonts w:ascii="Times New Roman" w:hAnsi="Times New Roman" w:cs="Times New Roman"/>
                      <w:sz w:val="24"/>
                      <w:szCs w:val="24"/>
                    </w:rPr>
                    <w:t>būvkomersants</w:t>
                  </w:r>
                  <w:proofErr w:type="spellEnd"/>
                  <w:r w:rsidRPr="00132761">
                    <w:rPr>
                      <w:rFonts w:ascii="Times New Roman" w:hAnsi="Times New Roman" w:cs="Times New Roman"/>
                      <w:sz w:val="24"/>
                      <w:szCs w:val="24"/>
                    </w:rPr>
                    <w:t xml:space="preserve">, jeb 1% no kopējā </w:t>
                  </w:r>
                  <w:proofErr w:type="spellStart"/>
                  <w:r w:rsidRPr="00132761">
                    <w:rPr>
                      <w:rFonts w:ascii="Times New Roman" w:hAnsi="Times New Roman" w:cs="Times New Roman"/>
                      <w:sz w:val="24"/>
                      <w:szCs w:val="24"/>
                    </w:rPr>
                    <w:t>būvkomersantu</w:t>
                  </w:r>
                  <w:proofErr w:type="spellEnd"/>
                  <w:r w:rsidRPr="00132761">
                    <w:rPr>
                      <w:rFonts w:ascii="Times New Roman" w:hAnsi="Times New Roman" w:cs="Times New Roman"/>
                      <w:sz w:val="24"/>
                      <w:szCs w:val="24"/>
                    </w:rPr>
                    <w:t xml:space="preserve"> skaita, plānotā nodeva 5000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gadā.</w:t>
                  </w:r>
                </w:p>
                <w:p w:rsidR="00132761" w:rsidRPr="00132761" w:rsidRDefault="00132761" w:rsidP="00132761">
                  <w:pPr>
                    <w:spacing w:after="0" w:line="240" w:lineRule="auto"/>
                    <w:ind w:firstLine="357"/>
                    <w:jc w:val="both"/>
                    <w:rPr>
                      <w:rFonts w:ascii="Times New Roman" w:hAnsi="Times New Roman" w:cs="Times New Roman"/>
                      <w:sz w:val="24"/>
                      <w:szCs w:val="24"/>
                    </w:rPr>
                  </w:pPr>
                  <w:r w:rsidRPr="00132761">
                    <w:rPr>
                      <w:rFonts w:ascii="Times New Roman" w:hAnsi="Times New Roman" w:cs="Times New Roman"/>
                      <w:sz w:val="24"/>
                      <w:szCs w:val="24"/>
                    </w:rPr>
                    <w:t xml:space="preserve">No kopējiem ieņēmumiem budžeta programmā 20.00.00 “Būvniecība” 2015.gadam tiek paredzēti līdzekļi 1 629 684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apmērā, tai skaitā atlīdzībai 1 302 869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(atalgojumam 1 006 447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2016. un 2017.gadam katru gadu 1 902 123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apmērā, tai skaitā atlīdzībai 1 575 308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apmērā (atalgojumam 1 220 872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Būvniecības valsts kontroles biroja darbības nodrošināšanai.</w:t>
                  </w:r>
                </w:p>
                <w:p w:rsidR="00132761" w:rsidRPr="00132761" w:rsidRDefault="00132761" w:rsidP="00132761">
                  <w:pPr>
                    <w:spacing w:after="0" w:line="240" w:lineRule="auto"/>
                    <w:ind w:firstLine="357"/>
                    <w:jc w:val="both"/>
                    <w:rPr>
                      <w:rFonts w:ascii="Times New Roman" w:hAnsi="Times New Roman" w:cs="Times New Roman"/>
                      <w:sz w:val="24"/>
                      <w:szCs w:val="24"/>
                    </w:rPr>
                  </w:pPr>
                  <w:r w:rsidRPr="00132761">
                    <w:rPr>
                      <w:rFonts w:ascii="Times New Roman" w:hAnsi="Times New Roman" w:cs="Times New Roman"/>
                      <w:sz w:val="24"/>
                      <w:szCs w:val="24"/>
                    </w:rPr>
                    <w:t xml:space="preserve">Budžeta programmā 97.00.00 “Nozares vadība un politikas plānošana” 2015.gadam 227 336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 xml:space="preserve"> </w:t>
                  </w:r>
                  <w:r w:rsidRPr="00132761">
                    <w:rPr>
                      <w:rFonts w:ascii="Times New Roman" w:hAnsi="Times New Roman" w:cs="Times New Roman"/>
                      <w:sz w:val="24"/>
                      <w:szCs w:val="24"/>
                    </w:rPr>
                    <w:t xml:space="preserve">apmērā, tai skaitā atlīdzībai 58 066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apmērā (atalgojumam 46 638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2 amata vietu izveidei valsts nodevas par būvniecības pakalpojumiem administrēšanai, 160 000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būvniecības nozares standartu izstrādei un pilnveidošanai un </w:t>
                  </w:r>
                  <w:proofErr w:type="spellStart"/>
                  <w:r w:rsidRPr="00132761">
                    <w:rPr>
                      <w:rFonts w:ascii="Times New Roman" w:hAnsi="Times New Roman" w:cs="Times New Roman"/>
                      <w:sz w:val="24"/>
                      <w:szCs w:val="24"/>
                    </w:rPr>
                    <w:t>būvkomersantu</w:t>
                  </w:r>
                  <w:proofErr w:type="spellEnd"/>
                  <w:r w:rsidRPr="00132761">
                    <w:rPr>
                      <w:rFonts w:ascii="Times New Roman" w:hAnsi="Times New Roman" w:cs="Times New Roman"/>
                      <w:sz w:val="24"/>
                      <w:szCs w:val="24"/>
                    </w:rPr>
                    <w:t xml:space="preserve"> klasifikācijas sistēmas izveidei, 2016. un 2017.gadam katru gadu  180 946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apmērā, tai skaitā atlīdzībai 58 066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apmērā (atalgojumam 46 638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118 000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būvniecības nozares standartu izstrādei un pilnveidošanai un </w:t>
                  </w:r>
                  <w:proofErr w:type="spellStart"/>
                  <w:r w:rsidRPr="00132761">
                    <w:rPr>
                      <w:rFonts w:ascii="Times New Roman" w:hAnsi="Times New Roman" w:cs="Times New Roman"/>
                      <w:sz w:val="24"/>
                      <w:szCs w:val="24"/>
                    </w:rPr>
                    <w:t>būvkomersantu</w:t>
                  </w:r>
                  <w:proofErr w:type="spellEnd"/>
                  <w:r w:rsidRPr="00132761">
                    <w:rPr>
                      <w:rFonts w:ascii="Times New Roman" w:hAnsi="Times New Roman" w:cs="Times New Roman"/>
                      <w:sz w:val="24"/>
                      <w:szCs w:val="24"/>
                    </w:rPr>
                    <w:t xml:space="preserve"> klasifikācijas sistēmas uzturēšanai. </w:t>
                  </w:r>
                </w:p>
                <w:p w:rsidR="00132761" w:rsidRPr="00132761" w:rsidRDefault="00132761" w:rsidP="00132761">
                  <w:pPr>
                    <w:spacing w:after="0" w:line="240" w:lineRule="auto"/>
                    <w:ind w:firstLine="357"/>
                    <w:jc w:val="both"/>
                    <w:rPr>
                      <w:rFonts w:ascii="Times New Roman" w:hAnsi="Times New Roman" w:cs="Times New Roman"/>
                      <w:sz w:val="24"/>
                      <w:szCs w:val="24"/>
                    </w:rPr>
                  </w:pPr>
                  <w:r w:rsidRPr="00132761">
                    <w:rPr>
                      <w:rFonts w:ascii="Times New Roman" w:hAnsi="Times New Roman" w:cs="Times New Roman"/>
                      <w:sz w:val="24"/>
                      <w:szCs w:val="24"/>
                    </w:rPr>
                    <w:t xml:space="preserve">Tiek palielināti izdevumi 2015. 61 980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2016. un 2017.gadam katru gadu 52 331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apmērā ministrijas ekspertu dalībai OECD instrumentos un pasākumos, t. </w:t>
                  </w:r>
                  <w:proofErr w:type="spellStart"/>
                  <w:r w:rsidRPr="00132761">
                    <w:rPr>
                      <w:rFonts w:ascii="Times New Roman" w:hAnsi="Times New Roman" w:cs="Times New Roman"/>
                      <w:sz w:val="24"/>
                      <w:szCs w:val="24"/>
                    </w:rPr>
                    <w:t>sk</w:t>
                  </w:r>
                  <w:proofErr w:type="spellEnd"/>
                  <w:r w:rsidRPr="00132761">
                    <w:rPr>
                      <w:rFonts w:ascii="Times New Roman" w:hAnsi="Times New Roman" w:cs="Times New Roman"/>
                      <w:sz w:val="24"/>
                      <w:szCs w:val="24"/>
                    </w:rPr>
                    <w:t xml:space="preserve">. programmā 24.00.00 ”Statistiskās informācijas nodrošināšana” 2015., 2016. un 2017.gadam katru gadu 7 380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programmā 25.00.00 ”Uzņēmējdarbības un uz zināšanām balstītas ekonomikas veicināšana.” 2015.gadā 20 000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2016. un 2017.gadam katru gadu 18 951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apakšprogrammā 26.01.00 ”Iekšējais tirgus un patērētāju tiesību aizsardzība” 2015.gadā 15 600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2016. un 2017.gadam katru gadu 11 000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apakšprogrammā 26.02.00 ”Konkurences politikas ieviešana” 2015.gadā 19 000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i/>
                      <w:sz w:val="24"/>
                      <w:szCs w:val="24"/>
                    </w:rPr>
                    <w:t>,</w:t>
                  </w:r>
                  <w:r w:rsidRPr="00132761">
                    <w:rPr>
                      <w:rFonts w:ascii="Times New Roman" w:hAnsi="Times New Roman" w:cs="Times New Roman"/>
                      <w:sz w:val="24"/>
                      <w:szCs w:val="24"/>
                    </w:rPr>
                    <w:t xml:space="preserve"> 2016. un 2017.gadam katru gadu 15 000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kā arī 2015.gadā palielināt izdevumus apakšprogrammā 26.04.00 ”Atbilstības novērtēšana un kvalitātes nodrošināšana” 5 700 </w:t>
                  </w:r>
                  <w:proofErr w:type="spellStart"/>
                  <w:r w:rsidRPr="00132761">
                    <w:rPr>
                      <w:rFonts w:ascii="Times New Roman" w:hAnsi="Times New Roman" w:cs="Times New Roman"/>
                      <w:sz w:val="24"/>
                      <w:szCs w:val="24"/>
                    </w:rPr>
                    <w:t>euro</w:t>
                  </w:r>
                  <w:proofErr w:type="spellEnd"/>
                  <w:r w:rsidRPr="00132761">
                    <w:rPr>
                      <w:rFonts w:ascii="Times New Roman" w:hAnsi="Times New Roman" w:cs="Times New Roman"/>
                      <w:sz w:val="24"/>
                      <w:szCs w:val="24"/>
                    </w:rPr>
                    <w:t xml:space="preserve"> apmērā izmaksām par OECD Labas Laboratorijas prakses darba grupas Ķīmisko vielu datu savstarpējās atzīšanas sistēmas novērtēšanas grupas ekspertu vizītei Latvijā.</w:t>
                  </w:r>
                </w:p>
                <w:p w:rsidR="00132761" w:rsidRPr="00132761" w:rsidRDefault="00132761" w:rsidP="00132761">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B</w:t>
                  </w:r>
                  <w:r w:rsidRPr="00132761">
                    <w:rPr>
                      <w:rFonts w:ascii="Times New Roman" w:hAnsi="Times New Roman" w:cs="Times New Roman"/>
                      <w:sz w:val="24"/>
                      <w:szCs w:val="24"/>
                    </w:rPr>
                    <w:t xml:space="preserve">udžeta programmā 34.00.00 “Iemaksas starptautiskajās organizācijās” </w:t>
                  </w:r>
                  <w:r>
                    <w:rPr>
                      <w:rFonts w:ascii="Times New Roman" w:hAnsi="Times New Roman" w:cs="Times New Roman"/>
                      <w:sz w:val="24"/>
                      <w:szCs w:val="24"/>
                    </w:rPr>
                    <w:t xml:space="preserve">tiek </w:t>
                  </w:r>
                  <w:r w:rsidRPr="00132761">
                    <w:rPr>
                      <w:rFonts w:ascii="Times New Roman" w:hAnsi="Times New Roman" w:cs="Times New Roman"/>
                      <w:sz w:val="24"/>
                      <w:szCs w:val="24"/>
                    </w:rPr>
                    <w:t>palielināt</w:t>
                  </w:r>
                  <w:r>
                    <w:rPr>
                      <w:rFonts w:ascii="Times New Roman" w:hAnsi="Times New Roman" w:cs="Times New Roman"/>
                      <w:sz w:val="24"/>
                      <w:szCs w:val="24"/>
                    </w:rPr>
                    <w:t>i</w:t>
                  </w:r>
                  <w:r w:rsidRPr="00132761">
                    <w:rPr>
                      <w:rFonts w:ascii="Times New Roman" w:hAnsi="Times New Roman" w:cs="Times New Roman"/>
                      <w:sz w:val="24"/>
                      <w:szCs w:val="24"/>
                    </w:rPr>
                    <w:t xml:space="preserve"> izdevum</w:t>
                  </w:r>
                  <w:r>
                    <w:rPr>
                      <w:rFonts w:ascii="Times New Roman" w:hAnsi="Times New Roman" w:cs="Times New Roman"/>
                      <w:sz w:val="24"/>
                      <w:szCs w:val="24"/>
                    </w:rPr>
                    <w:t>i</w:t>
                  </w:r>
                  <w:r w:rsidRPr="00132761">
                    <w:rPr>
                      <w:rFonts w:ascii="Times New Roman" w:hAnsi="Times New Roman" w:cs="Times New Roman"/>
                      <w:sz w:val="24"/>
                      <w:szCs w:val="24"/>
                    </w:rPr>
                    <w:t xml:space="preserve"> 2015., 2016. un 2017.gadam katru gadu 50 300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apmērā pilntiesīgā dalībnieka statusa </w:t>
                  </w:r>
                  <w:r w:rsidRPr="00132761">
                    <w:rPr>
                      <w:rFonts w:ascii="Times New Roman" w:hAnsi="Times New Roman" w:cs="Times New Roman"/>
                      <w:sz w:val="24"/>
                      <w:szCs w:val="24"/>
                    </w:rPr>
                    <w:lastRenderedPageBreak/>
                    <w:t xml:space="preserve">nodrošināšanai OECD darba grupā par valsts kapitāla pārvaldīšanas un privatizācijas praksi, 2015 gadam palielināt izdevumus 10 700 </w:t>
                  </w:r>
                  <w:proofErr w:type="spellStart"/>
                  <w:r w:rsidRPr="00132761">
                    <w:rPr>
                      <w:rFonts w:ascii="Times New Roman" w:hAnsi="Times New Roman" w:cs="Times New Roman"/>
                      <w:i/>
                      <w:sz w:val="24"/>
                      <w:szCs w:val="24"/>
                    </w:rPr>
                    <w:t>euro</w:t>
                  </w:r>
                  <w:proofErr w:type="spellEnd"/>
                  <w:r w:rsidRPr="00132761">
                    <w:rPr>
                      <w:rFonts w:ascii="Times New Roman" w:hAnsi="Times New Roman" w:cs="Times New Roman"/>
                      <w:sz w:val="24"/>
                      <w:szCs w:val="24"/>
                    </w:rPr>
                    <w:t xml:space="preserve"> apmērā īpašas subsīdijas nomaksai Labas Laboratorijas prakses darba grupai par 10 gadu periodu.</w:t>
                  </w:r>
                </w:p>
                <w:p w:rsidR="00747602" w:rsidRPr="00A45217" w:rsidRDefault="00747602" w:rsidP="00132761">
                  <w:pPr>
                    <w:spacing w:after="0" w:line="240" w:lineRule="auto"/>
                    <w:ind w:firstLine="238"/>
                    <w:jc w:val="both"/>
                    <w:rPr>
                      <w:rFonts w:ascii="Times New Roman" w:hAnsi="Times New Roman" w:cs="Times New Roman"/>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lastRenderedPageBreak/>
                    <w:t>6.1. detalizēts ieņēmumu aprēķins</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592" w:type="pct"/>
                  <w:gridSpan w:val="5"/>
                  <w:vMerge/>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6.2. detalizēts izdevumu aprēķins</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592" w:type="pct"/>
                  <w:gridSpan w:val="5"/>
                  <w:vMerge/>
                  <w:vAlign w:val="center"/>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r>
            <w:tr w:rsidR="00A45217" w:rsidRPr="00A45217" w:rsidTr="00544C0B">
              <w:trPr>
                <w:trHeight w:val="555"/>
                <w:tblCellSpacing w:w="15" w:type="dxa"/>
                <w:jc w:val="center"/>
              </w:trPr>
              <w:tc>
                <w:tcPr>
                  <w:tcW w:w="13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lastRenderedPageBreak/>
                    <w:t>7. Cita informācija</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592" w:type="pct"/>
                  <w:gridSpan w:val="5"/>
                </w:tcPr>
                <w:p w:rsidR="00A97E7D" w:rsidRPr="00A45217" w:rsidRDefault="0005443F" w:rsidP="00544C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Budžeta izdevumi atspoguļoti dokumentos, kas skatīti Ministru kabineta 2014.gada 19.novebra sēdē (protokols nr.63, 22.§) </w:t>
                  </w: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963"/>
              <w:gridCol w:w="5834"/>
            </w:tblGrid>
            <w:tr w:rsidR="00A45217" w:rsidRPr="00A45217" w:rsidTr="00544C0B">
              <w:trPr>
                <w:trHeight w:val="555"/>
                <w:tblCellSpacing w:w="15" w:type="dxa"/>
              </w:trPr>
              <w:tc>
                <w:tcPr>
                  <w:tcW w:w="4967" w:type="pct"/>
                  <w:gridSpan w:val="3"/>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 xml:space="preserve">IV. Tiesību akta projekta ietekme uz spēkā esošo </w:t>
                  </w:r>
                </w:p>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tiesību normu sistēmu</w:t>
                  </w:r>
                </w:p>
              </w:tc>
            </w:tr>
            <w:tr w:rsidR="00A45217" w:rsidRPr="00A45217" w:rsidTr="00544C0B">
              <w:trPr>
                <w:trHeight w:val="465"/>
                <w:tblCellSpacing w:w="15" w:type="dxa"/>
              </w:trPr>
              <w:tc>
                <w:tcPr>
                  <w:tcW w:w="257"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w:t>
                  </w:r>
                </w:p>
              </w:tc>
              <w:tc>
                <w:tcPr>
                  <w:tcW w:w="158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Nepieciešamie saistītie tiesību aktu projekti</w:t>
                  </w:r>
                </w:p>
              </w:tc>
              <w:tc>
                <w:tcPr>
                  <w:tcW w:w="3092" w:type="pct"/>
                  <w:hideMark/>
                </w:tcPr>
                <w:p w:rsidR="00A97E7D" w:rsidRPr="00A45217" w:rsidRDefault="00A45217" w:rsidP="00544C0B">
                  <w:pPr>
                    <w:autoSpaceDE w:val="0"/>
                    <w:autoSpaceDN w:val="0"/>
                    <w:adjustRightInd w:val="0"/>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bCs/>
                      <w:sz w:val="24"/>
                      <w:szCs w:val="24"/>
                    </w:rPr>
                    <w:t>1) </w:t>
                  </w:r>
                  <w:r w:rsidR="00A97E7D" w:rsidRPr="00A45217">
                    <w:rPr>
                      <w:rFonts w:ascii="Times New Roman" w:hAnsi="Times New Roman" w:cs="Times New Roman"/>
                      <w:bCs/>
                      <w:sz w:val="24"/>
                      <w:szCs w:val="24"/>
                    </w:rPr>
                    <w:t xml:space="preserve">Nepieciešams grozīt </w:t>
                  </w:r>
                  <w:r w:rsidR="00A97E7D" w:rsidRPr="00A45217">
                    <w:rPr>
                      <w:rFonts w:ascii="Times New Roman" w:hAnsi="Times New Roman" w:cs="Times New Roman"/>
                      <w:sz w:val="24"/>
                      <w:szCs w:val="24"/>
                    </w:rPr>
                    <w:t>Ministru kabineta 2014.gada 25.februāra noteikumus Nr.116 "</w:t>
                  </w:r>
                  <w:proofErr w:type="spellStart"/>
                  <w:r w:rsidR="00A97E7D" w:rsidRPr="00A45217">
                    <w:rPr>
                      <w:rFonts w:ascii="Times New Roman" w:hAnsi="Times New Roman" w:cs="Times New Roman"/>
                      <w:sz w:val="24"/>
                      <w:szCs w:val="24"/>
                    </w:rPr>
                    <w:t>Būvkomersantu</w:t>
                  </w:r>
                  <w:proofErr w:type="spellEnd"/>
                  <w:r w:rsidR="00A97E7D" w:rsidRPr="00A45217">
                    <w:rPr>
                      <w:rFonts w:ascii="Times New Roman" w:hAnsi="Times New Roman" w:cs="Times New Roman"/>
                      <w:sz w:val="24"/>
                      <w:szCs w:val="24"/>
                    </w:rPr>
                    <w:t xml:space="preserve"> reģistrācijas noteikumi", sasaistot ikgadējās nodevas iekasēšanu ar </w:t>
                  </w:r>
                  <w:proofErr w:type="spellStart"/>
                  <w:r w:rsidR="00A97E7D" w:rsidRPr="00A45217">
                    <w:rPr>
                      <w:rFonts w:ascii="Times New Roman" w:hAnsi="Times New Roman" w:cs="Times New Roman"/>
                      <w:sz w:val="24"/>
                      <w:szCs w:val="24"/>
                    </w:rPr>
                    <w:t>būvkomersanta</w:t>
                  </w:r>
                  <w:proofErr w:type="spellEnd"/>
                  <w:r w:rsidR="00A97E7D" w:rsidRPr="00A45217">
                    <w:rPr>
                      <w:rFonts w:ascii="Times New Roman" w:hAnsi="Times New Roman" w:cs="Times New Roman"/>
                      <w:sz w:val="24"/>
                      <w:szCs w:val="24"/>
                    </w:rPr>
                    <w:t xml:space="preserve"> pienākumu katru gadu līdz 30.aprīlim iesniegt reģistra iestādē informāciju par </w:t>
                  </w:r>
                  <w:proofErr w:type="spellStart"/>
                  <w:r w:rsidR="00A97E7D" w:rsidRPr="00A45217">
                    <w:rPr>
                      <w:rFonts w:ascii="Times New Roman" w:hAnsi="Times New Roman" w:cs="Times New Roman"/>
                      <w:sz w:val="24"/>
                      <w:szCs w:val="24"/>
                    </w:rPr>
                    <w:t>būvkomersanta</w:t>
                  </w:r>
                  <w:proofErr w:type="spellEnd"/>
                  <w:r w:rsidR="00A97E7D" w:rsidRPr="00A45217">
                    <w:rPr>
                      <w:rFonts w:ascii="Times New Roman" w:hAnsi="Times New Roman" w:cs="Times New Roman"/>
                      <w:sz w:val="24"/>
                      <w:szCs w:val="24"/>
                    </w:rPr>
                    <w:t xml:space="preserve"> darbību iepriekšējā kalendāra gadā. Savukārt pirmreizējo nodevu saglabājot tādā apmērā kā to šobrīd jau paredz šie noteikumi. </w:t>
                  </w:r>
                </w:p>
                <w:p w:rsidR="00B26F44" w:rsidRPr="00A45217" w:rsidRDefault="00A45217" w:rsidP="00B26F44">
                  <w:pPr>
                    <w:spacing w:after="0" w:line="240" w:lineRule="auto"/>
                    <w:ind w:left="57" w:right="57"/>
                    <w:jc w:val="both"/>
                    <w:rPr>
                      <w:rFonts w:ascii="Times New Roman" w:hAnsi="Times New Roman" w:cs="Times New Roman"/>
                      <w:sz w:val="24"/>
                      <w:szCs w:val="24"/>
                    </w:rPr>
                  </w:pPr>
                  <w:r w:rsidRPr="00A45217">
                    <w:rPr>
                      <w:rFonts w:ascii="Times New Roman" w:eastAsia="Times New Roman" w:hAnsi="Times New Roman" w:cs="Times New Roman"/>
                      <w:sz w:val="24"/>
                      <w:szCs w:val="24"/>
                      <w:lang w:eastAsia="lv-LV"/>
                    </w:rPr>
                    <w:t>2) </w:t>
                  </w:r>
                  <w:r w:rsidR="000E56D8" w:rsidRPr="00A45217">
                    <w:rPr>
                      <w:rFonts w:ascii="Times New Roman" w:eastAsia="Times New Roman" w:hAnsi="Times New Roman" w:cs="Times New Roman"/>
                      <w:sz w:val="24"/>
                      <w:szCs w:val="24"/>
                      <w:lang w:eastAsia="lv-LV"/>
                    </w:rPr>
                    <w:t xml:space="preserve">Nepieciešams grozīt </w:t>
                  </w:r>
                  <w:r w:rsidR="000E56D8" w:rsidRPr="00A45217">
                    <w:rPr>
                      <w:rFonts w:ascii="Times New Roman" w:hAnsi="Times New Roman" w:cs="Times New Roman"/>
                      <w:sz w:val="24"/>
                      <w:szCs w:val="24"/>
                    </w:rPr>
                    <w:t xml:space="preserve">Ministru kabineta 2005.gada 28.jūnija noteikumus Nr.480 „Noteikumi par kārtību, kādā pašvaldības var uzlikt pašvaldības nodevas”, nosakot </w:t>
                  </w:r>
                  <w:r w:rsidR="00B26F44" w:rsidRPr="00A45217">
                    <w:rPr>
                      <w:rFonts w:ascii="Times New Roman" w:hAnsi="Times New Roman" w:cs="Times New Roman"/>
                      <w:sz w:val="24"/>
                      <w:szCs w:val="24"/>
                    </w:rPr>
                    <w:t xml:space="preserve">pienākumu </w:t>
                  </w:r>
                  <w:r w:rsidR="000470EF">
                    <w:rPr>
                      <w:rFonts w:ascii="Times New Roman" w:hAnsi="Times New Roman" w:cs="Times New Roman"/>
                      <w:sz w:val="24"/>
                      <w:szCs w:val="24"/>
                    </w:rPr>
                    <w:t xml:space="preserve">būvniecības ierosinātājam </w:t>
                  </w:r>
                  <w:r w:rsidR="00B26F44" w:rsidRPr="00A45217">
                    <w:rPr>
                      <w:rFonts w:ascii="Times New Roman" w:hAnsi="Times New Roman" w:cs="Times New Roman"/>
                      <w:sz w:val="24"/>
                      <w:szCs w:val="24"/>
                    </w:rPr>
                    <w:t xml:space="preserve">maksāt nodevu par būvvaldes pieņemto </w:t>
                  </w:r>
                  <w:r w:rsidR="007D3EB1" w:rsidRPr="00A45217">
                    <w:rPr>
                      <w:rFonts w:ascii="Times New Roman" w:hAnsi="Times New Roman" w:cs="Times New Roman"/>
                      <w:sz w:val="24"/>
                      <w:szCs w:val="24"/>
                    </w:rPr>
                    <w:t xml:space="preserve">pozitīvo </w:t>
                  </w:r>
                  <w:r w:rsidR="00B26F44" w:rsidRPr="00A45217">
                    <w:rPr>
                      <w:rFonts w:ascii="Times New Roman" w:hAnsi="Times New Roman" w:cs="Times New Roman"/>
                      <w:sz w:val="24"/>
                      <w:szCs w:val="24"/>
                    </w:rPr>
                    <w:t xml:space="preserve">lēmumu, izskatot  </w:t>
                  </w:r>
                  <w:r w:rsidR="007D3EB1" w:rsidRPr="00A45217">
                    <w:rPr>
                      <w:rFonts w:ascii="Times New Roman" w:hAnsi="Times New Roman" w:cs="Times New Roman"/>
                      <w:sz w:val="24"/>
                      <w:szCs w:val="24"/>
                    </w:rPr>
                    <w:t xml:space="preserve">būvniecības ieceres dokumentus. </w:t>
                  </w:r>
                </w:p>
                <w:p w:rsidR="000E56D8" w:rsidRPr="00A45217" w:rsidRDefault="000E56D8" w:rsidP="00544C0B">
                  <w:pPr>
                    <w:spacing w:after="0" w:line="240" w:lineRule="auto"/>
                    <w:jc w:val="both"/>
                    <w:rPr>
                      <w:rFonts w:ascii="Times New Roman" w:eastAsia="Times New Roman" w:hAnsi="Times New Roman" w:cs="Times New Roman"/>
                      <w:sz w:val="24"/>
                      <w:szCs w:val="24"/>
                      <w:lang w:eastAsia="lv-LV"/>
                    </w:rPr>
                  </w:pPr>
                </w:p>
              </w:tc>
            </w:tr>
            <w:tr w:rsidR="00A45217" w:rsidRPr="00A45217" w:rsidTr="00544C0B">
              <w:trPr>
                <w:trHeight w:val="510"/>
                <w:tblCellSpacing w:w="15" w:type="dxa"/>
              </w:trPr>
              <w:tc>
                <w:tcPr>
                  <w:tcW w:w="257"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2.</w:t>
                  </w:r>
                </w:p>
              </w:tc>
              <w:tc>
                <w:tcPr>
                  <w:tcW w:w="158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Atbildīgā institūcija</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092" w:type="pct"/>
                  <w:hideMark/>
                </w:tcPr>
                <w:p w:rsidR="00A97E7D" w:rsidRPr="00A45217" w:rsidRDefault="00A97E7D" w:rsidP="00544C0B">
                  <w:pPr>
                    <w:spacing w:after="0" w:line="240" w:lineRule="auto"/>
                    <w:jc w:val="both"/>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Ekonomikas ministrija</w:t>
                  </w:r>
                </w:p>
              </w:tc>
            </w:tr>
            <w:tr w:rsidR="00A45217" w:rsidRPr="00A45217" w:rsidTr="00544C0B">
              <w:trPr>
                <w:trHeight w:val="510"/>
                <w:tblCellSpacing w:w="15" w:type="dxa"/>
              </w:trPr>
              <w:tc>
                <w:tcPr>
                  <w:tcW w:w="257"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w:t>
                  </w:r>
                </w:p>
              </w:tc>
              <w:tc>
                <w:tcPr>
                  <w:tcW w:w="1584"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Cita informācija</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3092" w:type="pct"/>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Nav</w:t>
                  </w: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9317"/>
            </w:tblGrid>
            <w:tr w:rsidR="00A45217" w:rsidRPr="00A45217" w:rsidTr="00544C0B">
              <w:trPr>
                <w:tblCellSpacing w:w="15" w:type="dxa"/>
              </w:trPr>
              <w:tc>
                <w:tcPr>
                  <w:tcW w:w="4968" w:type="pct"/>
                  <w:vAlign w:val="center"/>
                  <w:hideMark/>
                </w:tcPr>
                <w:p w:rsidR="00A97E7D" w:rsidRPr="00A45217" w:rsidRDefault="00A97E7D" w:rsidP="00544C0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V. Tiesību akta projekta atbilstība Latvijas Republikas starptautiskajām saistībām</w:t>
                  </w:r>
                </w:p>
              </w:tc>
            </w:tr>
            <w:tr w:rsidR="00A45217" w:rsidRPr="00A45217" w:rsidTr="00544C0B">
              <w:trPr>
                <w:tblCellSpacing w:w="15" w:type="dxa"/>
              </w:trPr>
              <w:tc>
                <w:tcPr>
                  <w:tcW w:w="4968" w:type="pct"/>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Projekts šo jomu neskar</w:t>
                  </w: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9317"/>
            </w:tblGrid>
            <w:tr w:rsidR="00A45217" w:rsidRPr="00A45217" w:rsidTr="00544C0B">
              <w:trPr>
                <w:trHeight w:val="280"/>
                <w:tblCellSpacing w:w="15" w:type="dxa"/>
                <w:jc w:val="center"/>
              </w:trPr>
              <w:tc>
                <w:tcPr>
                  <w:tcW w:w="0" w:type="auto"/>
                  <w:vAlign w:val="center"/>
                  <w:hideMark/>
                </w:tcPr>
                <w:p w:rsidR="00A97E7D" w:rsidRPr="00A45217" w:rsidRDefault="00A97E7D" w:rsidP="00544C0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VI. Sabiedrības līdzdalība un komunikācijas aktivitātes</w:t>
                  </w:r>
                </w:p>
              </w:tc>
            </w:tr>
            <w:tr w:rsidR="00A45217" w:rsidRPr="00A45217" w:rsidTr="00544C0B">
              <w:trPr>
                <w:trHeight w:val="360"/>
                <w:tblCellSpacing w:w="15" w:type="dxa"/>
                <w:jc w:val="center"/>
              </w:trPr>
              <w:tc>
                <w:tcPr>
                  <w:tcW w:w="4968" w:type="pct"/>
                  <w:hideMark/>
                </w:tcPr>
                <w:p w:rsidR="00A97E7D" w:rsidRPr="00A45217" w:rsidRDefault="00A97E7D" w:rsidP="00544C0B">
                  <w:pPr>
                    <w:spacing w:after="0" w:line="240" w:lineRule="auto"/>
                    <w:jc w:val="center"/>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Projekts šo jomu neskar</w:t>
                  </w:r>
                </w:p>
              </w:tc>
            </w:tr>
          </w:tbl>
          <w:p w:rsidR="00A97E7D" w:rsidRPr="00A45217" w:rsidRDefault="00A97E7D" w:rsidP="00544C0B">
            <w:pPr>
              <w:spacing w:after="0" w:line="240" w:lineRule="auto"/>
              <w:rPr>
                <w:rFonts w:ascii="Times New Roman" w:eastAsia="Times New Roman" w:hAnsi="Times New Roman" w:cs="Times New Roman"/>
                <w:sz w:val="24"/>
                <w:szCs w:val="24"/>
                <w:lang w:eastAsia="lv-LV"/>
              </w:rPr>
            </w:pP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2"/>
              <w:gridCol w:w="3589"/>
              <w:gridCol w:w="5206"/>
            </w:tblGrid>
            <w:tr w:rsidR="00A45217" w:rsidRPr="00A45217" w:rsidTr="00544C0B">
              <w:trPr>
                <w:trHeight w:val="375"/>
                <w:tblCellSpacing w:w="15" w:type="dxa"/>
                <w:jc w:val="center"/>
              </w:trPr>
              <w:tc>
                <w:tcPr>
                  <w:tcW w:w="4967" w:type="pct"/>
                  <w:gridSpan w:val="3"/>
                  <w:vAlign w:val="center"/>
                  <w:hideMark/>
                </w:tcPr>
                <w:p w:rsidR="00A97E7D" w:rsidRPr="00A45217" w:rsidRDefault="00A97E7D" w:rsidP="00544C0B">
                  <w:pPr>
                    <w:spacing w:after="0" w:line="240" w:lineRule="auto"/>
                    <w:jc w:val="center"/>
                    <w:rPr>
                      <w:rFonts w:ascii="Times New Roman" w:eastAsia="Times New Roman" w:hAnsi="Times New Roman" w:cs="Times New Roman"/>
                      <w:b/>
                      <w:bCs/>
                      <w:sz w:val="24"/>
                      <w:szCs w:val="24"/>
                      <w:lang w:eastAsia="lv-LV"/>
                    </w:rPr>
                  </w:pPr>
                  <w:r w:rsidRPr="00A45217">
                    <w:rPr>
                      <w:rFonts w:ascii="Times New Roman" w:eastAsia="Times New Roman" w:hAnsi="Times New Roman" w:cs="Times New Roman"/>
                      <w:b/>
                      <w:bCs/>
                      <w:sz w:val="24"/>
                      <w:szCs w:val="24"/>
                      <w:lang w:eastAsia="lv-LV"/>
                    </w:rPr>
                    <w:t>VII. Tiesību akta projekta izpildes nodrošināšana un tās ietekme uz institūcijām</w:t>
                  </w:r>
                </w:p>
              </w:tc>
            </w:tr>
            <w:tr w:rsidR="00A45217" w:rsidRPr="00A45217" w:rsidTr="00544C0B">
              <w:trPr>
                <w:trHeight w:val="420"/>
                <w:tblCellSpacing w:w="15" w:type="dxa"/>
                <w:jc w:val="center"/>
              </w:trPr>
              <w:tc>
                <w:tcPr>
                  <w:tcW w:w="2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1.</w:t>
                  </w:r>
                </w:p>
              </w:tc>
              <w:tc>
                <w:tcPr>
                  <w:tcW w:w="1922"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Projekta izpildē iesaistītās institūcijas</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p>
              </w:tc>
              <w:tc>
                <w:tcPr>
                  <w:tcW w:w="2754" w:type="pct"/>
                  <w:hideMark/>
                </w:tcPr>
                <w:p w:rsidR="00A97E7D" w:rsidRPr="00A45217" w:rsidRDefault="00A45217" w:rsidP="00544C0B">
                  <w:pPr>
                    <w:spacing w:after="0" w:line="240" w:lineRule="auto"/>
                    <w:ind w:left="57" w:right="57"/>
                    <w:jc w:val="both"/>
                    <w:rPr>
                      <w:rFonts w:ascii="Times New Roman" w:hAnsi="Times New Roman" w:cs="Times New Roman"/>
                      <w:iCs/>
                      <w:sz w:val="24"/>
                      <w:szCs w:val="24"/>
                    </w:rPr>
                  </w:pPr>
                  <w:r w:rsidRPr="00A45217">
                    <w:rPr>
                      <w:rFonts w:ascii="Times New Roman" w:hAnsi="Times New Roman" w:cs="Times New Roman"/>
                      <w:iCs/>
                      <w:sz w:val="24"/>
                      <w:szCs w:val="24"/>
                    </w:rPr>
                    <w:t>1) </w:t>
                  </w:r>
                  <w:r w:rsidR="00A97E7D" w:rsidRPr="00A45217">
                    <w:rPr>
                      <w:rFonts w:ascii="Times New Roman" w:hAnsi="Times New Roman" w:cs="Times New Roman"/>
                      <w:iCs/>
                      <w:sz w:val="24"/>
                      <w:szCs w:val="24"/>
                    </w:rPr>
                    <w:t>Reģistra iestāde (Ekonomikas ministrija)</w:t>
                  </w:r>
                  <w:r w:rsidR="000E56D8" w:rsidRPr="00A45217">
                    <w:rPr>
                      <w:rFonts w:ascii="Times New Roman" w:hAnsi="Times New Roman" w:cs="Times New Roman"/>
                      <w:iCs/>
                      <w:sz w:val="24"/>
                      <w:szCs w:val="24"/>
                    </w:rPr>
                    <w:t>.</w:t>
                  </w:r>
                </w:p>
                <w:p w:rsidR="000E56D8" w:rsidRPr="00A45217" w:rsidRDefault="00A45217" w:rsidP="00544C0B">
                  <w:pPr>
                    <w:spacing w:after="0" w:line="240" w:lineRule="auto"/>
                    <w:ind w:left="57" w:right="57"/>
                    <w:jc w:val="both"/>
                    <w:rPr>
                      <w:rFonts w:ascii="Times New Roman" w:eastAsia="Times New Roman" w:hAnsi="Times New Roman" w:cs="Times New Roman"/>
                      <w:sz w:val="24"/>
                      <w:szCs w:val="24"/>
                      <w:lang w:eastAsia="lv-LV"/>
                    </w:rPr>
                  </w:pPr>
                  <w:r w:rsidRPr="00A45217">
                    <w:rPr>
                      <w:rFonts w:ascii="Times New Roman" w:hAnsi="Times New Roman" w:cs="Times New Roman"/>
                      <w:iCs/>
                      <w:sz w:val="24"/>
                      <w:szCs w:val="24"/>
                    </w:rPr>
                    <w:t>2) </w:t>
                  </w:r>
                  <w:r w:rsidR="000E56D8" w:rsidRPr="00A45217">
                    <w:rPr>
                      <w:rFonts w:ascii="Times New Roman" w:hAnsi="Times New Roman" w:cs="Times New Roman"/>
                      <w:iCs/>
                      <w:sz w:val="24"/>
                      <w:szCs w:val="24"/>
                    </w:rPr>
                    <w:t>Pašvaldības un to būvvaldes.</w:t>
                  </w:r>
                </w:p>
              </w:tc>
            </w:tr>
            <w:tr w:rsidR="00A45217" w:rsidRPr="00A45217" w:rsidTr="00544C0B">
              <w:trPr>
                <w:trHeight w:val="450"/>
                <w:tblCellSpacing w:w="15" w:type="dxa"/>
                <w:jc w:val="center"/>
              </w:trPr>
              <w:tc>
                <w:tcPr>
                  <w:tcW w:w="2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lastRenderedPageBreak/>
                    <w:t>2.</w:t>
                  </w:r>
                </w:p>
              </w:tc>
              <w:tc>
                <w:tcPr>
                  <w:tcW w:w="1922"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 xml:space="preserve">Projekta izpildes ietekme uz pārvaldes funkcijām un institucionālo struktūru. </w:t>
                  </w:r>
                </w:p>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54" w:type="pct"/>
                  <w:hideMark/>
                </w:tcPr>
                <w:p w:rsidR="00A97E7D" w:rsidRPr="00A45217" w:rsidRDefault="00A97E7D" w:rsidP="00544C0B">
                  <w:pPr>
                    <w:spacing w:after="0" w:line="240" w:lineRule="auto"/>
                    <w:ind w:left="57" w:right="57"/>
                    <w:jc w:val="both"/>
                    <w:rPr>
                      <w:rFonts w:ascii="Times New Roman" w:hAnsi="Times New Roman" w:cs="Times New Roman"/>
                      <w:sz w:val="24"/>
                      <w:szCs w:val="24"/>
                    </w:rPr>
                  </w:pPr>
                  <w:r w:rsidRPr="00A45217">
                    <w:rPr>
                      <w:rFonts w:ascii="Times New Roman" w:hAnsi="Times New Roman" w:cs="Times New Roman"/>
                      <w:sz w:val="24"/>
                      <w:szCs w:val="24"/>
                    </w:rPr>
                    <w:t xml:space="preserve">Noteikto mērķu sasniegšanai </w:t>
                  </w:r>
                  <w:proofErr w:type="spellStart"/>
                  <w:r w:rsidRPr="00A45217">
                    <w:rPr>
                      <w:rFonts w:ascii="Times New Roman" w:hAnsi="Times New Roman" w:cs="Times New Roman"/>
                      <w:sz w:val="24"/>
                      <w:szCs w:val="24"/>
                    </w:rPr>
                    <w:t>t.sk</w:t>
                  </w:r>
                  <w:proofErr w:type="spellEnd"/>
                  <w:r w:rsidRPr="00A45217">
                    <w:rPr>
                      <w:rFonts w:ascii="Times New Roman" w:hAnsi="Times New Roman" w:cs="Times New Roman"/>
                      <w:sz w:val="24"/>
                      <w:szCs w:val="24"/>
                    </w:rPr>
                    <w:t xml:space="preserve">.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klasifikācijas sistēmas izveidei kā arī nodevas administrēšanai nepieciešams palielināt izdevumus budžeta programmā nozaru vadība un politikas plānošana 2015.gadā 227 336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apmērā, tajā skaitā atlīdzībai 58 066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(atalgojumam 46 638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precēm un pakalpojumiem 166 430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un kapitālajiem izdevumiem 2 840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2016.gadā un turpmāk 180 946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gadā, tajā skaitā atlīdzībai 58 066 (atalgojumam 46 638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precēm un pakalpojumiem 122 880 </w:t>
                  </w:r>
                  <w:proofErr w:type="spellStart"/>
                  <w:r w:rsidRPr="00A45217">
                    <w:rPr>
                      <w:rFonts w:ascii="Times New Roman" w:hAnsi="Times New Roman" w:cs="Times New Roman"/>
                      <w:i/>
                      <w:sz w:val="24"/>
                      <w:szCs w:val="24"/>
                    </w:rPr>
                    <w:t>euro</w:t>
                  </w:r>
                  <w:proofErr w:type="spellEnd"/>
                  <w:r w:rsidRPr="00A45217">
                    <w:rPr>
                      <w:rFonts w:ascii="Times New Roman" w:hAnsi="Times New Roman" w:cs="Times New Roman"/>
                      <w:sz w:val="24"/>
                      <w:szCs w:val="24"/>
                    </w:rPr>
                    <w:t xml:space="preserve"> </w:t>
                  </w:r>
                  <w:r w:rsidRPr="00A45217">
                    <w:rPr>
                      <w:rFonts w:ascii="Times New Roman" w:hAnsi="Times New Roman" w:cs="Times New Roman"/>
                      <w:sz w:val="24"/>
                      <w:szCs w:val="24"/>
                      <w:u w:val="single"/>
                    </w:rPr>
                    <w:t>2 jaunu amata vietu izveidošanai un darbības nodrošināšanai.</w:t>
                  </w:r>
                  <w:r w:rsidRPr="00A45217">
                    <w:rPr>
                      <w:rFonts w:ascii="Times New Roman" w:hAnsi="Times New Roman" w:cs="Times New Roman"/>
                      <w:sz w:val="24"/>
                      <w:szCs w:val="24"/>
                    </w:rPr>
                    <w:t xml:space="preserve"> Tas ietver darbu pie visu ar būvniecības nozares saistīto standartu izstrādes administrēšanas, </w:t>
                  </w:r>
                  <w:proofErr w:type="spellStart"/>
                  <w:r w:rsidRPr="00A45217">
                    <w:rPr>
                      <w:rFonts w:ascii="Times New Roman" w:hAnsi="Times New Roman" w:cs="Times New Roman"/>
                      <w:sz w:val="24"/>
                      <w:szCs w:val="24"/>
                    </w:rPr>
                    <w:t>t.sk</w:t>
                  </w:r>
                  <w:proofErr w:type="spellEnd"/>
                  <w:r w:rsidRPr="00A45217">
                    <w:rPr>
                      <w:rFonts w:ascii="Times New Roman" w:hAnsi="Times New Roman" w:cs="Times New Roman"/>
                      <w:sz w:val="24"/>
                      <w:szCs w:val="24"/>
                    </w:rPr>
                    <w:t xml:space="preserve">. saturisku gan tehnisku pieteikumu apstrādi, nepieciešamo specifikāciju izstrādi, informācijas atlasi, maksājumu dokumentu pārbaudi, atsevišķu produktu testēšanu BIS sistēmā, darba grupu sanāksmju organizēšanu, protokolēšanu un darbu ar dokumentu apriti, iepirkumu organizēšanu un izstrādāto dokumentu vērtēšanu, kā arī </w:t>
                  </w:r>
                  <w:proofErr w:type="spellStart"/>
                  <w:r w:rsidRPr="00A45217">
                    <w:rPr>
                      <w:rFonts w:ascii="Times New Roman" w:hAnsi="Times New Roman" w:cs="Times New Roman"/>
                      <w:sz w:val="24"/>
                      <w:szCs w:val="24"/>
                    </w:rPr>
                    <w:t>Būvkomersantu</w:t>
                  </w:r>
                  <w:proofErr w:type="spellEnd"/>
                  <w:r w:rsidRPr="00A45217">
                    <w:rPr>
                      <w:rFonts w:ascii="Times New Roman" w:hAnsi="Times New Roman" w:cs="Times New Roman"/>
                      <w:sz w:val="24"/>
                      <w:szCs w:val="24"/>
                    </w:rPr>
                    <w:t xml:space="preserve"> klasifikācijas sistēmas izveidi. </w:t>
                  </w:r>
                </w:p>
                <w:p w:rsidR="00A97E7D" w:rsidRPr="00A45217" w:rsidRDefault="00A97E7D" w:rsidP="00544C0B">
                  <w:pPr>
                    <w:spacing w:after="0" w:line="240" w:lineRule="auto"/>
                    <w:ind w:right="57"/>
                    <w:rPr>
                      <w:rFonts w:ascii="Times New Roman" w:eastAsia="Times New Roman" w:hAnsi="Times New Roman" w:cs="Times New Roman"/>
                      <w:sz w:val="24"/>
                      <w:szCs w:val="24"/>
                      <w:lang w:eastAsia="lv-LV"/>
                    </w:rPr>
                  </w:pPr>
                </w:p>
              </w:tc>
            </w:tr>
            <w:tr w:rsidR="00A45217" w:rsidRPr="00A45217" w:rsidTr="00544C0B">
              <w:trPr>
                <w:trHeight w:val="390"/>
                <w:tblCellSpacing w:w="15" w:type="dxa"/>
                <w:jc w:val="center"/>
              </w:trPr>
              <w:tc>
                <w:tcPr>
                  <w:tcW w:w="258"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3.</w:t>
                  </w:r>
                </w:p>
              </w:tc>
              <w:tc>
                <w:tcPr>
                  <w:tcW w:w="1922" w:type="pct"/>
                  <w:hideMark/>
                </w:tcPr>
                <w:p w:rsidR="00A97E7D" w:rsidRPr="00A45217" w:rsidRDefault="00A97E7D" w:rsidP="00544C0B">
                  <w:pPr>
                    <w:spacing w:after="0" w:line="240" w:lineRule="auto"/>
                    <w:rPr>
                      <w:rFonts w:ascii="Times New Roman" w:eastAsia="Times New Roman" w:hAnsi="Times New Roman" w:cs="Times New Roman"/>
                      <w:sz w:val="24"/>
                      <w:szCs w:val="24"/>
                      <w:lang w:eastAsia="lv-LV"/>
                    </w:rPr>
                  </w:pPr>
                  <w:r w:rsidRPr="00A45217">
                    <w:rPr>
                      <w:rFonts w:ascii="Times New Roman" w:eastAsia="Times New Roman" w:hAnsi="Times New Roman" w:cs="Times New Roman"/>
                      <w:sz w:val="24"/>
                      <w:szCs w:val="24"/>
                      <w:lang w:eastAsia="lv-LV"/>
                    </w:rPr>
                    <w:t>Cita informācija</w:t>
                  </w:r>
                </w:p>
              </w:tc>
              <w:tc>
                <w:tcPr>
                  <w:tcW w:w="2754" w:type="pct"/>
                  <w:hideMark/>
                </w:tcPr>
                <w:p w:rsidR="00A97E7D" w:rsidRPr="00A45217" w:rsidRDefault="0005443F" w:rsidP="0005443F">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97E7D" w:rsidRPr="00DE73A5" w:rsidRDefault="00A97E7D" w:rsidP="00544C0B">
            <w:pPr>
              <w:spacing w:after="0" w:line="240" w:lineRule="auto"/>
              <w:rPr>
                <w:rFonts w:ascii="Times New Roman" w:eastAsia="Times New Roman" w:hAnsi="Times New Roman" w:cs="Times New Roman"/>
                <w:sz w:val="24"/>
                <w:szCs w:val="24"/>
                <w:lang w:eastAsia="lv-LV"/>
              </w:rPr>
            </w:pPr>
          </w:p>
        </w:tc>
      </w:tr>
    </w:tbl>
    <w:p w:rsidR="00A97E7D" w:rsidRDefault="00A97E7D" w:rsidP="00A97E7D">
      <w:pPr>
        <w:spacing w:after="0" w:line="240" w:lineRule="auto"/>
        <w:rPr>
          <w:rFonts w:ascii="Times New Roman" w:hAnsi="Times New Roman" w:cs="Times New Roman"/>
          <w:sz w:val="28"/>
          <w:szCs w:val="28"/>
        </w:rPr>
      </w:pPr>
    </w:p>
    <w:p w:rsidR="00A97E7D" w:rsidRDefault="00A97E7D" w:rsidP="00A97E7D">
      <w:pPr>
        <w:tabs>
          <w:tab w:val="left" w:pos="990"/>
        </w:tabs>
        <w:spacing w:after="0" w:line="240" w:lineRule="auto"/>
        <w:rPr>
          <w:rFonts w:ascii="Times New Roman" w:eastAsia="Times New Roman" w:hAnsi="Times New Roman" w:cs="Times New Roman"/>
          <w:sz w:val="28"/>
          <w:szCs w:val="28"/>
          <w:lang w:eastAsia="lv-LV"/>
        </w:rPr>
      </w:pPr>
    </w:p>
    <w:p w:rsidR="00A97E7D" w:rsidRDefault="00A97E7D" w:rsidP="00A97E7D">
      <w:pPr>
        <w:tabs>
          <w:tab w:val="left" w:pos="990"/>
        </w:tabs>
        <w:spacing w:after="0" w:line="240" w:lineRule="auto"/>
        <w:rPr>
          <w:rFonts w:ascii="Times New Roman" w:eastAsia="Times New Roman" w:hAnsi="Times New Roman" w:cs="Times New Roman"/>
          <w:sz w:val="28"/>
          <w:szCs w:val="28"/>
          <w:lang w:eastAsia="lv-LV"/>
        </w:rPr>
      </w:pPr>
    </w:p>
    <w:p w:rsidR="00A97E7D" w:rsidRPr="004A298E" w:rsidRDefault="00A97E7D" w:rsidP="00A97E7D">
      <w:pPr>
        <w:tabs>
          <w:tab w:val="left" w:pos="990"/>
        </w:tabs>
        <w:spacing w:after="0" w:line="240" w:lineRule="auto"/>
        <w:rPr>
          <w:rFonts w:ascii="Times New Roman" w:eastAsia="Times New Roman" w:hAnsi="Times New Roman" w:cs="Times New Roman"/>
          <w:sz w:val="28"/>
          <w:szCs w:val="28"/>
          <w:lang w:eastAsia="lv-LV"/>
        </w:rPr>
      </w:pPr>
    </w:p>
    <w:p w:rsidR="00A97E7D" w:rsidRPr="004A298E" w:rsidRDefault="00A97E7D" w:rsidP="00A97E7D">
      <w:pPr>
        <w:spacing w:after="0" w:line="240" w:lineRule="auto"/>
        <w:rPr>
          <w:rFonts w:ascii="Times New Roman" w:hAnsi="Times New Roman" w:cs="Times New Roman"/>
          <w:bCs/>
          <w:iCs/>
          <w:sz w:val="28"/>
          <w:szCs w:val="28"/>
        </w:rPr>
      </w:pPr>
      <w:r w:rsidRPr="004A298E">
        <w:rPr>
          <w:rFonts w:ascii="Times New Roman" w:hAnsi="Times New Roman" w:cs="Times New Roman"/>
          <w:bCs/>
          <w:iCs/>
          <w:sz w:val="28"/>
          <w:szCs w:val="28"/>
        </w:rPr>
        <w:t>Ekonomikas ministre</w:t>
      </w:r>
      <w:r w:rsidRPr="004A298E">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proofErr w:type="spellStart"/>
      <w:r w:rsidRPr="004A298E">
        <w:rPr>
          <w:rFonts w:ascii="Times New Roman" w:hAnsi="Times New Roman" w:cs="Times New Roman"/>
          <w:bCs/>
          <w:iCs/>
          <w:sz w:val="28"/>
          <w:szCs w:val="28"/>
        </w:rPr>
        <w:t>D.Reizniece-Ozola</w:t>
      </w:r>
      <w:proofErr w:type="spellEnd"/>
    </w:p>
    <w:p w:rsidR="00A97E7D" w:rsidRPr="004A298E" w:rsidRDefault="00A97E7D" w:rsidP="00A97E7D">
      <w:pPr>
        <w:spacing w:after="0" w:line="240" w:lineRule="auto"/>
        <w:rPr>
          <w:rFonts w:ascii="Times New Roman" w:hAnsi="Times New Roman" w:cs="Times New Roman"/>
          <w:bCs/>
          <w:iCs/>
          <w:sz w:val="28"/>
          <w:szCs w:val="28"/>
        </w:rPr>
      </w:pPr>
    </w:p>
    <w:p w:rsidR="00A97E7D" w:rsidRPr="004A298E" w:rsidRDefault="00A97E7D" w:rsidP="00A97E7D">
      <w:pPr>
        <w:spacing w:after="0" w:line="240" w:lineRule="auto"/>
        <w:rPr>
          <w:rFonts w:ascii="Times New Roman" w:hAnsi="Times New Roman" w:cs="Times New Roman"/>
          <w:bCs/>
          <w:iCs/>
          <w:sz w:val="28"/>
          <w:szCs w:val="28"/>
        </w:rPr>
      </w:pPr>
      <w:r w:rsidRPr="004A298E">
        <w:rPr>
          <w:rFonts w:ascii="Times New Roman" w:hAnsi="Times New Roman" w:cs="Times New Roman"/>
          <w:bCs/>
          <w:iCs/>
          <w:sz w:val="28"/>
          <w:szCs w:val="28"/>
        </w:rPr>
        <w:t xml:space="preserve">Vīza: </w:t>
      </w:r>
    </w:p>
    <w:p w:rsidR="00A97E7D" w:rsidRPr="004A298E" w:rsidRDefault="00A97E7D" w:rsidP="00A97E7D">
      <w:pPr>
        <w:spacing w:after="0" w:line="240" w:lineRule="auto"/>
        <w:rPr>
          <w:rFonts w:ascii="Times New Roman" w:hAnsi="Times New Roman" w:cs="Times New Roman"/>
          <w:bCs/>
          <w:iCs/>
          <w:sz w:val="28"/>
          <w:szCs w:val="28"/>
        </w:rPr>
      </w:pPr>
      <w:r w:rsidRPr="004A298E">
        <w:rPr>
          <w:rFonts w:ascii="Times New Roman" w:hAnsi="Times New Roman" w:cs="Times New Roman"/>
          <w:bCs/>
          <w:iCs/>
          <w:sz w:val="28"/>
          <w:szCs w:val="28"/>
        </w:rPr>
        <w:t>Valsts sekretārs</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Pr="004A298E">
        <w:rPr>
          <w:rFonts w:ascii="Times New Roman" w:hAnsi="Times New Roman" w:cs="Times New Roman"/>
          <w:bCs/>
          <w:iCs/>
          <w:sz w:val="28"/>
          <w:szCs w:val="28"/>
        </w:rPr>
        <w:t>M.Lazdovskis</w:t>
      </w:r>
    </w:p>
    <w:p w:rsidR="00A97E7D" w:rsidRDefault="00A97E7D" w:rsidP="00A97E7D">
      <w:pPr>
        <w:tabs>
          <w:tab w:val="left" w:pos="990"/>
        </w:tabs>
        <w:spacing w:after="0" w:line="240" w:lineRule="auto"/>
        <w:rPr>
          <w:rFonts w:ascii="Times New Roman" w:eastAsia="Times New Roman" w:hAnsi="Times New Roman" w:cs="Times New Roman"/>
          <w:sz w:val="26"/>
          <w:szCs w:val="26"/>
          <w:lang w:eastAsia="lv-LV"/>
        </w:rPr>
      </w:pPr>
    </w:p>
    <w:p w:rsidR="00A97E7D" w:rsidRDefault="00A97E7D" w:rsidP="00A97E7D">
      <w:pPr>
        <w:tabs>
          <w:tab w:val="left" w:pos="990"/>
        </w:tabs>
        <w:spacing w:after="0" w:line="240" w:lineRule="auto"/>
        <w:rPr>
          <w:rFonts w:ascii="Times New Roman" w:eastAsia="Times New Roman" w:hAnsi="Times New Roman" w:cs="Times New Roman"/>
          <w:sz w:val="26"/>
          <w:szCs w:val="26"/>
          <w:lang w:eastAsia="lv-LV"/>
        </w:rPr>
      </w:pPr>
      <w:bookmarkStart w:id="0" w:name="_GoBack"/>
      <w:bookmarkEnd w:id="0"/>
    </w:p>
    <w:p w:rsidR="00F25D24" w:rsidRDefault="00F25D24" w:rsidP="00A97E7D">
      <w:pPr>
        <w:tabs>
          <w:tab w:val="left" w:pos="990"/>
        </w:tabs>
        <w:spacing w:after="0" w:line="240" w:lineRule="auto"/>
        <w:rPr>
          <w:rFonts w:ascii="Times New Roman" w:eastAsia="Times New Roman" w:hAnsi="Times New Roman" w:cs="Times New Roman"/>
          <w:sz w:val="26"/>
          <w:szCs w:val="26"/>
          <w:lang w:eastAsia="lv-LV"/>
        </w:rPr>
      </w:pPr>
    </w:p>
    <w:p w:rsidR="00A97E7D" w:rsidRDefault="00A97E7D" w:rsidP="00A97E7D">
      <w:pPr>
        <w:tabs>
          <w:tab w:val="left" w:pos="990"/>
        </w:tabs>
        <w:spacing w:after="0" w:line="240" w:lineRule="auto"/>
        <w:rPr>
          <w:rFonts w:ascii="Times New Roman" w:eastAsia="Times New Roman" w:hAnsi="Times New Roman" w:cs="Times New Roman"/>
          <w:sz w:val="26"/>
          <w:szCs w:val="26"/>
          <w:lang w:eastAsia="lv-LV"/>
        </w:rPr>
      </w:pPr>
    </w:p>
    <w:p w:rsidR="007D3EB1" w:rsidRPr="007D3EB1" w:rsidRDefault="007D3EB1" w:rsidP="007D3EB1">
      <w:pPr>
        <w:spacing w:after="0" w:line="240" w:lineRule="auto"/>
        <w:rPr>
          <w:rFonts w:ascii="Times New Roman" w:hAnsi="Times New Roman" w:cs="Times New Roman"/>
          <w:sz w:val="20"/>
          <w:szCs w:val="20"/>
        </w:rPr>
      </w:pPr>
      <w:r w:rsidRPr="007D3EB1">
        <w:rPr>
          <w:rFonts w:ascii="Times New Roman" w:hAnsi="Times New Roman" w:cs="Times New Roman"/>
          <w:sz w:val="20"/>
          <w:szCs w:val="20"/>
        </w:rPr>
        <w:fldChar w:fldCharType="begin"/>
      </w:r>
      <w:r w:rsidRPr="007D3EB1">
        <w:rPr>
          <w:rFonts w:ascii="Times New Roman" w:hAnsi="Times New Roman" w:cs="Times New Roman"/>
          <w:sz w:val="20"/>
          <w:szCs w:val="20"/>
        </w:rPr>
        <w:instrText xml:space="preserve"> DATE  \@ "dd.MM.yyyy. H:mm"  \* MERGEFORMAT </w:instrText>
      </w:r>
      <w:r w:rsidRPr="007D3EB1">
        <w:rPr>
          <w:rFonts w:ascii="Times New Roman" w:hAnsi="Times New Roman" w:cs="Times New Roman"/>
          <w:sz w:val="20"/>
          <w:szCs w:val="20"/>
        </w:rPr>
        <w:fldChar w:fldCharType="separate"/>
      </w:r>
      <w:r w:rsidR="00F25D24">
        <w:rPr>
          <w:rFonts w:ascii="Times New Roman" w:hAnsi="Times New Roman" w:cs="Times New Roman"/>
          <w:noProof/>
          <w:sz w:val="20"/>
          <w:szCs w:val="20"/>
        </w:rPr>
        <w:t>28.11.2014. 10:10</w:t>
      </w:r>
      <w:r w:rsidRPr="007D3EB1">
        <w:rPr>
          <w:rFonts w:ascii="Times New Roman" w:hAnsi="Times New Roman" w:cs="Times New Roman"/>
          <w:sz w:val="20"/>
          <w:szCs w:val="20"/>
        </w:rPr>
        <w:fldChar w:fldCharType="end"/>
      </w:r>
    </w:p>
    <w:p w:rsidR="007D3EB1" w:rsidRPr="007D3EB1" w:rsidRDefault="007F0E9F" w:rsidP="007D3EB1">
      <w:pPr>
        <w:spacing w:after="0" w:line="240" w:lineRule="auto"/>
        <w:rPr>
          <w:rFonts w:ascii="Times New Roman" w:hAnsi="Times New Roman" w:cs="Times New Roman"/>
          <w:sz w:val="20"/>
          <w:szCs w:val="20"/>
        </w:rPr>
      </w:pPr>
      <w:r>
        <w:rPr>
          <w:rFonts w:ascii="Times New Roman" w:hAnsi="Times New Roman" w:cs="Times New Roman"/>
          <w:sz w:val="20"/>
          <w:szCs w:val="20"/>
        </w:rPr>
        <w:t>2463</w:t>
      </w:r>
    </w:p>
    <w:p w:rsidR="007D3EB1" w:rsidRPr="007D3EB1" w:rsidRDefault="007D3EB1" w:rsidP="007D3EB1">
      <w:pPr>
        <w:spacing w:after="0" w:line="240" w:lineRule="auto"/>
        <w:rPr>
          <w:rFonts w:ascii="Times New Roman" w:hAnsi="Times New Roman" w:cs="Times New Roman"/>
          <w:sz w:val="20"/>
          <w:szCs w:val="20"/>
        </w:rPr>
      </w:pPr>
      <w:r w:rsidRPr="007D3EB1">
        <w:rPr>
          <w:rFonts w:ascii="Times New Roman" w:hAnsi="Times New Roman" w:cs="Times New Roman"/>
          <w:sz w:val="20"/>
          <w:szCs w:val="20"/>
        </w:rPr>
        <w:t xml:space="preserve">I.Oša, </w:t>
      </w:r>
    </w:p>
    <w:p w:rsidR="007D3EB1" w:rsidRPr="007D3EB1" w:rsidRDefault="007D3EB1" w:rsidP="007D3EB1">
      <w:pPr>
        <w:spacing w:after="0" w:line="240" w:lineRule="auto"/>
        <w:rPr>
          <w:rFonts w:ascii="Times New Roman" w:hAnsi="Times New Roman" w:cs="Times New Roman"/>
          <w:sz w:val="20"/>
          <w:szCs w:val="20"/>
        </w:rPr>
      </w:pPr>
      <w:r w:rsidRPr="007D3EB1">
        <w:rPr>
          <w:rFonts w:ascii="Times New Roman" w:hAnsi="Times New Roman" w:cs="Times New Roman"/>
          <w:sz w:val="20"/>
          <w:szCs w:val="20"/>
        </w:rPr>
        <w:t xml:space="preserve">67013031, </w:t>
      </w:r>
      <w:hyperlink r:id="rId11" w:history="1">
        <w:r w:rsidRPr="007D3EB1">
          <w:rPr>
            <w:rStyle w:val="Hyperlink"/>
            <w:rFonts w:ascii="Times New Roman" w:hAnsi="Times New Roman" w:cs="Times New Roman"/>
            <w:sz w:val="20"/>
            <w:szCs w:val="20"/>
          </w:rPr>
          <w:t>Ilze.Osa@em.gov.lv</w:t>
        </w:r>
      </w:hyperlink>
      <w:r w:rsidRPr="007D3EB1">
        <w:rPr>
          <w:rFonts w:ascii="Times New Roman" w:hAnsi="Times New Roman" w:cs="Times New Roman"/>
          <w:sz w:val="20"/>
          <w:szCs w:val="20"/>
        </w:rPr>
        <w:t xml:space="preserve"> </w:t>
      </w:r>
    </w:p>
    <w:p w:rsidR="007D3EB1" w:rsidRPr="007D3EB1" w:rsidRDefault="007D3EB1" w:rsidP="007D3EB1">
      <w:pPr>
        <w:spacing w:after="0" w:line="240" w:lineRule="auto"/>
        <w:rPr>
          <w:rFonts w:ascii="Times New Roman" w:hAnsi="Times New Roman" w:cs="Times New Roman"/>
          <w:sz w:val="20"/>
          <w:szCs w:val="20"/>
        </w:rPr>
      </w:pPr>
      <w:r w:rsidRPr="007D3EB1">
        <w:rPr>
          <w:rFonts w:ascii="Times New Roman" w:hAnsi="Times New Roman" w:cs="Times New Roman"/>
          <w:sz w:val="20"/>
          <w:szCs w:val="20"/>
        </w:rPr>
        <w:t>E.Bučinska,</w:t>
      </w:r>
    </w:p>
    <w:p w:rsidR="00A97E7D" w:rsidRDefault="007D3EB1" w:rsidP="003548A1">
      <w:pPr>
        <w:spacing w:after="0" w:line="240" w:lineRule="auto"/>
      </w:pPr>
      <w:r w:rsidRPr="007D3EB1">
        <w:rPr>
          <w:rFonts w:ascii="Times New Roman" w:hAnsi="Times New Roman" w:cs="Times New Roman"/>
          <w:sz w:val="20"/>
          <w:szCs w:val="20"/>
        </w:rPr>
        <w:t xml:space="preserve">67013032, </w:t>
      </w:r>
      <w:hyperlink r:id="rId12" w:history="1">
        <w:r w:rsidRPr="007D3EB1">
          <w:rPr>
            <w:rStyle w:val="Hyperlink"/>
            <w:rFonts w:ascii="Times New Roman" w:hAnsi="Times New Roman" w:cs="Times New Roman"/>
            <w:sz w:val="20"/>
            <w:szCs w:val="20"/>
          </w:rPr>
          <w:t>Elga.Bucinska@em.gov.lv</w:t>
        </w:r>
      </w:hyperlink>
      <w:r w:rsidRPr="007D3EB1">
        <w:rPr>
          <w:rFonts w:ascii="Times New Roman" w:hAnsi="Times New Roman" w:cs="Times New Roman"/>
          <w:sz w:val="20"/>
          <w:szCs w:val="20"/>
        </w:rPr>
        <w:t xml:space="preserve"> </w:t>
      </w:r>
    </w:p>
    <w:p w:rsidR="002F1BBE" w:rsidRDefault="002F1BBE"/>
    <w:sectPr w:rsidR="002F1BBE" w:rsidSect="002E7CC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41" w:rsidRDefault="00924641" w:rsidP="00B26F44">
      <w:pPr>
        <w:spacing w:after="0" w:line="240" w:lineRule="auto"/>
      </w:pPr>
      <w:r>
        <w:separator/>
      </w:r>
    </w:p>
  </w:endnote>
  <w:endnote w:type="continuationSeparator" w:id="0">
    <w:p w:rsidR="00924641" w:rsidRDefault="00924641" w:rsidP="00B2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25" w:rsidRPr="00936525" w:rsidRDefault="00CE13B2" w:rsidP="00936525">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25D24">
      <w:rPr>
        <w:rFonts w:ascii="Times New Roman" w:hAnsi="Times New Roman" w:cs="Times New Roman"/>
        <w:noProof/>
        <w:sz w:val="20"/>
        <w:szCs w:val="20"/>
      </w:rPr>
      <w:t>EManot_281114_GrozNodevas_preciz</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Pr>
        <w:rFonts w:ascii="Times New Roman" w:hAnsi="Times New Roman" w:cs="Times New Roman"/>
        <w:sz w:val="20"/>
        <w:szCs w:val="20"/>
      </w:rPr>
      <w:t>L</w:t>
    </w:r>
    <w:r w:rsidRPr="004D45F5">
      <w:rPr>
        <w:rFonts w:ascii="Times New Roman" w:hAnsi="Times New Roman" w:cs="Times New Roman"/>
        <w:sz w:val="20"/>
        <w:szCs w:val="20"/>
      </w:rPr>
      <w:t>ikumprojekta „Grozījumi likumā „Par nodokļiem un nodevām””</w:t>
    </w:r>
    <w:r w:rsidRPr="00936525">
      <w:rPr>
        <w:rFonts w:ascii="Times New Roman" w:eastAsia="Times New Roman" w:hAnsi="Times New Roman" w:cs="Times New Roman"/>
        <w:b/>
        <w:bCs/>
        <w:sz w:val="28"/>
        <w:szCs w:val="28"/>
        <w:lang w:eastAsia="lv-LV"/>
      </w:rPr>
      <w:t xml:space="preserve"> </w:t>
    </w:r>
    <w:r w:rsidRPr="0093652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44" w:rsidRPr="00936525" w:rsidRDefault="00B26F44" w:rsidP="00B26F4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25D24">
      <w:rPr>
        <w:rFonts w:ascii="Times New Roman" w:hAnsi="Times New Roman" w:cs="Times New Roman"/>
        <w:noProof/>
        <w:sz w:val="20"/>
        <w:szCs w:val="20"/>
      </w:rPr>
      <w:t>EManot_281114_GrozNodevas_preciz</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Pr>
        <w:rFonts w:ascii="Times New Roman" w:hAnsi="Times New Roman" w:cs="Times New Roman"/>
        <w:sz w:val="20"/>
        <w:szCs w:val="20"/>
      </w:rPr>
      <w:t>L</w:t>
    </w:r>
    <w:r w:rsidRPr="004D45F5">
      <w:rPr>
        <w:rFonts w:ascii="Times New Roman" w:hAnsi="Times New Roman" w:cs="Times New Roman"/>
        <w:sz w:val="20"/>
        <w:szCs w:val="20"/>
      </w:rPr>
      <w:t>ikumprojekta „Grozījumi likumā „Par nodokļiem un nodevām””</w:t>
    </w:r>
    <w:r w:rsidRPr="00936525">
      <w:rPr>
        <w:rFonts w:ascii="Times New Roman" w:eastAsia="Times New Roman" w:hAnsi="Times New Roman" w:cs="Times New Roman"/>
        <w:b/>
        <w:bCs/>
        <w:sz w:val="28"/>
        <w:szCs w:val="28"/>
        <w:lang w:eastAsia="lv-LV"/>
      </w:rPr>
      <w:t xml:space="preserve"> </w:t>
    </w:r>
    <w:r w:rsidRPr="0093652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41" w:rsidRDefault="00924641" w:rsidP="00B26F44">
      <w:pPr>
        <w:spacing w:after="0" w:line="240" w:lineRule="auto"/>
      </w:pPr>
      <w:r>
        <w:separator/>
      </w:r>
    </w:p>
  </w:footnote>
  <w:footnote w:type="continuationSeparator" w:id="0">
    <w:p w:rsidR="00924641" w:rsidRDefault="00924641" w:rsidP="00B2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31036"/>
      <w:docPartObj>
        <w:docPartGallery w:val="Page Numbers (Top of Page)"/>
        <w:docPartUnique/>
      </w:docPartObj>
    </w:sdtPr>
    <w:sdtEndPr>
      <w:rPr>
        <w:noProof/>
      </w:rPr>
    </w:sdtEndPr>
    <w:sdtContent>
      <w:p w:rsidR="00E46B2B" w:rsidRDefault="00CE13B2">
        <w:pPr>
          <w:pStyle w:val="Header"/>
          <w:jc w:val="center"/>
        </w:pPr>
        <w:r>
          <w:fldChar w:fldCharType="begin"/>
        </w:r>
        <w:r>
          <w:instrText xml:space="preserve"> PAGE   \* MERGEFORMAT </w:instrText>
        </w:r>
        <w:r>
          <w:fldChar w:fldCharType="separate"/>
        </w:r>
        <w:r w:rsidR="00F25D24">
          <w:rPr>
            <w:noProof/>
          </w:rPr>
          <w:t>9</w:t>
        </w:r>
        <w:r>
          <w:rPr>
            <w:noProof/>
          </w:rPr>
          <w:fldChar w:fldCharType="end"/>
        </w:r>
      </w:p>
    </w:sdtContent>
  </w:sdt>
  <w:p w:rsidR="00E46B2B" w:rsidRDefault="00F25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7D"/>
    <w:rsid w:val="000259E4"/>
    <w:rsid w:val="000470EF"/>
    <w:rsid w:val="0005443F"/>
    <w:rsid w:val="00067432"/>
    <w:rsid w:val="000E56D8"/>
    <w:rsid w:val="00132761"/>
    <w:rsid w:val="00145083"/>
    <w:rsid w:val="002836F7"/>
    <w:rsid w:val="002B7A4D"/>
    <w:rsid w:val="002F1BBE"/>
    <w:rsid w:val="003548A1"/>
    <w:rsid w:val="0047073D"/>
    <w:rsid w:val="006339C2"/>
    <w:rsid w:val="00747602"/>
    <w:rsid w:val="007D3EB1"/>
    <w:rsid w:val="007F0E9F"/>
    <w:rsid w:val="008545E7"/>
    <w:rsid w:val="00924641"/>
    <w:rsid w:val="00A069D7"/>
    <w:rsid w:val="00A45217"/>
    <w:rsid w:val="00A97E7D"/>
    <w:rsid w:val="00AE0705"/>
    <w:rsid w:val="00B26F44"/>
    <w:rsid w:val="00CE13B2"/>
    <w:rsid w:val="00D65CB4"/>
    <w:rsid w:val="00D74E57"/>
    <w:rsid w:val="00DA025B"/>
    <w:rsid w:val="00F25D24"/>
    <w:rsid w:val="00F30288"/>
    <w:rsid w:val="00F36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pPr>
      <w:spacing w:after="0" w:line="240" w:lineRule="auto"/>
    </w:pPr>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pPr>
      <w:spacing w:after="0" w:line="240" w:lineRule="auto"/>
    </w:pPr>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946-par-nodokliem-un-nodeva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ga.Bucinska@e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Osa@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33946-par-nodokliem-un-nodevam" TargetMode="External"/><Relationship Id="rId4" Type="http://schemas.openxmlformats.org/officeDocument/2006/relationships/settings" Target="settings.xml"/><Relationship Id="rId9" Type="http://schemas.openxmlformats.org/officeDocument/2006/relationships/hyperlink" Target="http://likumi.lv/ta/id/33946-par-nodokliem-un-nodev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0E8A-DB24-4FEA-A467-8E9A7B53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12921</Words>
  <Characters>7366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24</cp:revision>
  <cp:lastPrinted>2014-11-28T08:10:00Z</cp:lastPrinted>
  <dcterms:created xsi:type="dcterms:W3CDTF">2014-11-24T07:03:00Z</dcterms:created>
  <dcterms:modified xsi:type="dcterms:W3CDTF">2014-11-28T08:10:00Z</dcterms:modified>
</cp:coreProperties>
</file>