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97E6" w14:textId="77777777" w:rsidR="00DB7363" w:rsidRDefault="00D24DF5" w:rsidP="00D24DF5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B7363">
        <w:rPr>
          <w:sz w:val="28"/>
          <w:szCs w:val="28"/>
        </w:rPr>
        <w:t>Apstiprināts ar</w:t>
      </w:r>
    </w:p>
    <w:p w14:paraId="4075C9D5" w14:textId="6672E123" w:rsidR="00D24DF5" w:rsidRPr="00D64AB0" w:rsidRDefault="00D62374" w:rsidP="00D24DF5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D24DF5" w:rsidRPr="00D64AB0">
        <w:rPr>
          <w:sz w:val="28"/>
          <w:szCs w:val="28"/>
        </w:rPr>
        <w:t>201</w:t>
      </w:r>
      <w:r w:rsidR="00D24DF5">
        <w:rPr>
          <w:sz w:val="28"/>
          <w:szCs w:val="28"/>
        </w:rPr>
        <w:t>4</w:t>
      </w:r>
      <w:r w:rsidR="00D24DF5" w:rsidRPr="00D64AB0">
        <w:rPr>
          <w:sz w:val="28"/>
          <w:szCs w:val="28"/>
        </w:rPr>
        <w:t>.</w:t>
      </w:r>
      <w:r w:rsidR="00D24DF5">
        <w:rPr>
          <w:sz w:val="28"/>
          <w:szCs w:val="28"/>
        </w:rPr>
        <w:t> </w:t>
      </w:r>
      <w:r w:rsidR="00D24DF5" w:rsidRPr="00D64AB0">
        <w:rPr>
          <w:sz w:val="28"/>
          <w:szCs w:val="28"/>
        </w:rPr>
        <w:t xml:space="preserve">gada </w:t>
      </w:r>
      <w:r w:rsidR="00D24DF5">
        <w:rPr>
          <w:sz w:val="28"/>
          <w:szCs w:val="28"/>
        </w:rPr>
        <w:t> </w:t>
      </w:r>
      <w:r w:rsidR="00314207">
        <w:rPr>
          <w:sz w:val="28"/>
          <w:szCs w:val="28"/>
        </w:rPr>
        <w:t>23. decembr</w:t>
      </w:r>
      <w:r w:rsidR="00314207">
        <w:rPr>
          <w:sz w:val="28"/>
          <w:szCs w:val="28"/>
        </w:rPr>
        <w:t>a</w:t>
      </w:r>
    </w:p>
    <w:p w14:paraId="01CCC0EE" w14:textId="08D31F37" w:rsidR="00D24DF5" w:rsidRPr="00D64AB0" w:rsidRDefault="00D24DF5" w:rsidP="00D24DF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314207">
        <w:rPr>
          <w:sz w:val="28"/>
          <w:szCs w:val="28"/>
        </w:rPr>
        <w:t>794</w:t>
      </w:r>
      <w:bookmarkStart w:id="0" w:name="_GoBack"/>
      <w:bookmarkEnd w:id="0"/>
      <w:r>
        <w:rPr>
          <w:sz w:val="28"/>
          <w:szCs w:val="28"/>
        </w:rPr>
        <w:t>)</w:t>
      </w:r>
    </w:p>
    <w:p w14:paraId="4C4C2760" w14:textId="77777777" w:rsidR="002C1850" w:rsidRDefault="002C1850" w:rsidP="00D24DF5">
      <w:pPr>
        <w:jc w:val="center"/>
        <w:rPr>
          <w:sz w:val="28"/>
          <w:szCs w:val="28"/>
        </w:rPr>
      </w:pPr>
    </w:p>
    <w:p w14:paraId="4C4C2761" w14:textId="436FBEC1" w:rsidR="002C1850" w:rsidRPr="00C95576" w:rsidRDefault="002C1850" w:rsidP="00D24DF5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20</w:t>
      </w:r>
      <w:r w:rsidR="00AB1918">
        <w:rPr>
          <w:b/>
          <w:sz w:val="28"/>
          <w:szCs w:val="28"/>
        </w:rPr>
        <w:t>4</w:t>
      </w:r>
      <w:r w:rsidR="00CD3B52">
        <w:rPr>
          <w:b/>
          <w:sz w:val="28"/>
          <w:szCs w:val="28"/>
        </w:rPr>
        <w:t>-14</w:t>
      </w:r>
      <w:r>
        <w:rPr>
          <w:b/>
          <w:sz w:val="28"/>
          <w:szCs w:val="28"/>
        </w:rPr>
        <w:br/>
      </w:r>
      <w:r w:rsidR="00D24DF5">
        <w:rPr>
          <w:b/>
          <w:sz w:val="28"/>
        </w:rPr>
        <w:t>"</w:t>
      </w:r>
      <w:r w:rsidR="00AB1918">
        <w:rPr>
          <w:b/>
          <w:sz w:val="28"/>
        </w:rPr>
        <w:t>Tērauda</w:t>
      </w:r>
      <w:r>
        <w:rPr>
          <w:b/>
          <w:sz w:val="28"/>
        </w:rPr>
        <w:t xml:space="preserve"> </w:t>
      </w:r>
      <w:r w:rsidR="00DE67CF">
        <w:rPr>
          <w:b/>
          <w:sz w:val="28"/>
        </w:rPr>
        <w:t>būv</w:t>
      </w:r>
      <w:r>
        <w:rPr>
          <w:b/>
          <w:sz w:val="28"/>
        </w:rPr>
        <w:t>konstrukciju projektēšana</w:t>
      </w:r>
      <w:r w:rsidR="00D24DF5">
        <w:rPr>
          <w:b/>
          <w:sz w:val="28"/>
        </w:rPr>
        <w:t>"</w:t>
      </w:r>
    </w:p>
    <w:p w14:paraId="4C4C2763" w14:textId="77777777" w:rsidR="002E41FC" w:rsidRDefault="002E41FC" w:rsidP="00D24DF5">
      <w:pPr>
        <w:jc w:val="center"/>
        <w:rPr>
          <w:b/>
          <w:sz w:val="28"/>
          <w:szCs w:val="28"/>
        </w:rPr>
      </w:pPr>
    </w:p>
    <w:p w14:paraId="4C4C2764" w14:textId="314C17DD" w:rsidR="002E41FC" w:rsidRP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C1850" w:rsidRPr="00D24DF5">
        <w:rPr>
          <w:sz w:val="28"/>
          <w:szCs w:val="28"/>
        </w:rPr>
        <w:t xml:space="preserve">Būvnormatīvs nosaka </w:t>
      </w:r>
      <w:r w:rsidR="00AC435E" w:rsidRPr="00D24DF5">
        <w:rPr>
          <w:sz w:val="28"/>
          <w:szCs w:val="28"/>
        </w:rPr>
        <w:t>prasības</w:t>
      </w:r>
      <w:r w:rsidR="00A60FE6" w:rsidRPr="00D24DF5">
        <w:rPr>
          <w:sz w:val="28"/>
          <w:szCs w:val="28"/>
        </w:rPr>
        <w:t xml:space="preserve">, </w:t>
      </w:r>
      <w:r w:rsidR="00EC6506">
        <w:rPr>
          <w:sz w:val="28"/>
          <w:szCs w:val="28"/>
        </w:rPr>
        <w:t>k</w:t>
      </w:r>
      <w:r w:rsidR="00AB1918" w:rsidRPr="00D24DF5">
        <w:rPr>
          <w:sz w:val="28"/>
          <w:szCs w:val="28"/>
        </w:rPr>
        <w:t>as jāievēro, projektējot tērauda</w:t>
      </w:r>
      <w:r w:rsidR="00A60FE6" w:rsidRPr="00D24DF5">
        <w:rPr>
          <w:sz w:val="28"/>
          <w:szCs w:val="28"/>
        </w:rPr>
        <w:t xml:space="preserve"> būvkonstrukcijas ēkām un inženierbūvēm.</w:t>
      </w:r>
    </w:p>
    <w:p w14:paraId="5C59232F" w14:textId="77777777" w:rsid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C4C2765" w14:textId="1543C7AD" w:rsidR="002D3797" w:rsidRP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B0C46" w:rsidRPr="00D24DF5">
        <w:rPr>
          <w:sz w:val="28"/>
          <w:szCs w:val="28"/>
        </w:rPr>
        <w:t>Tērauda</w:t>
      </w:r>
      <w:r w:rsidR="00FC50DB" w:rsidRPr="00D24DF5">
        <w:rPr>
          <w:sz w:val="28"/>
          <w:szCs w:val="28"/>
        </w:rPr>
        <w:t xml:space="preserve"> </w:t>
      </w:r>
      <w:r w:rsidR="00A60FE6" w:rsidRPr="00D24DF5">
        <w:rPr>
          <w:sz w:val="28"/>
          <w:szCs w:val="28"/>
        </w:rPr>
        <w:t>būv</w:t>
      </w:r>
      <w:r w:rsidR="00FC50DB" w:rsidRPr="00D24DF5">
        <w:rPr>
          <w:sz w:val="28"/>
          <w:szCs w:val="28"/>
        </w:rPr>
        <w:t>konstrukciju projektēšan</w:t>
      </w:r>
      <w:r w:rsidR="002E41FC" w:rsidRPr="00D24DF5">
        <w:rPr>
          <w:sz w:val="28"/>
          <w:szCs w:val="28"/>
        </w:rPr>
        <w:t>ā</w:t>
      </w:r>
      <w:r w:rsidR="00FC50DB" w:rsidRPr="00D24DF5">
        <w:rPr>
          <w:sz w:val="28"/>
          <w:szCs w:val="28"/>
        </w:rPr>
        <w:t xml:space="preserve"> </w:t>
      </w:r>
      <w:r w:rsidR="00A60FE6" w:rsidRPr="00D24DF5">
        <w:rPr>
          <w:sz w:val="28"/>
          <w:szCs w:val="28"/>
        </w:rPr>
        <w:t xml:space="preserve">piemēro </w:t>
      </w:r>
      <w:proofErr w:type="spellStart"/>
      <w:r w:rsidR="001014CD" w:rsidRPr="00D24DF5">
        <w:rPr>
          <w:sz w:val="28"/>
          <w:szCs w:val="28"/>
        </w:rPr>
        <w:t>Eirokodeksa</w:t>
      </w:r>
      <w:proofErr w:type="spellEnd"/>
      <w:r w:rsidR="001014CD" w:rsidRPr="00D24DF5">
        <w:rPr>
          <w:sz w:val="28"/>
          <w:szCs w:val="28"/>
        </w:rPr>
        <w:t xml:space="preserve"> LVS EN 1990 </w:t>
      </w:r>
      <w:r w:rsidRPr="00D24DF5">
        <w:rPr>
          <w:sz w:val="28"/>
          <w:szCs w:val="28"/>
        </w:rPr>
        <w:t>"</w:t>
      </w:r>
      <w:r w:rsidR="001014CD" w:rsidRPr="00D24DF5">
        <w:rPr>
          <w:sz w:val="28"/>
          <w:szCs w:val="28"/>
        </w:rPr>
        <w:t>Konstrukciju projektēšanas pamati</w:t>
      </w:r>
      <w:r w:rsidRPr="00D24DF5">
        <w:rPr>
          <w:sz w:val="28"/>
          <w:szCs w:val="28"/>
        </w:rPr>
        <w:t>"</w:t>
      </w:r>
      <w:r w:rsidR="001014CD" w:rsidRPr="00D24DF5">
        <w:rPr>
          <w:sz w:val="28"/>
          <w:szCs w:val="28"/>
        </w:rPr>
        <w:t>, 1.</w:t>
      </w:r>
      <w:r w:rsidR="00EC6506">
        <w:rPr>
          <w:sz w:val="28"/>
          <w:szCs w:val="28"/>
        </w:rPr>
        <w:t> </w:t>
      </w:r>
      <w:proofErr w:type="spellStart"/>
      <w:r w:rsidR="001014CD" w:rsidRPr="00D24DF5">
        <w:rPr>
          <w:sz w:val="28"/>
          <w:szCs w:val="28"/>
        </w:rPr>
        <w:t>Eirokodeksa</w:t>
      </w:r>
      <w:proofErr w:type="spellEnd"/>
      <w:r w:rsidR="001014CD" w:rsidRPr="00D24DF5">
        <w:rPr>
          <w:sz w:val="28"/>
          <w:szCs w:val="28"/>
        </w:rPr>
        <w:t xml:space="preserve"> projektēšanas standartu saimes LVS EN 1991 </w:t>
      </w:r>
      <w:r w:rsidRPr="00D24DF5">
        <w:rPr>
          <w:sz w:val="28"/>
          <w:szCs w:val="28"/>
        </w:rPr>
        <w:t>"</w:t>
      </w:r>
      <w:r w:rsidR="001014CD" w:rsidRPr="00D24DF5">
        <w:rPr>
          <w:sz w:val="28"/>
          <w:szCs w:val="28"/>
        </w:rPr>
        <w:t>1.</w:t>
      </w:r>
      <w:r w:rsidR="00EC6506">
        <w:rPr>
          <w:sz w:val="28"/>
          <w:szCs w:val="28"/>
        </w:rPr>
        <w:t> </w:t>
      </w:r>
      <w:proofErr w:type="spellStart"/>
      <w:r w:rsidR="001014CD" w:rsidRPr="00D24DF5">
        <w:rPr>
          <w:sz w:val="28"/>
          <w:szCs w:val="28"/>
        </w:rPr>
        <w:t>Eirokod</w:t>
      </w:r>
      <w:r w:rsidR="00EC6506">
        <w:rPr>
          <w:sz w:val="28"/>
          <w:szCs w:val="28"/>
        </w:rPr>
        <w:t>ekss</w:t>
      </w:r>
      <w:proofErr w:type="spellEnd"/>
      <w:r w:rsidR="00EC6506">
        <w:rPr>
          <w:sz w:val="28"/>
          <w:szCs w:val="28"/>
        </w:rPr>
        <w:t>. Iedarbes uz konstrukcijām</w:t>
      </w:r>
      <w:r w:rsidRPr="00D24DF5">
        <w:rPr>
          <w:sz w:val="28"/>
          <w:szCs w:val="28"/>
        </w:rPr>
        <w:t>"</w:t>
      </w:r>
      <w:r w:rsidR="00EC6506">
        <w:rPr>
          <w:sz w:val="28"/>
          <w:szCs w:val="28"/>
        </w:rPr>
        <w:t xml:space="preserve"> un</w:t>
      </w:r>
      <w:r w:rsidR="00FC50DB" w:rsidRPr="00D24DF5">
        <w:rPr>
          <w:sz w:val="28"/>
          <w:szCs w:val="28"/>
        </w:rPr>
        <w:t xml:space="preserve"> </w:t>
      </w:r>
      <w:r w:rsidR="00AB0C46" w:rsidRPr="00D24DF5">
        <w:rPr>
          <w:sz w:val="28"/>
          <w:szCs w:val="28"/>
        </w:rPr>
        <w:t>3</w:t>
      </w:r>
      <w:r w:rsidR="00FC50DB" w:rsidRPr="00D24DF5">
        <w:rPr>
          <w:sz w:val="28"/>
          <w:szCs w:val="28"/>
        </w:rPr>
        <w:t>. </w:t>
      </w:r>
      <w:proofErr w:type="spellStart"/>
      <w:r w:rsidR="00FC50DB" w:rsidRPr="00D24DF5">
        <w:rPr>
          <w:sz w:val="28"/>
          <w:szCs w:val="28"/>
        </w:rPr>
        <w:t>Eirokodeksa</w:t>
      </w:r>
      <w:proofErr w:type="spellEnd"/>
      <w:r w:rsidR="00FC50DB" w:rsidRPr="00D24DF5">
        <w:rPr>
          <w:sz w:val="28"/>
          <w:szCs w:val="28"/>
        </w:rPr>
        <w:t xml:space="preserve"> projektēšanas standartu saime</w:t>
      </w:r>
      <w:r w:rsidR="002E41FC" w:rsidRPr="00D24DF5">
        <w:rPr>
          <w:sz w:val="28"/>
          <w:szCs w:val="28"/>
        </w:rPr>
        <w:t>s</w:t>
      </w:r>
      <w:r w:rsidR="00FC50DB" w:rsidRPr="00D24DF5">
        <w:rPr>
          <w:sz w:val="28"/>
          <w:szCs w:val="28"/>
        </w:rPr>
        <w:t xml:space="preserve"> LVS EN 199</w:t>
      </w:r>
      <w:r w:rsidR="00AB0C46" w:rsidRPr="00D24DF5">
        <w:rPr>
          <w:sz w:val="28"/>
          <w:szCs w:val="28"/>
        </w:rPr>
        <w:t>3</w:t>
      </w:r>
      <w:r w:rsidR="00FC50DB" w:rsidRPr="00D24DF5">
        <w:rPr>
          <w:sz w:val="28"/>
          <w:szCs w:val="28"/>
        </w:rPr>
        <w:t xml:space="preserve"> </w:t>
      </w:r>
      <w:r w:rsidRPr="00D24DF5">
        <w:rPr>
          <w:sz w:val="28"/>
          <w:szCs w:val="28"/>
        </w:rPr>
        <w:t>"</w:t>
      </w:r>
      <w:r w:rsidR="00AB0C46" w:rsidRPr="00D24DF5">
        <w:rPr>
          <w:sz w:val="28"/>
          <w:szCs w:val="28"/>
        </w:rPr>
        <w:t>3</w:t>
      </w:r>
      <w:r w:rsidR="00FC50DB" w:rsidRPr="00D24DF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FC50DB" w:rsidRPr="00D24DF5">
        <w:rPr>
          <w:sz w:val="28"/>
          <w:szCs w:val="28"/>
        </w:rPr>
        <w:t>Eirokodekss</w:t>
      </w:r>
      <w:proofErr w:type="spellEnd"/>
      <w:r w:rsidR="00FC50DB" w:rsidRPr="00D24DF5">
        <w:rPr>
          <w:sz w:val="28"/>
          <w:szCs w:val="28"/>
        </w:rPr>
        <w:t xml:space="preserve">. </w:t>
      </w:r>
      <w:r w:rsidR="00AB0C46" w:rsidRPr="00D24DF5">
        <w:rPr>
          <w:sz w:val="28"/>
          <w:szCs w:val="28"/>
        </w:rPr>
        <w:t>Tērauda</w:t>
      </w:r>
      <w:r w:rsidR="00FC50DB" w:rsidRPr="00D24DF5">
        <w:rPr>
          <w:sz w:val="28"/>
          <w:szCs w:val="28"/>
        </w:rPr>
        <w:t xml:space="preserve"> konstrukciju projektēšana</w:t>
      </w:r>
      <w:r w:rsidRPr="00D24DF5">
        <w:rPr>
          <w:sz w:val="28"/>
          <w:szCs w:val="28"/>
        </w:rPr>
        <w:t>"</w:t>
      </w:r>
      <w:r w:rsidR="001014CD" w:rsidRPr="00D24DF5">
        <w:rPr>
          <w:sz w:val="28"/>
          <w:szCs w:val="28"/>
        </w:rPr>
        <w:t xml:space="preserve"> standartus, kuru sarakstu un attiecīgos nacionālos pielikumus</w:t>
      </w:r>
      <w:r w:rsidR="00A60FE6" w:rsidRPr="00D24DF5">
        <w:rPr>
          <w:sz w:val="28"/>
          <w:szCs w:val="28"/>
        </w:rPr>
        <w:t xml:space="preserve"> interneta vietnē </w:t>
      </w:r>
      <w:proofErr w:type="spellStart"/>
      <w:r w:rsidR="00A60FE6" w:rsidRPr="00D24DF5">
        <w:rPr>
          <w:sz w:val="28"/>
          <w:szCs w:val="28"/>
        </w:rPr>
        <w:t>www.lvs.lv</w:t>
      </w:r>
      <w:proofErr w:type="spellEnd"/>
      <w:r w:rsidR="00A60FE6" w:rsidRPr="00D24DF5">
        <w:rPr>
          <w:sz w:val="28"/>
          <w:szCs w:val="28"/>
        </w:rPr>
        <w:t xml:space="preserve"> ir publicējus</w:t>
      </w:r>
      <w:r w:rsidR="00EC6506">
        <w:rPr>
          <w:sz w:val="28"/>
          <w:szCs w:val="28"/>
        </w:rPr>
        <w:t>i s</w:t>
      </w:r>
      <w:r w:rsidR="00A60FE6" w:rsidRPr="00D24DF5">
        <w:rPr>
          <w:sz w:val="28"/>
          <w:szCs w:val="28"/>
        </w:rPr>
        <w:t xml:space="preserve">abiedrība ar ierobežotu atbildību </w:t>
      </w:r>
      <w:r w:rsidRPr="00D24DF5">
        <w:rPr>
          <w:sz w:val="28"/>
          <w:szCs w:val="28"/>
        </w:rPr>
        <w:t>"</w:t>
      </w:r>
      <w:r w:rsidR="00A60FE6" w:rsidRPr="00D24DF5">
        <w:rPr>
          <w:sz w:val="28"/>
          <w:szCs w:val="28"/>
        </w:rPr>
        <w:t>Standartizācijas, akreditācijas un metroloģijas centrs</w:t>
      </w:r>
      <w:r w:rsidRPr="00D24DF5">
        <w:rPr>
          <w:sz w:val="28"/>
          <w:szCs w:val="28"/>
        </w:rPr>
        <w:t>"</w:t>
      </w:r>
      <w:r w:rsidR="00A60FE6" w:rsidRPr="00D24DF5">
        <w:rPr>
          <w:sz w:val="28"/>
          <w:szCs w:val="28"/>
        </w:rPr>
        <w:t>.</w:t>
      </w:r>
    </w:p>
    <w:p w14:paraId="21986509" w14:textId="77777777" w:rsid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C4C2766" w14:textId="52D490E8" w:rsidR="00A60FE6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B0C46" w:rsidRPr="00D24DF5">
        <w:rPr>
          <w:sz w:val="28"/>
          <w:szCs w:val="28"/>
        </w:rPr>
        <w:t>Tērauda</w:t>
      </w:r>
      <w:r w:rsidR="00A60FE6" w:rsidRPr="00D24DF5">
        <w:rPr>
          <w:sz w:val="28"/>
          <w:szCs w:val="28"/>
        </w:rPr>
        <w:t xml:space="preserve"> būvkonstrukciju projektēšanā </w:t>
      </w:r>
      <w:r w:rsidR="00D62374" w:rsidRPr="00D24DF5">
        <w:rPr>
          <w:sz w:val="28"/>
          <w:szCs w:val="28"/>
        </w:rPr>
        <w:t>i</w:t>
      </w:r>
      <w:r w:rsidR="00A60FE6" w:rsidRPr="00D24DF5">
        <w:rPr>
          <w:sz w:val="28"/>
          <w:szCs w:val="28"/>
        </w:rPr>
        <w:t>r pieļaujams izmantot alternatīvus risinājumus, kas at</w:t>
      </w:r>
      <w:r w:rsidR="009C73A1" w:rsidRPr="00D24DF5">
        <w:rPr>
          <w:sz w:val="28"/>
          <w:szCs w:val="28"/>
        </w:rPr>
        <w:t xml:space="preserve">šķiras no </w:t>
      </w:r>
      <w:proofErr w:type="spellStart"/>
      <w:r w:rsidR="009C73A1" w:rsidRPr="00D24DF5">
        <w:rPr>
          <w:sz w:val="28"/>
          <w:szCs w:val="28"/>
        </w:rPr>
        <w:t>Eirokodeksa</w:t>
      </w:r>
      <w:proofErr w:type="spellEnd"/>
      <w:r w:rsidR="009C73A1" w:rsidRPr="00D24DF5">
        <w:rPr>
          <w:sz w:val="28"/>
          <w:szCs w:val="28"/>
        </w:rPr>
        <w:t xml:space="preserve"> standartu</w:t>
      </w:r>
      <w:r w:rsidR="00A60FE6" w:rsidRPr="00D24DF5">
        <w:rPr>
          <w:sz w:val="28"/>
          <w:szCs w:val="28"/>
        </w:rPr>
        <w:t xml:space="preserve"> noteikumiem, ar nosacījumu, ka tiek pamatots, kāpēc neizmanto </w:t>
      </w:r>
      <w:r w:rsidR="009C73A1" w:rsidRPr="00D24DF5">
        <w:rPr>
          <w:sz w:val="28"/>
          <w:szCs w:val="28"/>
        </w:rPr>
        <w:t>paredzēt</w:t>
      </w:r>
      <w:r w:rsidR="00EC6506">
        <w:rPr>
          <w:sz w:val="28"/>
          <w:szCs w:val="28"/>
        </w:rPr>
        <w:t>o risinājumu un</w:t>
      </w:r>
      <w:r w:rsidR="00A60FE6" w:rsidRPr="00D24DF5">
        <w:rPr>
          <w:sz w:val="28"/>
          <w:szCs w:val="28"/>
        </w:rPr>
        <w:t xml:space="preserve"> ka izmantotie alternatīvie risin</w:t>
      </w:r>
      <w:r w:rsidR="009C73A1" w:rsidRPr="00D24DF5">
        <w:rPr>
          <w:sz w:val="28"/>
          <w:szCs w:val="28"/>
        </w:rPr>
        <w:t xml:space="preserve">ājumi </w:t>
      </w:r>
      <w:r w:rsidR="00EC6506">
        <w:rPr>
          <w:sz w:val="28"/>
          <w:szCs w:val="28"/>
        </w:rPr>
        <w:t xml:space="preserve">atbilst </w:t>
      </w:r>
      <w:proofErr w:type="spellStart"/>
      <w:r w:rsidR="009C73A1" w:rsidRPr="00D24DF5">
        <w:rPr>
          <w:sz w:val="28"/>
          <w:szCs w:val="28"/>
        </w:rPr>
        <w:t>Eirokodeksā</w:t>
      </w:r>
      <w:proofErr w:type="spellEnd"/>
      <w:r w:rsidR="00A60FE6" w:rsidRPr="00D24DF5">
        <w:rPr>
          <w:sz w:val="28"/>
          <w:szCs w:val="28"/>
        </w:rPr>
        <w:t xml:space="preserve"> iestrādātajiem principiem, un tie garantē </w:t>
      </w:r>
      <w:r w:rsidR="00DE67CF" w:rsidRPr="00D24DF5">
        <w:rPr>
          <w:sz w:val="28"/>
          <w:szCs w:val="28"/>
        </w:rPr>
        <w:t>būv</w:t>
      </w:r>
      <w:r w:rsidR="00A60FE6" w:rsidRPr="00D24DF5">
        <w:rPr>
          <w:sz w:val="28"/>
          <w:szCs w:val="28"/>
        </w:rPr>
        <w:t>konstrukcijām vismaz tādu pa</w:t>
      </w:r>
      <w:r w:rsidR="00EC6506">
        <w:rPr>
          <w:sz w:val="28"/>
          <w:szCs w:val="28"/>
        </w:rPr>
        <w:t>šu</w:t>
      </w:r>
      <w:r w:rsidR="00A60FE6" w:rsidRPr="00D24DF5">
        <w:rPr>
          <w:sz w:val="28"/>
          <w:szCs w:val="28"/>
        </w:rPr>
        <w:t xml:space="preserve"> drošuma, ekspluatējamības un ilgizturības līmeni, kādu varētu sagaidīt, lietojot </w:t>
      </w:r>
      <w:proofErr w:type="spellStart"/>
      <w:r w:rsidR="00A60FE6" w:rsidRPr="00D24DF5">
        <w:rPr>
          <w:sz w:val="28"/>
          <w:szCs w:val="28"/>
        </w:rPr>
        <w:t>Eirokodeksu</w:t>
      </w:r>
      <w:proofErr w:type="spellEnd"/>
      <w:r w:rsidR="00A60FE6" w:rsidRPr="00D24DF5">
        <w:rPr>
          <w:sz w:val="28"/>
          <w:szCs w:val="28"/>
        </w:rPr>
        <w:t>.</w:t>
      </w:r>
    </w:p>
    <w:p w14:paraId="6E68CC6E" w14:textId="77777777" w:rsidR="00D24DF5" w:rsidRP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C4C2767" w14:textId="3FC7FBAF" w:rsidR="0033219A" w:rsidRP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5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3219A" w:rsidRPr="00D24DF5">
        <w:rPr>
          <w:sz w:val="28"/>
          <w:szCs w:val="28"/>
        </w:rPr>
        <w:t>Prasības metinātajiem savienojumiem:</w:t>
      </w:r>
    </w:p>
    <w:p w14:paraId="4C4C2768" w14:textId="537D7440" w:rsidR="0033219A" w:rsidRPr="00D24DF5" w:rsidRDefault="00D24DF5" w:rsidP="00D24D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EC6506">
        <w:rPr>
          <w:sz w:val="28"/>
          <w:szCs w:val="28"/>
        </w:rPr>
        <w:t>p</w:t>
      </w:r>
      <w:r w:rsidR="0033219A" w:rsidRPr="00D24DF5">
        <w:rPr>
          <w:sz w:val="28"/>
          <w:szCs w:val="28"/>
        </w:rPr>
        <w:t>rojektā nepieciešams marķēt metinātos savienojumus atbilstoši piemērojamā standarta pr</w:t>
      </w:r>
      <w:r w:rsidR="00EC6506">
        <w:rPr>
          <w:sz w:val="28"/>
          <w:szCs w:val="28"/>
        </w:rPr>
        <w:t>asībām, par to sniedz</w:t>
      </w:r>
      <w:r w:rsidR="0033219A" w:rsidRPr="00D24DF5">
        <w:rPr>
          <w:sz w:val="28"/>
          <w:szCs w:val="28"/>
        </w:rPr>
        <w:t>ot atsauci projekta vispārīgajos norādījumos. Nepieciešams norādīt vai nu metinātās šuves aprēķina biezumu (a), vai metinātās šuves kateti (z) atbilstoši 1.</w:t>
      </w:r>
      <w:r w:rsidR="00EC6506">
        <w:rPr>
          <w:sz w:val="28"/>
          <w:szCs w:val="28"/>
        </w:rPr>
        <w:t> </w:t>
      </w:r>
      <w:r w:rsidR="0033219A" w:rsidRPr="00D24DF5">
        <w:rPr>
          <w:sz w:val="28"/>
          <w:szCs w:val="28"/>
        </w:rPr>
        <w:t>attēlam; pieļaujams metināto šuvju a</w:t>
      </w:r>
      <w:r w:rsidR="00EC6506">
        <w:rPr>
          <w:sz w:val="28"/>
          <w:szCs w:val="28"/>
        </w:rPr>
        <w:t>pzīmēšanai</w:t>
      </w:r>
      <w:r w:rsidR="0033219A" w:rsidRPr="00D24DF5">
        <w:rPr>
          <w:sz w:val="28"/>
          <w:szCs w:val="28"/>
        </w:rPr>
        <w:t xml:space="preserve"> izmantot Latvijā</w:t>
      </w:r>
      <w:proofErr w:type="gramStart"/>
      <w:r w:rsidR="0033219A" w:rsidRPr="00D24DF5">
        <w:rPr>
          <w:sz w:val="28"/>
          <w:szCs w:val="28"/>
        </w:rPr>
        <w:t xml:space="preserve"> līdz šim lietotos metināto šuvju apzīmējumus</w:t>
      </w:r>
      <w:proofErr w:type="gramEnd"/>
      <w:r w:rsidR="002C2576">
        <w:rPr>
          <w:sz w:val="28"/>
          <w:szCs w:val="28"/>
        </w:rPr>
        <w:t>,</w:t>
      </w:r>
      <w:r w:rsidR="0033219A" w:rsidRPr="00D24DF5">
        <w:rPr>
          <w:sz w:val="28"/>
          <w:szCs w:val="28"/>
        </w:rPr>
        <w:t xml:space="preserve"> ja pro</w:t>
      </w:r>
      <w:r w:rsidR="00EC6506">
        <w:rPr>
          <w:sz w:val="28"/>
          <w:szCs w:val="28"/>
        </w:rPr>
        <w:t>jekta vispārīgo rādītāju lapā snieg</w:t>
      </w:r>
      <w:r w:rsidR="0033219A" w:rsidRPr="00D24DF5">
        <w:rPr>
          <w:sz w:val="28"/>
          <w:szCs w:val="28"/>
        </w:rPr>
        <w:t>ts de</w:t>
      </w:r>
      <w:r w:rsidR="00EC6506">
        <w:rPr>
          <w:sz w:val="28"/>
          <w:szCs w:val="28"/>
        </w:rPr>
        <w:t>talizēts apzīmējumu skaidrojums;</w:t>
      </w:r>
    </w:p>
    <w:p w14:paraId="4C4C2769" w14:textId="77777777" w:rsidR="0033219A" w:rsidRDefault="0033219A" w:rsidP="00D24DF5">
      <w:pPr>
        <w:pStyle w:val="ListParagraph"/>
        <w:tabs>
          <w:tab w:val="left" w:pos="0"/>
        </w:tabs>
        <w:ind w:left="792"/>
        <w:jc w:val="both"/>
        <w:rPr>
          <w:sz w:val="28"/>
          <w:szCs w:val="28"/>
        </w:rPr>
      </w:pPr>
    </w:p>
    <w:p w14:paraId="4C4C276A" w14:textId="77777777" w:rsidR="0033219A" w:rsidRDefault="0033219A" w:rsidP="00D24DF5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972EA7">
        <w:rPr>
          <w:b/>
          <w:noProof/>
          <w:lang w:eastAsia="lv-LV"/>
        </w:rPr>
        <w:drawing>
          <wp:inline distT="0" distB="0" distL="0" distR="0" wp14:anchorId="4C4C282A" wp14:editId="4C4C282B">
            <wp:extent cx="2840454" cy="16217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42" t="20339" r="62252" b="4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36" cy="162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C276B" w14:textId="5E578EE8" w:rsidR="0033219A" w:rsidRDefault="0033219A" w:rsidP="00D24DF5">
      <w:pPr>
        <w:tabs>
          <w:tab w:val="left" w:pos="993"/>
        </w:tabs>
        <w:jc w:val="center"/>
        <w:rPr>
          <w:sz w:val="28"/>
          <w:szCs w:val="28"/>
        </w:rPr>
      </w:pPr>
      <w:r w:rsidRPr="0033219A">
        <w:rPr>
          <w:sz w:val="28"/>
          <w:szCs w:val="28"/>
        </w:rPr>
        <w:t>1.</w:t>
      </w:r>
      <w:r w:rsidR="00EC6506">
        <w:rPr>
          <w:sz w:val="28"/>
          <w:szCs w:val="28"/>
        </w:rPr>
        <w:t> </w:t>
      </w:r>
      <w:r w:rsidRPr="0033219A">
        <w:rPr>
          <w:sz w:val="28"/>
          <w:szCs w:val="28"/>
        </w:rPr>
        <w:t>attēls</w:t>
      </w:r>
    </w:p>
    <w:p w14:paraId="4C4C276C" w14:textId="77777777" w:rsidR="0033219A" w:rsidRDefault="0033219A" w:rsidP="00D24DF5">
      <w:pPr>
        <w:tabs>
          <w:tab w:val="left" w:pos="993"/>
        </w:tabs>
        <w:jc w:val="center"/>
        <w:rPr>
          <w:sz w:val="28"/>
          <w:szCs w:val="28"/>
        </w:rPr>
      </w:pPr>
    </w:p>
    <w:p w14:paraId="4C4C276D" w14:textId="7CCB04B4" w:rsidR="0033219A" w:rsidRPr="0033219A" w:rsidRDefault="00D24DF5" w:rsidP="00EC6506">
      <w:pPr>
        <w:tabs>
          <w:tab w:val="left" w:pos="993"/>
          <w:tab w:val="right" w:pos="9000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="0033219A" w:rsidRPr="006026F7">
        <w:rPr>
          <w:sz w:val="28"/>
          <w:szCs w:val="28"/>
        </w:rPr>
        <w:t xml:space="preserve"> </w:t>
      </w:r>
      <w:r w:rsidR="00EC6506">
        <w:rPr>
          <w:sz w:val="28"/>
          <w:szCs w:val="28"/>
        </w:rPr>
        <w:t>m</w:t>
      </w:r>
      <w:r w:rsidR="0033219A" w:rsidRPr="0033219A">
        <w:rPr>
          <w:sz w:val="28"/>
          <w:szCs w:val="28"/>
        </w:rPr>
        <w:t xml:space="preserve">etināto savienojumu stūra šuvju izmēru un formu </w:t>
      </w:r>
      <w:r w:rsidR="00EC6506">
        <w:rPr>
          <w:sz w:val="28"/>
          <w:szCs w:val="28"/>
        </w:rPr>
        <w:t>noteikt,</w:t>
      </w:r>
      <w:r w:rsidR="0033219A" w:rsidRPr="0033219A">
        <w:rPr>
          <w:sz w:val="28"/>
          <w:szCs w:val="28"/>
        </w:rPr>
        <w:t xml:space="preserve"> ievērojot šādus nosacījumus:</w:t>
      </w:r>
    </w:p>
    <w:p w14:paraId="4C4C276E" w14:textId="3F5FEDA9" w:rsidR="0033219A" w:rsidRPr="00EC6506" w:rsidRDefault="00EC6506" w:rsidP="00EC6506">
      <w:pPr>
        <w:pStyle w:val="ListParagraph"/>
        <w:tabs>
          <w:tab w:val="left" w:pos="993"/>
          <w:tab w:val="right" w:pos="90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 s</w:t>
      </w:r>
      <w:r w:rsidR="0033219A" w:rsidRPr="00EC6506">
        <w:rPr>
          <w:sz w:val="28"/>
          <w:szCs w:val="28"/>
        </w:rPr>
        <w:t>tūra šuves biezums (katete) nevar pārsniegt a</w:t>
      </w:r>
      <w:r w:rsidR="002C2576">
        <w:rPr>
          <w:sz w:val="28"/>
          <w:szCs w:val="28"/>
        </w:rPr>
        <w:t> </w:t>
      </w:r>
      <w:r w:rsidR="0033219A" w:rsidRPr="0033219A">
        <w:sym w:font="Symbol" w:char="F0A3"/>
      </w:r>
      <w:r w:rsidR="002C2576">
        <w:t> </w:t>
      </w:r>
      <w:r>
        <w:rPr>
          <w:sz w:val="28"/>
          <w:szCs w:val="28"/>
        </w:rPr>
        <w:t>0,</w:t>
      </w:r>
      <w:r w:rsidR="0033219A" w:rsidRPr="00EC6506">
        <w:rPr>
          <w:sz w:val="28"/>
          <w:szCs w:val="28"/>
        </w:rPr>
        <w:t>85</w:t>
      </w:r>
      <w:r w:rsidR="002C2576">
        <w:rPr>
          <w:sz w:val="28"/>
          <w:szCs w:val="28"/>
        </w:rPr>
        <w:t> </w:t>
      </w:r>
      <w:r w:rsidR="0033219A" w:rsidRPr="00EC6506">
        <w:rPr>
          <w:sz w:val="28"/>
          <w:szCs w:val="28"/>
        </w:rPr>
        <w:t>t (z</w:t>
      </w:r>
      <w:r w:rsidR="002C2576">
        <w:rPr>
          <w:sz w:val="28"/>
          <w:szCs w:val="28"/>
        </w:rPr>
        <w:t> </w:t>
      </w:r>
      <w:r w:rsidR="0033219A" w:rsidRPr="0033219A">
        <w:sym w:font="Symbol" w:char="F0A3"/>
      </w:r>
      <w:r w:rsidR="002C2576">
        <w:t> </w:t>
      </w:r>
      <w:r w:rsidR="00517975">
        <w:rPr>
          <w:sz w:val="28"/>
          <w:szCs w:val="28"/>
        </w:rPr>
        <w:t>1,2</w:t>
      </w:r>
      <w:r w:rsidR="002C2576">
        <w:rPr>
          <w:sz w:val="28"/>
          <w:szCs w:val="28"/>
        </w:rPr>
        <w:t> </w:t>
      </w:r>
      <w:r w:rsidR="00517975">
        <w:rPr>
          <w:sz w:val="28"/>
          <w:szCs w:val="28"/>
        </w:rPr>
        <w:t>t), kur t </w:t>
      </w:r>
      <w:r w:rsidR="0033219A" w:rsidRPr="00EC6506">
        <w:rPr>
          <w:sz w:val="28"/>
          <w:szCs w:val="28"/>
        </w:rPr>
        <w:t xml:space="preserve">– </w:t>
      </w:r>
      <w:r w:rsidR="002C2576">
        <w:rPr>
          <w:sz w:val="28"/>
          <w:szCs w:val="28"/>
        </w:rPr>
        <w:t>plānākā savienojamā elementa</w:t>
      </w:r>
      <w:r w:rsidR="0033219A" w:rsidRPr="00EC6506">
        <w:rPr>
          <w:sz w:val="28"/>
          <w:szCs w:val="28"/>
        </w:rPr>
        <w:t xml:space="preserve"> biezums;</w:t>
      </w:r>
    </w:p>
    <w:p w14:paraId="4C4C276F" w14:textId="2EE57680" w:rsidR="0033219A" w:rsidRPr="0033219A" w:rsidRDefault="00517975" w:rsidP="00517975">
      <w:pPr>
        <w:tabs>
          <w:tab w:val="left" w:pos="993"/>
          <w:tab w:val="righ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 ja stūra šuve</w:t>
      </w:r>
      <w:r w:rsidR="0033219A" w:rsidRPr="0033219A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iek veidota pie velmēta profila </w:t>
      </w:r>
      <w:proofErr w:type="gramStart"/>
      <w:r>
        <w:rPr>
          <w:sz w:val="28"/>
          <w:szCs w:val="28"/>
        </w:rPr>
        <w:t>(</w:t>
      </w:r>
      <w:proofErr w:type="gramEnd"/>
      <w:r w:rsidR="0033219A" w:rsidRPr="0033219A">
        <w:rPr>
          <w:sz w:val="28"/>
          <w:szCs w:val="28"/>
        </w:rPr>
        <w:t>ar nominālo biezumu t</w:t>
      </w:r>
      <w:r>
        <w:rPr>
          <w:sz w:val="28"/>
          <w:szCs w:val="28"/>
        </w:rPr>
        <w:t>)</w:t>
      </w:r>
      <w:r w:rsidR="0033219A" w:rsidRPr="0033219A">
        <w:rPr>
          <w:sz w:val="28"/>
          <w:szCs w:val="28"/>
        </w:rPr>
        <w:t xml:space="preserve"> noapaļotā stūra, biezums (katete) nedrīkst pārsniegt a</w:t>
      </w:r>
      <w:r w:rsidR="002C2576">
        <w:rPr>
          <w:sz w:val="28"/>
          <w:szCs w:val="28"/>
        </w:rPr>
        <w:t> </w:t>
      </w:r>
      <w:r w:rsidR="0033219A" w:rsidRPr="0033219A">
        <w:rPr>
          <w:sz w:val="28"/>
          <w:szCs w:val="28"/>
        </w:rPr>
        <w:sym w:font="Symbol" w:char="F0A3"/>
      </w:r>
      <w:r w:rsidR="002C2576">
        <w:rPr>
          <w:sz w:val="28"/>
          <w:szCs w:val="28"/>
        </w:rPr>
        <w:t> </w:t>
      </w:r>
      <w:r>
        <w:rPr>
          <w:sz w:val="28"/>
          <w:szCs w:val="28"/>
        </w:rPr>
        <w:t>0,</w:t>
      </w:r>
      <w:r w:rsidR="0033219A" w:rsidRPr="0033219A">
        <w:rPr>
          <w:sz w:val="28"/>
          <w:szCs w:val="28"/>
        </w:rPr>
        <w:t>65</w:t>
      </w:r>
      <w:r w:rsidR="002C2576">
        <w:rPr>
          <w:sz w:val="28"/>
          <w:szCs w:val="28"/>
        </w:rPr>
        <w:t> </w:t>
      </w:r>
      <w:r w:rsidR="0033219A" w:rsidRPr="0033219A">
        <w:rPr>
          <w:sz w:val="28"/>
          <w:szCs w:val="28"/>
        </w:rPr>
        <w:t>t (z</w:t>
      </w:r>
      <w:r w:rsidR="002C2576">
        <w:rPr>
          <w:sz w:val="28"/>
          <w:szCs w:val="28"/>
        </w:rPr>
        <w:t> </w:t>
      </w:r>
      <w:r w:rsidR="0033219A" w:rsidRPr="0033219A">
        <w:rPr>
          <w:sz w:val="28"/>
          <w:szCs w:val="28"/>
        </w:rPr>
        <w:sym w:font="Symbol" w:char="F0A3"/>
      </w:r>
      <w:r w:rsidR="002C2576">
        <w:rPr>
          <w:sz w:val="28"/>
          <w:szCs w:val="28"/>
        </w:rPr>
        <w:t> </w:t>
      </w:r>
      <w:r>
        <w:rPr>
          <w:sz w:val="28"/>
          <w:szCs w:val="28"/>
        </w:rPr>
        <w:t>0,</w:t>
      </w:r>
      <w:r w:rsidR="0033219A" w:rsidRPr="0033219A">
        <w:rPr>
          <w:sz w:val="28"/>
          <w:szCs w:val="28"/>
        </w:rPr>
        <w:t>9</w:t>
      </w:r>
      <w:r w:rsidR="002C2576">
        <w:rPr>
          <w:sz w:val="28"/>
          <w:szCs w:val="28"/>
        </w:rPr>
        <w:t> </w:t>
      </w:r>
      <w:r w:rsidR="0033219A" w:rsidRPr="0033219A">
        <w:rPr>
          <w:sz w:val="28"/>
          <w:szCs w:val="28"/>
        </w:rPr>
        <w:t>t);</w:t>
      </w:r>
    </w:p>
    <w:p w14:paraId="4C4C2770" w14:textId="54152FE6" w:rsidR="0033219A" w:rsidRPr="0033219A" w:rsidRDefault="00517975" w:rsidP="00517975">
      <w:pPr>
        <w:tabs>
          <w:tab w:val="left" w:pos="993"/>
          <w:tab w:val="righ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4.2.3. stūra šuves</w:t>
      </w:r>
      <w:r w:rsidR="0033219A" w:rsidRPr="0033219A">
        <w:rPr>
          <w:sz w:val="28"/>
          <w:szCs w:val="28"/>
        </w:rPr>
        <w:t xml:space="preserve"> biezumu (kateti) </w:t>
      </w:r>
      <w:r>
        <w:rPr>
          <w:sz w:val="28"/>
          <w:szCs w:val="28"/>
        </w:rPr>
        <w:t>nosaka</w:t>
      </w:r>
      <w:r w:rsidR="0033219A" w:rsidRPr="0033219A">
        <w:rPr>
          <w:sz w:val="28"/>
          <w:szCs w:val="28"/>
        </w:rPr>
        <w:t xml:space="preserve"> atbilstoši aprēķin</w:t>
      </w:r>
      <w:r>
        <w:rPr>
          <w:sz w:val="28"/>
          <w:szCs w:val="28"/>
        </w:rPr>
        <w:t>am, bet ne mazāku,</w:t>
      </w:r>
      <w:r w:rsidR="00AF1A6A">
        <w:rPr>
          <w:sz w:val="28"/>
          <w:szCs w:val="28"/>
        </w:rPr>
        <w:t xml:space="preserve"> kā norādīts 1</w:t>
      </w:r>
      <w:r w:rsidR="0033219A" w:rsidRPr="0033219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3219A" w:rsidRPr="0033219A">
        <w:rPr>
          <w:sz w:val="28"/>
          <w:szCs w:val="28"/>
        </w:rPr>
        <w:t xml:space="preserve">tabulā; </w:t>
      </w:r>
    </w:p>
    <w:p w14:paraId="4C4C2771" w14:textId="202AD08B" w:rsidR="0033219A" w:rsidRPr="0033219A" w:rsidRDefault="00517975" w:rsidP="0051797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4.2.4. t</w:t>
      </w:r>
      <w:r w:rsidR="0033219A" w:rsidRPr="0033219A">
        <w:rPr>
          <w:sz w:val="28"/>
          <w:szCs w:val="28"/>
        </w:rPr>
        <w:t xml:space="preserve">ēraudam ar plūstamības robežu virs 460 </w:t>
      </w:r>
      <w:proofErr w:type="spellStart"/>
      <w:r w:rsidR="0033219A" w:rsidRPr="0033219A">
        <w:rPr>
          <w:sz w:val="28"/>
          <w:szCs w:val="28"/>
        </w:rPr>
        <w:t>MPa</w:t>
      </w:r>
      <w:proofErr w:type="spellEnd"/>
      <w:r w:rsidR="0033219A" w:rsidRPr="0033219A">
        <w:rPr>
          <w:sz w:val="28"/>
          <w:szCs w:val="28"/>
        </w:rPr>
        <w:t>, kā arī tērauda elementiem ar biezumu virs 80 mm stūra šuvēm nepieciešams ņemt vērā ī</w:t>
      </w:r>
      <w:r>
        <w:rPr>
          <w:sz w:val="28"/>
          <w:szCs w:val="28"/>
        </w:rPr>
        <w:t>pašus tehnoloģiskos nosacījumus</w:t>
      </w:r>
      <w:r w:rsidR="0033219A" w:rsidRPr="0033219A">
        <w:rPr>
          <w:sz w:val="28"/>
          <w:szCs w:val="28"/>
        </w:rPr>
        <w:t>;</w:t>
      </w:r>
    </w:p>
    <w:p w14:paraId="4C4C2772" w14:textId="16209D6D" w:rsidR="0033219A" w:rsidRDefault="00517975" w:rsidP="0051797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4.2.5. s</w:t>
      </w:r>
      <w:r w:rsidR="0033219A" w:rsidRPr="0033219A">
        <w:rPr>
          <w:sz w:val="28"/>
          <w:szCs w:val="28"/>
        </w:rPr>
        <w:t xml:space="preserve">tūra šuvju katešu attiecību vēlams </w:t>
      </w:r>
      <w:r>
        <w:rPr>
          <w:sz w:val="28"/>
          <w:szCs w:val="28"/>
        </w:rPr>
        <w:t>noteikt 1:1.</w:t>
      </w:r>
      <w:r w:rsidR="0033219A" w:rsidRPr="0033219A">
        <w:rPr>
          <w:sz w:val="28"/>
          <w:szCs w:val="28"/>
        </w:rPr>
        <w:t xml:space="preserve"> </w:t>
      </w:r>
      <w:r>
        <w:rPr>
          <w:sz w:val="28"/>
          <w:szCs w:val="28"/>
        </w:rPr>
        <w:t>Ja sametināmo</w:t>
      </w:r>
      <w:r w:rsidR="0033219A" w:rsidRPr="0033219A">
        <w:rPr>
          <w:sz w:val="28"/>
          <w:szCs w:val="28"/>
        </w:rPr>
        <w:t xml:space="preserve"> </w:t>
      </w:r>
      <w:r>
        <w:rPr>
          <w:sz w:val="28"/>
          <w:szCs w:val="28"/>
        </w:rPr>
        <w:t>elementu biezums ir atšķirīgs,</w:t>
      </w:r>
      <w:r w:rsidR="0033219A" w:rsidRPr="0033219A">
        <w:rPr>
          <w:sz w:val="28"/>
          <w:szCs w:val="28"/>
        </w:rPr>
        <w:t xml:space="preserve"> pieļaujams veidot šuves ar dažādām katetēm</w:t>
      </w:r>
      <w:r>
        <w:rPr>
          <w:sz w:val="28"/>
          <w:szCs w:val="28"/>
        </w:rPr>
        <w:t>,</w:t>
      </w:r>
      <w:r w:rsidR="0033219A" w:rsidRPr="0033219A">
        <w:rPr>
          <w:sz w:val="28"/>
          <w:szCs w:val="28"/>
        </w:rPr>
        <w:t xml:space="preserve"> ievērojot </w:t>
      </w:r>
      <w:r>
        <w:rPr>
          <w:sz w:val="28"/>
          <w:szCs w:val="28"/>
        </w:rPr>
        <w:t>šā būvnormatīva 4.2.1., 4.2.2. un 4.2.3. apakšpunktā</w:t>
      </w:r>
      <w:r w:rsidR="0033219A" w:rsidRPr="0033219A">
        <w:rPr>
          <w:sz w:val="28"/>
          <w:szCs w:val="28"/>
        </w:rPr>
        <w:t xml:space="preserve"> noteiktās prasības.</w:t>
      </w:r>
    </w:p>
    <w:p w14:paraId="4C4C2773" w14:textId="77777777" w:rsidR="006026F7" w:rsidRDefault="006026F7" w:rsidP="00D24DF5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4C4C2774" w14:textId="7E9574E0" w:rsidR="006026F7" w:rsidRPr="006026F7" w:rsidRDefault="00AF1A6A" w:rsidP="00D24DF5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026F7" w:rsidRPr="006026F7">
        <w:rPr>
          <w:sz w:val="28"/>
          <w:szCs w:val="28"/>
        </w:rPr>
        <w:t>.</w:t>
      </w:r>
      <w:r w:rsidR="00D24DF5">
        <w:rPr>
          <w:sz w:val="28"/>
          <w:szCs w:val="28"/>
        </w:rPr>
        <w:t> </w:t>
      </w:r>
      <w:r w:rsidR="006026F7" w:rsidRPr="006026F7">
        <w:rPr>
          <w:sz w:val="28"/>
          <w:szCs w:val="28"/>
        </w:rPr>
        <w:t>tabula</w:t>
      </w:r>
    </w:p>
    <w:tbl>
      <w:tblPr>
        <w:tblStyle w:val="TableGrid"/>
        <w:tblW w:w="861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67"/>
        <w:gridCol w:w="567"/>
        <w:gridCol w:w="709"/>
        <w:gridCol w:w="709"/>
        <w:gridCol w:w="709"/>
        <w:gridCol w:w="708"/>
        <w:gridCol w:w="709"/>
      </w:tblGrid>
      <w:tr w:rsidR="006026F7" w:rsidRPr="006026F7" w14:paraId="4C4C2779" w14:textId="77777777" w:rsidTr="00F52EE5">
        <w:tc>
          <w:tcPr>
            <w:tcW w:w="1526" w:type="dxa"/>
            <w:vMerge w:val="restart"/>
            <w:vAlign w:val="center"/>
          </w:tcPr>
          <w:p w14:paraId="4C4C2775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Savienojuma veids</w:t>
            </w:r>
          </w:p>
        </w:tc>
        <w:tc>
          <w:tcPr>
            <w:tcW w:w="1276" w:type="dxa"/>
            <w:vMerge w:val="restart"/>
            <w:vAlign w:val="center"/>
          </w:tcPr>
          <w:p w14:paraId="4C4C2776" w14:textId="5C591ED9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Metināšana</w:t>
            </w:r>
            <w:r w:rsidR="00517975">
              <w:rPr>
                <w:sz w:val="18"/>
                <w:szCs w:val="18"/>
              </w:rPr>
              <w:t>s</w:t>
            </w:r>
            <w:r w:rsidRPr="006026F7">
              <w:rPr>
                <w:sz w:val="18"/>
                <w:szCs w:val="18"/>
              </w:rPr>
              <w:t xml:space="preserve"> veid</w:t>
            </w:r>
            <w:r w:rsidR="00517975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vAlign w:val="center"/>
          </w:tcPr>
          <w:p w14:paraId="4C4C2777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 xml:space="preserve">Tērauda plūstamības robeža </w:t>
            </w:r>
            <w:proofErr w:type="spellStart"/>
            <w:r w:rsidRPr="006026F7"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4678" w:type="dxa"/>
            <w:gridSpan w:val="7"/>
            <w:vAlign w:val="center"/>
          </w:tcPr>
          <w:p w14:paraId="4C4C2778" w14:textId="17718F29" w:rsidR="006026F7" w:rsidRPr="006026F7" w:rsidRDefault="006D6052" w:rsidP="002C2576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Minimālie metinājuma šuvju izmēri</w:t>
            </w:r>
            <w:r w:rsidR="006026F7" w:rsidRPr="006026F7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 (z) (</w:t>
            </w:r>
            <w:r w:rsidR="006026F7" w:rsidRPr="006026F7">
              <w:rPr>
                <w:sz w:val="18"/>
                <w:szCs w:val="18"/>
              </w:rPr>
              <w:t>mm</w:t>
            </w:r>
            <w:r w:rsidR="002C2576">
              <w:rPr>
                <w:sz w:val="18"/>
                <w:szCs w:val="18"/>
              </w:rPr>
              <w:t xml:space="preserve">) pie biezākā </w:t>
            </w:r>
            <w:r>
              <w:rPr>
                <w:sz w:val="18"/>
                <w:szCs w:val="18"/>
              </w:rPr>
              <w:t>savienojam</w:t>
            </w:r>
            <w:r w:rsidR="002C2576">
              <w:rPr>
                <w:sz w:val="18"/>
                <w:szCs w:val="18"/>
              </w:rPr>
              <w:t>ā elementa</w:t>
            </w:r>
            <w:r>
              <w:rPr>
                <w:sz w:val="18"/>
                <w:szCs w:val="18"/>
              </w:rPr>
              <w:t xml:space="preserve"> t (</w:t>
            </w:r>
            <w:r w:rsidR="006026F7" w:rsidRPr="006026F7">
              <w:rPr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)</w:t>
            </w:r>
          </w:p>
        </w:tc>
      </w:tr>
      <w:tr w:rsidR="006026F7" w:rsidRPr="006026F7" w14:paraId="4C4C2784" w14:textId="77777777" w:rsidTr="00F52EE5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4C4C277A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C4C277B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C4C277C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4C277D" w14:textId="1322D806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4–</w:t>
            </w:r>
            <w:r w:rsidR="006026F7" w:rsidRPr="006026F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4C277E" w14:textId="129080D7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6–</w:t>
            </w:r>
            <w:r w:rsidR="006026F7" w:rsidRPr="006026F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C277F" w14:textId="6CEDA40E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11–</w:t>
            </w:r>
            <w:r w:rsidR="006026F7" w:rsidRPr="006026F7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C2780" w14:textId="6D9BA7F0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17–</w:t>
            </w:r>
            <w:r w:rsidR="006026F7" w:rsidRPr="006026F7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C2781" w14:textId="526CE673" w:rsidR="006026F7" w:rsidRPr="006026F7" w:rsidRDefault="006026F7" w:rsidP="006D605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23</w:t>
            </w:r>
            <w:r w:rsidR="006D6052">
              <w:rPr>
                <w:sz w:val="18"/>
                <w:szCs w:val="18"/>
              </w:rPr>
              <w:t>–</w:t>
            </w:r>
            <w:r w:rsidRPr="006026F7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4C2782" w14:textId="4D15A8C2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33–</w:t>
            </w:r>
            <w:r w:rsidR="006026F7" w:rsidRPr="006026F7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C2783" w14:textId="18920A91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41–</w:t>
            </w:r>
            <w:r w:rsidR="006026F7" w:rsidRPr="006026F7">
              <w:rPr>
                <w:sz w:val="18"/>
                <w:szCs w:val="18"/>
              </w:rPr>
              <w:t>80</w:t>
            </w:r>
          </w:p>
        </w:tc>
      </w:tr>
      <w:tr w:rsidR="006026F7" w:rsidRPr="006026F7" w14:paraId="4C4C278F" w14:textId="77777777" w:rsidTr="00F52EE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5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T-veida savienojums ar abpusēju metinājumu; pārlaiduma un stūra savienojums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6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Rokas metināšana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7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līdz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8" w14:textId="106402EF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9" w14:textId="1DA7C964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A" w14:textId="3055E900" w:rsidR="006026F7" w:rsidRPr="006026F7" w:rsidRDefault="006026F7" w:rsidP="006D605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2</w:t>
            </w:r>
            <w:r w:rsidR="006D6052">
              <w:rPr>
                <w:sz w:val="18"/>
                <w:szCs w:val="18"/>
              </w:rPr>
              <w:t>,</w:t>
            </w:r>
            <w:r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B" w14:textId="2E46ACCB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C" w14:textId="385302A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D" w14:textId="05B8AF09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8E" w14:textId="300427F1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</w:tr>
      <w:tr w:rsidR="006026F7" w:rsidRPr="006026F7" w14:paraId="4C4C279A" w14:textId="77777777" w:rsidTr="00F52EE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0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1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2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virs 285 līdz 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3" w14:textId="56ACABE2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4" w14:textId="36152491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5" w14:textId="29AF98B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6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5 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7" w14:textId="0969795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6026F7" w:rsidRPr="006026F7">
              <w:rPr>
                <w:sz w:val="18"/>
                <w:szCs w:val="18"/>
              </w:rPr>
              <w:t>7 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8" w14:textId="3E10879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6026F7" w:rsidRPr="006026F7">
              <w:rPr>
                <w:sz w:val="18"/>
                <w:szCs w:val="18"/>
              </w:rPr>
              <w:t>4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9" w14:textId="1FD04693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6026F7" w:rsidRPr="006026F7">
              <w:rPr>
                <w:sz w:val="18"/>
                <w:szCs w:val="18"/>
              </w:rPr>
              <w:t>1 (10)</w:t>
            </w:r>
          </w:p>
        </w:tc>
      </w:tr>
      <w:tr w:rsidR="006026F7" w:rsidRPr="006026F7" w14:paraId="4C4C27A5" w14:textId="77777777" w:rsidTr="00F52EE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B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C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Automāta un pusautomāta metināšana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D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līdz 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E" w14:textId="006ACBBE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2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9F" w14:textId="35A04752" w:rsidR="006026F7" w:rsidRPr="006026F7" w:rsidRDefault="006026F7" w:rsidP="006D605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2</w:t>
            </w:r>
            <w:r w:rsidR="006D6052">
              <w:rPr>
                <w:sz w:val="18"/>
                <w:szCs w:val="18"/>
              </w:rPr>
              <w:t>,</w:t>
            </w:r>
            <w:r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0" w14:textId="756D203B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1" w14:textId="67A8E305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2" w14:textId="18AB6D66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3" w14:textId="3C6C4EA9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4" w14:textId="3597B7F0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</w:tr>
      <w:tr w:rsidR="006026F7" w:rsidRPr="006026F7" w14:paraId="4C4C27B0" w14:textId="77777777" w:rsidTr="00F52EE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6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7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8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virs 285 līdz 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9" w14:textId="56C7DFB8" w:rsidR="006026F7" w:rsidRPr="006026F7" w:rsidRDefault="006026F7" w:rsidP="006D605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2</w:t>
            </w:r>
            <w:r w:rsidR="006D6052">
              <w:rPr>
                <w:sz w:val="18"/>
                <w:szCs w:val="18"/>
              </w:rPr>
              <w:t>,</w:t>
            </w:r>
            <w:r w:rsidRPr="006026F7">
              <w:rPr>
                <w:sz w:val="18"/>
                <w:szCs w:val="18"/>
              </w:rPr>
              <w:t>2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A" w14:textId="2B4D3868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B" w14:textId="1602AF48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C" w14:textId="2FAF1EB6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D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5 (7)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E" w14:textId="2DCAB17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6026F7" w:rsidRPr="006026F7">
              <w:rPr>
                <w:sz w:val="18"/>
                <w:szCs w:val="18"/>
              </w:rPr>
              <w:t>7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AF" w14:textId="6FFDF2B3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6026F7" w:rsidRPr="006026F7">
              <w:rPr>
                <w:sz w:val="18"/>
                <w:szCs w:val="18"/>
              </w:rPr>
              <w:t>4 (9)</w:t>
            </w:r>
          </w:p>
        </w:tc>
      </w:tr>
      <w:tr w:rsidR="006026F7" w:rsidRPr="006026F7" w14:paraId="4C4C27BB" w14:textId="77777777" w:rsidTr="00F52EE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1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T-veida savienojums ar vienpusēju stūra šuvi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2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Rokas metināšana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3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līdz 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4" w14:textId="23A17A4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5" w14:textId="16CC0FB2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6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5 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7" w14:textId="41BD9FFC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6026F7" w:rsidRPr="006026F7">
              <w:rPr>
                <w:sz w:val="18"/>
                <w:szCs w:val="18"/>
              </w:rPr>
              <w:t>7 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8" w14:textId="782DCBC6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6026F7" w:rsidRPr="006026F7">
              <w:rPr>
                <w:sz w:val="18"/>
                <w:szCs w:val="18"/>
              </w:rPr>
              <w:t>4 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9" w14:textId="50C8EA41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6026F7" w:rsidRPr="006026F7">
              <w:rPr>
                <w:sz w:val="18"/>
                <w:szCs w:val="18"/>
              </w:rPr>
              <w:t>1 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A" w14:textId="6EF600C2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6026F7" w:rsidRPr="006026F7">
              <w:rPr>
                <w:sz w:val="18"/>
                <w:szCs w:val="18"/>
              </w:rPr>
              <w:t>5 (12)</w:t>
            </w:r>
          </w:p>
        </w:tc>
      </w:tr>
      <w:tr w:rsidR="006026F7" w:rsidRPr="006026F7" w14:paraId="4C4C27C6" w14:textId="77777777" w:rsidTr="00F52EE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C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D" w14:textId="77777777" w:rsidR="006026F7" w:rsidRPr="006026F7" w:rsidRDefault="006026F7" w:rsidP="00D24DF5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Automāta un pusautomāta metināšana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E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BF" w14:textId="15F1FB94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026F7" w:rsidRPr="006026F7">
              <w:rPr>
                <w:sz w:val="18"/>
                <w:szCs w:val="18"/>
              </w:rPr>
              <w:t>8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C0" w14:textId="2FC9EE75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026F7" w:rsidRPr="006026F7">
              <w:rPr>
                <w:sz w:val="18"/>
                <w:szCs w:val="18"/>
              </w:rPr>
              <w:t>5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C1" w14:textId="318AB265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026F7" w:rsidRPr="006026F7">
              <w:rPr>
                <w:sz w:val="18"/>
                <w:szCs w:val="18"/>
              </w:rPr>
              <w:t>3 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C2" w14:textId="77777777" w:rsidR="006026F7" w:rsidRPr="006026F7" w:rsidRDefault="006026F7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6026F7">
              <w:rPr>
                <w:sz w:val="18"/>
                <w:szCs w:val="18"/>
              </w:rPr>
              <w:t>5 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C3" w14:textId="35A5323A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6026F7" w:rsidRPr="006026F7">
              <w:rPr>
                <w:sz w:val="18"/>
                <w:szCs w:val="18"/>
              </w:rPr>
              <w:t>7 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C4" w14:textId="78427EA5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6026F7" w:rsidRPr="006026F7">
              <w:rPr>
                <w:sz w:val="18"/>
                <w:szCs w:val="18"/>
              </w:rPr>
              <w:t>4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C5" w14:textId="6EAF7740" w:rsidR="006026F7" w:rsidRPr="006026F7" w:rsidRDefault="006D6052" w:rsidP="00D24DF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6026F7" w:rsidRPr="006026F7">
              <w:rPr>
                <w:sz w:val="18"/>
                <w:szCs w:val="18"/>
              </w:rPr>
              <w:t>1 (10)</w:t>
            </w:r>
          </w:p>
        </w:tc>
      </w:tr>
    </w:tbl>
    <w:p w14:paraId="4C4C27C7" w14:textId="77777777" w:rsidR="006026F7" w:rsidRPr="0033219A" w:rsidRDefault="006026F7" w:rsidP="00D24DF5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14:paraId="4C4C27C8" w14:textId="375939E1" w:rsidR="0033219A" w:rsidRDefault="00F919A7" w:rsidP="006D60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19A7">
        <w:rPr>
          <w:sz w:val="28"/>
          <w:szCs w:val="28"/>
        </w:rPr>
        <w:t>Atkāpes no šīm prasībām pieļaujamas</w:t>
      </w:r>
      <w:r w:rsidR="006D6052">
        <w:rPr>
          <w:sz w:val="28"/>
          <w:szCs w:val="28"/>
        </w:rPr>
        <w:t>,</w:t>
      </w:r>
      <w:r w:rsidRPr="00F919A7">
        <w:rPr>
          <w:sz w:val="28"/>
          <w:szCs w:val="28"/>
        </w:rPr>
        <w:t xml:space="preserve"> tikai pamatojoties uz detalizētu metināšanas darbu veikšanas projektu</w:t>
      </w:r>
      <w:r w:rsidR="006D6052">
        <w:rPr>
          <w:sz w:val="28"/>
          <w:szCs w:val="28"/>
        </w:rPr>
        <w:t>, kas ietver detalizētu</w:t>
      </w:r>
      <w:r w:rsidRPr="00F919A7">
        <w:rPr>
          <w:sz w:val="28"/>
          <w:szCs w:val="28"/>
        </w:rPr>
        <w:t xml:space="preserve"> tehnoloģiskā procesa aprakstu (sametināmo ele</w:t>
      </w:r>
      <w:r w:rsidR="00886E0E">
        <w:rPr>
          <w:sz w:val="28"/>
          <w:szCs w:val="28"/>
        </w:rPr>
        <w:t>mentu temperatūrai un kontrolei</w:t>
      </w:r>
      <w:r w:rsidR="006D6052" w:rsidRPr="006D6052">
        <w:rPr>
          <w:sz w:val="28"/>
          <w:szCs w:val="28"/>
        </w:rPr>
        <w:t xml:space="preserve"> </w:t>
      </w:r>
      <w:r w:rsidR="006D6052">
        <w:rPr>
          <w:sz w:val="28"/>
          <w:szCs w:val="28"/>
        </w:rPr>
        <w:t xml:space="preserve">noteiktās </w:t>
      </w:r>
      <w:r w:rsidR="006D6052" w:rsidRPr="00F919A7">
        <w:rPr>
          <w:sz w:val="28"/>
          <w:szCs w:val="28"/>
        </w:rPr>
        <w:t>prasības</w:t>
      </w:r>
      <w:r w:rsidR="00886E0E">
        <w:rPr>
          <w:sz w:val="28"/>
          <w:szCs w:val="28"/>
        </w:rPr>
        <w:t>)</w:t>
      </w:r>
      <w:r w:rsidRPr="00F919A7">
        <w:rPr>
          <w:sz w:val="28"/>
          <w:szCs w:val="28"/>
        </w:rPr>
        <w:t>.</w:t>
      </w:r>
    </w:p>
    <w:p w14:paraId="6C6139AB" w14:textId="77777777" w:rsidR="00D24DF5" w:rsidRDefault="00D24DF5" w:rsidP="00D24DF5">
      <w:pPr>
        <w:tabs>
          <w:tab w:val="left" w:pos="993"/>
        </w:tabs>
        <w:ind w:left="973"/>
        <w:rPr>
          <w:sz w:val="28"/>
          <w:szCs w:val="28"/>
        </w:rPr>
      </w:pPr>
    </w:p>
    <w:p w14:paraId="4C4C27C9" w14:textId="4EB5E80A" w:rsidR="00F919A7" w:rsidRPr="00F919A7" w:rsidRDefault="001014CD" w:rsidP="00D2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9A7">
        <w:rPr>
          <w:sz w:val="28"/>
          <w:szCs w:val="28"/>
        </w:rPr>
        <w:t>.</w:t>
      </w:r>
      <w:r w:rsidR="00F919A7" w:rsidRPr="00F919A7">
        <w:rPr>
          <w:sz w:val="24"/>
        </w:rPr>
        <w:t xml:space="preserve"> </w:t>
      </w:r>
      <w:r w:rsidR="00F919A7" w:rsidRPr="00F919A7">
        <w:rPr>
          <w:sz w:val="28"/>
          <w:szCs w:val="28"/>
        </w:rPr>
        <w:t xml:space="preserve">Projektējot tērauda </w:t>
      </w:r>
      <w:r w:rsidR="00DE67CF">
        <w:rPr>
          <w:sz w:val="28"/>
          <w:szCs w:val="28"/>
        </w:rPr>
        <w:t>būv</w:t>
      </w:r>
      <w:r w:rsidR="00F919A7" w:rsidRPr="00F919A7">
        <w:rPr>
          <w:sz w:val="28"/>
          <w:szCs w:val="28"/>
        </w:rPr>
        <w:t>konstrukcijas</w:t>
      </w:r>
      <w:r w:rsidR="006D6052">
        <w:rPr>
          <w:sz w:val="28"/>
          <w:szCs w:val="28"/>
        </w:rPr>
        <w:t>, nepieciešams ievērot šādu</w:t>
      </w:r>
      <w:r w:rsidR="00F919A7" w:rsidRPr="00F919A7">
        <w:rPr>
          <w:sz w:val="28"/>
          <w:szCs w:val="28"/>
        </w:rPr>
        <w:t xml:space="preserve"> elementu lokanuma ierobežojumu:</w:t>
      </w:r>
    </w:p>
    <w:p w14:paraId="4C4C27CA" w14:textId="77777777" w:rsidR="00F919A7" w:rsidRPr="00F919A7" w:rsidRDefault="00F919A7" w:rsidP="00D24DF5">
      <w:pPr>
        <w:tabs>
          <w:tab w:val="left" w:pos="993"/>
        </w:tabs>
        <w:jc w:val="center"/>
        <w:rPr>
          <w:sz w:val="28"/>
          <w:szCs w:val="28"/>
        </w:rPr>
      </w:pPr>
      <w:r w:rsidRPr="00F919A7">
        <w:rPr>
          <w:i/>
          <w:sz w:val="28"/>
          <w:szCs w:val="28"/>
        </w:rPr>
        <w:sym w:font="Symbol" w:char="F06C"/>
      </w:r>
      <w:r w:rsidRPr="00F919A7">
        <w:rPr>
          <w:i/>
          <w:sz w:val="28"/>
          <w:szCs w:val="28"/>
          <w:vertAlign w:val="subscript"/>
        </w:rPr>
        <w:t>i</w:t>
      </w:r>
      <w:r w:rsidRPr="00F919A7">
        <w:rPr>
          <w:i/>
          <w:sz w:val="28"/>
          <w:szCs w:val="28"/>
        </w:rPr>
        <w:t xml:space="preserve"> ≤ </w:t>
      </w:r>
      <w:r w:rsidRPr="00F919A7">
        <w:rPr>
          <w:i/>
          <w:sz w:val="28"/>
          <w:szCs w:val="28"/>
        </w:rPr>
        <w:sym w:font="Symbol" w:char="F06C"/>
      </w:r>
      <w:r w:rsidRPr="00F919A7">
        <w:rPr>
          <w:i/>
          <w:sz w:val="28"/>
          <w:szCs w:val="28"/>
          <w:vertAlign w:val="subscript"/>
        </w:rPr>
        <w:t>u</w:t>
      </w:r>
      <w:r w:rsidRPr="00F919A7">
        <w:rPr>
          <w:i/>
          <w:sz w:val="28"/>
          <w:szCs w:val="28"/>
        </w:rPr>
        <w:t xml:space="preserve"> </w:t>
      </w:r>
      <w:r w:rsidRPr="00F919A7">
        <w:rPr>
          <w:sz w:val="28"/>
          <w:szCs w:val="28"/>
        </w:rPr>
        <w:t>,</w:t>
      </w:r>
    </w:p>
    <w:p w14:paraId="4C4C27CB" w14:textId="77777777" w:rsidR="00F919A7" w:rsidRPr="00F919A7" w:rsidRDefault="00F919A7" w:rsidP="00D24DF5">
      <w:pPr>
        <w:tabs>
          <w:tab w:val="left" w:pos="993"/>
        </w:tabs>
        <w:ind w:firstLine="709"/>
        <w:rPr>
          <w:sz w:val="28"/>
          <w:szCs w:val="28"/>
        </w:rPr>
      </w:pPr>
      <w:r w:rsidRPr="00F919A7">
        <w:rPr>
          <w:sz w:val="28"/>
          <w:szCs w:val="28"/>
        </w:rPr>
        <w:t>kur</w:t>
      </w:r>
      <w:r w:rsidRPr="00F919A7">
        <w:rPr>
          <w:sz w:val="28"/>
          <w:szCs w:val="28"/>
        </w:rPr>
        <w:tab/>
      </w:r>
      <w:r w:rsidRPr="00F919A7">
        <w:rPr>
          <w:i/>
          <w:sz w:val="28"/>
          <w:szCs w:val="28"/>
        </w:rPr>
        <w:sym w:font="Symbol" w:char="F06C"/>
      </w:r>
      <w:r w:rsidRPr="00F919A7">
        <w:rPr>
          <w:i/>
          <w:sz w:val="28"/>
          <w:szCs w:val="28"/>
          <w:vertAlign w:val="subscript"/>
        </w:rPr>
        <w:t>i</w:t>
      </w:r>
      <w:r w:rsidRPr="00F919A7">
        <w:rPr>
          <w:i/>
          <w:sz w:val="28"/>
          <w:szCs w:val="28"/>
        </w:rPr>
        <w:t xml:space="preserve"> = </w:t>
      </w:r>
      <w:proofErr w:type="spellStart"/>
      <w:r w:rsidRPr="00F919A7">
        <w:rPr>
          <w:i/>
          <w:sz w:val="28"/>
          <w:szCs w:val="28"/>
        </w:rPr>
        <w:t>L</w:t>
      </w:r>
      <w:r w:rsidRPr="00F919A7">
        <w:rPr>
          <w:i/>
          <w:sz w:val="28"/>
          <w:szCs w:val="28"/>
          <w:vertAlign w:val="subscript"/>
        </w:rPr>
        <w:t>ef</w:t>
      </w:r>
      <w:proofErr w:type="spellEnd"/>
      <w:r w:rsidRPr="00F919A7">
        <w:rPr>
          <w:i/>
          <w:sz w:val="28"/>
          <w:szCs w:val="28"/>
        </w:rPr>
        <w:t xml:space="preserve">  / i</w:t>
      </w:r>
    </w:p>
    <w:p w14:paraId="4C4C27CC" w14:textId="77777777" w:rsidR="00F919A7" w:rsidRPr="00F919A7" w:rsidRDefault="00F919A7" w:rsidP="00D24DF5">
      <w:pPr>
        <w:tabs>
          <w:tab w:val="left" w:pos="993"/>
        </w:tabs>
        <w:rPr>
          <w:sz w:val="28"/>
          <w:szCs w:val="28"/>
        </w:rPr>
      </w:pPr>
      <w:r w:rsidRPr="00F919A7">
        <w:rPr>
          <w:sz w:val="28"/>
          <w:szCs w:val="28"/>
        </w:rPr>
        <w:tab/>
      </w:r>
      <w:r w:rsidRPr="00F919A7">
        <w:rPr>
          <w:sz w:val="28"/>
          <w:szCs w:val="28"/>
        </w:rPr>
        <w:tab/>
      </w:r>
      <w:r w:rsidRPr="00F919A7">
        <w:rPr>
          <w:i/>
          <w:sz w:val="28"/>
          <w:szCs w:val="28"/>
        </w:rPr>
        <w:sym w:font="Symbol" w:char="F06C"/>
      </w:r>
      <w:r w:rsidRPr="00F919A7">
        <w:rPr>
          <w:i/>
          <w:sz w:val="28"/>
          <w:szCs w:val="28"/>
          <w:vertAlign w:val="subscript"/>
        </w:rPr>
        <w:t>i</w:t>
      </w:r>
      <w:r w:rsidRPr="00F919A7">
        <w:rPr>
          <w:sz w:val="28"/>
          <w:szCs w:val="28"/>
        </w:rPr>
        <w:tab/>
        <w:t>– elementa lokanums;</w:t>
      </w:r>
    </w:p>
    <w:p w14:paraId="4C4C27CD" w14:textId="77777777" w:rsidR="00F919A7" w:rsidRPr="00F919A7" w:rsidRDefault="00F919A7" w:rsidP="00D24DF5">
      <w:pPr>
        <w:tabs>
          <w:tab w:val="left" w:pos="993"/>
        </w:tabs>
        <w:rPr>
          <w:sz w:val="28"/>
          <w:szCs w:val="28"/>
        </w:rPr>
      </w:pPr>
      <w:r w:rsidRPr="00F919A7">
        <w:rPr>
          <w:sz w:val="28"/>
          <w:szCs w:val="28"/>
        </w:rPr>
        <w:tab/>
      </w:r>
      <w:r w:rsidRPr="00F919A7">
        <w:rPr>
          <w:sz w:val="28"/>
          <w:szCs w:val="28"/>
        </w:rPr>
        <w:tab/>
      </w:r>
      <w:r w:rsidRPr="00F919A7">
        <w:rPr>
          <w:i/>
          <w:sz w:val="28"/>
          <w:szCs w:val="28"/>
        </w:rPr>
        <w:sym w:font="Symbol" w:char="F06C"/>
      </w:r>
      <w:r w:rsidRPr="00F919A7">
        <w:rPr>
          <w:i/>
          <w:sz w:val="28"/>
          <w:szCs w:val="28"/>
          <w:vertAlign w:val="subscript"/>
        </w:rPr>
        <w:t>u</w:t>
      </w:r>
      <w:r w:rsidRPr="00F919A7">
        <w:rPr>
          <w:sz w:val="28"/>
          <w:szCs w:val="28"/>
        </w:rPr>
        <w:tab/>
        <w:t xml:space="preserve">– </w:t>
      </w:r>
      <w:proofErr w:type="spellStart"/>
      <w:r w:rsidRPr="00F919A7">
        <w:rPr>
          <w:sz w:val="28"/>
          <w:szCs w:val="28"/>
        </w:rPr>
        <w:t>robežlokanums</w:t>
      </w:r>
      <w:proofErr w:type="spellEnd"/>
      <w:r w:rsidRPr="00F919A7">
        <w:rPr>
          <w:sz w:val="28"/>
          <w:szCs w:val="28"/>
        </w:rPr>
        <w:t>;</w:t>
      </w:r>
    </w:p>
    <w:p w14:paraId="4C4C27CE" w14:textId="77777777" w:rsidR="00F919A7" w:rsidRPr="00F919A7" w:rsidRDefault="00F919A7" w:rsidP="00D24DF5">
      <w:pPr>
        <w:tabs>
          <w:tab w:val="left" w:pos="993"/>
        </w:tabs>
        <w:rPr>
          <w:sz w:val="28"/>
          <w:szCs w:val="28"/>
        </w:rPr>
      </w:pPr>
      <w:r w:rsidRPr="00F919A7">
        <w:rPr>
          <w:i/>
          <w:sz w:val="28"/>
          <w:szCs w:val="28"/>
        </w:rPr>
        <w:tab/>
      </w:r>
      <w:r w:rsidRPr="00F919A7">
        <w:rPr>
          <w:i/>
          <w:sz w:val="28"/>
          <w:szCs w:val="28"/>
        </w:rPr>
        <w:tab/>
      </w:r>
      <w:proofErr w:type="spellStart"/>
      <w:r w:rsidRPr="00F919A7">
        <w:rPr>
          <w:i/>
          <w:sz w:val="28"/>
          <w:szCs w:val="28"/>
        </w:rPr>
        <w:t>L</w:t>
      </w:r>
      <w:r w:rsidRPr="00F919A7">
        <w:rPr>
          <w:i/>
          <w:sz w:val="28"/>
          <w:szCs w:val="28"/>
          <w:vertAlign w:val="subscript"/>
        </w:rPr>
        <w:t>ef</w:t>
      </w:r>
      <w:proofErr w:type="spellEnd"/>
      <w:r w:rsidRPr="00F919A7">
        <w:rPr>
          <w:sz w:val="28"/>
          <w:szCs w:val="28"/>
        </w:rPr>
        <w:tab/>
        <w:t>– elementa aprēķina garums;</w:t>
      </w:r>
    </w:p>
    <w:p w14:paraId="4C4C27CF" w14:textId="77777777" w:rsidR="00F919A7" w:rsidRPr="00F919A7" w:rsidRDefault="00F919A7" w:rsidP="00D24DF5">
      <w:pPr>
        <w:tabs>
          <w:tab w:val="left" w:pos="993"/>
        </w:tabs>
        <w:rPr>
          <w:sz w:val="28"/>
          <w:szCs w:val="28"/>
        </w:rPr>
      </w:pPr>
      <w:r w:rsidRPr="00F919A7">
        <w:rPr>
          <w:i/>
          <w:sz w:val="28"/>
          <w:szCs w:val="28"/>
        </w:rPr>
        <w:tab/>
      </w:r>
      <w:r w:rsidRPr="00F919A7">
        <w:rPr>
          <w:i/>
          <w:sz w:val="28"/>
          <w:szCs w:val="28"/>
        </w:rPr>
        <w:tab/>
        <w:t>i</w:t>
      </w:r>
      <w:r w:rsidRPr="00F919A7">
        <w:rPr>
          <w:i/>
          <w:sz w:val="28"/>
          <w:szCs w:val="28"/>
        </w:rPr>
        <w:tab/>
      </w:r>
      <w:r w:rsidRPr="00F919A7">
        <w:rPr>
          <w:sz w:val="28"/>
          <w:szCs w:val="28"/>
        </w:rPr>
        <w:t>– elementa inerces rādiuss;</w:t>
      </w:r>
    </w:p>
    <w:p w14:paraId="4C4C27D0" w14:textId="6216685B" w:rsidR="00F919A7" w:rsidRPr="00F919A7" w:rsidRDefault="001014CD" w:rsidP="006D605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F919A7">
        <w:rPr>
          <w:sz w:val="28"/>
          <w:szCs w:val="28"/>
        </w:rPr>
        <w:t>.1.</w:t>
      </w:r>
      <w:r w:rsidR="006D6052">
        <w:rPr>
          <w:sz w:val="28"/>
          <w:szCs w:val="28"/>
        </w:rPr>
        <w:t> s</w:t>
      </w:r>
      <w:r w:rsidR="00F919A7" w:rsidRPr="00F919A7">
        <w:rPr>
          <w:sz w:val="28"/>
          <w:szCs w:val="28"/>
        </w:rPr>
        <w:t xml:space="preserve">piestu tērauda </w:t>
      </w:r>
      <w:r w:rsidR="00DE67CF">
        <w:rPr>
          <w:sz w:val="28"/>
          <w:szCs w:val="28"/>
        </w:rPr>
        <w:t>būv</w:t>
      </w:r>
      <w:r w:rsidR="00F919A7" w:rsidRPr="00F919A7">
        <w:rPr>
          <w:sz w:val="28"/>
          <w:szCs w:val="28"/>
        </w:rPr>
        <w:t xml:space="preserve">konstrukciju elementu lokanums nedrīkst pārsniegt </w:t>
      </w:r>
      <w:r w:rsidR="00AF1A6A">
        <w:rPr>
          <w:sz w:val="28"/>
          <w:szCs w:val="28"/>
        </w:rPr>
        <w:t>2</w:t>
      </w:r>
      <w:r w:rsidR="00F919A7" w:rsidRPr="00F919A7">
        <w:rPr>
          <w:sz w:val="28"/>
          <w:szCs w:val="28"/>
        </w:rPr>
        <w:t>.</w:t>
      </w:r>
      <w:r w:rsidR="006D6052">
        <w:rPr>
          <w:sz w:val="28"/>
          <w:szCs w:val="28"/>
        </w:rPr>
        <w:t> </w:t>
      </w:r>
      <w:r w:rsidR="00F919A7" w:rsidRPr="00F919A7">
        <w:rPr>
          <w:sz w:val="28"/>
          <w:szCs w:val="28"/>
        </w:rPr>
        <w:t>tabulā norādītās vērtības</w:t>
      </w:r>
      <w:r w:rsidR="006D6052">
        <w:rPr>
          <w:sz w:val="28"/>
          <w:szCs w:val="28"/>
        </w:rPr>
        <w:t>;</w:t>
      </w:r>
    </w:p>
    <w:p w14:paraId="4C4C27D1" w14:textId="45E87CA9" w:rsidR="00F919A7" w:rsidRPr="00F919A7" w:rsidRDefault="001014CD" w:rsidP="006D605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919A7">
        <w:rPr>
          <w:sz w:val="28"/>
          <w:szCs w:val="28"/>
        </w:rPr>
        <w:t>.2.</w:t>
      </w:r>
      <w:r w:rsidR="006D6052">
        <w:rPr>
          <w:sz w:val="28"/>
          <w:szCs w:val="28"/>
        </w:rPr>
        <w:t> s</w:t>
      </w:r>
      <w:r w:rsidR="00F919A7" w:rsidRPr="00F919A7">
        <w:rPr>
          <w:sz w:val="28"/>
          <w:szCs w:val="28"/>
        </w:rPr>
        <w:t xml:space="preserve">tieptu tērauda </w:t>
      </w:r>
      <w:r w:rsidR="00DE67CF">
        <w:rPr>
          <w:sz w:val="28"/>
          <w:szCs w:val="28"/>
        </w:rPr>
        <w:t>būv</w:t>
      </w:r>
      <w:r w:rsidR="00F919A7" w:rsidRPr="00F919A7">
        <w:rPr>
          <w:sz w:val="28"/>
          <w:szCs w:val="28"/>
        </w:rPr>
        <w:t xml:space="preserve">konstrukciju elementu lokanums nedrīkst pārsniegt </w:t>
      </w:r>
      <w:r w:rsidR="00AF1A6A">
        <w:rPr>
          <w:sz w:val="28"/>
          <w:szCs w:val="28"/>
        </w:rPr>
        <w:t>3</w:t>
      </w:r>
      <w:r w:rsidR="00F919A7" w:rsidRPr="00F919A7">
        <w:rPr>
          <w:sz w:val="28"/>
          <w:szCs w:val="28"/>
        </w:rPr>
        <w:t>.</w:t>
      </w:r>
      <w:r w:rsidR="006D6052">
        <w:rPr>
          <w:sz w:val="28"/>
          <w:szCs w:val="28"/>
        </w:rPr>
        <w:t> </w:t>
      </w:r>
      <w:r w:rsidR="00F919A7" w:rsidRPr="00F919A7">
        <w:rPr>
          <w:sz w:val="28"/>
          <w:szCs w:val="28"/>
        </w:rPr>
        <w:t>tabulā norādītās vērtības</w:t>
      </w:r>
      <w:r w:rsidR="006D6052">
        <w:rPr>
          <w:sz w:val="28"/>
          <w:szCs w:val="28"/>
        </w:rPr>
        <w:t>;</w:t>
      </w:r>
    </w:p>
    <w:p w14:paraId="4C4C27D2" w14:textId="4177BEA0" w:rsidR="00F919A7" w:rsidRPr="00AF1A6A" w:rsidRDefault="001014CD" w:rsidP="006D60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052">
        <w:rPr>
          <w:sz w:val="28"/>
          <w:szCs w:val="28"/>
        </w:rPr>
        <w:t>.3. e</w:t>
      </w:r>
      <w:r w:rsidR="00DB7363">
        <w:rPr>
          <w:sz w:val="28"/>
          <w:szCs w:val="28"/>
        </w:rPr>
        <w:t>lementa lokanumu aprēķina</w:t>
      </w:r>
      <w:r w:rsidR="00F919A7" w:rsidRPr="00AF1A6A">
        <w:rPr>
          <w:sz w:val="28"/>
          <w:szCs w:val="28"/>
        </w:rPr>
        <w:t>, ņemot vērā elementa aprēķina garumu, ko nosaka atbilstoši specifiskas tehniskās literatūras norādēm,</w:t>
      </w:r>
      <w:r w:rsidR="009C73A1">
        <w:rPr>
          <w:sz w:val="28"/>
          <w:szCs w:val="28"/>
        </w:rPr>
        <w:t xml:space="preserve"> kas nav pretrunā ar </w:t>
      </w:r>
      <w:proofErr w:type="spellStart"/>
      <w:r w:rsidR="009C73A1">
        <w:rPr>
          <w:sz w:val="28"/>
          <w:szCs w:val="28"/>
        </w:rPr>
        <w:t>Eirokodeksa</w:t>
      </w:r>
      <w:proofErr w:type="spellEnd"/>
      <w:r w:rsidR="00F919A7" w:rsidRPr="00AF1A6A">
        <w:rPr>
          <w:sz w:val="28"/>
          <w:szCs w:val="28"/>
        </w:rPr>
        <w:t xml:space="preserve"> prasībām.</w:t>
      </w:r>
    </w:p>
    <w:p w14:paraId="4C4C27D3" w14:textId="77777777" w:rsidR="00F919A7" w:rsidRPr="00DB7363" w:rsidRDefault="00F919A7" w:rsidP="00D24DF5">
      <w:pPr>
        <w:tabs>
          <w:tab w:val="left" w:pos="993"/>
        </w:tabs>
        <w:rPr>
          <w:sz w:val="24"/>
        </w:rPr>
      </w:pPr>
    </w:p>
    <w:p w14:paraId="4C4C27D4" w14:textId="2F59AB8F" w:rsidR="00F919A7" w:rsidRPr="00D24DF5" w:rsidRDefault="00AF1A6A" w:rsidP="00D24DF5">
      <w:pPr>
        <w:tabs>
          <w:tab w:val="left" w:pos="993"/>
          <w:tab w:val="left" w:pos="6840"/>
          <w:tab w:val="right" w:pos="9000"/>
        </w:tabs>
        <w:ind w:left="720"/>
        <w:contextualSpacing/>
        <w:jc w:val="right"/>
        <w:rPr>
          <w:sz w:val="28"/>
          <w:szCs w:val="28"/>
        </w:rPr>
      </w:pPr>
      <w:r w:rsidRPr="00D24DF5">
        <w:rPr>
          <w:sz w:val="28"/>
          <w:szCs w:val="28"/>
        </w:rPr>
        <w:t>2</w:t>
      </w:r>
      <w:r w:rsidR="00F919A7" w:rsidRPr="00D24DF5">
        <w:rPr>
          <w:sz w:val="28"/>
          <w:szCs w:val="28"/>
        </w:rPr>
        <w:t>.</w:t>
      </w:r>
      <w:r w:rsidR="00D24DF5">
        <w:rPr>
          <w:sz w:val="28"/>
          <w:szCs w:val="28"/>
        </w:rPr>
        <w:t> </w:t>
      </w:r>
      <w:r w:rsidR="00F919A7" w:rsidRPr="00D24DF5">
        <w:rPr>
          <w:sz w:val="28"/>
          <w:szCs w:val="28"/>
        </w:rPr>
        <w:t>tabula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1937"/>
      </w:tblGrid>
      <w:tr w:rsidR="00F919A7" w:rsidRPr="00F919A7" w14:paraId="4C4C27D8" w14:textId="77777777" w:rsidTr="00F52EE5">
        <w:trPr>
          <w:tblHeader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27D5" w14:textId="040E5AD7" w:rsidR="00F919A7" w:rsidRPr="00F919A7" w:rsidRDefault="00DE67CF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Būvk</w:t>
            </w:r>
            <w:r w:rsidR="00F919A7" w:rsidRPr="00F919A7">
              <w:rPr>
                <w:rFonts w:cstheme="minorHAnsi"/>
                <w:sz w:val="20"/>
                <w:szCs w:val="20"/>
                <w:lang w:eastAsia="en-GB"/>
              </w:rPr>
              <w:t>onstrukciju elementi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27D6" w14:textId="77777777" w:rsidR="00F919A7" w:rsidRPr="00F919A7" w:rsidRDefault="00F919A7" w:rsidP="00D24DF5">
            <w:pPr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t xml:space="preserve">Spiestu elementu </w:t>
            </w:r>
            <w:proofErr w:type="spellStart"/>
            <w:r w:rsidRPr="00F919A7">
              <w:rPr>
                <w:rFonts w:cstheme="minorHAnsi"/>
                <w:sz w:val="20"/>
                <w:szCs w:val="20"/>
                <w:lang w:eastAsia="en-GB"/>
              </w:rPr>
              <w:t>robežlokanums</w:t>
            </w:r>
            <w:proofErr w:type="spellEnd"/>
          </w:p>
          <w:p w14:paraId="4C4C27D7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sym w:font="Symbol" w:char="F06C"/>
            </w:r>
            <w:r w:rsidRPr="00F919A7">
              <w:rPr>
                <w:rFonts w:cstheme="minorHAnsi"/>
                <w:sz w:val="20"/>
                <w:szCs w:val="20"/>
                <w:vertAlign w:val="subscript"/>
                <w:lang w:eastAsia="en-GB"/>
              </w:rPr>
              <w:t>u</w:t>
            </w:r>
          </w:p>
        </w:tc>
      </w:tr>
      <w:tr w:rsidR="00F919A7" w:rsidRPr="00F919A7" w14:paraId="4C4C27DB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D9" w14:textId="77777777" w:rsidR="00F919A7" w:rsidRPr="00DE67CF" w:rsidRDefault="00F919A7" w:rsidP="00D24DF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E67CF">
              <w:rPr>
                <w:rFonts w:cstheme="minorHAnsi"/>
                <w:sz w:val="20"/>
                <w:szCs w:val="20"/>
                <w:lang w:eastAsia="en-GB"/>
              </w:rPr>
              <w:t>1.</w:t>
            </w:r>
            <w:r w:rsidRPr="00DE67CF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Plaknisku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kopņu un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struktūrkonstrukciju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joslas un balsta reakciju pārvadoši atgāžņi un stati no caurulēm un pāra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leņķprofiliem</w:t>
            </w:r>
            <w:proofErr w:type="spellEnd"/>
            <w:r w:rsidRPr="00DE67CF">
              <w:rPr>
                <w:rFonts w:cstheme="minorHAns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DA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19A7" w:rsidRPr="00F919A7" w14:paraId="4C4C27DE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DC" w14:textId="0EE1A44E" w:rsidR="00F919A7" w:rsidRPr="00F919A7" w:rsidRDefault="00F919A7" w:rsidP="00D24DF5">
            <w:pPr>
              <w:ind w:left="284"/>
              <w:rPr>
                <w:rFonts w:cstheme="minorHAnsi"/>
                <w:b/>
                <w:bCs/>
                <w:sz w:val="20"/>
                <w:szCs w:val="20"/>
                <w:lang w:val="ru-RU"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 xml:space="preserve">а) 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augstumā līdz 50</w:t>
            </w:r>
            <w:r w:rsidR="002C2576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m;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DD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1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F919A7" w:rsidRPr="00F919A7" w14:paraId="4C4C27E1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DF" w14:textId="0168EAC7" w:rsidR="00F919A7" w:rsidRPr="00F919A7" w:rsidRDefault="00F919A7" w:rsidP="00D24DF5">
            <w:pPr>
              <w:ind w:left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b</w:t>
            </w: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 xml:space="preserve">) 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augstumā virs 50</w:t>
            </w:r>
            <w:r w:rsidR="002C2576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0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120</w:t>
            </w:r>
          </w:p>
        </w:tc>
      </w:tr>
      <w:tr w:rsidR="00F919A7" w:rsidRPr="00F919A7" w14:paraId="4C4C27E4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2" w14:textId="046329C6" w:rsidR="00F919A7" w:rsidRPr="00DB7363" w:rsidRDefault="00DB7363" w:rsidP="00DB7363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2. </w:t>
            </w: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 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1. </w:t>
            </w: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</w:t>
            </w:r>
            <w:r w:rsidR="00F919A7"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unktā neminētie: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3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19A7" w:rsidRPr="00F919A7" w14:paraId="4C4C27E7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5" w14:textId="77777777" w:rsidR="00F919A7" w:rsidRPr="00F919A7" w:rsidRDefault="00F919A7" w:rsidP="00D24DF5">
            <w:pPr>
              <w:ind w:left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а)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plaknisku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kopņu un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struktūrkonstrukciju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elementi no caurulēm un pāra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leņķprofiliem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6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t>180</w:t>
            </w:r>
          </w:p>
        </w:tc>
      </w:tr>
      <w:tr w:rsidR="00F919A7" w:rsidRPr="00F919A7" w14:paraId="4C4C27EA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8" w14:textId="77777777" w:rsidR="00F919A7" w:rsidRPr="00F919A7" w:rsidRDefault="00F919A7" w:rsidP="00D24DF5">
            <w:pPr>
              <w:ind w:left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b</w:t>
            </w: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struktūrkonstrukciju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elementi no viena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leņķprofila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, kas piestiprināts ar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skrūvsavienojumu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9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F919A7" w:rsidRPr="00F919A7" w14:paraId="4C4C27ED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B" w14:textId="77777777" w:rsidR="00F919A7" w:rsidRPr="00F919A7" w:rsidRDefault="00F919A7" w:rsidP="00D24DF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 xml:space="preserve">. 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Galvenās kolonnas.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C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1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F919A7" w:rsidRPr="00F919A7" w14:paraId="4C4C27F0" w14:textId="77777777" w:rsidTr="00F52EE5">
        <w:tc>
          <w:tcPr>
            <w:tcW w:w="39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E" w14:textId="4C23D516" w:rsidR="00F919A7" w:rsidRPr="00F919A7" w:rsidRDefault="00F919A7" w:rsidP="00DB7363">
            <w:pPr>
              <w:ind w:left="284" w:hanging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DE67CF">
              <w:rPr>
                <w:rFonts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Palīgkolonnas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(sienu karkasa un virsgaismas </w:t>
            </w:r>
            <w:r w:rsidR="00DE67CF">
              <w:rPr>
                <w:rFonts w:cstheme="minorHAnsi"/>
                <w:color w:val="000000"/>
                <w:sz w:val="20"/>
                <w:szCs w:val="20"/>
                <w:lang w:eastAsia="en-GB"/>
              </w:rPr>
              <w:t>būv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konstrukciju statņi un t</w:t>
            </w:r>
            <w:r w:rsid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a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ml</w:t>
            </w:r>
            <w:r w:rsid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īdzīgi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), kolonnu režģa elementi, kolonnu vertikālo saišu elementi (zem celtņu ceļa sijām).</w:t>
            </w:r>
          </w:p>
        </w:tc>
        <w:tc>
          <w:tcPr>
            <w:tcW w:w="10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EF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</w:tr>
      <w:tr w:rsidR="00F919A7" w:rsidRPr="00F919A7" w14:paraId="4C4C27F3" w14:textId="77777777" w:rsidTr="00F52EE5">
        <w:tc>
          <w:tcPr>
            <w:tcW w:w="3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F1" w14:textId="4FDB6504" w:rsidR="00F919A7" w:rsidRPr="00F919A7" w:rsidRDefault="00F919A7" w:rsidP="00DB7363">
            <w:pPr>
              <w:ind w:left="284" w:hanging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5</w:t>
            </w:r>
            <w:r w:rsid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.  </w:t>
            </w:r>
            <w:r w:rsidR="00DB7363"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unktā nenorādītie saišu elementi, kā arī stieņi, kuri samazina spiesto stieņu aprēķina garumu, un citi nenoslogoti elementi</w:t>
            </w:r>
            <w:r w:rsid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F2" w14:textId="77777777" w:rsidR="00F919A7" w:rsidRPr="00DB7363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</w:tbl>
    <w:p w14:paraId="4C4C27F5" w14:textId="77777777" w:rsidR="00F919A7" w:rsidRPr="00DB7363" w:rsidRDefault="00F919A7" w:rsidP="00DB7363">
      <w:pPr>
        <w:tabs>
          <w:tab w:val="left" w:pos="993"/>
          <w:tab w:val="left" w:pos="6840"/>
          <w:tab w:val="right" w:pos="9000"/>
        </w:tabs>
        <w:contextualSpacing/>
        <w:rPr>
          <w:sz w:val="24"/>
        </w:rPr>
      </w:pPr>
    </w:p>
    <w:p w14:paraId="4C4C27F6" w14:textId="1E1746A5" w:rsidR="00F919A7" w:rsidRPr="00D24DF5" w:rsidRDefault="00AF1A6A" w:rsidP="00D24DF5">
      <w:pPr>
        <w:tabs>
          <w:tab w:val="left" w:pos="993"/>
          <w:tab w:val="left" w:pos="6840"/>
          <w:tab w:val="right" w:pos="9000"/>
        </w:tabs>
        <w:ind w:left="720"/>
        <w:contextualSpacing/>
        <w:jc w:val="right"/>
        <w:rPr>
          <w:sz w:val="28"/>
          <w:szCs w:val="28"/>
        </w:rPr>
      </w:pPr>
      <w:r w:rsidRPr="00D24DF5">
        <w:rPr>
          <w:sz w:val="28"/>
          <w:szCs w:val="28"/>
        </w:rPr>
        <w:t>3</w:t>
      </w:r>
      <w:r w:rsidR="00F919A7" w:rsidRPr="00D24DF5">
        <w:rPr>
          <w:sz w:val="28"/>
          <w:szCs w:val="28"/>
        </w:rPr>
        <w:t>.</w:t>
      </w:r>
      <w:r w:rsidR="00D24DF5">
        <w:rPr>
          <w:sz w:val="28"/>
          <w:szCs w:val="28"/>
        </w:rPr>
        <w:t> </w:t>
      </w:r>
      <w:r w:rsidR="00F919A7" w:rsidRPr="00D24DF5">
        <w:rPr>
          <w:sz w:val="28"/>
          <w:szCs w:val="28"/>
        </w:rPr>
        <w:t>tabula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1924"/>
        <w:gridCol w:w="1952"/>
      </w:tblGrid>
      <w:tr w:rsidR="00F919A7" w:rsidRPr="00F919A7" w14:paraId="4C4C27FA" w14:textId="77777777" w:rsidTr="00F52EE5">
        <w:trPr>
          <w:tblHeader/>
        </w:trPr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27F7" w14:textId="2CDB6D89" w:rsidR="00F919A7" w:rsidRPr="00F919A7" w:rsidRDefault="00DE67CF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Būvk</w:t>
            </w:r>
            <w:r w:rsidR="00F919A7" w:rsidRPr="00F919A7">
              <w:rPr>
                <w:rFonts w:cstheme="minorHAnsi"/>
                <w:sz w:val="20"/>
                <w:szCs w:val="20"/>
                <w:lang w:eastAsia="en-GB"/>
              </w:rPr>
              <w:t>onstrukciju elementi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27F8" w14:textId="77777777" w:rsidR="00F919A7" w:rsidRPr="00F919A7" w:rsidRDefault="00F919A7" w:rsidP="00D24DF5">
            <w:pPr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t xml:space="preserve">Stieptu elementu </w:t>
            </w:r>
            <w:proofErr w:type="spellStart"/>
            <w:r w:rsidRPr="00F919A7">
              <w:rPr>
                <w:rFonts w:cstheme="minorHAnsi"/>
                <w:sz w:val="20"/>
                <w:szCs w:val="20"/>
                <w:lang w:eastAsia="en-GB"/>
              </w:rPr>
              <w:t>robežlokanums</w:t>
            </w:r>
            <w:proofErr w:type="spellEnd"/>
          </w:p>
          <w:p w14:paraId="4C4C27F9" w14:textId="70AEFAEB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sym w:font="Symbol" w:char="F06C"/>
            </w:r>
            <w:r w:rsidRPr="00F919A7">
              <w:rPr>
                <w:rFonts w:cstheme="minorHAnsi"/>
                <w:sz w:val="20"/>
                <w:szCs w:val="20"/>
                <w:vertAlign w:val="subscript"/>
                <w:lang w:eastAsia="en-GB"/>
              </w:rPr>
              <w:t>u</w:t>
            </w:r>
            <w:r w:rsidRPr="00F919A7">
              <w:rPr>
                <w:rFonts w:cstheme="minorHAnsi"/>
                <w:sz w:val="20"/>
                <w:szCs w:val="20"/>
                <w:lang w:eastAsia="en-GB"/>
              </w:rPr>
              <w:t xml:space="preserve">, ja uz </w:t>
            </w:r>
            <w:r w:rsidR="00DE67CF">
              <w:rPr>
                <w:rFonts w:cstheme="minorHAnsi"/>
                <w:sz w:val="20"/>
                <w:szCs w:val="20"/>
                <w:lang w:eastAsia="en-GB"/>
              </w:rPr>
              <w:t>būv</w:t>
            </w:r>
            <w:r w:rsidRPr="00F919A7">
              <w:rPr>
                <w:rFonts w:cstheme="minorHAnsi"/>
                <w:sz w:val="20"/>
                <w:szCs w:val="20"/>
                <w:lang w:eastAsia="en-GB"/>
              </w:rPr>
              <w:t>konstrukciju darbojas</w:t>
            </w:r>
          </w:p>
        </w:tc>
      </w:tr>
      <w:tr w:rsidR="00F919A7" w:rsidRPr="00F919A7" w14:paraId="4C4C27FE" w14:textId="77777777" w:rsidTr="00F52EE5">
        <w:trPr>
          <w:tblHeader/>
        </w:trPr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C27FB" w14:textId="77777777" w:rsidR="00F919A7" w:rsidRPr="00DB7363" w:rsidRDefault="00F919A7" w:rsidP="00D24DF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27FC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t>dinamiska slodze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C27FD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sz w:val="20"/>
                <w:szCs w:val="20"/>
                <w:lang w:eastAsia="en-GB"/>
              </w:rPr>
              <w:t>statiska slodze</w:t>
            </w:r>
          </w:p>
        </w:tc>
      </w:tr>
      <w:tr w:rsidR="00F919A7" w:rsidRPr="00F919A7" w14:paraId="4C4C2802" w14:textId="77777777" w:rsidTr="00F52EE5">
        <w:tc>
          <w:tcPr>
            <w:tcW w:w="2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7FF" w14:textId="77777777" w:rsidR="00F919A7" w:rsidRPr="00F919A7" w:rsidRDefault="00F919A7" w:rsidP="00D24DF5">
            <w:pPr>
              <w:ind w:left="284" w:hanging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E67CF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Plaknisku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kopņu un </w:t>
            </w:r>
            <w:proofErr w:type="spellStart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struktūrkonstrukciju</w:t>
            </w:r>
            <w:proofErr w:type="spellEnd"/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joslas un balsta atgāžņi.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0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250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1" w14:textId="77777777" w:rsidR="00F919A7" w:rsidRPr="00F919A7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val="ru-RU" w:eastAsia="en-GB"/>
              </w:rPr>
              <w:t>400</w:t>
            </w:r>
          </w:p>
        </w:tc>
      </w:tr>
      <w:tr w:rsidR="00F919A7" w:rsidRPr="00F919A7" w14:paraId="4C4C2806" w14:textId="77777777" w:rsidTr="00F52EE5">
        <w:tc>
          <w:tcPr>
            <w:tcW w:w="2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3" w14:textId="1CBA9473" w:rsidR="00F919A7" w:rsidRPr="00DB7363" w:rsidRDefault="00DB7363" w:rsidP="00DB7363">
            <w:pPr>
              <w:ind w:left="284" w:hanging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2. </w:t>
            </w: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 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1. </w:t>
            </w: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p</w:t>
            </w:r>
            <w:r w:rsidR="00F919A7"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unktā neminētie kopņu un </w:t>
            </w:r>
            <w:proofErr w:type="spellStart"/>
            <w:r w:rsidR="00F919A7"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struktūrkonstrukciju</w:t>
            </w:r>
            <w:proofErr w:type="spellEnd"/>
            <w:r w:rsidR="00F919A7"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elementi.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4" w14:textId="77777777" w:rsidR="00F919A7" w:rsidRPr="00DB7363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5" w14:textId="77777777" w:rsidR="00F919A7" w:rsidRPr="00DB7363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400</w:t>
            </w:r>
          </w:p>
        </w:tc>
      </w:tr>
      <w:tr w:rsidR="00F919A7" w:rsidRPr="00F919A7" w14:paraId="4C4C280A" w14:textId="77777777" w:rsidTr="002C2576"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7" w14:textId="1F77BEB2" w:rsidR="00F919A7" w:rsidRPr="00DB7363" w:rsidRDefault="00F919A7" w:rsidP="00D24DF5">
            <w:pPr>
              <w:ind w:left="284" w:hanging="284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Kolonnu vertikālo saišu elementi</w:t>
            </w: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919A7">
              <w:rPr>
                <w:rFonts w:cstheme="minorHAnsi"/>
                <w:color w:val="000000"/>
                <w:sz w:val="20"/>
                <w:szCs w:val="20"/>
                <w:lang w:eastAsia="en-GB"/>
              </w:rPr>
              <w:t>zem celtņu ceļa sijām</w:t>
            </w: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)</w:t>
            </w:r>
            <w:r w:rsid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8" w14:textId="77777777" w:rsidR="00F919A7" w:rsidRPr="00DB7363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C2809" w14:textId="77777777" w:rsidR="00F919A7" w:rsidRPr="00DB7363" w:rsidRDefault="00F919A7" w:rsidP="00D24DF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DB7363">
              <w:rPr>
                <w:rFonts w:cstheme="minorHAns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</w:tbl>
    <w:p w14:paraId="4C4C2811" w14:textId="77777777" w:rsidR="0033219A" w:rsidRPr="002C2576" w:rsidRDefault="0033219A" w:rsidP="00D24DF5">
      <w:pPr>
        <w:tabs>
          <w:tab w:val="left" w:pos="993"/>
        </w:tabs>
        <w:jc w:val="center"/>
        <w:rPr>
          <w:sz w:val="16"/>
          <w:szCs w:val="16"/>
        </w:rPr>
      </w:pPr>
    </w:p>
    <w:p w14:paraId="4C4C2812" w14:textId="77777777" w:rsidR="00F919A7" w:rsidRPr="00D24DF5" w:rsidRDefault="00F919A7" w:rsidP="00D24DF5">
      <w:pPr>
        <w:tabs>
          <w:tab w:val="left" w:pos="567"/>
        </w:tabs>
        <w:ind w:firstLine="709"/>
        <w:jc w:val="both"/>
        <w:rPr>
          <w:sz w:val="24"/>
          <w:szCs w:val="28"/>
        </w:rPr>
      </w:pPr>
      <w:r w:rsidRPr="00D24DF5">
        <w:rPr>
          <w:sz w:val="24"/>
          <w:szCs w:val="28"/>
        </w:rPr>
        <w:t>Piezīmes:</w:t>
      </w:r>
    </w:p>
    <w:p w14:paraId="4C4C2813" w14:textId="7B75A742" w:rsidR="00F919A7" w:rsidRPr="00D24DF5" w:rsidRDefault="00F919A7" w:rsidP="00D24DF5">
      <w:pPr>
        <w:tabs>
          <w:tab w:val="left" w:pos="567"/>
        </w:tabs>
        <w:ind w:firstLine="709"/>
        <w:jc w:val="both"/>
        <w:rPr>
          <w:sz w:val="24"/>
          <w:szCs w:val="28"/>
        </w:rPr>
      </w:pPr>
      <w:r w:rsidRPr="00D24DF5">
        <w:rPr>
          <w:sz w:val="24"/>
          <w:szCs w:val="28"/>
        </w:rPr>
        <w:t>1. Ja būves netiek dinamiski slo</w:t>
      </w:r>
      <w:r w:rsidR="00DB7363">
        <w:rPr>
          <w:sz w:val="24"/>
          <w:szCs w:val="28"/>
        </w:rPr>
        <w:t>gotas, stieptu elementu lokanums</w:t>
      </w:r>
      <w:r w:rsidRPr="00D24DF5">
        <w:rPr>
          <w:sz w:val="24"/>
          <w:szCs w:val="28"/>
        </w:rPr>
        <w:t xml:space="preserve"> jāpārbauda tikai vertikālā plaknē.</w:t>
      </w:r>
    </w:p>
    <w:p w14:paraId="4C4C2814" w14:textId="77777777" w:rsidR="00F919A7" w:rsidRPr="00D24DF5" w:rsidRDefault="00F919A7" w:rsidP="00D24DF5">
      <w:pPr>
        <w:tabs>
          <w:tab w:val="left" w:pos="567"/>
        </w:tabs>
        <w:ind w:firstLine="709"/>
        <w:jc w:val="both"/>
        <w:rPr>
          <w:sz w:val="24"/>
          <w:szCs w:val="28"/>
        </w:rPr>
      </w:pPr>
      <w:r w:rsidRPr="00D24DF5">
        <w:rPr>
          <w:sz w:val="24"/>
          <w:szCs w:val="28"/>
        </w:rPr>
        <w:t>2. Iepriekš saspriegtu stieptu elementu lokanums netiek ierobežots.</w:t>
      </w:r>
    </w:p>
    <w:p w14:paraId="4C4C2815" w14:textId="3F10DED0" w:rsidR="00F919A7" w:rsidRPr="00D24DF5" w:rsidRDefault="00F919A7" w:rsidP="00D24DF5">
      <w:pPr>
        <w:tabs>
          <w:tab w:val="left" w:pos="567"/>
        </w:tabs>
        <w:ind w:firstLine="709"/>
        <w:jc w:val="both"/>
        <w:rPr>
          <w:sz w:val="24"/>
          <w:szCs w:val="28"/>
        </w:rPr>
      </w:pPr>
      <w:r w:rsidRPr="00D24DF5">
        <w:rPr>
          <w:sz w:val="24"/>
          <w:szCs w:val="28"/>
        </w:rPr>
        <w:t xml:space="preserve">3. Ja slodzes nelabvēlīgas novietošanas iekšējo spēku zīme var mainīties, </w:t>
      </w:r>
      <w:proofErr w:type="spellStart"/>
      <w:r w:rsidRPr="00D24DF5">
        <w:rPr>
          <w:sz w:val="24"/>
          <w:szCs w:val="28"/>
        </w:rPr>
        <w:t>robežlokanums</w:t>
      </w:r>
      <w:proofErr w:type="spellEnd"/>
      <w:r w:rsidRPr="00D24DF5">
        <w:rPr>
          <w:sz w:val="24"/>
          <w:szCs w:val="28"/>
        </w:rPr>
        <w:t xml:space="preserve"> stieptiem elementiem jā</w:t>
      </w:r>
      <w:r w:rsidR="00DB7363">
        <w:rPr>
          <w:sz w:val="24"/>
          <w:szCs w:val="28"/>
        </w:rPr>
        <w:t>nosaka</w:t>
      </w:r>
      <w:r w:rsidRPr="00D24DF5">
        <w:rPr>
          <w:sz w:val="24"/>
          <w:szCs w:val="28"/>
        </w:rPr>
        <w:t xml:space="preserve"> tāpat kā spiestiem elementiem.</w:t>
      </w:r>
    </w:p>
    <w:p w14:paraId="4C4C2816" w14:textId="4DDCCB27" w:rsidR="00F919A7" w:rsidRPr="00D24DF5" w:rsidRDefault="00F919A7" w:rsidP="00D24DF5">
      <w:pPr>
        <w:tabs>
          <w:tab w:val="left" w:pos="567"/>
        </w:tabs>
        <w:ind w:firstLine="709"/>
        <w:jc w:val="both"/>
        <w:rPr>
          <w:sz w:val="24"/>
          <w:szCs w:val="28"/>
        </w:rPr>
      </w:pPr>
      <w:r w:rsidRPr="00D24DF5">
        <w:rPr>
          <w:sz w:val="24"/>
          <w:szCs w:val="28"/>
        </w:rPr>
        <w:t xml:space="preserve">4. Par tieši pieliktām dinamiskajām slodzēm uzskata slodzes, pēc kurām aprēķina </w:t>
      </w:r>
      <w:r w:rsidR="00DE67CF" w:rsidRPr="00D24DF5">
        <w:rPr>
          <w:sz w:val="24"/>
          <w:szCs w:val="28"/>
        </w:rPr>
        <w:t>būv</w:t>
      </w:r>
      <w:r w:rsidRPr="00D24DF5">
        <w:rPr>
          <w:sz w:val="24"/>
          <w:szCs w:val="28"/>
        </w:rPr>
        <w:t>konstrukcijas elementu izturību, kā arī slodzes, kuru aprēķina vērtību nosaka, lietojot dinamiskuma koeficientu.</w:t>
      </w:r>
    </w:p>
    <w:p w14:paraId="4C4C2817" w14:textId="77777777" w:rsidR="0035543A" w:rsidRPr="00D24DF5" w:rsidRDefault="0035543A" w:rsidP="00D24DF5">
      <w:pPr>
        <w:tabs>
          <w:tab w:val="left" w:pos="567"/>
        </w:tabs>
        <w:ind w:firstLine="709"/>
        <w:jc w:val="both"/>
        <w:rPr>
          <w:sz w:val="24"/>
          <w:szCs w:val="28"/>
        </w:rPr>
      </w:pPr>
    </w:p>
    <w:p w14:paraId="4C4C2818" w14:textId="0FA87CA3" w:rsidR="00F919A7" w:rsidRDefault="00F919A7" w:rsidP="00D24D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9A7">
        <w:rPr>
          <w:sz w:val="28"/>
          <w:szCs w:val="28"/>
        </w:rPr>
        <w:t>Atkāpes no šīm prasībām pieļaujamas</w:t>
      </w:r>
      <w:r w:rsidR="00DB7363">
        <w:rPr>
          <w:sz w:val="28"/>
          <w:szCs w:val="28"/>
        </w:rPr>
        <w:t>,</w:t>
      </w:r>
      <w:r w:rsidRPr="00F919A7">
        <w:rPr>
          <w:sz w:val="28"/>
          <w:szCs w:val="28"/>
        </w:rPr>
        <w:t xml:space="preserve"> tikai pamatojoties uz </w:t>
      </w:r>
      <w:r w:rsidR="00DB7363">
        <w:rPr>
          <w:sz w:val="28"/>
          <w:szCs w:val="28"/>
        </w:rPr>
        <w:t>detalizētu</w:t>
      </w:r>
      <w:r w:rsidR="00DB7363" w:rsidRPr="00F919A7">
        <w:rPr>
          <w:sz w:val="28"/>
          <w:szCs w:val="28"/>
        </w:rPr>
        <w:t xml:space="preserve"> iz</w:t>
      </w:r>
      <w:r w:rsidR="00DB7363">
        <w:rPr>
          <w:sz w:val="28"/>
          <w:szCs w:val="28"/>
        </w:rPr>
        <w:t>gatavošanas un montāžas projektu, kas</w:t>
      </w:r>
      <w:r w:rsidR="00DB7363" w:rsidRPr="00F919A7">
        <w:rPr>
          <w:sz w:val="28"/>
          <w:szCs w:val="28"/>
        </w:rPr>
        <w:t xml:space="preserve"> </w:t>
      </w:r>
      <w:r w:rsidR="00DB7363">
        <w:rPr>
          <w:sz w:val="28"/>
          <w:szCs w:val="28"/>
        </w:rPr>
        <w:t>pamatots</w:t>
      </w:r>
      <w:r w:rsidR="00DB7363" w:rsidRPr="00F919A7">
        <w:rPr>
          <w:sz w:val="28"/>
          <w:szCs w:val="28"/>
        </w:rPr>
        <w:t xml:space="preserve"> </w:t>
      </w:r>
      <w:r w:rsidR="00DB7363">
        <w:rPr>
          <w:sz w:val="28"/>
          <w:szCs w:val="28"/>
        </w:rPr>
        <w:t>ar aprēķiniem, paredzot attiecīgas papildu</w:t>
      </w:r>
      <w:r w:rsidRPr="00F919A7">
        <w:rPr>
          <w:sz w:val="28"/>
          <w:szCs w:val="28"/>
        </w:rPr>
        <w:t xml:space="preserve"> pr</w:t>
      </w:r>
      <w:r w:rsidR="00DB7363">
        <w:rPr>
          <w:sz w:val="28"/>
          <w:szCs w:val="28"/>
        </w:rPr>
        <w:t>asības gan pielaidēm, gan</w:t>
      </w:r>
      <w:r w:rsidRPr="00F919A7">
        <w:rPr>
          <w:sz w:val="28"/>
          <w:szCs w:val="28"/>
        </w:rPr>
        <w:t xml:space="preserve"> to kontrolei. Šīs prasības neattiecas uz vanšu elementiem </w:t>
      </w:r>
      <w:r w:rsidR="00DE67CF">
        <w:rPr>
          <w:sz w:val="28"/>
          <w:szCs w:val="28"/>
        </w:rPr>
        <w:t>būv</w:t>
      </w:r>
      <w:r w:rsidRPr="00F919A7">
        <w:rPr>
          <w:sz w:val="28"/>
          <w:szCs w:val="28"/>
        </w:rPr>
        <w:t>konstrukcijās.</w:t>
      </w:r>
    </w:p>
    <w:p w14:paraId="4C4C2819" w14:textId="77777777" w:rsidR="00114B1E" w:rsidRPr="00DB7363" w:rsidRDefault="00114B1E" w:rsidP="00D24DF5">
      <w:pPr>
        <w:tabs>
          <w:tab w:val="left" w:pos="567"/>
        </w:tabs>
        <w:jc w:val="both"/>
        <w:rPr>
          <w:sz w:val="24"/>
        </w:rPr>
      </w:pPr>
    </w:p>
    <w:p w14:paraId="4C4C281A" w14:textId="77777777" w:rsidR="00114B1E" w:rsidRPr="00114B1E" w:rsidRDefault="001014CD" w:rsidP="00D24D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9A7">
        <w:rPr>
          <w:sz w:val="28"/>
          <w:szCs w:val="28"/>
        </w:rPr>
        <w:t xml:space="preserve">. </w:t>
      </w:r>
      <w:r w:rsidR="00114B1E" w:rsidRPr="00114B1E">
        <w:rPr>
          <w:sz w:val="28"/>
          <w:szCs w:val="28"/>
        </w:rPr>
        <w:t>Termiskās iedarbes:</w:t>
      </w:r>
    </w:p>
    <w:p w14:paraId="4C4C281B" w14:textId="08D1AD7A" w:rsidR="00114B1E" w:rsidRPr="00114B1E" w:rsidRDefault="001014CD" w:rsidP="00D24D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4B1E">
        <w:rPr>
          <w:sz w:val="28"/>
          <w:szCs w:val="28"/>
        </w:rPr>
        <w:t xml:space="preserve">.1. </w:t>
      </w:r>
      <w:r w:rsidR="00DB7363">
        <w:rPr>
          <w:sz w:val="28"/>
          <w:szCs w:val="28"/>
        </w:rPr>
        <w:t>t</w:t>
      </w:r>
      <w:r w:rsidR="00114B1E" w:rsidRPr="00114B1E">
        <w:rPr>
          <w:sz w:val="28"/>
          <w:szCs w:val="28"/>
        </w:rPr>
        <w:t>ermiskās un ekspluatācijas temperatūras izmaiņu iz</w:t>
      </w:r>
      <w:r w:rsidR="00DB7363">
        <w:rPr>
          <w:sz w:val="28"/>
          <w:szCs w:val="28"/>
        </w:rPr>
        <w:t>raisītās</w:t>
      </w:r>
      <w:r w:rsidR="00114B1E" w:rsidRPr="00114B1E">
        <w:rPr>
          <w:sz w:val="28"/>
          <w:szCs w:val="28"/>
        </w:rPr>
        <w:t xml:space="preserve"> termiskās iedarbes uz būvēm jāņem vērā būvprojektos</w:t>
      </w:r>
      <w:r w:rsidR="00DB7363">
        <w:rPr>
          <w:sz w:val="28"/>
          <w:szCs w:val="28"/>
        </w:rPr>
        <w:t>, ja</w:t>
      </w:r>
      <w:r w:rsidR="00114B1E" w:rsidRPr="00114B1E">
        <w:rPr>
          <w:sz w:val="28"/>
          <w:szCs w:val="28"/>
        </w:rPr>
        <w:t xml:space="preserve"> termiskās kustības un/vai </w:t>
      </w:r>
      <w:r w:rsidR="00114B1E" w:rsidRPr="00114B1E">
        <w:rPr>
          <w:sz w:val="28"/>
          <w:szCs w:val="28"/>
        </w:rPr>
        <w:lastRenderedPageBreak/>
        <w:t xml:space="preserve">spriegumu dēļ pastāv iespēja pārsniegt nestspējas vai </w:t>
      </w:r>
      <w:r w:rsidR="00DB7363">
        <w:rPr>
          <w:sz w:val="28"/>
          <w:szCs w:val="28"/>
        </w:rPr>
        <w:t>ekspluatējamības robežstāvokļus;</w:t>
      </w:r>
    </w:p>
    <w:p w14:paraId="4C4C281C" w14:textId="5DEE066A" w:rsidR="00F919A7" w:rsidRDefault="001014CD" w:rsidP="00D24D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4B1E">
        <w:rPr>
          <w:sz w:val="28"/>
          <w:szCs w:val="28"/>
        </w:rPr>
        <w:t xml:space="preserve">.2. </w:t>
      </w:r>
      <w:r w:rsidR="00DB7363">
        <w:rPr>
          <w:sz w:val="28"/>
          <w:szCs w:val="28"/>
        </w:rPr>
        <w:t>t</w:t>
      </w:r>
      <w:r w:rsidR="00114B1E" w:rsidRPr="00114B1E">
        <w:rPr>
          <w:sz w:val="28"/>
          <w:szCs w:val="28"/>
        </w:rPr>
        <w:t xml:space="preserve">ermiskās iedarbes nav jāapskata </w:t>
      </w:r>
      <w:r w:rsidR="00DE67CF">
        <w:rPr>
          <w:sz w:val="28"/>
          <w:szCs w:val="28"/>
        </w:rPr>
        <w:t>būv</w:t>
      </w:r>
      <w:r w:rsidR="00114B1E" w:rsidRPr="00114B1E">
        <w:rPr>
          <w:sz w:val="28"/>
          <w:szCs w:val="28"/>
        </w:rPr>
        <w:t>konstrukcijām, kas nav pakļautas dienas un sezonas klimatiskajām, kā arī ekspluatācijas izraisītajām temperatūras izmaiņām.</w:t>
      </w:r>
    </w:p>
    <w:p w14:paraId="4C4C281D" w14:textId="77777777" w:rsidR="0035543A" w:rsidRDefault="0035543A" w:rsidP="00D24DF5">
      <w:pPr>
        <w:tabs>
          <w:tab w:val="left" w:pos="567"/>
        </w:tabs>
        <w:jc w:val="both"/>
        <w:rPr>
          <w:sz w:val="28"/>
          <w:szCs w:val="28"/>
        </w:rPr>
      </w:pPr>
    </w:p>
    <w:p w14:paraId="4C4C281E" w14:textId="77777777" w:rsidR="00516F5E" w:rsidRDefault="00516F5E" w:rsidP="00D24DF5">
      <w:pPr>
        <w:tabs>
          <w:tab w:val="right" w:pos="9072"/>
        </w:tabs>
        <w:ind w:firstLine="720"/>
        <w:jc w:val="both"/>
        <w:rPr>
          <w:sz w:val="28"/>
        </w:rPr>
      </w:pPr>
    </w:p>
    <w:p w14:paraId="7DFDFC88" w14:textId="77777777" w:rsidR="00D24DF5" w:rsidRDefault="00D24DF5" w:rsidP="00D24DF5">
      <w:pPr>
        <w:tabs>
          <w:tab w:val="right" w:pos="9072"/>
        </w:tabs>
        <w:ind w:firstLine="720"/>
        <w:jc w:val="both"/>
        <w:rPr>
          <w:sz w:val="28"/>
        </w:rPr>
      </w:pPr>
    </w:p>
    <w:p w14:paraId="4C4C281F" w14:textId="4257B6D5" w:rsidR="0035543A" w:rsidRPr="0035543A" w:rsidRDefault="00AD07A5" w:rsidP="00D24DF5">
      <w:pPr>
        <w:tabs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Pr="00AD07A5">
        <w:rPr>
          <w:sz w:val="28"/>
        </w:rPr>
        <w:t>D</w:t>
      </w:r>
      <w:r w:rsidR="00096EE5">
        <w:rPr>
          <w:sz w:val="28"/>
        </w:rPr>
        <w:t xml:space="preserve">ana </w:t>
      </w:r>
      <w:r w:rsidRPr="00AD07A5">
        <w:rPr>
          <w:sz w:val="28"/>
        </w:rPr>
        <w:t>Reizniece-Ozola</w:t>
      </w:r>
    </w:p>
    <w:sectPr w:rsidR="0035543A" w:rsidRPr="0035543A" w:rsidSect="00D24DF5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282E" w14:textId="77777777" w:rsidR="003A65B2" w:rsidRDefault="003A65B2">
      <w:r>
        <w:separator/>
      </w:r>
    </w:p>
  </w:endnote>
  <w:endnote w:type="continuationSeparator" w:id="0">
    <w:p w14:paraId="4C4C282F" w14:textId="77777777" w:rsidR="003A65B2" w:rsidRDefault="003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7430" w14:textId="77777777" w:rsidR="00F70B62" w:rsidRPr="00F70B62" w:rsidRDefault="00F70B62" w:rsidP="00F70B62">
    <w:pPr>
      <w:pStyle w:val="Footer"/>
      <w:rPr>
        <w:sz w:val="16"/>
        <w:szCs w:val="16"/>
      </w:rPr>
    </w:pPr>
    <w:r w:rsidRPr="00F70B62">
      <w:rPr>
        <w:sz w:val="16"/>
        <w:szCs w:val="16"/>
      </w:rPr>
      <w:t>N2978_4p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580B" w14:textId="36C17372" w:rsidR="00F70B62" w:rsidRPr="00F70B62" w:rsidRDefault="00F70B62">
    <w:pPr>
      <w:pStyle w:val="Footer"/>
      <w:rPr>
        <w:sz w:val="16"/>
        <w:szCs w:val="16"/>
      </w:rPr>
    </w:pPr>
    <w:r w:rsidRPr="00F70B62">
      <w:rPr>
        <w:sz w:val="16"/>
        <w:szCs w:val="16"/>
      </w:rPr>
      <w:t>N2978_4p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C282C" w14:textId="77777777" w:rsidR="003A65B2" w:rsidRDefault="003A65B2">
      <w:r>
        <w:separator/>
      </w:r>
    </w:p>
  </w:footnote>
  <w:footnote w:type="continuationSeparator" w:id="0">
    <w:p w14:paraId="4C4C282D" w14:textId="77777777" w:rsidR="003A65B2" w:rsidRDefault="003A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06382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4E806A9" w14:textId="0062BF52" w:rsidR="00D24DF5" w:rsidRPr="00D24DF5" w:rsidRDefault="00D24DF5">
        <w:pPr>
          <w:pStyle w:val="Header"/>
          <w:jc w:val="center"/>
          <w:rPr>
            <w:sz w:val="24"/>
          </w:rPr>
        </w:pPr>
        <w:r w:rsidRPr="00D24DF5">
          <w:rPr>
            <w:sz w:val="24"/>
          </w:rPr>
          <w:fldChar w:fldCharType="begin"/>
        </w:r>
        <w:r w:rsidRPr="00D24DF5">
          <w:rPr>
            <w:sz w:val="24"/>
          </w:rPr>
          <w:instrText xml:space="preserve"> PAGE   \* MERGEFORMAT </w:instrText>
        </w:r>
        <w:r w:rsidRPr="00D24DF5">
          <w:rPr>
            <w:sz w:val="24"/>
          </w:rPr>
          <w:fldChar w:fldCharType="separate"/>
        </w:r>
        <w:r w:rsidR="00314207">
          <w:rPr>
            <w:noProof/>
            <w:sz w:val="24"/>
          </w:rPr>
          <w:t>4</w:t>
        </w:r>
        <w:r w:rsidRPr="00D24DF5">
          <w:rPr>
            <w:noProof/>
            <w:sz w:val="24"/>
          </w:rPr>
          <w:fldChar w:fldCharType="end"/>
        </w:r>
      </w:p>
    </w:sdtContent>
  </w:sdt>
  <w:p w14:paraId="7AB3F4F4" w14:textId="77777777" w:rsidR="00D24DF5" w:rsidRDefault="00D24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E746AC1"/>
    <w:multiLevelType w:val="multilevel"/>
    <w:tmpl w:val="564E77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10635F"/>
    <w:multiLevelType w:val="multilevel"/>
    <w:tmpl w:val="B1DE104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02E72"/>
    <w:rsid w:val="000232FB"/>
    <w:rsid w:val="00096EE5"/>
    <w:rsid w:val="001014CD"/>
    <w:rsid w:val="00114B1E"/>
    <w:rsid w:val="00134CAB"/>
    <w:rsid w:val="00147285"/>
    <w:rsid w:val="002A4449"/>
    <w:rsid w:val="002C1850"/>
    <w:rsid w:val="002C2576"/>
    <w:rsid w:val="002D2122"/>
    <w:rsid w:val="002D3797"/>
    <w:rsid w:val="002E41FC"/>
    <w:rsid w:val="00314207"/>
    <w:rsid w:val="0033219A"/>
    <w:rsid w:val="00346E30"/>
    <w:rsid w:val="00353657"/>
    <w:rsid w:val="0035543A"/>
    <w:rsid w:val="00380285"/>
    <w:rsid w:val="0039005F"/>
    <w:rsid w:val="003A65B2"/>
    <w:rsid w:val="003D5665"/>
    <w:rsid w:val="0049052C"/>
    <w:rsid w:val="004A6423"/>
    <w:rsid w:val="004D323E"/>
    <w:rsid w:val="004E672B"/>
    <w:rsid w:val="00514E45"/>
    <w:rsid w:val="00516F5E"/>
    <w:rsid w:val="00517975"/>
    <w:rsid w:val="005657DB"/>
    <w:rsid w:val="006026F7"/>
    <w:rsid w:val="006D5055"/>
    <w:rsid w:val="006D6052"/>
    <w:rsid w:val="00710ECA"/>
    <w:rsid w:val="00757AFE"/>
    <w:rsid w:val="00763E97"/>
    <w:rsid w:val="007C30C5"/>
    <w:rsid w:val="00886E0E"/>
    <w:rsid w:val="008976BF"/>
    <w:rsid w:val="008F5B6F"/>
    <w:rsid w:val="009519FE"/>
    <w:rsid w:val="00974157"/>
    <w:rsid w:val="00977F92"/>
    <w:rsid w:val="00983DAD"/>
    <w:rsid w:val="009B68FC"/>
    <w:rsid w:val="009C73A1"/>
    <w:rsid w:val="00A21A5D"/>
    <w:rsid w:val="00A60FE6"/>
    <w:rsid w:val="00AB0C46"/>
    <w:rsid w:val="00AB1918"/>
    <w:rsid w:val="00AC435E"/>
    <w:rsid w:val="00AD07A5"/>
    <w:rsid w:val="00AE53B4"/>
    <w:rsid w:val="00AF1A6A"/>
    <w:rsid w:val="00B26B54"/>
    <w:rsid w:val="00B50530"/>
    <w:rsid w:val="00BB01AA"/>
    <w:rsid w:val="00BD71D7"/>
    <w:rsid w:val="00BE49AE"/>
    <w:rsid w:val="00C209AC"/>
    <w:rsid w:val="00C44261"/>
    <w:rsid w:val="00CB52B2"/>
    <w:rsid w:val="00CD3B52"/>
    <w:rsid w:val="00CE5CA5"/>
    <w:rsid w:val="00D24DF5"/>
    <w:rsid w:val="00D62374"/>
    <w:rsid w:val="00DB7363"/>
    <w:rsid w:val="00DE67CF"/>
    <w:rsid w:val="00DF3CF4"/>
    <w:rsid w:val="00E65051"/>
    <w:rsid w:val="00EC6506"/>
    <w:rsid w:val="00EC7B1A"/>
    <w:rsid w:val="00F23514"/>
    <w:rsid w:val="00F70B62"/>
    <w:rsid w:val="00F919A7"/>
    <w:rsid w:val="00FA0F6C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4C2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  <w:style w:type="numbering" w:customStyle="1" w:styleId="Style11">
    <w:name w:val="Style11"/>
    <w:rsid w:val="0033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  <w:style w:type="numbering" w:customStyle="1" w:styleId="Style11">
    <w:name w:val="Style11"/>
    <w:rsid w:val="0033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907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14</cp:revision>
  <cp:lastPrinted>2014-12-19T13:23:00Z</cp:lastPrinted>
  <dcterms:created xsi:type="dcterms:W3CDTF">2014-11-22T12:06:00Z</dcterms:created>
  <dcterms:modified xsi:type="dcterms:W3CDTF">2014-12-23T14:00:00Z</dcterms:modified>
</cp:coreProperties>
</file>