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83" w:rsidRPr="0065322F" w:rsidRDefault="009B1E83" w:rsidP="009B1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22F">
        <w:rPr>
          <w:rFonts w:ascii="Times New Roman" w:hAnsi="Times New Roman"/>
          <w:sz w:val="28"/>
          <w:szCs w:val="28"/>
        </w:rPr>
        <w:t>1.pielikums</w:t>
      </w:r>
    </w:p>
    <w:p w:rsidR="009B1E83" w:rsidRPr="0065322F" w:rsidRDefault="009B1E83" w:rsidP="009B1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22F">
        <w:rPr>
          <w:rFonts w:ascii="Times New Roman" w:hAnsi="Times New Roman"/>
          <w:sz w:val="28"/>
          <w:szCs w:val="28"/>
        </w:rPr>
        <w:t>Ministru kabineta</w:t>
      </w:r>
    </w:p>
    <w:p w:rsidR="009B1E83" w:rsidRPr="0065322F" w:rsidRDefault="009B1E83" w:rsidP="009B1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22F">
        <w:rPr>
          <w:rFonts w:ascii="Times New Roman" w:hAnsi="Times New Roman"/>
          <w:sz w:val="28"/>
          <w:szCs w:val="28"/>
        </w:rPr>
        <w:t>____.gada ___.________</w:t>
      </w:r>
    </w:p>
    <w:p w:rsidR="009B1E83" w:rsidRPr="0065322F" w:rsidRDefault="009B1E83" w:rsidP="009B1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22F">
        <w:rPr>
          <w:rFonts w:ascii="Times New Roman" w:hAnsi="Times New Roman"/>
          <w:sz w:val="28"/>
          <w:szCs w:val="28"/>
        </w:rPr>
        <w:t xml:space="preserve">noteikumiem </w:t>
      </w:r>
      <w:proofErr w:type="spellStart"/>
      <w:r w:rsidRPr="0065322F">
        <w:rPr>
          <w:rFonts w:ascii="Times New Roman" w:hAnsi="Times New Roman"/>
          <w:sz w:val="28"/>
          <w:szCs w:val="28"/>
        </w:rPr>
        <w:t>Nr</w:t>
      </w:r>
      <w:proofErr w:type="spellEnd"/>
      <w:r w:rsidRPr="0065322F">
        <w:rPr>
          <w:rFonts w:ascii="Times New Roman" w:hAnsi="Times New Roman"/>
          <w:sz w:val="28"/>
          <w:szCs w:val="28"/>
        </w:rPr>
        <w:t>.___</w:t>
      </w:r>
    </w:p>
    <w:p w:rsidR="009B1E83" w:rsidRPr="0065322F" w:rsidRDefault="009B1E83" w:rsidP="009B1E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B1E83" w:rsidRPr="0065322F" w:rsidRDefault="009B1E83" w:rsidP="009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22F">
        <w:rPr>
          <w:rFonts w:ascii="Times New Roman" w:hAnsi="Times New Roman"/>
          <w:b/>
          <w:sz w:val="28"/>
          <w:szCs w:val="28"/>
        </w:rPr>
        <w:t>Būvju iedalījums grupās atbilstoši būvniecības procesam</w:t>
      </w:r>
    </w:p>
    <w:p w:rsidR="009B1E83" w:rsidRPr="0065322F" w:rsidRDefault="009B1E83" w:rsidP="009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E83" w:rsidRPr="0065322F" w:rsidRDefault="009B1E83" w:rsidP="009B1E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2F">
        <w:rPr>
          <w:rFonts w:ascii="Times New Roman" w:hAnsi="Times New Roman" w:cs="Times New Roman"/>
          <w:b/>
          <w:sz w:val="28"/>
          <w:szCs w:val="28"/>
        </w:rPr>
        <w:t>Ēku iedalījums grupās</w:t>
      </w:r>
    </w:p>
    <w:tbl>
      <w:tblPr>
        <w:tblStyle w:val="TableGrid"/>
        <w:tblW w:w="15026" w:type="dxa"/>
        <w:tblInd w:w="-601" w:type="dxa"/>
        <w:tblLook w:val="04A0" w:firstRow="1" w:lastRow="0" w:firstColumn="1" w:lastColumn="0" w:noHBand="0" w:noVBand="1"/>
      </w:tblPr>
      <w:tblGrid>
        <w:gridCol w:w="1850"/>
        <w:gridCol w:w="5522"/>
        <w:gridCol w:w="1735"/>
        <w:gridCol w:w="5919"/>
      </w:tblGrid>
      <w:tr w:rsidR="009B1E83" w:rsidRPr="0065322F" w:rsidTr="00974F5C"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Iedalījuma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kritērijs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 grupa *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II grupa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III grupa*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E83" w:rsidRPr="0065322F" w:rsidTr="00974F5C">
        <w:tc>
          <w:tcPr>
            <w:tcW w:w="1850" w:type="dxa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1. Stāvu skaits</w:t>
            </w:r>
          </w:p>
        </w:tc>
        <w:tc>
          <w:tcPr>
            <w:tcW w:w="5522" w:type="dxa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Ēkas, kuras neietilpst 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1. vai 3.grupā</w:t>
            </w:r>
          </w:p>
        </w:tc>
        <w:tc>
          <w:tcPr>
            <w:tcW w:w="5919" w:type="dxa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1) Ēka, kurai ir vairāk nekā pieci virszemes stāvi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Vairāk nekā viens apakšzemes stāvs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1850" w:type="dxa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2. Cilvēku skaits</w:t>
            </w:r>
          </w:p>
        </w:tc>
        <w:tc>
          <w:tcPr>
            <w:tcW w:w="5522" w:type="dxa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Publiskā ēka, kurā paredzēts vienlaikus uzturēties vairāk nekā 100 cilvēkiem 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1850" w:type="dxa"/>
            <w:tcBorders>
              <w:bottom w:val="single" w:sz="4" w:space="0" w:color="auto"/>
            </w:tcBorders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3. Platība, apbūves laukums 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 </w:t>
            </w:r>
            <w:proofErr w:type="spellStart"/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Mazēka</w:t>
            </w:r>
            <w:proofErr w:type="spellEnd"/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(vienstāva ēka, </w:t>
            </w:r>
            <w:proofErr w:type="spellStart"/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</w:t>
            </w:r>
            <w:proofErr w:type="spellEnd"/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nojume un palīgēka, 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kuras apbūves laukums nav lielāks par </w:t>
            </w:r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 m</w:t>
            </w:r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Ārpus pilsētu un ciema teritorijām v</w:t>
            </w:r>
            <w:r w:rsidRPr="00653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ienstāva lauku saimniecību nedzīvojamā 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ēka, kura nav paredzēta dzīvnieku turēšanai un palīgēka (piemēram, saimniecības ēkas, noliktavas, šķūņi, pagrabi, nojumes, garāžas), ar apbūves laukumu līdz 60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3) Atsevišķa rūpnieciski izgatavota vienstāva ēka ar apbūves laukumu līdz 60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, tai skaitā konteinertipa ēka vai būvizstrādājums, izņemot ēka, kurās tiek izvietota bīstamā iekārta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65322F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lastRenderedPageBreak/>
              <w:t>4) Betonēts laukums pakaišu kūtsmēslu uzkrāšanai (uzglabāšanai ar vircas uzkrāšanas tvertni.) līdz 50m</w:t>
            </w:r>
            <w:r w:rsidRPr="0065322F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1) Ražošanas ēka, kuras kopējā platība ir lielāka par 1000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Noliktavas ēka, kuras kopējā platība ir lielāka par 2000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1850" w:type="dxa"/>
            <w:tcBorders>
              <w:bottom w:val="single" w:sz="4" w:space="0" w:color="auto"/>
            </w:tcBorders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Būvtilpums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Ārpus pilsētu un ciema teritorijām ūdens rezervuāri (pazemes un virszemes) līdz 50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B1E83" w:rsidRPr="0065322F" w:rsidRDefault="009B1E83" w:rsidP="00974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35" w:type="dxa"/>
            <w:vMerge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1) Ēka - </w:t>
            </w:r>
            <w:r w:rsidRPr="006532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šķidras, gāzveida vielas vai </w:t>
            </w:r>
            <w:r w:rsidRPr="00653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beramu materiālu uzglabāšanai, pārkraušanai vai pārstrādei 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būvtilpumu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virs 5000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2) Ūdens rezervuāri (pazemes un virszemes) </w:t>
            </w:r>
            <w:r w:rsidRPr="0065322F">
              <w:rPr>
                <w:rFonts w:ascii="Times New Roman" w:hAnsi="Times New Roman" w:cs="Times New Roman"/>
              </w:rPr>
              <w:t>virs 1000 m</w:t>
            </w:r>
            <w:r w:rsidRPr="0065322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rPr>
          <w:trHeight w:val="1115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5. Jauda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:rsidR="009B1E83" w:rsidRPr="0065322F" w:rsidRDefault="009B1E83" w:rsidP="00974F5C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1) K</w:t>
            </w:r>
            <w:r w:rsidRPr="0065322F">
              <w:rPr>
                <w:rFonts w:ascii="Times New Roman" w:eastAsia="Calibri" w:hAnsi="Times New Roman" w:cs="Times New Roman"/>
                <w:sz w:val="24"/>
                <w:szCs w:val="24"/>
              </w:rPr>
              <w:t>ompaktās (konteinertipa) t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ransformatoru apakšstacijas un sadales ietaises</w:t>
            </w:r>
            <w:r w:rsidRPr="0065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ar nominālo spriegumu līdz 20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ārpus pilsētām, un ja tās atrodas </w:t>
            </w:r>
            <w:r w:rsidRPr="0065322F">
              <w:rPr>
                <w:rFonts w:ascii="Times New Roman" w:eastAsia="Calibri" w:hAnsi="Times New Roman" w:cs="Times New Roman"/>
                <w:sz w:val="24"/>
                <w:szCs w:val="24"/>
              </w:rPr>
              <w:t>ārpus esošo spēkstaciju un apakšstaciju teritorijām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eastAsia="Calibri" w:hAnsi="Times New Roman" w:cs="Times New Roman"/>
                <w:sz w:val="24"/>
                <w:szCs w:val="24"/>
              </w:rPr>
              <w:t>2) Elektroietaišu ēkas ar pamatiem, mazākas par 60 m</w:t>
            </w:r>
            <w:r w:rsidRPr="006532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ārpus pilsētām un ciemiem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9B1E83" w:rsidRPr="0065322F" w:rsidRDefault="009B1E83" w:rsidP="00974F5C">
            <w:pPr>
              <w:jc w:val="both"/>
              <w:rPr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1) Katlu mājas un elektroenerģijas apgādes ēkas ar siltuma jaudu lielāku par 2 MW un/vai elektrisko jaudu lielāku par 2 MW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2) Slēgto transformatoru apakšstaciju ēkas ar 110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spriegumu un augstāku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2F">
        <w:rPr>
          <w:rFonts w:ascii="Times New Roman" w:hAnsi="Times New Roman" w:cs="Times New Roman"/>
          <w:sz w:val="24"/>
          <w:szCs w:val="24"/>
        </w:rPr>
        <w:t>Piezīmes.</w:t>
      </w:r>
    </w:p>
    <w:p w:rsidR="009B1E83" w:rsidRPr="0065322F" w:rsidRDefault="009B1E83" w:rsidP="009B1E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2F">
        <w:rPr>
          <w:rFonts w:ascii="Times New Roman" w:hAnsi="Times New Roman" w:cs="Times New Roman"/>
          <w:sz w:val="24"/>
          <w:szCs w:val="24"/>
        </w:rPr>
        <w:t>* - Lai noteiktu, vai ēka ir klasificējama pie konkrētās grupas ēkām, jāizpildās vienai no dotajām klasifikācijas pazīmēm</w:t>
      </w: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E83" w:rsidRPr="0065322F" w:rsidRDefault="009B1E83" w:rsidP="009B1E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2F">
        <w:rPr>
          <w:rFonts w:ascii="Times New Roman" w:hAnsi="Times New Roman" w:cs="Times New Roman"/>
          <w:b/>
          <w:sz w:val="28"/>
          <w:szCs w:val="28"/>
        </w:rPr>
        <w:t>Inženierbūvju iedalījums grupās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176"/>
        <w:gridCol w:w="5038"/>
        <w:gridCol w:w="1927"/>
        <w:gridCol w:w="5001"/>
      </w:tblGrid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Speciālie būvnoteikumi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 grupa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II grupa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2F">
              <w:rPr>
                <w:rFonts w:ascii="Times New Roman" w:hAnsi="Times New Roman" w:cs="Times New Roman"/>
                <w:b/>
                <w:sz w:val="28"/>
                <w:szCs w:val="28"/>
              </w:rPr>
              <w:t>III grupa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1. Autoceļi un ielas (valsts un pašvaldību)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Māju ceļš viena īpašnieka zemes gabalā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Inženierbūves, kuras neietilpst 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1. vai 3.grupā</w:t>
            </w: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1) Automaģistrāles un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ātrsatiksmes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autoceļi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Tilti, viadukti un ceļu pārvadi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3) Tuneļi garāki par 100 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lastRenderedPageBreak/>
              <w:t>2. Dzelzceļa būves (valsts, pašvaldību un privātie)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Dzelzceļa gājēju pārejas un dzelzceļa tehnoloģiskās pārbrauktuves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1) Publiskās lietošanas dzelzceļi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Tilti, viadukti un ceļu pārvadi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3) Tuneļi garāki par 100 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3. Elektronisko sakaru būves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Inženiertīklu pievadi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1) Maģistrālās sakaru līnijas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Torņi augstāki par 100 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4. Enerģijas ražošanas, glabāšanas, pārvades un sadales būves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1) Elektrotīkli ar nominālo spriegumu līdz 20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, tajā skaitā elektroapgādes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sadalnes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(uzskaites,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relejaizsardzības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, kabeļu komutācijas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u.c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.) un komutācijas un aizsardzības iekārtas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2) Inženiertīklu pievadi 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1) Elektropārvades līnijas ar nominālo spriegumu 110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un augstāku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2) Apakšstacijas (izņemot slēgtās transformatoru apakšstaciju ēkas) ar 110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spriegumu un augstāku</w:t>
            </w:r>
          </w:p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3) Hidroelektrostacijas ar  jaudu virs 2 MW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3) Gāzes pārvades un uzglabāšanas sistēmas ar darba spiedienu virs 1,6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4) Spēkstaciju būves ar jaudu virs 20 kW, tai skaitā vēja elektrostacijas (vēja parki) 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5) Dūmeņi virs 60 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5. Hidrotehniskajām un meliorācijas būves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1) Viena īpašnieka meliorācijas sistēma vai atsevišķas būves, ierīces</w:t>
            </w:r>
          </w:p>
          <w:p w:rsidR="009B1E83" w:rsidRPr="0065322F" w:rsidRDefault="009B1E83" w:rsidP="00974F5C">
            <w:pPr>
              <w:ind w:right="-4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9B1E83" w:rsidRPr="0065322F" w:rsidRDefault="009B1E83" w:rsidP="00974F5C">
            <w:pPr>
              <w:ind w:right="-4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2) Rakti dīķi ar virsmas laukumu vienas </w:t>
            </w:r>
          </w:p>
          <w:p w:rsidR="009B1E83" w:rsidRPr="0065322F" w:rsidRDefault="009B1E83" w:rsidP="00974F5C">
            <w:pPr>
              <w:ind w:right="-4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vienības robežās līdz 0,5 ha platībā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1) Ūdens noteces un līmeņu regulēšanas hidrotehniskās būves, ja aizsprosta augstums pārsniedz 15 metrus vai </w:t>
            </w:r>
            <w:proofErr w:type="spellStart"/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novadbūves</w:t>
            </w:r>
            <w:proofErr w:type="spellEnd"/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caurplūde pārsniedz 500m</w:t>
            </w: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/s</w:t>
            </w:r>
          </w:p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2) Ūdens resursu izmantošanas hidrotehniskās būves, ja hidroelektrostacijas projektētā jauda ir no 1 MW līdz 2 MW vai sūkņu stacijas ražīgums ir lielāks par 5 m</w:t>
            </w: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lv-LV"/>
              </w:rPr>
              <w:t>3</w:t>
            </w:r>
            <w:r w:rsidRPr="006532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/s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lastRenderedPageBreak/>
              <w:t>6. Ostu hidrotehniskās būves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Iekšējie ūdensceļi un ostas, kas paredzētas iekšzemes ūdenstransportam ar 1000 t un lielāku tilpību</w:t>
            </w: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7. Ar radiācijas drošību saistītās būves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Visām ar radiācijas drošību saistītām būvēm</w:t>
            </w: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8. Būves Latvijas Republikas teritoriālajos ūdeņos un ekskluzīvajā ekonomiskajā zonā</w:t>
            </w:r>
          </w:p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Visām būvēm  Latvijas Republikas teritoriālajos ūdeņos un ekskluzīvajā ekonomiskajā zonā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3" w:rsidRPr="0065322F" w:rsidTr="00974F5C">
        <w:tc>
          <w:tcPr>
            <w:tcW w:w="2036" w:type="dxa"/>
            <w:shd w:val="clear" w:color="auto" w:fill="auto"/>
          </w:tcPr>
          <w:p w:rsidR="009B1E83" w:rsidRPr="0065322F" w:rsidRDefault="009B1E83" w:rsidP="00974F5C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322F">
              <w:rPr>
                <w:color w:val="auto"/>
                <w:sz w:val="24"/>
                <w:szCs w:val="24"/>
              </w:rPr>
              <w:t>9. Citas, atsevišķi neklasificētas, inženierbūves</w:t>
            </w:r>
          </w:p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1) Atsevišķie labiekārtojuma elementi, kas atrodas publiskajā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ārtelpā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– soliņi, bērnu rotaļu ierīces, sporta aprīkojuma, atsevišķās laternas un apgaismes ķermeņi, karogu masti, velosipēdu statīvi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u.tml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2) Stacionārie reklāmas un informācijas stendi* ar augstumu līdz 2,5 m un citi tiem pielīdzināmi objekti, tai skaitā ielu norāžu stabi līdz 4 m (bez elektrības pieslēguma)  </w:t>
            </w: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3) Žogi un mūri viena zemes gabala robežās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4) Ārpus pilsētu un ciemu teritorijas labiekārtoti 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betona, šķembu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u.c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.) laukumi līdz 50m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lauksaimnieciskās ražošanas vajadzībām;</w:t>
            </w:r>
          </w:p>
          <w:p w:rsidR="009B1E83" w:rsidRPr="0065322F" w:rsidRDefault="009B1E83" w:rsidP="00974F5C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5) Inženiertīklu pievadi</w:t>
            </w:r>
          </w:p>
          <w:p w:rsidR="009B1E83" w:rsidRPr="0065322F" w:rsidRDefault="009B1E83" w:rsidP="00974F5C">
            <w:pPr>
              <w:tabs>
                <w:tab w:val="left" w:pos="2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9B1E83" w:rsidRPr="0065322F" w:rsidRDefault="009B1E83" w:rsidP="0097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shd w:val="clear" w:color="auto" w:fill="auto"/>
          </w:tcPr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1) Rūpnieciskās ražošanas būve (ieguves rūpniecības vai </w:t>
            </w:r>
            <w:proofErr w:type="spellStart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iežieguves</w:t>
            </w:r>
            <w:proofErr w:type="spellEnd"/>
            <w:r w:rsidRPr="0065322F">
              <w:rPr>
                <w:rFonts w:ascii="Times New Roman" w:hAnsi="Times New Roman" w:cs="Times New Roman"/>
                <w:sz w:val="24"/>
                <w:szCs w:val="24"/>
              </w:rPr>
              <w:t xml:space="preserve"> būves, ķīmiskās ražošanas būves, smagās rūpniecības uzņēmumu būves)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2) Visa veida estrādes, atklātie sporta laukumi un baseini ar tribīnēm, kuras paredzētas vairāk nekā 100 cilvēkiem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3) Visa veida maģistrālie cauruļvadi un to pārvades estakādes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4) Notekūdeņu attīrīšanas ietaises ar jaudu virs 200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/diennaktī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5) Kanalizācijas notekūdeņu pārsūknēšanas stacijas ar jaudu virs 200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/diennaktī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6) Ūdens un kanalizācijas maģistrāles ar diametru no 1000 mm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7) Ūdens attīrīšanas ietaises ar jaudu virs 200 m</w:t>
            </w:r>
            <w:r w:rsidRPr="00653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/diennaktī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8) Lidlauku skrejceļi, kas ir garāki par 2,0 km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F">
              <w:rPr>
                <w:rFonts w:ascii="Times New Roman" w:hAnsi="Times New Roman" w:cs="Times New Roman"/>
                <w:sz w:val="24"/>
                <w:szCs w:val="24"/>
              </w:rPr>
              <w:t>9) Torņi augstāki par 100 m</w:t>
            </w:r>
          </w:p>
          <w:p w:rsidR="009B1E83" w:rsidRPr="0065322F" w:rsidRDefault="009B1E83" w:rsidP="0097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2F">
        <w:rPr>
          <w:rFonts w:ascii="Times New Roman" w:hAnsi="Times New Roman" w:cs="Times New Roman"/>
          <w:sz w:val="24"/>
          <w:szCs w:val="24"/>
        </w:rPr>
        <w:t>Piezīmes.</w:t>
      </w:r>
    </w:p>
    <w:p w:rsidR="009B1E83" w:rsidRPr="0065322F" w:rsidRDefault="009B1E83" w:rsidP="009B1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2F">
        <w:rPr>
          <w:rFonts w:ascii="Times New Roman" w:hAnsi="Times New Roman" w:cs="Times New Roman"/>
          <w:sz w:val="24"/>
          <w:szCs w:val="24"/>
        </w:rPr>
        <w:t>Tabulā ir dots atbilstoši būvju grupām inženierbūvju uzskatījums, kas ir jāņem vērā piemērojot speciālajos būvnoteikumos noteikto būvniecības procesu.</w:t>
      </w:r>
    </w:p>
    <w:p w:rsidR="009B1E83" w:rsidRPr="0065322F" w:rsidRDefault="009B1E83" w:rsidP="009B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83" w:rsidRPr="0065322F" w:rsidRDefault="009B1E83" w:rsidP="009B1E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2F">
        <w:rPr>
          <w:rFonts w:ascii="Times New Roman" w:hAnsi="Times New Roman" w:cs="Times New Roman"/>
          <w:sz w:val="24"/>
          <w:szCs w:val="24"/>
        </w:rPr>
        <w:t xml:space="preserve">Atsevišķie labiekārtojuma elementi, kā arī stacionārie reklāmas un informācijas stendi nav uzskatāmi par kadastra objektiem Nekustamā īpašuma valsts kadastra likuma izpratnē. </w:t>
      </w:r>
    </w:p>
    <w:p w:rsidR="009B1E83" w:rsidRPr="0065322F" w:rsidRDefault="009B1E83" w:rsidP="009B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E83" w:rsidRPr="0065322F" w:rsidRDefault="009B1E83" w:rsidP="009B1E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5322F">
        <w:rPr>
          <w:rFonts w:ascii="Times New Roman" w:hAnsi="Times New Roman"/>
          <w:bCs/>
          <w:sz w:val="28"/>
          <w:szCs w:val="28"/>
        </w:rPr>
        <w:t xml:space="preserve">Ekonomikas ministrs </w:t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  <w:t xml:space="preserve">         </w:t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r w:rsidRPr="0065322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5322F">
        <w:rPr>
          <w:rFonts w:ascii="Times New Roman" w:hAnsi="Times New Roman"/>
          <w:bCs/>
          <w:sz w:val="28"/>
          <w:szCs w:val="28"/>
        </w:rPr>
        <w:t>V.Dombrovskis</w:t>
      </w:r>
      <w:proofErr w:type="spellEnd"/>
      <w:r w:rsidRPr="0065322F">
        <w:rPr>
          <w:rFonts w:ascii="Times New Roman" w:hAnsi="Times New Roman"/>
          <w:bCs/>
          <w:sz w:val="28"/>
          <w:szCs w:val="28"/>
        </w:rPr>
        <w:t xml:space="preserve"> </w:t>
      </w:r>
    </w:p>
    <w:p w:rsidR="009B1E83" w:rsidRPr="0065322F" w:rsidRDefault="009B1E83" w:rsidP="009B1E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B1E83" w:rsidRPr="0065322F" w:rsidRDefault="009B1E83" w:rsidP="009B1E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B1E83" w:rsidRPr="0065322F" w:rsidRDefault="00D6003A" w:rsidP="009B1E83">
      <w:pPr>
        <w:tabs>
          <w:tab w:val="left" w:pos="61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22F">
        <w:rPr>
          <w:rFonts w:ascii="Times New Roman" w:hAnsi="Times New Roman" w:cs="Times New Roman"/>
          <w:sz w:val="16"/>
          <w:szCs w:val="16"/>
        </w:rPr>
        <w:t>25</w:t>
      </w:r>
      <w:r w:rsidR="009B1E83" w:rsidRPr="0065322F">
        <w:rPr>
          <w:rFonts w:ascii="Times New Roman" w:hAnsi="Times New Roman" w:cs="Times New Roman"/>
          <w:sz w:val="16"/>
          <w:szCs w:val="16"/>
        </w:rPr>
        <w:t>.07.2014.</w:t>
      </w:r>
      <w:r w:rsidR="009B1E83" w:rsidRPr="0065322F">
        <w:rPr>
          <w:rFonts w:ascii="Times New Roman" w:hAnsi="Times New Roman" w:cs="Times New Roman"/>
          <w:sz w:val="16"/>
          <w:szCs w:val="16"/>
        </w:rPr>
        <w:tab/>
      </w: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22F">
        <w:rPr>
          <w:rFonts w:ascii="Times New Roman" w:hAnsi="Times New Roman" w:cs="Times New Roman"/>
          <w:sz w:val="16"/>
          <w:szCs w:val="16"/>
        </w:rPr>
        <w:fldChar w:fldCharType="begin"/>
      </w:r>
      <w:r w:rsidRPr="0065322F">
        <w:rPr>
          <w:rFonts w:ascii="Times New Roman" w:hAnsi="Times New Roman" w:cs="Times New Roman"/>
          <w:sz w:val="16"/>
          <w:szCs w:val="16"/>
        </w:rPr>
        <w:instrText xml:space="preserve"> NUMWORDS   \* MERGEFORMAT </w:instrText>
      </w:r>
      <w:r w:rsidRPr="0065322F">
        <w:rPr>
          <w:rFonts w:ascii="Times New Roman" w:hAnsi="Times New Roman" w:cs="Times New Roman"/>
          <w:sz w:val="16"/>
          <w:szCs w:val="16"/>
        </w:rPr>
        <w:fldChar w:fldCharType="separate"/>
      </w:r>
      <w:r w:rsidR="00D6003A" w:rsidRPr="0065322F">
        <w:rPr>
          <w:rFonts w:ascii="Times New Roman" w:hAnsi="Times New Roman" w:cs="Times New Roman"/>
          <w:noProof/>
          <w:sz w:val="16"/>
          <w:szCs w:val="16"/>
        </w:rPr>
        <w:t>849</w:t>
      </w:r>
      <w:r w:rsidRPr="0065322F"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9B1E83" w:rsidRPr="0065322F" w:rsidRDefault="009B1E83" w:rsidP="00970EC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22F">
        <w:rPr>
          <w:rFonts w:ascii="Times New Roman" w:hAnsi="Times New Roman" w:cs="Times New Roman"/>
          <w:sz w:val="16"/>
          <w:szCs w:val="16"/>
        </w:rPr>
        <w:t>E.Bučinska,</w:t>
      </w:r>
      <w:r w:rsidR="00970ECB" w:rsidRPr="0065322F">
        <w:rPr>
          <w:rFonts w:ascii="Times New Roman" w:hAnsi="Times New Roman" w:cs="Times New Roman"/>
          <w:sz w:val="16"/>
          <w:szCs w:val="16"/>
        </w:rPr>
        <w:tab/>
      </w:r>
    </w:p>
    <w:p w:rsidR="009B1E83" w:rsidRPr="0065322F" w:rsidRDefault="009B1E83" w:rsidP="009B1E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22F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8" w:history="1">
        <w:r w:rsidR="00D6003A" w:rsidRPr="0065322F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Elga.Bucinska@em.gov.lv</w:t>
        </w:r>
      </w:hyperlink>
      <w:r w:rsidR="00D6003A" w:rsidRPr="0065322F">
        <w:rPr>
          <w:rFonts w:ascii="Times New Roman" w:hAnsi="Times New Roman" w:cs="Times New Roman"/>
          <w:sz w:val="16"/>
          <w:szCs w:val="16"/>
        </w:rPr>
        <w:t xml:space="preserve"> </w:t>
      </w:r>
      <w:r w:rsidRPr="006532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2FA6" w:rsidRPr="0065322F" w:rsidRDefault="006D2FA6"/>
    <w:sectPr w:rsidR="006D2FA6" w:rsidRPr="0065322F" w:rsidSect="00F758A9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A4" w:rsidRDefault="004424A4">
      <w:pPr>
        <w:spacing w:after="0" w:line="240" w:lineRule="auto"/>
      </w:pPr>
      <w:r>
        <w:separator/>
      </w:r>
    </w:p>
  </w:endnote>
  <w:endnote w:type="continuationSeparator" w:id="0">
    <w:p w:rsidR="004424A4" w:rsidRDefault="0044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9" w:rsidRPr="00F758A9" w:rsidRDefault="009B1E83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906BFC" w:rsidRPr="00906BFC">
        <w:rPr>
          <w:rFonts w:ascii="Times New Roman" w:hAnsi="Times New Roman" w:cs="Times New Roman"/>
          <w:noProof/>
          <w:sz w:val="20"/>
          <w:szCs w:val="20"/>
        </w:rPr>
        <w:t>EMnotp1_250714_VBN</w:t>
      </w:r>
    </w:fldSimple>
    <w:r w:rsidRPr="00F758A9">
      <w:rPr>
        <w:rFonts w:ascii="Times New Roman" w:hAnsi="Times New Roman" w:cs="Times New Roman"/>
        <w:sz w:val="20"/>
        <w:szCs w:val="20"/>
      </w:rPr>
      <w:t>; Noteikumu projekta „Vispārīgie būvnoteikumi” 1.pielikums „Būvju grupas”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9" w:rsidRPr="00F758A9" w:rsidRDefault="009B1E83" w:rsidP="00F758A9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906BFC" w:rsidRPr="00906BFC">
        <w:rPr>
          <w:rFonts w:ascii="Times New Roman" w:hAnsi="Times New Roman" w:cs="Times New Roman"/>
          <w:noProof/>
          <w:sz w:val="20"/>
          <w:szCs w:val="20"/>
        </w:rPr>
        <w:t>EMnotp1_250714_VBN</w:t>
      </w:r>
    </w:fldSimple>
    <w:r w:rsidRPr="00F758A9">
      <w:rPr>
        <w:rFonts w:ascii="Times New Roman" w:hAnsi="Times New Roman" w:cs="Times New Roman"/>
        <w:sz w:val="20"/>
        <w:szCs w:val="20"/>
      </w:rPr>
      <w:t>; Noteikumu projekta „Vispārīgie būvnoteikumi” 1.pielikums „Būvju grupas”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A4" w:rsidRDefault="004424A4">
      <w:pPr>
        <w:spacing w:after="0" w:line="240" w:lineRule="auto"/>
      </w:pPr>
      <w:r>
        <w:separator/>
      </w:r>
    </w:p>
  </w:footnote>
  <w:footnote w:type="continuationSeparator" w:id="0">
    <w:p w:rsidR="004424A4" w:rsidRDefault="0044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6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58A9" w:rsidRDefault="009B1E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2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8A9" w:rsidRDefault="00442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786"/>
    <w:multiLevelType w:val="hybridMultilevel"/>
    <w:tmpl w:val="B5806DD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053"/>
    <w:multiLevelType w:val="hybridMultilevel"/>
    <w:tmpl w:val="BF4A2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83"/>
    <w:rsid w:val="004424A4"/>
    <w:rsid w:val="0065322F"/>
    <w:rsid w:val="006D2FA6"/>
    <w:rsid w:val="00906BFC"/>
    <w:rsid w:val="00970ECB"/>
    <w:rsid w:val="009B1E83"/>
    <w:rsid w:val="00D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83"/>
  </w:style>
  <w:style w:type="paragraph" w:styleId="Footer">
    <w:name w:val="footer"/>
    <w:basedOn w:val="Normal"/>
    <w:link w:val="FooterChar"/>
    <w:uiPriority w:val="99"/>
    <w:unhideWhenUsed/>
    <w:rsid w:val="009B1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83"/>
  </w:style>
  <w:style w:type="paragraph" w:customStyle="1" w:styleId="tv2131">
    <w:name w:val="tv2131"/>
    <w:basedOn w:val="Normal"/>
    <w:rsid w:val="009B1E8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E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83"/>
  </w:style>
  <w:style w:type="paragraph" w:styleId="Footer">
    <w:name w:val="footer"/>
    <w:basedOn w:val="Normal"/>
    <w:link w:val="FooterChar"/>
    <w:uiPriority w:val="99"/>
    <w:unhideWhenUsed/>
    <w:rsid w:val="009B1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83"/>
  </w:style>
  <w:style w:type="paragraph" w:customStyle="1" w:styleId="tv2131">
    <w:name w:val="tv2131"/>
    <w:basedOn w:val="Normal"/>
    <w:rsid w:val="009B1E8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882</Words>
  <Characters>5385</Characters>
  <Application>Microsoft Office Word</Application>
  <DocSecurity>0</DocSecurity>
  <Lines>316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5</cp:revision>
  <dcterms:created xsi:type="dcterms:W3CDTF">2014-07-25T08:07:00Z</dcterms:created>
  <dcterms:modified xsi:type="dcterms:W3CDTF">2014-07-25T08:45:00Z</dcterms:modified>
</cp:coreProperties>
</file>