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07" w:rsidRPr="008519CA" w:rsidRDefault="00946707" w:rsidP="002E4AE6">
      <w:pPr>
        <w:spacing w:after="120"/>
        <w:ind w:firstLine="737"/>
        <w:jc w:val="center"/>
        <w:rPr>
          <w:b/>
        </w:rPr>
      </w:pPr>
      <w:r w:rsidRPr="008519CA">
        <w:rPr>
          <w:b/>
        </w:rPr>
        <w:t xml:space="preserve">Informatīvais </w:t>
      </w:r>
      <w:smartTag w:uri="schemas-tilde-lv/tildestengine" w:element="veidnes">
        <w:smartTagPr>
          <w:attr w:name="id" w:val="-1"/>
          <w:attr w:name="baseform" w:val="ziтojums"/>
          <w:attr w:name="text" w:val="ziņojums"/>
        </w:smartTagPr>
        <w:r w:rsidRPr="008519CA">
          <w:rPr>
            <w:b/>
          </w:rPr>
          <w:t>ziņojums</w:t>
        </w:r>
      </w:smartTag>
    </w:p>
    <w:p w:rsidR="00946707" w:rsidRPr="008519CA" w:rsidRDefault="00946707" w:rsidP="002E4AE6">
      <w:pPr>
        <w:spacing w:after="120"/>
        <w:ind w:firstLine="737"/>
        <w:jc w:val="center"/>
        <w:rPr>
          <w:b/>
        </w:rPr>
      </w:pPr>
      <w:r w:rsidRPr="008519CA">
        <w:rPr>
          <w:b/>
        </w:rPr>
        <w:t>par Eiropas Savienības Transporta, telekomunikāciju un enerģētikas ministru padomes 2014.gada 13.jūnija sanāksmē izskatāmaj</w:t>
      </w:r>
      <w:r w:rsidR="008A4854">
        <w:rPr>
          <w:b/>
        </w:rPr>
        <w:t xml:space="preserve">iem </w:t>
      </w:r>
      <w:r w:rsidRPr="008519CA">
        <w:rPr>
          <w:b/>
        </w:rPr>
        <w:t>Ekonomikas ministrijas kompetences jautājum</w:t>
      </w:r>
      <w:r w:rsidR="001B7BBB">
        <w:rPr>
          <w:b/>
        </w:rPr>
        <w:t xml:space="preserve">iem </w:t>
      </w:r>
    </w:p>
    <w:p w:rsidR="00946707" w:rsidRPr="008519CA" w:rsidRDefault="00946707" w:rsidP="002E4AE6">
      <w:pPr>
        <w:spacing w:after="120"/>
        <w:ind w:firstLine="737"/>
        <w:jc w:val="center"/>
        <w:rPr>
          <w:b/>
        </w:rPr>
      </w:pPr>
    </w:p>
    <w:p w:rsidR="00780DA7" w:rsidRPr="008519CA" w:rsidRDefault="00946707" w:rsidP="00D641DA">
      <w:pPr>
        <w:spacing w:after="120"/>
        <w:rPr>
          <w:b/>
        </w:rPr>
      </w:pPr>
      <w:r>
        <w:rPr>
          <w:b/>
        </w:rPr>
        <w:t>1. Transporta, telekomunikā</w:t>
      </w:r>
      <w:r w:rsidRPr="008519CA">
        <w:rPr>
          <w:b/>
        </w:rPr>
        <w:t xml:space="preserve">ciju un </w:t>
      </w:r>
      <w:r>
        <w:rPr>
          <w:b/>
        </w:rPr>
        <w:t>enerģētikas ministru padomes sanāksmes darba kārtī</w:t>
      </w:r>
      <w:r w:rsidRPr="008519CA">
        <w:rPr>
          <w:b/>
        </w:rPr>
        <w:t>ba</w:t>
      </w:r>
    </w:p>
    <w:p w:rsidR="00946707" w:rsidRPr="008519CA" w:rsidRDefault="00946707" w:rsidP="002E4AE6">
      <w:pPr>
        <w:spacing w:after="120"/>
        <w:ind w:firstLine="737"/>
        <w:jc w:val="both"/>
      </w:pPr>
      <w:r>
        <w:t>2014.gada 13.jūnijā Luksemburgā notiks Eiropas Savienības (turpmāk – ES) Transporta, telekomunikāciju un enerģētikas (turpmāk - TTE) ministru padomes sanāksme (turpmāk – sanāksme), kurā tiks izskatīti šādi enerģētikas jomas jautā</w:t>
      </w:r>
      <w:r w:rsidRPr="008519CA">
        <w:t>jumi:</w:t>
      </w:r>
    </w:p>
    <w:p w:rsidR="00946707" w:rsidRPr="008519CA" w:rsidRDefault="00946707" w:rsidP="002E4AE6">
      <w:pPr>
        <w:spacing w:after="120"/>
        <w:ind w:firstLine="737"/>
        <w:jc w:val="both"/>
      </w:pPr>
      <w:bookmarkStart w:id="0" w:name="_GoBack"/>
      <w:bookmarkEnd w:id="0"/>
    </w:p>
    <w:p w:rsidR="00946707" w:rsidRPr="008519CA" w:rsidRDefault="00946707" w:rsidP="002E4AE6">
      <w:pPr>
        <w:spacing w:after="120"/>
        <w:jc w:val="both"/>
        <w:rPr>
          <w:b/>
        </w:rPr>
      </w:pPr>
      <w:r w:rsidRPr="008519CA">
        <w:rPr>
          <w:b/>
          <w:lang w:eastAsia="zh-CN"/>
        </w:rPr>
        <w:t xml:space="preserve">1.1. </w:t>
      </w:r>
      <w:r w:rsidRPr="008519CA">
        <w:rPr>
          <w:b/>
        </w:rPr>
        <w:t xml:space="preserve">Eiropas Komisijas priekšlikums Eiropas Parlamenta un Padomes Direktīvai, ar ko groza Direktīvu 98/70/EK, kas attiecas uz benzīna un dīzeļdegvielu kvalitāti un Direktīvu 2009/28/EK par atjaunojamo energoresursu veicināšanu </w:t>
      </w:r>
      <w:r w:rsidRPr="008519CA">
        <w:rPr>
          <w:i/>
          <w:lang w:eastAsia="zh-CN"/>
        </w:rPr>
        <w:t>(sagatavota nacionālā pozīcija)</w:t>
      </w:r>
      <w:r w:rsidRPr="008519CA">
        <w:rPr>
          <w:b/>
        </w:rPr>
        <w:t xml:space="preserve"> </w:t>
      </w:r>
      <w:r w:rsidRPr="008519CA">
        <w:rPr>
          <w:i/>
          <w:lang w:eastAsia="zh-CN"/>
        </w:rPr>
        <w:t>– vispārējā vienošanās</w:t>
      </w:r>
      <w:r>
        <w:rPr>
          <w:i/>
          <w:lang w:eastAsia="zh-CN"/>
        </w:rPr>
        <w:t>.</w:t>
      </w:r>
    </w:p>
    <w:p w:rsidR="00946707" w:rsidRDefault="00946707" w:rsidP="002E4AE6">
      <w:pPr>
        <w:spacing w:after="120"/>
        <w:ind w:firstLine="567"/>
        <w:jc w:val="both"/>
        <w:rPr>
          <w:bCs/>
          <w:color w:val="00000A"/>
        </w:rPr>
      </w:pPr>
      <w:r w:rsidRPr="008519CA">
        <w:rPr>
          <w:color w:val="00000A"/>
        </w:rPr>
        <w:t xml:space="preserve">Eiropas Komisija (turpmāk – Komisija) 2012.gada 17.oktobrī nāca klajā ar Priekšlikumu Eiropas Parlamenta un Padomes Direktīvai, ar ko groza Direktīvu 98/70/EK, kas attiecas uz benzīna un dīzeļdegvielu kvalitāti un Direktīvu 2009/28/EK par atjaunojamo energoresursu veicināšanu (turpmāk – Priekšlikums), ar kuru paredzēts veicināt pāreju uz </w:t>
      </w:r>
      <w:proofErr w:type="spellStart"/>
      <w:r w:rsidRPr="008519CA">
        <w:rPr>
          <w:bCs/>
          <w:color w:val="00000A"/>
        </w:rPr>
        <w:t>biodegvielām</w:t>
      </w:r>
      <w:proofErr w:type="spellEnd"/>
      <w:r w:rsidRPr="008519CA">
        <w:rPr>
          <w:bCs/>
          <w:color w:val="00000A"/>
        </w:rPr>
        <w:t>, kas dod ievērojamus siltumnīcefekta gāzu (turpmāk – SEG) emisiju ietaupījumus arī tad, ja aprēķinos ietver netiešu zemes izmantojuma izmaiņu (</w:t>
      </w:r>
      <w:proofErr w:type="spellStart"/>
      <w:r w:rsidRPr="008519CA">
        <w:rPr>
          <w:bCs/>
          <w:i/>
          <w:iCs/>
          <w:color w:val="00000A"/>
        </w:rPr>
        <w:t>indirect</w:t>
      </w:r>
      <w:proofErr w:type="spellEnd"/>
      <w:r w:rsidRPr="008519CA">
        <w:rPr>
          <w:bCs/>
          <w:i/>
          <w:iCs/>
          <w:color w:val="00000A"/>
        </w:rPr>
        <w:t xml:space="preserve"> </w:t>
      </w:r>
      <w:proofErr w:type="spellStart"/>
      <w:r w:rsidRPr="008519CA">
        <w:rPr>
          <w:bCs/>
          <w:i/>
          <w:iCs/>
          <w:color w:val="00000A"/>
        </w:rPr>
        <w:t>land</w:t>
      </w:r>
      <w:proofErr w:type="spellEnd"/>
      <w:r w:rsidRPr="008519CA">
        <w:rPr>
          <w:bCs/>
          <w:i/>
          <w:iCs/>
          <w:color w:val="00000A"/>
        </w:rPr>
        <w:t xml:space="preserve"> </w:t>
      </w:r>
      <w:proofErr w:type="spellStart"/>
      <w:r w:rsidRPr="008519CA">
        <w:rPr>
          <w:bCs/>
          <w:i/>
          <w:iCs/>
          <w:color w:val="00000A"/>
        </w:rPr>
        <w:t>use</w:t>
      </w:r>
      <w:proofErr w:type="spellEnd"/>
      <w:r w:rsidRPr="008519CA">
        <w:rPr>
          <w:bCs/>
          <w:i/>
          <w:iCs/>
          <w:color w:val="00000A"/>
        </w:rPr>
        <w:t xml:space="preserve"> </w:t>
      </w:r>
      <w:proofErr w:type="spellStart"/>
      <w:r w:rsidRPr="008519CA">
        <w:rPr>
          <w:bCs/>
          <w:i/>
          <w:iCs/>
          <w:color w:val="00000A"/>
        </w:rPr>
        <w:t>change</w:t>
      </w:r>
      <w:proofErr w:type="spellEnd"/>
      <w:r w:rsidRPr="008519CA">
        <w:rPr>
          <w:bCs/>
          <w:i/>
          <w:iCs/>
          <w:color w:val="00000A"/>
        </w:rPr>
        <w:t xml:space="preserve"> </w:t>
      </w:r>
      <w:r>
        <w:rPr>
          <w:bCs/>
          <w:i/>
          <w:iCs/>
          <w:color w:val="00000A"/>
        </w:rPr>
        <w:t xml:space="preserve">- </w:t>
      </w:r>
      <w:r w:rsidRPr="008519CA">
        <w:rPr>
          <w:bCs/>
          <w:i/>
          <w:iCs/>
          <w:color w:val="00000A"/>
        </w:rPr>
        <w:t>ILUC</w:t>
      </w:r>
      <w:r w:rsidRPr="008519CA">
        <w:rPr>
          <w:bCs/>
          <w:color w:val="00000A"/>
        </w:rPr>
        <w:t xml:space="preserve">) radītās emisijas, tajā pašā laikā aizsargājot līdzšinējās investīcijas. </w:t>
      </w:r>
    </w:p>
    <w:p w:rsidR="00946707" w:rsidRDefault="00946707" w:rsidP="002E4AE6">
      <w:pPr>
        <w:spacing w:after="120"/>
        <w:ind w:firstLine="567"/>
        <w:jc w:val="both"/>
        <w:rPr>
          <w:color w:val="00000A"/>
        </w:rPr>
      </w:pPr>
      <w:r>
        <w:rPr>
          <w:bCs/>
          <w:color w:val="00000A"/>
        </w:rPr>
        <w:t xml:space="preserve">Kopš 2012.gada ir notikušas vairākkārtējas diskusijas TTE padomē (22.02.2013., 12.12.2013.) ar mērķi panākt vienošanos šajā ES dalībvalstīm (turpmāk – DV) tik </w:t>
      </w:r>
      <w:proofErr w:type="spellStart"/>
      <w:r>
        <w:rPr>
          <w:bCs/>
          <w:color w:val="00000A"/>
        </w:rPr>
        <w:t>sensitīvajā</w:t>
      </w:r>
      <w:proofErr w:type="spellEnd"/>
      <w:r>
        <w:rPr>
          <w:bCs/>
          <w:color w:val="00000A"/>
        </w:rPr>
        <w:t xml:space="preserve"> jautājumā. Pamatojoties uz DV atšķirīgajiem viedokļiem, līdz šim nevienai no iepriekšējām prezidentūrām nav izdevies panākt politisko atbalstu saviem izstrādātajiem priekšlikumiem.  </w:t>
      </w:r>
    </w:p>
    <w:p w:rsidR="00946707" w:rsidRPr="008519CA" w:rsidRDefault="00946707" w:rsidP="002E4AE6">
      <w:pPr>
        <w:spacing w:after="120"/>
        <w:ind w:firstLine="567"/>
        <w:jc w:val="both"/>
      </w:pPr>
      <w:r>
        <w:t xml:space="preserve">Grieķijas prezidentūra ir sagatavojusi priekšlikumu ar mērķi panākt vispārīgo vienošanos TTE padomē, lai Itālijas prezidentūra varētu uzsākt trīspusējās sarunas ar Eiropas Parlamentu un vienoties par grozījumiem abās iepriekš minētajās direktīvās. </w:t>
      </w:r>
    </w:p>
    <w:p w:rsidR="00946707" w:rsidRPr="009A2B50" w:rsidRDefault="00946707" w:rsidP="002E4AE6">
      <w:pPr>
        <w:tabs>
          <w:tab w:val="left" w:pos="284"/>
        </w:tabs>
        <w:spacing w:after="120"/>
        <w:ind w:firstLine="567"/>
        <w:jc w:val="both"/>
      </w:pPr>
      <w:r w:rsidRPr="009A2B50">
        <w:t>P</w:t>
      </w:r>
      <w:r>
        <w:rPr>
          <w:bCs/>
          <w:iCs/>
        </w:rPr>
        <w:t>riekš</w:t>
      </w:r>
      <w:r w:rsidRPr="009A2B50">
        <w:rPr>
          <w:bCs/>
          <w:iCs/>
        </w:rPr>
        <w:t xml:space="preserve">likuma kompromisa teksts </w:t>
      </w:r>
      <w:r w:rsidRPr="009A2B50">
        <w:t xml:space="preserve">paredz </w:t>
      </w:r>
      <w:r w:rsidRPr="009A2B50">
        <w:rPr>
          <w:noProof/>
        </w:rPr>
        <w:t>šādus elementus:</w:t>
      </w:r>
    </w:p>
    <w:p w:rsidR="00946707" w:rsidRPr="008519CA" w:rsidRDefault="00946707" w:rsidP="00CC1F6F">
      <w:pPr>
        <w:pStyle w:val="NormalWeb"/>
        <w:numPr>
          <w:ilvl w:val="0"/>
          <w:numId w:val="28"/>
        </w:numPr>
        <w:tabs>
          <w:tab w:val="left" w:pos="284"/>
        </w:tabs>
        <w:spacing w:before="0" w:beforeAutospacing="0" w:after="120" w:afterAutospacing="0"/>
        <w:ind w:left="357" w:hanging="357"/>
        <w:jc w:val="both"/>
      </w:pPr>
      <w:r w:rsidRPr="008519CA">
        <w:rPr>
          <w:bCs/>
          <w:iCs/>
        </w:rPr>
        <w:t xml:space="preserve">Slieksni (7%) tradicionālajām </w:t>
      </w:r>
      <w:proofErr w:type="spellStart"/>
      <w:r w:rsidRPr="008519CA">
        <w:rPr>
          <w:rStyle w:val="hps"/>
        </w:rPr>
        <w:t>biodegvielām</w:t>
      </w:r>
      <w:proofErr w:type="spellEnd"/>
      <w:r w:rsidRPr="008519CA">
        <w:rPr>
          <w:rStyle w:val="hps"/>
        </w:rPr>
        <w:t>, kas ražotas</w:t>
      </w:r>
      <w:r w:rsidRPr="008519CA">
        <w:t xml:space="preserve"> </w:t>
      </w:r>
      <w:r w:rsidRPr="008519CA">
        <w:rPr>
          <w:rStyle w:val="hps"/>
        </w:rPr>
        <w:t>no</w:t>
      </w:r>
      <w:r w:rsidRPr="008519CA">
        <w:t xml:space="preserve"> </w:t>
      </w:r>
      <w:r w:rsidRPr="008519CA">
        <w:rPr>
          <w:rStyle w:val="hps"/>
        </w:rPr>
        <w:t>labības</w:t>
      </w:r>
      <w:r w:rsidRPr="008519CA">
        <w:t xml:space="preserve"> </w:t>
      </w:r>
      <w:r w:rsidRPr="008519CA">
        <w:rPr>
          <w:rStyle w:val="hps"/>
        </w:rPr>
        <w:t>un citiem</w:t>
      </w:r>
      <w:r w:rsidRPr="008519CA">
        <w:t xml:space="preserve"> </w:t>
      </w:r>
      <w:r w:rsidRPr="008519CA">
        <w:rPr>
          <w:rStyle w:val="hps"/>
        </w:rPr>
        <w:t>cieti</w:t>
      </w:r>
      <w:r w:rsidRPr="008519CA">
        <w:t xml:space="preserve"> </w:t>
      </w:r>
      <w:r w:rsidRPr="008519CA">
        <w:rPr>
          <w:rStyle w:val="hps"/>
        </w:rPr>
        <w:t>saturošiem kultūraugiem,</w:t>
      </w:r>
      <w:r w:rsidRPr="008519CA">
        <w:t xml:space="preserve"> cukura un </w:t>
      </w:r>
      <w:r w:rsidRPr="008519CA">
        <w:rPr>
          <w:rStyle w:val="hps"/>
        </w:rPr>
        <w:t>eļļas</w:t>
      </w:r>
      <w:r w:rsidRPr="008519CA">
        <w:t xml:space="preserve"> </w:t>
      </w:r>
      <w:r w:rsidRPr="008519CA">
        <w:rPr>
          <w:rStyle w:val="hps"/>
        </w:rPr>
        <w:t>kultūraugiem</w:t>
      </w:r>
      <w:r w:rsidRPr="008519CA">
        <w:t xml:space="preserve"> </w:t>
      </w:r>
      <w:r w:rsidRPr="008519CA">
        <w:rPr>
          <w:rStyle w:val="hps"/>
        </w:rPr>
        <w:t>saskaņā ar Direktīvu</w:t>
      </w:r>
      <w:r w:rsidRPr="008519CA">
        <w:t xml:space="preserve"> </w:t>
      </w:r>
      <w:r w:rsidRPr="008519CA">
        <w:rPr>
          <w:rStyle w:val="hps"/>
        </w:rPr>
        <w:t>2009/28/EK</w:t>
      </w:r>
      <w:r w:rsidRPr="008519CA">
        <w:t>.</w:t>
      </w:r>
    </w:p>
    <w:p w:rsidR="00946707" w:rsidRPr="008519CA" w:rsidRDefault="00946707" w:rsidP="00CC1F6F">
      <w:pPr>
        <w:pStyle w:val="NormalWeb"/>
        <w:numPr>
          <w:ilvl w:val="0"/>
          <w:numId w:val="28"/>
        </w:numPr>
        <w:tabs>
          <w:tab w:val="left" w:pos="284"/>
        </w:tabs>
        <w:spacing w:before="0" w:beforeAutospacing="0" w:after="120" w:afterAutospacing="0"/>
        <w:ind w:left="357" w:hanging="357"/>
        <w:jc w:val="both"/>
      </w:pPr>
      <w:r w:rsidRPr="008519CA">
        <w:t xml:space="preserve">DV jācenšas nodrošināt to, ka to teritorijā tirgū tiek laistas biodegvielas, vai citas degvielas, kas ražotas no </w:t>
      </w:r>
      <w:r>
        <w:t xml:space="preserve">Priekšlikuma </w:t>
      </w:r>
      <w:r w:rsidRPr="008519CA">
        <w:t>IX pielikuma A daļā uzskaitītajām izejvielām (modernās biodegvielas). Šajā nolūkā katrai DV ir jānosaka nacionālais mērķis, ko tā cenšas sasniegt. Š</w:t>
      </w:r>
      <w:r>
        <w:t>ī</w:t>
      </w:r>
      <w:r w:rsidRPr="008519CA">
        <w:t xml:space="preserve"> mērķa bāzes vērtība ir</w:t>
      </w:r>
      <w:r>
        <w:t xml:space="preserve"> </w:t>
      </w:r>
      <w:r w:rsidRPr="008519CA">
        <w:t>0,5% no atjaunojamās enerģijas daļas transporta gala patēriņā 2020.gadā (pēc enerģijas satura)</w:t>
      </w:r>
      <w:r>
        <w:t xml:space="preserve">. </w:t>
      </w:r>
      <w:r w:rsidRPr="008519CA">
        <w:t>DV var noteikt nacionālo mērķi zemāku par 0,5%, balstoties uz šādiem apsvērumiem:</w:t>
      </w:r>
    </w:p>
    <w:p w:rsidR="00946707" w:rsidRPr="008519CA" w:rsidRDefault="00946707" w:rsidP="00780DA7">
      <w:pPr>
        <w:numPr>
          <w:ilvl w:val="0"/>
          <w:numId w:val="11"/>
        </w:numPr>
        <w:tabs>
          <w:tab w:val="left" w:pos="1080"/>
        </w:tabs>
        <w:spacing w:after="120"/>
        <w:ind w:left="1080" w:firstLine="0"/>
        <w:jc w:val="both"/>
        <w:rPr>
          <w:lang w:eastAsia="lv-LV"/>
        </w:rPr>
      </w:pPr>
      <w:r w:rsidRPr="008519CA">
        <w:rPr>
          <w:lang w:eastAsia="lv-LV"/>
        </w:rPr>
        <w:t>objektīviem faktoriem, kā, piemēram, ierobežotām iespējām šādas ilgtspējīgas biodegvielas saražot, vai šādu biodegvielu ierobežotu pieeja</w:t>
      </w:r>
      <w:r>
        <w:rPr>
          <w:lang w:eastAsia="lv-LV"/>
        </w:rPr>
        <w:t>mību DV tirgū par rentablu cenu</w:t>
      </w:r>
      <w:r w:rsidRPr="008519CA">
        <w:rPr>
          <w:lang w:eastAsia="lv-LV"/>
        </w:rPr>
        <w:t>;</w:t>
      </w:r>
    </w:p>
    <w:p w:rsidR="00946707" w:rsidRPr="008519CA" w:rsidRDefault="00946707" w:rsidP="00D4293B">
      <w:pPr>
        <w:numPr>
          <w:ilvl w:val="0"/>
          <w:numId w:val="11"/>
        </w:numPr>
        <w:tabs>
          <w:tab w:val="left" w:pos="900"/>
          <w:tab w:val="left" w:pos="1080"/>
        </w:tabs>
        <w:spacing w:after="120"/>
        <w:ind w:left="1080" w:firstLine="0"/>
        <w:jc w:val="both"/>
        <w:rPr>
          <w:lang w:eastAsia="lv-LV"/>
        </w:rPr>
      </w:pPr>
      <w:r w:rsidRPr="008519CA">
        <w:rPr>
          <w:lang w:eastAsia="lv-LV"/>
        </w:rPr>
        <w:t>DV transporta degvielu tirgus specifiskiem tehniskiem vai klimatiskajiem apstākļiem, tādiem kā autoparka sastāvs vai tehniskais stāvoklis;</w:t>
      </w:r>
    </w:p>
    <w:p w:rsidR="00946707" w:rsidRPr="008519CA" w:rsidRDefault="00946707" w:rsidP="00D4293B">
      <w:pPr>
        <w:numPr>
          <w:ilvl w:val="0"/>
          <w:numId w:val="11"/>
        </w:numPr>
        <w:tabs>
          <w:tab w:val="left" w:pos="900"/>
          <w:tab w:val="left" w:pos="1080"/>
        </w:tabs>
        <w:spacing w:after="120"/>
        <w:ind w:left="1080" w:firstLine="0"/>
        <w:jc w:val="both"/>
        <w:rPr>
          <w:lang w:eastAsia="lv-LV"/>
        </w:rPr>
      </w:pPr>
      <w:r w:rsidRPr="008519CA">
        <w:rPr>
          <w:lang w:eastAsia="lv-LV"/>
        </w:rPr>
        <w:lastRenderedPageBreak/>
        <w:t>nacionālās politikas instrumentiem, ar ko piešķir resursus no atjaunojamiem energoresursiem saražotas elektroenerģijas izmantošanas transportā veicināšanai.</w:t>
      </w:r>
    </w:p>
    <w:p w:rsidR="00946707" w:rsidRDefault="00946707" w:rsidP="00CC1F6F">
      <w:pPr>
        <w:pStyle w:val="ListParagraph"/>
        <w:numPr>
          <w:ilvl w:val="0"/>
          <w:numId w:val="28"/>
        </w:numPr>
        <w:tabs>
          <w:tab w:val="left" w:pos="284"/>
        </w:tabs>
        <w:spacing w:after="120"/>
        <w:jc w:val="both"/>
        <w:rPr>
          <w:lang w:eastAsia="lv-LV"/>
        </w:rPr>
      </w:pPr>
      <w:r w:rsidRPr="008519CA">
        <w:rPr>
          <w:lang w:eastAsia="lv-LV"/>
        </w:rPr>
        <w:t xml:space="preserve">Biodegvielu, kas ražotas no atkritumiem vai citām izejvielām, kas uzskaitītas </w:t>
      </w:r>
      <w:r>
        <w:rPr>
          <w:lang w:eastAsia="lv-LV"/>
        </w:rPr>
        <w:t xml:space="preserve">Priekšlikuma </w:t>
      </w:r>
      <w:r w:rsidRPr="008519CA">
        <w:rPr>
          <w:lang w:eastAsia="lv-LV"/>
        </w:rPr>
        <w:t>IX pielikuma A daļā dubultās ieskaites attiecināšana arī uz Direktīvas 2009/28/EK vispārējiem 20% mērķiem (ne tikai AER 10% mērķi transportā).</w:t>
      </w:r>
    </w:p>
    <w:p w:rsidR="00946707" w:rsidRDefault="00946707" w:rsidP="00CC1F6F">
      <w:pPr>
        <w:pStyle w:val="ListParagraph"/>
        <w:numPr>
          <w:ilvl w:val="0"/>
          <w:numId w:val="28"/>
        </w:numPr>
        <w:tabs>
          <w:tab w:val="left" w:pos="284"/>
        </w:tabs>
        <w:spacing w:after="120"/>
        <w:jc w:val="both"/>
        <w:rPr>
          <w:lang w:eastAsia="lv-LV"/>
        </w:rPr>
      </w:pPr>
      <w:r w:rsidRPr="008519CA">
        <w:t>Elektroenerģijas daļai, kas saražota no AER un patērēta elektriskajos dzelzceļa transporta līdzekļos, tiek piemērots reizinātājs – 2,5, bet elektroenerģijas daļai, kas saražota no AER un patērēta elektriskajos autotransporta līdzekļos tiek piemērots reizinātājs 5.</w:t>
      </w:r>
    </w:p>
    <w:p w:rsidR="00946707" w:rsidRDefault="00946707" w:rsidP="00787F8C">
      <w:pPr>
        <w:pStyle w:val="ListParagraph"/>
        <w:spacing w:after="120"/>
        <w:jc w:val="both"/>
        <w:rPr>
          <w:rStyle w:val="hps"/>
          <w:i/>
          <w:u w:val="single"/>
        </w:rPr>
      </w:pPr>
    </w:p>
    <w:p w:rsidR="00946707" w:rsidRPr="00787F8C" w:rsidRDefault="00946707" w:rsidP="00787F8C">
      <w:pPr>
        <w:pStyle w:val="ListParagraph"/>
        <w:spacing w:after="120"/>
        <w:jc w:val="both"/>
        <w:rPr>
          <w:rStyle w:val="hps"/>
          <w:u w:val="single"/>
        </w:rPr>
      </w:pPr>
      <w:r w:rsidRPr="00787F8C">
        <w:rPr>
          <w:rStyle w:val="hps"/>
          <w:i/>
          <w:u w:val="single"/>
        </w:rPr>
        <w:t>Latvijas nostāja:</w:t>
      </w:r>
    </w:p>
    <w:p w:rsidR="00946707" w:rsidRDefault="00946707" w:rsidP="002E4AE6">
      <w:pPr>
        <w:spacing w:after="120"/>
        <w:jc w:val="both"/>
        <w:rPr>
          <w:rStyle w:val="hps"/>
        </w:rPr>
      </w:pPr>
      <w:r>
        <w:t>Latvija atbalsta Grieķijas prezidentūras sagatavoto priekšlikumu, jo</w:t>
      </w:r>
      <w:r w:rsidRPr="009A2B50">
        <w:t xml:space="preserve"> uzskata, ka ir svarīgi dot stimulu alternatīvu degvielu attīstībai ES. </w:t>
      </w:r>
      <w:proofErr w:type="spellStart"/>
      <w:r w:rsidRPr="009A2B50">
        <w:t>Apakšmērķa</w:t>
      </w:r>
      <w:proofErr w:type="spellEnd"/>
      <w:r w:rsidRPr="009A2B50">
        <w:t xml:space="preserve"> noteikšana modernajām </w:t>
      </w:r>
      <w:proofErr w:type="spellStart"/>
      <w:r w:rsidRPr="009A2B50">
        <w:t>biodegvielām</w:t>
      </w:r>
      <w:proofErr w:type="spellEnd"/>
      <w:r w:rsidRPr="009A2B50">
        <w:t xml:space="preserve"> varētu būt viens no risinājumiem, ļaujot katrai DV pašai noteikt </w:t>
      </w:r>
      <w:proofErr w:type="spellStart"/>
      <w:r w:rsidRPr="009A2B50">
        <w:t>apakšmērķi</w:t>
      </w:r>
      <w:proofErr w:type="spellEnd"/>
      <w:r w:rsidRPr="009A2B50">
        <w:t xml:space="preserve"> modernajām </w:t>
      </w:r>
      <w:proofErr w:type="spellStart"/>
      <w:r w:rsidRPr="009A2B50">
        <w:t>biodegvielām</w:t>
      </w:r>
      <w:proofErr w:type="spellEnd"/>
      <w:r w:rsidRPr="009A2B50">
        <w:t xml:space="preserve"> (un tā līmeni), ņem</w:t>
      </w:r>
      <w:r>
        <w:t>ot</w:t>
      </w:r>
      <w:r w:rsidRPr="009A2B50">
        <w:t xml:space="preserve"> vērā resursu un ražotņu pieejamību un moderno biodegvielu cenu patērētājiem.</w:t>
      </w:r>
      <w:r>
        <w:t xml:space="preserve"> Papildus tam Latvija atbalsta arī priekšlikumu attiecībā uz </w:t>
      </w:r>
      <w:r>
        <w:rPr>
          <w:rStyle w:val="hps"/>
        </w:rPr>
        <w:t>izejvielām</w:t>
      </w:r>
      <w:r w:rsidRPr="005D7925">
        <w:rPr>
          <w:rStyle w:val="hps"/>
        </w:rPr>
        <w:t xml:space="preserve">, no kurām ražo biodegvielu, bet kuras nav uzskaitītas Direktīvas </w:t>
      </w:r>
      <w:r w:rsidRPr="005D7925">
        <w:rPr>
          <w:lang w:eastAsia="lv-LV"/>
        </w:rPr>
        <w:t>2009/28/EK</w:t>
      </w:r>
      <w:r w:rsidRPr="005D7925">
        <w:rPr>
          <w:i/>
          <w:lang w:eastAsia="lv-LV"/>
        </w:rPr>
        <w:t xml:space="preserve"> </w:t>
      </w:r>
      <w:r w:rsidRPr="005D7925">
        <w:rPr>
          <w:rStyle w:val="hps"/>
        </w:rPr>
        <w:t xml:space="preserve">IX pielikuma A daļā, </w:t>
      </w:r>
      <w:r>
        <w:rPr>
          <w:rStyle w:val="hps"/>
        </w:rPr>
        <w:t xml:space="preserve">bet </w:t>
      </w:r>
      <w:r w:rsidRPr="005D7925">
        <w:rPr>
          <w:rStyle w:val="hps"/>
        </w:rPr>
        <w:t xml:space="preserve">no atbildīgās nacionālās iestādes puses tiek uzskaitītas un izmantotas esošajās iekārtās, </w:t>
      </w:r>
      <w:r>
        <w:rPr>
          <w:rStyle w:val="hps"/>
        </w:rPr>
        <w:t>tādējādi paredzot iespēju tās ietvert</w:t>
      </w:r>
      <w:r w:rsidRPr="005D7925">
        <w:rPr>
          <w:rStyle w:val="hps"/>
        </w:rPr>
        <w:t xml:space="preserve"> nacionālajā mērķī. </w:t>
      </w:r>
    </w:p>
    <w:p w:rsidR="00946707" w:rsidRDefault="00946707" w:rsidP="002E4AE6">
      <w:pPr>
        <w:spacing w:after="120"/>
        <w:jc w:val="both"/>
        <w:rPr>
          <w:rStyle w:val="hps"/>
        </w:rPr>
      </w:pPr>
    </w:p>
    <w:p w:rsidR="00946707" w:rsidRDefault="00946707" w:rsidP="00780DA7">
      <w:pPr>
        <w:spacing w:after="120"/>
        <w:rPr>
          <w:rStyle w:val="hps"/>
          <w:b/>
        </w:rPr>
      </w:pPr>
      <w:r>
        <w:rPr>
          <w:rStyle w:val="hps"/>
          <w:b/>
        </w:rPr>
        <w:t xml:space="preserve">1.2. Rīcība pēc 2014.gada marta Eiropadomes </w:t>
      </w:r>
      <w:r>
        <w:rPr>
          <w:rStyle w:val="hps"/>
        </w:rPr>
        <w:t xml:space="preserve">– </w:t>
      </w:r>
      <w:r w:rsidRPr="002E4AE6">
        <w:rPr>
          <w:rStyle w:val="hps"/>
          <w:i/>
        </w:rPr>
        <w:t>politiskās diskusijas</w:t>
      </w:r>
    </w:p>
    <w:p w:rsidR="001B7BBB" w:rsidRDefault="001B7BBB" w:rsidP="00B200D7">
      <w:pPr>
        <w:spacing w:after="120"/>
        <w:jc w:val="both"/>
        <w:rPr>
          <w:rStyle w:val="hps"/>
          <w:i/>
        </w:rPr>
      </w:pPr>
      <w:r>
        <w:rPr>
          <w:rStyle w:val="hps"/>
          <w:i/>
        </w:rPr>
        <w:t xml:space="preserve"> </w:t>
      </w:r>
    </w:p>
    <w:p w:rsidR="00946707" w:rsidRPr="00442EDF" w:rsidRDefault="00946707" w:rsidP="00B200D7">
      <w:pPr>
        <w:spacing w:after="120"/>
        <w:jc w:val="both"/>
        <w:rPr>
          <w:rStyle w:val="hps"/>
          <w:i/>
        </w:rPr>
      </w:pPr>
      <w:r w:rsidRPr="00442EDF">
        <w:rPr>
          <w:rStyle w:val="hps"/>
          <w:i/>
        </w:rPr>
        <w:t>a) Iekšējā enerģētikas tirgus pabeigšana 2014.gadā – informācija no Eiropas Komisijas</w:t>
      </w:r>
    </w:p>
    <w:p w:rsidR="00946707" w:rsidRPr="00B200D7" w:rsidRDefault="00946707" w:rsidP="00B200D7">
      <w:pPr>
        <w:spacing w:before="100" w:beforeAutospacing="1" w:after="200" w:line="276" w:lineRule="auto"/>
        <w:jc w:val="both"/>
        <w:rPr>
          <w:rFonts w:ascii="Tahoma" w:hAnsi="Tahoma" w:cs="Tahoma"/>
          <w:sz w:val="12"/>
          <w:szCs w:val="12"/>
        </w:rPr>
      </w:pPr>
      <w:r>
        <w:t>2014.gada marta Eiropadomes secinājumos</w:t>
      </w:r>
      <w:r w:rsidRPr="00B200D7">
        <w:t xml:space="preserve"> </w:t>
      </w:r>
      <w:r>
        <w:t>īpaši tika izcelti enerģētikas un klimata jautājumi, tai skaitā</w:t>
      </w:r>
      <w:r w:rsidRPr="00B200D7">
        <w:t xml:space="preserve"> ES iekšējā enerģētikas tirgus pabeigšana līdz 2014.gada</w:t>
      </w:r>
      <w:r>
        <w:t>m</w:t>
      </w:r>
      <w:r w:rsidRPr="00B200D7">
        <w:t xml:space="preserve">, </w:t>
      </w:r>
      <w:proofErr w:type="spellStart"/>
      <w:r w:rsidRPr="00B200D7">
        <w:t>starpsavienojumu</w:t>
      </w:r>
      <w:proofErr w:type="spellEnd"/>
      <w:r w:rsidRPr="00B200D7">
        <w:t xml:space="preserve"> </w:t>
      </w:r>
      <w:r>
        <w:t>izveidošana</w:t>
      </w:r>
      <w:r w:rsidRPr="00B200D7">
        <w:t xml:space="preserve"> dalībvalstu izolācijas novēršanai līdz 2015.gadam, ES atkarības mazināšana </w:t>
      </w:r>
      <w:r>
        <w:t xml:space="preserve">no viena piegādātāja </w:t>
      </w:r>
      <w:r w:rsidRPr="00B200D7">
        <w:t xml:space="preserve">dabas gāzes sektorā, energoefektivitāte un enerģētiskā drošība, </w:t>
      </w:r>
      <w:r>
        <w:t>k</w:t>
      </w:r>
      <w:r w:rsidRPr="00B200D7">
        <w:t>opējas intereses projektu īstenošana,</w:t>
      </w:r>
      <w:r>
        <w:t xml:space="preserve"> kā arī</w:t>
      </w:r>
      <w:r w:rsidRPr="00B200D7">
        <w:t xml:space="preserve"> enerģijas izmaksu gala patērētājiem stabilizācija.</w:t>
      </w:r>
    </w:p>
    <w:p w:rsidR="00946707" w:rsidRDefault="00946707" w:rsidP="00B200D7">
      <w:pPr>
        <w:spacing w:after="120"/>
        <w:jc w:val="both"/>
      </w:pPr>
      <w:r>
        <w:t xml:space="preserve">13.06.2014.TTE padomes laikā Eiropas Komisija sniegs informāciju par situāciju dalībvalstīs attiecībā uz </w:t>
      </w:r>
      <w:r w:rsidRPr="00B200D7">
        <w:t>ES iekšējā enerģētikas tirgus</w:t>
      </w:r>
      <w:r>
        <w:t xml:space="preserve"> izveidi, bet pēc TTE padomes Eiropas Komisija plāno pieņemt ziņojumu, kurā tiks atspoguļota attiecīgā informācija.</w:t>
      </w:r>
    </w:p>
    <w:p w:rsidR="00946707" w:rsidRPr="00442EDF" w:rsidRDefault="00946707" w:rsidP="00B200D7">
      <w:pPr>
        <w:spacing w:after="120"/>
        <w:jc w:val="both"/>
        <w:rPr>
          <w:rStyle w:val="hps"/>
          <w:i/>
        </w:rPr>
      </w:pPr>
      <w:r w:rsidRPr="00442EDF">
        <w:rPr>
          <w:rStyle w:val="hps"/>
          <w:i/>
        </w:rPr>
        <w:t>b ) Eiropas Enerģētiskās drošības stratēģija</w:t>
      </w:r>
    </w:p>
    <w:p w:rsidR="00946707" w:rsidRPr="006A2AA8" w:rsidRDefault="00946707" w:rsidP="00B200D7">
      <w:pPr>
        <w:spacing w:after="120"/>
        <w:jc w:val="both"/>
        <w:rPr>
          <w:rStyle w:val="hps"/>
        </w:rPr>
      </w:pPr>
      <w:r w:rsidRPr="006A2AA8">
        <w:rPr>
          <w:rStyle w:val="hps"/>
        </w:rPr>
        <w:t>Pre</w:t>
      </w:r>
      <w:r>
        <w:rPr>
          <w:rStyle w:val="hps"/>
        </w:rPr>
        <w:t>zidentūra uzsver, ka enerģētiskās drošības jautājumu nevar risināt tikai nacionālajā līmenī, jo tas vienlaikus aptver gan solidaritātes dimensiju, gan atsevišķu dalībvalstu enerģētisko izolāciju. Svarīga ir gan vispārējā reģionālā tirgus attīstība, gan ES pozīcija sarunās ar trešo valstu enerģijas piegādātājiem, kā arī iespējas pielietot vienotus ES līmeņa instrumentus šī jautājuma risināšanai. Lai enerģētiskās drošības stratēģija būtu efektīva attiecībā uz izvirzītajiem mērķiem, taču vienlaikus neradītu papildus izmaksas, tai ir jābūt pietiekami plašai, ietverot gan ar energoefektivitāti, gan diversifikāciju un infrastruktūru saistītos jautājumus, gan arī sinerģiju ar citām nozarēm, piemēram, pētniecību un attīstību.</w:t>
      </w:r>
    </w:p>
    <w:p w:rsidR="00946707" w:rsidRPr="00FB4961" w:rsidRDefault="00946707" w:rsidP="00B200D7">
      <w:pPr>
        <w:spacing w:after="120"/>
        <w:jc w:val="both"/>
        <w:rPr>
          <w:rStyle w:val="hps"/>
        </w:rPr>
      </w:pPr>
      <w:r w:rsidRPr="00FB4961">
        <w:rPr>
          <w:rStyle w:val="hps"/>
        </w:rPr>
        <w:t xml:space="preserve">2014.gada 28.maijā ar mērķi nodrošināt stabilu un drošu enerģijas piegādi ES iedzīvotājiem Eiropas Komisija nāca klajā ar Eiropas Enerģētiskās drošības stratēģiju (turpmāk- Stratēģija), kura kalpoja arī par atbildi politiskajai krīzei Ukrainā. Stratēģija balstās </w:t>
      </w:r>
      <w:r>
        <w:rPr>
          <w:rStyle w:val="hps"/>
        </w:rPr>
        <w:t xml:space="preserve">uz </w:t>
      </w:r>
      <w:r w:rsidRPr="00FB4961">
        <w:rPr>
          <w:rStyle w:val="hps"/>
        </w:rPr>
        <w:t>padziļinā</w:t>
      </w:r>
      <w:r>
        <w:rPr>
          <w:rStyle w:val="hps"/>
        </w:rPr>
        <w:t>tu analīzi par dalībvalstu ener</w:t>
      </w:r>
      <w:r w:rsidRPr="00FB4961">
        <w:rPr>
          <w:rStyle w:val="hps"/>
        </w:rPr>
        <w:t>ģētisko atkarību.</w:t>
      </w:r>
    </w:p>
    <w:p w:rsidR="001B7BBB" w:rsidRDefault="001B7BBB" w:rsidP="00B200D7">
      <w:pPr>
        <w:spacing w:after="120"/>
        <w:jc w:val="both"/>
        <w:rPr>
          <w:rStyle w:val="hps"/>
          <w:i/>
        </w:rPr>
      </w:pPr>
    </w:p>
    <w:p w:rsidR="00946707" w:rsidRPr="00FB4961" w:rsidRDefault="00946707" w:rsidP="00B200D7">
      <w:pPr>
        <w:spacing w:after="120"/>
        <w:jc w:val="both"/>
        <w:rPr>
          <w:rStyle w:val="hps"/>
          <w:i/>
        </w:rPr>
      </w:pPr>
      <w:r w:rsidRPr="00FB4961">
        <w:rPr>
          <w:rStyle w:val="hps"/>
          <w:i/>
        </w:rPr>
        <w:t>Īstermiņa pasākumi</w:t>
      </w:r>
    </w:p>
    <w:p w:rsidR="00946707" w:rsidRPr="00FB4961" w:rsidRDefault="00946707" w:rsidP="00B200D7">
      <w:pPr>
        <w:spacing w:after="120"/>
        <w:jc w:val="both"/>
        <w:rPr>
          <w:rStyle w:val="hps"/>
        </w:rPr>
      </w:pPr>
      <w:proofErr w:type="spellStart"/>
      <w:r w:rsidRPr="00FB4961">
        <w:rPr>
          <w:rStyle w:val="hps"/>
        </w:rPr>
        <w:t>Īstermiņā</w:t>
      </w:r>
      <w:proofErr w:type="spellEnd"/>
      <w:r w:rsidRPr="00FB4961">
        <w:rPr>
          <w:rStyle w:val="hps"/>
        </w:rPr>
        <w:t xml:space="preserve"> Stratēģijas ietvaros tiek paredzēts īstenot enerģēt</w:t>
      </w:r>
      <w:r>
        <w:rPr>
          <w:rStyle w:val="hps"/>
        </w:rPr>
        <w:t>i</w:t>
      </w:r>
      <w:r w:rsidRPr="00FB4961">
        <w:rPr>
          <w:rStyle w:val="hps"/>
        </w:rPr>
        <w:t xml:space="preserve">skās drošības stresa testus, simulējot gāzes piegādes traucējumus ziema sezonā. Stresa testu mērķis ir pārbaudīt to, cik lielā mērā ES enerģētikas sistēma ir pielāgota piegādes drošības riskiem, kā arī attīstīt ārkārtas situāciju </w:t>
      </w:r>
      <w:smartTag w:uri="schemas-tilde-lv/tildestengine" w:element="veidnes">
        <w:smartTagPr>
          <w:attr w:name="id" w:val="-1"/>
          <w:attr w:name="baseform" w:val="plвns"/>
          <w:attr w:name="text" w:val="plāns"/>
        </w:smartTagPr>
        <w:r w:rsidRPr="00FB4961">
          <w:rPr>
            <w:rStyle w:val="hps"/>
          </w:rPr>
          <w:t>plāns</w:t>
        </w:r>
      </w:smartTag>
      <w:r w:rsidRPr="00FB4961">
        <w:rPr>
          <w:rStyle w:val="hps"/>
        </w:rPr>
        <w:t xml:space="preserve"> un atkāpšanās mehānismus, kuru starpā var būt sekojošas aktivitātes:</w:t>
      </w:r>
    </w:p>
    <w:p w:rsidR="00946707" w:rsidRPr="00FB4961" w:rsidRDefault="00946707" w:rsidP="00B200D7">
      <w:pPr>
        <w:spacing w:after="120"/>
        <w:jc w:val="both"/>
        <w:rPr>
          <w:rStyle w:val="hps"/>
        </w:rPr>
      </w:pPr>
      <w:r w:rsidRPr="00FB4961">
        <w:rPr>
          <w:rStyle w:val="hps"/>
        </w:rPr>
        <w:t>-</w:t>
      </w:r>
      <w:r w:rsidRPr="00FB4961">
        <w:rPr>
          <w:rStyle w:val="hps"/>
        </w:rPr>
        <w:tab/>
        <w:t>Gāzes krājumu palielināšana;</w:t>
      </w:r>
    </w:p>
    <w:p w:rsidR="00946707" w:rsidRPr="00FB4961" w:rsidRDefault="00946707" w:rsidP="00B200D7">
      <w:pPr>
        <w:spacing w:after="120"/>
        <w:jc w:val="both"/>
        <w:rPr>
          <w:rStyle w:val="hps"/>
        </w:rPr>
      </w:pPr>
      <w:r w:rsidRPr="00FB4961">
        <w:rPr>
          <w:rStyle w:val="hps"/>
        </w:rPr>
        <w:t>-</w:t>
      </w:r>
      <w:r w:rsidRPr="00FB4961">
        <w:rPr>
          <w:rStyle w:val="hps"/>
        </w:rPr>
        <w:tab/>
        <w:t>Ārkārtas situāciju infrastruktūras attīstīšana, piemēram, divvirzienu gāzes plūsmas;</w:t>
      </w:r>
    </w:p>
    <w:p w:rsidR="00946707" w:rsidRPr="00FB4961" w:rsidRDefault="00946707" w:rsidP="00B200D7">
      <w:pPr>
        <w:spacing w:after="120"/>
        <w:jc w:val="both"/>
        <w:rPr>
          <w:rStyle w:val="hps"/>
        </w:rPr>
      </w:pPr>
      <w:r w:rsidRPr="00FB4961">
        <w:rPr>
          <w:rStyle w:val="hps"/>
        </w:rPr>
        <w:t>-</w:t>
      </w:r>
      <w:r w:rsidRPr="00FB4961">
        <w:rPr>
          <w:rStyle w:val="hps"/>
        </w:rPr>
        <w:tab/>
        <w:t>Īstermiņa enerģijas pieprasījuma samazinājums;</w:t>
      </w:r>
    </w:p>
    <w:p w:rsidR="00946707" w:rsidRPr="00FB4961" w:rsidRDefault="00946707" w:rsidP="00B200D7">
      <w:pPr>
        <w:spacing w:after="120"/>
        <w:jc w:val="both"/>
        <w:rPr>
          <w:rStyle w:val="hps"/>
        </w:rPr>
      </w:pPr>
      <w:r w:rsidRPr="00FB4961">
        <w:rPr>
          <w:rStyle w:val="hps"/>
        </w:rPr>
        <w:t>-</w:t>
      </w:r>
      <w:r w:rsidRPr="00FB4961">
        <w:rPr>
          <w:rStyle w:val="hps"/>
        </w:rPr>
        <w:tab/>
        <w:t>Pāreja uz alternatīvajiem degvielas veidiem.</w:t>
      </w:r>
    </w:p>
    <w:p w:rsidR="00946707" w:rsidRPr="00FB4961" w:rsidRDefault="00946707" w:rsidP="00B200D7">
      <w:pPr>
        <w:spacing w:after="120"/>
        <w:jc w:val="both"/>
        <w:rPr>
          <w:rStyle w:val="hps"/>
        </w:rPr>
      </w:pPr>
      <w:r w:rsidRPr="00FB4961">
        <w:rPr>
          <w:rStyle w:val="hps"/>
        </w:rPr>
        <w:t>Stresa testiem būtu jākalpo par pamatu Eiropas ārkārtas un solidaritātes mehānismu stiprināšanai. ES arī būtu jāsadarbojas ar tās starp</w:t>
      </w:r>
      <w:r>
        <w:rPr>
          <w:rStyle w:val="hps"/>
        </w:rPr>
        <w:t>t</w:t>
      </w:r>
      <w:r w:rsidRPr="00FB4961">
        <w:rPr>
          <w:rStyle w:val="hps"/>
        </w:rPr>
        <w:t>a</w:t>
      </w:r>
      <w:r>
        <w:rPr>
          <w:rStyle w:val="hps"/>
        </w:rPr>
        <w:t>u</w:t>
      </w:r>
      <w:r w:rsidRPr="00FB4961">
        <w:rPr>
          <w:rStyle w:val="hps"/>
        </w:rPr>
        <w:t>tiskajie</w:t>
      </w:r>
      <w:r>
        <w:rPr>
          <w:rStyle w:val="hps"/>
        </w:rPr>
        <w:t xml:space="preserve">m partneriem ar mērķi attīstīt </w:t>
      </w:r>
      <w:r w:rsidRPr="00FB4961">
        <w:rPr>
          <w:rStyle w:val="hps"/>
        </w:rPr>
        <w:t xml:space="preserve">jaunus dabas gāzes un dabas gāzes krātuvju solidaritātes mehānismus. </w:t>
      </w:r>
    </w:p>
    <w:p w:rsidR="00946707" w:rsidRPr="00FB4961" w:rsidRDefault="00946707" w:rsidP="00B200D7">
      <w:pPr>
        <w:spacing w:after="120"/>
        <w:jc w:val="both"/>
        <w:rPr>
          <w:rStyle w:val="hps"/>
          <w:i/>
        </w:rPr>
      </w:pPr>
      <w:r w:rsidRPr="00FB4961">
        <w:rPr>
          <w:rStyle w:val="hps"/>
          <w:i/>
        </w:rPr>
        <w:t>Vidēja termiņa un ilgtermiņa pasākumi</w:t>
      </w:r>
    </w:p>
    <w:p w:rsidR="00946707" w:rsidRPr="00FB4961" w:rsidRDefault="00946707" w:rsidP="00B200D7">
      <w:pPr>
        <w:spacing w:after="120"/>
        <w:jc w:val="both"/>
        <w:rPr>
          <w:rStyle w:val="hps"/>
        </w:rPr>
      </w:pPr>
      <w:r w:rsidRPr="00FB4961">
        <w:rPr>
          <w:rStyle w:val="hps"/>
        </w:rPr>
        <w:t>Papildus īstermiņa pasākumiem, stratēģijā tiek izvirzītas vadlīnijas arī vidēja un ilgtermiņa piegādes drošības izaicinājumu risināšanai. Tiek piedāvātas aktivitātes piecos atslēgas sektoros:</w:t>
      </w:r>
    </w:p>
    <w:p w:rsidR="00946707" w:rsidRPr="00FB4961" w:rsidRDefault="00946707" w:rsidP="00B200D7">
      <w:pPr>
        <w:spacing w:after="120"/>
        <w:jc w:val="both"/>
        <w:rPr>
          <w:rStyle w:val="hps"/>
        </w:rPr>
      </w:pPr>
      <w:r w:rsidRPr="00FB4961">
        <w:rPr>
          <w:rStyle w:val="hps"/>
        </w:rPr>
        <w:t>1)</w:t>
      </w:r>
      <w:r w:rsidRPr="00FB4961">
        <w:rPr>
          <w:rStyle w:val="hps"/>
        </w:rPr>
        <w:tab/>
        <w:t>Veicināt energoefektivitāti, sasniedzot izvirzītos 2030 enerģētikas un klimata mērķus. Šajā sektorā prioritātes tiek fokusētas ap būvniecības un industrijas sektoru, kuru ietvaros tiek patērēti attiecīgi 40% un 25% no ES kopēj</w:t>
      </w:r>
      <w:r>
        <w:rPr>
          <w:rStyle w:val="hps"/>
        </w:rPr>
        <w:t>ā</w:t>
      </w:r>
      <w:r w:rsidRPr="00FB4961">
        <w:rPr>
          <w:rStyle w:val="hps"/>
        </w:rPr>
        <w:t xml:space="preserve"> enerģijas patēriņa. Vienlaikus ir svarīgi palīdzēt samazināt enerģijas patēriņu patērētājiem, piemēram, nodrošinot skaidru informāciju par enerģijas cenām un ieviešot “viedos”</w:t>
      </w:r>
      <w:r>
        <w:rPr>
          <w:rStyle w:val="hps"/>
        </w:rPr>
        <w:t xml:space="preserve"> </w:t>
      </w:r>
      <w:r w:rsidRPr="00FB4961">
        <w:rPr>
          <w:rStyle w:val="hps"/>
        </w:rPr>
        <w:t xml:space="preserve">skaitītājus. </w:t>
      </w:r>
    </w:p>
    <w:p w:rsidR="00946707" w:rsidRPr="00FB4961" w:rsidRDefault="00946707" w:rsidP="00B200D7">
      <w:pPr>
        <w:spacing w:after="120"/>
        <w:jc w:val="both"/>
        <w:rPr>
          <w:rStyle w:val="hps"/>
        </w:rPr>
      </w:pPr>
      <w:r w:rsidRPr="00FB4961">
        <w:rPr>
          <w:rStyle w:val="hps"/>
        </w:rPr>
        <w:t>2)</w:t>
      </w:r>
      <w:r w:rsidRPr="00FB4961">
        <w:rPr>
          <w:rStyle w:val="hps"/>
        </w:rPr>
        <w:tab/>
        <w:t>Veicināt enerģijas ražošanu ES un diversificēt piegādes valstis un ceļus. Šie pasākumi ietver atjaunojamo energoresursu ražošanas turpmāku veicināšanu, ilgtspējīgu fosilo degvielu un drošu atomenerģijas ražošanu. Vienlaikus ir nozīmīgi veicināt dialogu ar lielākajiem energoresursu piegādātājiem- Krieviju, Norvēģiju vai Saūda Arābiju, kā arī ar partneriem Kaspijas jūras reģionā.</w:t>
      </w:r>
    </w:p>
    <w:p w:rsidR="00946707" w:rsidRPr="00FB4961" w:rsidRDefault="00946707" w:rsidP="00B200D7">
      <w:pPr>
        <w:spacing w:after="120"/>
        <w:jc w:val="both"/>
        <w:rPr>
          <w:rStyle w:val="hps"/>
        </w:rPr>
      </w:pPr>
      <w:r w:rsidRPr="00FB4961">
        <w:rPr>
          <w:rStyle w:val="hps"/>
        </w:rPr>
        <w:t>3)</w:t>
      </w:r>
      <w:r w:rsidRPr="00FB4961">
        <w:rPr>
          <w:rStyle w:val="hps"/>
        </w:rPr>
        <w:tab/>
        <w:t xml:space="preserve">ES iekšējā enerģijas tirgus pabeigšana un trūkstošo infrastruktūras </w:t>
      </w:r>
      <w:proofErr w:type="spellStart"/>
      <w:r w:rsidRPr="00FB4961">
        <w:rPr>
          <w:rStyle w:val="hps"/>
        </w:rPr>
        <w:t>starpsavienojumu</w:t>
      </w:r>
      <w:proofErr w:type="spellEnd"/>
      <w:r w:rsidRPr="00FB4961">
        <w:rPr>
          <w:rStyle w:val="hps"/>
        </w:rPr>
        <w:t xml:space="preserve"> izveide, lai spētu ātri un efektīvi reaģēt uz piegādes traucējumiem un atjaunot enerģijas plūsmas ES ietvaros.</w:t>
      </w:r>
    </w:p>
    <w:p w:rsidR="00946707" w:rsidRPr="00FB4961" w:rsidRDefault="00946707" w:rsidP="00B200D7">
      <w:pPr>
        <w:spacing w:after="120"/>
        <w:jc w:val="both"/>
        <w:rPr>
          <w:rStyle w:val="hps"/>
        </w:rPr>
      </w:pPr>
      <w:r w:rsidRPr="00FB4961">
        <w:rPr>
          <w:rStyle w:val="hps"/>
        </w:rPr>
        <w:t>4)</w:t>
      </w:r>
      <w:r w:rsidRPr="00FB4961">
        <w:rPr>
          <w:rStyle w:val="hps"/>
        </w:rPr>
        <w:tab/>
        <w:t>ES vienotas balss enerģētikas ārpolitikas īstenošana, tostarp veicinot to, lai dalībvalstis laicīgi informētu Eiropas Komisiju par plānotajiem līgumiem ar trešajām valstīm, kuri var potenciāli ietekmēt ES piegādes drošību.</w:t>
      </w:r>
    </w:p>
    <w:p w:rsidR="00946707" w:rsidRDefault="00946707" w:rsidP="00B200D7">
      <w:pPr>
        <w:spacing w:after="120"/>
        <w:jc w:val="both"/>
        <w:rPr>
          <w:rStyle w:val="hps"/>
        </w:rPr>
      </w:pPr>
      <w:r w:rsidRPr="00FB4961">
        <w:rPr>
          <w:rStyle w:val="hps"/>
        </w:rPr>
        <w:t>5)</w:t>
      </w:r>
      <w:r w:rsidRPr="00FB4961">
        <w:rPr>
          <w:rStyle w:val="hps"/>
        </w:rPr>
        <w:tab/>
        <w:t>Ārkārtas un solidaritātes mehānis</w:t>
      </w:r>
      <w:r>
        <w:rPr>
          <w:rStyle w:val="hps"/>
        </w:rPr>
        <w:t xml:space="preserve">mu stiprināšana un kritiskās </w:t>
      </w:r>
      <w:proofErr w:type="spellStart"/>
      <w:r>
        <w:rPr>
          <w:rStyle w:val="hps"/>
        </w:rPr>
        <w:t>in</w:t>
      </w:r>
      <w:r w:rsidRPr="00FB4961">
        <w:rPr>
          <w:rStyle w:val="hps"/>
        </w:rPr>
        <w:t>frastuktūras</w:t>
      </w:r>
      <w:proofErr w:type="spellEnd"/>
      <w:r w:rsidRPr="00FB4961">
        <w:rPr>
          <w:rStyle w:val="hps"/>
        </w:rPr>
        <w:t xml:space="preserve"> aizsargāšana,</w:t>
      </w:r>
      <w:r>
        <w:rPr>
          <w:rStyle w:val="hps"/>
        </w:rPr>
        <w:t xml:space="preserve"> </w:t>
      </w:r>
      <w:r w:rsidRPr="00FB4961">
        <w:rPr>
          <w:rStyle w:val="hps"/>
        </w:rPr>
        <w:t>vienlaikus veicinot koordināciju starp dalībvalstīm ar mērķi izmantot esošās dabas gāzes krātuves, attīstīt divvirzienu plūsmas un īstenot riska novērtējuma pasākumus un piegādes drošības plānus izstrādāt reģionālā un ES līmenī.</w:t>
      </w:r>
    </w:p>
    <w:p w:rsidR="00946707" w:rsidRPr="004015DE" w:rsidRDefault="00946707" w:rsidP="00B200D7">
      <w:pPr>
        <w:spacing w:after="120"/>
        <w:jc w:val="both"/>
        <w:rPr>
          <w:rStyle w:val="hps"/>
        </w:rPr>
      </w:pPr>
    </w:p>
    <w:p w:rsidR="00946707" w:rsidRPr="00442EDF" w:rsidRDefault="00946707" w:rsidP="00B200D7">
      <w:pPr>
        <w:spacing w:after="120"/>
        <w:jc w:val="both"/>
        <w:rPr>
          <w:rStyle w:val="hps"/>
          <w:i/>
        </w:rPr>
      </w:pPr>
      <w:r w:rsidRPr="00442EDF">
        <w:rPr>
          <w:rStyle w:val="hps"/>
          <w:i/>
        </w:rPr>
        <w:t>c)</w:t>
      </w:r>
      <w:r>
        <w:rPr>
          <w:rStyle w:val="hps"/>
          <w:i/>
        </w:rPr>
        <w:t xml:space="preserve"> </w:t>
      </w:r>
      <w:r w:rsidRPr="00442EDF">
        <w:rPr>
          <w:rStyle w:val="hps"/>
          <w:i/>
        </w:rPr>
        <w:t>Eiropas Komisijas paziņojums „Klimata un enerģētikas satvars laika periodam no 2020. – 2030.gadam” (sagatavota nacionālā pozīcija Nr.2 (apstiprināta 2014.gada 3.jūnijā)</w:t>
      </w:r>
    </w:p>
    <w:p w:rsidR="00946707" w:rsidRPr="004E204E" w:rsidRDefault="00946707" w:rsidP="004E204E">
      <w:pPr>
        <w:pStyle w:val="Typedudocument"/>
        <w:spacing w:before="0" w:after="60"/>
        <w:jc w:val="both"/>
        <w:rPr>
          <w:b w:val="0"/>
          <w:color w:val="000000"/>
        </w:rPr>
      </w:pPr>
      <w:r w:rsidRPr="004E204E">
        <w:rPr>
          <w:b w:val="0"/>
          <w:color w:val="000000"/>
        </w:rPr>
        <w:t xml:space="preserve">Eiropas Komisija </w:t>
      </w:r>
      <w:r>
        <w:rPr>
          <w:b w:val="0"/>
          <w:color w:val="000000"/>
        </w:rPr>
        <w:t>2014.gada</w:t>
      </w:r>
      <w:r w:rsidRPr="004E204E">
        <w:rPr>
          <w:b w:val="0"/>
          <w:color w:val="000000"/>
        </w:rPr>
        <w:t xml:space="preserve"> 22.janvārī publiskoja paziņojumu par Klimata un enerģētikas politikas satvaru laika posmam no 2020.gada līdz 2030.gadam (turpmāk – KEPS2030). Paziņojuma mērķis ir iezīmēt</w:t>
      </w:r>
      <w:r w:rsidRPr="004E204E">
        <w:rPr>
          <w:color w:val="000000"/>
        </w:rPr>
        <w:t xml:space="preserve"> </w:t>
      </w:r>
      <w:r w:rsidRPr="004E204E">
        <w:rPr>
          <w:b w:val="0"/>
          <w:color w:val="000000"/>
        </w:rPr>
        <w:t xml:space="preserve">ES klimata un enerģētikas politikas ietvaru laika posmam no </w:t>
      </w:r>
      <w:r w:rsidRPr="004E204E">
        <w:rPr>
          <w:b w:val="0"/>
          <w:color w:val="000000"/>
        </w:rPr>
        <w:lastRenderedPageBreak/>
        <w:t xml:space="preserve">2020. līdz 2030.gadam, </w:t>
      </w:r>
      <w:proofErr w:type="spellStart"/>
      <w:r w:rsidRPr="004E204E">
        <w:rPr>
          <w:b w:val="0"/>
          <w:color w:val="000000"/>
        </w:rPr>
        <w:t>t.sk</w:t>
      </w:r>
      <w:proofErr w:type="spellEnd"/>
      <w:r w:rsidRPr="004E204E">
        <w:rPr>
          <w:b w:val="0"/>
          <w:color w:val="000000"/>
        </w:rPr>
        <w:t xml:space="preserve">. nosakot ES dalībvalstīm kopīgi sasniedzamos mērķus klimata pārmaiņu mazināšanas un enerģētikas jomā. </w:t>
      </w:r>
    </w:p>
    <w:p w:rsidR="00946707" w:rsidRPr="004E204E" w:rsidRDefault="00946707" w:rsidP="004E204E">
      <w:pPr>
        <w:spacing w:after="60"/>
        <w:rPr>
          <w:color w:val="000000"/>
        </w:rPr>
      </w:pPr>
      <w:r w:rsidRPr="004E204E">
        <w:rPr>
          <w:color w:val="000000"/>
        </w:rPr>
        <w:t>KEPS2030 galvenie elementi:</w:t>
      </w:r>
    </w:p>
    <w:p w:rsidR="00946707" w:rsidRPr="004E204E" w:rsidRDefault="00946707" w:rsidP="004E204E">
      <w:pPr>
        <w:pStyle w:val="ListParagraph"/>
        <w:numPr>
          <w:ilvl w:val="0"/>
          <w:numId w:val="16"/>
        </w:numPr>
        <w:suppressAutoHyphens/>
        <w:autoSpaceDN w:val="0"/>
        <w:spacing w:after="60"/>
        <w:ind w:left="397" w:hanging="340"/>
        <w:contextualSpacing w:val="0"/>
        <w:jc w:val="both"/>
        <w:textAlignment w:val="baseline"/>
        <w:rPr>
          <w:color w:val="000000"/>
        </w:rPr>
      </w:pPr>
      <w:r w:rsidRPr="004E204E">
        <w:rPr>
          <w:color w:val="000000"/>
        </w:rPr>
        <w:t>ES dalībvalstu kopīgais SEG emisiju samazinājuma mērķis 2030.gadā – Eiropas Komisija ierosina noteikt ES dalībvalstu kopīgo siltumnīcefekta gāzu emisiju samazināšanas mērķi</w:t>
      </w:r>
      <w:r>
        <w:rPr>
          <w:color w:val="000000"/>
        </w:rPr>
        <w:t>:</w:t>
      </w:r>
      <w:r w:rsidRPr="004E204E">
        <w:rPr>
          <w:color w:val="000000"/>
        </w:rPr>
        <w:t xml:space="preserve"> 40% SEG emisiju samazinājums 2030.gadā salīdzinot ar 1990.gada kopējo ES dalībvalstu SEG emisiju apjomu. </w:t>
      </w:r>
    </w:p>
    <w:p w:rsidR="00946707" w:rsidRPr="004E204E" w:rsidRDefault="00946707" w:rsidP="004E204E">
      <w:pPr>
        <w:pStyle w:val="ListParagraph"/>
        <w:numPr>
          <w:ilvl w:val="0"/>
          <w:numId w:val="16"/>
        </w:numPr>
        <w:suppressAutoHyphens/>
        <w:autoSpaceDN w:val="0"/>
        <w:spacing w:after="60"/>
        <w:ind w:left="397" w:hanging="340"/>
        <w:contextualSpacing w:val="0"/>
        <w:jc w:val="both"/>
        <w:textAlignment w:val="baseline"/>
        <w:rPr>
          <w:color w:val="000000"/>
        </w:rPr>
      </w:pPr>
      <w:r w:rsidRPr="004E204E">
        <w:rPr>
          <w:color w:val="000000"/>
        </w:rPr>
        <w:t xml:space="preserve">Atjaunojamās enerģijas mērķis 2030.gadā - Eiropas Komisija ierosina noteikt saistošu atjaunojamās enerģijas (turpmāk – AE) kopīgo mērķi ES dalībvalstīm; AE īpatsvaram kopējā patērētajā enerģijā ir jābūt ne mazāk kā 27%, tomēr dalībvalstīm tiek dotas tiesības pašām noteikt nacionāla līmeņa mērķus, kuru summa nodrošinātu ES līmeņa mērķa īstenošanu. </w:t>
      </w:r>
    </w:p>
    <w:p w:rsidR="00946707" w:rsidRPr="004E204E" w:rsidRDefault="00946707" w:rsidP="004E204E">
      <w:pPr>
        <w:pStyle w:val="ListParagraph"/>
        <w:numPr>
          <w:ilvl w:val="0"/>
          <w:numId w:val="16"/>
        </w:numPr>
        <w:suppressAutoHyphens/>
        <w:autoSpaceDN w:val="0"/>
        <w:spacing w:after="60"/>
        <w:ind w:left="397" w:hanging="340"/>
        <w:contextualSpacing w:val="0"/>
        <w:jc w:val="both"/>
        <w:textAlignment w:val="baseline"/>
      </w:pPr>
      <w:r w:rsidRPr="004E204E">
        <w:rPr>
          <w:color w:val="000000"/>
        </w:rPr>
        <w:t xml:space="preserve">Energoefektivitātes (turpmāk – EE) uzlabošana - ES pastāv plaša politiskā vienprātība, ka uzlabota EE dod būtisku ieguldījumu, lai īstenotu klimata un enerģētikas politikas galvenos mērķus, arī attiecībā uz konkurētspējas uzlabošanu, energoapgādes drošību, ilgtspēju un pāreju uz ekonomiku ar zemu oglekļa emisiju līmeni. </w:t>
      </w:r>
    </w:p>
    <w:p w:rsidR="00946707" w:rsidRPr="004E204E" w:rsidRDefault="00946707" w:rsidP="004E204E">
      <w:pPr>
        <w:pStyle w:val="ListParagraph"/>
        <w:spacing w:after="60"/>
        <w:ind w:left="57"/>
        <w:jc w:val="both"/>
        <w:rPr>
          <w:rStyle w:val="hps"/>
        </w:rPr>
      </w:pPr>
      <w:r w:rsidRPr="004E204E">
        <w:rPr>
          <w:color w:val="000000"/>
        </w:rPr>
        <w:t>Neformāl</w:t>
      </w:r>
      <w:r>
        <w:rPr>
          <w:color w:val="000000"/>
        </w:rPr>
        <w:t>ajā ES</w:t>
      </w:r>
      <w:r w:rsidRPr="004E204E">
        <w:rPr>
          <w:color w:val="000000"/>
        </w:rPr>
        <w:t xml:space="preserve"> </w:t>
      </w:r>
      <w:r>
        <w:rPr>
          <w:color w:val="000000"/>
        </w:rPr>
        <w:t>e</w:t>
      </w:r>
      <w:r w:rsidRPr="004E204E">
        <w:rPr>
          <w:color w:val="000000"/>
        </w:rPr>
        <w:t xml:space="preserve">nerģētikas </w:t>
      </w:r>
      <w:r>
        <w:rPr>
          <w:color w:val="000000"/>
        </w:rPr>
        <w:t>ministru sanāksmē</w:t>
      </w:r>
      <w:r w:rsidRPr="004E204E">
        <w:rPr>
          <w:color w:val="000000"/>
        </w:rPr>
        <w:t xml:space="preserve"> </w:t>
      </w:r>
      <w:r>
        <w:rPr>
          <w:color w:val="000000"/>
        </w:rPr>
        <w:t xml:space="preserve">2014.g. </w:t>
      </w:r>
      <w:r w:rsidRPr="004E204E">
        <w:rPr>
          <w:color w:val="000000"/>
        </w:rPr>
        <w:t>15</w:t>
      </w:r>
      <w:r>
        <w:rPr>
          <w:color w:val="000000"/>
        </w:rPr>
        <w:t>.</w:t>
      </w:r>
      <w:r w:rsidRPr="004E204E">
        <w:rPr>
          <w:color w:val="000000"/>
        </w:rPr>
        <w:t xml:space="preserve"> – 16.maijā attiecībā uz pārvaldības procesu uzsvars tika likts uz elastību ES dalībvalstīm izvēlēties izmaksu ziņā efektīvākos pasākumus AE mērķa sasniegšanai, ņemot vērā nacionālās īpatnības un enerģijas </w:t>
      </w:r>
      <w:proofErr w:type="spellStart"/>
      <w:r w:rsidRPr="004E204E">
        <w:rPr>
          <w:color w:val="000000"/>
        </w:rPr>
        <w:t>mix</w:t>
      </w:r>
      <w:proofErr w:type="spellEnd"/>
      <w:r w:rsidRPr="004E204E">
        <w:rPr>
          <w:color w:val="000000"/>
        </w:rPr>
        <w:t xml:space="preserve">, un saderīgumu ar citām nozaru politikām un KEPS2030 mērķiem. Nacionālajos AE plānos ir nepieciešams atspoguļot šādus kopējos mērķus (konkurētspēja, piegāžu drošība un </w:t>
      </w:r>
      <w:proofErr w:type="spellStart"/>
      <w:r w:rsidRPr="004E204E">
        <w:rPr>
          <w:color w:val="000000"/>
        </w:rPr>
        <w:t>ilgtspējība</w:t>
      </w:r>
      <w:proofErr w:type="spellEnd"/>
      <w:r w:rsidRPr="004E204E">
        <w:rPr>
          <w:color w:val="000000"/>
        </w:rPr>
        <w:t>) un izstrādājot nacionālos plānus ir jāsadarbojas ar kaimiņvalstīm. Diskusijas par pārvaldības procesu tiks turpinātas arī Itālijas prezidentūras laikā.</w:t>
      </w:r>
    </w:p>
    <w:p w:rsidR="00946707" w:rsidRDefault="00946707" w:rsidP="00B200D7">
      <w:pPr>
        <w:spacing w:after="120"/>
        <w:jc w:val="both"/>
        <w:rPr>
          <w:rStyle w:val="hps"/>
        </w:rPr>
      </w:pPr>
    </w:p>
    <w:p w:rsidR="00946707" w:rsidRPr="00780DA7" w:rsidRDefault="00946707" w:rsidP="00B200D7">
      <w:pPr>
        <w:spacing w:after="120"/>
        <w:jc w:val="both"/>
        <w:rPr>
          <w:rStyle w:val="hps"/>
        </w:rPr>
      </w:pPr>
      <w:r>
        <w:rPr>
          <w:rStyle w:val="hps"/>
        </w:rPr>
        <w:t>Lai veicinātu diskusiju TTE padomē, Grieķijas prezidentūra ir sagatavojusi 3 diskusiju jautājumus ministriem:</w:t>
      </w:r>
    </w:p>
    <w:p w:rsidR="00946707" w:rsidRPr="006C6E9F" w:rsidRDefault="00946707" w:rsidP="00B200D7">
      <w:pPr>
        <w:spacing w:after="120"/>
        <w:jc w:val="both"/>
        <w:rPr>
          <w:rStyle w:val="hps"/>
          <w:b/>
          <w:i/>
        </w:rPr>
      </w:pPr>
      <w:r w:rsidRPr="006C6E9F">
        <w:rPr>
          <w:rStyle w:val="hps"/>
          <w:b/>
          <w:i/>
        </w:rPr>
        <w:t>1) Ņemot vērā Komisijas paziņojumu par Eiropas Enerģētiskās drošības stratēģiju, vai delegācijām ir priekšlikumi izmaiņām un papildinājumiem 2.pielikumam, ja jā, tad kādi?</w:t>
      </w:r>
    </w:p>
    <w:p w:rsidR="00946707" w:rsidRPr="006C6E9F" w:rsidRDefault="00946707" w:rsidP="00787F8C">
      <w:pPr>
        <w:spacing w:after="120"/>
        <w:jc w:val="both"/>
        <w:rPr>
          <w:rStyle w:val="hps"/>
          <w:u w:val="single"/>
        </w:rPr>
      </w:pPr>
      <w:r w:rsidRPr="006C6E9F">
        <w:rPr>
          <w:rStyle w:val="hps"/>
          <w:i/>
          <w:u w:val="single"/>
        </w:rPr>
        <w:t>Latvijas nostāja:</w:t>
      </w:r>
    </w:p>
    <w:p w:rsidR="00946707" w:rsidRDefault="00946707" w:rsidP="00B200D7">
      <w:pPr>
        <w:spacing w:after="120"/>
        <w:jc w:val="both"/>
        <w:rPr>
          <w:rStyle w:val="hps"/>
        </w:rPr>
      </w:pPr>
      <w:r w:rsidRPr="00A83315">
        <w:rPr>
          <w:rStyle w:val="hps"/>
          <w:b/>
        </w:rPr>
        <w:t xml:space="preserve">Latvija </w:t>
      </w:r>
      <w:r>
        <w:rPr>
          <w:rStyle w:val="hps"/>
          <w:b/>
        </w:rPr>
        <w:t xml:space="preserve">uzskata, ka </w:t>
      </w:r>
      <w:r w:rsidRPr="000557A6">
        <w:rPr>
          <w:rStyle w:val="hps"/>
          <w:b/>
        </w:rPr>
        <w:t xml:space="preserve">Komisijas paziņojumā par Eiropas Enerģētiskās drošības stratēģiju </w:t>
      </w:r>
      <w:r>
        <w:rPr>
          <w:rStyle w:val="hps"/>
          <w:b/>
        </w:rPr>
        <w:t xml:space="preserve">ir izvirzītas galvenās enerģētiskās drošības prioritātes. </w:t>
      </w:r>
    </w:p>
    <w:p w:rsidR="00946707" w:rsidRDefault="00946707" w:rsidP="00B200D7">
      <w:pPr>
        <w:spacing w:after="120"/>
        <w:jc w:val="both"/>
        <w:rPr>
          <w:rStyle w:val="hps"/>
        </w:rPr>
      </w:pPr>
      <w:r>
        <w:rPr>
          <w:rStyle w:val="hps"/>
          <w:b/>
        </w:rPr>
        <w:t xml:space="preserve">Latvija īpaši vēlas izcelt tās prioritātes, kas </w:t>
      </w:r>
      <w:r>
        <w:rPr>
          <w:rStyle w:val="hps"/>
        </w:rPr>
        <w:t xml:space="preserve">vērstas uz </w:t>
      </w:r>
      <w:proofErr w:type="spellStart"/>
      <w:r>
        <w:rPr>
          <w:rStyle w:val="hps"/>
        </w:rPr>
        <w:t>starpsavienojumu</w:t>
      </w:r>
      <w:proofErr w:type="spellEnd"/>
      <w:r>
        <w:rPr>
          <w:rStyle w:val="hps"/>
        </w:rPr>
        <w:t xml:space="preserve"> stiprināšanu, enerģijas avotu un ceļu diversifikāciju, kā arī krātuvju kapacitātes stiprināšanu.</w:t>
      </w:r>
    </w:p>
    <w:p w:rsidR="00946707" w:rsidRDefault="00946707" w:rsidP="00B200D7">
      <w:pPr>
        <w:spacing w:after="120"/>
        <w:jc w:val="both"/>
        <w:rPr>
          <w:rStyle w:val="hps"/>
        </w:rPr>
      </w:pPr>
      <w:r w:rsidRPr="00C80C6A">
        <w:rPr>
          <w:rStyle w:val="hps"/>
          <w:b/>
        </w:rPr>
        <w:t xml:space="preserve">Latvija </w:t>
      </w:r>
      <w:r>
        <w:rPr>
          <w:rStyle w:val="hps"/>
          <w:b/>
        </w:rPr>
        <w:t xml:space="preserve">uzskata, ka </w:t>
      </w:r>
      <w:r>
        <w:rPr>
          <w:rStyle w:val="hps"/>
        </w:rPr>
        <w:t>Kurzemes loks un Latvijas-Igaunijas 3.starpsavienojums ir nozīmīgi enerģētiskās drošības stiprināšanas projekti un nākotnē būs nozīmīga sinhronizācijas ar ES iekšējiem tīkliem daļa. Kurzemes loks</w:t>
      </w:r>
      <w:r w:rsidRPr="00EC1287">
        <w:t xml:space="preserve"> ir daļa no lielāka – </w:t>
      </w:r>
      <w:proofErr w:type="spellStart"/>
      <w:r w:rsidRPr="00EC1287">
        <w:t>NordBalt</w:t>
      </w:r>
      <w:proofErr w:type="spellEnd"/>
      <w:r w:rsidRPr="00EC1287">
        <w:t xml:space="preserve"> – projekta, kura realizācijas ietvaros paredzēta Lietuvas – Zviedrijas </w:t>
      </w:r>
      <w:proofErr w:type="spellStart"/>
      <w:r w:rsidRPr="00EC1287">
        <w:t>starpsavienojuma</w:t>
      </w:r>
      <w:proofErr w:type="spellEnd"/>
      <w:r w:rsidRPr="00EC1287">
        <w:t xml:space="preserve"> izbūve, kā arī Latvijas un Lietuvas pārvades tīkla pastiprināšana.</w:t>
      </w:r>
      <w:r>
        <w:t xml:space="preserve"> Savukārt, Latvijas-Igaunijas 3.starpsavienojuma nodrošināšana ir nozīmīgs solis augstu elektroenerģijas cenu jautājuma risināšanai Latvijā un Lietuvā.</w:t>
      </w:r>
    </w:p>
    <w:p w:rsidR="00946707" w:rsidRPr="00C80C6A" w:rsidRDefault="00946707" w:rsidP="00B200D7">
      <w:pPr>
        <w:spacing w:after="120"/>
        <w:jc w:val="both"/>
        <w:rPr>
          <w:rStyle w:val="hps"/>
        </w:rPr>
      </w:pPr>
      <w:r>
        <w:rPr>
          <w:rStyle w:val="hps"/>
          <w:b/>
        </w:rPr>
        <w:t xml:space="preserve">Latvija uzskata, ka arī dabas gāzes krātuves ir </w:t>
      </w:r>
      <w:r w:rsidRPr="00B93BD5">
        <w:rPr>
          <w:rStyle w:val="hps"/>
        </w:rPr>
        <w:t>būtiska reģiona gāzes apgādes sistēmas sastāvdaļa</w:t>
      </w:r>
      <w:r>
        <w:rPr>
          <w:rStyle w:val="hps"/>
        </w:rPr>
        <w:t>.</w:t>
      </w:r>
      <w:r w:rsidDel="005030AF">
        <w:rPr>
          <w:rStyle w:val="hps"/>
          <w:b/>
        </w:rPr>
        <w:t xml:space="preserve"> </w:t>
      </w:r>
      <w:r w:rsidRPr="00C80C6A" w:rsidDel="005030AF">
        <w:rPr>
          <w:rStyle w:val="hps"/>
        </w:rPr>
        <w:t xml:space="preserve"> </w:t>
      </w:r>
      <w:r>
        <w:rPr>
          <w:rStyle w:val="hps"/>
        </w:rPr>
        <w:t xml:space="preserve">Īpaša uzmanība būtu jāpievērš Baltijas valstu reģionam, lai paaugstinātu krātuves potenciālu. </w:t>
      </w:r>
    </w:p>
    <w:p w:rsidR="00946707" w:rsidRPr="006C6E9F" w:rsidRDefault="00946707" w:rsidP="00B200D7">
      <w:pPr>
        <w:spacing w:after="120"/>
        <w:jc w:val="both"/>
        <w:rPr>
          <w:rStyle w:val="hps"/>
          <w:b/>
          <w:i/>
        </w:rPr>
      </w:pPr>
      <w:r w:rsidRPr="006C6E9F">
        <w:rPr>
          <w:rStyle w:val="hps"/>
          <w:b/>
          <w:i/>
        </w:rPr>
        <w:t xml:space="preserve">2) Enerģētiskās drošības atslēgas elements ir atbilstošo </w:t>
      </w:r>
      <w:proofErr w:type="spellStart"/>
      <w:r w:rsidRPr="006C6E9F">
        <w:rPr>
          <w:rStyle w:val="hps"/>
          <w:b/>
          <w:i/>
        </w:rPr>
        <w:t>starpsavienojumu</w:t>
      </w:r>
      <w:proofErr w:type="spellEnd"/>
      <w:r w:rsidRPr="006C6E9F">
        <w:rPr>
          <w:rStyle w:val="hps"/>
          <w:b/>
          <w:i/>
        </w:rPr>
        <w:t xml:space="preserve"> izveide. Tas ir arī svarīgs aspekts, lai pilnībā integrētu iekšējo tirgu, kā arī nodrošinātu elektrības ražošanas attīstību no alternatīvajiem avotiem. Ņemot vērā marta Eiropadomes secinājumus, </w:t>
      </w:r>
      <w:proofErr w:type="spellStart"/>
      <w:r w:rsidRPr="006C6E9F">
        <w:rPr>
          <w:rStyle w:val="hps"/>
          <w:b/>
          <w:i/>
        </w:rPr>
        <w:lastRenderedPageBreak/>
        <w:t>starpsavienojumu</w:t>
      </w:r>
      <w:proofErr w:type="spellEnd"/>
      <w:r w:rsidRPr="006C6E9F">
        <w:rPr>
          <w:rStyle w:val="hps"/>
          <w:b/>
          <w:i/>
        </w:rPr>
        <w:t xml:space="preserve"> jautājums ir svarīgs gan nosakot </w:t>
      </w:r>
      <w:proofErr w:type="spellStart"/>
      <w:r w:rsidRPr="006C6E9F">
        <w:rPr>
          <w:rStyle w:val="hps"/>
          <w:b/>
          <w:i/>
        </w:rPr>
        <w:t>starpsavienojumu</w:t>
      </w:r>
      <w:proofErr w:type="spellEnd"/>
      <w:r w:rsidRPr="006C6E9F">
        <w:rPr>
          <w:rStyle w:val="hps"/>
          <w:b/>
          <w:i/>
        </w:rPr>
        <w:t xml:space="preserve"> mērķi, gan atlasot un īstenojot Kopējas intereses projektus. Ņemot vērā šo pieeju, kas ir izklāstīta Komisijas paziņojumā par Eiropas enerģētiskās drošības stratēģiju:</w:t>
      </w:r>
    </w:p>
    <w:p w:rsidR="00946707" w:rsidRPr="006C6E9F" w:rsidRDefault="00946707" w:rsidP="00B200D7">
      <w:pPr>
        <w:spacing w:after="120"/>
        <w:jc w:val="both"/>
        <w:rPr>
          <w:rStyle w:val="hps"/>
          <w:b/>
          <w:i/>
        </w:rPr>
      </w:pPr>
      <w:r w:rsidRPr="006C6E9F">
        <w:rPr>
          <w:rStyle w:val="hps"/>
          <w:b/>
          <w:i/>
        </w:rPr>
        <w:t xml:space="preserve">• Kā Jūs definētu </w:t>
      </w:r>
      <w:proofErr w:type="spellStart"/>
      <w:r w:rsidRPr="006C6E9F">
        <w:rPr>
          <w:rStyle w:val="hps"/>
          <w:b/>
          <w:i/>
        </w:rPr>
        <w:t>starpsavienojumu</w:t>
      </w:r>
      <w:proofErr w:type="spellEnd"/>
      <w:r w:rsidRPr="006C6E9F">
        <w:rPr>
          <w:rStyle w:val="hps"/>
          <w:b/>
          <w:i/>
        </w:rPr>
        <w:t xml:space="preserve"> mērķus KEPS2030 ietvarā un pamatojoties uz kādiem kritērijiem?</w:t>
      </w:r>
    </w:p>
    <w:p w:rsidR="00946707" w:rsidRPr="006C6E9F" w:rsidRDefault="00946707" w:rsidP="00B200D7">
      <w:pPr>
        <w:spacing w:after="120"/>
        <w:jc w:val="both"/>
        <w:rPr>
          <w:rStyle w:val="hps"/>
          <w:b/>
          <w:i/>
        </w:rPr>
      </w:pPr>
      <w:r w:rsidRPr="006C6E9F">
        <w:rPr>
          <w:rStyle w:val="hps"/>
          <w:b/>
          <w:i/>
        </w:rPr>
        <w:t>• Ņemot vērā kritērijus, kas jau ir noteikti TEN -E regulā, vai jūs redzat nepieciešamību noteiktiem Kopējas intereses projektiem piešķirt augstāku prioritāti?</w:t>
      </w:r>
    </w:p>
    <w:p w:rsidR="00946707" w:rsidRPr="006C6E9F" w:rsidRDefault="00946707" w:rsidP="00B200D7">
      <w:pPr>
        <w:spacing w:after="120"/>
        <w:jc w:val="both"/>
        <w:rPr>
          <w:rStyle w:val="hps"/>
          <w:u w:val="single"/>
        </w:rPr>
      </w:pPr>
      <w:r w:rsidRPr="006C6E9F">
        <w:rPr>
          <w:rStyle w:val="hps"/>
          <w:i/>
          <w:u w:val="single"/>
        </w:rPr>
        <w:t>Latvijas nostāja:</w:t>
      </w:r>
    </w:p>
    <w:p w:rsidR="00946707" w:rsidRDefault="00946707" w:rsidP="00B200D7">
      <w:pPr>
        <w:spacing w:after="120"/>
        <w:jc w:val="both"/>
        <w:rPr>
          <w:rStyle w:val="hps"/>
        </w:rPr>
      </w:pPr>
      <w:r w:rsidRPr="007318AC">
        <w:rPr>
          <w:rStyle w:val="hps"/>
          <w:b/>
        </w:rPr>
        <w:t>Latvijai nav iebildumu</w:t>
      </w:r>
      <w:r>
        <w:rPr>
          <w:rStyle w:val="hps"/>
        </w:rPr>
        <w:t xml:space="preserve"> pret KEPS2030 noteiktajiem kritērijiem Kopējas intereses projektu prioritātes pakāpes noteikšanā. </w:t>
      </w:r>
    </w:p>
    <w:p w:rsidR="00946707" w:rsidRDefault="00946707" w:rsidP="00B200D7">
      <w:pPr>
        <w:spacing w:after="120"/>
        <w:jc w:val="both"/>
        <w:rPr>
          <w:rStyle w:val="hps"/>
        </w:rPr>
      </w:pPr>
      <w:r>
        <w:rPr>
          <w:rStyle w:val="hps"/>
        </w:rPr>
        <w:t xml:space="preserve">Šajā kontekstā </w:t>
      </w:r>
      <w:r w:rsidRPr="007318AC">
        <w:rPr>
          <w:rStyle w:val="hps"/>
          <w:b/>
        </w:rPr>
        <w:t>Latvija vēlas izcelt</w:t>
      </w:r>
      <w:r>
        <w:rPr>
          <w:rStyle w:val="hps"/>
        </w:rPr>
        <w:t xml:space="preserve"> to, ka, nosakot projektu svarīguma pakāpi, būtiski ievērot divus galvenos pamatprincipus: 1) ietekme uz enerģijas piegādes drošību un 2) ekonomiskais lietderīgums. </w:t>
      </w:r>
    </w:p>
    <w:p w:rsidR="00946707" w:rsidRPr="00780DA7" w:rsidRDefault="00946707" w:rsidP="00B200D7">
      <w:pPr>
        <w:spacing w:after="120"/>
        <w:jc w:val="both"/>
        <w:rPr>
          <w:rStyle w:val="hps"/>
        </w:rPr>
      </w:pPr>
      <w:r>
        <w:rPr>
          <w:rStyle w:val="hps"/>
          <w:b/>
        </w:rPr>
        <w:t xml:space="preserve">Latvija īpaši atbalsta </w:t>
      </w:r>
      <w:r>
        <w:rPr>
          <w:rStyle w:val="hps"/>
        </w:rPr>
        <w:t xml:space="preserve">esošo prioritāti </w:t>
      </w:r>
      <w:proofErr w:type="spellStart"/>
      <w:r>
        <w:rPr>
          <w:rStyle w:val="hps"/>
        </w:rPr>
        <w:t>starpsavienojumu</w:t>
      </w:r>
      <w:proofErr w:type="spellEnd"/>
      <w:r>
        <w:rPr>
          <w:rStyle w:val="hps"/>
        </w:rPr>
        <w:t xml:space="preserve"> izveidē – reģionu izolācijas novēršanu.</w:t>
      </w:r>
    </w:p>
    <w:p w:rsidR="00946707" w:rsidRPr="006C6E9F" w:rsidRDefault="00946707" w:rsidP="00B200D7">
      <w:pPr>
        <w:spacing w:after="120"/>
        <w:jc w:val="both"/>
        <w:rPr>
          <w:rStyle w:val="hps"/>
          <w:b/>
          <w:i/>
        </w:rPr>
      </w:pPr>
      <w:r w:rsidRPr="006C6E9F">
        <w:rPr>
          <w:rStyle w:val="hps"/>
          <w:b/>
          <w:i/>
        </w:rPr>
        <w:t>3) Enerģētikas politika ES un nacionālaj</w:t>
      </w:r>
      <w:r>
        <w:rPr>
          <w:rStyle w:val="hps"/>
          <w:b/>
          <w:i/>
        </w:rPr>
        <w:t>os</w:t>
      </w:r>
      <w:r w:rsidRPr="006C6E9F">
        <w:rPr>
          <w:rStyle w:val="hps"/>
          <w:b/>
          <w:i/>
        </w:rPr>
        <w:t xml:space="preserve"> līmeņos ir daļa no KEPS2030 ietvara un dos ievērojamu pienesumu KEPS2030 īstenošanā. Balstoties uz iepriekšminēto, par kuru no būtiskajiem elementiem ir nepieciešams panākt vienošanos </w:t>
      </w:r>
      <w:proofErr w:type="spellStart"/>
      <w:r w:rsidRPr="006C6E9F">
        <w:rPr>
          <w:rStyle w:val="hps"/>
          <w:b/>
          <w:i/>
        </w:rPr>
        <w:t>š.g</w:t>
      </w:r>
      <w:proofErr w:type="spellEnd"/>
      <w:r w:rsidRPr="006C6E9F">
        <w:rPr>
          <w:rStyle w:val="hps"/>
          <w:b/>
          <w:i/>
        </w:rPr>
        <w:t>. oktobrī un par kuriem vienošanos varētu atlikt uz vēlāku laiku?</w:t>
      </w:r>
    </w:p>
    <w:p w:rsidR="00946707" w:rsidRPr="006C6E9F" w:rsidRDefault="00946707" w:rsidP="00B200D7">
      <w:pPr>
        <w:spacing w:after="120"/>
        <w:jc w:val="both"/>
        <w:rPr>
          <w:rStyle w:val="hps"/>
          <w:u w:val="single"/>
        </w:rPr>
      </w:pPr>
      <w:r w:rsidRPr="006C6E9F">
        <w:rPr>
          <w:rStyle w:val="hps"/>
          <w:i/>
          <w:u w:val="single"/>
        </w:rPr>
        <w:t>Latvijas nostāja:</w:t>
      </w:r>
    </w:p>
    <w:p w:rsidR="00946707" w:rsidRPr="00442EDF" w:rsidRDefault="00946707" w:rsidP="00B200D7">
      <w:pPr>
        <w:spacing w:after="120"/>
        <w:ind w:firstLine="720"/>
        <w:jc w:val="both"/>
        <w:rPr>
          <w:color w:val="000000"/>
        </w:rPr>
      </w:pPr>
      <w:r w:rsidRPr="00442EDF">
        <w:rPr>
          <w:color w:val="000000"/>
        </w:rPr>
        <w:t xml:space="preserve">Latvija var atbalstīt pieeju, ka </w:t>
      </w:r>
      <w:proofErr w:type="spellStart"/>
      <w:r w:rsidRPr="00442EDF">
        <w:rPr>
          <w:color w:val="000000"/>
        </w:rPr>
        <w:t>š.g</w:t>
      </w:r>
      <w:proofErr w:type="spellEnd"/>
      <w:r w:rsidRPr="00442EDF">
        <w:rPr>
          <w:color w:val="000000"/>
        </w:rPr>
        <w:t xml:space="preserve">. oktobra Eiropadomē tiek panākta vienošanās par kopīgo ES </w:t>
      </w:r>
      <w:r w:rsidRPr="00442EDF">
        <w:t xml:space="preserve">siltumnīcefekta gāzu </w:t>
      </w:r>
      <w:r w:rsidRPr="00442EDF">
        <w:rPr>
          <w:color w:val="000000"/>
        </w:rPr>
        <w:t>emisiju samazināšanas mērķi un</w:t>
      </w:r>
      <w:r w:rsidR="00780DA7">
        <w:rPr>
          <w:color w:val="000000"/>
        </w:rPr>
        <w:t xml:space="preserve"> ar to</w:t>
      </w:r>
      <w:r w:rsidRPr="00442EDF">
        <w:rPr>
          <w:color w:val="000000"/>
        </w:rPr>
        <w:t xml:space="preserve"> </w:t>
      </w:r>
      <w:r w:rsidRPr="00780DA7">
        <w:rPr>
          <w:color w:val="000000"/>
        </w:rPr>
        <w:t>saistīt</w:t>
      </w:r>
      <w:r w:rsidR="00780DA7" w:rsidRPr="00780DA7">
        <w:rPr>
          <w:color w:val="000000"/>
        </w:rPr>
        <w:t xml:space="preserve">iem </w:t>
      </w:r>
      <w:r w:rsidRPr="00780DA7">
        <w:rPr>
          <w:color w:val="000000"/>
        </w:rPr>
        <w:t>pārdales principiem,</w:t>
      </w:r>
      <w:r w:rsidRPr="00442EDF">
        <w:rPr>
          <w:color w:val="000000"/>
        </w:rPr>
        <w:t xml:space="preserve"> ja tiek ņemt</w:t>
      </w:r>
      <w:r>
        <w:rPr>
          <w:color w:val="000000"/>
        </w:rPr>
        <w:t>i</w:t>
      </w:r>
      <w:r w:rsidRPr="00442EDF">
        <w:rPr>
          <w:color w:val="000000"/>
        </w:rPr>
        <w:t xml:space="preserve"> vērā </w:t>
      </w:r>
      <w:r>
        <w:rPr>
          <w:color w:val="000000"/>
        </w:rPr>
        <w:t>šādi</w:t>
      </w:r>
      <w:r w:rsidRPr="00442EDF">
        <w:rPr>
          <w:color w:val="000000"/>
        </w:rPr>
        <w:t xml:space="preserve"> nosacījumi: </w:t>
      </w:r>
      <w:r w:rsidRPr="00442EDF">
        <w:t>SEG emisiju samazināšanas iespējas, konkurētspēja; vietējo energoresursu izmantošana, pārtikas drošība; p</w:t>
      </w:r>
      <w:r w:rsidRPr="00442EDF">
        <w:rPr>
          <w:color w:val="000000"/>
        </w:rPr>
        <w:t>eriodā pēc 2020.gada tiek nodrošināts adekvāts finansiālais atbalsts.</w:t>
      </w:r>
    </w:p>
    <w:p w:rsidR="00946707" w:rsidRPr="00442EDF" w:rsidRDefault="00946707" w:rsidP="00B200D7">
      <w:pPr>
        <w:spacing w:after="120"/>
        <w:ind w:firstLine="720"/>
        <w:jc w:val="both"/>
        <w:rPr>
          <w:color w:val="000000"/>
        </w:rPr>
      </w:pPr>
      <w:r w:rsidRPr="00442EDF">
        <w:rPr>
          <w:color w:val="000000"/>
        </w:rPr>
        <w:t>Paralēli tam Latvijai ir svarīgi atrisināt e</w:t>
      </w:r>
      <w:r w:rsidRPr="00442EDF">
        <w:t>nerģētiskās drošības jautājumu, nesaistot to ar SEG emisiju samazināšanas mērķiem vai pasākumiem. Latvijā alternatīvais vietējais kurināmais, kuru var izmantot enerģētiskās neatkarības palielināšanā, ir fosilais kurināmais – kūdra, kas</w:t>
      </w:r>
      <w:r>
        <w:t>,</w:t>
      </w:r>
      <w:r w:rsidRPr="00442EDF">
        <w:t xml:space="preserve"> savukārt</w:t>
      </w:r>
      <w:r>
        <w:t>,</w:t>
      </w:r>
      <w:r w:rsidRPr="00442EDF">
        <w:t xml:space="preserve"> ļoti negatīvi ietekmēs Latvijas iespējas izpildīt SEG emisiju samazināšanas saistības. </w:t>
      </w:r>
      <w:r w:rsidRPr="00442EDF">
        <w:rPr>
          <w:color w:val="000000"/>
        </w:rPr>
        <w:t xml:space="preserve">Enerģētikas sektorā ir svarīgi identificēt un īstenot tādus SEG emisiju samazināšanas pasākumus, kas neatstās negatīvu ietekmi uz enerģijas cenām, tādēļ rūpīgi jāizvērtē enerģētikas nozares (tai skaitā siltumenerģijas ražošanā) potenciāls ETS un ne-ETS sektoros veikt tālāku emisiju samazināšanu. </w:t>
      </w:r>
    </w:p>
    <w:p w:rsidR="00946707" w:rsidRPr="00442EDF" w:rsidRDefault="00946707" w:rsidP="00B200D7">
      <w:pPr>
        <w:spacing w:after="120"/>
        <w:ind w:firstLine="720"/>
        <w:jc w:val="both"/>
        <w:rPr>
          <w:b/>
          <w:color w:val="000000"/>
        </w:rPr>
      </w:pPr>
      <w:r w:rsidRPr="00442EDF">
        <w:rPr>
          <w:color w:val="000000"/>
        </w:rPr>
        <w:t xml:space="preserve">Attiecībā uz vienošanos par atjaunojamo energoresursu mērķa noteikšanu ES līmenī </w:t>
      </w:r>
      <w:proofErr w:type="spellStart"/>
      <w:r w:rsidRPr="00442EDF">
        <w:rPr>
          <w:color w:val="000000"/>
        </w:rPr>
        <w:t>š.g</w:t>
      </w:r>
      <w:proofErr w:type="spellEnd"/>
      <w:r w:rsidRPr="00442EDF">
        <w:rPr>
          <w:color w:val="000000"/>
        </w:rPr>
        <w:t>. oktobra Eiropadomē Latvija atbalsta saistoša AER mērķa noteikšanu ES līmenī 27%. Latvija norāda, ka AER mērķa noteikšana nedrīkst nozīmēt</w:t>
      </w:r>
      <w:r>
        <w:rPr>
          <w:color w:val="000000"/>
        </w:rPr>
        <w:t xml:space="preserve"> to</w:t>
      </w:r>
      <w:r w:rsidRPr="00442EDF">
        <w:rPr>
          <w:color w:val="000000"/>
        </w:rPr>
        <w:t>, ka dalībvalstīm arī tiek noteikti juridiski saistoši skaitliski mērķi vai rādītāji.</w:t>
      </w:r>
      <w:r w:rsidRPr="00442EDF">
        <w:rPr>
          <w:b/>
          <w:color w:val="000000"/>
        </w:rPr>
        <w:t xml:space="preserve"> </w:t>
      </w:r>
    </w:p>
    <w:p w:rsidR="00946707" w:rsidRDefault="00946707" w:rsidP="00780DA7">
      <w:pPr>
        <w:spacing w:after="120"/>
        <w:ind w:firstLine="737"/>
        <w:jc w:val="both"/>
        <w:rPr>
          <w:lang w:eastAsia="zh-CN"/>
        </w:rPr>
      </w:pPr>
      <w:r w:rsidRPr="00442EDF">
        <w:rPr>
          <w:color w:val="000000"/>
        </w:rPr>
        <w:t xml:space="preserve">Latvija uzskata, ka energoefektivitātes mērķa noteikšanas diskusija ir jāsaista ar </w:t>
      </w:r>
      <w:r w:rsidRPr="00442EDF">
        <w:t xml:space="preserve">rezultātiem, ko dos Energoefektivitātes direktīvā noteikto mērķu sasniegšanas izvērtējums. Līdz ar to vienošanās par šo mērķi </w:t>
      </w:r>
      <w:proofErr w:type="spellStart"/>
      <w:r w:rsidRPr="00442EDF">
        <w:t>š.g</w:t>
      </w:r>
      <w:proofErr w:type="spellEnd"/>
      <w:r w:rsidRPr="00442EDF">
        <w:t>. oktobra Eiropadomē ir pāragra.</w:t>
      </w:r>
      <w:r w:rsidRPr="005B42CC">
        <w:t xml:space="preserve"> </w:t>
      </w:r>
    </w:p>
    <w:p w:rsidR="001B7BBB" w:rsidRDefault="001B7BBB" w:rsidP="002A693D">
      <w:pPr>
        <w:rPr>
          <w:b/>
        </w:rPr>
      </w:pPr>
    </w:p>
    <w:p w:rsidR="001B7BBB" w:rsidRDefault="001B7BBB" w:rsidP="002A693D">
      <w:pPr>
        <w:rPr>
          <w:b/>
        </w:rPr>
      </w:pPr>
    </w:p>
    <w:p w:rsidR="001B7BBB" w:rsidRDefault="001B7BBB" w:rsidP="002A693D">
      <w:pPr>
        <w:rPr>
          <w:b/>
        </w:rPr>
      </w:pPr>
    </w:p>
    <w:p w:rsidR="001B7BBB" w:rsidRDefault="001B7BBB" w:rsidP="002A693D">
      <w:pPr>
        <w:rPr>
          <w:b/>
        </w:rPr>
      </w:pPr>
    </w:p>
    <w:p w:rsidR="00946707" w:rsidRPr="00042B95" w:rsidRDefault="00946707" w:rsidP="002A693D">
      <w:r w:rsidRPr="00861E84">
        <w:rPr>
          <w:b/>
        </w:rPr>
        <w:lastRenderedPageBreak/>
        <w:t>1.3. Padomes secinājumu projekts  “Enerģijas cenas un izmaksas, mazaizsargāto patērētāju aizsardzība un konkurētspēja”</w:t>
      </w:r>
      <w:r w:rsidR="001B7BBB">
        <w:rPr>
          <w:b/>
        </w:rPr>
        <w:t xml:space="preserve"> </w:t>
      </w:r>
      <w:r w:rsidR="001B7BBB" w:rsidRPr="001B7BBB">
        <w:t>(sagatavota nacionālā pozīcija)</w:t>
      </w:r>
      <w:r w:rsidR="001B7BBB">
        <w:rPr>
          <w:b/>
        </w:rPr>
        <w:t xml:space="preserve"> </w:t>
      </w:r>
      <w:r>
        <w:t xml:space="preserve"> – </w:t>
      </w:r>
      <w:r w:rsidRPr="00861E84">
        <w:rPr>
          <w:i/>
        </w:rPr>
        <w:t>apstiprināšana</w:t>
      </w:r>
    </w:p>
    <w:p w:rsidR="00946707" w:rsidRDefault="00946707" w:rsidP="002A693D">
      <w:pPr>
        <w:rPr>
          <w:i/>
        </w:rPr>
      </w:pPr>
    </w:p>
    <w:p w:rsidR="00946707" w:rsidRDefault="00946707" w:rsidP="002A693D">
      <w:pPr>
        <w:jc w:val="both"/>
      </w:pPr>
      <w:r>
        <w:t>Pamatojoties uz 2014.gada 23.janvāra Eiropas</w:t>
      </w:r>
      <w:r w:rsidRPr="00351EBF">
        <w:t xml:space="preserve"> </w:t>
      </w:r>
      <w:r>
        <w:t xml:space="preserve">Komisijas paziņojumu </w:t>
      </w:r>
      <w:r w:rsidRPr="00351EBF">
        <w:t>Eiropas Parlamentam, Padomei, Eiropas Ekonomikas un sociālo lietu komitejai un Reģionu komitejai „Enerģijas cenas un izmaksas Eiropā”</w:t>
      </w:r>
      <w:r>
        <w:t xml:space="preserve">, </w:t>
      </w:r>
      <w:r w:rsidRPr="007A21BC">
        <w:t xml:space="preserve">ES Padome </w:t>
      </w:r>
      <w:r>
        <w:t xml:space="preserve">2014.gada 2.jūnijā </w:t>
      </w:r>
      <w:r w:rsidRPr="007A21BC">
        <w:t>nāca klajā ar secinājum</w:t>
      </w:r>
      <w:r>
        <w:t xml:space="preserve">u projektu </w:t>
      </w:r>
      <w:r w:rsidRPr="007A21BC">
        <w:t>„Enerģijas cenas, izmaksas, mazaizsargāto patērētāju</w:t>
      </w:r>
      <w:r>
        <w:t xml:space="preserve"> aizsardzība un konkurētspēja” (turpmāk – Padomes secinājumi). 13.06.2014. TTE ministru padomē plānots apstiprināt Padomes secinājumus.</w:t>
      </w:r>
    </w:p>
    <w:p w:rsidR="00946707" w:rsidRDefault="00946707" w:rsidP="00942B08">
      <w:pPr>
        <w:jc w:val="both"/>
      </w:pPr>
      <w:r>
        <w:t>Padomes secinājumos tiek atspoguļotas galvenās vadlīnijas enerģijas cenu un izmaksu līmeņa stabilizācijai, koncentrējoties ap trīs enerģijas cenas un izmaksas iet</w:t>
      </w:r>
      <w:r w:rsidRPr="00942B08">
        <w:t xml:space="preserve">ekmējošiem pīlāriem: </w:t>
      </w:r>
      <w:r>
        <w:t>i</w:t>
      </w:r>
      <w:r w:rsidRPr="00942B08">
        <w:t xml:space="preserve">ekšējais enerģijas tirgus, ārējā dimensija un mazaizsargātie patērētāji. </w:t>
      </w:r>
    </w:p>
    <w:p w:rsidR="00946707" w:rsidRDefault="00946707" w:rsidP="00787F8C">
      <w:pPr>
        <w:spacing w:after="120"/>
        <w:ind w:left="360"/>
        <w:jc w:val="both"/>
        <w:rPr>
          <w:rStyle w:val="hps"/>
          <w:i/>
          <w:u w:val="single"/>
        </w:rPr>
      </w:pPr>
    </w:p>
    <w:p w:rsidR="00946707" w:rsidRPr="00787F8C" w:rsidRDefault="00946707" w:rsidP="00787F8C">
      <w:pPr>
        <w:spacing w:after="120"/>
        <w:ind w:left="360"/>
        <w:jc w:val="both"/>
        <w:rPr>
          <w:rStyle w:val="hps"/>
          <w:u w:val="single"/>
        </w:rPr>
      </w:pPr>
      <w:r w:rsidRPr="00787F8C">
        <w:rPr>
          <w:rStyle w:val="hps"/>
          <w:i/>
          <w:u w:val="single"/>
        </w:rPr>
        <w:t>Latvijas nostāja:</w:t>
      </w:r>
    </w:p>
    <w:tbl>
      <w:tblPr>
        <w:tblW w:w="9287" w:type="dxa"/>
        <w:tblLayout w:type="fixed"/>
        <w:tblLook w:val="0000" w:firstRow="0" w:lastRow="0" w:firstColumn="0" w:lastColumn="0" w:noHBand="0" w:noVBand="0"/>
      </w:tblPr>
      <w:tblGrid>
        <w:gridCol w:w="9287"/>
      </w:tblGrid>
      <w:tr w:rsidR="00946707" w:rsidRPr="00042B95" w:rsidTr="005673BF">
        <w:trPr>
          <w:trHeight w:val="538"/>
        </w:trPr>
        <w:tc>
          <w:tcPr>
            <w:tcW w:w="9287" w:type="dxa"/>
          </w:tcPr>
          <w:p w:rsidR="00946707" w:rsidRPr="00861E84" w:rsidRDefault="00946707" w:rsidP="00861E84">
            <w:pPr>
              <w:jc w:val="both"/>
            </w:pPr>
            <w:r w:rsidRPr="00861E84">
              <w:t>Latvija atbalsta Padomes secinājumus. Latvija uzskata, ka enerģijas cenu un izmaksu pieaugums mazina  ES globālo konkurētspēju, tāpēc Latvija vēlas uzsvērt, ka savlaicīgu politiku izstrāde problēmas novēršanai būs atslēgas elements cenu un izmaksu līmeņa stabilizācijai.</w:t>
            </w:r>
          </w:p>
          <w:p w:rsidR="00946707" w:rsidRPr="00861E84" w:rsidRDefault="00946707" w:rsidP="00861E84">
            <w:pPr>
              <w:pStyle w:val="BodyText2"/>
              <w:spacing w:after="120"/>
              <w:jc w:val="both"/>
              <w:rPr>
                <w:sz w:val="24"/>
              </w:rPr>
            </w:pPr>
            <w:r w:rsidRPr="00861E84">
              <w:rPr>
                <w:sz w:val="24"/>
              </w:rPr>
              <w:t xml:space="preserve">Latvija piekrīt, ka pastāv vairāki elementi, kas būtu jāņem vērā jautājumā par enerģijas cenām un izmaksām, un vēlas īpaši izcelt šādus aspektus: </w:t>
            </w:r>
          </w:p>
          <w:p w:rsidR="00946707" w:rsidRPr="00861E84" w:rsidRDefault="00946707" w:rsidP="00861E84">
            <w:pPr>
              <w:shd w:val="clear" w:color="auto" w:fill="FFFFFF"/>
              <w:jc w:val="both"/>
            </w:pPr>
            <w:r w:rsidRPr="00861E84">
              <w:t xml:space="preserve">Latvija atbalsta secinājumu, ka </w:t>
            </w:r>
            <w:proofErr w:type="spellStart"/>
            <w:r w:rsidRPr="00942B08">
              <w:rPr>
                <w:b/>
              </w:rPr>
              <w:t>starpsavienojumu</w:t>
            </w:r>
            <w:proofErr w:type="spellEnd"/>
            <w:r w:rsidRPr="00942B08">
              <w:rPr>
                <w:b/>
              </w:rPr>
              <w:t xml:space="preserve"> trūkums negatīvi ietekmē enerģijas cenas.</w:t>
            </w:r>
            <w:r w:rsidRPr="00861E84">
              <w:t xml:space="preserve"> Latvija piekrīt, ka enerģijas cenas un izmaksas ES ietvaros ir atšķirīgas, un integrētais iekšējais tirgus ir instruments, kas var palīdzēt risināt šo problēmu. </w:t>
            </w:r>
          </w:p>
          <w:p w:rsidR="00946707" w:rsidRPr="00861E84" w:rsidRDefault="00946707" w:rsidP="00861E84">
            <w:pPr>
              <w:shd w:val="clear" w:color="auto" w:fill="FFFFFF"/>
              <w:jc w:val="both"/>
            </w:pPr>
            <w:r w:rsidRPr="00861E84">
              <w:t xml:space="preserve">Latvija piekrīt, ka enerģētikas infrastruktūra ir atslēgas elements enerģētikas cenu līmeņa stabilizācijai un ES globālās konkurētspējas veicināšanai. Šajā kontekstā trūkstošo </w:t>
            </w:r>
            <w:proofErr w:type="spellStart"/>
            <w:r w:rsidRPr="00861E84">
              <w:t>starpsavienojumu</w:t>
            </w:r>
            <w:proofErr w:type="spellEnd"/>
            <w:r w:rsidRPr="00861E84">
              <w:t xml:space="preserve"> izveide enerģētiskās izolācijas novēršanai, īstenojot Kopējas intereses projektus, ir īpaši svarīga. Latvija piekrīt, ka iepriekš</w:t>
            </w:r>
            <w:r>
              <w:t xml:space="preserve"> </w:t>
            </w:r>
            <w:r w:rsidRPr="00861E84">
              <w:t>minēto pasākumu īstenošanai vispiemērotākā ir reģionālā pieeja.</w:t>
            </w:r>
          </w:p>
          <w:p w:rsidR="00946707" w:rsidRPr="00861E84" w:rsidRDefault="00946707" w:rsidP="00861E84">
            <w:pPr>
              <w:pStyle w:val="BodyText2"/>
              <w:spacing w:after="120"/>
              <w:jc w:val="both"/>
              <w:rPr>
                <w:sz w:val="24"/>
              </w:rPr>
            </w:pPr>
            <w:r w:rsidRPr="00861E84">
              <w:rPr>
                <w:sz w:val="24"/>
              </w:rPr>
              <w:t>Latvija piekrīt, ka izolācijas problēma var pastāvēt arī pēc 2015.gada. Līdz ar to Latvija vēlas uz</w:t>
            </w:r>
            <w:r>
              <w:rPr>
                <w:sz w:val="24"/>
              </w:rPr>
              <w:t>s</w:t>
            </w:r>
            <w:r w:rsidRPr="00861E84">
              <w:rPr>
                <w:sz w:val="24"/>
              </w:rPr>
              <w:t xml:space="preserve">vērt </w:t>
            </w:r>
            <w:r w:rsidRPr="00942B08">
              <w:rPr>
                <w:b/>
                <w:sz w:val="24"/>
              </w:rPr>
              <w:t>enerģijas avotu un ceļu diversifikāciju kā centrālos elementus enerģētikas drošības veicināšanai un cenu līmeņa stabilizācijai</w:t>
            </w:r>
            <w:r w:rsidRPr="00861E84">
              <w:rPr>
                <w:sz w:val="24"/>
              </w:rPr>
              <w:t>.</w:t>
            </w:r>
          </w:p>
          <w:p w:rsidR="00946707" w:rsidRPr="00861E84" w:rsidRDefault="00946707" w:rsidP="00861E84">
            <w:pPr>
              <w:jc w:val="both"/>
            </w:pPr>
            <w:r w:rsidRPr="00861E84">
              <w:t xml:space="preserve">Latvija ir pārliecināta, ka </w:t>
            </w:r>
            <w:r w:rsidRPr="00942B08">
              <w:rPr>
                <w:b/>
              </w:rPr>
              <w:t xml:space="preserve">iekšējā tirgus izveidei ir nepieciešama infrastruktūra, kas ietver gan </w:t>
            </w:r>
            <w:proofErr w:type="spellStart"/>
            <w:r w:rsidRPr="00942B08">
              <w:rPr>
                <w:b/>
              </w:rPr>
              <w:t>starpsavienojumus</w:t>
            </w:r>
            <w:proofErr w:type="spellEnd"/>
            <w:r w:rsidRPr="00942B08">
              <w:rPr>
                <w:b/>
              </w:rPr>
              <w:t>, gan arī citus elementus – piemēram, uzglabāšanu.</w:t>
            </w:r>
            <w:r w:rsidRPr="00861E84">
              <w:t xml:space="preserve"> Latvija vēlās uzsvērt, ka dabas gāzes krātuvju jautājuma apzināšana ir nozīmīga, jo tās ir svarīgas sistēmas stabilitātei un cenu nodrošināšanai. Latvija piekrīt, ka ES iekšējā enerģētikas tirgus pabeigšana, kā arī </w:t>
            </w:r>
            <w:proofErr w:type="spellStart"/>
            <w:r w:rsidRPr="00861E84">
              <w:t>starpsavienojumu</w:t>
            </w:r>
            <w:proofErr w:type="spellEnd"/>
            <w:r w:rsidRPr="00861E84">
              <w:t xml:space="preserve">, tostarp, gāzes krātuvju, īstenošana būs atslēgas elementi arī ES enerģētiskās drošības stiprināšanai, īpaši ņemot vērā pēdējā laika notikumus starptautiskajās attiecībās. </w:t>
            </w:r>
          </w:p>
          <w:p w:rsidR="00946707" w:rsidRPr="00861E84" w:rsidRDefault="00946707" w:rsidP="00861E84">
            <w:pPr>
              <w:pStyle w:val="BodyText2"/>
              <w:spacing w:after="120"/>
              <w:jc w:val="both"/>
              <w:rPr>
                <w:sz w:val="24"/>
              </w:rPr>
            </w:pPr>
            <w:r w:rsidRPr="00861E84">
              <w:rPr>
                <w:sz w:val="24"/>
              </w:rPr>
              <w:t>Latvija vēlas izcelt dabas gāzes krātuvju stiprināšanu kā vienu no perspektīvākajām diversifikācijas alternatīvām, kas pozitīvi ietekmēs sistēmas stabilitāti.</w:t>
            </w:r>
          </w:p>
          <w:p w:rsidR="00946707" w:rsidRPr="00861E84" w:rsidRDefault="00946707" w:rsidP="00861E84">
            <w:pPr>
              <w:jc w:val="both"/>
            </w:pPr>
            <w:r w:rsidRPr="00861E84">
              <w:t xml:space="preserve">Latvija uzskata, ka, turpinot darbu pie konkurētspējīgo enerģijas cenu politikas veidošanas, </w:t>
            </w:r>
            <w:r w:rsidRPr="00942B08">
              <w:rPr>
                <w:b/>
              </w:rPr>
              <w:t>svarīgi nodrošināt efektīvu mehānismu izstrādi mazaizsargāto patērētāju aizsardzībai</w:t>
            </w:r>
            <w:r>
              <w:t>.</w:t>
            </w:r>
          </w:p>
        </w:tc>
      </w:tr>
      <w:tr w:rsidR="00946707" w:rsidRPr="00042B95" w:rsidTr="005673BF">
        <w:tc>
          <w:tcPr>
            <w:tcW w:w="9287" w:type="dxa"/>
          </w:tcPr>
          <w:p w:rsidR="00946707" w:rsidRPr="00042B95" w:rsidRDefault="00946707" w:rsidP="005673BF"/>
        </w:tc>
      </w:tr>
      <w:tr w:rsidR="00946707" w:rsidRPr="00042B95" w:rsidTr="005673BF">
        <w:trPr>
          <w:trHeight w:val="363"/>
        </w:trPr>
        <w:tc>
          <w:tcPr>
            <w:tcW w:w="9287" w:type="dxa"/>
          </w:tcPr>
          <w:p w:rsidR="00946707" w:rsidRDefault="00946707" w:rsidP="005673BF">
            <w:pPr>
              <w:tabs>
                <w:tab w:val="left" w:pos="2278"/>
              </w:tabs>
              <w:jc w:val="both"/>
            </w:pPr>
          </w:p>
          <w:p w:rsidR="001B7BBB" w:rsidRDefault="001B7BBB" w:rsidP="005673BF">
            <w:pPr>
              <w:tabs>
                <w:tab w:val="left" w:pos="2278"/>
              </w:tabs>
              <w:jc w:val="both"/>
            </w:pPr>
          </w:p>
          <w:p w:rsidR="001B7BBB" w:rsidRDefault="001B7BBB" w:rsidP="005673BF">
            <w:pPr>
              <w:tabs>
                <w:tab w:val="left" w:pos="2278"/>
              </w:tabs>
              <w:jc w:val="both"/>
            </w:pPr>
          </w:p>
          <w:p w:rsidR="001B7BBB" w:rsidRDefault="001B7BBB" w:rsidP="005673BF">
            <w:pPr>
              <w:tabs>
                <w:tab w:val="left" w:pos="2278"/>
              </w:tabs>
              <w:jc w:val="both"/>
            </w:pPr>
          </w:p>
          <w:p w:rsidR="001B7BBB" w:rsidRPr="00042B95" w:rsidRDefault="001B7BBB" w:rsidP="005673BF">
            <w:pPr>
              <w:tabs>
                <w:tab w:val="left" w:pos="2278"/>
              </w:tabs>
              <w:jc w:val="both"/>
            </w:pPr>
          </w:p>
        </w:tc>
      </w:tr>
    </w:tbl>
    <w:p w:rsidR="00946707" w:rsidRDefault="00946707" w:rsidP="00CC1379">
      <w:pPr>
        <w:pStyle w:val="ListParagraph"/>
        <w:ind w:left="0"/>
        <w:jc w:val="both"/>
        <w:rPr>
          <w:b/>
        </w:rPr>
      </w:pPr>
      <w:r w:rsidRPr="00CC1379">
        <w:rPr>
          <w:b/>
        </w:rPr>
        <w:lastRenderedPageBreak/>
        <w:t xml:space="preserve">1.4. Starptautiskās attiecības enerģētikas sektorā </w:t>
      </w:r>
    </w:p>
    <w:p w:rsidR="00946707" w:rsidRDefault="00946707" w:rsidP="00CC1379">
      <w:pPr>
        <w:pStyle w:val="ListParagraph"/>
        <w:ind w:left="0"/>
        <w:jc w:val="both"/>
        <w:rPr>
          <w:b/>
        </w:rPr>
      </w:pPr>
    </w:p>
    <w:p w:rsidR="00946707" w:rsidRPr="005A43EF" w:rsidRDefault="00946707" w:rsidP="00CC1379">
      <w:pPr>
        <w:pStyle w:val="ListParagraph"/>
        <w:ind w:left="0"/>
        <w:jc w:val="both"/>
      </w:pPr>
      <w:r w:rsidRPr="00CC1379">
        <w:rPr>
          <w:b/>
        </w:rPr>
        <w:t>(a) Nesenie notikumi ārējo enerģētisko attiecību laukā</w:t>
      </w:r>
      <w:r>
        <w:rPr>
          <w:b/>
          <w:i/>
        </w:rPr>
        <w:t xml:space="preserve"> – </w:t>
      </w:r>
      <w:r w:rsidRPr="00CC1379">
        <w:rPr>
          <w:i/>
        </w:rPr>
        <w:t>Komisijas un Prezidentūras sniegta informācija</w:t>
      </w:r>
    </w:p>
    <w:p w:rsidR="00946707" w:rsidRDefault="00946707" w:rsidP="002A693D">
      <w:pPr>
        <w:pStyle w:val="ListParagraph"/>
        <w:ind w:left="0"/>
        <w:jc w:val="both"/>
        <w:rPr>
          <w:i/>
        </w:rPr>
      </w:pPr>
    </w:p>
    <w:p w:rsidR="00946707" w:rsidRDefault="00946707" w:rsidP="002A693D">
      <w:pPr>
        <w:pStyle w:val="ListParagraph"/>
        <w:ind w:left="0"/>
        <w:jc w:val="both"/>
      </w:pPr>
      <w:r>
        <w:t>13.06.2014.TTE padomes laikā Eiropas Komisija sniegs informāciju par situāciju ar aktuālajiem jautājumiem ES starptautiskajās attiecībās enerģētikas sektorā:</w:t>
      </w:r>
    </w:p>
    <w:p w:rsidR="00946707" w:rsidRPr="00CC1379" w:rsidRDefault="00946707" w:rsidP="002A693D">
      <w:pPr>
        <w:pStyle w:val="ListParagraph"/>
        <w:ind w:left="0"/>
        <w:jc w:val="both"/>
      </w:pPr>
    </w:p>
    <w:p w:rsidR="00946707" w:rsidRPr="00510D9C" w:rsidRDefault="00946707" w:rsidP="00942B08">
      <w:pPr>
        <w:pStyle w:val="ListParagraph"/>
        <w:numPr>
          <w:ilvl w:val="0"/>
          <w:numId w:val="30"/>
        </w:numPr>
        <w:jc w:val="both"/>
      </w:pPr>
      <w:r w:rsidRPr="00510D9C">
        <w:t xml:space="preserve">2014.gada 24.jūnijā Briselē norisināsies ES-OPEC ministru tikšanās. Tikšanās laikā tiks aplūkoti naftas tirgus un ilgtermiņa attīstības jautājumi, kā arī tiks apzinātas ES-OPEC dialoga turpmākās aktivitātes. </w:t>
      </w:r>
    </w:p>
    <w:p w:rsidR="00946707" w:rsidRPr="00510D9C" w:rsidRDefault="00946707" w:rsidP="00942B08">
      <w:pPr>
        <w:pStyle w:val="ListParagraph"/>
        <w:numPr>
          <w:ilvl w:val="0"/>
          <w:numId w:val="30"/>
        </w:numPr>
        <w:jc w:val="both"/>
        <w:rPr>
          <w:i/>
        </w:rPr>
      </w:pPr>
      <w:r w:rsidRPr="00510D9C">
        <w:t>Komisija ir veikusi rūpīgu projektu īstenošanas gaitas monitoringu pēc gala lēmuma pieņemšanas 2013.gada decembrī par investīciju ieguldījumu „</w:t>
      </w:r>
      <w:proofErr w:type="spellStart"/>
      <w:r w:rsidRPr="00510D9C">
        <w:rPr>
          <w:i/>
        </w:rPr>
        <w:t>Shah</w:t>
      </w:r>
      <w:proofErr w:type="spellEnd"/>
      <w:r w:rsidRPr="00510D9C">
        <w:rPr>
          <w:i/>
        </w:rPr>
        <w:t xml:space="preserve"> </w:t>
      </w:r>
      <w:proofErr w:type="spellStart"/>
      <w:r w:rsidRPr="00510D9C">
        <w:rPr>
          <w:i/>
        </w:rPr>
        <w:t>Deniz</w:t>
      </w:r>
      <w:proofErr w:type="spellEnd"/>
      <w:r w:rsidRPr="00510D9C">
        <w:rPr>
          <w:i/>
        </w:rPr>
        <w:t xml:space="preserve"> II</w:t>
      </w:r>
      <w:r w:rsidRPr="00510D9C">
        <w:t>” gāzes lauka projektā Azerbaidžānā un ar Dienvidu gāzes koridoru saistītiem cauruļvadiem. Pēc veiktā monitoringa tika secināts, ka sasniegtais progress bija apmierinošs un iesaistītās puses strādā</w:t>
      </w:r>
      <w:r>
        <w:t>s</w:t>
      </w:r>
      <w:r w:rsidRPr="00510D9C">
        <w:t xml:space="preserve"> pie neatrisināto problēmu risināšanas. </w:t>
      </w:r>
    </w:p>
    <w:p w:rsidR="00946707" w:rsidRPr="00510D9C" w:rsidRDefault="00946707" w:rsidP="00942B08">
      <w:pPr>
        <w:pStyle w:val="ListParagraph"/>
        <w:numPr>
          <w:ilvl w:val="0"/>
          <w:numId w:val="30"/>
        </w:numPr>
        <w:jc w:val="both"/>
      </w:pPr>
      <w:r w:rsidRPr="00510D9C">
        <w:t xml:space="preserve">ES turpināja sniegt atbalstu Ukrainai pārejas periodā ar mērķi palīdzēt stabilizēt situāciju valstī ekonomikas un finanšu jomās, </w:t>
      </w:r>
      <w:r>
        <w:t xml:space="preserve">tai skaitā - </w:t>
      </w:r>
      <w:r w:rsidRPr="00510D9C">
        <w:t>enerģētikas sektor</w:t>
      </w:r>
      <w:r>
        <w:t>ā</w:t>
      </w:r>
      <w:r w:rsidRPr="00510D9C">
        <w:t>. Enerģētikas sektora pasākumi tika vērsti uz Ukrainas enerģijas piegādes drošības veicināšanu, atbalstot enerģijas piegādes diversifikācijas veicināšanas pasākumus, tostarp</w:t>
      </w:r>
      <w:r>
        <w:t>,</w:t>
      </w:r>
      <w:r w:rsidRPr="00510D9C">
        <w:t xml:space="preserve"> veicinot divvirzienu</w:t>
      </w:r>
      <w:r>
        <w:t xml:space="preserve"> dabas gāzes</w:t>
      </w:r>
      <w:r w:rsidRPr="00510D9C">
        <w:t xml:space="preserve"> plūsm</w:t>
      </w:r>
      <w:r>
        <w:t>as</w:t>
      </w:r>
      <w:r w:rsidRPr="00510D9C">
        <w:t xml:space="preserve"> </w:t>
      </w:r>
      <w:r>
        <w:t>nodrošināšanu</w:t>
      </w:r>
      <w:r w:rsidRPr="00510D9C">
        <w:t xml:space="preserve"> no ES, un turpmāku Ukrainas integrāciju ES dabas gāzes tirgū Ukrainas dalībvalsts statusa </w:t>
      </w:r>
      <w:r>
        <w:t xml:space="preserve">iegūšanai </w:t>
      </w:r>
      <w:r w:rsidRPr="00510D9C">
        <w:t>Enerģētikas Kopienas ietvaros. 2014.gada 2.maijā tika uzsāktas trīspusējas sarunas starp Eiropas Komisiju, Ukrainu un Krieviju ar mērķi rast risinājumu ar dabas gāzes piegādi un tranzītu uz un caur Ukrainu saistītaj</w:t>
      </w:r>
      <w:r>
        <w:t>os</w:t>
      </w:r>
      <w:r w:rsidRPr="00510D9C">
        <w:t xml:space="preserve"> jautājum</w:t>
      </w:r>
      <w:r>
        <w:t>os</w:t>
      </w:r>
      <w:r w:rsidRPr="00510D9C">
        <w:t>.</w:t>
      </w:r>
    </w:p>
    <w:p w:rsidR="00946707" w:rsidRPr="00510D9C" w:rsidRDefault="00946707" w:rsidP="00942B08">
      <w:pPr>
        <w:pStyle w:val="ListParagraph"/>
        <w:numPr>
          <w:ilvl w:val="0"/>
          <w:numId w:val="30"/>
        </w:numPr>
        <w:jc w:val="both"/>
      </w:pPr>
      <w:r w:rsidRPr="00510D9C">
        <w:t>2014.gada 2.aprīlī Briselē norisinājās piektā ES-ASV Enerģētikas Padome. Tikšanās centrālais jautājums bija enerģētiskā drošība, ņemot vērā notikumus Ukrainā. Tikšanās laikā tika uzsvērta arī turpmāka sadarbība Enerģētikas Politikas un Tehnoloģijas darba grupās ar mērķi veicināt vienošanās panākšanu par post-Kioto Protokola nosacījumiem ANO Vispārējās konvencijas par klimata pārmaiņām ietvaros 2015.gadā Parīzē.</w:t>
      </w:r>
    </w:p>
    <w:p w:rsidR="00946707" w:rsidRPr="00510D9C" w:rsidRDefault="00946707" w:rsidP="00942B08">
      <w:pPr>
        <w:pStyle w:val="ListParagraph"/>
        <w:numPr>
          <w:ilvl w:val="0"/>
          <w:numId w:val="30"/>
        </w:numPr>
        <w:jc w:val="both"/>
      </w:pPr>
      <w:r w:rsidRPr="00510D9C">
        <w:t>Starptautiskās Enerģētikas Aģentūras otrā padziļinātā ES Enerģētikas pārskata ietvaros IEA pārstāvji veica attiecīgo pušu interviju Briselē. Ziņojumu tiek paredzēts prezentēt 2014.gada nogalē. 2014.gada otrajā pusē sāksies IEA izpilddirektora vēlēšanas.</w:t>
      </w:r>
    </w:p>
    <w:p w:rsidR="00946707" w:rsidRPr="00510D9C" w:rsidRDefault="00946707" w:rsidP="00942B08">
      <w:pPr>
        <w:pStyle w:val="ListParagraph"/>
        <w:numPr>
          <w:ilvl w:val="0"/>
          <w:numId w:val="30"/>
        </w:numPr>
        <w:jc w:val="both"/>
      </w:pPr>
      <w:r w:rsidRPr="00510D9C">
        <w:t>2014.gada 10.aprīlī norisinājās Stratēģiskās grupas tikšanās</w:t>
      </w:r>
      <w:r>
        <w:t xml:space="preserve">, kas </w:t>
      </w:r>
      <w:r w:rsidRPr="00510D9C">
        <w:t>tika veltīta Enerģētikas Kopienas un IEA turpmākās stratēģiskās virzības noteikšanai. Dalībvalstis atbalstīja Enerģētikas Kopienas darbības pagarināšanu līdz 2026.gadam. Dalībvalstis tikšanās laikā atzina, ka IEA centrālā loma ir globālās enerģētikas arhitektūras ekspertīze un šī procesa īstenošanai ir nepieciešams sniegt arī turpmāku atbalstu.</w:t>
      </w:r>
    </w:p>
    <w:p w:rsidR="00946707" w:rsidRPr="00510D9C" w:rsidRDefault="00946707" w:rsidP="00942B08">
      <w:pPr>
        <w:pStyle w:val="ListParagraph"/>
        <w:numPr>
          <w:ilvl w:val="0"/>
          <w:numId w:val="30"/>
        </w:numPr>
        <w:jc w:val="both"/>
      </w:pPr>
      <w:r w:rsidRPr="00510D9C">
        <w:t xml:space="preserve">2014.ga 27.martā Briselē tikās ES-Indijas Enerģētikas padome. Tikšanās laikā tika apspriesta sadarbība atjaunojamo energoresursu, energoefektivitātes, </w:t>
      </w:r>
      <w:proofErr w:type="spellStart"/>
      <w:r w:rsidRPr="00510D9C">
        <w:t>eko-pilsētu,</w:t>
      </w:r>
      <w:proofErr w:type="spellEnd"/>
      <w:r w:rsidRPr="00510D9C">
        <w:t xml:space="preserve"> viedo iekārtu un tīru akmeņogļu tehnoloģiju jomā. Tikšanās laikā tika identificētas arī jaunas sadarbības jomas, tostarp enerģētiskā drošība un pārvades infrastruktūras attīstīšana liela apjoma atjaunojamās elektroenerģijas integrācijai.</w:t>
      </w:r>
    </w:p>
    <w:p w:rsidR="00946707" w:rsidRPr="00510D9C" w:rsidRDefault="00946707" w:rsidP="00942B08">
      <w:pPr>
        <w:pStyle w:val="ListParagraph"/>
        <w:numPr>
          <w:ilvl w:val="0"/>
          <w:numId w:val="30"/>
        </w:numPr>
        <w:jc w:val="both"/>
      </w:pPr>
      <w:r w:rsidRPr="00510D9C">
        <w:t xml:space="preserve">2014.gada 26.februārī Briselē norisinājās ES-Brazīlijas Enerģētikas politikas dialogs. Tikšanās laikā tika apspriesti visi ievērojamākie bilaterālās enerģētiskās sadarbības jautājumi, ieskaitot atjaunojamo enerģiju, viedās iekārtas un pilsētas energoefektivitāte, naftas un gāzes sektori, kā arī elektroenerģijas tirgus. Tika panākta vienošanās par padziļinātu sadarbību tehnisku </w:t>
      </w:r>
      <w:proofErr w:type="spellStart"/>
      <w:r w:rsidRPr="00510D9C">
        <w:t>sektorālu</w:t>
      </w:r>
      <w:proofErr w:type="spellEnd"/>
      <w:r w:rsidRPr="00510D9C">
        <w:t xml:space="preserve"> dialogu ietvaros.</w:t>
      </w:r>
    </w:p>
    <w:p w:rsidR="00946707" w:rsidRPr="001F5866" w:rsidRDefault="00946707" w:rsidP="00942B08">
      <w:pPr>
        <w:pStyle w:val="ListParagraph"/>
        <w:numPr>
          <w:ilvl w:val="0"/>
          <w:numId w:val="30"/>
        </w:numPr>
        <w:jc w:val="both"/>
      </w:pPr>
      <w:r>
        <w:lastRenderedPageBreak/>
        <w:t>2014.gada 23.jūnijā norisināsies vienpadsmitā Austrumu Partnerības platformas tikšanās par enerģētikas drošības jautājumu. Platformas tikšanās tiks veltīta energoefektivitātes jautājumam. 2014.gada 27.-28.maijā Londonā norisinājās trešā Austrumu Partnerības darba grupa par regulatīviem jautājumiem.</w:t>
      </w:r>
    </w:p>
    <w:p w:rsidR="00946707" w:rsidRDefault="00946707" w:rsidP="002A693D">
      <w:pPr>
        <w:pStyle w:val="ListParagraph"/>
        <w:ind w:left="0"/>
        <w:jc w:val="both"/>
        <w:rPr>
          <w:i/>
          <w:highlight w:val="yellow"/>
        </w:rPr>
      </w:pPr>
    </w:p>
    <w:p w:rsidR="00946707" w:rsidRDefault="00946707" w:rsidP="002A693D">
      <w:pPr>
        <w:pStyle w:val="ListParagraph"/>
        <w:ind w:left="0"/>
        <w:jc w:val="both"/>
      </w:pPr>
      <w:r w:rsidRPr="0099090B">
        <w:rPr>
          <w:b/>
        </w:rPr>
        <w:t xml:space="preserve">(b) Daudzpusējo ietvaru loma </w:t>
      </w:r>
      <w:r w:rsidRPr="0099090B">
        <w:t xml:space="preserve">– </w:t>
      </w:r>
      <w:r w:rsidRPr="0099090B">
        <w:rPr>
          <w:i/>
        </w:rPr>
        <w:t>politiska diskusija</w:t>
      </w:r>
    </w:p>
    <w:p w:rsidR="00946707" w:rsidRDefault="00946707" w:rsidP="002A693D">
      <w:pPr>
        <w:pStyle w:val="ListParagraph"/>
        <w:ind w:left="0"/>
        <w:jc w:val="both"/>
      </w:pPr>
    </w:p>
    <w:p w:rsidR="00946707" w:rsidRDefault="00946707" w:rsidP="00E30288">
      <w:pPr>
        <w:jc w:val="both"/>
      </w:pPr>
      <w:r>
        <w:t xml:space="preserve">13.06.2013. TTE </w:t>
      </w:r>
      <w:proofErr w:type="spellStart"/>
      <w:r>
        <w:t>minitru</w:t>
      </w:r>
      <w:proofErr w:type="spellEnd"/>
      <w:r>
        <w:t xml:space="preserve"> p</w:t>
      </w:r>
      <w:r w:rsidRPr="00592169">
        <w:t xml:space="preserve">adomes ietvaros </w:t>
      </w:r>
      <w:r>
        <w:t xml:space="preserve">notiks politiskās diskusijas par </w:t>
      </w:r>
      <w:r w:rsidRPr="00592169">
        <w:t>Prezidentūra</w:t>
      </w:r>
      <w:r>
        <w:t>s</w:t>
      </w:r>
      <w:r w:rsidRPr="00592169">
        <w:t xml:space="preserve"> </w:t>
      </w:r>
      <w:r>
        <w:t xml:space="preserve">sagatavoto dokumentu </w:t>
      </w:r>
      <w:r w:rsidRPr="00592169">
        <w:t xml:space="preserve">par daudzpusējo sadarbības formātu ieguldījumu enerģētikas politikā. Dokuments koncentrējas uz četriem šādas sadarbības formātiem: </w:t>
      </w:r>
      <w:r>
        <w:t>E</w:t>
      </w:r>
      <w:r w:rsidRPr="00592169">
        <w:t>nerģētikas kopiena, Starptautiskā enerģētikas aģentūra, Enerģētikas Harta, sadarbība Vidusjūras reģionā.</w:t>
      </w:r>
    </w:p>
    <w:p w:rsidR="00946707" w:rsidRDefault="00946707" w:rsidP="00DD3B89">
      <w:pPr>
        <w:spacing w:after="120"/>
        <w:jc w:val="both"/>
      </w:pPr>
      <w:r>
        <w:t>Starptautiskajās attiecībās ES</w:t>
      </w:r>
      <w:r w:rsidRPr="000E0964">
        <w:t xml:space="preserve"> tiek pārstāvēta īstenojot ES „vienas balss” politiku. </w:t>
      </w:r>
    </w:p>
    <w:p w:rsidR="00946707" w:rsidRDefault="00946707" w:rsidP="00E30288">
      <w:pPr>
        <w:jc w:val="both"/>
      </w:pPr>
    </w:p>
    <w:p w:rsidR="00946707" w:rsidRPr="00780DA7" w:rsidRDefault="00946707" w:rsidP="00E30288">
      <w:pPr>
        <w:pStyle w:val="ListParagraph"/>
        <w:numPr>
          <w:ilvl w:val="0"/>
          <w:numId w:val="21"/>
        </w:numPr>
        <w:jc w:val="both"/>
        <w:rPr>
          <w:u w:val="single"/>
        </w:rPr>
      </w:pPr>
      <w:r w:rsidRPr="00780DA7">
        <w:rPr>
          <w:u w:val="single"/>
        </w:rPr>
        <w:t>Enerģētikas kopiena</w:t>
      </w:r>
    </w:p>
    <w:p w:rsidR="00946707" w:rsidRPr="00592169" w:rsidRDefault="00946707" w:rsidP="00780DA7">
      <w:pPr>
        <w:pStyle w:val="ListParagraph"/>
        <w:ind w:left="360"/>
        <w:jc w:val="both"/>
      </w:pPr>
    </w:p>
    <w:p w:rsidR="00946707" w:rsidRPr="00592169" w:rsidRDefault="00946707" w:rsidP="00E30288">
      <w:pPr>
        <w:jc w:val="both"/>
      </w:pPr>
      <w:r w:rsidRPr="00592169">
        <w:t xml:space="preserve">Enerģētikas kopienas mērķis ir ES normatīvā ietvara piemērošana trešajās valstīs. ES </w:t>
      </w:r>
      <w:r>
        <w:t xml:space="preserve">intereses </w:t>
      </w:r>
      <w:r w:rsidRPr="00592169">
        <w:t>Enerģētikas kopienas organizācijā pārstāv Eiropas Komisija. Kopš Enerģētikas kopiena</w:t>
      </w:r>
      <w:r>
        <w:t>s</w:t>
      </w:r>
      <w:r w:rsidRPr="00592169">
        <w:t xml:space="preserve"> dibināšanas 2006.gadā </w:t>
      </w:r>
      <w:r>
        <w:t xml:space="preserve">tika </w:t>
      </w:r>
      <w:r w:rsidRPr="00592169">
        <w:t>paplašinā</w:t>
      </w:r>
      <w:r>
        <w:t>ts</w:t>
      </w:r>
      <w:r w:rsidRPr="00592169">
        <w:t xml:space="preserve"> ne tikai </w:t>
      </w:r>
      <w:r>
        <w:t>tās</w:t>
      </w:r>
      <w:r w:rsidRPr="00592169">
        <w:t xml:space="preserve"> </w:t>
      </w:r>
      <w:r>
        <w:t xml:space="preserve">darbības </w:t>
      </w:r>
      <w:r w:rsidRPr="00592169">
        <w:t>ietvar</w:t>
      </w:r>
      <w:r>
        <w:t>s</w:t>
      </w:r>
      <w:r w:rsidRPr="00592169">
        <w:t xml:space="preserve">, bet arī dalībnieku </w:t>
      </w:r>
      <w:r>
        <w:t>skaits</w:t>
      </w:r>
      <w:r w:rsidRPr="00592169">
        <w:t xml:space="preserve">, 2010. un 2011. gadā pieņemot </w:t>
      </w:r>
      <w:r>
        <w:t xml:space="preserve">sastāvā </w:t>
      </w:r>
      <w:r w:rsidRPr="00592169">
        <w:t>Moldovas Republiku un Ukrainu. Pašlaik notiek sarunas par iestāšanos ar Gruziju. 2011.gada 24.novembra Padomes secinājumi par ārējām enerģētikas attiecībām atzīmē Enerģētikas Kopienas paplašināšanas un padziļināšanas nepieciešamību. Enerģētikas Kopienas m</w:t>
      </w:r>
      <w:r>
        <w:t>inistru padome 2013.gada oktobrī</w:t>
      </w:r>
      <w:r w:rsidRPr="00592169">
        <w:t xml:space="preserve"> ir pieņēmusi lēmumu pagarināt Enerģētikas Kopienas nolīguma darbību vēl uz 10 gadiem. Nākamā Enerģētikas Kopienas ministru padome 2014.gada septembrī koncentrēsies uz organizācijas paplašināšanas iespējam, līdz ar to Padome tiek aicināta sniegt ieguldījumu un diskutēt par šādiem jautājumiem:</w:t>
      </w:r>
    </w:p>
    <w:p w:rsidR="00946707" w:rsidRPr="00E30288" w:rsidRDefault="00946707" w:rsidP="00E30288">
      <w:pPr>
        <w:pStyle w:val="ListParagraph"/>
        <w:numPr>
          <w:ilvl w:val="0"/>
          <w:numId w:val="22"/>
        </w:numPr>
        <w:jc w:val="both"/>
        <w:rPr>
          <w:b/>
          <w:i/>
        </w:rPr>
      </w:pPr>
      <w:r w:rsidRPr="00E30288">
        <w:rPr>
          <w:b/>
          <w:i/>
        </w:rPr>
        <w:t>Kādi varianti būtu apsverami, lai veicinātu turpmāku ES tiesiskā ietvara ieviešanu Enerģētikas kopienas dalībvalstīs un investīciju piesaisti?</w:t>
      </w:r>
    </w:p>
    <w:p w:rsidR="00946707" w:rsidRPr="00E30288" w:rsidRDefault="00946707" w:rsidP="00E30288">
      <w:pPr>
        <w:pStyle w:val="ListParagraph"/>
        <w:numPr>
          <w:ilvl w:val="0"/>
          <w:numId w:val="22"/>
        </w:numPr>
        <w:jc w:val="both"/>
        <w:rPr>
          <w:b/>
          <w:i/>
        </w:rPr>
      </w:pPr>
      <w:r w:rsidRPr="00E30288">
        <w:rPr>
          <w:b/>
          <w:i/>
        </w:rPr>
        <w:t xml:space="preserve">Kādā veidā ir iespējams atrast līdzsvaru, lai spētu atbildēt uz izaicinājumiem, kas saistīti ar Enerģētikas Kopienas paplašināšanu? </w:t>
      </w:r>
    </w:p>
    <w:p w:rsidR="00946707" w:rsidRDefault="00946707" w:rsidP="00E30288">
      <w:pPr>
        <w:jc w:val="both"/>
        <w:rPr>
          <w:u w:val="single"/>
        </w:rPr>
      </w:pPr>
    </w:p>
    <w:p w:rsidR="00946707" w:rsidRPr="00592169" w:rsidRDefault="00946707" w:rsidP="00E30288">
      <w:pPr>
        <w:jc w:val="both"/>
        <w:rPr>
          <w:u w:val="single"/>
        </w:rPr>
      </w:pPr>
      <w:r w:rsidRPr="00592169">
        <w:rPr>
          <w:u w:val="single"/>
        </w:rPr>
        <w:t>Latvijas nostāja:</w:t>
      </w:r>
    </w:p>
    <w:p w:rsidR="00946707" w:rsidRPr="00592169" w:rsidRDefault="00946707" w:rsidP="00E30288">
      <w:pPr>
        <w:jc w:val="both"/>
      </w:pPr>
      <w:r w:rsidRPr="00592169">
        <w:t xml:space="preserve">Ņemot vērā pēdējos notikumus </w:t>
      </w:r>
      <w:r>
        <w:t>starptautiskajā arēnā</w:t>
      </w:r>
      <w:r w:rsidRPr="00592169">
        <w:t>, Latvija uzskata, ka Enerģētikas Kopiena var kalpot par vienu</w:t>
      </w:r>
      <w:r>
        <w:t xml:space="preserve"> no platformām, kas varētu veicināt enerģētiskās stabilitātes jautājuma risināšanu</w:t>
      </w:r>
      <w:r w:rsidRPr="00592169">
        <w:t xml:space="preserve"> Ukrainā, kā arī stiprinā</w:t>
      </w:r>
      <w:r>
        <w:t>t</w:t>
      </w:r>
      <w:r w:rsidRPr="00592169">
        <w:t xml:space="preserve"> ES enerģētisko drošību. Enerģētikas Kopienas instrumenti varē</w:t>
      </w:r>
      <w:r>
        <w:t>tu</w:t>
      </w:r>
      <w:r w:rsidRPr="00592169">
        <w:t xml:space="preserve"> palīdzēt nodrošināt attiecīgu tirgus funkcionēšanu un caurredzamību </w:t>
      </w:r>
      <w:r>
        <w:t>Austrumeiropā</w:t>
      </w:r>
      <w:r w:rsidRPr="00592169">
        <w:t xml:space="preserve">. Latvija uzskata, ka Enerģētikas kopienas stiprināšana un paplašināšana, kas </w:t>
      </w:r>
      <w:r>
        <w:t>veicina</w:t>
      </w:r>
      <w:r w:rsidRPr="00592169">
        <w:t xml:space="preserve"> ES likumdošanas pārņemšan</w:t>
      </w:r>
      <w:r>
        <w:t>u</w:t>
      </w:r>
      <w:r w:rsidRPr="00592169">
        <w:t xml:space="preserve"> enerģētikas jomā ES k</w:t>
      </w:r>
      <w:r>
        <w:t>aimiņvalstīs, ir mehānisms, kas attīstīs</w:t>
      </w:r>
      <w:r w:rsidRPr="00592169">
        <w:t xml:space="preserve"> ES sadarbību ar trešajām valstīm.</w:t>
      </w:r>
    </w:p>
    <w:p w:rsidR="00946707" w:rsidRPr="00592169" w:rsidRDefault="00946707" w:rsidP="00E30288">
      <w:pPr>
        <w:jc w:val="both"/>
      </w:pPr>
      <w:r w:rsidRPr="00592169">
        <w:t>Pašlaik Latvijai nav Enerģētikas Kopiena</w:t>
      </w:r>
      <w:r>
        <w:t>s</w:t>
      </w:r>
      <w:r w:rsidRPr="00592169">
        <w:t xml:space="preserve"> dalībnieka statusa un Latvija seko līdzi notikumiem Enerģētikas Kopienā tikai kā ES dalībvalsts, taču ir uzsākts iestāšanās process.</w:t>
      </w:r>
    </w:p>
    <w:p w:rsidR="00946707" w:rsidRPr="00592169" w:rsidRDefault="00946707" w:rsidP="00E30288">
      <w:pPr>
        <w:jc w:val="both"/>
      </w:pPr>
    </w:p>
    <w:p w:rsidR="00946707" w:rsidRPr="00592169" w:rsidRDefault="00946707" w:rsidP="00E30288">
      <w:pPr>
        <w:pStyle w:val="ListParagraph"/>
        <w:numPr>
          <w:ilvl w:val="0"/>
          <w:numId w:val="21"/>
        </w:numPr>
        <w:jc w:val="both"/>
      </w:pPr>
      <w:r w:rsidRPr="00592169">
        <w:t>Enerģētikas Harta un Enerģētikas Hartas nolīgums</w:t>
      </w:r>
    </w:p>
    <w:p w:rsidR="00946707" w:rsidRPr="00592169" w:rsidRDefault="00946707" w:rsidP="00E30288">
      <w:pPr>
        <w:spacing w:after="120"/>
        <w:jc w:val="both"/>
      </w:pPr>
      <w:r w:rsidRPr="00592169">
        <w:t xml:space="preserve">Enerģētikas Harta ir viena no starptautiskajām organizācijām, kas ir vērsta uz sadarbības veicināšanu enerģētikas jomā. Organizācijas darbības juridisko pamatu veido </w:t>
      </w:r>
      <w:r>
        <w:t>šādi</w:t>
      </w:r>
      <w:r w:rsidRPr="00592169">
        <w:t xml:space="preserve"> dokumenti:</w:t>
      </w:r>
    </w:p>
    <w:p w:rsidR="00946707" w:rsidRPr="00592169" w:rsidRDefault="00946707" w:rsidP="00E30288">
      <w:pPr>
        <w:pStyle w:val="ListParagraph"/>
        <w:numPr>
          <w:ilvl w:val="0"/>
          <w:numId w:val="23"/>
        </w:numPr>
        <w:spacing w:after="120" w:line="276" w:lineRule="auto"/>
        <w:jc w:val="both"/>
      </w:pPr>
      <w:r>
        <w:rPr>
          <w:u w:val="single"/>
        </w:rPr>
        <w:t>P</w:t>
      </w:r>
      <w:r w:rsidRPr="00592169">
        <w:rPr>
          <w:u w:val="single"/>
        </w:rPr>
        <w:t>olitiskā deklarācija</w:t>
      </w:r>
      <w:r w:rsidRPr="00592169">
        <w:t xml:space="preserve"> </w:t>
      </w:r>
      <w:r>
        <w:t xml:space="preserve">par </w:t>
      </w:r>
      <w:r w:rsidRPr="00592169">
        <w:t>Eiropas Enerģētikas hart</w:t>
      </w:r>
      <w:r>
        <w:t>u</w:t>
      </w:r>
      <w:r w:rsidRPr="00592169">
        <w:t xml:space="preserve">; </w:t>
      </w:r>
    </w:p>
    <w:p w:rsidR="00946707" w:rsidRPr="00592169" w:rsidRDefault="00946707" w:rsidP="00E30288">
      <w:pPr>
        <w:pStyle w:val="ListParagraph"/>
        <w:numPr>
          <w:ilvl w:val="0"/>
          <w:numId w:val="23"/>
        </w:numPr>
        <w:spacing w:after="120" w:line="276" w:lineRule="auto"/>
        <w:jc w:val="both"/>
      </w:pPr>
      <w:r w:rsidRPr="00592169">
        <w:t xml:space="preserve">juridiski saistošs Enerģētikas Hartas </w:t>
      </w:r>
      <w:r w:rsidRPr="00592169">
        <w:rPr>
          <w:u w:val="single"/>
        </w:rPr>
        <w:t>nolīgums (ta</w:t>
      </w:r>
      <w:r>
        <w:rPr>
          <w:u w:val="single"/>
        </w:rPr>
        <w:t>i</w:t>
      </w:r>
      <w:r w:rsidRPr="00592169">
        <w:rPr>
          <w:u w:val="single"/>
        </w:rPr>
        <w:t xml:space="preserve"> skaitā nolīguma tirdzniecības noteikumu grozījums)</w:t>
      </w:r>
      <w:r w:rsidRPr="00592169">
        <w:t xml:space="preserve">, </w:t>
      </w:r>
    </w:p>
    <w:p w:rsidR="00946707" w:rsidRPr="00592169" w:rsidRDefault="00946707" w:rsidP="00E30288">
      <w:pPr>
        <w:pStyle w:val="ListParagraph"/>
        <w:numPr>
          <w:ilvl w:val="0"/>
          <w:numId w:val="23"/>
        </w:numPr>
        <w:spacing w:after="120" w:line="276" w:lineRule="auto"/>
        <w:jc w:val="both"/>
      </w:pPr>
      <w:r w:rsidRPr="00592169">
        <w:lastRenderedPageBreak/>
        <w:t xml:space="preserve">Enerģētikas Hartas </w:t>
      </w:r>
      <w:r w:rsidRPr="00592169">
        <w:rPr>
          <w:u w:val="single"/>
        </w:rPr>
        <w:t>Protokols</w:t>
      </w:r>
      <w:r w:rsidRPr="00592169">
        <w:t xml:space="preserve"> par energoefektivitāti un ar to saistītajiem vides aspektiem.</w:t>
      </w:r>
    </w:p>
    <w:p w:rsidR="00946707" w:rsidRPr="00592169" w:rsidRDefault="00946707" w:rsidP="00E30288">
      <w:pPr>
        <w:spacing w:after="120"/>
        <w:jc w:val="both"/>
      </w:pPr>
      <w:r w:rsidRPr="00592169">
        <w:t>Minēto dokumentu kopums tiek saukts par Enerģētikas Hartu. Savukārt, Enerģētikas Hartas lēmum</w:t>
      </w:r>
      <w:r w:rsidR="001B7BBB">
        <w:t xml:space="preserve">u </w:t>
      </w:r>
      <w:r w:rsidRPr="00592169">
        <w:t>pieņemšanas platforma ir Enerģētikas Hartas Konference.</w:t>
      </w:r>
      <w:r w:rsidRPr="00592169">
        <w:rPr>
          <w:color w:val="333333"/>
        </w:rPr>
        <w:t xml:space="preserve"> </w:t>
      </w:r>
      <w:r w:rsidRPr="00592169">
        <w:t>Latvija ratificēja Eiropas enerģētikas hartu 1992.gada 18.jūnijā.</w:t>
      </w:r>
    </w:p>
    <w:p w:rsidR="00946707" w:rsidRPr="00592169" w:rsidRDefault="00946707" w:rsidP="00E30288">
      <w:pPr>
        <w:spacing w:after="120"/>
        <w:jc w:val="both"/>
      </w:pPr>
      <w:r w:rsidRPr="00592169">
        <w:t>Pašlaik Enerģētikas Hartas ietv</w:t>
      </w:r>
      <w:r>
        <w:t>a</w:t>
      </w:r>
      <w:r w:rsidRPr="00592169">
        <w:t xml:space="preserve">ros notiek divi uz organizācijas attīstību vērsti procesi: deklarācijas modernizācija un paplašināšanas politikas pārskats. Eiropas Enerģētikas </w:t>
      </w:r>
      <w:r w:rsidRPr="000E0964">
        <w:t>hartas</w:t>
      </w:r>
      <w:r w:rsidRPr="00592169">
        <w:rPr>
          <w:b/>
        </w:rPr>
        <w:t xml:space="preserve"> </w:t>
      </w:r>
      <w:r w:rsidRPr="00592169">
        <w:t>deklarācija tika parakstīta 1991.gada 17.decembrī Hāgā un tā stājusies spēkā 1994.gadā. Eiropas enerģētikas hartas politiskā iniciatīva parādījās, kad Aukstā kara beigās pastāvēja nepieciešamība pārvarēt ekonomiskās atšķirības un veicināt savstarpēji izdevīgo sadarbību starp Austrumiem un Rietumiem enerģētikas jomā. Modernizācijas process ir nepieciešams, lai Eiropas Enerģētikas harta varētu atspoguļot pašreizējo situāciju pasaulē un globālajā enerģijas tirgū. Paplašināšanas politikas (CONEXO) mērķis ir piesaistīt jaunas valstis, lai tās pievienotos procesam. Ministri tiks aicināti diskutēt tieši par CONEXO politikas attīstību:</w:t>
      </w:r>
    </w:p>
    <w:p w:rsidR="00946707" w:rsidRPr="005D55F2" w:rsidRDefault="00946707" w:rsidP="00E30288">
      <w:pPr>
        <w:pStyle w:val="ListParagraph"/>
        <w:numPr>
          <w:ilvl w:val="0"/>
          <w:numId w:val="24"/>
        </w:numPr>
        <w:spacing w:after="120"/>
        <w:jc w:val="both"/>
        <w:rPr>
          <w:b/>
          <w:i/>
        </w:rPr>
      </w:pPr>
      <w:r w:rsidRPr="005D55F2">
        <w:rPr>
          <w:b/>
          <w:i/>
        </w:rPr>
        <w:t xml:space="preserve"> Kādi ir galvenie CONEXO politikas mērķi un tiem pakārtotas ģeogrāfiskās prioritātes (piemēram, investīciju iespējas, </w:t>
      </w:r>
      <w:proofErr w:type="spellStart"/>
      <w:r w:rsidRPr="005D55F2">
        <w:rPr>
          <w:b/>
          <w:i/>
        </w:rPr>
        <w:t>energomateriālu</w:t>
      </w:r>
      <w:proofErr w:type="spellEnd"/>
      <w:r w:rsidRPr="005D55F2">
        <w:rPr>
          <w:b/>
          <w:i/>
        </w:rPr>
        <w:t xml:space="preserve"> un i</w:t>
      </w:r>
      <w:r w:rsidR="00780DA7">
        <w:rPr>
          <w:b/>
          <w:i/>
        </w:rPr>
        <w:t>ekārtu tirdzniecība, ilgtspēja</w:t>
      </w:r>
      <w:r w:rsidRPr="005D55F2">
        <w:rPr>
          <w:b/>
          <w:i/>
        </w:rPr>
        <w:t>), un kāda varētu būt ES atbalstoša rīcība?</w:t>
      </w:r>
    </w:p>
    <w:p w:rsidR="00946707" w:rsidRPr="00592169" w:rsidRDefault="00946707" w:rsidP="00E30288">
      <w:pPr>
        <w:spacing w:after="120"/>
        <w:jc w:val="both"/>
      </w:pPr>
      <w:r w:rsidRPr="00592169">
        <w:rPr>
          <w:u w:val="single"/>
        </w:rPr>
        <w:t>Latvijas nostāja:</w:t>
      </w:r>
    </w:p>
    <w:p w:rsidR="00946707" w:rsidRDefault="00946707" w:rsidP="00E30288">
      <w:pPr>
        <w:spacing w:after="120"/>
        <w:jc w:val="both"/>
      </w:pPr>
      <w:r w:rsidRPr="000E0964">
        <w:t>Latvija</w:t>
      </w:r>
      <w:r w:rsidRPr="00592169">
        <w:t xml:space="preserve"> atbalsta Enerģētikas hartas modernizācijas un paplašināšanas iniciatīvas. Latvija uzskata, ka ir nepieciešami turpmāki politiski centieni, kas veicinās nolīguma ratifikāciju valstīs, kas </w:t>
      </w:r>
      <w:r>
        <w:t>ir</w:t>
      </w:r>
      <w:r w:rsidRPr="00592169">
        <w:t xml:space="preserve"> parakstījušas nolīgumu, bet juridiski vēl nav ratificējušas. Latvija atzinīgi novērtē, ka Afganistāna ir pievienojusies nolīgumam 2013. gadā, </w:t>
      </w:r>
      <w:r>
        <w:t>kā arī to, ka</w:t>
      </w:r>
      <w:r w:rsidRPr="00592169">
        <w:t xml:space="preserve"> Maroka un Mauritānija ir parakstījušas</w:t>
      </w:r>
      <w:r>
        <w:t xml:space="preserve"> deklarāciju 2012. un 2013. gadā</w:t>
      </w:r>
      <w:r w:rsidRPr="00592169">
        <w:t>. Latvija uzskata, ka jāturpina sarunas ar valstīm, kas ir izteikušas vēlmi pievienoties vienam vai abiem dokumentiem.</w:t>
      </w:r>
    </w:p>
    <w:p w:rsidR="00946707" w:rsidRDefault="00946707" w:rsidP="00E30288">
      <w:pPr>
        <w:pStyle w:val="ListParagraph"/>
        <w:numPr>
          <w:ilvl w:val="0"/>
          <w:numId w:val="21"/>
        </w:numPr>
        <w:jc w:val="both"/>
      </w:pPr>
      <w:r w:rsidRPr="00592169">
        <w:t>Starptautiskā Enerģētikas Aģentūra (IEA)</w:t>
      </w:r>
    </w:p>
    <w:p w:rsidR="00946707" w:rsidRPr="00592169" w:rsidRDefault="00946707" w:rsidP="00780DA7">
      <w:pPr>
        <w:pStyle w:val="ListParagraph"/>
        <w:ind w:left="360"/>
        <w:jc w:val="both"/>
      </w:pPr>
    </w:p>
    <w:p w:rsidR="00946707" w:rsidRPr="00592169" w:rsidRDefault="00946707" w:rsidP="00E30288">
      <w:pPr>
        <w:jc w:val="both"/>
      </w:pPr>
      <w:r w:rsidRPr="00592169">
        <w:t xml:space="preserve">IEA tika nodibināta OECD ietvaros, lai palīdzētu dalībvalstīm sniegt </w:t>
      </w:r>
      <w:r>
        <w:t>vienotu</w:t>
      </w:r>
      <w:r w:rsidRPr="00592169">
        <w:t xml:space="preserve"> atbildi un risināt naftas krīzes sekas</w:t>
      </w:r>
      <w:r>
        <w:t>. Pašlaik IEA darbojas šādā</w:t>
      </w:r>
      <w:r w:rsidRPr="00592169">
        <w:t>s jomās: energoapgādes drošība, ekonomiskā attīstība, izpratne par vides problēmām, iesaistīšanās</w:t>
      </w:r>
      <w:r>
        <w:t xml:space="preserve"> pasaules līmeņa jautājumos</w:t>
      </w:r>
      <w:r w:rsidRPr="00592169">
        <w:t>. Latvija nav IEA dalībvalsts.</w:t>
      </w:r>
    </w:p>
    <w:p w:rsidR="00946707" w:rsidRDefault="00946707" w:rsidP="00E30288">
      <w:pPr>
        <w:jc w:val="both"/>
      </w:pPr>
      <w:r w:rsidRPr="00592169">
        <w:t xml:space="preserve">Pašlaik notiek diskusijas par IEA nākotnes darbības virzieniem. Viena no jomām ir IAE asociācijas iniciatīva, kas ir vērsta uz partnervalstu (Brazīlija, Ķīna, Indija, Krievija, Indonēzija, DĀR, Meksika) integrāciju IEA darbībā. Līdz ar to ministri tiks aicināti diskutēt par diviem jautājumiem: </w:t>
      </w:r>
    </w:p>
    <w:p w:rsidR="00946707" w:rsidRPr="00851882" w:rsidRDefault="00946707" w:rsidP="005D55F2">
      <w:pPr>
        <w:pStyle w:val="ListParagraph"/>
        <w:numPr>
          <w:ilvl w:val="0"/>
          <w:numId w:val="26"/>
        </w:numPr>
        <w:jc w:val="both"/>
        <w:rPr>
          <w:b/>
          <w:i/>
        </w:rPr>
      </w:pPr>
      <w:r w:rsidRPr="00851882">
        <w:rPr>
          <w:b/>
          <w:i/>
        </w:rPr>
        <w:t>Kādi ir galvenie globālie izaicinājumi, kurus pēc dalībvalstu uzsk</w:t>
      </w:r>
      <w:r w:rsidR="00780DA7">
        <w:rPr>
          <w:b/>
          <w:i/>
        </w:rPr>
        <w:t xml:space="preserve">atiem būtu jārisina IEA </w:t>
      </w:r>
      <w:proofErr w:type="spellStart"/>
      <w:r w:rsidR="00780DA7">
        <w:rPr>
          <w:b/>
          <w:i/>
        </w:rPr>
        <w:t>īstermiņ</w:t>
      </w:r>
      <w:r w:rsidRPr="00851882">
        <w:rPr>
          <w:b/>
          <w:i/>
        </w:rPr>
        <w:t>ā</w:t>
      </w:r>
      <w:proofErr w:type="spellEnd"/>
      <w:r w:rsidRPr="00851882">
        <w:rPr>
          <w:b/>
          <w:i/>
        </w:rPr>
        <w:t xml:space="preserve"> un ilgtermiņā?</w:t>
      </w:r>
    </w:p>
    <w:p w:rsidR="00946707" w:rsidRPr="00851882" w:rsidRDefault="00946707" w:rsidP="005D55F2">
      <w:pPr>
        <w:pStyle w:val="ListParagraph"/>
        <w:numPr>
          <w:ilvl w:val="0"/>
          <w:numId w:val="26"/>
        </w:numPr>
        <w:jc w:val="both"/>
        <w:rPr>
          <w:b/>
          <w:i/>
        </w:rPr>
      </w:pPr>
      <w:r w:rsidRPr="00851882">
        <w:rPr>
          <w:b/>
          <w:i/>
        </w:rPr>
        <w:t>Kā IEA asociācijas iniciatīva var palīdzēt, veidojot efektīvāku globālu enerģētikas arhitektūru?</w:t>
      </w:r>
    </w:p>
    <w:p w:rsidR="00946707" w:rsidRDefault="00946707" w:rsidP="00E30288">
      <w:pPr>
        <w:jc w:val="both"/>
        <w:rPr>
          <w:u w:val="single"/>
        </w:rPr>
      </w:pPr>
    </w:p>
    <w:p w:rsidR="00946707" w:rsidRPr="00592169" w:rsidRDefault="00946707" w:rsidP="00E30288">
      <w:pPr>
        <w:jc w:val="both"/>
        <w:rPr>
          <w:u w:val="single"/>
        </w:rPr>
      </w:pPr>
      <w:r w:rsidRPr="00592169">
        <w:rPr>
          <w:u w:val="single"/>
        </w:rPr>
        <w:t>Latvijas nostāja:</w:t>
      </w:r>
    </w:p>
    <w:p w:rsidR="00946707" w:rsidRPr="00592169" w:rsidRDefault="00946707" w:rsidP="00E30288">
      <w:pPr>
        <w:jc w:val="both"/>
      </w:pPr>
      <w:r w:rsidRPr="00592169">
        <w:t>Latvija uzskata, ka IEA ir potenciāls sniegt ieguldījumu energo</w:t>
      </w:r>
      <w:r>
        <w:t>apgādes drošības stiprināšanā, kā arī</w:t>
      </w:r>
      <w:r w:rsidRPr="00592169">
        <w:t xml:space="preserve"> valstu sadarbībā un informācijas apmaiņā dabasgāzes jomā.</w:t>
      </w:r>
    </w:p>
    <w:p w:rsidR="00946707" w:rsidRPr="00592169" w:rsidRDefault="00946707" w:rsidP="00E30288">
      <w:pPr>
        <w:jc w:val="both"/>
      </w:pPr>
      <w:r w:rsidRPr="00592169">
        <w:t xml:space="preserve">Latvija piekrīt, ka </w:t>
      </w:r>
      <w:r>
        <w:t>IEA iniciatīva</w:t>
      </w:r>
      <w:r w:rsidRPr="00592169">
        <w:t xml:space="preserve"> veicinās </w:t>
      </w:r>
      <w:r>
        <w:t>tās</w:t>
      </w:r>
      <w:r w:rsidRPr="00592169">
        <w:t xml:space="preserve"> dalībvalstu un partnervalstu sadarbību, kā arī uzlabos IEA veikto pētījumu un analīzes kvalitāti.</w:t>
      </w:r>
    </w:p>
    <w:p w:rsidR="00946707" w:rsidRPr="00592169" w:rsidRDefault="00946707" w:rsidP="00E30288">
      <w:pPr>
        <w:jc w:val="both"/>
      </w:pPr>
    </w:p>
    <w:p w:rsidR="00946707" w:rsidRDefault="00946707" w:rsidP="00E30288">
      <w:pPr>
        <w:pStyle w:val="ListParagraph"/>
        <w:numPr>
          <w:ilvl w:val="0"/>
          <w:numId w:val="21"/>
        </w:numPr>
        <w:jc w:val="both"/>
      </w:pPr>
      <w:r w:rsidRPr="00592169">
        <w:t>Sadarbība enerģētikas jomā Vidusjūras reģionā</w:t>
      </w:r>
    </w:p>
    <w:p w:rsidR="00946707" w:rsidRPr="00592169" w:rsidRDefault="00946707" w:rsidP="00780DA7">
      <w:pPr>
        <w:pStyle w:val="ListParagraph"/>
        <w:ind w:left="360"/>
        <w:jc w:val="both"/>
      </w:pPr>
    </w:p>
    <w:p w:rsidR="00946707" w:rsidRPr="00592169" w:rsidRDefault="00946707" w:rsidP="00E30288">
      <w:pPr>
        <w:jc w:val="both"/>
      </w:pPr>
      <w:r w:rsidRPr="00592169">
        <w:lastRenderedPageBreak/>
        <w:t>Sadarbība Vidusjūras reģionā ir viena no Grieķijas prezidentūras horizontālajām prioritātēm, līdz ar to arī enerģētikas ministri tiks aicināti izvērtēt šīs sadarbības ietekmi uz ES enerģētikas jomu:</w:t>
      </w:r>
    </w:p>
    <w:p w:rsidR="00946707" w:rsidRPr="00780DA7" w:rsidRDefault="00946707" w:rsidP="00E30288">
      <w:pPr>
        <w:pStyle w:val="ListParagraph"/>
        <w:numPr>
          <w:ilvl w:val="0"/>
          <w:numId w:val="25"/>
        </w:numPr>
        <w:jc w:val="both"/>
        <w:rPr>
          <w:b/>
          <w:i/>
        </w:rPr>
      </w:pPr>
      <w:r w:rsidRPr="00780DA7">
        <w:rPr>
          <w:b/>
          <w:i/>
        </w:rPr>
        <w:t>Kādas turpmākas darbības un instrumenti ir visvairāk piemēroti Vidusjūras reģiona sadarbībai enerģētikas jomā?</w:t>
      </w:r>
    </w:p>
    <w:p w:rsidR="00946707" w:rsidRDefault="00946707" w:rsidP="00E30288">
      <w:pPr>
        <w:jc w:val="both"/>
        <w:rPr>
          <w:u w:val="single"/>
        </w:rPr>
      </w:pPr>
    </w:p>
    <w:p w:rsidR="00946707" w:rsidRPr="006E3A01" w:rsidRDefault="00946707" w:rsidP="00E30288">
      <w:pPr>
        <w:jc w:val="both"/>
        <w:rPr>
          <w:u w:val="single"/>
        </w:rPr>
      </w:pPr>
      <w:r w:rsidRPr="006E3A01">
        <w:rPr>
          <w:u w:val="single"/>
        </w:rPr>
        <w:t>Latvijas nostāja:</w:t>
      </w:r>
    </w:p>
    <w:p w:rsidR="00946707" w:rsidRPr="00592169" w:rsidRDefault="00946707" w:rsidP="00E30288">
      <w:pPr>
        <w:jc w:val="both"/>
      </w:pPr>
      <w:r>
        <w:t>Latvija uzskata, ka reģionālā</w:t>
      </w:r>
      <w:r w:rsidRPr="00592169">
        <w:t xml:space="preserve"> pieeja ir būtiska </w:t>
      </w:r>
      <w:r>
        <w:t xml:space="preserve">ES </w:t>
      </w:r>
      <w:r w:rsidRPr="00592169">
        <w:t>enerģētikas politikas sastāvdaļa. Līdz ar to Latvijai nav iebildumu pret šāda veida pieejas attīstību Vidusjūras reģionā</w:t>
      </w:r>
      <w:r>
        <w:t>.</w:t>
      </w:r>
      <w:r w:rsidRPr="00592169">
        <w:t xml:space="preserve"> Latvija uzskata, ka Vidusjūras reģionam ir liels potenciāls energoapgādes drošības stiprināšan</w:t>
      </w:r>
      <w:r>
        <w:t>ā</w:t>
      </w:r>
      <w:r w:rsidRPr="00592169">
        <w:t xml:space="preserve"> ES</w:t>
      </w:r>
      <w:r>
        <w:t>, kā arī</w:t>
      </w:r>
      <w:r w:rsidRPr="00592169">
        <w:t xml:space="preserve"> </w:t>
      </w:r>
      <w:r>
        <w:t xml:space="preserve">uzskata, ka </w:t>
      </w:r>
      <w:r w:rsidRPr="00592169">
        <w:t xml:space="preserve">Baltijas </w:t>
      </w:r>
      <w:r>
        <w:t xml:space="preserve">jūras </w:t>
      </w:r>
      <w:r w:rsidRPr="00592169">
        <w:t>reģions varētu kal</w:t>
      </w:r>
      <w:r>
        <w:t>pot par labu sadarbības piemēru</w:t>
      </w:r>
      <w:r w:rsidRPr="00592169">
        <w:t>.</w:t>
      </w:r>
    </w:p>
    <w:p w:rsidR="00946707" w:rsidRPr="00592169" w:rsidRDefault="00946707" w:rsidP="00E30288">
      <w:pPr>
        <w:jc w:val="both"/>
      </w:pPr>
    </w:p>
    <w:p w:rsidR="00946707" w:rsidRDefault="00946707" w:rsidP="002A693D">
      <w:pPr>
        <w:pStyle w:val="ListParagraph"/>
        <w:ind w:left="0"/>
        <w:jc w:val="both"/>
      </w:pPr>
    </w:p>
    <w:p w:rsidR="00946707" w:rsidRDefault="00946707" w:rsidP="002A693D">
      <w:pPr>
        <w:pStyle w:val="ListParagraph"/>
        <w:ind w:left="0"/>
        <w:jc w:val="both"/>
        <w:rPr>
          <w:b/>
        </w:rPr>
      </w:pPr>
      <w:r w:rsidRPr="00787F8C">
        <w:rPr>
          <w:b/>
        </w:rPr>
        <w:t>1.5. Citi jautājumi</w:t>
      </w:r>
    </w:p>
    <w:p w:rsidR="00946707" w:rsidRPr="00787F8C" w:rsidRDefault="00946707" w:rsidP="002A693D">
      <w:pPr>
        <w:pStyle w:val="ListParagraph"/>
        <w:ind w:left="0"/>
        <w:jc w:val="both"/>
        <w:rPr>
          <w:b/>
        </w:rPr>
      </w:pPr>
    </w:p>
    <w:p w:rsidR="00946707" w:rsidRPr="00787F8C" w:rsidRDefault="00946707" w:rsidP="001B7BBB">
      <w:pPr>
        <w:pStyle w:val="ListParagraph"/>
        <w:numPr>
          <w:ilvl w:val="0"/>
          <w:numId w:val="31"/>
        </w:numPr>
        <w:jc w:val="both"/>
      </w:pPr>
      <w:r w:rsidRPr="00787F8C">
        <w:rPr>
          <w:b/>
        </w:rPr>
        <w:t>Atomenerģijas jautājumi –</w:t>
      </w:r>
      <w:r w:rsidRPr="00787F8C">
        <w:t xml:space="preserve"> </w:t>
      </w:r>
      <w:r w:rsidRPr="00787F8C">
        <w:rPr>
          <w:i/>
        </w:rPr>
        <w:t>Komisijas sniegta informācija</w:t>
      </w:r>
    </w:p>
    <w:p w:rsidR="00946707" w:rsidRDefault="00946707" w:rsidP="001B7BBB">
      <w:pPr>
        <w:jc w:val="both"/>
      </w:pPr>
    </w:p>
    <w:p w:rsidR="00946707" w:rsidRDefault="00946707" w:rsidP="001B7BBB">
      <w:pPr>
        <w:jc w:val="both"/>
      </w:pPr>
      <w:r>
        <w:t>13.06.2014.TTE ministru padomes laikā Eiropas Komisija sniegs informāciju par atomenerģijas jautājumiem.</w:t>
      </w:r>
    </w:p>
    <w:p w:rsidR="00946707" w:rsidRPr="00787F8C" w:rsidRDefault="00946707" w:rsidP="002A693D">
      <w:pPr>
        <w:pStyle w:val="ListParagraph"/>
        <w:ind w:left="0"/>
        <w:jc w:val="both"/>
      </w:pPr>
    </w:p>
    <w:p w:rsidR="00946707" w:rsidRPr="00A94AE0" w:rsidRDefault="00946707" w:rsidP="001B7BBB">
      <w:pPr>
        <w:pStyle w:val="ListParagraph"/>
        <w:ind w:left="0" w:firstLine="720"/>
        <w:jc w:val="both"/>
      </w:pPr>
      <w:r w:rsidRPr="00787F8C">
        <w:rPr>
          <w:b/>
        </w:rPr>
        <w:t>(b)</w:t>
      </w:r>
      <w:r w:rsidR="001B7BBB">
        <w:rPr>
          <w:b/>
        </w:rPr>
        <w:t xml:space="preserve"> </w:t>
      </w:r>
      <w:r w:rsidRPr="00787F8C">
        <w:rPr>
          <w:b/>
        </w:rPr>
        <w:t xml:space="preserve">Ienākošās prezidentūras darba programma – </w:t>
      </w:r>
      <w:r w:rsidRPr="00787F8C">
        <w:rPr>
          <w:i/>
        </w:rPr>
        <w:t>Itālijas delegācijas sniegta informācija</w:t>
      </w:r>
    </w:p>
    <w:p w:rsidR="00946707" w:rsidRDefault="00946707" w:rsidP="001944C9"/>
    <w:p w:rsidR="00946707" w:rsidRDefault="00946707" w:rsidP="001B7BBB">
      <w:pPr>
        <w:jc w:val="both"/>
      </w:pPr>
      <w:r>
        <w:t>13.06.2014.TTE ministru padomes laikā Itālijas delegācija sniegs informāciju par prezidentūras eventuālajām prioritātēm.</w:t>
      </w:r>
      <w:r w:rsidRPr="006A213B">
        <w:t xml:space="preserve"> </w:t>
      </w:r>
      <w:r>
        <w:t>Itālijas prezidentūra sāksies 2014.gada 1.jūlijā un turpināsies līdz 2014.gada 31.decembrim.</w:t>
      </w:r>
    </w:p>
    <w:p w:rsidR="00946707" w:rsidRDefault="00946707" w:rsidP="001B7BBB">
      <w:pPr>
        <w:jc w:val="both"/>
      </w:pPr>
      <w:r>
        <w:t xml:space="preserve">Itālijas prezidentūras darba programma ir fokusēta ap ES enerģētikas četriem pīlāriem: klimata un enerģētikas satvaru pēc 2020.gada, ES enerģētisko drošību, ES iekšējā enerģētikas tirgus pabeigšanu un ārējo enerģētikas politiku. </w:t>
      </w:r>
    </w:p>
    <w:p w:rsidR="00946707" w:rsidRDefault="00946707" w:rsidP="001B7BBB">
      <w:pPr>
        <w:jc w:val="both"/>
      </w:pPr>
      <w:r>
        <w:t>Itālijas prezidentūras mērķis ir veicināt vienošanās panākšanu par jauno klimata un enerģētikas ietvaru oktobra Eiropadomes ietvaros. Neformālās tikšanās laikā 2014.gada 6.oktobrī Itālijā enerģētikas ministri diskutēs par klimata un enerģētika pakotni, provizoriski - kopā ar vides ministriem. Diskusijas pamatu veidos jūnija Eiropadomes laikā pieņemtās vadlīnijas, ieskaitot ES Enerģētikas drošības stratēģiju un Energoefektivitātes Direktīvas pārskatu. Iepriekš minētā kontekstā - ES iekšējā enerģētikas tirgus pabeigšanas līdz 2014.gadam progress būs atslēgas elements arī Itālijas prezidentūrai.</w:t>
      </w:r>
    </w:p>
    <w:p w:rsidR="00946707" w:rsidRPr="00AF620E" w:rsidRDefault="00946707" w:rsidP="001B7BBB">
      <w:pPr>
        <w:jc w:val="both"/>
      </w:pPr>
      <w:r>
        <w:t xml:space="preserve">Attiecībā uz ES enerģētikas politikas ārējo dimensiju Itālijas prezidentūra par prioritāti ir izvirzījusi enerģijas piegādes drošību, diversificējot piegādes avotus un ceļus. Vienlaikus Itālijas prezidentūra koncentrēsies uz ES-Vidusjūras attiecībām un turpinās pievērsties Dienvidu Gāzes koridora jautājumam, Vidusjūras gāzes </w:t>
      </w:r>
      <w:proofErr w:type="spellStart"/>
      <w:r>
        <w:t>haba</w:t>
      </w:r>
      <w:proofErr w:type="spellEnd"/>
      <w:r>
        <w:t xml:space="preserve"> un LNG tirgus attīstīšanai. Itālijas prezidentūra plāno veicināt un noslēgt diskusijas par Direktīvu 98/70/EC un pievērsties arī sadarbības koordinācijas starp enerģētikas ekspertiem un industriālās politikas ekspertiem veicināšanai.</w:t>
      </w:r>
    </w:p>
    <w:p w:rsidR="00946707" w:rsidRDefault="00946707" w:rsidP="002E4AE6">
      <w:pPr>
        <w:pStyle w:val="EntEmet"/>
        <w:spacing w:before="0" w:after="120"/>
        <w:ind w:firstLine="737"/>
        <w:jc w:val="both"/>
        <w:rPr>
          <w:szCs w:val="24"/>
          <w:lang w:val="lv-LV" w:eastAsia="zh-CN"/>
        </w:rPr>
      </w:pPr>
    </w:p>
    <w:p w:rsidR="001B7BBB" w:rsidRDefault="001B7BBB" w:rsidP="002E4AE6">
      <w:pPr>
        <w:pStyle w:val="EntEmet"/>
        <w:spacing w:before="0" w:after="120"/>
        <w:ind w:firstLine="737"/>
        <w:jc w:val="both"/>
        <w:rPr>
          <w:szCs w:val="24"/>
          <w:lang w:val="lv-LV" w:eastAsia="zh-CN"/>
        </w:rPr>
      </w:pPr>
    </w:p>
    <w:p w:rsidR="001B7BBB" w:rsidRDefault="001B7BBB" w:rsidP="002E4AE6">
      <w:pPr>
        <w:pStyle w:val="EntEmet"/>
        <w:spacing w:before="0" w:after="120"/>
        <w:ind w:firstLine="737"/>
        <w:jc w:val="both"/>
        <w:rPr>
          <w:szCs w:val="24"/>
          <w:lang w:val="lv-LV" w:eastAsia="zh-CN"/>
        </w:rPr>
      </w:pPr>
    </w:p>
    <w:p w:rsidR="001B7BBB" w:rsidRDefault="001B7BBB" w:rsidP="002E4AE6">
      <w:pPr>
        <w:pStyle w:val="EntEmet"/>
        <w:spacing w:before="0" w:after="120"/>
        <w:ind w:firstLine="737"/>
        <w:jc w:val="both"/>
        <w:rPr>
          <w:szCs w:val="24"/>
          <w:lang w:val="lv-LV" w:eastAsia="zh-CN"/>
        </w:rPr>
      </w:pPr>
    </w:p>
    <w:p w:rsidR="001B7BBB" w:rsidRPr="008519CA" w:rsidRDefault="001B7BBB" w:rsidP="00106C66">
      <w:pPr>
        <w:pStyle w:val="EntEmet"/>
        <w:spacing w:before="0" w:after="120"/>
        <w:jc w:val="both"/>
        <w:rPr>
          <w:szCs w:val="24"/>
          <w:lang w:val="lv-LV" w:eastAsia="zh-CN"/>
        </w:rPr>
      </w:pPr>
    </w:p>
    <w:p w:rsidR="00946707" w:rsidRPr="008519CA" w:rsidRDefault="00946707" w:rsidP="002E4AE6">
      <w:pPr>
        <w:numPr>
          <w:ilvl w:val="0"/>
          <w:numId w:val="3"/>
        </w:numPr>
        <w:spacing w:after="120"/>
        <w:ind w:left="0" w:firstLine="737"/>
        <w:jc w:val="center"/>
        <w:rPr>
          <w:b/>
        </w:rPr>
      </w:pPr>
      <w:r>
        <w:rPr>
          <w:b/>
        </w:rPr>
        <w:lastRenderedPageBreak/>
        <w:t>Latvijas delegā</w:t>
      </w:r>
      <w:r w:rsidRPr="008519CA">
        <w:rPr>
          <w:b/>
        </w:rPr>
        <w:t>cija</w:t>
      </w:r>
    </w:p>
    <w:p w:rsidR="00946707" w:rsidRPr="008519CA" w:rsidRDefault="00946707" w:rsidP="002E4AE6">
      <w:pPr>
        <w:spacing w:after="120"/>
        <w:ind w:firstLine="737"/>
        <w:jc w:val="both"/>
        <w:rPr>
          <w:b/>
        </w:rPr>
      </w:pPr>
    </w:p>
    <w:p w:rsidR="00946707" w:rsidRPr="008519CA" w:rsidRDefault="00946707" w:rsidP="002E4AE6">
      <w:pPr>
        <w:spacing w:after="120"/>
        <w:ind w:left="2880" w:hanging="2880"/>
        <w:jc w:val="both"/>
      </w:pPr>
      <w:r>
        <w:t>Delegācijas vadītā</w:t>
      </w:r>
      <w:r w:rsidRPr="008519CA">
        <w:t xml:space="preserve">js: </w:t>
      </w:r>
      <w:r w:rsidRPr="008519CA">
        <w:tab/>
      </w:r>
      <w:proofErr w:type="spellStart"/>
      <w:r w:rsidRPr="008519CA">
        <w:t>M.Lazdovskis</w:t>
      </w:r>
      <w:proofErr w:type="spellEnd"/>
      <w:r w:rsidRPr="008519CA">
        <w:t xml:space="preserve">, Ekonomikas ministrijas </w:t>
      </w:r>
      <w:r>
        <w:t>V</w:t>
      </w:r>
      <w:r w:rsidRPr="008519CA">
        <w:t>alsts sekr</w:t>
      </w:r>
      <w:r>
        <w:t>etā</w:t>
      </w:r>
      <w:r w:rsidRPr="008519CA">
        <w:t>rs.</w:t>
      </w:r>
    </w:p>
    <w:p w:rsidR="00946707" w:rsidRDefault="00946707" w:rsidP="002E4AE6">
      <w:pPr>
        <w:spacing w:after="120"/>
        <w:ind w:left="2880" w:hanging="2880"/>
        <w:jc w:val="both"/>
      </w:pPr>
      <w:r>
        <w:t xml:space="preserve">Delegācijas dalībnieki: </w:t>
      </w:r>
      <w:r>
        <w:tab/>
      </w:r>
      <w:proofErr w:type="spellStart"/>
      <w:r>
        <w:t>J.Štā</w:t>
      </w:r>
      <w:r w:rsidRPr="008519CA">
        <w:t>lmei</w:t>
      </w:r>
      <w:r>
        <w:t>stars</w:t>
      </w:r>
      <w:proofErr w:type="spellEnd"/>
      <w:r>
        <w:t xml:space="preserve">, </w:t>
      </w:r>
      <w:r w:rsidRPr="0080513D">
        <w:t xml:space="preserve">Latvijas </w:t>
      </w:r>
      <w:r>
        <w:t>P</w:t>
      </w:r>
      <w:r w:rsidRPr="0080513D">
        <w:t>astāvīgā pā</w:t>
      </w:r>
      <w:r>
        <w:t>rstāvja Eiropas Savienībā vietnieks, vēstnieks;</w:t>
      </w:r>
    </w:p>
    <w:p w:rsidR="00946707" w:rsidRPr="008519CA" w:rsidRDefault="00946707" w:rsidP="002E4AE6">
      <w:pPr>
        <w:spacing w:after="120"/>
        <w:ind w:left="2880" w:hanging="2880"/>
        <w:jc w:val="both"/>
      </w:pPr>
      <w:r>
        <w:tab/>
        <w:t>R.Šņuka, Ekonomikas ministrijas Enerģijas tirgus un infrastruktūras departamenta direktore;</w:t>
      </w:r>
    </w:p>
    <w:p w:rsidR="00946707" w:rsidRPr="008519CA" w:rsidRDefault="00946707" w:rsidP="002E4AE6">
      <w:pPr>
        <w:spacing w:after="120"/>
        <w:ind w:left="2880"/>
        <w:jc w:val="both"/>
      </w:pPr>
      <w:proofErr w:type="spellStart"/>
      <w:r>
        <w:t>Dz.Kauliņš</w:t>
      </w:r>
      <w:proofErr w:type="spellEnd"/>
      <w:r>
        <w:t xml:space="preserve">, </w:t>
      </w:r>
      <w:r w:rsidRPr="008519CA">
        <w:t>Ekonomikas ministrijas nozares padomnie</w:t>
      </w:r>
      <w:r>
        <w:t xml:space="preserve">ks, </w:t>
      </w:r>
      <w:r w:rsidRPr="00992233">
        <w:t xml:space="preserve">Latvijas </w:t>
      </w:r>
      <w:r>
        <w:t xml:space="preserve">Republikas </w:t>
      </w:r>
      <w:r w:rsidRPr="00992233">
        <w:t>Pastāvīgā pārstāvniecība Eiropas Savienībā</w:t>
      </w:r>
      <w:r>
        <w:t xml:space="preserve">; </w:t>
      </w:r>
    </w:p>
    <w:p w:rsidR="00946707" w:rsidRPr="008519CA" w:rsidRDefault="00946707" w:rsidP="002E4AE6">
      <w:pPr>
        <w:spacing w:after="120"/>
        <w:ind w:left="2880"/>
        <w:jc w:val="both"/>
      </w:pPr>
      <w:r w:rsidRPr="008519CA">
        <w:t>M.Zjurikova, Ekonomikas ministrijas nozares padomniece</w:t>
      </w:r>
      <w:r>
        <w:t xml:space="preserve">, </w:t>
      </w:r>
      <w:r w:rsidRPr="008519CA">
        <w:t xml:space="preserve"> </w:t>
      </w:r>
      <w:r w:rsidRPr="00992233">
        <w:t>Latvijas Republikas Pastāvīgā p</w:t>
      </w:r>
      <w:r>
        <w:t>ārstāvniecība Eiropas Savienībā.</w:t>
      </w:r>
    </w:p>
    <w:p w:rsidR="00946707" w:rsidRPr="008519CA" w:rsidRDefault="00946707" w:rsidP="002E4AE6">
      <w:pPr>
        <w:spacing w:after="120"/>
        <w:jc w:val="both"/>
      </w:pPr>
    </w:p>
    <w:p w:rsidR="00946707" w:rsidRPr="008519CA" w:rsidRDefault="00946707" w:rsidP="002E4AE6">
      <w:pPr>
        <w:spacing w:after="120"/>
        <w:jc w:val="both"/>
      </w:pPr>
    </w:p>
    <w:p w:rsidR="00946707" w:rsidRPr="008519CA" w:rsidRDefault="00946707" w:rsidP="002E4AE6">
      <w:pPr>
        <w:spacing w:after="120"/>
        <w:jc w:val="both"/>
      </w:pPr>
      <w:r w:rsidRPr="008519CA">
        <w:t>Ekonomikas ministrs</w:t>
      </w:r>
      <w:r w:rsidRPr="008519CA">
        <w:tab/>
      </w:r>
      <w:r w:rsidRPr="008519CA">
        <w:tab/>
      </w:r>
      <w:r w:rsidRPr="008519CA">
        <w:tab/>
      </w:r>
      <w:r w:rsidRPr="008519CA">
        <w:tab/>
      </w:r>
      <w:r w:rsidRPr="008519CA">
        <w:tab/>
      </w:r>
      <w:r w:rsidRPr="008519CA">
        <w:tab/>
      </w:r>
      <w:r w:rsidRPr="008519CA">
        <w:tab/>
        <w:t xml:space="preserve"> </w:t>
      </w:r>
      <w:proofErr w:type="spellStart"/>
      <w:r w:rsidRPr="008519CA">
        <w:t>V.Dombrovskis</w:t>
      </w:r>
      <w:proofErr w:type="spellEnd"/>
      <w:r w:rsidRPr="008519CA">
        <w:t xml:space="preserve"> </w:t>
      </w:r>
    </w:p>
    <w:p w:rsidR="00946707" w:rsidRPr="008519CA" w:rsidRDefault="00946707" w:rsidP="002E4AE6">
      <w:pPr>
        <w:tabs>
          <w:tab w:val="right" w:pos="9497"/>
        </w:tabs>
        <w:spacing w:after="120"/>
        <w:ind w:firstLine="737"/>
        <w:jc w:val="both"/>
      </w:pPr>
    </w:p>
    <w:p w:rsidR="00946707" w:rsidRPr="008519CA" w:rsidRDefault="00946707" w:rsidP="002E4AE6">
      <w:pPr>
        <w:spacing w:after="120"/>
        <w:ind w:firstLine="737"/>
        <w:jc w:val="both"/>
      </w:pPr>
    </w:p>
    <w:p w:rsidR="00946707" w:rsidRPr="008519CA" w:rsidRDefault="00946707" w:rsidP="002E4AE6">
      <w:pPr>
        <w:spacing w:after="120"/>
        <w:jc w:val="both"/>
      </w:pPr>
      <w:r w:rsidRPr="008519CA">
        <w:t xml:space="preserve">Valsts </w:t>
      </w:r>
      <w:r>
        <w:t>sekretārs</w:t>
      </w:r>
      <w:r w:rsidRPr="008519CA">
        <w:tab/>
      </w:r>
      <w:r w:rsidRPr="008519CA">
        <w:tab/>
      </w:r>
      <w:r w:rsidRPr="008519CA">
        <w:tab/>
      </w:r>
      <w:r w:rsidRPr="008519CA">
        <w:tab/>
      </w:r>
      <w:r w:rsidRPr="008519CA">
        <w:tab/>
      </w:r>
      <w:r w:rsidRPr="008519CA">
        <w:tab/>
      </w:r>
      <w:r w:rsidRPr="008519CA">
        <w:tab/>
      </w:r>
      <w:proofErr w:type="spellStart"/>
      <w:r w:rsidRPr="008519CA">
        <w:t>M.Lazdovskis</w:t>
      </w:r>
      <w:proofErr w:type="spellEnd"/>
      <w:r w:rsidRPr="008519CA">
        <w:t xml:space="preserve"> </w:t>
      </w:r>
    </w:p>
    <w:p w:rsidR="00844715" w:rsidRDefault="00844715" w:rsidP="002E4AE6">
      <w:pPr>
        <w:tabs>
          <w:tab w:val="left" w:pos="720"/>
          <w:tab w:val="center" w:pos="4153"/>
          <w:tab w:val="right" w:pos="8306"/>
        </w:tabs>
        <w:spacing w:after="120"/>
        <w:ind w:firstLine="737"/>
        <w:jc w:val="both"/>
      </w:pPr>
    </w:p>
    <w:p w:rsidR="00844715" w:rsidRDefault="00844715" w:rsidP="00844715"/>
    <w:p w:rsidR="00844715" w:rsidRPr="00AF72AE" w:rsidRDefault="00844715" w:rsidP="00844715">
      <w:pPr>
        <w:rPr>
          <w:sz w:val="20"/>
          <w:szCs w:val="20"/>
        </w:rPr>
      </w:pPr>
      <w:r w:rsidRPr="00AF72AE">
        <w:rPr>
          <w:sz w:val="20"/>
          <w:szCs w:val="20"/>
        </w:rPr>
        <w:t>06.06.2014. 10:</w:t>
      </w:r>
      <w:r>
        <w:rPr>
          <w:sz w:val="20"/>
          <w:szCs w:val="20"/>
        </w:rPr>
        <w:t>55</w:t>
      </w:r>
    </w:p>
    <w:p w:rsidR="00844715" w:rsidRPr="00AF72AE" w:rsidRDefault="00844715" w:rsidP="00844715">
      <w:pPr>
        <w:rPr>
          <w:sz w:val="20"/>
          <w:szCs w:val="20"/>
        </w:rPr>
      </w:pPr>
      <w:r w:rsidRPr="00AF72AE">
        <w:rPr>
          <w:sz w:val="20"/>
          <w:szCs w:val="20"/>
        </w:rPr>
        <w:t>3</w:t>
      </w:r>
      <w:r>
        <w:rPr>
          <w:sz w:val="20"/>
          <w:szCs w:val="20"/>
        </w:rPr>
        <w:t>8</w:t>
      </w:r>
      <w:r w:rsidR="008E755A">
        <w:rPr>
          <w:sz w:val="20"/>
          <w:szCs w:val="20"/>
        </w:rPr>
        <w:t>51</w:t>
      </w:r>
    </w:p>
    <w:p w:rsidR="00844715" w:rsidRPr="00AF72AE" w:rsidRDefault="00844715" w:rsidP="00844715">
      <w:pPr>
        <w:rPr>
          <w:sz w:val="18"/>
          <w:szCs w:val="18"/>
        </w:rPr>
      </w:pPr>
      <w:r w:rsidRPr="00AF72AE">
        <w:rPr>
          <w:sz w:val="18"/>
          <w:szCs w:val="18"/>
        </w:rPr>
        <w:t>I.Prokofjeva</w:t>
      </w:r>
    </w:p>
    <w:p w:rsidR="00844715" w:rsidRPr="00AF72AE" w:rsidRDefault="00844715" w:rsidP="00844715">
      <w:pPr>
        <w:tabs>
          <w:tab w:val="left" w:pos="6840"/>
        </w:tabs>
        <w:jc w:val="both"/>
        <w:rPr>
          <w:sz w:val="18"/>
          <w:szCs w:val="18"/>
        </w:rPr>
      </w:pPr>
      <w:r w:rsidRPr="00AF72AE">
        <w:rPr>
          <w:sz w:val="18"/>
          <w:szCs w:val="18"/>
        </w:rPr>
        <w:t xml:space="preserve">67013173, </w:t>
      </w:r>
      <w:hyperlink r:id="rId9" w:history="1">
        <w:r w:rsidRPr="00AF72AE">
          <w:rPr>
            <w:color w:val="0000FF"/>
            <w:sz w:val="18"/>
            <w:szCs w:val="18"/>
            <w:u w:val="single"/>
          </w:rPr>
          <w:t>Inga.Prokofjeva@em.gov.lv</w:t>
        </w:r>
      </w:hyperlink>
    </w:p>
    <w:p w:rsidR="00946707" w:rsidRPr="00844715" w:rsidRDefault="00946707" w:rsidP="00844715"/>
    <w:sectPr w:rsidR="00946707" w:rsidRPr="00844715" w:rsidSect="0089524F">
      <w:headerReference w:type="default" r:id="rId10"/>
      <w:footerReference w:type="default" r:id="rId11"/>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8AA" w:rsidRDefault="002218AA" w:rsidP="008939CE">
      <w:r>
        <w:separator/>
      </w:r>
    </w:p>
  </w:endnote>
  <w:endnote w:type="continuationSeparator" w:id="0">
    <w:p w:rsidR="002218AA" w:rsidRDefault="002218AA" w:rsidP="0089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07" w:rsidRPr="005B42CC" w:rsidRDefault="00780DA7" w:rsidP="005B42CC">
    <w:pPr>
      <w:pStyle w:val="Footer"/>
      <w:jc w:val="both"/>
      <w:rPr>
        <w:sz w:val="20"/>
        <w:szCs w:val="20"/>
      </w:rPr>
    </w:pPr>
    <w:r>
      <w:rPr>
        <w:sz w:val="20"/>
        <w:szCs w:val="20"/>
      </w:rPr>
      <w:t>EMzino_06</w:t>
    </w:r>
    <w:r w:rsidR="00946707" w:rsidRPr="005B42CC">
      <w:rPr>
        <w:sz w:val="20"/>
        <w:szCs w:val="20"/>
      </w:rPr>
      <w:t xml:space="preserve">0614_ENERG; </w:t>
    </w:r>
    <w:r w:rsidR="00106C66">
      <w:rPr>
        <w:sz w:val="20"/>
        <w:szCs w:val="20"/>
      </w:rPr>
      <w:t xml:space="preserve">Informatīvais ziņojums </w:t>
    </w:r>
    <w:r w:rsidR="00106C66" w:rsidRPr="00106C66">
      <w:rPr>
        <w:sz w:val="20"/>
        <w:szCs w:val="20"/>
      </w:rPr>
      <w:t xml:space="preserve">par Eiropas Savienības Transporta, telekomunikāciju un enerģētikas ministru padomes 2014.gada 13.jūnija sanāksmē izskatāmajiem Ekonomikas ministrijas kompetences jautājumiem </w:t>
    </w:r>
  </w:p>
  <w:p w:rsidR="00946707" w:rsidRDefault="00165692" w:rsidP="003809AE">
    <w:pPr>
      <w:pStyle w:val="Footer"/>
      <w:jc w:val="right"/>
      <w:rPr>
        <w:noProof/>
      </w:rPr>
    </w:pPr>
    <w:r>
      <w:fldChar w:fldCharType="begin"/>
    </w:r>
    <w:r>
      <w:instrText xml:space="preserve"> PAGE   \* MERGEFORMAT </w:instrText>
    </w:r>
    <w:r>
      <w:fldChar w:fldCharType="separate"/>
    </w:r>
    <w:r w:rsidR="00D641DA">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8AA" w:rsidRDefault="002218AA" w:rsidP="008939CE">
      <w:r>
        <w:separator/>
      </w:r>
    </w:p>
  </w:footnote>
  <w:footnote w:type="continuationSeparator" w:id="0">
    <w:p w:rsidR="002218AA" w:rsidRDefault="002218AA" w:rsidP="00893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07" w:rsidRDefault="00946707" w:rsidP="00F43E4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73E"/>
    <w:multiLevelType w:val="hybridMultilevel"/>
    <w:tmpl w:val="8C9CA226"/>
    <w:lvl w:ilvl="0" w:tplc="39107706">
      <w:start w:val="2"/>
      <w:numFmt w:val="decimal"/>
      <w:lvlText w:val="%1."/>
      <w:lvlJc w:val="lef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05611378"/>
    <w:multiLevelType w:val="multilevel"/>
    <w:tmpl w:val="0F36F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3C0543"/>
    <w:multiLevelType w:val="hybridMultilevel"/>
    <w:tmpl w:val="01DEE6DE"/>
    <w:lvl w:ilvl="0" w:tplc="9A949B66">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0D1B7838"/>
    <w:multiLevelType w:val="hybridMultilevel"/>
    <w:tmpl w:val="E986531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102C2C7B"/>
    <w:multiLevelType w:val="hybridMultilevel"/>
    <w:tmpl w:val="5198B51E"/>
    <w:lvl w:ilvl="0" w:tplc="1F2C55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1CF68CB"/>
    <w:multiLevelType w:val="hybridMultilevel"/>
    <w:tmpl w:val="0532C1D0"/>
    <w:lvl w:ilvl="0" w:tplc="1F2C55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11E07D10"/>
    <w:multiLevelType w:val="hybridMultilevel"/>
    <w:tmpl w:val="1FD810E2"/>
    <w:lvl w:ilvl="0" w:tplc="CE10D2C4">
      <w:start w:val="201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4663294"/>
    <w:multiLevelType w:val="hybridMultilevel"/>
    <w:tmpl w:val="2F869C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74D12C1"/>
    <w:multiLevelType w:val="hybridMultilevel"/>
    <w:tmpl w:val="D520D466"/>
    <w:lvl w:ilvl="0" w:tplc="596E3B06">
      <w:start w:val="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884473B"/>
    <w:multiLevelType w:val="hybridMultilevel"/>
    <w:tmpl w:val="20769B2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19BB4F0D"/>
    <w:multiLevelType w:val="multilevel"/>
    <w:tmpl w:val="E182F1A8"/>
    <w:lvl w:ilvl="0">
      <w:start w:val="1"/>
      <w:numFmt w:val="decimal"/>
      <w:lvlText w:val="%1."/>
      <w:lvlJc w:val="left"/>
      <w:pPr>
        <w:ind w:left="927" w:hanging="360"/>
      </w:pPr>
      <w:rPr>
        <w:rFonts w:cs="Times New Roman" w:hint="default"/>
        <w:b/>
        <w:i w:val="0"/>
        <w:u w:val="none"/>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3033" w:hanging="720"/>
      </w:pPr>
      <w:rPr>
        <w:rFonts w:cs="Times New Roman" w:hint="default"/>
      </w:rPr>
    </w:lvl>
    <w:lvl w:ilvl="3">
      <w:start w:val="1"/>
      <w:numFmt w:val="decimal"/>
      <w:isLgl/>
      <w:lvlText w:val="%1.%2.%3.%4."/>
      <w:lvlJc w:val="left"/>
      <w:pPr>
        <w:ind w:left="3906" w:hanging="720"/>
      </w:pPr>
      <w:rPr>
        <w:rFonts w:cs="Times New Roman" w:hint="default"/>
      </w:rPr>
    </w:lvl>
    <w:lvl w:ilvl="4">
      <w:start w:val="1"/>
      <w:numFmt w:val="decimal"/>
      <w:isLgl/>
      <w:lvlText w:val="%1.%2.%3.%4.%5."/>
      <w:lvlJc w:val="left"/>
      <w:pPr>
        <w:ind w:left="5139" w:hanging="1080"/>
      </w:pPr>
      <w:rPr>
        <w:rFonts w:cs="Times New Roman" w:hint="default"/>
      </w:rPr>
    </w:lvl>
    <w:lvl w:ilvl="5">
      <w:start w:val="1"/>
      <w:numFmt w:val="decimal"/>
      <w:isLgl/>
      <w:lvlText w:val="%1.%2.%3.%4.%5.%6."/>
      <w:lvlJc w:val="left"/>
      <w:pPr>
        <w:ind w:left="6012" w:hanging="1080"/>
      </w:pPr>
      <w:rPr>
        <w:rFonts w:cs="Times New Roman" w:hint="default"/>
      </w:rPr>
    </w:lvl>
    <w:lvl w:ilvl="6">
      <w:start w:val="1"/>
      <w:numFmt w:val="decimal"/>
      <w:isLgl/>
      <w:lvlText w:val="%1.%2.%3.%4.%5.%6.%7."/>
      <w:lvlJc w:val="left"/>
      <w:pPr>
        <w:ind w:left="7245" w:hanging="1440"/>
      </w:pPr>
      <w:rPr>
        <w:rFonts w:cs="Times New Roman" w:hint="default"/>
      </w:rPr>
    </w:lvl>
    <w:lvl w:ilvl="7">
      <w:start w:val="1"/>
      <w:numFmt w:val="decimal"/>
      <w:isLgl/>
      <w:lvlText w:val="%1.%2.%3.%4.%5.%6.%7.%8."/>
      <w:lvlJc w:val="left"/>
      <w:pPr>
        <w:ind w:left="8118" w:hanging="1440"/>
      </w:pPr>
      <w:rPr>
        <w:rFonts w:cs="Times New Roman" w:hint="default"/>
      </w:rPr>
    </w:lvl>
    <w:lvl w:ilvl="8">
      <w:start w:val="1"/>
      <w:numFmt w:val="decimal"/>
      <w:isLgl/>
      <w:lvlText w:val="%1.%2.%3.%4.%5.%6.%7.%8.%9."/>
      <w:lvlJc w:val="left"/>
      <w:pPr>
        <w:ind w:left="9351" w:hanging="1800"/>
      </w:pPr>
      <w:rPr>
        <w:rFonts w:cs="Times New Roman" w:hint="default"/>
      </w:rPr>
    </w:lvl>
  </w:abstractNum>
  <w:abstractNum w:abstractNumId="11">
    <w:nsid w:val="1B570A75"/>
    <w:multiLevelType w:val="multilevel"/>
    <w:tmpl w:val="A3CEA074"/>
    <w:lvl w:ilvl="0">
      <w:start w:val="1"/>
      <w:numFmt w:val="decimal"/>
      <w:lvlText w:val="%1."/>
      <w:lvlJc w:val="left"/>
      <w:pPr>
        <w:ind w:left="927" w:hanging="360"/>
      </w:pPr>
      <w:rPr>
        <w:rFonts w:cs="Times New Roman" w:hint="default"/>
        <w:b w:val="0"/>
        <w:i w:val="0"/>
        <w:u w:val="none"/>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3033" w:hanging="720"/>
      </w:pPr>
      <w:rPr>
        <w:rFonts w:cs="Times New Roman" w:hint="default"/>
      </w:rPr>
    </w:lvl>
    <w:lvl w:ilvl="3">
      <w:start w:val="1"/>
      <w:numFmt w:val="decimal"/>
      <w:isLgl/>
      <w:lvlText w:val="%1.%2.%3.%4."/>
      <w:lvlJc w:val="left"/>
      <w:pPr>
        <w:ind w:left="3906" w:hanging="720"/>
      </w:pPr>
      <w:rPr>
        <w:rFonts w:cs="Times New Roman" w:hint="default"/>
      </w:rPr>
    </w:lvl>
    <w:lvl w:ilvl="4">
      <w:start w:val="1"/>
      <w:numFmt w:val="decimal"/>
      <w:isLgl/>
      <w:lvlText w:val="%1.%2.%3.%4.%5."/>
      <w:lvlJc w:val="left"/>
      <w:pPr>
        <w:ind w:left="5139" w:hanging="1080"/>
      </w:pPr>
      <w:rPr>
        <w:rFonts w:cs="Times New Roman" w:hint="default"/>
      </w:rPr>
    </w:lvl>
    <w:lvl w:ilvl="5">
      <w:start w:val="1"/>
      <w:numFmt w:val="decimal"/>
      <w:isLgl/>
      <w:lvlText w:val="%1.%2.%3.%4.%5.%6."/>
      <w:lvlJc w:val="left"/>
      <w:pPr>
        <w:ind w:left="6012" w:hanging="1080"/>
      </w:pPr>
      <w:rPr>
        <w:rFonts w:cs="Times New Roman" w:hint="default"/>
      </w:rPr>
    </w:lvl>
    <w:lvl w:ilvl="6">
      <w:start w:val="1"/>
      <w:numFmt w:val="decimal"/>
      <w:isLgl/>
      <w:lvlText w:val="%1.%2.%3.%4.%5.%6.%7."/>
      <w:lvlJc w:val="left"/>
      <w:pPr>
        <w:ind w:left="7245" w:hanging="1440"/>
      </w:pPr>
      <w:rPr>
        <w:rFonts w:cs="Times New Roman" w:hint="default"/>
      </w:rPr>
    </w:lvl>
    <w:lvl w:ilvl="7">
      <w:start w:val="1"/>
      <w:numFmt w:val="decimal"/>
      <w:isLgl/>
      <w:lvlText w:val="%1.%2.%3.%4.%5.%6.%7.%8."/>
      <w:lvlJc w:val="left"/>
      <w:pPr>
        <w:ind w:left="8118" w:hanging="1440"/>
      </w:pPr>
      <w:rPr>
        <w:rFonts w:cs="Times New Roman" w:hint="default"/>
      </w:rPr>
    </w:lvl>
    <w:lvl w:ilvl="8">
      <w:start w:val="1"/>
      <w:numFmt w:val="decimal"/>
      <w:isLgl/>
      <w:lvlText w:val="%1.%2.%3.%4.%5.%6.%7.%8.%9."/>
      <w:lvlJc w:val="left"/>
      <w:pPr>
        <w:ind w:left="9351" w:hanging="1800"/>
      </w:pPr>
      <w:rPr>
        <w:rFonts w:cs="Times New Roman" w:hint="default"/>
      </w:rPr>
    </w:lvl>
  </w:abstractNum>
  <w:abstractNum w:abstractNumId="12">
    <w:nsid w:val="1FA838B5"/>
    <w:multiLevelType w:val="hybridMultilevel"/>
    <w:tmpl w:val="DFE8465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7B9163B"/>
    <w:multiLevelType w:val="hybridMultilevel"/>
    <w:tmpl w:val="30720B4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AB760C"/>
    <w:multiLevelType w:val="hybridMultilevel"/>
    <w:tmpl w:val="BE369BA2"/>
    <w:lvl w:ilvl="0" w:tplc="E6E8F0F0">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33B5DB7"/>
    <w:multiLevelType w:val="hybridMultilevel"/>
    <w:tmpl w:val="313ACC0A"/>
    <w:lvl w:ilvl="0" w:tplc="A224E426">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465C0808"/>
    <w:multiLevelType w:val="multilevel"/>
    <w:tmpl w:val="92B24294"/>
    <w:lvl w:ilvl="0">
      <w:start w:val="1"/>
      <w:numFmt w:val="decimal"/>
      <w:pStyle w:val="Par-number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B9438FF"/>
    <w:multiLevelType w:val="hybridMultilevel"/>
    <w:tmpl w:val="977C0042"/>
    <w:lvl w:ilvl="0" w:tplc="85EE8E2C">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DFF7776"/>
    <w:multiLevelType w:val="hybridMultilevel"/>
    <w:tmpl w:val="6F1CF88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5B230FBC"/>
    <w:multiLevelType w:val="hybridMultilevel"/>
    <w:tmpl w:val="A8C403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2577AD0"/>
    <w:multiLevelType w:val="hybridMultilevel"/>
    <w:tmpl w:val="8D428050"/>
    <w:lvl w:ilvl="0" w:tplc="596E3B06">
      <w:start w:val="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2B2137F"/>
    <w:multiLevelType w:val="hybridMultilevel"/>
    <w:tmpl w:val="E91C8E2A"/>
    <w:lvl w:ilvl="0" w:tplc="BAC6AD38">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6924732"/>
    <w:multiLevelType w:val="hybridMultilevel"/>
    <w:tmpl w:val="059C83E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6AC133C0"/>
    <w:multiLevelType w:val="hybridMultilevel"/>
    <w:tmpl w:val="19A40D5A"/>
    <w:lvl w:ilvl="0" w:tplc="B85E9AB8">
      <w:start w:val="1"/>
      <w:numFmt w:val="lowerLetter"/>
      <w:lvlText w:val="%1)"/>
      <w:lvlJc w:val="left"/>
      <w:pPr>
        <w:ind w:left="720" w:hanging="360"/>
      </w:pPr>
      <w:rPr>
        <w:rFonts w:ascii="Calibri" w:eastAsia="Times New Roman" w:hAnsi="Calibri"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6DE54246"/>
    <w:multiLevelType w:val="hybridMultilevel"/>
    <w:tmpl w:val="DA740D7E"/>
    <w:lvl w:ilvl="0" w:tplc="85EE8E2C">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FE31FB4"/>
    <w:multiLevelType w:val="hybridMultilevel"/>
    <w:tmpl w:val="AB5C5FD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75AF1363"/>
    <w:multiLevelType w:val="hybridMultilevel"/>
    <w:tmpl w:val="1DDC063C"/>
    <w:lvl w:ilvl="0" w:tplc="04260017">
      <w:start w:val="1"/>
      <w:numFmt w:val="lowerLetter"/>
      <w:lvlText w:val="%1)"/>
      <w:lvlJc w:val="left"/>
      <w:pPr>
        <w:ind w:left="1260" w:hanging="360"/>
      </w:pPr>
      <w:rPr>
        <w:rFonts w:cs="Times New Roman"/>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27">
    <w:nsid w:val="79882973"/>
    <w:multiLevelType w:val="hybridMultilevel"/>
    <w:tmpl w:val="AE0CADE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DBA1051"/>
    <w:multiLevelType w:val="hybridMultilevel"/>
    <w:tmpl w:val="8E84F06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2"/>
  </w:num>
  <w:num w:numId="7">
    <w:abstractNumId w:val="4"/>
  </w:num>
  <w:num w:numId="8">
    <w:abstractNumId w:val="5"/>
  </w:num>
  <w:num w:numId="9">
    <w:abstractNumId w:val="1"/>
  </w:num>
  <w:num w:numId="10">
    <w:abstractNumId w:val="1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8"/>
  </w:num>
  <w:num w:numId="14">
    <w:abstractNumId w:val="13"/>
  </w:num>
  <w:num w:numId="15">
    <w:abstractNumId w:val="10"/>
  </w:num>
  <w:num w:numId="16">
    <w:abstractNumId w:val="11"/>
  </w:num>
  <w:num w:numId="17">
    <w:abstractNumId w:val="24"/>
  </w:num>
  <w:num w:numId="18">
    <w:abstractNumId w:val="17"/>
  </w:num>
  <w:num w:numId="19">
    <w:abstractNumId w:val="25"/>
  </w:num>
  <w:num w:numId="20">
    <w:abstractNumId w:val="15"/>
  </w:num>
  <w:num w:numId="21">
    <w:abstractNumId w:val="9"/>
  </w:num>
  <w:num w:numId="22">
    <w:abstractNumId w:val="23"/>
  </w:num>
  <w:num w:numId="23">
    <w:abstractNumId w:val="21"/>
  </w:num>
  <w:num w:numId="24">
    <w:abstractNumId w:val="27"/>
  </w:num>
  <w:num w:numId="25">
    <w:abstractNumId w:val="12"/>
  </w:num>
  <w:num w:numId="26">
    <w:abstractNumId w:val="28"/>
  </w:num>
  <w:num w:numId="27">
    <w:abstractNumId w:val="7"/>
  </w:num>
  <w:num w:numId="28">
    <w:abstractNumId w:val="8"/>
  </w:num>
  <w:num w:numId="29">
    <w:abstractNumId w:val="26"/>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4F"/>
    <w:rsid w:val="00001F73"/>
    <w:rsid w:val="00004780"/>
    <w:rsid w:val="00013AB2"/>
    <w:rsid w:val="00015DAE"/>
    <w:rsid w:val="00042B95"/>
    <w:rsid w:val="000557A6"/>
    <w:rsid w:val="00060F2D"/>
    <w:rsid w:val="00063EAA"/>
    <w:rsid w:val="00065AA1"/>
    <w:rsid w:val="000860C6"/>
    <w:rsid w:val="00086CFC"/>
    <w:rsid w:val="00091975"/>
    <w:rsid w:val="000C33C1"/>
    <w:rsid w:val="000C5565"/>
    <w:rsid w:val="000C70CD"/>
    <w:rsid w:val="000E0964"/>
    <w:rsid w:val="000E0AAE"/>
    <w:rsid w:val="000F1BE0"/>
    <w:rsid w:val="00106C66"/>
    <w:rsid w:val="001169C2"/>
    <w:rsid w:val="00147883"/>
    <w:rsid w:val="00165692"/>
    <w:rsid w:val="0016607A"/>
    <w:rsid w:val="00187821"/>
    <w:rsid w:val="001944C9"/>
    <w:rsid w:val="001B2DBF"/>
    <w:rsid w:val="001B604F"/>
    <w:rsid w:val="001B7BBB"/>
    <w:rsid w:val="001C2CBE"/>
    <w:rsid w:val="001F5649"/>
    <w:rsid w:val="001F5866"/>
    <w:rsid w:val="002218AA"/>
    <w:rsid w:val="002658D2"/>
    <w:rsid w:val="00277873"/>
    <w:rsid w:val="00277D3D"/>
    <w:rsid w:val="00277F06"/>
    <w:rsid w:val="002903A4"/>
    <w:rsid w:val="002A693D"/>
    <w:rsid w:val="002B6CDC"/>
    <w:rsid w:val="002C1707"/>
    <w:rsid w:val="002E4AE6"/>
    <w:rsid w:val="002E4C72"/>
    <w:rsid w:val="002F03ED"/>
    <w:rsid w:val="002F0C56"/>
    <w:rsid w:val="003324E6"/>
    <w:rsid w:val="003448CB"/>
    <w:rsid w:val="00351EBF"/>
    <w:rsid w:val="00352BEB"/>
    <w:rsid w:val="00356D0D"/>
    <w:rsid w:val="003669A5"/>
    <w:rsid w:val="00376726"/>
    <w:rsid w:val="003809AE"/>
    <w:rsid w:val="00382143"/>
    <w:rsid w:val="003B014A"/>
    <w:rsid w:val="003B0651"/>
    <w:rsid w:val="004015DE"/>
    <w:rsid w:val="004048A0"/>
    <w:rsid w:val="00420C2E"/>
    <w:rsid w:val="004217BE"/>
    <w:rsid w:val="00422D9C"/>
    <w:rsid w:val="004258C2"/>
    <w:rsid w:val="00442EDF"/>
    <w:rsid w:val="00480E0C"/>
    <w:rsid w:val="004863CB"/>
    <w:rsid w:val="004942FF"/>
    <w:rsid w:val="004B3FD8"/>
    <w:rsid w:val="004C299B"/>
    <w:rsid w:val="004E204E"/>
    <w:rsid w:val="005030AF"/>
    <w:rsid w:val="005070F2"/>
    <w:rsid w:val="00510D9C"/>
    <w:rsid w:val="0051290B"/>
    <w:rsid w:val="00513249"/>
    <w:rsid w:val="00526AB3"/>
    <w:rsid w:val="00535D64"/>
    <w:rsid w:val="00537DB6"/>
    <w:rsid w:val="00550670"/>
    <w:rsid w:val="00550DA4"/>
    <w:rsid w:val="0055164E"/>
    <w:rsid w:val="00553673"/>
    <w:rsid w:val="00565410"/>
    <w:rsid w:val="005673BF"/>
    <w:rsid w:val="0057478B"/>
    <w:rsid w:val="00582319"/>
    <w:rsid w:val="005856DB"/>
    <w:rsid w:val="005876DA"/>
    <w:rsid w:val="00592169"/>
    <w:rsid w:val="005A3C92"/>
    <w:rsid w:val="005A43EF"/>
    <w:rsid w:val="005B42CC"/>
    <w:rsid w:val="005D55F2"/>
    <w:rsid w:val="005D7925"/>
    <w:rsid w:val="005E76EF"/>
    <w:rsid w:val="005E7BF9"/>
    <w:rsid w:val="005F0C1A"/>
    <w:rsid w:val="00611C83"/>
    <w:rsid w:val="00614088"/>
    <w:rsid w:val="0062006C"/>
    <w:rsid w:val="00632393"/>
    <w:rsid w:val="00672176"/>
    <w:rsid w:val="006835AE"/>
    <w:rsid w:val="006A213B"/>
    <w:rsid w:val="006A2AA8"/>
    <w:rsid w:val="006A366B"/>
    <w:rsid w:val="006C477D"/>
    <w:rsid w:val="006C6E9F"/>
    <w:rsid w:val="006D531B"/>
    <w:rsid w:val="006E3A01"/>
    <w:rsid w:val="006F7E24"/>
    <w:rsid w:val="00707412"/>
    <w:rsid w:val="00710ED4"/>
    <w:rsid w:val="007318AC"/>
    <w:rsid w:val="00763611"/>
    <w:rsid w:val="007672FE"/>
    <w:rsid w:val="00780DA7"/>
    <w:rsid w:val="00787F8C"/>
    <w:rsid w:val="007940C2"/>
    <w:rsid w:val="00796F17"/>
    <w:rsid w:val="007A21BC"/>
    <w:rsid w:val="007A4FD9"/>
    <w:rsid w:val="007D62D9"/>
    <w:rsid w:val="007F2153"/>
    <w:rsid w:val="007F6B49"/>
    <w:rsid w:val="00800BE8"/>
    <w:rsid w:val="0080513D"/>
    <w:rsid w:val="00805BBC"/>
    <w:rsid w:val="008269F8"/>
    <w:rsid w:val="00830A35"/>
    <w:rsid w:val="00844715"/>
    <w:rsid w:val="00851882"/>
    <w:rsid w:val="008519CA"/>
    <w:rsid w:val="00861E84"/>
    <w:rsid w:val="00862B15"/>
    <w:rsid w:val="008939CE"/>
    <w:rsid w:val="0089524F"/>
    <w:rsid w:val="008A2862"/>
    <w:rsid w:val="008A4854"/>
    <w:rsid w:val="008C5266"/>
    <w:rsid w:val="008D4BCE"/>
    <w:rsid w:val="008E755A"/>
    <w:rsid w:val="008F7768"/>
    <w:rsid w:val="009078D4"/>
    <w:rsid w:val="0091370C"/>
    <w:rsid w:val="0091411E"/>
    <w:rsid w:val="00927AE7"/>
    <w:rsid w:val="00942B08"/>
    <w:rsid w:val="00946707"/>
    <w:rsid w:val="00947967"/>
    <w:rsid w:val="009651CC"/>
    <w:rsid w:val="00966B31"/>
    <w:rsid w:val="00972401"/>
    <w:rsid w:val="0099090B"/>
    <w:rsid w:val="00992233"/>
    <w:rsid w:val="009A2B50"/>
    <w:rsid w:val="009A5A0F"/>
    <w:rsid w:val="009B06BA"/>
    <w:rsid w:val="009C005D"/>
    <w:rsid w:val="009E28DC"/>
    <w:rsid w:val="009E2F1A"/>
    <w:rsid w:val="009F4C7C"/>
    <w:rsid w:val="00A25EAE"/>
    <w:rsid w:val="00A45621"/>
    <w:rsid w:val="00A705D9"/>
    <w:rsid w:val="00A73BBB"/>
    <w:rsid w:val="00A83315"/>
    <w:rsid w:val="00A91CC7"/>
    <w:rsid w:val="00A94AE0"/>
    <w:rsid w:val="00AA5E60"/>
    <w:rsid w:val="00AC4CA2"/>
    <w:rsid w:val="00AD0EDB"/>
    <w:rsid w:val="00AD6837"/>
    <w:rsid w:val="00AF591B"/>
    <w:rsid w:val="00AF620E"/>
    <w:rsid w:val="00B11601"/>
    <w:rsid w:val="00B200D7"/>
    <w:rsid w:val="00B204C8"/>
    <w:rsid w:val="00B32C42"/>
    <w:rsid w:val="00B6046F"/>
    <w:rsid w:val="00B746DD"/>
    <w:rsid w:val="00B80B89"/>
    <w:rsid w:val="00B80EAE"/>
    <w:rsid w:val="00B83FEA"/>
    <w:rsid w:val="00B93BD5"/>
    <w:rsid w:val="00BB3D1D"/>
    <w:rsid w:val="00BD5616"/>
    <w:rsid w:val="00BE49A6"/>
    <w:rsid w:val="00BF5357"/>
    <w:rsid w:val="00C02816"/>
    <w:rsid w:val="00C45CF6"/>
    <w:rsid w:val="00C67CCC"/>
    <w:rsid w:val="00C7566C"/>
    <w:rsid w:val="00C80C6A"/>
    <w:rsid w:val="00C92BA7"/>
    <w:rsid w:val="00C93C37"/>
    <w:rsid w:val="00CA1806"/>
    <w:rsid w:val="00CC1379"/>
    <w:rsid w:val="00CC1F6F"/>
    <w:rsid w:val="00CD2C0D"/>
    <w:rsid w:val="00CD4111"/>
    <w:rsid w:val="00CD5C80"/>
    <w:rsid w:val="00CE051C"/>
    <w:rsid w:val="00CE6AA2"/>
    <w:rsid w:val="00D31F66"/>
    <w:rsid w:val="00D3352E"/>
    <w:rsid w:val="00D4293B"/>
    <w:rsid w:val="00D52733"/>
    <w:rsid w:val="00D53686"/>
    <w:rsid w:val="00D6139F"/>
    <w:rsid w:val="00D641DA"/>
    <w:rsid w:val="00D64B37"/>
    <w:rsid w:val="00D70E56"/>
    <w:rsid w:val="00D75767"/>
    <w:rsid w:val="00D83BF8"/>
    <w:rsid w:val="00D86763"/>
    <w:rsid w:val="00D90859"/>
    <w:rsid w:val="00DA22BC"/>
    <w:rsid w:val="00DC660F"/>
    <w:rsid w:val="00DD3B89"/>
    <w:rsid w:val="00DF13EF"/>
    <w:rsid w:val="00E30288"/>
    <w:rsid w:val="00E32269"/>
    <w:rsid w:val="00E623A1"/>
    <w:rsid w:val="00E67096"/>
    <w:rsid w:val="00E753D3"/>
    <w:rsid w:val="00E75CE0"/>
    <w:rsid w:val="00E94B16"/>
    <w:rsid w:val="00E9729A"/>
    <w:rsid w:val="00EA58F1"/>
    <w:rsid w:val="00EB329D"/>
    <w:rsid w:val="00EC1287"/>
    <w:rsid w:val="00ED0A54"/>
    <w:rsid w:val="00ED5D8E"/>
    <w:rsid w:val="00EE0A9B"/>
    <w:rsid w:val="00EE210C"/>
    <w:rsid w:val="00F308B7"/>
    <w:rsid w:val="00F30F6B"/>
    <w:rsid w:val="00F323F1"/>
    <w:rsid w:val="00F40884"/>
    <w:rsid w:val="00F43E45"/>
    <w:rsid w:val="00F45F90"/>
    <w:rsid w:val="00F92EAA"/>
    <w:rsid w:val="00FA19A2"/>
    <w:rsid w:val="00FA45BB"/>
    <w:rsid w:val="00FB4961"/>
    <w:rsid w:val="00FB76CD"/>
    <w:rsid w:val="00FC3B5F"/>
    <w:rsid w:val="00FE6499"/>
    <w:rsid w:val="00FF2F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15"/>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single space,FOOTNOTES,fn,Footnote Text Char2 Char,Footnote Text Char Char1 Char,Footnote Text Char2 Char Char Char,Footnote Text Char1 Char Char Char Char,Footnote Text Char Char1 Char Char Char,ft"/>
    <w:basedOn w:val="Normal"/>
    <w:link w:val="FootnoteTextChar"/>
    <w:uiPriority w:val="99"/>
    <w:rsid w:val="008939CE"/>
    <w:rPr>
      <w:sz w:val="20"/>
      <w:szCs w:val="20"/>
    </w:rPr>
  </w:style>
  <w:style w:type="character" w:customStyle="1" w:styleId="FootnoteTextChar">
    <w:name w:val="Footnote Text Char"/>
    <w:aliases w:val="Footnote Char,Fußnote Char,Char Char,single space Char,FOOTNOTES Char,fn Char,Footnote Text Char2 Char Char,Footnote Text Char Char1 Char Char,Footnote Text Char2 Char Char Char Char,Footnote Text Char1 Char Char Char Char Char"/>
    <w:basedOn w:val="DefaultParagraphFont"/>
    <w:link w:val="FootnoteText"/>
    <w:uiPriority w:val="99"/>
    <w:locked/>
    <w:rsid w:val="008939CE"/>
    <w:rPr>
      <w:rFonts w:ascii="Times New Roman" w:hAnsi="Times New Roman" w:cs="Times New Roman"/>
      <w:sz w:val="20"/>
      <w:szCs w:val="20"/>
    </w:rPr>
  </w:style>
  <w:style w:type="character" w:styleId="FootnoteReference">
    <w:name w:val="footnote reference"/>
    <w:aliases w:val="Footnote Reference Number,SUPERS,Footnote symbol,Footnote Refernece,ftref"/>
    <w:basedOn w:val="DefaultParagraphFont"/>
    <w:uiPriority w:val="99"/>
    <w:rsid w:val="008939CE"/>
    <w:rPr>
      <w:rFonts w:cs="Times New Roman"/>
      <w:b/>
      <w:vertAlign w:val="superscript"/>
    </w:rPr>
  </w:style>
  <w:style w:type="paragraph" w:customStyle="1" w:styleId="EntEmet">
    <w:name w:val="EntEmet"/>
    <w:basedOn w:val="Normal"/>
    <w:uiPriority w:val="99"/>
    <w:rsid w:val="00187821"/>
    <w:pPr>
      <w:widowControl w:val="0"/>
      <w:tabs>
        <w:tab w:val="left" w:pos="284"/>
        <w:tab w:val="left" w:pos="567"/>
        <w:tab w:val="left" w:pos="851"/>
        <w:tab w:val="left" w:pos="1134"/>
        <w:tab w:val="left" w:pos="1418"/>
      </w:tabs>
      <w:spacing w:before="40"/>
    </w:pPr>
    <w:rPr>
      <w:szCs w:val="20"/>
      <w:lang w:val="en-GB" w:eastAsia="fr-BE"/>
    </w:rPr>
  </w:style>
  <w:style w:type="paragraph" w:customStyle="1" w:styleId="Par-number1">
    <w:name w:val="Par-number 1)"/>
    <w:basedOn w:val="Normal"/>
    <w:next w:val="Normal"/>
    <w:uiPriority w:val="99"/>
    <w:rsid w:val="00D83BF8"/>
    <w:pPr>
      <w:widowControl w:val="0"/>
      <w:numPr>
        <w:numId w:val="2"/>
      </w:numPr>
      <w:spacing w:line="360" w:lineRule="auto"/>
    </w:pPr>
    <w:rPr>
      <w:szCs w:val="20"/>
      <w:lang w:val="en-GB" w:eastAsia="fr-BE"/>
    </w:rPr>
  </w:style>
  <w:style w:type="paragraph" w:styleId="BalloonText">
    <w:name w:val="Balloon Text"/>
    <w:basedOn w:val="Normal"/>
    <w:link w:val="BalloonTextChar"/>
    <w:uiPriority w:val="99"/>
    <w:semiHidden/>
    <w:rsid w:val="008269F8"/>
    <w:rPr>
      <w:rFonts w:ascii="Arial" w:hAnsi="Arial" w:cs="Arial"/>
      <w:sz w:val="16"/>
      <w:szCs w:val="16"/>
    </w:rPr>
  </w:style>
  <w:style w:type="character" w:customStyle="1" w:styleId="BalloonTextChar">
    <w:name w:val="Balloon Text Char"/>
    <w:basedOn w:val="DefaultParagraphFont"/>
    <w:link w:val="BalloonText"/>
    <w:uiPriority w:val="99"/>
    <w:semiHidden/>
    <w:locked/>
    <w:rsid w:val="008269F8"/>
    <w:rPr>
      <w:rFonts w:ascii="Arial" w:hAnsi="Arial" w:cs="Arial"/>
      <w:sz w:val="16"/>
      <w:szCs w:val="16"/>
    </w:rPr>
  </w:style>
  <w:style w:type="paragraph" w:styleId="Header">
    <w:name w:val="header"/>
    <w:basedOn w:val="Normal"/>
    <w:link w:val="HeaderChar"/>
    <w:uiPriority w:val="99"/>
    <w:rsid w:val="006C477D"/>
    <w:pPr>
      <w:tabs>
        <w:tab w:val="center" w:pos="4153"/>
        <w:tab w:val="right" w:pos="8306"/>
      </w:tabs>
    </w:pPr>
  </w:style>
  <w:style w:type="character" w:customStyle="1" w:styleId="HeaderChar">
    <w:name w:val="Header Char"/>
    <w:basedOn w:val="DefaultParagraphFont"/>
    <w:link w:val="Header"/>
    <w:uiPriority w:val="99"/>
    <w:locked/>
    <w:rsid w:val="006C477D"/>
    <w:rPr>
      <w:rFonts w:ascii="Times New Roman" w:hAnsi="Times New Roman" w:cs="Times New Roman"/>
      <w:sz w:val="24"/>
      <w:szCs w:val="24"/>
    </w:rPr>
  </w:style>
  <w:style w:type="paragraph" w:styleId="Footer">
    <w:name w:val="footer"/>
    <w:basedOn w:val="Normal"/>
    <w:link w:val="FooterChar"/>
    <w:uiPriority w:val="99"/>
    <w:rsid w:val="006C477D"/>
    <w:pPr>
      <w:tabs>
        <w:tab w:val="center" w:pos="4153"/>
        <w:tab w:val="right" w:pos="8306"/>
      </w:tabs>
    </w:pPr>
  </w:style>
  <w:style w:type="character" w:customStyle="1" w:styleId="FooterChar">
    <w:name w:val="Footer Char"/>
    <w:basedOn w:val="DefaultParagraphFont"/>
    <w:link w:val="Footer"/>
    <w:uiPriority w:val="99"/>
    <w:locked/>
    <w:rsid w:val="006C477D"/>
    <w:rPr>
      <w:rFonts w:ascii="Times New Roman" w:hAnsi="Times New Roman" w:cs="Times New Roman"/>
      <w:sz w:val="24"/>
      <w:szCs w:val="24"/>
    </w:rPr>
  </w:style>
  <w:style w:type="paragraph" w:customStyle="1" w:styleId="Default">
    <w:name w:val="Default"/>
    <w:uiPriority w:val="99"/>
    <w:rsid w:val="0091370C"/>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rsid w:val="0091370C"/>
    <w:rPr>
      <w:rFonts w:cs="Times New Roman"/>
      <w:sz w:val="16"/>
      <w:szCs w:val="16"/>
    </w:rPr>
  </w:style>
  <w:style w:type="paragraph" w:styleId="CommentText">
    <w:name w:val="annotation text"/>
    <w:basedOn w:val="Normal"/>
    <w:link w:val="CommentTextChar"/>
    <w:uiPriority w:val="99"/>
    <w:semiHidden/>
    <w:rsid w:val="0091370C"/>
    <w:rPr>
      <w:sz w:val="20"/>
      <w:szCs w:val="20"/>
    </w:rPr>
  </w:style>
  <w:style w:type="character" w:customStyle="1" w:styleId="CommentTextChar">
    <w:name w:val="Comment Text Char"/>
    <w:basedOn w:val="DefaultParagraphFont"/>
    <w:link w:val="CommentText"/>
    <w:uiPriority w:val="99"/>
    <w:semiHidden/>
    <w:locked/>
    <w:rsid w:val="0091370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1370C"/>
    <w:rPr>
      <w:b/>
      <w:bCs/>
    </w:rPr>
  </w:style>
  <w:style w:type="character" w:customStyle="1" w:styleId="CommentSubjectChar">
    <w:name w:val="Comment Subject Char"/>
    <w:basedOn w:val="CommentTextChar"/>
    <w:link w:val="CommentSubject"/>
    <w:uiPriority w:val="99"/>
    <w:semiHidden/>
    <w:locked/>
    <w:rsid w:val="0091370C"/>
    <w:rPr>
      <w:rFonts w:ascii="Times New Roman" w:hAnsi="Times New Roman" w:cs="Times New Roman"/>
      <w:b/>
      <w:bCs/>
      <w:sz w:val="20"/>
      <w:szCs w:val="20"/>
    </w:rPr>
  </w:style>
  <w:style w:type="paragraph" w:customStyle="1" w:styleId="EntRefer">
    <w:name w:val="EntRefer"/>
    <w:basedOn w:val="Normal"/>
    <w:uiPriority w:val="99"/>
    <w:rsid w:val="00D90859"/>
    <w:pPr>
      <w:widowControl w:val="0"/>
    </w:pPr>
    <w:rPr>
      <w:b/>
      <w:szCs w:val="20"/>
      <w:lang w:val="en-GB" w:eastAsia="fr-BE"/>
    </w:rPr>
  </w:style>
  <w:style w:type="paragraph" w:styleId="ListParagraph">
    <w:name w:val="List Paragraph"/>
    <w:aliases w:val="2"/>
    <w:basedOn w:val="Normal"/>
    <w:link w:val="ListParagraphChar"/>
    <w:uiPriority w:val="99"/>
    <w:qFormat/>
    <w:rsid w:val="00CD5C80"/>
    <w:pPr>
      <w:ind w:left="720"/>
      <w:contextualSpacing/>
    </w:pPr>
  </w:style>
  <w:style w:type="character" w:customStyle="1" w:styleId="hps">
    <w:name w:val="hps"/>
    <w:basedOn w:val="DefaultParagraphFont"/>
    <w:uiPriority w:val="99"/>
    <w:rsid w:val="00B80B89"/>
    <w:rPr>
      <w:rFonts w:cs="Times New Roman"/>
    </w:rPr>
  </w:style>
  <w:style w:type="character" w:styleId="Hyperlink">
    <w:name w:val="Hyperlink"/>
    <w:basedOn w:val="DefaultParagraphFont"/>
    <w:uiPriority w:val="99"/>
    <w:rsid w:val="00001F73"/>
    <w:rPr>
      <w:rFonts w:cs="Times New Roman"/>
      <w:color w:val="0000FF"/>
      <w:u w:val="single"/>
    </w:rPr>
  </w:style>
  <w:style w:type="paragraph" w:styleId="NormalWeb">
    <w:name w:val="Normal (Web)"/>
    <w:basedOn w:val="Normal"/>
    <w:uiPriority w:val="99"/>
    <w:rsid w:val="008519CA"/>
    <w:pPr>
      <w:spacing w:before="100" w:beforeAutospacing="1" w:after="100" w:afterAutospacing="1"/>
    </w:pPr>
    <w:rPr>
      <w:lang w:eastAsia="lv-LV"/>
    </w:rPr>
  </w:style>
  <w:style w:type="paragraph" w:customStyle="1" w:styleId="naiskr">
    <w:name w:val="naiskr"/>
    <w:basedOn w:val="Normal"/>
    <w:uiPriority w:val="99"/>
    <w:rsid w:val="008519CA"/>
    <w:pPr>
      <w:suppressAutoHyphens/>
      <w:spacing w:before="75" w:after="75"/>
    </w:pPr>
    <w:rPr>
      <w:lang w:eastAsia="ar-SA"/>
    </w:rPr>
  </w:style>
  <w:style w:type="paragraph" w:customStyle="1" w:styleId="xmsonormal">
    <w:name w:val="x_msonormal"/>
    <w:basedOn w:val="Normal"/>
    <w:uiPriority w:val="99"/>
    <w:rsid w:val="00B200D7"/>
    <w:pPr>
      <w:spacing w:before="100" w:beforeAutospacing="1" w:after="100" w:afterAutospacing="1"/>
    </w:pPr>
    <w:rPr>
      <w:lang w:val="en-US"/>
    </w:rPr>
  </w:style>
  <w:style w:type="paragraph" w:customStyle="1" w:styleId="Typedudocument">
    <w:name w:val="Type du document"/>
    <w:basedOn w:val="Normal"/>
    <w:next w:val="Normal"/>
    <w:uiPriority w:val="99"/>
    <w:rsid w:val="004E204E"/>
    <w:pPr>
      <w:suppressAutoHyphens/>
      <w:autoSpaceDN w:val="0"/>
      <w:spacing w:before="360"/>
      <w:jc w:val="center"/>
      <w:textAlignment w:val="baseline"/>
    </w:pPr>
    <w:rPr>
      <w:b/>
    </w:rPr>
  </w:style>
  <w:style w:type="character" w:customStyle="1" w:styleId="ListParagraphChar">
    <w:name w:val="List Paragraph Char"/>
    <w:aliases w:val="2 Char"/>
    <w:link w:val="ListParagraph"/>
    <w:uiPriority w:val="99"/>
    <w:locked/>
    <w:rsid w:val="002A693D"/>
    <w:rPr>
      <w:rFonts w:ascii="Times New Roman" w:hAnsi="Times New Roman"/>
      <w:sz w:val="24"/>
      <w:lang w:eastAsia="en-US"/>
    </w:rPr>
  </w:style>
  <w:style w:type="paragraph" w:customStyle="1" w:styleId="xmsolistparagraph">
    <w:name w:val="x_msolistparagraph"/>
    <w:basedOn w:val="Normal"/>
    <w:uiPriority w:val="99"/>
    <w:rsid w:val="00D53686"/>
    <w:pPr>
      <w:spacing w:before="100" w:beforeAutospacing="1" w:after="100" w:afterAutospacing="1"/>
    </w:pPr>
    <w:rPr>
      <w:lang w:val="en-US"/>
    </w:rPr>
  </w:style>
  <w:style w:type="paragraph" w:styleId="BodyText2">
    <w:name w:val="Body Text 2"/>
    <w:basedOn w:val="Normal"/>
    <w:link w:val="BodyText2Char"/>
    <w:uiPriority w:val="99"/>
    <w:rsid w:val="00861E84"/>
    <w:pPr>
      <w:jc w:val="center"/>
    </w:pPr>
    <w:rPr>
      <w:sz w:val="32"/>
    </w:rPr>
  </w:style>
  <w:style w:type="character" w:customStyle="1" w:styleId="BodyText2Char">
    <w:name w:val="Body Text 2 Char"/>
    <w:basedOn w:val="DefaultParagraphFont"/>
    <w:link w:val="BodyText2"/>
    <w:uiPriority w:val="99"/>
    <w:locked/>
    <w:rsid w:val="00861E84"/>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15"/>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single space,FOOTNOTES,fn,Footnote Text Char2 Char,Footnote Text Char Char1 Char,Footnote Text Char2 Char Char Char,Footnote Text Char1 Char Char Char Char,Footnote Text Char Char1 Char Char Char,ft"/>
    <w:basedOn w:val="Normal"/>
    <w:link w:val="FootnoteTextChar"/>
    <w:uiPriority w:val="99"/>
    <w:rsid w:val="008939CE"/>
    <w:rPr>
      <w:sz w:val="20"/>
      <w:szCs w:val="20"/>
    </w:rPr>
  </w:style>
  <w:style w:type="character" w:customStyle="1" w:styleId="FootnoteTextChar">
    <w:name w:val="Footnote Text Char"/>
    <w:aliases w:val="Footnote Char,Fußnote Char,Char Char,single space Char,FOOTNOTES Char,fn Char,Footnote Text Char2 Char Char,Footnote Text Char Char1 Char Char,Footnote Text Char2 Char Char Char Char,Footnote Text Char1 Char Char Char Char Char"/>
    <w:basedOn w:val="DefaultParagraphFont"/>
    <w:link w:val="FootnoteText"/>
    <w:uiPriority w:val="99"/>
    <w:locked/>
    <w:rsid w:val="008939CE"/>
    <w:rPr>
      <w:rFonts w:ascii="Times New Roman" w:hAnsi="Times New Roman" w:cs="Times New Roman"/>
      <w:sz w:val="20"/>
      <w:szCs w:val="20"/>
    </w:rPr>
  </w:style>
  <w:style w:type="character" w:styleId="FootnoteReference">
    <w:name w:val="footnote reference"/>
    <w:aliases w:val="Footnote Reference Number,SUPERS,Footnote symbol,Footnote Refernece,ftref"/>
    <w:basedOn w:val="DefaultParagraphFont"/>
    <w:uiPriority w:val="99"/>
    <w:rsid w:val="008939CE"/>
    <w:rPr>
      <w:rFonts w:cs="Times New Roman"/>
      <w:b/>
      <w:vertAlign w:val="superscript"/>
    </w:rPr>
  </w:style>
  <w:style w:type="paragraph" w:customStyle="1" w:styleId="EntEmet">
    <w:name w:val="EntEmet"/>
    <w:basedOn w:val="Normal"/>
    <w:uiPriority w:val="99"/>
    <w:rsid w:val="00187821"/>
    <w:pPr>
      <w:widowControl w:val="0"/>
      <w:tabs>
        <w:tab w:val="left" w:pos="284"/>
        <w:tab w:val="left" w:pos="567"/>
        <w:tab w:val="left" w:pos="851"/>
        <w:tab w:val="left" w:pos="1134"/>
        <w:tab w:val="left" w:pos="1418"/>
      </w:tabs>
      <w:spacing w:before="40"/>
    </w:pPr>
    <w:rPr>
      <w:szCs w:val="20"/>
      <w:lang w:val="en-GB" w:eastAsia="fr-BE"/>
    </w:rPr>
  </w:style>
  <w:style w:type="paragraph" w:customStyle="1" w:styleId="Par-number1">
    <w:name w:val="Par-number 1)"/>
    <w:basedOn w:val="Normal"/>
    <w:next w:val="Normal"/>
    <w:uiPriority w:val="99"/>
    <w:rsid w:val="00D83BF8"/>
    <w:pPr>
      <w:widowControl w:val="0"/>
      <w:numPr>
        <w:numId w:val="2"/>
      </w:numPr>
      <w:spacing w:line="360" w:lineRule="auto"/>
    </w:pPr>
    <w:rPr>
      <w:szCs w:val="20"/>
      <w:lang w:val="en-GB" w:eastAsia="fr-BE"/>
    </w:rPr>
  </w:style>
  <w:style w:type="paragraph" w:styleId="BalloonText">
    <w:name w:val="Balloon Text"/>
    <w:basedOn w:val="Normal"/>
    <w:link w:val="BalloonTextChar"/>
    <w:uiPriority w:val="99"/>
    <w:semiHidden/>
    <w:rsid w:val="008269F8"/>
    <w:rPr>
      <w:rFonts w:ascii="Arial" w:hAnsi="Arial" w:cs="Arial"/>
      <w:sz w:val="16"/>
      <w:szCs w:val="16"/>
    </w:rPr>
  </w:style>
  <w:style w:type="character" w:customStyle="1" w:styleId="BalloonTextChar">
    <w:name w:val="Balloon Text Char"/>
    <w:basedOn w:val="DefaultParagraphFont"/>
    <w:link w:val="BalloonText"/>
    <w:uiPriority w:val="99"/>
    <w:semiHidden/>
    <w:locked/>
    <w:rsid w:val="008269F8"/>
    <w:rPr>
      <w:rFonts w:ascii="Arial" w:hAnsi="Arial" w:cs="Arial"/>
      <w:sz w:val="16"/>
      <w:szCs w:val="16"/>
    </w:rPr>
  </w:style>
  <w:style w:type="paragraph" w:styleId="Header">
    <w:name w:val="header"/>
    <w:basedOn w:val="Normal"/>
    <w:link w:val="HeaderChar"/>
    <w:uiPriority w:val="99"/>
    <w:rsid w:val="006C477D"/>
    <w:pPr>
      <w:tabs>
        <w:tab w:val="center" w:pos="4153"/>
        <w:tab w:val="right" w:pos="8306"/>
      </w:tabs>
    </w:pPr>
  </w:style>
  <w:style w:type="character" w:customStyle="1" w:styleId="HeaderChar">
    <w:name w:val="Header Char"/>
    <w:basedOn w:val="DefaultParagraphFont"/>
    <w:link w:val="Header"/>
    <w:uiPriority w:val="99"/>
    <w:locked/>
    <w:rsid w:val="006C477D"/>
    <w:rPr>
      <w:rFonts w:ascii="Times New Roman" w:hAnsi="Times New Roman" w:cs="Times New Roman"/>
      <w:sz w:val="24"/>
      <w:szCs w:val="24"/>
    </w:rPr>
  </w:style>
  <w:style w:type="paragraph" w:styleId="Footer">
    <w:name w:val="footer"/>
    <w:basedOn w:val="Normal"/>
    <w:link w:val="FooterChar"/>
    <w:uiPriority w:val="99"/>
    <w:rsid w:val="006C477D"/>
    <w:pPr>
      <w:tabs>
        <w:tab w:val="center" w:pos="4153"/>
        <w:tab w:val="right" w:pos="8306"/>
      </w:tabs>
    </w:pPr>
  </w:style>
  <w:style w:type="character" w:customStyle="1" w:styleId="FooterChar">
    <w:name w:val="Footer Char"/>
    <w:basedOn w:val="DefaultParagraphFont"/>
    <w:link w:val="Footer"/>
    <w:uiPriority w:val="99"/>
    <w:locked/>
    <w:rsid w:val="006C477D"/>
    <w:rPr>
      <w:rFonts w:ascii="Times New Roman" w:hAnsi="Times New Roman" w:cs="Times New Roman"/>
      <w:sz w:val="24"/>
      <w:szCs w:val="24"/>
    </w:rPr>
  </w:style>
  <w:style w:type="paragraph" w:customStyle="1" w:styleId="Default">
    <w:name w:val="Default"/>
    <w:uiPriority w:val="99"/>
    <w:rsid w:val="0091370C"/>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rsid w:val="0091370C"/>
    <w:rPr>
      <w:rFonts w:cs="Times New Roman"/>
      <w:sz w:val="16"/>
      <w:szCs w:val="16"/>
    </w:rPr>
  </w:style>
  <w:style w:type="paragraph" w:styleId="CommentText">
    <w:name w:val="annotation text"/>
    <w:basedOn w:val="Normal"/>
    <w:link w:val="CommentTextChar"/>
    <w:uiPriority w:val="99"/>
    <w:semiHidden/>
    <w:rsid w:val="0091370C"/>
    <w:rPr>
      <w:sz w:val="20"/>
      <w:szCs w:val="20"/>
    </w:rPr>
  </w:style>
  <w:style w:type="character" w:customStyle="1" w:styleId="CommentTextChar">
    <w:name w:val="Comment Text Char"/>
    <w:basedOn w:val="DefaultParagraphFont"/>
    <w:link w:val="CommentText"/>
    <w:uiPriority w:val="99"/>
    <w:semiHidden/>
    <w:locked/>
    <w:rsid w:val="0091370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1370C"/>
    <w:rPr>
      <w:b/>
      <w:bCs/>
    </w:rPr>
  </w:style>
  <w:style w:type="character" w:customStyle="1" w:styleId="CommentSubjectChar">
    <w:name w:val="Comment Subject Char"/>
    <w:basedOn w:val="CommentTextChar"/>
    <w:link w:val="CommentSubject"/>
    <w:uiPriority w:val="99"/>
    <w:semiHidden/>
    <w:locked/>
    <w:rsid w:val="0091370C"/>
    <w:rPr>
      <w:rFonts w:ascii="Times New Roman" w:hAnsi="Times New Roman" w:cs="Times New Roman"/>
      <w:b/>
      <w:bCs/>
      <w:sz w:val="20"/>
      <w:szCs w:val="20"/>
    </w:rPr>
  </w:style>
  <w:style w:type="paragraph" w:customStyle="1" w:styleId="EntRefer">
    <w:name w:val="EntRefer"/>
    <w:basedOn w:val="Normal"/>
    <w:uiPriority w:val="99"/>
    <w:rsid w:val="00D90859"/>
    <w:pPr>
      <w:widowControl w:val="0"/>
    </w:pPr>
    <w:rPr>
      <w:b/>
      <w:szCs w:val="20"/>
      <w:lang w:val="en-GB" w:eastAsia="fr-BE"/>
    </w:rPr>
  </w:style>
  <w:style w:type="paragraph" w:styleId="ListParagraph">
    <w:name w:val="List Paragraph"/>
    <w:aliases w:val="2"/>
    <w:basedOn w:val="Normal"/>
    <w:link w:val="ListParagraphChar"/>
    <w:uiPriority w:val="99"/>
    <w:qFormat/>
    <w:rsid w:val="00CD5C80"/>
    <w:pPr>
      <w:ind w:left="720"/>
      <w:contextualSpacing/>
    </w:pPr>
  </w:style>
  <w:style w:type="character" w:customStyle="1" w:styleId="hps">
    <w:name w:val="hps"/>
    <w:basedOn w:val="DefaultParagraphFont"/>
    <w:uiPriority w:val="99"/>
    <w:rsid w:val="00B80B89"/>
    <w:rPr>
      <w:rFonts w:cs="Times New Roman"/>
    </w:rPr>
  </w:style>
  <w:style w:type="character" w:styleId="Hyperlink">
    <w:name w:val="Hyperlink"/>
    <w:basedOn w:val="DefaultParagraphFont"/>
    <w:uiPriority w:val="99"/>
    <w:rsid w:val="00001F73"/>
    <w:rPr>
      <w:rFonts w:cs="Times New Roman"/>
      <w:color w:val="0000FF"/>
      <w:u w:val="single"/>
    </w:rPr>
  </w:style>
  <w:style w:type="paragraph" w:styleId="NormalWeb">
    <w:name w:val="Normal (Web)"/>
    <w:basedOn w:val="Normal"/>
    <w:uiPriority w:val="99"/>
    <w:rsid w:val="008519CA"/>
    <w:pPr>
      <w:spacing w:before="100" w:beforeAutospacing="1" w:after="100" w:afterAutospacing="1"/>
    </w:pPr>
    <w:rPr>
      <w:lang w:eastAsia="lv-LV"/>
    </w:rPr>
  </w:style>
  <w:style w:type="paragraph" w:customStyle="1" w:styleId="naiskr">
    <w:name w:val="naiskr"/>
    <w:basedOn w:val="Normal"/>
    <w:uiPriority w:val="99"/>
    <w:rsid w:val="008519CA"/>
    <w:pPr>
      <w:suppressAutoHyphens/>
      <w:spacing w:before="75" w:after="75"/>
    </w:pPr>
    <w:rPr>
      <w:lang w:eastAsia="ar-SA"/>
    </w:rPr>
  </w:style>
  <w:style w:type="paragraph" w:customStyle="1" w:styleId="xmsonormal">
    <w:name w:val="x_msonormal"/>
    <w:basedOn w:val="Normal"/>
    <w:uiPriority w:val="99"/>
    <w:rsid w:val="00B200D7"/>
    <w:pPr>
      <w:spacing w:before="100" w:beforeAutospacing="1" w:after="100" w:afterAutospacing="1"/>
    </w:pPr>
    <w:rPr>
      <w:lang w:val="en-US"/>
    </w:rPr>
  </w:style>
  <w:style w:type="paragraph" w:customStyle="1" w:styleId="Typedudocument">
    <w:name w:val="Type du document"/>
    <w:basedOn w:val="Normal"/>
    <w:next w:val="Normal"/>
    <w:uiPriority w:val="99"/>
    <w:rsid w:val="004E204E"/>
    <w:pPr>
      <w:suppressAutoHyphens/>
      <w:autoSpaceDN w:val="0"/>
      <w:spacing w:before="360"/>
      <w:jc w:val="center"/>
      <w:textAlignment w:val="baseline"/>
    </w:pPr>
    <w:rPr>
      <w:b/>
    </w:rPr>
  </w:style>
  <w:style w:type="character" w:customStyle="1" w:styleId="ListParagraphChar">
    <w:name w:val="List Paragraph Char"/>
    <w:aliases w:val="2 Char"/>
    <w:link w:val="ListParagraph"/>
    <w:uiPriority w:val="99"/>
    <w:locked/>
    <w:rsid w:val="002A693D"/>
    <w:rPr>
      <w:rFonts w:ascii="Times New Roman" w:hAnsi="Times New Roman"/>
      <w:sz w:val="24"/>
      <w:lang w:eastAsia="en-US"/>
    </w:rPr>
  </w:style>
  <w:style w:type="paragraph" w:customStyle="1" w:styleId="xmsolistparagraph">
    <w:name w:val="x_msolistparagraph"/>
    <w:basedOn w:val="Normal"/>
    <w:uiPriority w:val="99"/>
    <w:rsid w:val="00D53686"/>
    <w:pPr>
      <w:spacing w:before="100" w:beforeAutospacing="1" w:after="100" w:afterAutospacing="1"/>
    </w:pPr>
    <w:rPr>
      <w:lang w:val="en-US"/>
    </w:rPr>
  </w:style>
  <w:style w:type="paragraph" w:styleId="BodyText2">
    <w:name w:val="Body Text 2"/>
    <w:basedOn w:val="Normal"/>
    <w:link w:val="BodyText2Char"/>
    <w:uiPriority w:val="99"/>
    <w:rsid w:val="00861E84"/>
    <w:pPr>
      <w:jc w:val="center"/>
    </w:pPr>
    <w:rPr>
      <w:sz w:val="32"/>
    </w:rPr>
  </w:style>
  <w:style w:type="character" w:customStyle="1" w:styleId="BodyText2Char">
    <w:name w:val="Body Text 2 Char"/>
    <w:basedOn w:val="DefaultParagraphFont"/>
    <w:link w:val="BodyText2"/>
    <w:uiPriority w:val="99"/>
    <w:locked/>
    <w:rsid w:val="00861E84"/>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643509">
      <w:marLeft w:val="120"/>
      <w:marRight w:val="120"/>
      <w:marTop w:val="0"/>
      <w:marBottom w:val="120"/>
      <w:divBdr>
        <w:top w:val="none" w:sz="0" w:space="0" w:color="auto"/>
        <w:left w:val="none" w:sz="0" w:space="0" w:color="auto"/>
        <w:bottom w:val="none" w:sz="0" w:space="0" w:color="auto"/>
        <w:right w:val="none" w:sz="0" w:space="0" w:color="auto"/>
      </w:divBdr>
      <w:divsChild>
        <w:div w:id="1996643523">
          <w:marLeft w:val="0"/>
          <w:marRight w:val="0"/>
          <w:marTop w:val="0"/>
          <w:marBottom w:val="0"/>
          <w:divBdr>
            <w:top w:val="none" w:sz="0" w:space="0" w:color="auto"/>
            <w:left w:val="none" w:sz="0" w:space="0" w:color="auto"/>
            <w:bottom w:val="none" w:sz="0" w:space="0" w:color="auto"/>
            <w:right w:val="none" w:sz="0" w:space="0" w:color="auto"/>
          </w:divBdr>
          <w:divsChild>
            <w:div w:id="1996643522">
              <w:marLeft w:val="0"/>
              <w:marRight w:val="0"/>
              <w:marTop w:val="0"/>
              <w:marBottom w:val="0"/>
              <w:divBdr>
                <w:top w:val="none" w:sz="0" w:space="0" w:color="auto"/>
                <w:left w:val="none" w:sz="0" w:space="0" w:color="auto"/>
                <w:bottom w:val="none" w:sz="0" w:space="0" w:color="auto"/>
                <w:right w:val="none" w:sz="0" w:space="0" w:color="auto"/>
              </w:divBdr>
              <w:divsChild>
                <w:div w:id="19966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3510">
      <w:marLeft w:val="120"/>
      <w:marRight w:val="120"/>
      <w:marTop w:val="0"/>
      <w:marBottom w:val="120"/>
      <w:divBdr>
        <w:top w:val="none" w:sz="0" w:space="0" w:color="auto"/>
        <w:left w:val="none" w:sz="0" w:space="0" w:color="auto"/>
        <w:bottom w:val="none" w:sz="0" w:space="0" w:color="auto"/>
        <w:right w:val="none" w:sz="0" w:space="0" w:color="auto"/>
      </w:divBdr>
      <w:divsChild>
        <w:div w:id="1996643511">
          <w:marLeft w:val="0"/>
          <w:marRight w:val="0"/>
          <w:marTop w:val="0"/>
          <w:marBottom w:val="0"/>
          <w:divBdr>
            <w:top w:val="none" w:sz="0" w:space="0" w:color="auto"/>
            <w:left w:val="none" w:sz="0" w:space="0" w:color="auto"/>
            <w:bottom w:val="none" w:sz="0" w:space="0" w:color="auto"/>
            <w:right w:val="none" w:sz="0" w:space="0" w:color="auto"/>
          </w:divBdr>
          <w:divsChild>
            <w:div w:id="1996643513">
              <w:marLeft w:val="0"/>
              <w:marRight w:val="0"/>
              <w:marTop w:val="0"/>
              <w:marBottom w:val="0"/>
              <w:divBdr>
                <w:top w:val="none" w:sz="0" w:space="0" w:color="auto"/>
                <w:left w:val="none" w:sz="0" w:space="0" w:color="auto"/>
                <w:bottom w:val="none" w:sz="0" w:space="0" w:color="auto"/>
                <w:right w:val="none" w:sz="0" w:space="0" w:color="auto"/>
              </w:divBdr>
              <w:divsChild>
                <w:div w:id="19966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3514">
      <w:marLeft w:val="0"/>
      <w:marRight w:val="0"/>
      <w:marTop w:val="0"/>
      <w:marBottom w:val="0"/>
      <w:divBdr>
        <w:top w:val="none" w:sz="0" w:space="0" w:color="auto"/>
        <w:left w:val="none" w:sz="0" w:space="0" w:color="auto"/>
        <w:bottom w:val="none" w:sz="0" w:space="0" w:color="auto"/>
        <w:right w:val="none" w:sz="0" w:space="0" w:color="auto"/>
      </w:divBdr>
    </w:div>
    <w:div w:id="1996643515">
      <w:marLeft w:val="0"/>
      <w:marRight w:val="0"/>
      <w:marTop w:val="0"/>
      <w:marBottom w:val="0"/>
      <w:divBdr>
        <w:top w:val="none" w:sz="0" w:space="0" w:color="auto"/>
        <w:left w:val="none" w:sz="0" w:space="0" w:color="auto"/>
        <w:bottom w:val="none" w:sz="0" w:space="0" w:color="auto"/>
        <w:right w:val="none" w:sz="0" w:space="0" w:color="auto"/>
      </w:divBdr>
    </w:div>
    <w:div w:id="1996643516">
      <w:marLeft w:val="0"/>
      <w:marRight w:val="0"/>
      <w:marTop w:val="0"/>
      <w:marBottom w:val="0"/>
      <w:divBdr>
        <w:top w:val="none" w:sz="0" w:space="0" w:color="auto"/>
        <w:left w:val="none" w:sz="0" w:space="0" w:color="auto"/>
        <w:bottom w:val="none" w:sz="0" w:space="0" w:color="auto"/>
        <w:right w:val="none" w:sz="0" w:space="0" w:color="auto"/>
      </w:divBdr>
    </w:div>
    <w:div w:id="1996643517">
      <w:marLeft w:val="0"/>
      <w:marRight w:val="0"/>
      <w:marTop w:val="0"/>
      <w:marBottom w:val="0"/>
      <w:divBdr>
        <w:top w:val="none" w:sz="0" w:space="0" w:color="auto"/>
        <w:left w:val="none" w:sz="0" w:space="0" w:color="auto"/>
        <w:bottom w:val="none" w:sz="0" w:space="0" w:color="auto"/>
        <w:right w:val="none" w:sz="0" w:space="0" w:color="auto"/>
      </w:divBdr>
    </w:div>
    <w:div w:id="1996643518">
      <w:marLeft w:val="0"/>
      <w:marRight w:val="0"/>
      <w:marTop w:val="0"/>
      <w:marBottom w:val="0"/>
      <w:divBdr>
        <w:top w:val="none" w:sz="0" w:space="0" w:color="auto"/>
        <w:left w:val="none" w:sz="0" w:space="0" w:color="auto"/>
        <w:bottom w:val="none" w:sz="0" w:space="0" w:color="auto"/>
        <w:right w:val="none" w:sz="0" w:space="0" w:color="auto"/>
      </w:divBdr>
    </w:div>
    <w:div w:id="1996643519">
      <w:marLeft w:val="0"/>
      <w:marRight w:val="0"/>
      <w:marTop w:val="0"/>
      <w:marBottom w:val="0"/>
      <w:divBdr>
        <w:top w:val="none" w:sz="0" w:space="0" w:color="auto"/>
        <w:left w:val="none" w:sz="0" w:space="0" w:color="auto"/>
        <w:bottom w:val="none" w:sz="0" w:space="0" w:color="auto"/>
        <w:right w:val="none" w:sz="0" w:space="0" w:color="auto"/>
      </w:divBdr>
    </w:div>
    <w:div w:id="1996643520">
      <w:marLeft w:val="0"/>
      <w:marRight w:val="0"/>
      <w:marTop w:val="0"/>
      <w:marBottom w:val="0"/>
      <w:divBdr>
        <w:top w:val="none" w:sz="0" w:space="0" w:color="auto"/>
        <w:left w:val="none" w:sz="0" w:space="0" w:color="auto"/>
        <w:bottom w:val="none" w:sz="0" w:space="0" w:color="auto"/>
        <w:right w:val="none" w:sz="0" w:space="0" w:color="auto"/>
      </w:divBdr>
    </w:div>
    <w:div w:id="1996643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a.Prokofjeva@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6FBD-236A-4844-BD3F-5AB8B4F5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3851</Words>
  <Characters>28020</Characters>
  <Application>Microsoft Office Word</Application>
  <DocSecurity>0</DocSecurity>
  <Lines>233</Lines>
  <Paragraphs>63</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31808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Inga Prokofjeva</dc:creator>
  <cp:lastModifiedBy>Inga Prokofjeva</cp:lastModifiedBy>
  <cp:revision>4</cp:revision>
  <cp:lastPrinted>2014-06-05T08:38:00Z</cp:lastPrinted>
  <dcterms:created xsi:type="dcterms:W3CDTF">2014-06-06T08:19:00Z</dcterms:created>
  <dcterms:modified xsi:type="dcterms:W3CDTF">2014-06-06T08:22:00Z</dcterms:modified>
</cp:coreProperties>
</file>