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DB9" w:rsidRDefault="007D5DB9" w:rsidP="007D5DB9">
      <w:pPr>
        <w:jc w:val="right"/>
      </w:pPr>
      <w:r>
        <w:t>Projekts</w:t>
      </w:r>
    </w:p>
    <w:p w:rsidR="007D5DB9" w:rsidRPr="007D5DB9" w:rsidRDefault="007D5DB9" w:rsidP="007D5DB9">
      <w:pPr>
        <w:jc w:val="right"/>
      </w:pPr>
    </w:p>
    <w:p w:rsidR="00232DAE" w:rsidRDefault="00D40D51" w:rsidP="00D40D51">
      <w:pPr>
        <w:jc w:val="center"/>
        <w:rPr>
          <w:b/>
        </w:rPr>
      </w:pPr>
      <w:r w:rsidRPr="00BE3DDE">
        <w:rPr>
          <w:b/>
        </w:rPr>
        <w:t>Informatīvais ziņojums</w:t>
      </w:r>
    </w:p>
    <w:p w:rsidR="00A764F5" w:rsidRPr="00BE3DDE" w:rsidRDefault="00D40D51" w:rsidP="00D40D51">
      <w:pPr>
        <w:jc w:val="center"/>
        <w:rPr>
          <w:b/>
        </w:rPr>
      </w:pPr>
      <w:r w:rsidRPr="00BE3DDE">
        <w:rPr>
          <w:b/>
        </w:rPr>
        <w:t xml:space="preserve"> par Ekonomikas ministrijas pamatbudžeta programmas 96.00.00 „Latvijas prezidentūras Eiropas Savienības Padomē nodrošināšanu 2015.gadā”</w:t>
      </w:r>
      <w:r w:rsidR="00A51287">
        <w:rPr>
          <w:b/>
        </w:rPr>
        <w:t xml:space="preserve"> </w:t>
      </w:r>
      <w:r w:rsidRPr="00BE3DDE">
        <w:rPr>
          <w:b/>
        </w:rPr>
        <w:t>ietvaros apropriācijas pārdali starp budžeta izdevumu kodiem atbilstoši ekonomiskajām kategorijām</w:t>
      </w:r>
    </w:p>
    <w:p w:rsidR="00D40D51" w:rsidRDefault="00D40D51" w:rsidP="00D40D51">
      <w:pPr>
        <w:jc w:val="center"/>
      </w:pPr>
    </w:p>
    <w:p w:rsidR="00D40D51" w:rsidRDefault="00D40D51" w:rsidP="00C21466">
      <w:pPr>
        <w:ind w:firstLine="720"/>
        <w:jc w:val="both"/>
      </w:pPr>
      <w:r>
        <w:t xml:space="preserve">Saskaņā ar likuma „Par valsts budžetu 2014.gadam” 35. </w:t>
      </w:r>
      <w:r w:rsidR="00D657B8">
        <w:t>p</w:t>
      </w:r>
      <w:r>
        <w:t>anta pirmajā daļā noteikto – ja ir pieņemts attiecīgs Ministru kabineta lēmums, finanšu ministram ir tiesības veikt apropriācijas pārdali ministrijas vai centrālās valsts pārvaldes iestādes budžeta programmas 96.00.00 „Latvijas Prezidentūras Eiropas Savienības Padomē nodrošināšana 2015.gadā”</w:t>
      </w:r>
      <w:r w:rsidR="00A51287">
        <w:t xml:space="preserve"> </w:t>
      </w:r>
      <w:r w:rsidR="00D657B8">
        <w:t xml:space="preserve">ietvaros. </w:t>
      </w:r>
      <w:r w:rsidR="00D657B8" w:rsidRPr="00D657B8">
        <w:t>Ekonomikas ministrija</w:t>
      </w:r>
      <w:r w:rsidRPr="00D657B8">
        <w:t xml:space="preserve"> iesniedz informatīvo ziņojum</w:t>
      </w:r>
      <w:r w:rsidR="007A09AA">
        <w:t>u</w:t>
      </w:r>
      <w:r w:rsidRPr="00D657B8">
        <w:t xml:space="preserve"> „Informatīvais ziņoj</w:t>
      </w:r>
      <w:r>
        <w:t>ums par Ekonomikas ministrijas pamatbudžeta programmas 96.00.00 „Latvijas prezidentūras Eiropas Savienības Padomē nodrošināšanu 2015.gadā”</w:t>
      </w:r>
      <w:r w:rsidR="007A09AA">
        <w:t xml:space="preserve"> par</w:t>
      </w:r>
      <w:r>
        <w:t xml:space="preserve"> apropriācijas pārdali starp budžeta izdevumu kodiem atbilstoši ekonomiskajām kategorijām”. </w:t>
      </w:r>
    </w:p>
    <w:p w:rsidR="00346027" w:rsidRDefault="00346027" w:rsidP="00C21466">
      <w:pPr>
        <w:ind w:firstLine="720"/>
        <w:jc w:val="both"/>
      </w:pPr>
    </w:p>
    <w:p w:rsidR="00D40D51" w:rsidRPr="00907290" w:rsidRDefault="00901A93" w:rsidP="00907290">
      <w:pPr>
        <w:jc w:val="center"/>
        <w:rPr>
          <w:b/>
        </w:rPr>
      </w:pPr>
      <w:r>
        <w:rPr>
          <w:b/>
        </w:rPr>
        <w:t>Pašreizējā situācija un problēmas</w:t>
      </w:r>
      <w:r w:rsidR="006D3CB8" w:rsidRPr="00907290">
        <w:rPr>
          <w:b/>
        </w:rPr>
        <w:t xml:space="preserve"> raksturojums</w:t>
      </w:r>
    </w:p>
    <w:p w:rsidR="006D3CB8" w:rsidRDefault="006D3CB8" w:rsidP="00D40D51">
      <w:pPr>
        <w:jc w:val="both"/>
      </w:pPr>
    </w:p>
    <w:p w:rsidR="006D3CB8" w:rsidRDefault="006D3CB8" w:rsidP="00C21466">
      <w:pPr>
        <w:ind w:firstLine="720"/>
        <w:jc w:val="both"/>
      </w:pPr>
      <w:r>
        <w:t>Latvijas prezidentūras Eiropas Savienības Padomē veiksmīgas norises pamatā būs profesionāli nodarbinātie, kuriem</w:t>
      </w:r>
      <w:r w:rsidR="00901A93">
        <w:t>,</w:t>
      </w:r>
      <w:r>
        <w:t xml:space="preserve"> </w:t>
      </w:r>
      <w:r w:rsidR="00901A93">
        <w:t xml:space="preserve">sekmīgai pienākumu pildīšanai, </w:t>
      </w:r>
      <w:r>
        <w:t xml:space="preserve">jābūt nodrošinātiem ar atbilstošiem tehniskiem līdzekļiem. </w:t>
      </w:r>
    </w:p>
    <w:p w:rsidR="006D3CB8" w:rsidRDefault="00F52A29" w:rsidP="00C21466">
      <w:pPr>
        <w:ind w:firstLine="720"/>
        <w:jc w:val="both"/>
      </w:pPr>
      <w:r>
        <w:t>L</w:t>
      </w:r>
      <w:r w:rsidR="00D657B8">
        <w:t xml:space="preserve">ikumā „Par valsts budžetu 2014.gadam” apstiprināts finansējums Ekonomikas ministrijas budžeta programmā 96.00.00 „Latvijas prezidentūras Eiropas Savienības Padomē nodrošināšanai 2015.gadā” </w:t>
      </w:r>
      <w:r>
        <w:t>3 109 595</w:t>
      </w:r>
      <w:r w:rsidR="00D657B8">
        <w:t xml:space="preserve"> </w:t>
      </w:r>
      <w:r w:rsidR="00D657B8" w:rsidRPr="006C32A0">
        <w:rPr>
          <w:i/>
        </w:rPr>
        <w:t>e</w:t>
      </w:r>
      <w:r w:rsidR="006C32A0" w:rsidRPr="006C32A0">
        <w:rPr>
          <w:i/>
        </w:rPr>
        <w:t>u</w:t>
      </w:r>
      <w:r w:rsidR="00D657B8" w:rsidRPr="006C32A0">
        <w:rPr>
          <w:i/>
        </w:rPr>
        <w:t>ro</w:t>
      </w:r>
      <w:r w:rsidR="00D657B8">
        <w:t xml:space="preserve"> apmērā. </w:t>
      </w:r>
    </w:p>
    <w:p w:rsidR="003D6117" w:rsidRPr="00911485" w:rsidRDefault="00C01A8D" w:rsidP="000C4C89">
      <w:pPr>
        <w:ind w:firstLine="720"/>
        <w:jc w:val="both"/>
      </w:pPr>
      <w:r w:rsidRPr="00911485">
        <w:t xml:space="preserve">Latvijas prezidentūras laikā Eiropas Savienības </w:t>
      </w:r>
      <w:r w:rsidR="00842C84">
        <w:t>P</w:t>
      </w:r>
      <w:r w:rsidRPr="00911485">
        <w:t xml:space="preserve">adomē </w:t>
      </w:r>
      <w:r w:rsidR="003D6117" w:rsidRPr="00911485">
        <w:t>Ekonomikas ministrija</w:t>
      </w:r>
      <w:r w:rsidR="008E0C84">
        <w:t>s</w:t>
      </w:r>
      <w:r w:rsidR="003D6117" w:rsidRPr="00911485">
        <w:t xml:space="preserve"> atbildībā ir trīs Eiropas Savienības ministru padomju sagatavošana:</w:t>
      </w:r>
    </w:p>
    <w:p w:rsidR="003D6117" w:rsidRPr="00911485" w:rsidRDefault="003D6117" w:rsidP="000C4C89">
      <w:pPr>
        <w:ind w:firstLine="720"/>
        <w:jc w:val="both"/>
      </w:pPr>
      <w:r w:rsidRPr="00911485">
        <w:t xml:space="preserve"> – Ārējo attiecību padome tirdzniecības jautājumos (jāsagatavo viena formālā ministru padome un viena neformālā ministru padome), </w:t>
      </w:r>
    </w:p>
    <w:p w:rsidR="003D6117" w:rsidRPr="00911485" w:rsidRDefault="003D6117" w:rsidP="003D6117">
      <w:pPr>
        <w:pStyle w:val="ListParagraph"/>
        <w:numPr>
          <w:ilvl w:val="0"/>
          <w:numId w:val="2"/>
        </w:numPr>
        <w:jc w:val="both"/>
      </w:pPr>
      <w:r w:rsidRPr="00911485">
        <w:t>Enerģētikas ministru padome (divas formālās ministru padomes un viena neformālā  ministru padome),</w:t>
      </w:r>
    </w:p>
    <w:p w:rsidR="003D6117" w:rsidRPr="00911485" w:rsidRDefault="003D6117" w:rsidP="003D6117">
      <w:pPr>
        <w:pStyle w:val="ListParagraph"/>
        <w:numPr>
          <w:ilvl w:val="0"/>
          <w:numId w:val="2"/>
        </w:numPr>
        <w:jc w:val="both"/>
      </w:pPr>
      <w:r w:rsidRPr="00911485">
        <w:t>Konkurētspējas ministru padome - uzņēmējdarbības un iekšējā tirgus jautājumi</w:t>
      </w:r>
      <w:r w:rsidR="00141D64" w:rsidRPr="00911485">
        <w:t xml:space="preserve"> </w:t>
      </w:r>
      <w:r w:rsidR="00A131DF">
        <w:t>(</w:t>
      </w:r>
      <w:r w:rsidR="00141D64" w:rsidRPr="00911485">
        <w:t>divas formālās ministru padomes un viena neformālā ministru padome).</w:t>
      </w:r>
    </w:p>
    <w:p w:rsidR="00141D64" w:rsidRPr="00911485" w:rsidRDefault="00C21466" w:rsidP="00C21466">
      <w:pPr>
        <w:tabs>
          <w:tab w:val="left" w:pos="567"/>
          <w:tab w:val="left" w:pos="709"/>
        </w:tabs>
        <w:autoSpaceDE w:val="0"/>
        <w:autoSpaceDN w:val="0"/>
        <w:adjustRightInd w:val="0"/>
        <w:jc w:val="both"/>
        <w:rPr>
          <w:rFonts w:cs="Times New Roman"/>
          <w:szCs w:val="28"/>
        </w:rPr>
      </w:pPr>
      <w:r>
        <w:tab/>
      </w:r>
      <w:r w:rsidR="00141D64" w:rsidRPr="00911485">
        <w:t xml:space="preserve">Ekonomikas ministrijas atbildībā ir </w:t>
      </w:r>
      <w:r w:rsidR="00844DC9" w:rsidRPr="00911485">
        <w:t>12</w:t>
      </w:r>
      <w:r w:rsidR="00141D64" w:rsidRPr="00911485">
        <w:t xml:space="preserve"> Eiropas Savienības Padomes </w:t>
      </w:r>
      <w:r w:rsidR="003E7FE2" w:rsidRPr="00911485">
        <w:t>darba grupas</w:t>
      </w:r>
      <w:r w:rsidR="00842C84">
        <w:t>/komitejas</w:t>
      </w:r>
      <w:r w:rsidR="003E7FE2" w:rsidRPr="00911485">
        <w:t xml:space="preserve">: </w:t>
      </w:r>
      <w:r w:rsidR="00842C84">
        <w:rPr>
          <w:rFonts w:cs="Times New Roman"/>
          <w:szCs w:val="28"/>
        </w:rPr>
        <w:t>T</w:t>
      </w:r>
      <w:r w:rsidR="003E7FE2" w:rsidRPr="00911485">
        <w:rPr>
          <w:rFonts w:cs="Times New Roman"/>
          <w:szCs w:val="28"/>
        </w:rPr>
        <w:t xml:space="preserve">irdzniecības politikas komiteja, </w:t>
      </w:r>
      <w:r w:rsidR="00842C84">
        <w:rPr>
          <w:rFonts w:cs="Times New Roman"/>
          <w:szCs w:val="28"/>
        </w:rPr>
        <w:t>E</w:t>
      </w:r>
      <w:r w:rsidR="003E7FE2" w:rsidRPr="00911485">
        <w:rPr>
          <w:rFonts w:cs="Times New Roman"/>
          <w:szCs w:val="28"/>
        </w:rPr>
        <w:t xml:space="preserve">konomikas politikas komiteja, </w:t>
      </w:r>
      <w:r w:rsidR="00842C84">
        <w:rPr>
          <w:rFonts w:cs="Times New Roman"/>
          <w:szCs w:val="28"/>
        </w:rPr>
        <w:t>S</w:t>
      </w:r>
      <w:r w:rsidR="00141D64" w:rsidRPr="00911485">
        <w:rPr>
          <w:rFonts w:cs="Times New Roman"/>
          <w:szCs w:val="28"/>
        </w:rPr>
        <w:t>tatistikas jautājumu darba grupa</w:t>
      </w:r>
      <w:r w:rsidR="003E7FE2" w:rsidRPr="00911485">
        <w:rPr>
          <w:rFonts w:cs="Times New Roman"/>
          <w:szCs w:val="28"/>
        </w:rPr>
        <w:t xml:space="preserve">, </w:t>
      </w:r>
      <w:r w:rsidR="00842C84">
        <w:rPr>
          <w:rFonts w:cs="Times New Roman"/>
          <w:szCs w:val="28"/>
        </w:rPr>
        <w:t>T</w:t>
      </w:r>
      <w:r w:rsidR="00141D64" w:rsidRPr="00911485">
        <w:rPr>
          <w:rFonts w:cs="Times New Roman"/>
          <w:szCs w:val="28"/>
        </w:rPr>
        <w:t>irdzniecības jautājumu darba grupa</w:t>
      </w:r>
      <w:r w:rsidR="003E7FE2" w:rsidRPr="00911485">
        <w:rPr>
          <w:rFonts w:cs="Times New Roman"/>
          <w:szCs w:val="28"/>
        </w:rPr>
        <w:t xml:space="preserve">, </w:t>
      </w:r>
      <w:r w:rsidR="00901A93">
        <w:rPr>
          <w:rFonts w:cs="Times New Roman"/>
          <w:szCs w:val="28"/>
        </w:rPr>
        <w:t>E</w:t>
      </w:r>
      <w:r w:rsidR="00141D64" w:rsidRPr="00911485">
        <w:rPr>
          <w:rFonts w:cs="Times New Roman"/>
          <w:szCs w:val="28"/>
        </w:rPr>
        <w:t>ksporta kredītu jautājumu grupa</w:t>
      </w:r>
      <w:r w:rsidR="003E7FE2" w:rsidRPr="00911485">
        <w:rPr>
          <w:rFonts w:cs="Times New Roman"/>
          <w:szCs w:val="28"/>
        </w:rPr>
        <w:t xml:space="preserve">, </w:t>
      </w:r>
      <w:r w:rsidR="00842C84">
        <w:rPr>
          <w:rFonts w:cs="Times New Roman"/>
          <w:szCs w:val="28"/>
        </w:rPr>
        <w:t>U</w:t>
      </w:r>
      <w:r w:rsidR="00141D64" w:rsidRPr="00911485">
        <w:rPr>
          <w:rFonts w:cs="Times New Roman"/>
          <w:szCs w:val="28"/>
        </w:rPr>
        <w:t>zņēmējdarbības un pakalpojumu jautājumu darba grupa</w:t>
      </w:r>
      <w:r w:rsidR="003E7FE2" w:rsidRPr="00911485">
        <w:rPr>
          <w:rFonts w:cs="Times New Roman"/>
          <w:szCs w:val="28"/>
        </w:rPr>
        <w:t xml:space="preserve">, </w:t>
      </w:r>
      <w:r w:rsidR="00842C84">
        <w:rPr>
          <w:rFonts w:cs="Times New Roman"/>
          <w:szCs w:val="28"/>
        </w:rPr>
        <w:t>T</w:t>
      </w:r>
      <w:r w:rsidR="00141D64" w:rsidRPr="00911485">
        <w:rPr>
          <w:rFonts w:cs="Times New Roman"/>
          <w:szCs w:val="28"/>
        </w:rPr>
        <w:t>ehniskas harmonizācijas jautājumu darba grupa</w:t>
      </w:r>
      <w:r w:rsidR="003E7FE2" w:rsidRPr="00911485">
        <w:rPr>
          <w:rFonts w:cs="Times New Roman"/>
          <w:szCs w:val="28"/>
        </w:rPr>
        <w:t xml:space="preserve">, </w:t>
      </w:r>
      <w:r w:rsidR="00842C84">
        <w:rPr>
          <w:rFonts w:cs="Times New Roman"/>
          <w:szCs w:val="28"/>
        </w:rPr>
        <w:t>K</w:t>
      </w:r>
      <w:r w:rsidR="00141D64" w:rsidRPr="00911485">
        <w:rPr>
          <w:rFonts w:cs="Times New Roman"/>
          <w:szCs w:val="28"/>
        </w:rPr>
        <w:t>onkurences jautājumu darba grupa</w:t>
      </w:r>
      <w:r w:rsidR="003E7FE2" w:rsidRPr="00911485">
        <w:rPr>
          <w:rFonts w:cs="Times New Roman"/>
          <w:szCs w:val="28"/>
        </w:rPr>
        <w:t xml:space="preserve">, </w:t>
      </w:r>
      <w:r w:rsidR="00842C84">
        <w:rPr>
          <w:rFonts w:cs="Times New Roman"/>
          <w:szCs w:val="28"/>
        </w:rPr>
        <w:t>P</w:t>
      </w:r>
      <w:r w:rsidR="00141D64" w:rsidRPr="00911485">
        <w:rPr>
          <w:rFonts w:cs="Times New Roman"/>
          <w:szCs w:val="28"/>
        </w:rPr>
        <w:t>atērētāju aizsardzības un informācijas jautājumu darba grupa</w:t>
      </w:r>
      <w:r w:rsidR="003E7FE2" w:rsidRPr="00911485">
        <w:rPr>
          <w:rFonts w:cs="Times New Roman"/>
          <w:szCs w:val="28"/>
        </w:rPr>
        <w:t xml:space="preserve">, </w:t>
      </w:r>
      <w:r w:rsidR="00842C84">
        <w:rPr>
          <w:rFonts w:cs="Times New Roman"/>
          <w:szCs w:val="28"/>
        </w:rPr>
        <w:t>E</w:t>
      </w:r>
      <w:r w:rsidR="00141D64" w:rsidRPr="00911485">
        <w:rPr>
          <w:rFonts w:cs="Times New Roman"/>
          <w:szCs w:val="28"/>
        </w:rPr>
        <w:t>nerģētikas jautājumu darba grupa</w:t>
      </w:r>
      <w:r w:rsidR="003E7FE2" w:rsidRPr="00911485">
        <w:rPr>
          <w:rFonts w:cs="Times New Roman"/>
          <w:szCs w:val="28"/>
        </w:rPr>
        <w:t xml:space="preserve">, </w:t>
      </w:r>
      <w:r w:rsidR="00141D64" w:rsidRPr="00911485">
        <w:rPr>
          <w:rFonts w:cs="Times New Roman"/>
          <w:i/>
          <w:iCs/>
          <w:szCs w:val="28"/>
        </w:rPr>
        <w:t xml:space="preserve">ILUC </w:t>
      </w:r>
      <w:r w:rsidR="00141D64" w:rsidRPr="00911485">
        <w:rPr>
          <w:rFonts w:cs="Times New Roman"/>
          <w:szCs w:val="28"/>
        </w:rPr>
        <w:t xml:space="preserve">jautājumu </w:t>
      </w:r>
      <w:proofErr w:type="spellStart"/>
      <w:r w:rsidR="00141D64" w:rsidRPr="00911485">
        <w:rPr>
          <w:rFonts w:cs="Times New Roman"/>
          <w:i/>
          <w:iCs/>
          <w:szCs w:val="28"/>
        </w:rPr>
        <w:t>ad</w:t>
      </w:r>
      <w:proofErr w:type="spellEnd"/>
      <w:r w:rsidR="00141D64" w:rsidRPr="00911485">
        <w:rPr>
          <w:rFonts w:cs="Times New Roman"/>
          <w:i/>
          <w:iCs/>
          <w:szCs w:val="28"/>
        </w:rPr>
        <w:t xml:space="preserve"> </w:t>
      </w:r>
      <w:proofErr w:type="spellStart"/>
      <w:r w:rsidR="00141D64" w:rsidRPr="00911485">
        <w:rPr>
          <w:rFonts w:cs="Times New Roman"/>
          <w:i/>
          <w:iCs/>
          <w:szCs w:val="28"/>
        </w:rPr>
        <w:t>hoc</w:t>
      </w:r>
      <w:proofErr w:type="spellEnd"/>
      <w:r w:rsidR="00141D64" w:rsidRPr="00911485">
        <w:rPr>
          <w:rFonts w:cs="Times New Roman"/>
          <w:i/>
          <w:iCs/>
          <w:szCs w:val="28"/>
        </w:rPr>
        <w:t xml:space="preserve"> </w:t>
      </w:r>
      <w:r w:rsidR="00141D64" w:rsidRPr="00911485">
        <w:rPr>
          <w:rFonts w:cs="Times New Roman"/>
          <w:szCs w:val="28"/>
        </w:rPr>
        <w:t>darba grupa.</w:t>
      </w:r>
      <w:r w:rsidR="00844DC9" w:rsidRPr="00911485">
        <w:rPr>
          <w:rFonts w:cs="Times New Roman"/>
          <w:szCs w:val="28"/>
        </w:rPr>
        <w:t xml:space="preserve"> </w:t>
      </w:r>
      <w:r w:rsidR="006A19A9" w:rsidRPr="00911485">
        <w:rPr>
          <w:rFonts w:cs="Times New Roman"/>
          <w:szCs w:val="28"/>
        </w:rPr>
        <w:t>Latvijas prezidentūras laikā būs jānovada aptuveni 200 darba grupu</w:t>
      </w:r>
      <w:r w:rsidR="00842C84">
        <w:rPr>
          <w:rFonts w:cs="Times New Roman"/>
          <w:szCs w:val="28"/>
        </w:rPr>
        <w:t>/komiteju</w:t>
      </w:r>
      <w:r w:rsidR="006A19A9" w:rsidRPr="00911485">
        <w:rPr>
          <w:rFonts w:cs="Times New Roman"/>
          <w:szCs w:val="28"/>
        </w:rPr>
        <w:t xml:space="preserve"> sanāksmes.</w:t>
      </w:r>
    </w:p>
    <w:p w:rsidR="00C21466" w:rsidRDefault="00C21466" w:rsidP="000C4C89">
      <w:pPr>
        <w:ind w:firstLine="720"/>
        <w:jc w:val="both"/>
      </w:pPr>
    </w:p>
    <w:p w:rsidR="00247DE3" w:rsidRPr="00911485" w:rsidRDefault="00247DE3" w:rsidP="000C4C89">
      <w:pPr>
        <w:ind w:firstLine="720"/>
        <w:jc w:val="both"/>
      </w:pPr>
      <w:r w:rsidRPr="00911485">
        <w:lastRenderedPageBreak/>
        <w:t xml:space="preserve">Gatavojoties prezidentūrai </w:t>
      </w:r>
      <w:r w:rsidR="00842C84">
        <w:t>bija</w:t>
      </w:r>
      <w:r w:rsidR="00842C84" w:rsidRPr="00911485">
        <w:t xml:space="preserve"> </w:t>
      </w:r>
      <w:r w:rsidRPr="00911485">
        <w:t>plāno</w:t>
      </w:r>
      <w:r w:rsidR="00842C84">
        <w:t>ts</w:t>
      </w:r>
      <w:r w:rsidRPr="00911485">
        <w:t xml:space="preserve"> darbam Latvijas </w:t>
      </w:r>
      <w:r w:rsidR="00842C84">
        <w:t>R</w:t>
      </w:r>
      <w:r w:rsidRPr="00911485">
        <w:t xml:space="preserve">epublikas patstāvīgajā pārstāvniecībā Eiropas Savienībā (Briselē) nosūtīt </w:t>
      </w:r>
      <w:r w:rsidR="00907290" w:rsidRPr="00911485">
        <w:t>21</w:t>
      </w:r>
      <w:r w:rsidRPr="00911485">
        <w:t xml:space="preserve"> nozares padomnieku un darbam </w:t>
      </w:r>
      <w:r w:rsidR="00907290" w:rsidRPr="00911485">
        <w:t xml:space="preserve">Latvijas Republikas Pastāvīgajā pārstāvniecībā Apvienoto Nāciju Organizācijā </w:t>
      </w:r>
      <w:r w:rsidRPr="00911485">
        <w:t xml:space="preserve">Ženēvā </w:t>
      </w:r>
      <w:r w:rsidR="006C50FB" w:rsidRPr="00911485">
        <w:t>(</w:t>
      </w:r>
      <w:r w:rsidR="00907290" w:rsidRPr="00911485">
        <w:t>Šveicē</w:t>
      </w:r>
      <w:r w:rsidR="006C50FB" w:rsidRPr="00911485">
        <w:t>)</w:t>
      </w:r>
      <w:r w:rsidR="00907290" w:rsidRPr="00911485">
        <w:t xml:space="preserve"> </w:t>
      </w:r>
      <w:r w:rsidRPr="00911485">
        <w:t xml:space="preserve">nosūtīt </w:t>
      </w:r>
      <w:r w:rsidR="00907290" w:rsidRPr="00911485">
        <w:t>3</w:t>
      </w:r>
      <w:r w:rsidRPr="00911485">
        <w:t xml:space="preserve"> nozares padomniekus. Uz Latvijas prezidentūras laiku </w:t>
      </w:r>
      <w:r w:rsidR="00907290" w:rsidRPr="00911485">
        <w:t xml:space="preserve">šobrīd </w:t>
      </w:r>
      <w:r w:rsidRPr="00911485">
        <w:t xml:space="preserve">Eiropas Savienības Padomē esam </w:t>
      </w:r>
      <w:r w:rsidR="00C02A3F" w:rsidRPr="00911485">
        <w:t xml:space="preserve">nosūtījuši </w:t>
      </w:r>
      <w:r w:rsidR="003D6117" w:rsidRPr="00911485">
        <w:t>8</w:t>
      </w:r>
      <w:r w:rsidR="00C02A3F" w:rsidRPr="00911485">
        <w:t xml:space="preserve"> nozares padomniekus uz Briseli un </w:t>
      </w:r>
      <w:r w:rsidR="00BA06F9" w:rsidRPr="00911485">
        <w:t>1</w:t>
      </w:r>
      <w:r w:rsidR="00C02A3F" w:rsidRPr="00911485">
        <w:t xml:space="preserve"> uz Ženēvu.</w:t>
      </w:r>
      <w:r w:rsidR="00BA06F9" w:rsidRPr="00911485">
        <w:t xml:space="preserve"> Līdz gada beigām plānojam nosūtīt vēl </w:t>
      </w:r>
      <w:r w:rsidR="00996C60">
        <w:t>3</w:t>
      </w:r>
      <w:r w:rsidR="00996C60" w:rsidRPr="00911485">
        <w:t xml:space="preserve"> </w:t>
      </w:r>
      <w:r w:rsidR="00BA06F9" w:rsidRPr="00911485">
        <w:t xml:space="preserve">nozares padomniekus uz Briseli un </w:t>
      </w:r>
      <w:r w:rsidR="00B8754E">
        <w:t>1</w:t>
      </w:r>
      <w:r w:rsidR="00B8754E" w:rsidRPr="00911485">
        <w:t xml:space="preserve"> </w:t>
      </w:r>
      <w:r w:rsidR="00BA06F9" w:rsidRPr="00911485">
        <w:t xml:space="preserve">uz Ženēvu. </w:t>
      </w:r>
      <w:r w:rsidR="00C02A3F" w:rsidRPr="00911485">
        <w:t xml:space="preserve"> Lai kompensētu iztrūkstošos nozares padomniekus, </w:t>
      </w:r>
      <w:r w:rsidR="00901A93">
        <w:t>plānojam un jau šobrīd piesaistām</w:t>
      </w:r>
      <w:r w:rsidR="00C02A3F" w:rsidRPr="00911485">
        <w:t xml:space="preserve"> ministrij</w:t>
      </w:r>
      <w:r w:rsidR="00F52A29" w:rsidRPr="00911485">
        <w:t>as</w:t>
      </w:r>
      <w:r w:rsidR="00C02A3F" w:rsidRPr="00911485">
        <w:t xml:space="preserve"> speciālistus</w:t>
      </w:r>
      <w:r w:rsidR="00F52A29" w:rsidRPr="00911485">
        <w:t>, v</w:t>
      </w:r>
      <w:r w:rsidR="00C02A3F" w:rsidRPr="00911485">
        <w:t>ienlaikus nodrošin</w:t>
      </w:r>
      <w:r w:rsidR="00F52A29" w:rsidRPr="00911485">
        <w:t>o</w:t>
      </w:r>
      <w:r w:rsidR="00C02A3F" w:rsidRPr="00911485">
        <w:t xml:space="preserve">t </w:t>
      </w:r>
      <w:r w:rsidR="00BE3DDE" w:rsidRPr="00911485">
        <w:t xml:space="preserve">uzsākto darbu nepārtrauktību </w:t>
      </w:r>
      <w:r w:rsidR="00B8754E">
        <w:t>gan</w:t>
      </w:r>
      <w:r w:rsidR="00B8754E" w:rsidRPr="00911485">
        <w:t xml:space="preserve"> </w:t>
      </w:r>
      <w:r w:rsidR="00BE3DDE" w:rsidRPr="00911485">
        <w:t>ministrijā</w:t>
      </w:r>
      <w:r w:rsidR="00B8754E">
        <w:t>, gan P</w:t>
      </w:r>
      <w:r w:rsidR="00D52B54">
        <w:t xml:space="preserve">atērētāju </w:t>
      </w:r>
      <w:r w:rsidR="004539D8">
        <w:t xml:space="preserve">tiesību </w:t>
      </w:r>
      <w:r w:rsidR="00D52B54">
        <w:t>aizsardzības centrā</w:t>
      </w:r>
      <w:r w:rsidR="00B8754E">
        <w:t>, gan C</w:t>
      </w:r>
      <w:r w:rsidR="00D52B54">
        <w:t>entrālajā statistikas pārvaldē</w:t>
      </w:r>
      <w:r w:rsidR="00B8754E">
        <w:t xml:space="preserve"> un K</w:t>
      </w:r>
      <w:r w:rsidR="00D52B54">
        <w:t>onkurences padomē</w:t>
      </w:r>
      <w:r w:rsidR="00B8754E">
        <w:t>.</w:t>
      </w:r>
    </w:p>
    <w:p w:rsidR="00D30EDF" w:rsidRPr="00911485" w:rsidRDefault="00A07B70" w:rsidP="007B70B6">
      <w:pPr>
        <w:ind w:firstLine="720"/>
        <w:jc w:val="both"/>
      </w:pPr>
      <w:r w:rsidRPr="00911485">
        <w:t>Lai nodrošinātu Ekonomikas ministrijas atbildībā esošo Eiropas Savienības Padomes darba grupu darbu atbilstošā līmenī un kvalitātē</w:t>
      </w:r>
      <w:r w:rsidR="007A09AA" w:rsidRPr="00911485">
        <w:t>,</w:t>
      </w:r>
      <w:r w:rsidRPr="00911485">
        <w:t xml:space="preserve"> </w:t>
      </w:r>
      <w:r w:rsidR="00BA06F9" w:rsidRPr="00911485">
        <w:t>piesaistīsim Latvijā bāzētos ekspertus</w:t>
      </w:r>
      <w:r w:rsidR="00901A93">
        <w:t>.</w:t>
      </w:r>
      <w:r w:rsidR="00BA06F9" w:rsidRPr="00911485">
        <w:t xml:space="preserve"> </w:t>
      </w:r>
      <w:r w:rsidR="00901A93">
        <w:t>Eksperta pienākumi darba grupā būs jāveic</w:t>
      </w:r>
      <w:r w:rsidR="00BA06F9" w:rsidRPr="00911485">
        <w:t xml:space="preserve"> </w:t>
      </w:r>
      <w:r w:rsidR="00901A93">
        <w:t>p</w:t>
      </w:r>
      <w:r w:rsidR="00901A93" w:rsidRPr="00911485">
        <w:t xml:space="preserve">apildus </w:t>
      </w:r>
      <w:r w:rsidR="00BA06F9" w:rsidRPr="00911485">
        <w:t xml:space="preserve">to esošajiem darba pienākumiem. </w:t>
      </w:r>
      <w:r w:rsidR="00B8754E">
        <w:t xml:space="preserve">Apzinot </w:t>
      </w:r>
      <w:r w:rsidR="008E6466">
        <w:t xml:space="preserve">prezidentūras ietvaros veicamos papildus uzdevumus </w:t>
      </w:r>
      <w:r w:rsidR="00B8754E">
        <w:t>un piesaistot papildus ekspertus padomes darba grupu nodrošināšanai Latvijas prezidentūras laikā, amatpersonu skaits, kuras</w:t>
      </w:r>
      <w:r w:rsidR="003C2B5E">
        <w:t xml:space="preserve"> tieši</w:t>
      </w:r>
      <w:r w:rsidR="00B8754E">
        <w:t xml:space="preserve"> iesaistītas </w:t>
      </w:r>
      <w:r w:rsidR="003C2B5E">
        <w:t>darba grupās</w:t>
      </w:r>
      <w:r w:rsidR="0035566A">
        <w:t>,</w:t>
      </w:r>
      <w:r w:rsidR="003C2B5E">
        <w:t xml:space="preserve"> </w:t>
      </w:r>
      <w:r w:rsidR="00B8754E">
        <w:t>ir pieaudzis no 78 2013.gada vidū, līdz 9</w:t>
      </w:r>
      <w:r w:rsidR="00EB3226">
        <w:t>3</w:t>
      </w:r>
      <w:r w:rsidR="00B8754E">
        <w:t xml:space="preserve"> 2014.gada maijā. </w:t>
      </w:r>
      <w:r w:rsidR="006A4F39">
        <w:t xml:space="preserve">Šobrīd </w:t>
      </w:r>
      <w:r w:rsidR="00E74E5A">
        <w:t>trūkst finansējums 1</w:t>
      </w:r>
      <w:r w:rsidR="00EB3226">
        <w:t>4</w:t>
      </w:r>
      <w:r w:rsidR="00E74E5A">
        <w:t xml:space="preserve"> </w:t>
      </w:r>
      <w:r w:rsidR="006A4F39">
        <w:t>darba grupā iesaistīto darbinieku motivācijai</w:t>
      </w:r>
      <w:r w:rsidR="00587D2C">
        <w:t xml:space="preserve">. </w:t>
      </w:r>
      <w:r w:rsidR="00B8754E">
        <w:t>Veiksmīgai darba grupu norise</w:t>
      </w:r>
      <w:r w:rsidR="00D30EDF">
        <w:t>i</w:t>
      </w:r>
      <w:r w:rsidR="00913479">
        <w:t>,</w:t>
      </w:r>
      <w:r w:rsidR="00B8754E">
        <w:t xml:space="preserve"> </w:t>
      </w:r>
      <w:r w:rsidR="00913479">
        <w:t xml:space="preserve">t. </w:t>
      </w:r>
      <w:proofErr w:type="spellStart"/>
      <w:r w:rsidR="00913479">
        <w:t>sk</w:t>
      </w:r>
      <w:proofErr w:type="spellEnd"/>
      <w:r w:rsidR="00913479">
        <w:t>.</w:t>
      </w:r>
      <w:r w:rsidR="00B8754E" w:rsidRPr="00B8754E">
        <w:t xml:space="preserve"> </w:t>
      </w:r>
      <w:r w:rsidR="00B8754E">
        <w:t>viedokļu sagatavošanā</w:t>
      </w:r>
      <w:r w:rsidR="00913479">
        <w:t xml:space="preserve"> par darba grupās skatāmiem jautājumiem,</w:t>
      </w:r>
      <w:r w:rsidR="00B8754E">
        <w:t xml:space="preserve"> papildu slodze jāuzņemas arī darbiniekiem, kas nav tieši </w:t>
      </w:r>
      <w:r w:rsidR="003C2B5E">
        <w:t>iekļauti</w:t>
      </w:r>
      <w:r w:rsidR="00B8754E">
        <w:t xml:space="preserve"> darba grupās</w:t>
      </w:r>
      <w:r w:rsidR="0057232C">
        <w:t>.</w:t>
      </w:r>
      <w:r w:rsidR="003C2B5E">
        <w:t xml:space="preserve"> </w:t>
      </w:r>
      <w:r w:rsidR="00901A93">
        <w:t>Bez tam, p</w:t>
      </w:r>
      <w:r w:rsidR="003C2B5E">
        <w:t>rezidentūras sagatavošanā un norisē</w:t>
      </w:r>
      <w:r w:rsidR="0057232C">
        <w:t xml:space="preserve"> </w:t>
      </w:r>
      <w:r w:rsidR="00D52B54">
        <w:t>jā</w:t>
      </w:r>
      <w:r w:rsidR="0057232C">
        <w:t>iesaist</w:t>
      </w:r>
      <w:r w:rsidR="00D52B54">
        <w:t>a</w:t>
      </w:r>
      <w:r w:rsidR="003C2B5E">
        <w:t xml:space="preserve"> gan augstākā līmeņa vadītāji, gan pārējā</w:t>
      </w:r>
      <w:r w:rsidR="0057232C">
        <w:t>s</w:t>
      </w:r>
      <w:r w:rsidR="003C2B5E">
        <w:t xml:space="preserve"> amatperson</w:t>
      </w:r>
      <w:r w:rsidR="00D52B54">
        <w:t>as</w:t>
      </w:r>
      <w:r w:rsidR="003C2B5E">
        <w:t>.</w:t>
      </w:r>
      <w:r w:rsidR="00587D2C">
        <w:t xml:space="preserve"> </w:t>
      </w:r>
      <w:r w:rsidR="00D30EDF">
        <w:t>Š</w:t>
      </w:r>
      <w:r w:rsidR="00BA06F9" w:rsidRPr="00911485">
        <w:t xml:space="preserve">ie darbinieki būs noslogoti </w:t>
      </w:r>
      <w:r w:rsidR="00504302" w:rsidRPr="00911485">
        <w:t xml:space="preserve">ārpus darba laika. Līdz ar to būtu nepieciešams rast </w:t>
      </w:r>
      <w:r w:rsidR="00D114F8" w:rsidRPr="00911485">
        <w:t>finansējumu</w:t>
      </w:r>
      <w:r w:rsidR="00504302" w:rsidRPr="00911485">
        <w:t xml:space="preserve"> šo darbinieku papildus motivācijai</w:t>
      </w:r>
      <w:r w:rsidR="006C50FB" w:rsidRPr="00911485">
        <w:t>.</w:t>
      </w:r>
      <w:r w:rsidR="00C66904">
        <w:t xml:space="preserve"> </w:t>
      </w:r>
      <w:r w:rsidR="00D30EDF">
        <w:t>Lai nodrošinātu plānoto darba uzdevumu veikšanu gan ministrij</w:t>
      </w:r>
      <w:r w:rsidR="008A684E">
        <w:t>ā</w:t>
      </w:r>
      <w:r w:rsidR="00D30EDF">
        <w:t>, gan</w:t>
      </w:r>
      <w:r w:rsidR="00D30EDF" w:rsidRPr="00D30EDF">
        <w:t xml:space="preserve"> </w:t>
      </w:r>
      <w:r w:rsidR="00D52B54">
        <w:t xml:space="preserve">Patērētāju </w:t>
      </w:r>
      <w:r w:rsidR="00A131DF">
        <w:t xml:space="preserve">tiesību </w:t>
      </w:r>
      <w:r w:rsidR="00D52B54">
        <w:t>aizsardzības centrā, gan Centrālajā statistikas pārvaldē un Konkurences padomē d</w:t>
      </w:r>
      <w:r w:rsidR="008A684E">
        <w:t>arbiniekiem ir jāuzņemas papildu slodze</w:t>
      </w:r>
      <w:r w:rsidR="0057232C">
        <w:t>.</w:t>
      </w:r>
      <w:r w:rsidR="007B70B6">
        <w:t xml:space="preserve"> Šobrīd trūkst finansējums 2</w:t>
      </w:r>
      <w:r w:rsidR="003C2B5E">
        <w:t>7</w:t>
      </w:r>
      <w:r w:rsidR="00EB3226">
        <w:t xml:space="preserve"> (</w:t>
      </w:r>
      <w:proofErr w:type="spellStart"/>
      <w:r w:rsidR="00EB3226">
        <w:t>t.sk</w:t>
      </w:r>
      <w:proofErr w:type="spellEnd"/>
      <w:r w:rsidR="00EB3226">
        <w:t>. 20</w:t>
      </w:r>
      <w:r w:rsidR="00EB3226" w:rsidRPr="00EB3226">
        <w:t xml:space="preserve"> </w:t>
      </w:r>
      <w:r w:rsidR="00EB3226" w:rsidRPr="00911485">
        <w:t>ministrijā</w:t>
      </w:r>
      <w:r w:rsidR="00EB3226">
        <w:t>, 3 Patērētāju tiesību aizsardzības centrā</w:t>
      </w:r>
      <w:r w:rsidR="006E6598">
        <w:t>,</w:t>
      </w:r>
      <w:r w:rsidR="00EB3226">
        <w:t xml:space="preserve"> 3 Centrālajā statistikas pārvaldē</w:t>
      </w:r>
      <w:r w:rsidR="006E6598">
        <w:t xml:space="preserve"> un 1 Konkurences padomē</w:t>
      </w:r>
      <w:r w:rsidR="00EB3226">
        <w:t xml:space="preserve">) </w:t>
      </w:r>
      <w:r w:rsidR="007B70B6">
        <w:t xml:space="preserve"> iesaistīto darbinieku motivācijai.</w:t>
      </w:r>
    </w:p>
    <w:p w:rsidR="00BE3DDE" w:rsidRPr="00911485" w:rsidRDefault="00BE3DDE" w:rsidP="000C4C89">
      <w:pPr>
        <w:ind w:firstLine="709"/>
        <w:jc w:val="both"/>
      </w:pPr>
      <w:r w:rsidRPr="00911485">
        <w:t xml:space="preserve">Plānojot 2014.gada budžetu, netika atļauta iespēja nodrošināt nozares padomniekus </w:t>
      </w:r>
      <w:r w:rsidR="00504302" w:rsidRPr="00911485">
        <w:t xml:space="preserve">un ministrijas ekspertus </w:t>
      </w:r>
      <w:r w:rsidRPr="00911485">
        <w:t>ar atbilstošu tehnisko aprīkojumu</w:t>
      </w:r>
      <w:r w:rsidR="008E6466">
        <w:t xml:space="preserve"> </w:t>
      </w:r>
      <w:r w:rsidR="00504302" w:rsidRPr="00911485">
        <w:t xml:space="preserve">- </w:t>
      </w:r>
      <w:r w:rsidRPr="00911485">
        <w:t xml:space="preserve"> portatīvajiem datoriem</w:t>
      </w:r>
      <w:r w:rsidR="008E6466">
        <w:t>, bez kuriem nav iespējams nodrošināt operatīvu un kvalitatīvu jautājumu risināšanu</w:t>
      </w:r>
      <w:r w:rsidR="00504302" w:rsidRPr="00911485">
        <w:t xml:space="preserve">. </w:t>
      </w:r>
      <w:r w:rsidR="00D65F77" w:rsidRPr="00911485">
        <w:t>M</w:t>
      </w:r>
      <w:r w:rsidRPr="00911485">
        <w:t xml:space="preserve">inistriju nozares padomniekus Latvijas Republikas Pastāvīgajā pārstāvniecībā Eiropas Savienībā un </w:t>
      </w:r>
      <w:r w:rsidR="00842C84" w:rsidRPr="00911485">
        <w:t xml:space="preserve">Apvienoto Nāciju Organizācijā </w:t>
      </w:r>
      <w:r w:rsidRPr="00911485">
        <w:t xml:space="preserve">Ženēvā ar portatīvajiem datoriem plānoja nodrošināt Ārlietu ministrija. Līdz šim brīdim tikai nozares padomnieks </w:t>
      </w:r>
      <w:r w:rsidR="006C50FB" w:rsidRPr="00911485">
        <w:t>Latvijas Republikas Pastāvīgajā pārstāvniecībā Apvienoto Nāciju Organizācijā Ženēvā</w:t>
      </w:r>
      <w:r w:rsidRPr="00911485">
        <w:t xml:space="preserve"> ir saņēmis no Ārlietu ministrijas portatīvo datoru. </w:t>
      </w:r>
    </w:p>
    <w:p w:rsidR="00141D64" w:rsidRPr="00911485" w:rsidRDefault="00141D64" w:rsidP="00C21466">
      <w:pPr>
        <w:ind w:firstLine="709"/>
        <w:jc w:val="both"/>
      </w:pPr>
      <w:r w:rsidRPr="00911485">
        <w:t>Latvijas prezidentūras Eiropas Savienības laikā 2015.gada pirmajā pusē Ekonomikas ministrija plāno rīkot vairākus lielus un nozīmīgus pasākumus:</w:t>
      </w:r>
    </w:p>
    <w:p w:rsidR="00141D64" w:rsidRPr="00911485" w:rsidRDefault="00141D64" w:rsidP="00141D64">
      <w:pPr>
        <w:pStyle w:val="ListParagraph"/>
        <w:numPr>
          <w:ilvl w:val="0"/>
          <w:numId w:val="3"/>
        </w:numPr>
        <w:jc w:val="both"/>
      </w:pPr>
      <w:r w:rsidRPr="00911485">
        <w:t>Eiropas Savienības neformālo tirdzniecības ministru sanāksmi. P</w:t>
      </w:r>
      <w:r w:rsidRPr="00911485">
        <w:rPr>
          <w:rFonts w:cs="Times New Roman"/>
        </w:rPr>
        <w:t xml:space="preserve">irmo reizi Eiropas Savienības vēsturē organizējot sanāksmi </w:t>
      </w:r>
      <w:r w:rsidRPr="00911485">
        <w:rPr>
          <w:rFonts w:cs="Times New Roman"/>
        </w:rPr>
        <w:lastRenderedPageBreak/>
        <w:t>starp sešiem Austrumu partnerības valstu tirdzniecības  ministriem un ES dalībvalstu tirdzniecības ministriem veidojot kopēju darba sesiju;</w:t>
      </w:r>
    </w:p>
    <w:p w:rsidR="00141D64" w:rsidRPr="00911485" w:rsidRDefault="00780232" w:rsidP="00141D64">
      <w:pPr>
        <w:pStyle w:val="ListParagraph"/>
        <w:numPr>
          <w:ilvl w:val="0"/>
          <w:numId w:val="3"/>
        </w:numPr>
        <w:jc w:val="both"/>
      </w:pPr>
      <w:r>
        <w:rPr>
          <w:rFonts w:cs="Times New Roman"/>
        </w:rPr>
        <w:t>n</w:t>
      </w:r>
      <w:r w:rsidR="00141D64" w:rsidRPr="00911485">
        <w:rPr>
          <w:rFonts w:cs="Times New Roman"/>
        </w:rPr>
        <w:t>eformālo Eiropas Savienības Enerģētikas ministru sanāksmi;</w:t>
      </w:r>
    </w:p>
    <w:p w:rsidR="00141D64" w:rsidRPr="00911485" w:rsidRDefault="00780232" w:rsidP="00141D64">
      <w:pPr>
        <w:pStyle w:val="ListParagraph"/>
        <w:numPr>
          <w:ilvl w:val="0"/>
          <w:numId w:val="3"/>
        </w:numPr>
        <w:jc w:val="both"/>
      </w:pPr>
      <w:r>
        <w:rPr>
          <w:rFonts w:cs="Times New Roman"/>
        </w:rPr>
        <w:t>n</w:t>
      </w:r>
      <w:r w:rsidR="00141D64" w:rsidRPr="00911485">
        <w:rPr>
          <w:rFonts w:cs="Times New Roman"/>
        </w:rPr>
        <w:t>eformālo Eiropas Savienības Konkurētspējas ministru sanāksmi;</w:t>
      </w:r>
    </w:p>
    <w:p w:rsidR="00141D64" w:rsidRPr="00911485" w:rsidRDefault="00141D64" w:rsidP="00141D64">
      <w:pPr>
        <w:pStyle w:val="ListParagraph"/>
        <w:numPr>
          <w:ilvl w:val="0"/>
          <w:numId w:val="3"/>
        </w:numPr>
        <w:jc w:val="both"/>
      </w:pPr>
      <w:r w:rsidRPr="00911485">
        <w:rPr>
          <w:rFonts w:cs="Times New Roman"/>
        </w:rPr>
        <w:t>Eiropas Standartizācijas samitu;</w:t>
      </w:r>
    </w:p>
    <w:p w:rsidR="00141D64" w:rsidRPr="00911485" w:rsidRDefault="00141D64" w:rsidP="00141D64">
      <w:pPr>
        <w:pStyle w:val="ListParagraph"/>
        <w:numPr>
          <w:ilvl w:val="0"/>
          <w:numId w:val="3"/>
        </w:numPr>
        <w:jc w:val="both"/>
      </w:pPr>
      <w:r w:rsidRPr="00911485">
        <w:rPr>
          <w:rFonts w:cs="Times New Roman"/>
        </w:rPr>
        <w:t>Konkurences dienai veltītu konferenci;</w:t>
      </w:r>
    </w:p>
    <w:p w:rsidR="00141D64" w:rsidRPr="00911485" w:rsidRDefault="00141D64" w:rsidP="00141D64">
      <w:pPr>
        <w:pStyle w:val="ListParagraph"/>
        <w:numPr>
          <w:ilvl w:val="0"/>
          <w:numId w:val="3"/>
        </w:numPr>
        <w:jc w:val="both"/>
      </w:pPr>
      <w:r w:rsidRPr="00911485">
        <w:rPr>
          <w:rFonts w:cs="Times New Roman"/>
        </w:rPr>
        <w:t>Patērētāju tiesībām veltītu konferenci;</w:t>
      </w:r>
    </w:p>
    <w:p w:rsidR="00844DC9" w:rsidRPr="00911485" w:rsidRDefault="00844DC9" w:rsidP="00141D64">
      <w:pPr>
        <w:pStyle w:val="ListParagraph"/>
        <w:numPr>
          <w:ilvl w:val="0"/>
          <w:numId w:val="3"/>
        </w:numPr>
        <w:jc w:val="both"/>
      </w:pPr>
      <w:r w:rsidRPr="00911485">
        <w:t>Konferenc</w:t>
      </w:r>
      <w:r w:rsidR="000B5DBC">
        <w:t>i</w:t>
      </w:r>
      <w:r w:rsidRPr="00911485">
        <w:t xml:space="preserve"> par investīciju piesaistes jautājumiem.</w:t>
      </w:r>
    </w:p>
    <w:p w:rsidR="00504302" w:rsidRPr="00911485" w:rsidRDefault="00504302" w:rsidP="000C4C89">
      <w:pPr>
        <w:ind w:firstLine="709"/>
        <w:jc w:val="both"/>
      </w:pPr>
    </w:p>
    <w:p w:rsidR="00C21466" w:rsidRPr="00911485" w:rsidRDefault="00C21466" w:rsidP="00C21466">
      <w:pPr>
        <w:jc w:val="center"/>
        <w:rPr>
          <w:b/>
        </w:rPr>
      </w:pPr>
      <w:r w:rsidRPr="00911485">
        <w:rPr>
          <w:b/>
        </w:rPr>
        <w:t>Priekšlikumi turpmākai rīcībai</w:t>
      </w:r>
    </w:p>
    <w:p w:rsidR="00C21466" w:rsidRDefault="00C21466" w:rsidP="00F2115D">
      <w:pPr>
        <w:jc w:val="both"/>
      </w:pPr>
    </w:p>
    <w:p w:rsidR="00C21466" w:rsidRDefault="00BE3DDE" w:rsidP="00C21466">
      <w:pPr>
        <w:ind w:firstLine="720"/>
        <w:jc w:val="both"/>
      </w:pPr>
      <w:r w:rsidRPr="00911485">
        <w:t>Lai kompensētu profesionālo darbinieku trūkumu</w:t>
      </w:r>
      <w:r w:rsidR="00EB217E" w:rsidRPr="00911485">
        <w:t xml:space="preserve"> un</w:t>
      </w:r>
      <w:r w:rsidRPr="00911485">
        <w:t xml:space="preserve"> nodrošinātu nozares padomniekus un ekspertus ar atbilstošu tehnisko aprīkojumu, ministrija ierosina</w:t>
      </w:r>
      <w:r w:rsidR="00344AE6" w:rsidRPr="00911485">
        <w:t xml:space="preserve"> 2014.gadā plānotos un ieekonomētos līdzekļus „nozares padomniekiem” </w:t>
      </w:r>
      <w:r w:rsidR="009D7245">
        <w:t xml:space="preserve">nepalielinot atlīdzību </w:t>
      </w:r>
      <w:r w:rsidR="00344AE6" w:rsidRPr="00911485">
        <w:t>novirzīt</w:t>
      </w:r>
      <w:r w:rsidR="00A103B1" w:rsidRPr="00911485">
        <w:t xml:space="preserve"> </w:t>
      </w:r>
      <w:r w:rsidR="000E01F8" w:rsidRPr="00911485">
        <w:t xml:space="preserve">atalgojumam 115 410 </w:t>
      </w:r>
      <w:r w:rsidR="000E01F8" w:rsidRPr="00911485">
        <w:rPr>
          <w:i/>
        </w:rPr>
        <w:t>euro</w:t>
      </w:r>
      <w:r w:rsidR="001811F3">
        <w:rPr>
          <w:i/>
        </w:rPr>
        <w:t xml:space="preserve"> </w:t>
      </w:r>
      <w:r w:rsidR="001811F3" w:rsidRPr="001811F3">
        <w:t>piemaksām</w:t>
      </w:r>
      <w:r w:rsidR="002306EE">
        <w:t>;</w:t>
      </w:r>
      <w:r w:rsidR="006C6929" w:rsidRPr="00911485">
        <w:t xml:space="preserve"> </w:t>
      </w:r>
      <w:r w:rsidR="009D7245" w:rsidRPr="00911485">
        <w:t xml:space="preserve">no precēm un pakalpojumiem </w:t>
      </w:r>
      <w:r w:rsidR="009D7245">
        <w:t xml:space="preserve">novirzīt </w:t>
      </w:r>
      <w:r w:rsidR="006C6929" w:rsidRPr="00911485">
        <w:t>uz</w:t>
      </w:r>
      <w:r w:rsidR="000E01F8" w:rsidRPr="00911485">
        <w:t xml:space="preserve"> </w:t>
      </w:r>
      <w:r w:rsidR="00A103B1" w:rsidRPr="00911485">
        <w:t>kapitālajiem izdevumiem</w:t>
      </w:r>
      <w:r w:rsidR="000E01F8" w:rsidRPr="00911485">
        <w:t xml:space="preserve"> </w:t>
      </w:r>
      <w:r w:rsidR="00EB3226">
        <w:t>3</w:t>
      </w:r>
      <w:r w:rsidR="00F806AB">
        <w:t>3</w:t>
      </w:r>
      <w:r w:rsidR="00EB3226">
        <w:t> </w:t>
      </w:r>
      <w:r w:rsidR="00F806AB">
        <w:t>0</w:t>
      </w:r>
      <w:r w:rsidR="00EB3226">
        <w:t>60</w:t>
      </w:r>
      <w:r w:rsidR="000F01B0" w:rsidRPr="00911485">
        <w:t xml:space="preserve"> </w:t>
      </w:r>
      <w:r w:rsidR="000E01F8" w:rsidRPr="00911485">
        <w:rPr>
          <w:i/>
        </w:rPr>
        <w:t>euro</w:t>
      </w:r>
      <w:r w:rsidR="00344AE6" w:rsidRPr="00911485">
        <w:t xml:space="preserve">, lai segtu izdevumus </w:t>
      </w:r>
      <w:r w:rsidR="00AA0475" w:rsidRPr="00911485">
        <w:t>29</w:t>
      </w:r>
      <w:r w:rsidR="00A07B70" w:rsidRPr="00911485">
        <w:t xml:space="preserve"> </w:t>
      </w:r>
      <w:r w:rsidR="00344AE6" w:rsidRPr="00911485">
        <w:t xml:space="preserve">portatīvo datoru </w:t>
      </w:r>
      <w:r w:rsidR="0073436A" w:rsidRPr="00911485">
        <w:t xml:space="preserve">iegādei (viens portatīvais dators maksā </w:t>
      </w:r>
      <w:r w:rsidR="000E01F8" w:rsidRPr="00911485">
        <w:t>1 </w:t>
      </w:r>
      <w:r w:rsidR="00EB3226">
        <w:t>140</w:t>
      </w:r>
      <w:r w:rsidR="0073436A" w:rsidRPr="00911485">
        <w:t xml:space="preserve"> </w:t>
      </w:r>
      <w:r w:rsidR="0073436A" w:rsidRPr="00911485">
        <w:rPr>
          <w:i/>
        </w:rPr>
        <w:t>e</w:t>
      </w:r>
      <w:r w:rsidR="006C32A0" w:rsidRPr="00911485">
        <w:rPr>
          <w:i/>
        </w:rPr>
        <w:t>u</w:t>
      </w:r>
      <w:r w:rsidR="0073436A" w:rsidRPr="00911485">
        <w:rPr>
          <w:i/>
        </w:rPr>
        <w:t>ro</w:t>
      </w:r>
      <w:r w:rsidR="0073436A" w:rsidRPr="00911485">
        <w:t>).</w:t>
      </w:r>
      <w:r w:rsidR="00285111" w:rsidRPr="00285111">
        <w:t xml:space="preserve"> </w:t>
      </w:r>
      <w:r w:rsidR="00285111">
        <w:t>Augsta līmeņa pasākumos, kur Latviju reprezentējošās amatpersonas galvenais pienākums ir pārstāvēt mutiski, ērtāk</w:t>
      </w:r>
      <w:r w:rsidR="00DC1BB7">
        <w:t xml:space="preserve">, </w:t>
      </w:r>
      <w:r w:rsidR="00285111">
        <w:t xml:space="preserve">neuzkrītošāk </w:t>
      </w:r>
      <w:r w:rsidR="00DC1BB7">
        <w:t xml:space="preserve">un operatīvāk </w:t>
      </w:r>
      <w:r w:rsidR="00285111">
        <w:t>lietojam</w:t>
      </w:r>
      <w:r w:rsidR="00F806AB">
        <w:t>i</w:t>
      </w:r>
      <w:r w:rsidR="00285111">
        <w:t xml:space="preserve"> </w:t>
      </w:r>
      <w:r w:rsidR="00F806AB" w:rsidRPr="00911485">
        <w:t>portatīv</w:t>
      </w:r>
      <w:r w:rsidR="00F806AB">
        <w:t>ie</w:t>
      </w:r>
      <w:r w:rsidR="00F806AB" w:rsidRPr="00911485">
        <w:t xml:space="preserve"> dator</w:t>
      </w:r>
      <w:r w:rsidR="00F806AB">
        <w:t>i</w:t>
      </w:r>
      <w:r w:rsidR="00285111">
        <w:t xml:space="preserve">. </w:t>
      </w:r>
      <w:r w:rsidR="00C66904">
        <w:t xml:space="preserve">Tā kā eksperti ir bāzēti Rīgā, ir nepieciešams nodrošināt ekspertu mobilitāti un pieeju pilnam informācijas apjomam, kas nepieciešams darbam, portatīvo datoru iegāde šo situāciju būtiski uzlabotu. </w:t>
      </w:r>
      <w:r w:rsidR="00F806AB" w:rsidRPr="00F806AB">
        <w:t>Plānojam, ka 1 portatīvo datoru izmantos vairāki eksperti, kuri strādā</w:t>
      </w:r>
      <w:r w:rsidR="00553396">
        <w:t>s</w:t>
      </w:r>
      <w:r w:rsidR="00F806AB" w:rsidRPr="00F806AB">
        <w:t xml:space="preserve"> ar vienas jomas jautājumiem (</w:t>
      </w:r>
      <w:proofErr w:type="spellStart"/>
      <w:r w:rsidR="00F806AB" w:rsidRPr="00F806AB">
        <w:t>piem</w:t>
      </w:r>
      <w:proofErr w:type="spellEnd"/>
      <w:r w:rsidR="00F806AB" w:rsidRPr="00F806AB">
        <w:t>.</w:t>
      </w:r>
      <w:r w:rsidR="00F806AB">
        <w:t xml:space="preserve"> </w:t>
      </w:r>
      <w:r w:rsidR="00F806AB" w:rsidRPr="00F806AB">
        <w:t xml:space="preserve">iekšējā tirgus, uzņēmējdarbības </w:t>
      </w:r>
      <w:proofErr w:type="spellStart"/>
      <w:r w:rsidR="00F806AB" w:rsidRPr="00F806AB">
        <w:t>utml</w:t>
      </w:r>
      <w:proofErr w:type="spellEnd"/>
      <w:r w:rsidR="00F806AB" w:rsidRPr="00F806AB">
        <w:t>.)</w:t>
      </w:r>
      <w:r w:rsidR="00F806AB">
        <w:t>.</w:t>
      </w:r>
      <w:r w:rsidR="00F806AB" w:rsidRPr="00F806AB">
        <w:t xml:space="preserve"> </w:t>
      </w:r>
      <w:r w:rsidR="006C6929" w:rsidRPr="00911485">
        <w:t>Izvērtējot portatīvo datoru veiktspēju gan Latvijā</w:t>
      </w:r>
      <w:r w:rsidR="00C01A8D">
        <w:t>,</w:t>
      </w:r>
      <w:r w:rsidR="006C6929" w:rsidRPr="00911485">
        <w:t xml:space="preserve"> gan komandējumos ārvalstīs, tam jāatbilst šādām tehniskajām prasībām lai atvieglotu ekspluatāciju:</w:t>
      </w:r>
      <w:r w:rsidR="00510D29" w:rsidRPr="00911485">
        <w:t xml:space="preserve"> </w:t>
      </w:r>
      <w:r w:rsidR="006C6929" w:rsidRPr="00911485">
        <w:t>portatīvā datora svars zem 1,5 kg, lai atvieglotu tā pārvietošanu; vismaz 13 collu ekrāns, lai atvieglotu tā izmantošanu; SSD disks, kas daudzkārtīgi palielina datora ātrdarbību un nodrošina datu drošumu iekārtas pārvietošanas laikā (atšķirībā no HDD nav kustīgo detaļu)</w:t>
      </w:r>
      <w:r w:rsidR="002B2AFA">
        <w:t xml:space="preserve">; </w:t>
      </w:r>
      <w:r w:rsidR="00152E1C">
        <w:t xml:space="preserve">ar </w:t>
      </w:r>
      <w:r w:rsidR="00152E1C" w:rsidRPr="00152E1C">
        <w:t>Windows 8 PRO vai Microsoft Windows jaunāk</w:t>
      </w:r>
      <w:r w:rsidR="0035566A">
        <w:t>o</w:t>
      </w:r>
      <w:r w:rsidR="00152E1C" w:rsidRPr="00152E1C">
        <w:t xml:space="preserve"> versij</w:t>
      </w:r>
      <w:r w:rsidR="0035566A">
        <w:t>u</w:t>
      </w:r>
      <w:r w:rsidR="002306EE">
        <w:t xml:space="preserve">; uz subsīdijām un dotācijām 10 000 </w:t>
      </w:r>
      <w:r w:rsidR="002306EE" w:rsidRPr="002306EE">
        <w:rPr>
          <w:i/>
        </w:rPr>
        <w:t>euro</w:t>
      </w:r>
      <w:r w:rsidR="00B3024A">
        <w:rPr>
          <w:i/>
        </w:rPr>
        <w:t>.</w:t>
      </w:r>
      <w:r w:rsidR="000B5DBC" w:rsidRPr="000B5DBC">
        <w:t xml:space="preserve"> </w:t>
      </w:r>
    </w:p>
    <w:p w:rsidR="00DC1BB7" w:rsidRDefault="000B5DBC" w:rsidP="00C21466">
      <w:pPr>
        <w:ind w:firstLine="720"/>
        <w:jc w:val="both"/>
        <w:rPr>
          <w:rFonts w:eastAsia="Calibri" w:cs="Times New Roman"/>
          <w:szCs w:val="28"/>
        </w:rPr>
      </w:pPr>
      <w:r w:rsidRPr="00911485">
        <w:t>Standartizācijas samita organizēšanai</w:t>
      </w:r>
      <w:r w:rsidR="00752D53">
        <w:t xml:space="preserve"> </w:t>
      </w:r>
      <w:r w:rsidR="00752D53" w:rsidRPr="00911485">
        <w:t>2015.gada 3</w:t>
      </w:r>
      <w:r w:rsidR="0092734B">
        <w:t>.</w:t>
      </w:r>
      <w:r w:rsidR="0092734B" w:rsidRPr="00911485">
        <w:t>–</w:t>
      </w:r>
      <w:r w:rsidR="00752D53" w:rsidRPr="00911485">
        <w:t>5.jūnijā</w:t>
      </w:r>
      <w:r>
        <w:t xml:space="preserve"> (</w:t>
      </w:r>
      <w:r w:rsidR="007110ED" w:rsidRPr="00911485">
        <w:t xml:space="preserve">2013.gada 18.jūnijā Ministru kabinets atbalstīja </w:t>
      </w:r>
      <w:r w:rsidR="005B1ED1">
        <w:t xml:space="preserve">Standartizācijas samitu </w:t>
      </w:r>
      <w:r w:rsidR="007110ED" w:rsidRPr="00911485">
        <w:t>kā prioritāru pasākumu Latvijas prezidentūras laikā</w:t>
      </w:r>
      <w:r>
        <w:t>)</w:t>
      </w:r>
      <w:r w:rsidR="007110ED" w:rsidRPr="00911485">
        <w:t xml:space="preserve">. </w:t>
      </w:r>
      <w:r w:rsidR="00592AA0">
        <w:t>Samita organizēšana Latvijā tika apstiprināta 2013.gada 20.</w:t>
      </w:r>
      <w:r w:rsidR="0092734B" w:rsidRPr="0092734B">
        <w:t xml:space="preserve"> </w:t>
      </w:r>
      <w:r w:rsidR="0092734B" w:rsidRPr="00911485">
        <w:t>–</w:t>
      </w:r>
      <w:r w:rsidR="00592AA0">
        <w:t>21.novembra CEN/CENELEC ģenerālajā as</w:t>
      </w:r>
      <w:r w:rsidR="00587D2C">
        <w:t>a</w:t>
      </w:r>
      <w:r w:rsidR="00592AA0">
        <w:t xml:space="preserve">mblejā Dānijā. </w:t>
      </w:r>
      <w:r w:rsidR="00752D53">
        <w:t>S</w:t>
      </w:r>
      <w:r w:rsidR="007110ED" w:rsidRPr="00911485">
        <w:t>amita organizēšanai jau šogad nepieciešams finansējums</w:t>
      </w:r>
      <w:r w:rsidR="002306EE">
        <w:t xml:space="preserve"> 10 000 </w:t>
      </w:r>
      <w:r w:rsidR="000C3AFE" w:rsidRPr="002306EE">
        <w:rPr>
          <w:i/>
        </w:rPr>
        <w:t>euro</w:t>
      </w:r>
      <w:r w:rsidR="002306EE">
        <w:t xml:space="preserve"> </w:t>
      </w:r>
      <w:r w:rsidR="000A077A">
        <w:t>apmērā</w:t>
      </w:r>
      <w:r w:rsidR="007110ED" w:rsidRPr="00911485">
        <w:t>, lai nodrošinātu pasākuma atpazīstamību un gūtu pēc iespējas lielāku pievienoto vērtību no samita norises. Samita marketinga pasākumiem jāaptver gan Latvijas uzņēmēji, radot pēc iespējas lielāku interesi par standartizācijas nozīmīgumu uzņēmējdarbībā, gan Eiropas standartizācijas institūciju dalībvalst</w:t>
      </w:r>
      <w:r w:rsidR="00DC1BB7">
        <w:t>ī</w:t>
      </w:r>
      <w:r w:rsidR="007110ED" w:rsidRPr="00911485">
        <w:t>s.</w:t>
      </w:r>
      <w:r w:rsidR="007110ED" w:rsidRPr="00174A9A">
        <w:rPr>
          <w:szCs w:val="28"/>
        </w:rPr>
        <w:t xml:space="preserve"> </w:t>
      </w:r>
      <w:r w:rsidR="00174A9A" w:rsidRPr="00EC4371">
        <w:rPr>
          <w:rFonts w:eastAsia="Calibri" w:cs="Times New Roman"/>
          <w:szCs w:val="28"/>
        </w:rPr>
        <w:t xml:space="preserve">Lai paaugstinātu izpratni par Latvijas prezidentūras prioritātēm un </w:t>
      </w:r>
      <w:r w:rsidR="00174A9A" w:rsidRPr="00EC4371">
        <w:rPr>
          <w:rFonts w:eastAsia="Calibri" w:cs="Times New Roman"/>
          <w:szCs w:val="28"/>
        </w:rPr>
        <w:lastRenderedPageBreak/>
        <w:t xml:space="preserve">standartizāciju, kā arī veicinātu uzņēmēju iesaistīšanos </w:t>
      </w:r>
      <w:r w:rsidR="005D0241">
        <w:rPr>
          <w:rFonts w:eastAsia="Calibri" w:cs="Times New Roman"/>
          <w:szCs w:val="28"/>
        </w:rPr>
        <w:t>samitā</w:t>
      </w:r>
      <w:r w:rsidR="00174A9A" w:rsidRPr="00EC4371">
        <w:rPr>
          <w:rFonts w:eastAsia="Calibri" w:cs="Times New Roman"/>
          <w:szCs w:val="28"/>
        </w:rPr>
        <w:t xml:space="preserve">, </w:t>
      </w:r>
      <w:r w:rsidR="00174A9A">
        <w:rPr>
          <w:rFonts w:eastAsia="Calibri" w:cs="Times New Roman"/>
          <w:szCs w:val="28"/>
        </w:rPr>
        <w:t xml:space="preserve">jāsagatavo </w:t>
      </w:r>
      <w:r w:rsidR="00174A9A" w:rsidRPr="00EC4371">
        <w:rPr>
          <w:rFonts w:eastAsia="Calibri" w:cs="Times New Roman"/>
          <w:szCs w:val="28"/>
        </w:rPr>
        <w:t>informatīv</w:t>
      </w:r>
      <w:r w:rsidR="00174A9A">
        <w:rPr>
          <w:rFonts w:eastAsia="Calibri" w:cs="Times New Roman"/>
          <w:szCs w:val="28"/>
        </w:rPr>
        <w:t>ie</w:t>
      </w:r>
      <w:r w:rsidR="00174A9A" w:rsidRPr="00EC4371">
        <w:rPr>
          <w:rFonts w:eastAsia="Calibri" w:cs="Times New Roman"/>
          <w:szCs w:val="28"/>
        </w:rPr>
        <w:t xml:space="preserve"> materiāl</w:t>
      </w:r>
      <w:r w:rsidR="00174A9A">
        <w:rPr>
          <w:rFonts w:eastAsia="Calibri" w:cs="Times New Roman"/>
          <w:szCs w:val="28"/>
        </w:rPr>
        <w:t>i</w:t>
      </w:r>
      <w:r w:rsidR="00174A9A" w:rsidRPr="00EC4371">
        <w:rPr>
          <w:rFonts w:eastAsia="Calibri" w:cs="Times New Roman"/>
          <w:szCs w:val="28"/>
        </w:rPr>
        <w:t>.</w:t>
      </w:r>
    </w:p>
    <w:p w:rsidR="00174A9A" w:rsidRDefault="00174A9A" w:rsidP="00C21466">
      <w:pPr>
        <w:ind w:firstLine="720"/>
        <w:jc w:val="both"/>
      </w:pPr>
      <w:r w:rsidRPr="00EC4371">
        <w:rPr>
          <w:rFonts w:eastAsia="Calibri" w:cs="Times New Roman"/>
          <w:szCs w:val="28"/>
        </w:rPr>
        <w:t>Plānots organizēt informatīvos pasākumus Latvijas reģionos un intervējot uzņēmēju</w:t>
      </w:r>
      <w:r w:rsidR="0035566A">
        <w:rPr>
          <w:rFonts w:eastAsia="Calibri" w:cs="Times New Roman"/>
          <w:szCs w:val="28"/>
        </w:rPr>
        <w:t>s</w:t>
      </w:r>
      <w:r w:rsidRPr="00EC4371">
        <w:rPr>
          <w:rFonts w:eastAsia="Calibri" w:cs="Times New Roman"/>
          <w:szCs w:val="28"/>
        </w:rPr>
        <w:t>, izveidot Latvijas uzņēmēju pieredzes apkopojumu par dalību standartizācijā un standartu piemērošanu</w:t>
      </w:r>
      <w:r w:rsidR="000C3AFE">
        <w:rPr>
          <w:rFonts w:eastAsia="Calibri" w:cs="Times New Roman"/>
          <w:szCs w:val="28"/>
        </w:rPr>
        <w:t xml:space="preserve"> </w:t>
      </w:r>
      <w:r w:rsidR="00576F37">
        <w:rPr>
          <w:rFonts w:eastAsia="Calibri" w:cs="Times New Roman"/>
          <w:szCs w:val="28"/>
        </w:rPr>
        <w:t>(</w:t>
      </w:r>
      <w:r w:rsidR="00DC1BB7">
        <w:rPr>
          <w:rFonts w:eastAsia="Calibri" w:cs="Times New Roman"/>
          <w:szCs w:val="28"/>
        </w:rPr>
        <w:t>n</w:t>
      </w:r>
      <w:r w:rsidRPr="00EC4371">
        <w:rPr>
          <w:rFonts w:eastAsia="Calibri" w:cs="Times New Roman"/>
          <w:szCs w:val="28"/>
        </w:rPr>
        <w:t>epieciešams finansējums 4</w:t>
      </w:r>
      <w:r w:rsidR="00DC1BB7">
        <w:rPr>
          <w:rFonts w:eastAsia="Calibri" w:cs="Times New Roman"/>
          <w:szCs w:val="28"/>
        </w:rPr>
        <w:t> </w:t>
      </w:r>
      <w:r w:rsidRPr="00EC4371">
        <w:rPr>
          <w:rFonts w:eastAsia="Calibri" w:cs="Times New Roman"/>
          <w:szCs w:val="28"/>
        </w:rPr>
        <w:t xml:space="preserve">000 </w:t>
      </w:r>
      <w:r w:rsidR="000C3AFE" w:rsidRPr="002306EE">
        <w:rPr>
          <w:i/>
        </w:rPr>
        <w:t>euro</w:t>
      </w:r>
      <w:r w:rsidRPr="00EC4371">
        <w:rPr>
          <w:rFonts w:eastAsia="Calibri" w:cs="Times New Roman"/>
          <w:szCs w:val="28"/>
        </w:rPr>
        <w:t xml:space="preserve"> apmērā</w:t>
      </w:r>
      <w:r w:rsidR="008426A1">
        <w:rPr>
          <w:rFonts w:eastAsia="Calibri" w:cs="Times New Roman"/>
          <w:szCs w:val="28"/>
        </w:rPr>
        <w:t>)</w:t>
      </w:r>
      <w:r w:rsidRPr="00EC4371">
        <w:rPr>
          <w:rFonts w:eastAsia="Calibri" w:cs="Times New Roman"/>
          <w:szCs w:val="28"/>
        </w:rPr>
        <w:t>.</w:t>
      </w:r>
      <w:r w:rsidR="00346027">
        <w:rPr>
          <w:rFonts w:eastAsia="Calibri" w:cs="Times New Roman"/>
          <w:szCs w:val="28"/>
        </w:rPr>
        <w:t xml:space="preserve"> </w:t>
      </w:r>
      <w:r w:rsidR="00576F37">
        <w:t>Jā</w:t>
      </w:r>
      <w:r w:rsidR="007110ED" w:rsidRPr="00911485">
        <w:t>izveido  uzaicinājum</w:t>
      </w:r>
      <w:r w:rsidR="00576F37">
        <w:t>s</w:t>
      </w:r>
      <w:r w:rsidR="007110ED" w:rsidRPr="00911485">
        <w:t xml:space="preserve"> uz Latviju video formātā, kas reprezentē Latvijas valsti un tās vērtības</w:t>
      </w:r>
      <w:r w:rsidR="0035566A">
        <w:t xml:space="preserve"> </w:t>
      </w:r>
      <w:r>
        <w:t>(</w:t>
      </w:r>
      <w:r>
        <w:rPr>
          <w:rFonts w:eastAsia="Calibri" w:cs="Times New Roman"/>
          <w:szCs w:val="28"/>
        </w:rPr>
        <w:t>š</w:t>
      </w:r>
      <w:r w:rsidRPr="00EC4371">
        <w:rPr>
          <w:rFonts w:eastAsia="Calibri" w:cs="Times New Roman"/>
          <w:szCs w:val="28"/>
        </w:rPr>
        <w:t>āda video sagatavošanas izmaksas sastāda 2</w:t>
      </w:r>
      <w:r w:rsidR="0035566A">
        <w:rPr>
          <w:rFonts w:eastAsia="Calibri" w:cs="Times New Roman"/>
          <w:szCs w:val="28"/>
        </w:rPr>
        <w:t> </w:t>
      </w:r>
      <w:r w:rsidRPr="00EC4371">
        <w:rPr>
          <w:rFonts w:eastAsia="Calibri" w:cs="Times New Roman"/>
          <w:szCs w:val="28"/>
        </w:rPr>
        <w:t xml:space="preserve">000 </w:t>
      </w:r>
      <w:r w:rsidR="000C3AFE" w:rsidRPr="002306EE">
        <w:rPr>
          <w:i/>
        </w:rPr>
        <w:t>euro</w:t>
      </w:r>
      <w:r>
        <w:rPr>
          <w:rFonts w:eastAsia="Calibri" w:cs="Times New Roman"/>
          <w:szCs w:val="28"/>
        </w:rPr>
        <w:t>)</w:t>
      </w:r>
      <w:r w:rsidR="008426A1">
        <w:rPr>
          <w:rFonts w:eastAsia="Calibri" w:cs="Times New Roman"/>
          <w:szCs w:val="28"/>
        </w:rPr>
        <w:t>,</w:t>
      </w:r>
      <w:r w:rsidR="00C21466">
        <w:rPr>
          <w:rFonts w:eastAsia="Calibri" w:cs="Times New Roman"/>
          <w:szCs w:val="28"/>
        </w:rPr>
        <w:t xml:space="preserve"> </w:t>
      </w:r>
      <w:r w:rsidR="00576F37">
        <w:t>jā</w:t>
      </w:r>
      <w:r w:rsidR="007110ED" w:rsidRPr="00911485">
        <w:t>izstrādā „4. Eiropas standartizācijas samita”, „42. CEN ģenerālās asamblejas” un „55. CENELEC ģenerālās asamblejas” logotipus</w:t>
      </w:r>
      <w:r w:rsidR="0035566A">
        <w:t xml:space="preserve"> </w:t>
      </w:r>
      <w:r w:rsidR="00CC0CAA">
        <w:t>(nepieciešams 1</w:t>
      </w:r>
      <w:r w:rsidR="000C3AFE">
        <w:t> </w:t>
      </w:r>
      <w:r w:rsidR="00241F3A">
        <w:t>5</w:t>
      </w:r>
      <w:r w:rsidR="00CC0CAA">
        <w:t>00</w:t>
      </w:r>
      <w:r w:rsidR="000C3AFE">
        <w:t> </w:t>
      </w:r>
      <w:r w:rsidR="000C3AFE" w:rsidRPr="002306EE">
        <w:rPr>
          <w:i/>
        </w:rPr>
        <w:t>euro</w:t>
      </w:r>
      <w:r w:rsidR="00CC0CAA">
        <w:t>)</w:t>
      </w:r>
      <w:r w:rsidR="008426A1">
        <w:t>.</w:t>
      </w:r>
      <w:r w:rsidR="007110ED" w:rsidRPr="00911485">
        <w:t xml:space="preserve"> Tāpat atbilstoši CEN/CENELEC izvirzītajām prasībām, uzņemošajai pusei ir jāizveido interneta mājas lapa. Šai Interneta vietnē bez praktiskās informācijas par </w:t>
      </w:r>
      <w:r w:rsidR="005D0241">
        <w:t>samitu</w:t>
      </w:r>
      <w:r w:rsidR="005D0241" w:rsidRPr="00911485">
        <w:t xml:space="preserve"> </w:t>
      </w:r>
      <w:r w:rsidR="007110ED" w:rsidRPr="00911485">
        <w:t>tiktu ievietota arī informācija, kas Latvijas uzņēmējiem dotu plašāku ieskatu pasākumā, ieguvumiem no tā un iespējām piedalīties</w:t>
      </w:r>
      <w:r w:rsidR="008426A1">
        <w:t xml:space="preserve"> </w:t>
      </w:r>
      <w:r w:rsidR="00576F37">
        <w:t>(š</w:t>
      </w:r>
      <w:r>
        <w:t>ādas mājas lapas un logotipu izveides aptuvenās izmaksas ir 2</w:t>
      </w:r>
      <w:r w:rsidR="00DC1BB7">
        <w:t> </w:t>
      </w:r>
      <w:r>
        <w:t xml:space="preserve">500 </w:t>
      </w:r>
      <w:r w:rsidR="000C3AFE" w:rsidRPr="002306EE">
        <w:rPr>
          <w:i/>
        </w:rPr>
        <w:t>euro</w:t>
      </w:r>
      <w:r w:rsidR="00576F37">
        <w:t>)</w:t>
      </w:r>
      <w:r>
        <w:t>.</w:t>
      </w:r>
    </w:p>
    <w:p w:rsidR="00344AE6" w:rsidRDefault="00344AE6" w:rsidP="000C4C89">
      <w:pPr>
        <w:ind w:firstLine="709"/>
        <w:jc w:val="both"/>
      </w:pPr>
      <w:r w:rsidRPr="00911485">
        <w:t xml:space="preserve">Ekonomikas ministrija ir izanalizējusi 2014.gada budžeta programmas 96.00.00 „Latvijas Prezidentūras Eiropas Savienības Padomē nodrošināšana 2015.gadā” izdevumus, finanšu nepieciešamību, kā arī pieejamo apropriāciju un secina, ka nepieciešams pārdalīt finansējumu starp budžeta izdevumu kodiem atbilstoši ekonomiskajām kategorijām un veikt šādas budžeta izmaiņas – </w:t>
      </w:r>
      <w:r w:rsidR="009D7245">
        <w:t>nep</w:t>
      </w:r>
      <w:r w:rsidRPr="00911485">
        <w:t>alielin</w:t>
      </w:r>
      <w:r w:rsidR="009D7245">
        <w:t>o</w:t>
      </w:r>
      <w:r w:rsidRPr="00911485">
        <w:t>t izdevumus</w:t>
      </w:r>
      <w:r w:rsidR="002242E4">
        <w:t xml:space="preserve"> atlīdzībai 115 410 </w:t>
      </w:r>
      <w:r w:rsidR="00EB217E" w:rsidRPr="00911485">
        <w:rPr>
          <w:i/>
        </w:rPr>
        <w:t>euro</w:t>
      </w:r>
      <w:r w:rsidR="00EB217E" w:rsidRPr="00911485">
        <w:t xml:space="preserve">, </w:t>
      </w:r>
      <w:r w:rsidR="009D7245">
        <w:t>novirzīt</w:t>
      </w:r>
      <w:r w:rsidR="00EB217E" w:rsidRPr="00911485">
        <w:t xml:space="preserve"> atalgojumam</w:t>
      </w:r>
      <w:r w:rsidR="009D7245">
        <w:t xml:space="preserve"> piemaksām </w:t>
      </w:r>
      <w:r w:rsidR="00EB217E">
        <w:t xml:space="preserve">115 410 </w:t>
      </w:r>
      <w:r w:rsidR="00EB217E" w:rsidRPr="006C32A0">
        <w:rPr>
          <w:i/>
        </w:rPr>
        <w:t>euro</w:t>
      </w:r>
      <w:r w:rsidR="000A077A">
        <w:t>,</w:t>
      </w:r>
      <w:r w:rsidR="00EB217E">
        <w:t xml:space="preserve"> kapitālajiem izdevumiem </w:t>
      </w:r>
      <w:r w:rsidR="00EB3226">
        <w:t>3</w:t>
      </w:r>
      <w:r w:rsidR="00F806AB">
        <w:t>3</w:t>
      </w:r>
      <w:r w:rsidR="00EB3226">
        <w:t> </w:t>
      </w:r>
      <w:r w:rsidR="00F806AB">
        <w:t>0</w:t>
      </w:r>
      <w:r w:rsidR="00EB3226">
        <w:t>60</w:t>
      </w:r>
      <w:r w:rsidR="000F01B0" w:rsidRPr="006C32A0">
        <w:rPr>
          <w:i/>
        </w:rPr>
        <w:t xml:space="preserve"> </w:t>
      </w:r>
      <w:r w:rsidR="006C32A0" w:rsidRPr="006C32A0">
        <w:rPr>
          <w:i/>
        </w:rPr>
        <w:t>e</w:t>
      </w:r>
      <w:r w:rsidR="00A807F9">
        <w:rPr>
          <w:i/>
        </w:rPr>
        <w:t>u</w:t>
      </w:r>
      <w:r w:rsidR="006C32A0" w:rsidRPr="006C32A0">
        <w:rPr>
          <w:i/>
        </w:rPr>
        <w:t>ro</w:t>
      </w:r>
      <w:r w:rsidR="000A077A">
        <w:rPr>
          <w:i/>
        </w:rPr>
        <w:t xml:space="preserve"> </w:t>
      </w:r>
      <w:r w:rsidR="000A077A">
        <w:t xml:space="preserve">un subsīdijām dotācijām 10 000 </w:t>
      </w:r>
      <w:r w:rsidR="000A077A" w:rsidRPr="002306EE">
        <w:rPr>
          <w:i/>
        </w:rPr>
        <w:t>euro</w:t>
      </w:r>
      <w:r>
        <w:t xml:space="preserve"> attiecīgi samazinot izdevumus</w:t>
      </w:r>
      <w:r w:rsidR="00EB217E" w:rsidRPr="00EB217E">
        <w:t xml:space="preserve"> </w:t>
      </w:r>
      <w:r w:rsidR="00EB217E">
        <w:t>p</w:t>
      </w:r>
      <w:r w:rsidR="00EB217E" w:rsidRPr="006C6929">
        <w:t>rec</w:t>
      </w:r>
      <w:r w:rsidR="00EB217E">
        <w:t>ēm</w:t>
      </w:r>
      <w:r w:rsidR="00EB217E" w:rsidRPr="006C6929">
        <w:t xml:space="preserve"> un pakalpojumi</w:t>
      </w:r>
      <w:r w:rsidR="00EB217E">
        <w:t xml:space="preserve">em </w:t>
      </w:r>
      <w:r w:rsidR="00EB3226">
        <w:t>4</w:t>
      </w:r>
      <w:r w:rsidR="00F806AB">
        <w:t>3</w:t>
      </w:r>
      <w:r w:rsidR="00EB3226">
        <w:t> </w:t>
      </w:r>
      <w:r w:rsidR="00F806AB">
        <w:t>0</w:t>
      </w:r>
      <w:r w:rsidR="00EB3226">
        <w:t>60</w:t>
      </w:r>
      <w:r w:rsidR="000F01B0" w:rsidRPr="006C6929">
        <w:t xml:space="preserve"> </w:t>
      </w:r>
      <w:r w:rsidR="00EB217E" w:rsidRPr="006C32A0">
        <w:rPr>
          <w:i/>
        </w:rPr>
        <w:t>e</w:t>
      </w:r>
      <w:r w:rsidR="00A807F9">
        <w:rPr>
          <w:i/>
        </w:rPr>
        <w:t>u</w:t>
      </w:r>
      <w:r w:rsidR="00EB217E" w:rsidRPr="006C32A0">
        <w:rPr>
          <w:i/>
        </w:rPr>
        <w:t>ro</w:t>
      </w:r>
      <w:r w:rsidR="00EB217E" w:rsidRPr="006C6929">
        <w:t xml:space="preserve"> apmērā</w:t>
      </w:r>
      <w:r>
        <w:t>.</w:t>
      </w:r>
    </w:p>
    <w:p w:rsidR="00344AE6" w:rsidRDefault="00344AE6" w:rsidP="000C4C89">
      <w:pPr>
        <w:ind w:firstLine="709"/>
        <w:jc w:val="both"/>
      </w:pPr>
      <w:r>
        <w:t xml:space="preserve">Grozījumi paredz veikt attiecīgas izmaiņas </w:t>
      </w:r>
      <w:r w:rsidR="00510D29">
        <w:t xml:space="preserve">Ekonomikas ministrijas </w:t>
      </w:r>
      <w:r>
        <w:t>budžeta programmā 96.00.00 „Latvijas Prezidentūras Eiropas Savienības Padomē nodrošināšana 2015.gadā”, nepalielinot gada kopējo izdevumu un ieņēmumu apjomu, un tie atspoguļoti tabulā.</w:t>
      </w:r>
    </w:p>
    <w:p w:rsidR="00F44BD1" w:rsidRDefault="00F44BD1" w:rsidP="000C4C89">
      <w:pPr>
        <w:ind w:firstLine="709"/>
        <w:jc w:val="both"/>
      </w:pPr>
    </w:p>
    <w:p w:rsidR="00983691" w:rsidRPr="00983691" w:rsidRDefault="00983691" w:rsidP="00983691">
      <w:pPr>
        <w:jc w:val="right"/>
        <w:rPr>
          <w:rFonts w:eastAsia="Times New Roman" w:cs="Times New Roman"/>
          <w:i/>
          <w:szCs w:val="28"/>
          <w:lang w:eastAsia="lv-LV"/>
        </w:rPr>
      </w:pPr>
      <w:r w:rsidRPr="00983691">
        <w:rPr>
          <w:rFonts w:eastAsia="Times New Roman" w:cs="Times New Roman"/>
          <w:i/>
          <w:szCs w:val="28"/>
          <w:lang w:eastAsia="lv-LV"/>
        </w:rPr>
        <w:t>tabula</w:t>
      </w:r>
    </w:p>
    <w:p w:rsidR="00983691" w:rsidRPr="00983691" w:rsidRDefault="00983691" w:rsidP="00983691">
      <w:pPr>
        <w:jc w:val="center"/>
        <w:rPr>
          <w:rFonts w:eastAsia="Times New Roman" w:cs="Times New Roman"/>
          <w:i/>
          <w:szCs w:val="28"/>
          <w:lang w:eastAsia="lv-LV"/>
        </w:rPr>
      </w:pPr>
      <w:r w:rsidRPr="00983691">
        <w:rPr>
          <w:rFonts w:eastAsia="Times New Roman" w:cs="Times New Roman"/>
          <w:i/>
          <w:szCs w:val="28"/>
          <w:lang w:eastAsia="lv-LV"/>
        </w:rPr>
        <w:t xml:space="preserve">                                                                                                </w:t>
      </w:r>
      <w:r w:rsidR="00A05B39">
        <w:rPr>
          <w:rFonts w:eastAsia="Times New Roman" w:cs="Times New Roman"/>
          <w:i/>
          <w:szCs w:val="28"/>
          <w:lang w:eastAsia="lv-LV"/>
        </w:rPr>
        <w:t>e</w:t>
      </w:r>
      <w:r w:rsidR="000F7785">
        <w:rPr>
          <w:rFonts w:eastAsia="Times New Roman" w:cs="Times New Roman"/>
          <w:i/>
          <w:szCs w:val="28"/>
          <w:lang w:eastAsia="lv-LV"/>
        </w:rPr>
        <w:t>u</w:t>
      </w:r>
      <w:r w:rsidRPr="00983691">
        <w:rPr>
          <w:rFonts w:eastAsia="Times New Roman" w:cs="Times New Roman"/>
          <w:i/>
          <w:szCs w:val="28"/>
          <w:lang w:eastAsia="lv-LV"/>
        </w:rPr>
        <w:t xml:space="preserve">ro </w:t>
      </w:r>
    </w:p>
    <w:tbl>
      <w:tblPr>
        <w:tblStyle w:val="TableGrid"/>
        <w:tblW w:w="0" w:type="auto"/>
        <w:tblLook w:val="04A0" w:firstRow="1" w:lastRow="0" w:firstColumn="1" w:lastColumn="0" w:noHBand="0" w:noVBand="1"/>
      </w:tblPr>
      <w:tblGrid>
        <w:gridCol w:w="5070"/>
        <w:gridCol w:w="1390"/>
        <w:gridCol w:w="1443"/>
        <w:gridCol w:w="1276"/>
      </w:tblGrid>
      <w:tr w:rsidR="00983691" w:rsidRPr="00983691" w:rsidTr="00983691">
        <w:tc>
          <w:tcPr>
            <w:tcW w:w="5070" w:type="dxa"/>
            <w:tcBorders>
              <w:top w:val="single" w:sz="4" w:space="0" w:color="auto"/>
              <w:left w:val="single" w:sz="4" w:space="0" w:color="auto"/>
              <w:bottom w:val="single" w:sz="4" w:space="0" w:color="auto"/>
              <w:right w:val="single" w:sz="4" w:space="0" w:color="auto"/>
            </w:tcBorders>
            <w:hideMark/>
          </w:tcPr>
          <w:p w:rsidR="00983691" w:rsidRPr="00983691" w:rsidRDefault="00983691" w:rsidP="008D328A">
            <w:pPr>
              <w:tabs>
                <w:tab w:val="left" w:pos="4854"/>
              </w:tabs>
              <w:ind w:right="-249"/>
              <w:rPr>
                <w:szCs w:val="28"/>
              </w:rPr>
            </w:pPr>
            <w:r w:rsidRPr="00983691">
              <w:rPr>
                <w:rFonts w:ascii="TimesNewRoman" w:hAnsi="TimesNewRoman" w:cs="Arial"/>
                <w:b/>
                <w:bCs/>
                <w:sz w:val="24"/>
                <w:szCs w:val="24"/>
              </w:rPr>
              <w:t xml:space="preserve">96.00.00 „Latvijas prezidentūras Eiropas Savienības Padomē nodrošināšana 2015.gadā” (budžeta izpildītājs </w:t>
            </w:r>
            <w:r w:rsidR="008D328A">
              <w:rPr>
                <w:rFonts w:ascii="TimesNewRoman" w:hAnsi="TimesNewRoman" w:cs="Arial"/>
                <w:b/>
                <w:bCs/>
                <w:sz w:val="24"/>
                <w:szCs w:val="24"/>
              </w:rPr>
              <w:t>EM</w:t>
            </w:r>
            <w:r w:rsidRPr="00983691">
              <w:rPr>
                <w:rFonts w:ascii="TimesNewRoman" w:hAnsi="TimesNewRoman" w:cs="Arial"/>
                <w:b/>
                <w:bCs/>
                <w:sz w:val="24"/>
                <w:szCs w:val="24"/>
              </w:rPr>
              <w:t>)</w:t>
            </w:r>
          </w:p>
        </w:tc>
        <w:tc>
          <w:tcPr>
            <w:tcW w:w="1390" w:type="dxa"/>
            <w:tcBorders>
              <w:top w:val="single" w:sz="4" w:space="0" w:color="auto"/>
              <w:left w:val="single" w:sz="4" w:space="0" w:color="auto"/>
              <w:bottom w:val="single" w:sz="4" w:space="0" w:color="auto"/>
              <w:right w:val="single" w:sz="4" w:space="0" w:color="auto"/>
            </w:tcBorders>
            <w:hideMark/>
          </w:tcPr>
          <w:p w:rsidR="00983691" w:rsidRPr="00983691" w:rsidRDefault="00983691" w:rsidP="00983691">
            <w:pPr>
              <w:jc w:val="center"/>
              <w:rPr>
                <w:sz w:val="24"/>
                <w:szCs w:val="24"/>
              </w:rPr>
            </w:pPr>
            <w:r w:rsidRPr="00983691">
              <w:rPr>
                <w:sz w:val="24"/>
                <w:szCs w:val="24"/>
              </w:rPr>
              <w:t>Apstiprināts 2014.gada budžets</w:t>
            </w:r>
          </w:p>
        </w:tc>
        <w:tc>
          <w:tcPr>
            <w:tcW w:w="1443" w:type="dxa"/>
            <w:tcBorders>
              <w:top w:val="single" w:sz="4" w:space="0" w:color="auto"/>
              <w:left w:val="single" w:sz="4" w:space="0" w:color="auto"/>
              <w:bottom w:val="single" w:sz="4" w:space="0" w:color="auto"/>
              <w:right w:val="single" w:sz="4" w:space="0" w:color="auto"/>
            </w:tcBorders>
          </w:tcPr>
          <w:p w:rsidR="00983691" w:rsidRPr="00983691" w:rsidRDefault="00983691" w:rsidP="00983691">
            <w:pPr>
              <w:jc w:val="center"/>
              <w:rPr>
                <w:sz w:val="24"/>
                <w:szCs w:val="24"/>
              </w:rPr>
            </w:pPr>
          </w:p>
          <w:p w:rsidR="00983691" w:rsidRPr="00983691" w:rsidRDefault="00983691" w:rsidP="00983691">
            <w:pPr>
              <w:jc w:val="center"/>
              <w:rPr>
                <w:sz w:val="24"/>
                <w:szCs w:val="24"/>
              </w:rPr>
            </w:pPr>
            <w:r w:rsidRPr="00983691">
              <w:rPr>
                <w:sz w:val="24"/>
                <w:szCs w:val="24"/>
              </w:rPr>
              <w:t>Priekšlikumi izmaiņām</w:t>
            </w:r>
          </w:p>
        </w:tc>
        <w:tc>
          <w:tcPr>
            <w:tcW w:w="1276" w:type="dxa"/>
            <w:tcBorders>
              <w:top w:val="single" w:sz="4" w:space="0" w:color="auto"/>
              <w:left w:val="single" w:sz="4" w:space="0" w:color="auto"/>
              <w:bottom w:val="single" w:sz="4" w:space="0" w:color="auto"/>
              <w:right w:val="single" w:sz="4" w:space="0" w:color="auto"/>
            </w:tcBorders>
            <w:hideMark/>
          </w:tcPr>
          <w:p w:rsidR="00983691" w:rsidRPr="00983691" w:rsidRDefault="00983691" w:rsidP="00983691">
            <w:pPr>
              <w:jc w:val="center"/>
              <w:rPr>
                <w:sz w:val="24"/>
                <w:szCs w:val="24"/>
              </w:rPr>
            </w:pPr>
            <w:r w:rsidRPr="00983691">
              <w:rPr>
                <w:sz w:val="24"/>
                <w:szCs w:val="24"/>
              </w:rPr>
              <w:t>2014.gada budžets ar izmaiņām</w:t>
            </w:r>
          </w:p>
        </w:tc>
      </w:tr>
      <w:tr w:rsidR="00214262" w:rsidRPr="00983691" w:rsidTr="00F51BD7">
        <w:tc>
          <w:tcPr>
            <w:tcW w:w="5070" w:type="dxa"/>
            <w:tcBorders>
              <w:top w:val="single" w:sz="4" w:space="0" w:color="auto"/>
              <w:left w:val="single" w:sz="4" w:space="0" w:color="auto"/>
              <w:bottom w:val="single" w:sz="4" w:space="0" w:color="auto"/>
              <w:right w:val="single" w:sz="4" w:space="0" w:color="auto"/>
            </w:tcBorders>
            <w:hideMark/>
          </w:tcPr>
          <w:p w:rsidR="00214262" w:rsidRPr="00983691" w:rsidRDefault="00214262" w:rsidP="00983691">
            <w:pPr>
              <w:jc w:val="both"/>
            </w:pPr>
            <w:r w:rsidRPr="00983691">
              <w:rPr>
                <w:b/>
                <w:bCs/>
              </w:rPr>
              <w:t>Resursi izdevumu segšanai</w:t>
            </w:r>
          </w:p>
        </w:tc>
        <w:tc>
          <w:tcPr>
            <w:tcW w:w="1390" w:type="dxa"/>
            <w:tcBorders>
              <w:top w:val="single" w:sz="4" w:space="0" w:color="auto"/>
              <w:left w:val="single" w:sz="4" w:space="0" w:color="auto"/>
              <w:bottom w:val="single" w:sz="4" w:space="0" w:color="auto"/>
              <w:right w:val="single" w:sz="4" w:space="0" w:color="auto"/>
            </w:tcBorders>
          </w:tcPr>
          <w:p w:rsidR="00214262" w:rsidRPr="00983691" w:rsidRDefault="00214262" w:rsidP="008D328A">
            <w:pPr>
              <w:jc w:val="right"/>
              <w:rPr>
                <w:b/>
                <w:i/>
                <w:sz w:val="24"/>
                <w:szCs w:val="24"/>
              </w:rPr>
            </w:pPr>
            <w:r w:rsidRPr="008D328A">
              <w:rPr>
                <w:b/>
                <w:i/>
                <w:sz w:val="24"/>
                <w:szCs w:val="24"/>
              </w:rPr>
              <w:t>3 109 595</w:t>
            </w:r>
          </w:p>
        </w:tc>
        <w:tc>
          <w:tcPr>
            <w:tcW w:w="1443" w:type="dxa"/>
            <w:tcBorders>
              <w:top w:val="single" w:sz="4" w:space="0" w:color="auto"/>
              <w:left w:val="single" w:sz="4" w:space="0" w:color="auto"/>
              <w:bottom w:val="single" w:sz="4" w:space="0" w:color="auto"/>
              <w:right w:val="single" w:sz="4" w:space="0" w:color="auto"/>
            </w:tcBorders>
            <w:hideMark/>
          </w:tcPr>
          <w:p w:rsidR="00214262" w:rsidRPr="00983691" w:rsidRDefault="00214262" w:rsidP="008D328A">
            <w:pPr>
              <w:jc w:val="right"/>
              <w:rPr>
                <w:b/>
                <w:i/>
                <w:szCs w:val="28"/>
              </w:rPr>
            </w:pPr>
            <w:r w:rsidRPr="00983691">
              <w:rPr>
                <w:b/>
                <w:i/>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214262" w:rsidRPr="00983691" w:rsidRDefault="00214262" w:rsidP="008D328A">
            <w:pPr>
              <w:jc w:val="right"/>
              <w:rPr>
                <w:b/>
                <w:i/>
                <w:sz w:val="24"/>
                <w:szCs w:val="24"/>
              </w:rPr>
            </w:pPr>
            <w:r w:rsidRPr="008D328A">
              <w:rPr>
                <w:b/>
                <w:i/>
                <w:sz w:val="24"/>
                <w:szCs w:val="24"/>
              </w:rPr>
              <w:t>3 109 595</w:t>
            </w:r>
          </w:p>
        </w:tc>
      </w:tr>
      <w:tr w:rsidR="00214262" w:rsidRPr="00983691" w:rsidTr="00F51BD7">
        <w:tc>
          <w:tcPr>
            <w:tcW w:w="5070" w:type="dxa"/>
            <w:tcBorders>
              <w:top w:val="single" w:sz="4" w:space="0" w:color="auto"/>
              <w:left w:val="single" w:sz="4" w:space="0" w:color="auto"/>
              <w:bottom w:val="single" w:sz="4" w:space="0" w:color="auto"/>
              <w:right w:val="single" w:sz="4" w:space="0" w:color="auto"/>
            </w:tcBorders>
            <w:hideMark/>
          </w:tcPr>
          <w:p w:rsidR="00214262" w:rsidRPr="00983691" w:rsidRDefault="00214262" w:rsidP="00983691">
            <w:pPr>
              <w:jc w:val="both"/>
            </w:pPr>
            <w:r w:rsidRPr="00983691">
              <w:rPr>
                <w:b/>
                <w:bCs/>
              </w:rPr>
              <w:t>Dotācija no vispārējiem ieņēmumiem</w:t>
            </w:r>
          </w:p>
        </w:tc>
        <w:tc>
          <w:tcPr>
            <w:tcW w:w="1390" w:type="dxa"/>
            <w:tcBorders>
              <w:top w:val="single" w:sz="4" w:space="0" w:color="auto"/>
              <w:left w:val="single" w:sz="4" w:space="0" w:color="auto"/>
              <w:bottom w:val="single" w:sz="4" w:space="0" w:color="auto"/>
              <w:right w:val="single" w:sz="4" w:space="0" w:color="auto"/>
            </w:tcBorders>
          </w:tcPr>
          <w:p w:rsidR="00214262" w:rsidRPr="00983691" w:rsidRDefault="00214262" w:rsidP="008D328A">
            <w:pPr>
              <w:jc w:val="right"/>
              <w:rPr>
                <w:sz w:val="24"/>
                <w:szCs w:val="24"/>
              </w:rPr>
            </w:pPr>
            <w:r w:rsidRPr="008D328A">
              <w:rPr>
                <w:sz w:val="24"/>
                <w:szCs w:val="24"/>
              </w:rPr>
              <w:t>3 109 595</w:t>
            </w:r>
          </w:p>
        </w:tc>
        <w:tc>
          <w:tcPr>
            <w:tcW w:w="1443" w:type="dxa"/>
            <w:tcBorders>
              <w:top w:val="single" w:sz="4" w:space="0" w:color="auto"/>
              <w:left w:val="single" w:sz="4" w:space="0" w:color="auto"/>
              <w:bottom w:val="single" w:sz="4" w:space="0" w:color="auto"/>
              <w:right w:val="single" w:sz="4" w:space="0" w:color="auto"/>
            </w:tcBorders>
          </w:tcPr>
          <w:p w:rsidR="00214262" w:rsidRPr="00983691" w:rsidRDefault="00214262" w:rsidP="008D328A">
            <w:pPr>
              <w:jc w:val="right"/>
              <w:rPr>
                <w:szCs w:val="28"/>
              </w:rPr>
            </w:pPr>
          </w:p>
        </w:tc>
        <w:tc>
          <w:tcPr>
            <w:tcW w:w="1276" w:type="dxa"/>
            <w:tcBorders>
              <w:top w:val="single" w:sz="4" w:space="0" w:color="auto"/>
              <w:left w:val="single" w:sz="4" w:space="0" w:color="auto"/>
              <w:bottom w:val="single" w:sz="4" w:space="0" w:color="auto"/>
              <w:right w:val="single" w:sz="4" w:space="0" w:color="auto"/>
            </w:tcBorders>
            <w:hideMark/>
          </w:tcPr>
          <w:p w:rsidR="00214262" w:rsidRPr="00983691" w:rsidRDefault="00214262" w:rsidP="008D328A">
            <w:pPr>
              <w:jc w:val="right"/>
              <w:rPr>
                <w:sz w:val="24"/>
                <w:szCs w:val="24"/>
              </w:rPr>
            </w:pPr>
            <w:r w:rsidRPr="008D328A">
              <w:rPr>
                <w:sz w:val="24"/>
                <w:szCs w:val="24"/>
              </w:rPr>
              <w:t>3 109 595</w:t>
            </w:r>
          </w:p>
        </w:tc>
      </w:tr>
      <w:tr w:rsidR="00214262" w:rsidRPr="00983691" w:rsidTr="00F51BD7">
        <w:tc>
          <w:tcPr>
            <w:tcW w:w="5070" w:type="dxa"/>
            <w:tcBorders>
              <w:top w:val="single" w:sz="4" w:space="0" w:color="auto"/>
              <w:left w:val="single" w:sz="4" w:space="0" w:color="auto"/>
              <w:bottom w:val="single" w:sz="4" w:space="0" w:color="auto"/>
              <w:right w:val="single" w:sz="4" w:space="0" w:color="auto"/>
            </w:tcBorders>
            <w:hideMark/>
          </w:tcPr>
          <w:p w:rsidR="00214262" w:rsidRPr="00983691" w:rsidRDefault="00214262" w:rsidP="00983691">
            <w:pPr>
              <w:jc w:val="both"/>
              <w:rPr>
                <w:b/>
                <w:bCs/>
              </w:rPr>
            </w:pPr>
            <w:r w:rsidRPr="00983691">
              <w:rPr>
                <w:b/>
                <w:bCs/>
              </w:rPr>
              <w:t>Izdevumi – kopā</w:t>
            </w:r>
          </w:p>
        </w:tc>
        <w:tc>
          <w:tcPr>
            <w:tcW w:w="1390" w:type="dxa"/>
            <w:tcBorders>
              <w:top w:val="single" w:sz="4" w:space="0" w:color="auto"/>
              <w:left w:val="single" w:sz="4" w:space="0" w:color="auto"/>
              <w:bottom w:val="single" w:sz="4" w:space="0" w:color="auto"/>
              <w:right w:val="single" w:sz="4" w:space="0" w:color="auto"/>
            </w:tcBorders>
          </w:tcPr>
          <w:p w:rsidR="00214262" w:rsidRPr="008D328A" w:rsidRDefault="00214262" w:rsidP="008D328A">
            <w:pPr>
              <w:jc w:val="right"/>
            </w:pPr>
            <w:r w:rsidRPr="008D328A">
              <w:rPr>
                <w:b/>
                <w:i/>
                <w:sz w:val="24"/>
                <w:szCs w:val="24"/>
              </w:rPr>
              <w:t>3 109 595</w:t>
            </w:r>
          </w:p>
        </w:tc>
        <w:tc>
          <w:tcPr>
            <w:tcW w:w="1443" w:type="dxa"/>
            <w:tcBorders>
              <w:top w:val="single" w:sz="4" w:space="0" w:color="auto"/>
              <w:left w:val="single" w:sz="4" w:space="0" w:color="auto"/>
              <w:bottom w:val="single" w:sz="4" w:space="0" w:color="auto"/>
              <w:right w:val="single" w:sz="4" w:space="0" w:color="auto"/>
            </w:tcBorders>
            <w:hideMark/>
          </w:tcPr>
          <w:p w:rsidR="00214262" w:rsidRPr="00983691" w:rsidRDefault="00214262" w:rsidP="008D328A">
            <w:pPr>
              <w:jc w:val="right"/>
              <w:rPr>
                <w:b/>
                <w:i/>
                <w:szCs w:val="28"/>
              </w:rPr>
            </w:pPr>
            <w:r w:rsidRPr="00983691">
              <w:rPr>
                <w:b/>
                <w:i/>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214262" w:rsidRPr="008D328A" w:rsidRDefault="008D328A" w:rsidP="008D328A">
            <w:pPr>
              <w:jc w:val="right"/>
            </w:pPr>
            <w:r w:rsidRPr="008D328A">
              <w:rPr>
                <w:b/>
                <w:i/>
                <w:sz w:val="24"/>
                <w:szCs w:val="24"/>
              </w:rPr>
              <w:t>3 109 595</w:t>
            </w:r>
          </w:p>
        </w:tc>
      </w:tr>
      <w:tr w:rsidR="00983691" w:rsidRPr="00983691" w:rsidTr="00214262">
        <w:tc>
          <w:tcPr>
            <w:tcW w:w="5070" w:type="dxa"/>
            <w:tcBorders>
              <w:top w:val="single" w:sz="4" w:space="0" w:color="auto"/>
              <w:left w:val="single" w:sz="4" w:space="0" w:color="auto"/>
              <w:bottom w:val="single" w:sz="4" w:space="0" w:color="auto"/>
              <w:right w:val="single" w:sz="4" w:space="0" w:color="auto"/>
            </w:tcBorders>
            <w:hideMark/>
          </w:tcPr>
          <w:p w:rsidR="00983691" w:rsidRPr="00983691" w:rsidRDefault="00983691" w:rsidP="00983691">
            <w:pPr>
              <w:jc w:val="both"/>
              <w:rPr>
                <w:b/>
                <w:bCs/>
              </w:rPr>
            </w:pPr>
            <w:r w:rsidRPr="00983691">
              <w:rPr>
                <w:b/>
                <w:bCs/>
              </w:rPr>
              <w:t>Uzturēšanas izdevumi</w:t>
            </w:r>
          </w:p>
        </w:tc>
        <w:tc>
          <w:tcPr>
            <w:tcW w:w="1390" w:type="dxa"/>
            <w:tcBorders>
              <w:top w:val="single" w:sz="4" w:space="0" w:color="auto"/>
              <w:left w:val="single" w:sz="4" w:space="0" w:color="auto"/>
              <w:bottom w:val="single" w:sz="4" w:space="0" w:color="auto"/>
              <w:right w:val="single" w:sz="4" w:space="0" w:color="auto"/>
            </w:tcBorders>
          </w:tcPr>
          <w:p w:rsidR="00983691" w:rsidRPr="00983691" w:rsidRDefault="00214262" w:rsidP="008D328A">
            <w:pPr>
              <w:jc w:val="right"/>
              <w:rPr>
                <w:sz w:val="24"/>
                <w:szCs w:val="24"/>
              </w:rPr>
            </w:pPr>
            <w:r w:rsidRPr="008D328A">
              <w:rPr>
                <w:sz w:val="24"/>
                <w:szCs w:val="24"/>
              </w:rPr>
              <w:t>3 046 704</w:t>
            </w:r>
          </w:p>
        </w:tc>
        <w:tc>
          <w:tcPr>
            <w:tcW w:w="1443" w:type="dxa"/>
            <w:tcBorders>
              <w:top w:val="single" w:sz="4" w:space="0" w:color="auto"/>
              <w:left w:val="single" w:sz="4" w:space="0" w:color="auto"/>
              <w:bottom w:val="single" w:sz="4" w:space="0" w:color="auto"/>
              <w:right w:val="single" w:sz="4" w:space="0" w:color="auto"/>
            </w:tcBorders>
            <w:hideMark/>
          </w:tcPr>
          <w:p w:rsidR="00983691" w:rsidRPr="00983691" w:rsidRDefault="00214262" w:rsidP="00E37201">
            <w:pPr>
              <w:jc w:val="right"/>
              <w:rPr>
                <w:sz w:val="24"/>
                <w:szCs w:val="24"/>
              </w:rPr>
            </w:pPr>
            <w:r w:rsidRPr="008D328A">
              <w:rPr>
                <w:sz w:val="24"/>
                <w:szCs w:val="24"/>
              </w:rPr>
              <w:t>-</w:t>
            </w:r>
            <w:r w:rsidR="003E754F">
              <w:rPr>
                <w:sz w:val="24"/>
                <w:szCs w:val="24"/>
              </w:rPr>
              <w:t> 3</w:t>
            </w:r>
            <w:r w:rsidR="00E37201">
              <w:rPr>
                <w:sz w:val="24"/>
                <w:szCs w:val="24"/>
              </w:rPr>
              <w:t>3</w:t>
            </w:r>
            <w:r w:rsidR="000F01B0" w:rsidRPr="008D328A">
              <w:rPr>
                <w:sz w:val="24"/>
                <w:szCs w:val="24"/>
              </w:rPr>
              <w:t> </w:t>
            </w:r>
            <w:r w:rsidR="00E37201">
              <w:rPr>
                <w:sz w:val="24"/>
                <w:szCs w:val="24"/>
              </w:rPr>
              <w:t>0</w:t>
            </w:r>
            <w:r w:rsidR="003E754F">
              <w:rPr>
                <w:sz w:val="24"/>
                <w:szCs w:val="24"/>
              </w:rPr>
              <w:t>60</w:t>
            </w:r>
          </w:p>
        </w:tc>
        <w:tc>
          <w:tcPr>
            <w:tcW w:w="1276" w:type="dxa"/>
            <w:tcBorders>
              <w:top w:val="single" w:sz="4" w:space="0" w:color="auto"/>
              <w:left w:val="single" w:sz="4" w:space="0" w:color="auto"/>
              <w:bottom w:val="single" w:sz="4" w:space="0" w:color="auto"/>
              <w:right w:val="single" w:sz="4" w:space="0" w:color="auto"/>
            </w:tcBorders>
          </w:tcPr>
          <w:p w:rsidR="00983691" w:rsidRPr="00983691" w:rsidRDefault="006F5C62" w:rsidP="00E37201">
            <w:pPr>
              <w:jc w:val="right"/>
              <w:rPr>
                <w:sz w:val="24"/>
                <w:szCs w:val="24"/>
              </w:rPr>
            </w:pPr>
            <w:r>
              <w:rPr>
                <w:sz w:val="24"/>
                <w:szCs w:val="24"/>
              </w:rPr>
              <w:t>3</w:t>
            </w:r>
            <w:r w:rsidR="00214262" w:rsidRPr="008D328A">
              <w:rPr>
                <w:sz w:val="24"/>
                <w:szCs w:val="24"/>
              </w:rPr>
              <w:t> </w:t>
            </w:r>
            <w:r w:rsidR="00F26067">
              <w:rPr>
                <w:sz w:val="24"/>
                <w:szCs w:val="24"/>
              </w:rPr>
              <w:t>0</w:t>
            </w:r>
            <w:r w:rsidR="003E754F">
              <w:rPr>
                <w:sz w:val="24"/>
                <w:szCs w:val="24"/>
              </w:rPr>
              <w:t>1</w:t>
            </w:r>
            <w:r w:rsidR="00E37201">
              <w:rPr>
                <w:sz w:val="24"/>
                <w:szCs w:val="24"/>
              </w:rPr>
              <w:t>3</w:t>
            </w:r>
            <w:r w:rsidR="00F26067" w:rsidRPr="008D328A">
              <w:rPr>
                <w:sz w:val="24"/>
                <w:szCs w:val="24"/>
              </w:rPr>
              <w:t> </w:t>
            </w:r>
            <w:r w:rsidR="00E37201">
              <w:rPr>
                <w:sz w:val="24"/>
                <w:szCs w:val="24"/>
              </w:rPr>
              <w:t>6</w:t>
            </w:r>
            <w:r w:rsidR="003E754F">
              <w:rPr>
                <w:sz w:val="24"/>
                <w:szCs w:val="24"/>
              </w:rPr>
              <w:t>44</w:t>
            </w:r>
          </w:p>
        </w:tc>
      </w:tr>
      <w:tr w:rsidR="00983691" w:rsidRPr="00983691" w:rsidTr="00214262">
        <w:tc>
          <w:tcPr>
            <w:tcW w:w="5070" w:type="dxa"/>
            <w:tcBorders>
              <w:top w:val="single" w:sz="4" w:space="0" w:color="auto"/>
              <w:left w:val="single" w:sz="4" w:space="0" w:color="auto"/>
              <w:bottom w:val="single" w:sz="4" w:space="0" w:color="auto"/>
              <w:right w:val="single" w:sz="4" w:space="0" w:color="auto"/>
            </w:tcBorders>
            <w:hideMark/>
          </w:tcPr>
          <w:p w:rsidR="00983691" w:rsidRPr="00983691" w:rsidRDefault="00983691" w:rsidP="00983691">
            <w:pPr>
              <w:jc w:val="both"/>
            </w:pPr>
            <w:r w:rsidRPr="00983691">
              <w:rPr>
                <w:b/>
                <w:bCs/>
              </w:rPr>
              <w:t>Kārtējie izdevumi</w:t>
            </w:r>
          </w:p>
        </w:tc>
        <w:tc>
          <w:tcPr>
            <w:tcW w:w="1390" w:type="dxa"/>
            <w:tcBorders>
              <w:top w:val="single" w:sz="4" w:space="0" w:color="auto"/>
              <w:left w:val="single" w:sz="4" w:space="0" w:color="auto"/>
              <w:bottom w:val="single" w:sz="4" w:space="0" w:color="auto"/>
              <w:right w:val="single" w:sz="4" w:space="0" w:color="auto"/>
            </w:tcBorders>
          </w:tcPr>
          <w:p w:rsidR="00983691" w:rsidRPr="00983691" w:rsidRDefault="00214262" w:rsidP="008D328A">
            <w:pPr>
              <w:jc w:val="right"/>
              <w:rPr>
                <w:sz w:val="24"/>
                <w:szCs w:val="24"/>
              </w:rPr>
            </w:pPr>
            <w:r w:rsidRPr="008D328A">
              <w:rPr>
                <w:sz w:val="24"/>
                <w:szCs w:val="24"/>
              </w:rPr>
              <w:t>3 046 704</w:t>
            </w:r>
          </w:p>
        </w:tc>
        <w:tc>
          <w:tcPr>
            <w:tcW w:w="1443" w:type="dxa"/>
            <w:tcBorders>
              <w:top w:val="single" w:sz="4" w:space="0" w:color="auto"/>
              <w:left w:val="single" w:sz="4" w:space="0" w:color="auto"/>
              <w:bottom w:val="single" w:sz="4" w:space="0" w:color="auto"/>
              <w:right w:val="single" w:sz="4" w:space="0" w:color="auto"/>
            </w:tcBorders>
            <w:hideMark/>
          </w:tcPr>
          <w:p w:rsidR="00983691" w:rsidRPr="00983691" w:rsidRDefault="00214262" w:rsidP="00E37201">
            <w:pPr>
              <w:jc w:val="right"/>
              <w:rPr>
                <w:sz w:val="24"/>
                <w:szCs w:val="24"/>
              </w:rPr>
            </w:pPr>
            <w:r w:rsidRPr="008D328A">
              <w:rPr>
                <w:sz w:val="24"/>
                <w:szCs w:val="24"/>
              </w:rPr>
              <w:t>-</w:t>
            </w:r>
            <w:r w:rsidR="003E754F">
              <w:rPr>
                <w:sz w:val="24"/>
                <w:szCs w:val="24"/>
              </w:rPr>
              <w:t> 4</w:t>
            </w:r>
            <w:r w:rsidR="00E37201">
              <w:rPr>
                <w:sz w:val="24"/>
                <w:szCs w:val="24"/>
              </w:rPr>
              <w:t>3</w:t>
            </w:r>
            <w:r w:rsidR="003E754F">
              <w:rPr>
                <w:sz w:val="24"/>
                <w:szCs w:val="24"/>
              </w:rPr>
              <w:t> </w:t>
            </w:r>
            <w:r w:rsidR="00E37201">
              <w:rPr>
                <w:sz w:val="24"/>
                <w:szCs w:val="24"/>
              </w:rPr>
              <w:t>0</w:t>
            </w:r>
            <w:r w:rsidR="003E754F">
              <w:rPr>
                <w:sz w:val="24"/>
                <w:szCs w:val="24"/>
              </w:rPr>
              <w:t>60</w:t>
            </w:r>
          </w:p>
        </w:tc>
        <w:tc>
          <w:tcPr>
            <w:tcW w:w="1276" w:type="dxa"/>
            <w:tcBorders>
              <w:top w:val="single" w:sz="4" w:space="0" w:color="auto"/>
              <w:left w:val="single" w:sz="4" w:space="0" w:color="auto"/>
              <w:bottom w:val="single" w:sz="4" w:space="0" w:color="auto"/>
              <w:right w:val="single" w:sz="4" w:space="0" w:color="auto"/>
            </w:tcBorders>
          </w:tcPr>
          <w:p w:rsidR="00983691" w:rsidRPr="00983691" w:rsidRDefault="003E754F" w:rsidP="00E37201">
            <w:pPr>
              <w:jc w:val="right"/>
              <w:rPr>
                <w:sz w:val="24"/>
                <w:szCs w:val="24"/>
              </w:rPr>
            </w:pPr>
            <w:r>
              <w:rPr>
                <w:sz w:val="24"/>
                <w:szCs w:val="24"/>
              </w:rPr>
              <w:t>3 00</w:t>
            </w:r>
            <w:r w:rsidR="00E37201">
              <w:rPr>
                <w:sz w:val="24"/>
                <w:szCs w:val="24"/>
              </w:rPr>
              <w:t>3</w:t>
            </w:r>
            <w:r>
              <w:rPr>
                <w:sz w:val="24"/>
                <w:szCs w:val="24"/>
              </w:rPr>
              <w:t> </w:t>
            </w:r>
            <w:r w:rsidR="00E37201">
              <w:rPr>
                <w:sz w:val="24"/>
                <w:szCs w:val="24"/>
              </w:rPr>
              <w:t>6</w:t>
            </w:r>
            <w:r>
              <w:rPr>
                <w:sz w:val="24"/>
                <w:szCs w:val="24"/>
              </w:rPr>
              <w:t>44</w:t>
            </w:r>
          </w:p>
        </w:tc>
      </w:tr>
      <w:tr w:rsidR="00983691" w:rsidRPr="00983691" w:rsidTr="00214262">
        <w:tc>
          <w:tcPr>
            <w:tcW w:w="5070" w:type="dxa"/>
            <w:tcBorders>
              <w:top w:val="single" w:sz="4" w:space="0" w:color="auto"/>
              <w:left w:val="single" w:sz="4" w:space="0" w:color="auto"/>
              <w:bottom w:val="single" w:sz="4" w:space="0" w:color="auto"/>
              <w:right w:val="single" w:sz="4" w:space="0" w:color="auto"/>
            </w:tcBorders>
            <w:hideMark/>
          </w:tcPr>
          <w:p w:rsidR="00983691" w:rsidRPr="00983691" w:rsidRDefault="00983691" w:rsidP="00983691">
            <w:pPr>
              <w:jc w:val="both"/>
            </w:pPr>
            <w:r w:rsidRPr="00983691">
              <w:t>Atlīdzība</w:t>
            </w:r>
          </w:p>
        </w:tc>
        <w:tc>
          <w:tcPr>
            <w:tcW w:w="1390" w:type="dxa"/>
            <w:tcBorders>
              <w:top w:val="single" w:sz="4" w:space="0" w:color="auto"/>
              <w:left w:val="single" w:sz="4" w:space="0" w:color="auto"/>
              <w:bottom w:val="single" w:sz="4" w:space="0" w:color="auto"/>
              <w:right w:val="single" w:sz="4" w:space="0" w:color="auto"/>
            </w:tcBorders>
          </w:tcPr>
          <w:p w:rsidR="00983691" w:rsidRPr="00983691" w:rsidRDefault="00214262" w:rsidP="008D328A">
            <w:pPr>
              <w:jc w:val="right"/>
              <w:rPr>
                <w:sz w:val="24"/>
                <w:szCs w:val="24"/>
              </w:rPr>
            </w:pPr>
            <w:r w:rsidRPr="008D328A">
              <w:rPr>
                <w:sz w:val="24"/>
                <w:szCs w:val="24"/>
              </w:rPr>
              <w:t>1 562 588</w:t>
            </w:r>
          </w:p>
        </w:tc>
        <w:tc>
          <w:tcPr>
            <w:tcW w:w="1443" w:type="dxa"/>
            <w:tcBorders>
              <w:top w:val="single" w:sz="4" w:space="0" w:color="auto"/>
              <w:left w:val="single" w:sz="4" w:space="0" w:color="auto"/>
              <w:bottom w:val="single" w:sz="4" w:space="0" w:color="auto"/>
              <w:right w:val="single" w:sz="4" w:space="0" w:color="auto"/>
            </w:tcBorders>
            <w:hideMark/>
          </w:tcPr>
          <w:p w:rsidR="00983691" w:rsidRPr="00983691" w:rsidRDefault="00983691" w:rsidP="008D328A">
            <w:pPr>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83691" w:rsidRPr="00983691" w:rsidRDefault="009D539C" w:rsidP="008D328A">
            <w:pPr>
              <w:jc w:val="right"/>
              <w:rPr>
                <w:sz w:val="24"/>
                <w:szCs w:val="24"/>
              </w:rPr>
            </w:pPr>
            <w:r w:rsidRPr="008D328A">
              <w:rPr>
                <w:sz w:val="24"/>
                <w:szCs w:val="24"/>
              </w:rPr>
              <w:t>1 562 588</w:t>
            </w:r>
          </w:p>
        </w:tc>
      </w:tr>
      <w:tr w:rsidR="00983691" w:rsidRPr="00983691" w:rsidTr="00F51BD7">
        <w:tc>
          <w:tcPr>
            <w:tcW w:w="5070" w:type="dxa"/>
            <w:tcBorders>
              <w:top w:val="single" w:sz="4" w:space="0" w:color="auto"/>
              <w:left w:val="single" w:sz="4" w:space="0" w:color="auto"/>
              <w:bottom w:val="single" w:sz="4" w:space="0" w:color="auto"/>
              <w:right w:val="single" w:sz="4" w:space="0" w:color="auto"/>
            </w:tcBorders>
            <w:hideMark/>
          </w:tcPr>
          <w:p w:rsidR="00983691" w:rsidRPr="00983691" w:rsidRDefault="00983691" w:rsidP="00983691">
            <w:pPr>
              <w:jc w:val="both"/>
            </w:pPr>
            <w:r w:rsidRPr="00983691">
              <w:t xml:space="preserve">        Atalgojums</w:t>
            </w:r>
          </w:p>
        </w:tc>
        <w:tc>
          <w:tcPr>
            <w:tcW w:w="1390" w:type="dxa"/>
            <w:tcBorders>
              <w:top w:val="single" w:sz="4" w:space="0" w:color="auto"/>
              <w:left w:val="single" w:sz="4" w:space="0" w:color="auto"/>
              <w:bottom w:val="single" w:sz="4" w:space="0" w:color="auto"/>
              <w:right w:val="single" w:sz="4" w:space="0" w:color="auto"/>
            </w:tcBorders>
          </w:tcPr>
          <w:p w:rsidR="00983691" w:rsidRPr="00983691" w:rsidRDefault="00214262" w:rsidP="008D328A">
            <w:pPr>
              <w:jc w:val="right"/>
              <w:rPr>
                <w:sz w:val="24"/>
                <w:szCs w:val="24"/>
              </w:rPr>
            </w:pPr>
            <w:r w:rsidRPr="008D328A">
              <w:rPr>
                <w:sz w:val="24"/>
                <w:szCs w:val="24"/>
              </w:rPr>
              <w:t>573 553</w:t>
            </w:r>
          </w:p>
        </w:tc>
        <w:tc>
          <w:tcPr>
            <w:tcW w:w="1443" w:type="dxa"/>
            <w:tcBorders>
              <w:top w:val="single" w:sz="4" w:space="0" w:color="auto"/>
              <w:left w:val="single" w:sz="4" w:space="0" w:color="auto"/>
              <w:bottom w:val="single" w:sz="4" w:space="0" w:color="auto"/>
              <w:right w:val="single" w:sz="4" w:space="0" w:color="auto"/>
            </w:tcBorders>
            <w:hideMark/>
          </w:tcPr>
          <w:p w:rsidR="00983691" w:rsidRPr="00983691" w:rsidRDefault="00214262" w:rsidP="008D328A">
            <w:pPr>
              <w:jc w:val="right"/>
              <w:rPr>
                <w:sz w:val="24"/>
                <w:szCs w:val="24"/>
              </w:rPr>
            </w:pPr>
            <w:r w:rsidRPr="008D328A">
              <w:rPr>
                <w:sz w:val="24"/>
                <w:szCs w:val="24"/>
              </w:rPr>
              <w:t>115 410</w:t>
            </w:r>
          </w:p>
        </w:tc>
        <w:tc>
          <w:tcPr>
            <w:tcW w:w="1276" w:type="dxa"/>
            <w:tcBorders>
              <w:top w:val="single" w:sz="4" w:space="0" w:color="auto"/>
              <w:left w:val="single" w:sz="4" w:space="0" w:color="auto"/>
              <w:bottom w:val="single" w:sz="4" w:space="0" w:color="auto"/>
              <w:right w:val="single" w:sz="4" w:space="0" w:color="auto"/>
            </w:tcBorders>
            <w:hideMark/>
          </w:tcPr>
          <w:p w:rsidR="00983691" w:rsidRPr="00983691" w:rsidRDefault="00214262" w:rsidP="008D328A">
            <w:pPr>
              <w:jc w:val="right"/>
              <w:rPr>
                <w:sz w:val="24"/>
                <w:szCs w:val="24"/>
              </w:rPr>
            </w:pPr>
            <w:r w:rsidRPr="008D328A">
              <w:rPr>
                <w:sz w:val="24"/>
                <w:szCs w:val="24"/>
              </w:rPr>
              <w:t>688 963</w:t>
            </w:r>
          </w:p>
        </w:tc>
      </w:tr>
      <w:tr w:rsidR="00983691" w:rsidRPr="00983691" w:rsidTr="00214262">
        <w:tc>
          <w:tcPr>
            <w:tcW w:w="5070" w:type="dxa"/>
            <w:tcBorders>
              <w:top w:val="single" w:sz="4" w:space="0" w:color="auto"/>
              <w:left w:val="single" w:sz="4" w:space="0" w:color="auto"/>
              <w:bottom w:val="single" w:sz="4" w:space="0" w:color="auto"/>
              <w:right w:val="single" w:sz="4" w:space="0" w:color="auto"/>
            </w:tcBorders>
            <w:hideMark/>
          </w:tcPr>
          <w:p w:rsidR="00983691" w:rsidRPr="00983691" w:rsidRDefault="00983691" w:rsidP="00983691">
            <w:pPr>
              <w:jc w:val="both"/>
            </w:pPr>
            <w:r w:rsidRPr="00983691">
              <w:t>Preces un pakalpojumi</w:t>
            </w:r>
          </w:p>
        </w:tc>
        <w:tc>
          <w:tcPr>
            <w:tcW w:w="1390" w:type="dxa"/>
            <w:tcBorders>
              <w:top w:val="single" w:sz="4" w:space="0" w:color="auto"/>
              <w:left w:val="single" w:sz="4" w:space="0" w:color="auto"/>
              <w:bottom w:val="single" w:sz="4" w:space="0" w:color="auto"/>
              <w:right w:val="single" w:sz="4" w:space="0" w:color="auto"/>
            </w:tcBorders>
          </w:tcPr>
          <w:p w:rsidR="00983691" w:rsidRPr="00983691" w:rsidRDefault="00214262" w:rsidP="008D328A">
            <w:pPr>
              <w:jc w:val="right"/>
              <w:rPr>
                <w:sz w:val="24"/>
                <w:szCs w:val="24"/>
              </w:rPr>
            </w:pPr>
            <w:r w:rsidRPr="008D328A">
              <w:rPr>
                <w:sz w:val="24"/>
                <w:szCs w:val="24"/>
              </w:rPr>
              <w:t>1 484 116</w:t>
            </w:r>
          </w:p>
        </w:tc>
        <w:tc>
          <w:tcPr>
            <w:tcW w:w="1443" w:type="dxa"/>
            <w:tcBorders>
              <w:top w:val="single" w:sz="4" w:space="0" w:color="auto"/>
              <w:left w:val="single" w:sz="4" w:space="0" w:color="auto"/>
              <w:bottom w:val="single" w:sz="4" w:space="0" w:color="auto"/>
              <w:right w:val="single" w:sz="4" w:space="0" w:color="auto"/>
            </w:tcBorders>
            <w:hideMark/>
          </w:tcPr>
          <w:p w:rsidR="00983691" w:rsidRPr="00983691" w:rsidRDefault="00214262" w:rsidP="00E37201">
            <w:pPr>
              <w:jc w:val="right"/>
              <w:rPr>
                <w:sz w:val="24"/>
                <w:szCs w:val="24"/>
              </w:rPr>
            </w:pPr>
            <w:r w:rsidRPr="008D328A">
              <w:rPr>
                <w:sz w:val="24"/>
                <w:szCs w:val="24"/>
              </w:rPr>
              <w:t>-</w:t>
            </w:r>
            <w:r w:rsidR="003E754F">
              <w:rPr>
                <w:sz w:val="24"/>
                <w:szCs w:val="24"/>
              </w:rPr>
              <w:t>4</w:t>
            </w:r>
            <w:r w:rsidR="00E37201">
              <w:rPr>
                <w:sz w:val="24"/>
                <w:szCs w:val="24"/>
              </w:rPr>
              <w:t>3</w:t>
            </w:r>
            <w:r w:rsidR="003E754F">
              <w:rPr>
                <w:sz w:val="24"/>
                <w:szCs w:val="24"/>
              </w:rPr>
              <w:t> </w:t>
            </w:r>
            <w:r w:rsidR="00E37201">
              <w:rPr>
                <w:sz w:val="24"/>
                <w:szCs w:val="24"/>
              </w:rPr>
              <w:t>0</w:t>
            </w:r>
            <w:r w:rsidR="003E754F">
              <w:rPr>
                <w:sz w:val="24"/>
                <w:szCs w:val="24"/>
              </w:rPr>
              <w:t>60</w:t>
            </w:r>
          </w:p>
        </w:tc>
        <w:tc>
          <w:tcPr>
            <w:tcW w:w="1276" w:type="dxa"/>
            <w:tcBorders>
              <w:top w:val="single" w:sz="4" w:space="0" w:color="auto"/>
              <w:left w:val="single" w:sz="4" w:space="0" w:color="auto"/>
              <w:bottom w:val="single" w:sz="4" w:space="0" w:color="auto"/>
              <w:right w:val="single" w:sz="4" w:space="0" w:color="auto"/>
            </w:tcBorders>
          </w:tcPr>
          <w:p w:rsidR="00983691" w:rsidRPr="00983691" w:rsidRDefault="00214262" w:rsidP="00E37201">
            <w:pPr>
              <w:jc w:val="right"/>
              <w:rPr>
                <w:sz w:val="24"/>
                <w:szCs w:val="24"/>
              </w:rPr>
            </w:pPr>
            <w:r w:rsidRPr="008D328A">
              <w:rPr>
                <w:sz w:val="24"/>
                <w:szCs w:val="24"/>
              </w:rPr>
              <w:t>1 </w:t>
            </w:r>
            <w:r w:rsidR="000F01B0">
              <w:rPr>
                <w:sz w:val="24"/>
                <w:szCs w:val="24"/>
              </w:rPr>
              <w:t>4</w:t>
            </w:r>
            <w:r w:rsidR="00E37201">
              <w:rPr>
                <w:sz w:val="24"/>
                <w:szCs w:val="24"/>
              </w:rPr>
              <w:t>41</w:t>
            </w:r>
            <w:r w:rsidR="000F01B0" w:rsidRPr="008D328A">
              <w:rPr>
                <w:sz w:val="24"/>
                <w:szCs w:val="24"/>
              </w:rPr>
              <w:t> </w:t>
            </w:r>
            <w:r w:rsidR="00E37201">
              <w:rPr>
                <w:sz w:val="24"/>
                <w:szCs w:val="24"/>
              </w:rPr>
              <w:t>0</w:t>
            </w:r>
            <w:r w:rsidR="003E754F">
              <w:rPr>
                <w:sz w:val="24"/>
                <w:szCs w:val="24"/>
              </w:rPr>
              <w:t>5</w:t>
            </w:r>
            <w:r w:rsidR="000F01B0">
              <w:rPr>
                <w:sz w:val="24"/>
                <w:szCs w:val="24"/>
              </w:rPr>
              <w:t>6</w:t>
            </w:r>
          </w:p>
        </w:tc>
      </w:tr>
      <w:tr w:rsidR="00247352" w:rsidRPr="005254EB" w:rsidTr="00214262">
        <w:tc>
          <w:tcPr>
            <w:tcW w:w="5070" w:type="dxa"/>
            <w:tcBorders>
              <w:top w:val="single" w:sz="4" w:space="0" w:color="auto"/>
              <w:left w:val="single" w:sz="4" w:space="0" w:color="auto"/>
              <w:bottom w:val="single" w:sz="4" w:space="0" w:color="auto"/>
              <w:right w:val="single" w:sz="4" w:space="0" w:color="auto"/>
            </w:tcBorders>
          </w:tcPr>
          <w:p w:rsidR="00247352" w:rsidRPr="005254EB" w:rsidRDefault="00247352" w:rsidP="00983691">
            <w:pPr>
              <w:jc w:val="both"/>
              <w:rPr>
                <w:bCs/>
              </w:rPr>
            </w:pPr>
            <w:r w:rsidRPr="005254EB">
              <w:rPr>
                <w:bCs/>
              </w:rPr>
              <w:t>Subsīdijas un dotācijas</w:t>
            </w:r>
          </w:p>
        </w:tc>
        <w:tc>
          <w:tcPr>
            <w:tcW w:w="1390" w:type="dxa"/>
            <w:tcBorders>
              <w:top w:val="single" w:sz="4" w:space="0" w:color="auto"/>
              <w:left w:val="single" w:sz="4" w:space="0" w:color="auto"/>
              <w:bottom w:val="single" w:sz="4" w:space="0" w:color="auto"/>
              <w:right w:val="single" w:sz="4" w:space="0" w:color="auto"/>
            </w:tcBorders>
          </w:tcPr>
          <w:p w:rsidR="00247352" w:rsidRPr="005254EB" w:rsidRDefault="00247352" w:rsidP="008D328A">
            <w:pPr>
              <w:jc w:val="right"/>
              <w:rPr>
                <w:i/>
                <w:sz w:val="24"/>
                <w:szCs w:val="24"/>
              </w:rPr>
            </w:pPr>
          </w:p>
        </w:tc>
        <w:tc>
          <w:tcPr>
            <w:tcW w:w="1443" w:type="dxa"/>
            <w:tcBorders>
              <w:top w:val="single" w:sz="4" w:space="0" w:color="auto"/>
              <w:left w:val="single" w:sz="4" w:space="0" w:color="auto"/>
              <w:bottom w:val="single" w:sz="4" w:space="0" w:color="auto"/>
              <w:right w:val="single" w:sz="4" w:space="0" w:color="auto"/>
            </w:tcBorders>
          </w:tcPr>
          <w:p w:rsidR="00247352" w:rsidRPr="003E754F" w:rsidRDefault="00247352" w:rsidP="008D328A">
            <w:pPr>
              <w:jc w:val="right"/>
              <w:rPr>
                <w:sz w:val="24"/>
                <w:szCs w:val="24"/>
              </w:rPr>
            </w:pPr>
            <w:r w:rsidRPr="003E754F">
              <w:rPr>
                <w:sz w:val="24"/>
                <w:szCs w:val="24"/>
              </w:rPr>
              <w:t>10 000</w:t>
            </w:r>
          </w:p>
        </w:tc>
        <w:tc>
          <w:tcPr>
            <w:tcW w:w="1276" w:type="dxa"/>
            <w:tcBorders>
              <w:top w:val="single" w:sz="4" w:space="0" w:color="auto"/>
              <w:left w:val="single" w:sz="4" w:space="0" w:color="auto"/>
              <w:bottom w:val="single" w:sz="4" w:space="0" w:color="auto"/>
              <w:right w:val="single" w:sz="4" w:space="0" w:color="auto"/>
            </w:tcBorders>
          </w:tcPr>
          <w:p w:rsidR="00247352" w:rsidRPr="003E754F" w:rsidRDefault="00247352" w:rsidP="008D328A">
            <w:pPr>
              <w:jc w:val="right"/>
              <w:rPr>
                <w:sz w:val="24"/>
                <w:szCs w:val="24"/>
              </w:rPr>
            </w:pPr>
            <w:r w:rsidRPr="003E754F">
              <w:rPr>
                <w:sz w:val="24"/>
                <w:szCs w:val="24"/>
              </w:rPr>
              <w:t>10 000</w:t>
            </w:r>
          </w:p>
        </w:tc>
      </w:tr>
      <w:tr w:rsidR="00983691" w:rsidRPr="005254EB" w:rsidTr="00214262">
        <w:tc>
          <w:tcPr>
            <w:tcW w:w="5070" w:type="dxa"/>
            <w:tcBorders>
              <w:top w:val="single" w:sz="4" w:space="0" w:color="auto"/>
              <w:left w:val="single" w:sz="4" w:space="0" w:color="auto"/>
              <w:bottom w:val="single" w:sz="4" w:space="0" w:color="auto"/>
              <w:right w:val="single" w:sz="4" w:space="0" w:color="auto"/>
            </w:tcBorders>
            <w:hideMark/>
          </w:tcPr>
          <w:p w:rsidR="00983691" w:rsidRPr="005254EB" w:rsidRDefault="00983691" w:rsidP="00983691">
            <w:pPr>
              <w:jc w:val="both"/>
            </w:pPr>
            <w:r w:rsidRPr="005254EB">
              <w:rPr>
                <w:bCs/>
              </w:rPr>
              <w:t>Kapitālie izdevumi</w:t>
            </w:r>
          </w:p>
        </w:tc>
        <w:tc>
          <w:tcPr>
            <w:tcW w:w="1390" w:type="dxa"/>
            <w:tcBorders>
              <w:top w:val="single" w:sz="4" w:space="0" w:color="auto"/>
              <w:left w:val="single" w:sz="4" w:space="0" w:color="auto"/>
              <w:bottom w:val="single" w:sz="4" w:space="0" w:color="auto"/>
              <w:right w:val="single" w:sz="4" w:space="0" w:color="auto"/>
            </w:tcBorders>
          </w:tcPr>
          <w:p w:rsidR="00983691" w:rsidRPr="003E754F" w:rsidRDefault="00214262" w:rsidP="008D328A">
            <w:pPr>
              <w:jc w:val="right"/>
              <w:rPr>
                <w:sz w:val="24"/>
                <w:szCs w:val="24"/>
              </w:rPr>
            </w:pPr>
            <w:r w:rsidRPr="003E754F">
              <w:rPr>
                <w:sz w:val="24"/>
                <w:szCs w:val="24"/>
              </w:rPr>
              <w:t>62 891</w:t>
            </w:r>
          </w:p>
        </w:tc>
        <w:tc>
          <w:tcPr>
            <w:tcW w:w="1443" w:type="dxa"/>
            <w:tcBorders>
              <w:top w:val="single" w:sz="4" w:space="0" w:color="auto"/>
              <w:left w:val="single" w:sz="4" w:space="0" w:color="auto"/>
              <w:bottom w:val="single" w:sz="4" w:space="0" w:color="auto"/>
              <w:right w:val="single" w:sz="4" w:space="0" w:color="auto"/>
            </w:tcBorders>
            <w:hideMark/>
          </w:tcPr>
          <w:p w:rsidR="00983691" w:rsidRPr="003E754F" w:rsidRDefault="003E754F" w:rsidP="00E37201">
            <w:pPr>
              <w:jc w:val="right"/>
              <w:rPr>
                <w:sz w:val="24"/>
                <w:szCs w:val="24"/>
              </w:rPr>
            </w:pPr>
            <w:r w:rsidRPr="003E754F">
              <w:rPr>
                <w:sz w:val="24"/>
                <w:szCs w:val="24"/>
              </w:rPr>
              <w:t>3</w:t>
            </w:r>
            <w:r w:rsidR="00E37201">
              <w:rPr>
                <w:sz w:val="24"/>
                <w:szCs w:val="24"/>
              </w:rPr>
              <w:t>3</w:t>
            </w:r>
            <w:r w:rsidRPr="003E754F">
              <w:rPr>
                <w:sz w:val="24"/>
                <w:szCs w:val="24"/>
              </w:rPr>
              <w:t> </w:t>
            </w:r>
            <w:r w:rsidR="00E37201">
              <w:rPr>
                <w:sz w:val="24"/>
                <w:szCs w:val="24"/>
              </w:rPr>
              <w:t>0</w:t>
            </w:r>
            <w:r w:rsidRPr="003E754F">
              <w:rPr>
                <w:sz w:val="24"/>
                <w:szCs w:val="24"/>
              </w:rPr>
              <w:t>60</w:t>
            </w:r>
          </w:p>
        </w:tc>
        <w:tc>
          <w:tcPr>
            <w:tcW w:w="1276" w:type="dxa"/>
            <w:tcBorders>
              <w:top w:val="single" w:sz="4" w:space="0" w:color="auto"/>
              <w:left w:val="single" w:sz="4" w:space="0" w:color="auto"/>
              <w:bottom w:val="single" w:sz="4" w:space="0" w:color="auto"/>
              <w:right w:val="single" w:sz="4" w:space="0" w:color="auto"/>
            </w:tcBorders>
          </w:tcPr>
          <w:p w:rsidR="00983691" w:rsidRPr="003E754F" w:rsidRDefault="003E754F" w:rsidP="00E37201">
            <w:pPr>
              <w:jc w:val="right"/>
              <w:rPr>
                <w:sz w:val="24"/>
                <w:szCs w:val="24"/>
              </w:rPr>
            </w:pPr>
            <w:r w:rsidRPr="003E754F">
              <w:rPr>
                <w:sz w:val="24"/>
                <w:szCs w:val="24"/>
              </w:rPr>
              <w:t>9</w:t>
            </w:r>
            <w:r w:rsidR="00E37201">
              <w:rPr>
                <w:sz w:val="24"/>
                <w:szCs w:val="24"/>
              </w:rPr>
              <w:t>5</w:t>
            </w:r>
            <w:r w:rsidRPr="003E754F">
              <w:rPr>
                <w:sz w:val="24"/>
                <w:szCs w:val="24"/>
              </w:rPr>
              <w:t> </w:t>
            </w:r>
            <w:r w:rsidR="00E37201">
              <w:rPr>
                <w:sz w:val="24"/>
                <w:szCs w:val="24"/>
              </w:rPr>
              <w:t>9</w:t>
            </w:r>
            <w:r w:rsidRPr="003E754F">
              <w:rPr>
                <w:sz w:val="24"/>
                <w:szCs w:val="24"/>
              </w:rPr>
              <w:t>51</w:t>
            </w:r>
          </w:p>
        </w:tc>
      </w:tr>
      <w:tr w:rsidR="00983691" w:rsidRPr="00983691" w:rsidTr="00F51BD7">
        <w:tc>
          <w:tcPr>
            <w:tcW w:w="5070" w:type="dxa"/>
            <w:tcBorders>
              <w:top w:val="single" w:sz="4" w:space="0" w:color="auto"/>
              <w:left w:val="single" w:sz="4" w:space="0" w:color="auto"/>
              <w:bottom w:val="single" w:sz="4" w:space="0" w:color="auto"/>
              <w:right w:val="single" w:sz="4" w:space="0" w:color="auto"/>
            </w:tcBorders>
            <w:hideMark/>
          </w:tcPr>
          <w:p w:rsidR="00983691" w:rsidRPr="00983691" w:rsidRDefault="00983691" w:rsidP="00983691">
            <w:pPr>
              <w:jc w:val="both"/>
            </w:pPr>
            <w:r w:rsidRPr="00983691">
              <w:rPr>
                <w:b/>
                <w:bCs/>
              </w:rPr>
              <w:t xml:space="preserve">         </w:t>
            </w:r>
            <w:r w:rsidRPr="00983691">
              <w:rPr>
                <w:bCs/>
              </w:rPr>
              <w:t>Pamatkapitāla veidošana</w:t>
            </w:r>
          </w:p>
        </w:tc>
        <w:tc>
          <w:tcPr>
            <w:tcW w:w="1390" w:type="dxa"/>
            <w:tcBorders>
              <w:top w:val="single" w:sz="4" w:space="0" w:color="auto"/>
              <w:left w:val="single" w:sz="4" w:space="0" w:color="auto"/>
              <w:bottom w:val="single" w:sz="4" w:space="0" w:color="auto"/>
              <w:right w:val="single" w:sz="4" w:space="0" w:color="auto"/>
            </w:tcBorders>
          </w:tcPr>
          <w:p w:rsidR="00983691" w:rsidRPr="00983691" w:rsidRDefault="00214262" w:rsidP="008D328A">
            <w:pPr>
              <w:jc w:val="right"/>
              <w:rPr>
                <w:sz w:val="24"/>
                <w:szCs w:val="24"/>
              </w:rPr>
            </w:pPr>
            <w:r w:rsidRPr="008D328A">
              <w:rPr>
                <w:sz w:val="24"/>
                <w:szCs w:val="24"/>
              </w:rPr>
              <w:t>62 891</w:t>
            </w:r>
          </w:p>
        </w:tc>
        <w:tc>
          <w:tcPr>
            <w:tcW w:w="1443" w:type="dxa"/>
            <w:tcBorders>
              <w:top w:val="single" w:sz="4" w:space="0" w:color="auto"/>
              <w:left w:val="single" w:sz="4" w:space="0" w:color="auto"/>
              <w:bottom w:val="single" w:sz="4" w:space="0" w:color="auto"/>
              <w:right w:val="single" w:sz="4" w:space="0" w:color="auto"/>
            </w:tcBorders>
            <w:hideMark/>
          </w:tcPr>
          <w:p w:rsidR="00983691" w:rsidRPr="00983691" w:rsidRDefault="003E754F" w:rsidP="00E37201">
            <w:pPr>
              <w:jc w:val="right"/>
              <w:rPr>
                <w:sz w:val="24"/>
                <w:szCs w:val="24"/>
              </w:rPr>
            </w:pPr>
            <w:r>
              <w:rPr>
                <w:sz w:val="24"/>
                <w:szCs w:val="24"/>
              </w:rPr>
              <w:t>3</w:t>
            </w:r>
            <w:r w:rsidR="00E37201">
              <w:rPr>
                <w:sz w:val="24"/>
                <w:szCs w:val="24"/>
              </w:rPr>
              <w:t>3</w:t>
            </w:r>
            <w:r>
              <w:rPr>
                <w:sz w:val="24"/>
                <w:szCs w:val="24"/>
              </w:rPr>
              <w:t> </w:t>
            </w:r>
            <w:r w:rsidR="00E37201">
              <w:rPr>
                <w:sz w:val="24"/>
                <w:szCs w:val="24"/>
              </w:rPr>
              <w:t>0</w:t>
            </w:r>
            <w:r>
              <w:rPr>
                <w:sz w:val="24"/>
                <w:szCs w:val="24"/>
              </w:rPr>
              <w:t>60</w:t>
            </w:r>
          </w:p>
        </w:tc>
        <w:tc>
          <w:tcPr>
            <w:tcW w:w="1276" w:type="dxa"/>
            <w:tcBorders>
              <w:top w:val="single" w:sz="4" w:space="0" w:color="auto"/>
              <w:left w:val="single" w:sz="4" w:space="0" w:color="auto"/>
              <w:bottom w:val="single" w:sz="4" w:space="0" w:color="auto"/>
              <w:right w:val="single" w:sz="4" w:space="0" w:color="auto"/>
            </w:tcBorders>
            <w:hideMark/>
          </w:tcPr>
          <w:p w:rsidR="00983691" w:rsidRPr="00983691" w:rsidRDefault="003E754F" w:rsidP="00E37201">
            <w:pPr>
              <w:jc w:val="right"/>
              <w:rPr>
                <w:sz w:val="24"/>
                <w:szCs w:val="24"/>
              </w:rPr>
            </w:pPr>
            <w:r>
              <w:rPr>
                <w:sz w:val="24"/>
                <w:szCs w:val="24"/>
              </w:rPr>
              <w:t>9</w:t>
            </w:r>
            <w:r w:rsidR="00E37201">
              <w:rPr>
                <w:sz w:val="24"/>
                <w:szCs w:val="24"/>
              </w:rPr>
              <w:t>5</w:t>
            </w:r>
            <w:r>
              <w:rPr>
                <w:sz w:val="24"/>
                <w:szCs w:val="24"/>
              </w:rPr>
              <w:t> </w:t>
            </w:r>
            <w:r w:rsidR="00E37201">
              <w:rPr>
                <w:sz w:val="24"/>
                <w:szCs w:val="24"/>
              </w:rPr>
              <w:t>9</w:t>
            </w:r>
            <w:r>
              <w:rPr>
                <w:sz w:val="24"/>
                <w:szCs w:val="24"/>
              </w:rPr>
              <w:t>51</w:t>
            </w:r>
          </w:p>
        </w:tc>
      </w:tr>
    </w:tbl>
    <w:p w:rsidR="002215A0" w:rsidRDefault="002215A0" w:rsidP="00D40D51">
      <w:pPr>
        <w:jc w:val="both"/>
      </w:pPr>
    </w:p>
    <w:p w:rsidR="002215A0" w:rsidRPr="00EB217E" w:rsidRDefault="002215A0" w:rsidP="000C4C89">
      <w:pPr>
        <w:ind w:firstLine="709"/>
        <w:jc w:val="both"/>
        <w:rPr>
          <w:rFonts w:cs="Times New Roman"/>
          <w:color w:val="000000"/>
          <w:szCs w:val="28"/>
        </w:rPr>
      </w:pPr>
      <w:r w:rsidRPr="00EB217E">
        <w:rPr>
          <w:rFonts w:cs="Times New Roman"/>
          <w:color w:val="000000"/>
          <w:szCs w:val="28"/>
        </w:rPr>
        <w:lastRenderedPageBreak/>
        <w:t>Papildus norādām, ka apropriācijas pārdale neietekmēs nākamajiem periodiem noteiktos maksimāli pieļaujamos izdevumu apjomus un nepalielinās iestāžu ilgtermiņa saistību pilnvaru limitus.</w:t>
      </w:r>
    </w:p>
    <w:p w:rsidR="002215A0" w:rsidRPr="00EB217E" w:rsidRDefault="002215A0" w:rsidP="000C4C89">
      <w:pPr>
        <w:suppressAutoHyphens/>
        <w:ind w:firstLine="709"/>
        <w:jc w:val="both"/>
        <w:rPr>
          <w:rFonts w:cs="Times New Roman"/>
          <w:szCs w:val="28"/>
        </w:rPr>
      </w:pPr>
      <w:r w:rsidRPr="00EB217E">
        <w:rPr>
          <w:rFonts w:cs="Times New Roman"/>
          <w:szCs w:val="28"/>
        </w:rPr>
        <w:t xml:space="preserve">Saskaņā ar Likuma par budžetu un finanšu vadību 9.panta trīspadsmitās daļas 1.punktu un likuma </w:t>
      </w:r>
      <w:r w:rsidR="00C522C3">
        <w:rPr>
          <w:rFonts w:cs="Times New Roman"/>
          <w:szCs w:val="28"/>
        </w:rPr>
        <w:t>„</w:t>
      </w:r>
      <w:r w:rsidRPr="00EB217E">
        <w:rPr>
          <w:rFonts w:cs="Times New Roman"/>
          <w:szCs w:val="28"/>
        </w:rPr>
        <w:t>Par valsts budžetu 2014. </w:t>
      </w:r>
      <w:r w:rsidR="00C522C3">
        <w:rPr>
          <w:rFonts w:cs="Times New Roman"/>
          <w:szCs w:val="28"/>
        </w:rPr>
        <w:t>g</w:t>
      </w:r>
      <w:r w:rsidRPr="00EB217E">
        <w:rPr>
          <w:rFonts w:cs="Times New Roman"/>
          <w:szCs w:val="28"/>
        </w:rPr>
        <w:t>adam</w:t>
      </w:r>
      <w:r w:rsidR="00C522C3">
        <w:rPr>
          <w:rFonts w:cs="Times New Roman"/>
          <w:szCs w:val="28"/>
        </w:rPr>
        <w:t>”</w:t>
      </w:r>
      <w:r w:rsidRPr="00EB217E">
        <w:rPr>
          <w:rFonts w:cs="Times New Roman"/>
          <w:szCs w:val="28"/>
        </w:rPr>
        <w:t xml:space="preserve"> 32. un 35.pantu, finanšu ministram ir tiesības budžeta resoram gadskārtējā valsts budžeta likumā noteiktās apropriācijas ietvaros pārdalīt apropriāciju starp budžeta izdevumu kodiem atbilstoši ekonomiskajām kategorijām, ja ir pieņemts attiecīgs Ministru kabineta lēmums. </w:t>
      </w:r>
    </w:p>
    <w:p w:rsidR="00BE3DDE" w:rsidRDefault="002215A0" w:rsidP="000C4C89">
      <w:pPr>
        <w:ind w:firstLine="709"/>
        <w:jc w:val="both"/>
        <w:rPr>
          <w:rFonts w:cs="Times New Roman"/>
          <w:szCs w:val="28"/>
        </w:rPr>
      </w:pPr>
      <w:r w:rsidRPr="00EB217E">
        <w:rPr>
          <w:rFonts w:cs="Times New Roman"/>
          <w:szCs w:val="28"/>
        </w:rPr>
        <w:t>Ņemot vērā minēto, lūdzam Ministru kabinetam atbalstīt iesniegto priekšlikumu par Ekonomikas ministrijas valsts pamatbudžeta programmas 96.00.00.</w:t>
      </w:r>
      <w:r w:rsidR="00C522C3">
        <w:rPr>
          <w:rFonts w:cs="Times New Roman"/>
          <w:szCs w:val="28"/>
        </w:rPr>
        <w:t xml:space="preserve"> „</w:t>
      </w:r>
      <w:r w:rsidRPr="00EB217E">
        <w:rPr>
          <w:rFonts w:cs="Times New Roman"/>
          <w:szCs w:val="28"/>
        </w:rPr>
        <w:t>Latvijas prezidentūras Eiropas Savienības Padomē nodrošināšana 2015.gadā” ietvaros apropriācijas pārdali starp budžeta izdevumu kodiem atbilstoši ekonomiskajām kategorijām.</w:t>
      </w:r>
    </w:p>
    <w:p w:rsidR="00BD58FE" w:rsidRDefault="00BD58FE">
      <w:pPr>
        <w:jc w:val="both"/>
        <w:rPr>
          <w:rFonts w:cs="Times New Roman"/>
          <w:szCs w:val="28"/>
        </w:rPr>
      </w:pPr>
    </w:p>
    <w:p w:rsidR="00346027" w:rsidRDefault="00346027" w:rsidP="00BD58FE">
      <w:pPr>
        <w:jc w:val="both"/>
        <w:rPr>
          <w:rFonts w:cs="Times New Roman"/>
        </w:rPr>
      </w:pPr>
    </w:p>
    <w:p w:rsidR="00BD58FE" w:rsidRPr="00BD58FE" w:rsidRDefault="00931714" w:rsidP="00BD58FE">
      <w:pPr>
        <w:jc w:val="both"/>
        <w:rPr>
          <w:rFonts w:cs="Times New Roman"/>
        </w:rPr>
      </w:pPr>
      <w:r>
        <w:rPr>
          <w:rFonts w:cs="Times New Roman"/>
        </w:rPr>
        <w:t>E</w:t>
      </w:r>
      <w:r w:rsidR="00BD58FE" w:rsidRPr="00BD58FE">
        <w:rPr>
          <w:rFonts w:cs="Times New Roman"/>
        </w:rPr>
        <w:t xml:space="preserve">konomikas ministrs                                                    </w:t>
      </w:r>
      <w:r w:rsidR="00BD58FE">
        <w:rPr>
          <w:rFonts w:cs="Times New Roman"/>
        </w:rPr>
        <w:t xml:space="preserve">          </w:t>
      </w:r>
      <w:r w:rsidR="00BD58FE" w:rsidRPr="00BD58FE">
        <w:rPr>
          <w:rFonts w:cs="Times New Roman"/>
        </w:rPr>
        <w:t xml:space="preserve">V. </w:t>
      </w:r>
      <w:proofErr w:type="spellStart"/>
      <w:r w:rsidR="00BD58FE" w:rsidRPr="00BD58FE">
        <w:rPr>
          <w:rFonts w:cs="Times New Roman"/>
        </w:rPr>
        <w:t>Dombrovskis</w:t>
      </w:r>
      <w:proofErr w:type="spellEnd"/>
    </w:p>
    <w:p w:rsidR="00BD58FE" w:rsidRPr="00BD58FE" w:rsidRDefault="00BD58FE" w:rsidP="00BD58FE">
      <w:pPr>
        <w:jc w:val="both"/>
        <w:rPr>
          <w:rFonts w:cs="Times New Roman"/>
        </w:rPr>
      </w:pPr>
    </w:p>
    <w:p w:rsidR="00BD58FE" w:rsidRPr="00BD58FE" w:rsidRDefault="00BD58FE" w:rsidP="00BD58FE">
      <w:pPr>
        <w:jc w:val="both"/>
        <w:rPr>
          <w:rFonts w:cs="Times New Roman"/>
        </w:rPr>
      </w:pPr>
      <w:r w:rsidRPr="00BD58FE">
        <w:rPr>
          <w:rFonts w:cs="Times New Roman"/>
        </w:rPr>
        <w:t>Vizē:</w:t>
      </w:r>
    </w:p>
    <w:p w:rsidR="008B2700" w:rsidRDefault="008B2700" w:rsidP="00BD58FE">
      <w:pPr>
        <w:jc w:val="both"/>
        <w:rPr>
          <w:rFonts w:cs="Times New Roman"/>
        </w:rPr>
      </w:pPr>
      <w:r>
        <w:rPr>
          <w:rFonts w:cs="Times New Roman"/>
        </w:rPr>
        <w:t>valsts sekretāra vietā</w:t>
      </w:r>
    </w:p>
    <w:p w:rsidR="008B2700" w:rsidRDefault="008B2700" w:rsidP="00BD58FE">
      <w:pPr>
        <w:jc w:val="both"/>
      </w:pPr>
      <w:bookmarkStart w:id="0" w:name="top"/>
      <w:r>
        <w:t>Stratēģiskās plānošanas un resursu vadības</w:t>
      </w:r>
    </w:p>
    <w:p w:rsidR="00BD58FE" w:rsidRPr="00BD58FE" w:rsidRDefault="008B2700" w:rsidP="00BD58FE">
      <w:pPr>
        <w:jc w:val="both"/>
        <w:rPr>
          <w:rFonts w:cs="Times New Roman"/>
        </w:rPr>
      </w:pPr>
      <w:r>
        <w:t>departament</w:t>
      </w:r>
      <w:bookmarkEnd w:id="0"/>
      <w:r>
        <w:t xml:space="preserve">a direktore </w:t>
      </w:r>
      <w:r w:rsidR="00BD58FE" w:rsidRPr="00BD58FE">
        <w:rPr>
          <w:rFonts w:cs="Times New Roman"/>
        </w:rPr>
        <w:t xml:space="preserve">                                                       </w:t>
      </w:r>
      <w:r w:rsidR="00BD58FE">
        <w:rPr>
          <w:rFonts w:cs="Times New Roman"/>
        </w:rPr>
        <w:t xml:space="preserve">           </w:t>
      </w:r>
      <w:r>
        <w:rPr>
          <w:rFonts w:cs="Times New Roman"/>
        </w:rPr>
        <w:t>V.Feodorova</w:t>
      </w:r>
    </w:p>
    <w:p w:rsidR="006C32A0" w:rsidRDefault="006C32A0" w:rsidP="00BD58FE">
      <w:pPr>
        <w:jc w:val="both"/>
        <w:rPr>
          <w:rFonts w:cs="Times New Roman"/>
          <w:sz w:val="24"/>
          <w:szCs w:val="24"/>
        </w:rPr>
      </w:pPr>
    </w:p>
    <w:p w:rsidR="00A05B39" w:rsidRDefault="00A05B39" w:rsidP="00BD58FE">
      <w:pPr>
        <w:jc w:val="both"/>
        <w:rPr>
          <w:rFonts w:cs="Times New Roman"/>
          <w:sz w:val="24"/>
          <w:szCs w:val="24"/>
        </w:rPr>
      </w:pPr>
    </w:p>
    <w:p w:rsidR="00A05B39" w:rsidRDefault="00A05B39" w:rsidP="00BD58FE">
      <w:pPr>
        <w:jc w:val="both"/>
        <w:rPr>
          <w:rFonts w:cs="Times New Roman"/>
          <w:sz w:val="24"/>
          <w:szCs w:val="24"/>
        </w:rPr>
      </w:pPr>
    </w:p>
    <w:p w:rsidR="00232DAE" w:rsidRDefault="008B2700" w:rsidP="00BD58FE">
      <w:pPr>
        <w:jc w:val="both"/>
        <w:rPr>
          <w:rFonts w:cs="Times New Roman"/>
          <w:sz w:val="24"/>
          <w:szCs w:val="24"/>
        </w:rPr>
      </w:pPr>
      <w:r>
        <w:rPr>
          <w:rFonts w:cs="Times New Roman"/>
          <w:sz w:val="24"/>
          <w:szCs w:val="24"/>
        </w:rPr>
        <w:t>25</w:t>
      </w:r>
      <w:r w:rsidR="00BD58FE" w:rsidRPr="00BD58FE">
        <w:rPr>
          <w:rFonts w:cs="Times New Roman"/>
          <w:sz w:val="24"/>
          <w:szCs w:val="24"/>
        </w:rPr>
        <w:t>.</w:t>
      </w:r>
      <w:r w:rsidR="00F26067" w:rsidRPr="00BD58FE">
        <w:rPr>
          <w:rFonts w:cs="Times New Roman"/>
          <w:sz w:val="24"/>
          <w:szCs w:val="24"/>
        </w:rPr>
        <w:t>0</w:t>
      </w:r>
      <w:r w:rsidR="00F26067">
        <w:rPr>
          <w:rFonts w:cs="Times New Roman"/>
          <w:sz w:val="24"/>
          <w:szCs w:val="24"/>
        </w:rPr>
        <w:t>6</w:t>
      </w:r>
      <w:r w:rsidR="00BD58FE" w:rsidRPr="00BD58FE">
        <w:rPr>
          <w:rFonts w:cs="Times New Roman"/>
          <w:sz w:val="24"/>
          <w:szCs w:val="24"/>
        </w:rPr>
        <w:t>.2014.</w:t>
      </w:r>
      <w:bookmarkStart w:id="1" w:name="_GoBack"/>
      <w:bookmarkEnd w:id="1"/>
    </w:p>
    <w:p w:rsidR="00F157DA" w:rsidRDefault="00F157DA" w:rsidP="00BD58FE">
      <w:pPr>
        <w:jc w:val="both"/>
        <w:rPr>
          <w:rFonts w:cs="Times New Roman"/>
          <w:sz w:val="24"/>
          <w:szCs w:val="24"/>
        </w:rPr>
      </w:pPr>
      <w:r>
        <w:rPr>
          <w:rFonts w:cs="Times New Roman"/>
          <w:sz w:val="24"/>
          <w:szCs w:val="24"/>
        </w:rPr>
        <w:fldChar w:fldCharType="begin"/>
      </w:r>
      <w:r>
        <w:rPr>
          <w:rFonts w:cs="Times New Roman"/>
          <w:sz w:val="24"/>
          <w:szCs w:val="24"/>
        </w:rPr>
        <w:instrText xml:space="preserve"> NUMWORDS   \* MERGEFORMAT </w:instrText>
      </w:r>
      <w:r>
        <w:rPr>
          <w:rFonts w:cs="Times New Roman"/>
          <w:sz w:val="24"/>
          <w:szCs w:val="24"/>
        </w:rPr>
        <w:fldChar w:fldCharType="separate"/>
      </w:r>
      <w:r w:rsidR="008B2700">
        <w:rPr>
          <w:rFonts w:cs="Times New Roman"/>
          <w:noProof/>
          <w:sz w:val="24"/>
          <w:szCs w:val="24"/>
        </w:rPr>
        <w:t>1462</w:t>
      </w:r>
      <w:r>
        <w:rPr>
          <w:rFonts w:cs="Times New Roman"/>
          <w:sz w:val="24"/>
          <w:szCs w:val="24"/>
        </w:rPr>
        <w:fldChar w:fldCharType="end"/>
      </w:r>
    </w:p>
    <w:p w:rsidR="00BD58FE" w:rsidRPr="00BD58FE" w:rsidRDefault="00084580" w:rsidP="00BD58FE">
      <w:pPr>
        <w:jc w:val="both"/>
        <w:rPr>
          <w:rFonts w:cs="Times New Roman"/>
          <w:sz w:val="24"/>
          <w:szCs w:val="24"/>
        </w:rPr>
      </w:pPr>
      <w:r>
        <w:rPr>
          <w:rFonts w:cs="Times New Roman"/>
          <w:sz w:val="24"/>
          <w:szCs w:val="24"/>
        </w:rPr>
        <w:t>M</w:t>
      </w:r>
      <w:r w:rsidR="00BD58FE" w:rsidRPr="00BD58FE">
        <w:rPr>
          <w:rFonts w:cs="Times New Roman"/>
          <w:sz w:val="24"/>
          <w:szCs w:val="24"/>
        </w:rPr>
        <w:t>.</w:t>
      </w:r>
      <w:r>
        <w:rPr>
          <w:rFonts w:cs="Times New Roman"/>
          <w:sz w:val="24"/>
          <w:szCs w:val="24"/>
        </w:rPr>
        <w:t>Rone</w:t>
      </w:r>
    </w:p>
    <w:p w:rsidR="00BD58FE" w:rsidRPr="00BD58FE" w:rsidRDefault="00BD58FE" w:rsidP="00BD58FE">
      <w:pPr>
        <w:jc w:val="both"/>
        <w:rPr>
          <w:rFonts w:cs="Times New Roman"/>
          <w:sz w:val="24"/>
          <w:szCs w:val="24"/>
        </w:rPr>
      </w:pPr>
      <w:r w:rsidRPr="00BD58FE">
        <w:rPr>
          <w:rFonts w:cs="Times New Roman"/>
          <w:sz w:val="24"/>
          <w:szCs w:val="24"/>
        </w:rPr>
        <w:t>67013</w:t>
      </w:r>
      <w:r w:rsidR="00D45814">
        <w:rPr>
          <w:rFonts w:cs="Times New Roman"/>
          <w:sz w:val="24"/>
          <w:szCs w:val="24"/>
        </w:rPr>
        <w:t>265</w:t>
      </w:r>
      <w:r w:rsidRPr="00BD58FE">
        <w:rPr>
          <w:rFonts w:cs="Times New Roman"/>
          <w:sz w:val="24"/>
          <w:szCs w:val="24"/>
        </w:rPr>
        <w:t xml:space="preserve">, </w:t>
      </w:r>
      <w:r w:rsidR="00D45814">
        <w:rPr>
          <w:rFonts w:cs="Times New Roman"/>
          <w:sz w:val="24"/>
          <w:szCs w:val="24"/>
        </w:rPr>
        <w:t>Mara.Rone</w:t>
      </w:r>
      <w:r w:rsidRPr="00BD58FE">
        <w:rPr>
          <w:rFonts w:cs="Times New Roman"/>
          <w:sz w:val="24"/>
          <w:szCs w:val="24"/>
        </w:rPr>
        <w:t>@em.gov.lv</w:t>
      </w:r>
    </w:p>
    <w:p w:rsidR="00BD58FE" w:rsidRDefault="00417A43">
      <w:pPr>
        <w:jc w:val="both"/>
        <w:rPr>
          <w:rFonts w:cs="Times New Roman"/>
          <w:sz w:val="24"/>
          <w:szCs w:val="24"/>
        </w:rPr>
      </w:pPr>
      <w:r>
        <w:rPr>
          <w:rFonts w:cs="Times New Roman"/>
          <w:sz w:val="24"/>
          <w:szCs w:val="24"/>
        </w:rPr>
        <w:t>R.Miļevska</w:t>
      </w:r>
    </w:p>
    <w:p w:rsidR="00417A43" w:rsidRPr="00BD58FE" w:rsidRDefault="00417A43">
      <w:pPr>
        <w:jc w:val="both"/>
        <w:rPr>
          <w:rFonts w:cs="Times New Roman"/>
          <w:sz w:val="24"/>
          <w:szCs w:val="24"/>
        </w:rPr>
      </w:pPr>
      <w:r>
        <w:rPr>
          <w:rFonts w:cs="Times New Roman"/>
          <w:sz w:val="24"/>
          <w:szCs w:val="24"/>
        </w:rPr>
        <w:t>67013180, Renate.Milevska@em.gov.lv</w:t>
      </w:r>
    </w:p>
    <w:sectPr w:rsidR="00417A43" w:rsidRPr="00BD58FE" w:rsidSect="00BE2362">
      <w:headerReference w:type="default" r:id="rId8"/>
      <w:footerReference w:type="default" r:id="rId9"/>
      <w:footerReference w:type="first" r:id="rId10"/>
      <w:pgSz w:w="11906" w:h="16838" w:code="9"/>
      <w:pgMar w:top="851" w:right="1134" w:bottom="1134"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742" w:rsidRDefault="002B5742" w:rsidP="00504302">
      <w:r>
        <w:separator/>
      </w:r>
    </w:p>
  </w:endnote>
  <w:endnote w:type="continuationSeparator" w:id="0">
    <w:p w:rsidR="002B5742" w:rsidRDefault="002B5742" w:rsidP="0050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5C4" w:rsidRDefault="007F65C4" w:rsidP="00AC5D9A">
    <w:pPr>
      <w:pStyle w:val="Footer"/>
      <w:jc w:val="both"/>
      <w:rPr>
        <w:sz w:val="20"/>
        <w:szCs w:val="20"/>
      </w:rPr>
    </w:pPr>
    <w:r>
      <w:rPr>
        <w:sz w:val="20"/>
        <w:szCs w:val="20"/>
      </w:rPr>
      <w:t>EM</w:t>
    </w:r>
    <w:r w:rsidR="00AC5D9A">
      <w:rPr>
        <w:sz w:val="20"/>
        <w:szCs w:val="20"/>
      </w:rPr>
      <w:t>z</w:t>
    </w:r>
    <w:r>
      <w:rPr>
        <w:sz w:val="20"/>
        <w:szCs w:val="20"/>
      </w:rPr>
      <w:t>ino_</w:t>
    </w:r>
    <w:r w:rsidR="008B2700">
      <w:rPr>
        <w:sz w:val="20"/>
        <w:szCs w:val="20"/>
      </w:rPr>
      <w:t>25</w:t>
    </w:r>
    <w:r>
      <w:rPr>
        <w:sz w:val="20"/>
        <w:szCs w:val="20"/>
      </w:rPr>
      <w:t>0</w:t>
    </w:r>
    <w:r w:rsidR="00FF06E5">
      <w:rPr>
        <w:sz w:val="20"/>
        <w:szCs w:val="20"/>
      </w:rPr>
      <w:t>6</w:t>
    </w:r>
    <w:r>
      <w:rPr>
        <w:sz w:val="20"/>
        <w:szCs w:val="20"/>
      </w:rPr>
      <w:t>14</w:t>
    </w:r>
    <w:r w:rsidR="00AC5D9A">
      <w:rPr>
        <w:sz w:val="20"/>
        <w:szCs w:val="20"/>
      </w:rPr>
      <w:t xml:space="preserve">; </w:t>
    </w:r>
    <w:r>
      <w:rPr>
        <w:sz w:val="20"/>
        <w:szCs w:val="20"/>
      </w:rPr>
      <w:t>Informatīvais ziņojums par Ekonomikas ministrijas valsts pamatbudžeta programmas 96.00.00. „Latvijas prezidentūras Eiropas Savienības Padomē nodrošināšana 2015.gadā” apropriācijas pārdali starp budžeta izdevumu kodiem atbilstoši ekonomiskajām kategorijām</w:t>
    </w:r>
  </w:p>
  <w:p w:rsidR="00504302" w:rsidRDefault="00504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9A" w:rsidRPr="00AC5D9A" w:rsidRDefault="00AC5D9A" w:rsidP="00AC5D9A">
    <w:pPr>
      <w:pStyle w:val="Footer"/>
      <w:jc w:val="both"/>
      <w:rPr>
        <w:sz w:val="20"/>
        <w:szCs w:val="20"/>
      </w:rPr>
    </w:pPr>
    <w:r>
      <w:rPr>
        <w:sz w:val="20"/>
        <w:szCs w:val="20"/>
      </w:rPr>
      <w:t>EMzino_</w:t>
    </w:r>
    <w:r w:rsidR="008B2700">
      <w:rPr>
        <w:sz w:val="20"/>
        <w:szCs w:val="20"/>
      </w:rPr>
      <w:t>25</w:t>
    </w:r>
    <w:r>
      <w:rPr>
        <w:sz w:val="20"/>
        <w:szCs w:val="20"/>
      </w:rPr>
      <w:t>0</w:t>
    </w:r>
    <w:r w:rsidR="00B41D89">
      <w:rPr>
        <w:sz w:val="20"/>
        <w:szCs w:val="20"/>
      </w:rPr>
      <w:t>6</w:t>
    </w:r>
    <w:r>
      <w:rPr>
        <w:sz w:val="20"/>
        <w:szCs w:val="20"/>
      </w:rPr>
      <w:t>14; Informatīvais ziņojums par Ekonomikas ministrijas valsts pamatbudžeta programmas 96.00.00. „Latvijas prezidentūras Eiropas Savienības Padomē nodrošināšana 2015.gadā” apropriācijas pārdali starp budžeta izdevumu kodiem atbilstoši ekonomiskajām kategorijām</w:t>
    </w:r>
  </w:p>
  <w:p w:rsidR="00AC5D9A" w:rsidRDefault="00AC5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742" w:rsidRDefault="002B5742" w:rsidP="00504302">
      <w:r>
        <w:separator/>
      </w:r>
    </w:p>
  </w:footnote>
  <w:footnote w:type="continuationSeparator" w:id="0">
    <w:p w:rsidR="002B5742" w:rsidRDefault="002B5742" w:rsidP="00504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733502"/>
      <w:docPartObj>
        <w:docPartGallery w:val="Page Numbers (Top of Page)"/>
        <w:docPartUnique/>
      </w:docPartObj>
    </w:sdtPr>
    <w:sdtEndPr>
      <w:rPr>
        <w:noProof/>
      </w:rPr>
    </w:sdtEndPr>
    <w:sdtContent>
      <w:p w:rsidR="006904DD" w:rsidRDefault="006904DD">
        <w:pPr>
          <w:pStyle w:val="Header"/>
          <w:jc w:val="center"/>
        </w:pPr>
        <w:r>
          <w:fldChar w:fldCharType="begin"/>
        </w:r>
        <w:r>
          <w:instrText xml:space="preserve"> PAGE   \* MERGEFORMAT </w:instrText>
        </w:r>
        <w:r>
          <w:fldChar w:fldCharType="separate"/>
        </w:r>
        <w:r w:rsidR="00BA5E49">
          <w:rPr>
            <w:noProof/>
          </w:rPr>
          <w:t>4</w:t>
        </w:r>
        <w:r>
          <w:rPr>
            <w:noProof/>
          </w:rPr>
          <w:fldChar w:fldCharType="end"/>
        </w:r>
      </w:p>
    </w:sdtContent>
  </w:sdt>
  <w:p w:rsidR="006904DD" w:rsidRDefault="00690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982"/>
    <w:multiLevelType w:val="hybridMultilevel"/>
    <w:tmpl w:val="455658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356433C"/>
    <w:multiLevelType w:val="hybridMultilevel"/>
    <w:tmpl w:val="4D58BAA8"/>
    <w:lvl w:ilvl="0" w:tplc="A62EE72C">
      <w:start w:val="513"/>
      <w:numFmt w:val="bullet"/>
      <w:lvlText w:val="-"/>
      <w:lvlJc w:val="left"/>
      <w:pPr>
        <w:ind w:left="178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497B4146"/>
    <w:multiLevelType w:val="hybridMultilevel"/>
    <w:tmpl w:val="3B245BCC"/>
    <w:lvl w:ilvl="0" w:tplc="A62EE72C">
      <w:start w:val="51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56827427"/>
    <w:multiLevelType w:val="hybridMultilevel"/>
    <w:tmpl w:val="8B76D8D4"/>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51"/>
    <w:rsid w:val="000125C8"/>
    <w:rsid w:val="000465DF"/>
    <w:rsid w:val="00084580"/>
    <w:rsid w:val="000914B5"/>
    <w:rsid w:val="000A077A"/>
    <w:rsid w:val="000A68B4"/>
    <w:rsid w:val="000B5DBC"/>
    <w:rsid w:val="000C3AFE"/>
    <w:rsid w:val="000C3C80"/>
    <w:rsid w:val="000C4C89"/>
    <w:rsid w:val="000E01F8"/>
    <w:rsid w:val="000F01B0"/>
    <w:rsid w:val="000F7785"/>
    <w:rsid w:val="00141D64"/>
    <w:rsid w:val="00152E1C"/>
    <w:rsid w:val="00174A9A"/>
    <w:rsid w:val="001811F3"/>
    <w:rsid w:val="0018522B"/>
    <w:rsid w:val="001C280B"/>
    <w:rsid w:val="001C7E2E"/>
    <w:rsid w:val="00214262"/>
    <w:rsid w:val="002215A0"/>
    <w:rsid w:val="002242E4"/>
    <w:rsid w:val="002306EE"/>
    <w:rsid w:val="00232DAE"/>
    <w:rsid w:val="00241F3A"/>
    <w:rsid w:val="00247352"/>
    <w:rsid w:val="00247DE3"/>
    <w:rsid w:val="0025644B"/>
    <w:rsid w:val="00265CAE"/>
    <w:rsid w:val="00285111"/>
    <w:rsid w:val="00285967"/>
    <w:rsid w:val="002B2AFA"/>
    <w:rsid w:val="002B5742"/>
    <w:rsid w:val="002B5D48"/>
    <w:rsid w:val="002B62FD"/>
    <w:rsid w:val="002E4AC7"/>
    <w:rsid w:val="003137CA"/>
    <w:rsid w:val="00341DC7"/>
    <w:rsid w:val="00344AE6"/>
    <w:rsid w:val="00346027"/>
    <w:rsid w:val="0035566A"/>
    <w:rsid w:val="00365775"/>
    <w:rsid w:val="003912E0"/>
    <w:rsid w:val="0039216A"/>
    <w:rsid w:val="003A63BA"/>
    <w:rsid w:val="003B1493"/>
    <w:rsid w:val="003B1FAE"/>
    <w:rsid w:val="003B33DC"/>
    <w:rsid w:val="003C2B5E"/>
    <w:rsid w:val="003D6117"/>
    <w:rsid w:val="003E19D4"/>
    <w:rsid w:val="003E754F"/>
    <w:rsid w:val="003E7FE2"/>
    <w:rsid w:val="003F0501"/>
    <w:rsid w:val="003F528C"/>
    <w:rsid w:val="00417A43"/>
    <w:rsid w:val="004539D8"/>
    <w:rsid w:val="004B1179"/>
    <w:rsid w:val="004B575D"/>
    <w:rsid w:val="004E5F72"/>
    <w:rsid w:val="00504302"/>
    <w:rsid w:val="00510D29"/>
    <w:rsid w:val="005254EB"/>
    <w:rsid w:val="00542335"/>
    <w:rsid w:val="00551494"/>
    <w:rsid w:val="00553396"/>
    <w:rsid w:val="0057232C"/>
    <w:rsid w:val="00576F37"/>
    <w:rsid w:val="00587D2C"/>
    <w:rsid w:val="00592AA0"/>
    <w:rsid w:val="005B1ED1"/>
    <w:rsid w:val="005D0241"/>
    <w:rsid w:val="00620017"/>
    <w:rsid w:val="00627107"/>
    <w:rsid w:val="00657E0C"/>
    <w:rsid w:val="00671078"/>
    <w:rsid w:val="0068134F"/>
    <w:rsid w:val="006904DD"/>
    <w:rsid w:val="006A19A9"/>
    <w:rsid w:val="006A4F39"/>
    <w:rsid w:val="006C018F"/>
    <w:rsid w:val="006C32A0"/>
    <w:rsid w:val="006C50FB"/>
    <w:rsid w:val="006C6929"/>
    <w:rsid w:val="006D3CB8"/>
    <w:rsid w:val="006E6598"/>
    <w:rsid w:val="006E79BB"/>
    <w:rsid w:val="006F5C62"/>
    <w:rsid w:val="007110ED"/>
    <w:rsid w:val="00713C1F"/>
    <w:rsid w:val="007321D0"/>
    <w:rsid w:val="0073436A"/>
    <w:rsid w:val="007365F1"/>
    <w:rsid w:val="00752D53"/>
    <w:rsid w:val="00754F0A"/>
    <w:rsid w:val="007559BC"/>
    <w:rsid w:val="00780232"/>
    <w:rsid w:val="00780604"/>
    <w:rsid w:val="007A09AA"/>
    <w:rsid w:val="007B70B6"/>
    <w:rsid w:val="007D5985"/>
    <w:rsid w:val="007D5DB9"/>
    <w:rsid w:val="007F65C4"/>
    <w:rsid w:val="00823EFC"/>
    <w:rsid w:val="00834A0D"/>
    <w:rsid w:val="00835D03"/>
    <w:rsid w:val="008426A1"/>
    <w:rsid w:val="00842C84"/>
    <w:rsid w:val="00843493"/>
    <w:rsid w:val="00844DC9"/>
    <w:rsid w:val="00871A6A"/>
    <w:rsid w:val="008A684E"/>
    <w:rsid w:val="008A7E79"/>
    <w:rsid w:val="008B2700"/>
    <w:rsid w:val="008B33D2"/>
    <w:rsid w:val="008D328A"/>
    <w:rsid w:val="008E0121"/>
    <w:rsid w:val="008E0C84"/>
    <w:rsid w:val="008E6466"/>
    <w:rsid w:val="00900D2C"/>
    <w:rsid w:val="00901A93"/>
    <w:rsid w:val="00907290"/>
    <w:rsid w:val="00911485"/>
    <w:rsid w:val="00913479"/>
    <w:rsid w:val="00925206"/>
    <w:rsid w:val="0092734B"/>
    <w:rsid w:val="00931714"/>
    <w:rsid w:val="00933A92"/>
    <w:rsid w:val="009814AA"/>
    <w:rsid w:val="00983691"/>
    <w:rsid w:val="00986937"/>
    <w:rsid w:val="00996C60"/>
    <w:rsid w:val="009B51D8"/>
    <w:rsid w:val="009C27EC"/>
    <w:rsid w:val="009D539C"/>
    <w:rsid w:val="009D7245"/>
    <w:rsid w:val="009E3CFA"/>
    <w:rsid w:val="00A03921"/>
    <w:rsid w:val="00A05B39"/>
    <w:rsid w:val="00A07B70"/>
    <w:rsid w:val="00A103B1"/>
    <w:rsid w:val="00A10CD6"/>
    <w:rsid w:val="00A124F7"/>
    <w:rsid w:val="00A131DF"/>
    <w:rsid w:val="00A148B0"/>
    <w:rsid w:val="00A31A50"/>
    <w:rsid w:val="00A43C69"/>
    <w:rsid w:val="00A51287"/>
    <w:rsid w:val="00A63ABF"/>
    <w:rsid w:val="00A66BF7"/>
    <w:rsid w:val="00A74E40"/>
    <w:rsid w:val="00A764F5"/>
    <w:rsid w:val="00A7744B"/>
    <w:rsid w:val="00A807F9"/>
    <w:rsid w:val="00AA0475"/>
    <w:rsid w:val="00AC5D9A"/>
    <w:rsid w:val="00AF2841"/>
    <w:rsid w:val="00B3024A"/>
    <w:rsid w:val="00B41D89"/>
    <w:rsid w:val="00B658C6"/>
    <w:rsid w:val="00B85114"/>
    <w:rsid w:val="00B8754E"/>
    <w:rsid w:val="00B969AD"/>
    <w:rsid w:val="00BA06F9"/>
    <w:rsid w:val="00BA579D"/>
    <w:rsid w:val="00BA5E49"/>
    <w:rsid w:val="00BB28E6"/>
    <w:rsid w:val="00BC2C64"/>
    <w:rsid w:val="00BD58FE"/>
    <w:rsid w:val="00BE2362"/>
    <w:rsid w:val="00BE3DDE"/>
    <w:rsid w:val="00C01A8D"/>
    <w:rsid w:val="00C02A3F"/>
    <w:rsid w:val="00C21466"/>
    <w:rsid w:val="00C45C7C"/>
    <w:rsid w:val="00C522C3"/>
    <w:rsid w:val="00C66904"/>
    <w:rsid w:val="00C85F02"/>
    <w:rsid w:val="00CC0CAA"/>
    <w:rsid w:val="00CC25A6"/>
    <w:rsid w:val="00CE00EE"/>
    <w:rsid w:val="00D114F8"/>
    <w:rsid w:val="00D1470E"/>
    <w:rsid w:val="00D25265"/>
    <w:rsid w:val="00D30EDF"/>
    <w:rsid w:val="00D40D51"/>
    <w:rsid w:val="00D45814"/>
    <w:rsid w:val="00D52B54"/>
    <w:rsid w:val="00D657B8"/>
    <w:rsid w:val="00D65F77"/>
    <w:rsid w:val="00D81060"/>
    <w:rsid w:val="00DA7200"/>
    <w:rsid w:val="00DB5172"/>
    <w:rsid w:val="00DC1BB7"/>
    <w:rsid w:val="00DC2055"/>
    <w:rsid w:val="00DE7B4B"/>
    <w:rsid w:val="00E050FA"/>
    <w:rsid w:val="00E07FD2"/>
    <w:rsid w:val="00E37201"/>
    <w:rsid w:val="00E74E5A"/>
    <w:rsid w:val="00EB217E"/>
    <w:rsid w:val="00EB3226"/>
    <w:rsid w:val="00EC4371"/>
    <w:rsid w:val="00ED06D7"/>
    <w:rsid w:val="00EE21B4"/>
    <w:rsid w:val="00EE5F23"/>
    <w:rsid w:val="00EF509E"/>
    <w:rsid w:val="00F157DA"/>
    <w:rsid w:val="00F168D8"/>
    <w:rsid w:val="00F2115D"/>
    <w:rsid w:val="00F26067"/>
    <w:rsid w:val="00F34B3E"/>
    <w:rsid w:val="00F44BD1"/>
    <w:rsid w:val="00F51BD7"/>
    <w:rsid w:val="00F52A29"/>
    <w:rsid w:val="00F54722"/>
    <w:rsid w:val="00F66923"/>
    <w:rsid w:val="00F7441C"/>
    <w:rsid w:val="00F806AB"/>
    <w:rsid w:val="00F95556"/>
    <w:rsid w:val="00F970E5"/>
    <w:rsid w:val="00FA7D67"/>
    <w:rsid w:val="00FC5206"/>
    <w:rsid w:val="00FD38F7"/>
    <w:rsid w:val="00FF06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302"/>
    <w:pPr>
      <w:tabs>
        <w:tab w:val="center" w:pos="4153"/>
        <w:tab w:val="right" w:pos="8306"/>
      </w:tabs>
    </w:pPr>
  </w:style>
  <w:style w:type="character" w:customStyle="1" w:styleId="HeaderChar">
    <w:name w:val="Header Char"/>
    <w:basedOn w:val="DefaultParagraphFont"/>
    <w:link w:val="Header"/>
    <w:uiPriority w:val="99"/>
    <w:rsid w:val="00504302"/>
  </w:style>
  <w:style w:type="paragraph" w:styleId="Footer">
    <w:name w:val="footer"/>
    <w:basedOn w:val="Normal"/>
    <w:link w:val="FooterChar"/>
    <w:unhideWhenUsed/>
    <w:rsid w:val="00504302"/>
    <w:pPr>
      <w:tabs>
        <w:tab w:val="center" w:pos="4153"/>
        <w:tab w:val="right" w:pos="8306"/>
      </w:tabs>
    </w:pPr>
  </w:style>
  <w:style w:type="character" w:customStyle="1" w:styleId="FooterChar">
    <w:name w:val="Footer Char"/>
    <w:basedOn w:val="DefaultParagraphFont"/>
    <w:link w:val="Footer"/>
    <w:rsid w:val="00504302"/>
  </w:style>
  <w:style w:type="paragraph" w:styleId="ListParagraph">
    <w:name w:val="List Paragraph"/>
    <w:basedOn w:val="Normal"/>
    <w:uiPriority w:val="34"/>
    <w:qFormat/>
    <w:rsid w:val="008A7E79"/>
    <w:pPr>
      <w:ind w:left="720"/>
      <w:contextualSpacing/>
    </w:pPr>
  </w:style>
  <w:style w:type="table" w:styleId="TableGrid">
    <w:name w:val="Table Grid"/>
    <w:basedOn w:val="TableNormal"/>
    <w:uiPriority w:val="59"/>
    <w:rsid w:val="00983691"/>
    <w:rPr>
      <w:rFonts w:eastAsia="Times New Roman"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7DA"/>
    <w:rPr>
      <w:rFonts w:ascii="Tahoma" w:hAnsi="Tahoma" w:cs="Tahoma"/>
      <w:sz w:val="16"/>
      <w:szCs w:val="16"/>
    </w:rPr>
  </w:style>
  <w:style w:type="character" w:customStyle="1" w:styleId="BalloonTextChar">
    <w:name w:val="Balloon Text Char"/>
    <w:basedOn w:val="DefaultParagraphFont"/>
    <w:link w:val="BalloonText"/>
    <w:uiPriority w:val="99"/>
    <w:semiHidden/>
    <w:rsid w:val="00F157DA"/>
    <w:rPr>
      <w:rFonts w:ascii="Tahoma" w:hAnsi="Tahoma" w:cs="Tahoma"/>
      <w:sz w:val="16"/>
      <w:szCs w:val="16"/>
    </w:rPr>
  </w:style>
  <w:style w:type="character" w:styleId="CommentReference">
    <w:name w:val="annotation reference"/>
    <w:basedOn w:val="DefaultParagraphFont"/>
    <w:uiPriority w:val="99"/>
    <w:semiHidden/>
    <w:unhideWhenUsed/>
    <w:rsid w:val="00842C84"/>
    <w:rPr>
      <w:sz w:val="16"/>
      <w:szCs w:val="16"/>
    </w:rPr>
  </w:style>
  <w:style w:type="paragraph" w:styleId="CommentText">
    <w:name w:val="annotation text"/>
    <w:basedOn w:val="Normal"/>
    <w:link w:val="CommentTextChar"/>
    <w:uiPriority w:val="99"/>
    <w:semiHidden/>
    <w:unhideWhenUsed/>
    <w:rsid w:val="00842C84"/>
    <w:rPr>
      <w:sz w:val="20"/>
      <w:szCs w:val="20"/>
    </w:rPr>
  </w:style>
  <w:style w:type="character" w:customStyle="1" w:styleId="CommentTextChar">
    <w:name w:val="Comment Text Char"/>
    <w:basedOn w:val="DefaultParagraphFont"/>
    <w:link w:val="CommentText"/>
    <w:uiPriority w:val="99"/>
    <w:semiHidden/>
    <w:rsid w:val="00842C84"/>
    <w:rPr>
      <w:sz w:val="20"/>
      <w:szCs w:val="20"/>
    </w:rPr>
  </w:style>
  <w:style w:type="paragraph" w:styleId="CommentSubject">
    <w:name w:val="annotation subject"/>
    <w:basedOn w:val="CommentText"/>
    <w:next w:val="CommentText"/>
    <w:link w:val="CommentSubjectChar"/>
    <w:uiPriority w:val="99"/>
    <w:semiHidden/>
    <w:unhideWhenUsed/>
    <w:rsid w:val="00842C84"/>
    <w:rPr>
      <w:b/>
      <w:bCs/>
    </w:rPr>
  </w:style>
  <w:style w:type="character" w:customStyle="1" w:styleId="CommentSubjectChar">
    <w:name w:val="Comment Subject Char"/>
    <w:basedOn w:val="CommentTextChar"/>
    <w:link w:val="CommentSubject"/>
    <w:uiPriority w:val="99"/>
    <w:semiHidden/>
    <w:rsid w:val="00842C84"/>
    <w:rPr>
      <w:b/>
      <w:bCs/>
      <w:sz w:val="20"/>
      <w:szCs w:val="20"/>
    </w:rPr>
  </w:style>
  <w:style w:type="character" w:styleId="Hyperlink">
    <w:name w:val="Hyperlink"/>
    <w:basedOn w:val="DefaultParagraphFont"/>
    <w:uiPriority w:val="99"/>
    <w:unhideWhenUsed/>
    <w:rsid w:val="00152E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302"/>
    <w:pPr>
      <w:tabs>
        <w:tab w:val="center" w:pos="4153"/>
        <w:tab w:val="right" w:pos="8306"/>
      </w:tabs>
    </w:pPr>
  </w:style>
  <w:style w:type="character" w:customStyle="1" w:styleId="HeaderChar">
    <w:name w:val="Header Char"/>
    <w:basedOn w:val="DefaultParagraphFont"/>
    <w:link w:val="Header"/>
    <w:uiPriority w:val="99"/>
    <w:rsid w:val="00504302"/>
  </w:style>
  <w:style w:type="paragraph" w:styleId="Footer">
    <w:name w:val="footer"/>
    <w:basedOn w:val="Normal"/>
    <w:link w:val="FooterChar"/>
    <w:unhideWhenUsed/>
    <w:rsid w:val="00504302"/>
    <w:pPr>
      <w:tabs>
        <w:tab w:val="center" w:pos="4153"/>
        <w:tab w:val="right" w:pos="8306"/>
      </w:tabs>
    </w:pPr>
  </w:style>
  <w:style w:type="character" w:customStyle="1" w:styleId="FooterChar">
    <w:name w:val="Footer Char"/>
    <w:basedOn w:val="DefaultParagraphFont"/>
    <w:link w:val="Footer"/>
    <w:rsid w:val="00504302"/>
  </w:style>
  <w:style w:type="paragraph" w:styleId="ListParagraph">
    <w:name w:val="List Paragraph"/>
    <w:basedOn w:val="Normal"/>
    <w:uiPriority w:val="34"/>
    <w:qFormat/>
    <w:rsid w:val="008A7E79"/>
    <w:pPr>
      <w:ind w:left="720"/>
      <w:contextualSpacing/>
    </w:pPr>
  </w:style>
  <w:style w:type="table" w:styleId="TableGrid">
    <w:name w:val="Table Grid"/>
    <w:basedOn w:val="TableNormal"/>
    <w:uiPriority w:val="59"/>
    <w:rsid w:val="00983691"/>
    <w:rPr>
      <w:rFonts w:eastAsia="Times New Roman"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7DA"/>
    <w:rPr>
      <w:rFonts w:ascii="Tahoma" w:hAnsi="Tahoma" w:cs="Tahoma"/>
      <w:sz w:val="16"/>
      <w:szCs w:val="16"/>
    </w:rPr>
  </w:style>
  <w:style w:type="character" w:customStyle="1" w:styleId="BalloonTextChar">
    <w:name w:val="Balloon Text Char"/>
    <w:basedOn w:val="DefaultParagraphFont"/>
    <w:link w:val="BalloonText"/>
    <w:uiPriority w:val="99"/>
    <w:semiHidden/>
    <w:rsid w:val="00F157DA"/>
    <w:rPr>
      <w:rFonts w:ascii="Tahoma" w:hAnsi="Tahoma" w:cs="Tahoma"/>
      <w:sz w:val="16"/>
      <w:szCs w:val="16"/>
    </w:rPr>
  </w:style>
  <w:style w:type="character" w:styleId="CommentReference">
    <w:name w:val="annotation reference"/>
    <w:basedOn w:val="DefaultParagraphFont"/>
    <w:uiPriority w:val="99"/>
    <w:semiHidden/>
    <w:unhideWhenUsed/>
    <w:rsid w:val="00842C84"/>
    <w:rPr>
      <w:sz w:val="16"/>
      <w:szCs w:val="16"/>
    </w:rPr>
  </w:style>
  <w:style w:type="paragraph" w:styleId="CommentText">
    <w:name w:val="annotation text"/>
    <w:basedOn w:val="Normal"/>
    <w:link w:val="CommentTextChar"/>
    <w:uiPriority w:val="99"/>
    <w:semiHidden/>
    <w:unhideWhenUsed/>
    <w:rsid w:val="00842C84"/>
    <w:rPr>
      <w:sz w:val="20"/>
      <w:szCs w:val="20"/>
    </w:rPr>
  </w:style>
  <w:style w:type="character" w:customStyle="1" w:styleId="CommentTextChar">
    <w:name w:val="Comment Text Char"/>
    <w:basedOn w:val="DefaultParagraphFont"/>
    <w:link w:val="CommentText"/>
    <w:uiPriority w:val="99"/>
    <w:semiHidden/>
    <w:rsid w:val="00842C84"/>
    <w:rPr>
      <w:sz w:val="20"/>
      <w:szCs w:val="20"/>
    </w:rPr>
  </w:style>
  <w:style w:type="paragraph" w:styleId="CommentSubject">
    <w:name w:val="annotation subject"/>
    <w:basedOn w:val="CommentText"/>
    <w:next w:val="CommentText"/>
    <w:link w:val="CommentSubjectChar"/>
    <w:uiPriority w:val="99"/>
    <w:semiHidden/>
    <w:unhideWhenUsed/>
    <w:rsid w:val="00842C84"/>
    <w:rPr>
      <w:b/>
      <w:bCs/>
    </w:rPr>
  </w:style>
  <w:style w:type="character" w:customStyle="1" w:styleId="CommentSubjectChar">
    <w:name w:val="Comment Subject Char"/>
    <w:basedOn w:val="CommentTextChar"/>
    <w:link w:val="CommentSubject"/>
    <w:uiPriority w:val="99"/>
    <w:semiHidden/>
    <w:rsid w:val="00842C84"/>
    <w:rPr>
      <w:b/>
      <w:bCs/>
      <w:sz w:val="20"/>
      <w:szCs w:val="20"/>
    </w:rPr>
  </w:style>
  <w:style w:type="character" w:styleId="Hyperlink">
    <w:name w:val="Hyperlink"/>
    <w:basedOn w:val="DefaultParagraphFont"/>
    <w:uiPriority w:val="99"/>
    <w:unhideWhenUsed/>
    <w:rsid w:val="00152E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15517">
      <w:bodyDiv w:val="1"/>
      <w:marLeft w:val="0"/>
      <w:marRight w:val="0"/>
      <w:marTop w:val="0"/>
      <w:marBottom w:val="0"/>
      <w:divBdr>
        <w:top w:val="none" w:sz="0" w:space="0" w:color="auto"/>
        <w:left w:val="none" w:sz="0" w:space="0" w:color="auto"/>
        <w:bottom w:val="none" w:sz="0" w:space="0" w:color="auto"/>
        <w:right w:val="none" w:sz="0" w:space="0" w:color="auto"/>
      </w:divBdr>
    </w:div>
    <w:div w:id="344986962">
      <w:bodyDiv w:val="1"/>
      <w:marLeft w:val="0"/>
      <w:marRight w:val="0"/>
      <w:marTop w:val="0"/>
      <w:marBottom w:val="0"/>
      <w:divBdr>
        <w:top w:val="none" w:sz="0" w:space="0" w:color="auto"/>
        <w:left w:val="none" w:sz="0" w:space="0" w:color="auto"/>
        <w:bottom w:val="none" w:sz="0" w:space="0" w:color="auto"/>
        <w:right w:val="none" w:sz="0" w:space="0" w:color="auto"/>
      </w:divBdr>
    </w:div>
    <w:div w:id="549613444">
      <w:bodyDiv w:val="1"/>
      <w:marLeft w:val="0"/>
      <w:marRight w:val="0"/>
      <w:marTop w:val="0"/>
      <w:marBottom w:val="0"/>
      <w:divBdr>
        <w:top w:val="none" w:sz="0" w:space="0" w:color="auto"/>
        <w:left w:val="none" w:sz="0" w:space="0" w:color="auto"/>
        <w:bottom w:val="none" w:sz="0" w:space="0" w:color="auto"/>
        <w:right w:val="none" w:sz="0" w:space="0" w:color="auto"/>
      </w:divBdr>
    </w:div>
    <w:div w:id="117121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10976</Characters>
  <Application>Microsoft Office Word</Application>
  <DocSecurity>0</DocSecurity>
  <Lines>498</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Māra Rone</dc:creator>
  <cp:lastModifiedBy>Māra Rone</cp:lastModifiedBy>
  <cp:revision>2</cp:revision>
  <cp:lastPrinted>2014-06-25T08:25:00Z</cp:lastPrinted>
  <dcterms:created xsi:type="dcterms:W3CDTF">2014-06-25T09:03:00Z</dcterms:created>
  <dcterms:modified xsi:type="dcterms:W3CDTF">2014-06-25T09:03:00Z</dcterms:modified>
</cp:coreProperties>
</file>