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1D5" w:rsidRPr="00D70B63" w:rsidRDefault="00DB11D5" w:rsidP="00D70B63">
      <w:pPr>
        <w:pStyle w:val="BodyText3"/>
        <w:spacing w:after="0"/>
        <w:jc w:val="center"/>
        <w:rPr>
          <w:b/>
          <w:bCs/>
          <w:sz w:val="28"/>
          <w:szCs w:val="28"/>
          <w:lang w:val="lv-LV"/>
        </w:rPr>
      </w:pPr>
      <w:r w:rsidRPr="00D70B63">
        <w:rPr>
          <w:b/>
          <w:bCs/>
          <w:sz w:val="28"/>
          <w:szCs w:val="28"/>
          <w:lang w:val="lv-LV"/>
        </w:rPr>
        <w:t>Mini</w:t>
      </w:r>
      <w:r w:rsidR="00C265A5" w:rsidRPr="00D70B63">
        <w:rPr>
          <w:b/>
          <w:bCs/>
          <w:sz w:val="28"/>
          <w:szCs w:val="28"/>
          <w:lang w:val="lv-LV"/>
        </w:rPr>
        <w:t>stru kabineta noteikumu projekt</w:t>
      </w:r>
      <w:r w:rsidR="00616BF8" w:rsidRPr="00D70B63">
        <w:rPr>
          <w:b/>
          <w:bCs/>
          <w:sz w:val="28"/>
          <w:szCs w:val="28"/>
          <w:lang w:val="lv-LV"/>
        </w:rPr>
        <w:t>a</w:t>
      </w:r>
      <w:r w:rsidRPr="00D70B63">
        <w:rPr>
          <w:b/>
          <w:bCs/>
          <w:sz w:val="28"/>
          <w:szCs w:val="28"/>
          <w:lang w:val="lv-LV"/>
        </w:rPr>
        <w:t xml:space="preserve"> „Ceturkšņa pārskatu sagatavošanas un iesniegšanas kārtība</w:t>
      </w:r>
      <w:r w:rsidR="00C265A5" w:rsidRPr="00D70B63">
        <w:rPr>
          <w:b/>
          <w:bCs/>
          <w:sz w:val="28"/>
          <w:szCs w:val="28"/>
          <w:lang w:val="lv-LV"/>
        </w:rPr>
        <w:t>”</w:t>
      </w:r>
      <w:r w:rsidRPr="00D70B63">
        <w:rPr>
          <w:b/>
          <w:bCs/>
          <w:sz w:val="28"/>
          <w:szCs w:val="28"/>
          <w:lang w:val="lv-LV"/>
        </w:rPr>
        <w:t xml:space="preserve"> sākotnējās ietekmes novērtējuma ziņojums (anotācija)</w:t>
      </w:r>
    </w:p>
    <w:p w:rsidR="008766F2" w:rsidRPr="00D70B63" w:rsidRDefault="008766F2" w:rsidP="00D75101">
      <w:pPr>
        <w:ind w:right="-1333"/>
        <w:jc w:val="center"/>
        <w:rPr>
          <w:b/>
          <w:bCs/>
        </w:rPr>
      </w:pPr>
    </w:p>
    <w:tbl>
      <w:tblPr>
        <w:tblW w:w="10206" w:type="dxa"/>
        <w:tblInd w:w="-4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579"/>
        <w:gridCol w:w="7087"/>
      </w:tblGrid>
      <w:tr w:rsidR="00D75101" w:rsidRPr="00D70B63" w:rsidTr="00C62AA8">
        <w:tc>
          <w:tcPr>
            <w:tcW w:w="10206" w:type="dxa"/>
            <w:gridSpan w:val="3"/>
            <w:tcBorders>
              <w:top w:val="single" w:sz="6" w:space="0" w:color="auto"/>
              <w:left w:val="single" w:sz="6" w:space="0" w:color="auto"/>
              <w:bottom w:val="single" w:sz="6" w:space="0" w:color="auto"/>
              <w:right w:val="single" w:sz="6" w:space="0" w:color="auto"/>
            </w:tcBorders>
          </w:tcPr>
          <w:p w:rsidR="008766F2" w:rsidRPr="00D70B63" w:rsidRDefault="00673510" w:rsidP="00D70B63">
            <w:pPr>
              <w:pStyle w:val="BodyTextIndent"/>
              <w:tabs>
                <w:tab w:val="left" w:pos="9504"/>
              </w:tabs>
              <w:spacing w:after="0"/>
              <w:jc w:val="center"/>
            </w:pPr>
            <w:r w:rsidRPr="00D70B63">
              <w:rPr>
                <w:bCs w:val="0"/>
              </w:rPr>
              <w:t>I. Tiesību akta projekta izstrādes nepieciešamība</w:t>
            </w:r>
          </w:p>
        </w:tc>
      </w:tr>
      <w:tr w:rsidR="00D75101" w:rsidRPr="00D70B63" w:rsidTr="00D70B63">
        <w:trPr>
          <w:trHeight w:val="65"/>
        </w:trPr>
        <w:tc>
          <w:tcPr>
            <w:tcW w:w="540" w:type="dxa"/>
            <w:tcBorders>
              <w:top w:val="single" w:sz="6" w:space="0" w:color="auto"/>
              <w:left w:val="single" w:sz="6" w:space="0" w:color="auto"/>
              <w:bottom w:val="single" w:sz="6" w:space="0" w:color="auto"/>
              <w:right w:val="single" w:sz="6" w:space="0" w:color="auto"/>
            </w:tcBorders>
          </w:tcPr>
          <w:p w:rsidR="008766F2" w:rsidRPr="00D70B63" w:rsidRDefault="00AF5AA2" w:rsidP="00D75101">
            <w:pPr>
              <w:pStyle w:val="BodyText"/>
              <w:jc w:val="both"/>
              <w:rPr>
                <w:b w:val="0"/>
                <w:bCs w:val="0"/>
                <w:sz w:val="24"/>
                <w:szCs w:val="24"/>
              </w:rPr>
            </w:pPr>
            <w:r w:rsidRPr="00D70B63">
              <w:rPr>
                <w:b w:val="0"/>
                <w:bCs w:val="0"/>
                <w:sz w:val="24"/>
                <w:szCs w:val="24"/>
              </w:rPr>
              <w:t xml:space="preserve">1. </w:t>
            </w:r>
          </w:p>
        </w:tc>
        <w:tc>
          <w:tcPr>
            <w:tcW w:w="2579" w:type="dxa"/>
            <w:tcBorders>
              <w:top w:val="single" w:sz="6" w:space="0" w:color="auto"/>
              <w:left w:val="single" w:sz="6" w:space="0" w:color="auto"/>
              <w:bottom w:val="single" w:sz="6" w:space="0" w:color="auto"/>
              <w:right w:val="single" w:sz="6" w:space="0" w:color="auto"/>
            </w:tcBorders>
          </w:tcPr>
          <w:p w:rsidR="008766F2" w:rsidRPr="00D70B63" w:rsidRDefault="00AF5AA2" w:rsidP="00D75101">
            <w:pPr>
              <w:pStyle w:val="BodyTextIndent"/>
              <w:spacing w:after="0"/>
              <w:rPr>
                <w:b w:val="0"/>
                <w:bCs w:val="0"/>
              </w:rPr>
            </w:pPr>
            <w:r w:rsidRPr="00D70B63">
              <w:rPr>
                <w:b w:val="0"/>
                <w:bCs w:val="0"/>
              </w:rPr>
              <w:t>Pamatojums</w:t>
            </w:r>
          </w:p>
        </w:tc>
        <w:tc>
          <w:tcPr>
            <w:tcW w:w="7087" w:type="dxa"/>
            <w:tcBorders>
              <w:top w:val="single" w:sz="6" w:space="0" w:color="auto"/>
              <w:left w:val="single" w:sz="6" w:space="0" w:color="auto"/>
              <w:bottom w:val="single" w:sz="6" w:space="0" w:color="auto"/>
              <w:right w:val="single" w:sz="6" w:space="0" w:color="auto"/>
            </w:tcBorders>
          </w:tcPr>
          <w:p w:rsidR="008766F2" w:rsidRPr="00D70B63" w:rsidRDefault="00DB11D5" w:rsidP="00D70B63">
            <w:pPr>
              <w:pStyle w:val="BodyTextIndent"/>
              <w:spacing w:after="0"/>
              <w:rPr>
                <w:b w:val="0"/>
              </w:rPr>
            </w:pPr>
            <w:r w:rsidRPr="00D70B63">
              <w:rPr>
                <w:rFonts w:eastAsia="Calibri"/>
                <w:b w:val="0"/>
                <w:bCs w:val="0"/>
              </w:rPr>
              <w:t>Ministru kabineta noteikumu projekts (turpmāk – Noteikumu projekts) izstrādāts pamatojoties uz Likuma par budžetu un finanšu vadību 30.panta septīto un astoto daļu.</w:t>
            </w:r>
          </w:p>
        </w:tc>
      </w:tr>
      <w:tr w:rsidR="00D75101" w:rsidRPr="00D70B63" w:rsidTr="00D70B63">
        <w:tc>
          <w:tcPr>
            <w:tcW w:w="540" w:type="dxa"/>
            <w:tcBorders>
              <w:top w:val="single" w:sz="6" w:space="0" w:color="auto"/>
              <w:left w:val="single" w:sz="6" w:space="0" w:color="auto"/>
              <w:bottom w:val="single" w:sz="6" w:space="0" w:color="auto"/>
              <w:right w:val="single" w:sz="6" w:space="0" w:color="auto"/>
            </w:tcBorders>
          </w:tcPr>
          <w:p w:rsidR="00EB707C" w:rsidRPr="00D70B63" w:rsidRDefault="00EB707C" w:rsidP="00D75101">
            <w:pPr>
              <w:pStyle w:val="BodyText"/>
              <w:jc w:val="both"/>
              <w:rPr>
                <w:b w:val="0"/>
                <w:bCs w:val="0"/>
                <w:sz w:val="24"/>
                <w:szCs w:val="24"/>
              </w:rPr>
            </w:pPr>
            <w:r w:rsidRPr="00D70B63">
              <w:rPr>
                <w:b w:val="0"/>
                <w:bCs w:val="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EB707C" w:rsidRPr="00D70B63" w:rsidRDefault="00EB707C" w:rsidP="00D75101">
            <w:pPr>
              <w:jc w:val="both"/>
            </w:pPr>
            <w:r w:rsidRPr="00D70B63">
              <w:t>Pašreizējā situācija un problēmas, kuru risināšanai tiesību akta projekts izstrādāts, tiesiskā regulējuma mērķis un būtība</w:t>
            </w:r>
          </w:p>
        </w:tc>
        <w:tc>
          <w:tcPr>
            <w:tcW w:w="7087" w:type="dxa"/>
            <w:tcBorders>
              <w:top w:val="single" w:sz="6" w:space="0" w:color="auto"/>
              <w:left w:val="single" w:sz="6" w:space="0" w:color="auto"/>
              <w:bottom w:val="single" w:sz="6" w:space="0" w:color="auto"/>
              <w:right w:val="single" w:sz="6" w:space="0" w:color="auto"/>
            </w:tcBorders>
          </w:tcPr>
          <w:p w:rsidR="002D3459" w:rsidRPr="00D70B63" w:rsidRDefault="002D3459">
            <w:pPr>
              <w:pStyle w:val="DefaultParagraphFont1"/>
              <w:ind w:left="57" w:right="57"/>
              <w:jc w:val="both"/>
              <w:rPr>
                <w:sz w:val="24"/>
              </w:rPr>
            </w:pPr>
            <w:r w:rsidRPr="00D70B63">
              <w:rPr>
                <w:sz w:val="24"/>
              </w:rPr>
              <w:t>Šobr</w:t>
            </w:r>
            <w:r w:rsidRPr="00D70B63">
              <w:rPr>
                <w:rFonts w:hint="eastAsia"/>
                <w:sz w:val="24"/>
              </w:rPr>
              <w:t>ī</w:t>
            </w:r>
            <w:r w:rsidRPr="00D70B63">
              <w:rPr>
                <w:sz w:val="24"/>
              </w:rPr>
              <w:t>d sp</w:t>
            </w:r>
            <w:r w:rsidRPr="00D70B63">
              <w:rPr>
                <w:rFonts w:hint="eastAsia"/>
                <w:sz w:val="24"/>
              </w:rPr>
              <w:t>ē</w:t>
            </w:r>
            <w:r w:rsidRPr="00D70B63">
              <w:rPr>
                <w:sz w:val="24"/>
              </w:rPr>
              <w:t>k</w:t>
            </w:r>
            <w:r w:rsidRPr="00D70B63">
              <w:rPr>
                <w:rFonts w:hint="eastAsia"/>
                <w:sz w:val="24"/>
              </w:rPr>
              <w:t>ā</w:t>
            </w:r>
            <w:r w:rsidRPr="00D70B63">
              <w:rPr>
                <w:sz w:val="24"/>
              </w:rPr>
              <w:t xml:space="preserve"> esošie Ministru kabineta </w:t>
            </w:r>
            <w:r w:rsidRPr="00D70B63">
              <w:rPr>
                <w:sz w:val="24"/>
                <w:szCs w:val="24"/>
              </w:rPr>
              <w:t>2010.gada 1.j</w:t>
            </w:r>
            <w:r w:rsidRPr="00D70B63">
              <w:rPr>
                <w:rFonts w:hint="eastAsia"/>
                <w:sz w:val="24"/>
                <w:szCs w:val="24"/>
              </w:rPr>
              <w:t>ū</w:t>
            </w:r>
            <w:r w:rsidRPr="00D70B63">
              <w:rPr>
                <w:sz w:val="24"/>
                <w:szCs w:val="24"/>
              </w:rPr>
              <w:t>nija noteikumi Nr.4</w:t>
            </w:r>
            <w:r w:rsidR="00D462B7" w:rsidRPr="00D70B63">
              <w:rPr>
                <w:sz w:val="24"/>
                <w:szCs w:val="24"/>
              </w:rPr>
              <w:t>9</w:t>
            </w:r>
            <w:r w:rsidRPr="00D70B63">
              <w:rPr>
                <w:sz w:val="24"/>
                <w:szCs w:val="24"/>
              </w:rPr>
              <w:t xml:space="preserve">8 </w:t>
            </w:r>
            <w:r w:rsidR="00616BF8" w:rsidRPr="00D70B63">
              <w:rPr>
                <w:rFonts w:ascii="Times New Roman" w:hAnsi="Times New Roman"/>
                <w:sz w:val="24"/>
                <w:szCs w:val="24"/>
              </w:rPr>
              <w:t>„</w:t>
            </w:r>
            <w:r w:rsidRPr="00D70B63">
              <w:rPr>
                <w:rFonts w:ascii="Times New Roman" w:hAnsi="Times New Roman"/>
                <w:sz w:val="24"/>
                <w:szCs w:val="24"/>
              </w:rPr>
              <w:t>Ceturkšņa finanšu pārskatu sagatavošanas un iesniegšanas kārtība</w:t>
            </w:r>
            <w:r w:rsidRPr="00D70B63">
              <w:rPr>
                <w:bCs/>
                <w:sz w:val="24"/>
              </w:rPr>
              <w:t>”</w:t>
            </w:r>
            <w:r w:rsidR="00411095" w:rsidRPr="00D70B63">
              <w:rPr>
                <w:sz w:val="24"/>
              </w:rPr>
              <w:t xml:space="preserve"> (turpm</w:t>
            </w:r>
            <w:r w:rsidR="00411095" w:rsidRPr="00D70B63">
              <w:rPr>
                <w:rFonts w:hint="eastAsia"/>
                <w:sz w:val="24"/>
              </w:rPr>
              <w:t>ā</w:t>
            </w:r>
            <w:r w:rsidR="00411095" w:rsidRPr="00D70B63">
              <w:rPr>
                <w:sz w:val="24"/>
              </w:rPr>
              <w:t>k – Noteikumi Nr.49</w:t>
            </w:r>
            <w:r w:rsidRPr="00D70B63">
              <w:rPr>
                <w:sz w:val="24"/>
              </w:rPr>
              <w:t>8) nosaka k</w:t>
            </w:r>
            <w:r w:rsidRPr="00D70B63">
              <w:rPr>
                <w:rFonts w:hint="eastAsia"/>
                <w:sz w:val="24"/>
              </w:rPr>
              <w:t>ā</w:t>
            </w:r>
            <w:r w:rsidRPr="00D70B63">
              <w:rPr>
                <w:sz w:val="24"/>
              </w:rPr>
              <w:t>rt</w:t>
            </w:r>
            <w:r w:rsidRPr="00D70B63">
              <w:rPr>
                <w:rFonts w:hint="eastAsia"/>
                <w:sz w:val="24"/>
              </w:rPr>
              <w:t>ī</w:t>
            </w:r>
            <w:r w:rsidRPr="00D70B63">
              <w:rPr>
                <w:sz w:val="24"/>
              </w:rPr>
              <w:t>bu, k</w:t>
            </w:r>
            <w:r w:rsidRPr="00D70B63">
              <w:rPr>
                <w:rFonts w:hint="eastAsia"/>
                <w:sz w:val="24"/>
              </w:rPr>
              <w:t>ā</w:t>
            </w:r>
            <w:r w:rsidRPr="00D70B63">
              <w:rPr>
                <w:sz w:val="24"/>
              </w:rPr>
              <w:t>d</w:t>
            </w:r>
            <w:r w:rsidRPr="00D70B63">
              <w:rPr>
                <w:rFonts w:hint="eastAsia"/>
                <w:sz w:val="24"/>
              </w:rPr>
              <w:t>ā</w:t>
            </w:r>
            <w:r w:rsidRPr="00D70B63">
              <w:rPr>
                <w:sz w:val="24"/>
              </w:rPr>
              <w:t xml:space="preserve"> valsts budžeta iest</w:t>
            </w:r>
            <w:r w:rsidRPr="00D70B63">
              <w:rPr>
                <w:rFonts w:hint="eastAsia"/>
                <w:sz w:val="24"/>
              </w:rPr>
              <w:t>ā</w:t>
            </w:r>
            <w:r w:rsidRPr="00D70B63">
              <w:rPr>
                <w:sz w:val="24"/>
              </w:rPr>
              <w:t>des,</w:t>
            </w:r>
            <w:r w:rsidR="00FB1CDF" w:rsidRPr="00D70B63">
              <w:t xml:space="preserve"> </w:t>
            </w:r>
            <w:proofErr w:type="spellStart"/>
            <w:r w:rsidR="00FB1CDF" w:rsidRPr="00D70B63">
              <w:rPr>
                <w:sz w:val="24"/>
              </w:rPr>
              <w:t>t.sk</w:t>
            </w:r>
            <w:proofErr w:type="spellEnd"/>
            <w:r w:rsidR="00FB1CDF" w:rsidRPr="00D70B63">
              <w:rPr>
                <w:sz w:val="24"/>
              </w:rPr>
              <w:t>. publiskie nodibin</w:t>
            </w:r>
            <w:r w:rsidR="00FB1CDF" w:rsidRPr="00D70B63">
              <w:rPr>
                <w:rFonts w:hint="eastAsia"/>
                <w:sz w:val="24"/>
              </w:rPr>
              <w:t>ā</w:t>
            </w:r>
            <w:r w:rsidR="00FB1CDF" w:rsidRPr="00D70B63">
              <w:rPr>
                <w:sz w:val="24"/>
              </w:rPr>
              <w:t>jumi</w:t>
            </w:r>
            <w:r w:rsidR="00FB1CDF" w:rsidRPr="00D70B63">
              <w:t>,</w:t>
            </w:r>
            <w:r w:rsidRPr="00D70B63">
              <w:rPr>
                <w:sz w:val="24"/>
              </w:rPr>
              <w:t xml:space="preserve"> pašvald</w:t>
            </w:r>
            <w:r w:rsidRPr="00D70B63">
              <w:rPr>
                <w:rFonts w:hint="eastAsia"/>
                <w:sz w:val="24"/>
              </w:rPr>
              <w:t>ī</w:t>
            </w:r>
            <w:r w:rsidRPr="00D70B63">
              <w:rPr>
                <w:sz w:val="24"/>
              </w:rPr>
              <w:t>bas un no valsts budžeta da</w:t>
            </w:r>
            <w:r w:rsidRPr="00D70B63">
              <w:rPr>
                <w:rFonts w:hint="eastAsia"/>
                <w:sz w:val="24"/>
              </w:rPr>
              <w:t>ļē</w:t>
            </w:r>
            <w:r w:rsidRPr="00D70B63">
              <w:rPr>
                <w:sz w:val="24"/>
              </w:rPr>
              <w:t>ji finans</w:t>
            </w:r>
            <w:r w:rsidRPr="00D70B63">
              <w:rPr>
                <w:rFonts w:hint="eastAsia"/>
                <w:sz w:val="24"/>
              </w:rPr>
              <w:t>ē</w:t>
            </w:r>
            <w:r w:rsidRPr="00D70B63">
              <w:rPr>
                <w:sz w:val="24"/>
              </w:rPr>
              <w:t>tas atvasin</w:t>
            </w:r>
            <w:r w:rsidRPr="00D70B63">
              <w:rPr>
                <w:rFonts w:hint="eastAsia"/>
                <w:sz w:val="24"/>
              </w:rPr>
              <w:t>ā</w:t>
            </w:r>
            <w:r w:rsidRPr="00D70B63">
              <w:rPr>
                <w:sz w:val="24"/>
              </w:rPr>
              <w:t>tas publiskas personas sagatavo un iesniedz ceturkš</w:t>
            </w:r>
            <w:r w:rsidRPr="00D70B63">
              <w:rPr>
                <w:rFonts w:hint="eastAsia"/>
                <w:sz w:val="24"/>
              </w:rPr>
              <w:t>ņ</w:t>
            </w:r>
            <w:r w:rsidRPr="00D70B63">
              <w:rPr>
                <w:sz w:val="24"/>
              </w:rPr>
              <w:t>a finanšu p</w:t>
            </w:r>
            <w:r w:rsidRPr="00D70B63">
              <w:rPr>
                <w:rFonts w:hint="eastAsia"/>
                <w:sz w:val="24"/>
              </w:rPr>
              <w:t>ā</w:t>
            </w:r>
            <w:r w:rsidRPr="00D70B63">
              <w:rPr>
                <w:sz w:val="24"/>
              </w:rPr>
              <w:t>rskatus. Noteikumus Nr.4</w:t>
            </w:r>
            <w:r w:rsidR="00D462B7" w:rsidRPr="00D70B63">
              <w:rPr>
                <w:sz w:val="24"/>
              </w:rPr>
              <w:t>9</w:t>
            </w:r>
            <w:r w:rsidRPr="00D70B63">
              <w:rPr>
                <w:sz w:val="24"/>
              </w:rPr>
              <w:t>8 nepieciešams groz</w:t>
            </w:r>
            <w:r w:rsidRPr="00D70B63">
              <w:rPr>
                <w:rFonts w:hint="eastAsia"/>
                <w:sz w:val="24"/>
              </w:rPr>
              <w:t>ī</w:t>
            </w:r>
            <w:r w:rsidRPr="00D70B63">
              <w:rPr>
                <w:sz w:val="24"/>
              </w:rPr>
              <w:t xml:space="preserve">t, lai </w:t>
            </w:r>
            <w:r w:rsidRPr="00D70B63">
              <w:rPr>
                <w:sz w:val="24"/>
                <w:szCs w:val="24"/>
              </w:rPr>
              <w:t>uzlabotu p</w:t>
            </w:r>
            <w:r w:rsidRPr="00D70B63">
              <w:rPr>
                <w:rFonts w:hint="eastAsia"/>
                <w:sz w:val="24"/>
                <w:szCs w:val="24"/>
              </w:rPr>
              <w:t>ā</w:t>
            </w:r>
            <w:r w:rsidRPr="00D70B63">
              <w:rPr>
                <w:sz w:val="24"/>
                <w:szCs w:val="24"/>
              </w:rPr>
              <w:t>rskatu datu kvalit</w:t>
            </w:r>
            <w:r w:rsidRPr="00D70B63">
              <w:rPr>
                <w:rFonts w:hint="eastAsia"/>
                <w:sz w:val="24"/>
                <w:szCs w:val="24"/>
              </w:rPr>
              <w:t>ā</w:t>
            </w:r>
            <w:r w:rsidRPr="00D70B63">
              <w:rPr>
                <w:sz w:val="24"/>
                <w:szCs w:val="24"/>
              </w:rPr>
              <w:t>ti</w:t>
            </w:r>
            <w:r w:rsidRPr="00D70B63">
              <w:rPr>
                <w:sz w:val="24"/>
              </w:rPr>
              <w:t>, atvieglotu lietot</w:t>
            </w:r>
            <w:r w:rsidRPr="00D70B63">
              <w:rPr>
                <w:rFonts w:hint="eastAsia"/>
                <w:sz w:val="24"/>
              </w:rPr>
              <w:t>ā</w:t>
            </w:r>
            <w:r w:rsidRPr="00D70B63">
              <w:rPr>
                <w:sz w:val="24"/>
              </w:rPr>
              <w:t>jiem p</w:t>
            </w:r>
            <w:r w:rsidRPr="00D70B63">
              <w:rPr>
                <w:rFonts w:hint="eastAsia"/>
                <w:sz w:val="24"/>
              </w:rPr>
              <w:t>ā</w:t>
            </w:r>
            <w:r w:rsidRPr="00D70B63">
              <w:rPr>
                <w:sz w:val="24"/>
              </w:rPr>
              <w:t xml:space="preserve">rskatu sagatavošanu un </w:t>
            </w:r>
            <w:r w:rsidRPr="00D70B63">
              <w:rPr>
                <w:sz w:val="24"/>
                <w:szCs w:val="24"/>
              </w:rPr>
              <w:t>veiktu teksta redakcion</w:t>
            </w:r>
            <w:r w:rsidRPr="00D70B63">
              <w:rPr>
                <w:rFonts w:hint="eastAsia"/>
                <w:sz w:val="24"/>
                <w:szCs w:val="24"/>
              </w:rPr>
              <w:t>ā</w:t>
            </w:r>
            <w:r w:rsidRPr="00D70B63">
              <w:rPr>
                <w:sz w:val="24"/>
                <w:szCs w:val="24"/>
              </w:rPr>
              <w:t>lu preciz</w:t>
            </w:r>
            <w:r w:rsidRPr="00D70B63">
              <w:rPr>
                <w:rFonts w:hint="eastAsia"/>
                <w:sz w:val="24"/>
                <w:szCs w:val="24"/>
              </w:rPr>
              <w:t>ēš</w:t>
            </w:r>
            <w:r w:rsidRPr="00D70B63">
              <w:rPr>
                <w:sz w:val="24"/>
                <w:szCs w:val="24"/>
              </w:rPr>
              <w:t>anu un papildin</w:t>
            </w:r>
            <w:r w:rsidRPr="00D70B63">
              <w:rPr>
                <w:rFonts w:hint="eastAsia"/>
                <w:sz w:val="24"/>
                <w:szCs w:val="24"/>
              </w:rPr>
              <w:t>āš</w:t>
            </w:r>
            <w:r w:rsidRPr="00D70B63">
              <w:rPr>
                <w:sz w:val="24"/>
                <w:szCs w:val="24"/>
              </w:rPr>
              <w:t>anu, lai lietot</w:t>
            </w:r>
            <w:r w:rsidRPr="00D70B63">
              <w:rPr>
                <w:rFonts w:hint="eastAsia"/>
                <w:sz w:val="24"/>
                <w:szCs w:val="24"/>
              </w:rPr>
              <w:t>ā</w:t>
            </w:r>
            <w:r w:rsidRPr="00D70B63">
              <w:rPr>
                <w:sz w:val="24"/>
                <w:szCs w:val="24"/>
              </w:rPr>
              <w:t>jiem b</w:t>
            </w:r>
            <w:r w:rsidRPr="00D70B63">
              <w:rPr>
                <w:rFonts w:hint="eastAsia"/>
                <w:sz w:val="24"/>
                <w:szCs w:val="24"/>
              </w:rPr>
              <w:t>ū</w:t>
            </w:r>
            <w:r w:rsidRPr="00D70B63">
              <w:rPr>
                <w:sz w:val="24"/>
                <w:szCs w:val="24"/>
              </w:rPr>
              <w:t>tu saprotam</w:t>
            </w:r>
            <w:r w:rsidRPr="00D70B63">
              <w:rPr>
                <w:rFonts w:hint="eastAsia"/>
                <w:sz w:val="24"/>
                <w:szCs w:val="24"/>
              </w:rPr>
              <w:t>ā</w:t>
            </w:r>
            <w:r w:rsidRPr="00D70B63">
              <w:rPr>
                <w:sz w:val="24"/>
                <w:szCs w:val="24"/>
              </w:rPr>
              <w:t>ka p</w:t>
            </w:r>
            <w:r w:rsidRPr="00D70B63">
              <w:rPr>
                <w:rFonts w:hint="eastAsia"/>
                <w:sz w:val="24"/>
                <w:szCs w:val="24"/>
              </w:rPr>
              <w:t>ā</w:t>
            </w:r>
            <w:r w:rsidRPr="00D70B63">
              <w:rPr>
                <w:sz w:val="24"/>
                <w:szCs w:val="24"/>
              </w:rPr>
              <w:t>rskatu sagatavošanas k</w:t>
            </w:r>
            <w:r w:rsidRPr="00D70B63">
              <w:rPr>
                <w:rFonts w:hint="eastAsia"/>
                <w:sz w:val="24"/>
                <w:szCs w:val="24"/>
              </w:rPr>
              <w:t>ā</w:t>
            </w:r>
            <w:r w:rsidRPr="00D70B63">
              <w:rPr>
                <w:sz w:val="24"/>
                <w:szCs w:val="24"/>
              </w:rPr>
              <w:t>rt</w:t>
            </w:r>
            <w:r w:rsidRPr="00D70B63">
              <w:rPr>
                <w:rFonts w:hint="eastAsia"/>
                <w:sz w:val="24"/>
                <w:szCs w:val="24"/>
              </w:rPr>
              <w:t>ī</w:t>
            </w:r>
            <w:r w:rsidRPr="00D70B63">
              <w:rPr>
                <w:sz w:val="24"/>
                <w:szCs w:val="24"/>
              </w:rPr>
              <w:t>ba.</w:t>
            </w:r>
          </w:p>
          <w:p w:rsidR="00D70B63" w:rsidRPr="00D70B63" w:rsidRDefault="002D3459" w:rsidP="00D70B63">
            <w:pPr>
              <w:ind w:left="34"/>
              <w:contextualSpacing/>
              <w:jc w:val="both"/>
              <w:rPr>
                <w:rFonts w:ascii="CG Times (W1)" w:hAnsi="CG Times (W1)"/>
                <w:szCs w:val="20"/>
              </w:rPr>
            </w:pPr>
            <w:r w:rsidRPr="00D70B63">
              <w:rPr>
                <w:rFonts w:ascii="CG Times (W1)" w:hAnsi="CG Times (W1)"/>
                <w:szCs w:val="20"/>
              </w:rPr>
              <w:t>Saska</w:t>
            </w:r>
            <w:r w:rsidRPr="00D70B63">
              <w:rPr>
                <w:rFonts w:ascii="CG Times (W1)" w:hAnsi="CG Times (W1)" w:hint="eastAsia"/>
                <w:szCs w:val="20"/>
              </w:rPr>
              <w:t>ņā</w:t>
            </w:r>
            <w:r w:rsidRPr="00D70B63">
              <w:rPr>
                <w:rFonts w:ascii="CG Times (W1)" w:hAnsi="CG Times (W1)"/>
                <w:szCs w:val="20"/>
              </w:rPr>
              <w:t xml:space="preserve"> ar Ministru kabineta 2009.gada 3.febru</w:t>
            </w:r>
            <w:r w:rsidRPr="00D70B63">
              <w:rPr>
                <w:rFonts w:ascii="CG Times (W1)" w:hAnsi="CG Times (W1)" w:hint="eastAsia"/>
                <w:szCs w:val="20"/>
              </w:rPr>
              <w:t>ā</w:t>
            </w:r>
            <w:r w:rsidRPr="00D70B63">
              <w:rPr>
                <w:rFonts w:ascii="CG Times (W1)" w:hAnsi="CG Times (W1)"/>
                <w:szCs w:val="20"/>
              </w:rPr>
              <w:t>ra noteikumu Nr.108 „Normat</w:t>
            </w:r>
            <w:r w:rsidRPr="00D70B63">
              <w:rPr>
                <w:rFonts w:ascii="CG Times (W1)" w:hAnsi="CG Times (W1)" w:hint="eastAsia"/>
                <w:szCs w:val="20"/>
              </w:rPr>
              <w:t>ī</w:t>
            </w:r>
            <w:r w:rsidRPr="00D70B63">
              <w:rPr>
                <w:rFonts w:ascii="CG Times (W1)" w:hAnsi="CG Times (W1)"/>
                <w:szCs w:val="20"/>
              </w:rPr>
              <w:t>vo aktu sagatavošanas noteikumi” 140. punktu, ja groz</w:t>
            </w:r>
            <w:r w:rsidRPr="00D70B63">
              <w:rPr>
                <w:rFonts w:ascii="CG Times (W1)" w:hAnsi="CG Times (W1)" w:hint="eastAsia"/>
                <w:szCs w:val="20"/>
              </w:rPr>
              <w:t>ī</w:t>
            </w:r>
            <w:r w:rsidRPr="00D70B63">
              <w:rPr>
                <w:rFonts w:ascii="CG Times (W1)" w:hAnsi="CG Times (W1)"/>
                <w:szCs w:val="20"/>
              </w:rPr>
              <w:t>jumi noteikumos p</w:t>
            </w:r>
            <w:r w:rsidRPr="00D70B63">
              <w:rPr>
                <w:rFonts w:ascii="CG Times (W1)" w:hAnsi="CG Times (W1)" w:hint="eastAsia"/>
                <w:szCs w:val="20"/>
              </w:rPr>
              <w:t>ē</w:t>
            </w:r>
            <w:r w:rsidRPr="00D70B63">
              <w:rPr>
                <w:rFonts w:ascii="CG Times (W1)" w:hAnsi="CG Times (W1)"/>
                <w:szCs w:val="20"/>
              </w:rPr>
              <w:t>c apjoma p</w:t>
            </w:r>
            <w:r w:rsidRPr="00D70B63">
              <w:rPr>
                <w:rFonts w:ascii="CG Times (W1)" w:hAnsi="CG Times (W1)" w:hint="eastAsia"/>
                <w:szCs w:val="20"/>
              </w:rPr>
              <w:t>ā</w:t>
            </w:r>
            <w:r w:rsidRPr="00D70B63">
              <w:rPr>
                <w:rFonts w:ascii="CG Times (W1)" w:hAnsi="CG Times (W1)"/>
                <w:szCs w:val="20"/>
              </w:rPr>
              <w:t>rsniedz pusi no sp</w:t>
            </w:r>
            <w:r w:rsidRPr="00D70B63">
              <w:rPr>
                <w:rFonts w:ascii="CG Times (W1)" w:hAnsi="CG Times (W1)" w:hint="eastAsia"/>
                <w:szCs w:val="20"/>
              </w:rPr>
              <w:t>ē</w:t>
            </w:r>
            <w:r w:rsidRPr="00D70B63">
              <w:rPr>
                <w:rFonts w:ascii="CG Times (W1)" w:hAnsi="CG Times (W1)"/>
                <w:szCs w:val="20"/>
              </w:rPr>
              <w:t>k</w:t>
            </w:r>
            <w:r w:rsidRPr="00D70B63">
              <w:rPr>
                <w:rFonts w:ascii="CG Times (W1)" w:hAnsi="CG Times (W1)" w:hint="eastAsia"/>
                <w:szCs w:val="20"/>
              </w:rPr>
              <w:t>ā</w:t>
            </w:r>
            <w:r w:rsidRPr="00D70B63">
              <w:rPr>
                <w:rFonts w:ascii="CG Times (W1)" w:hAnsi="CG Times (W1)"/>
                <w:szCs w:val="20"/>
              </w:rPr>
              <w:t xml:space="preserve"> esošo noteikumu normu apjoma, sagatavo jaunu noteikumu projektu. L</w:t>
            </w:r>
            <w:r w:rsidRPr="00D70B63">
              <w:rPr>
                <w:rFonts w:ascii="CG Times (W1)" w:hAnsi="CG Times (W1)" w:hint="eastAsia"/>
                <w:szCs w:val="20"/>
              </w:rPr>
              <w:t>ī</w:t>
            </w:r>
            <w:r w:rsidRPr="00D70B63">
              <w:rPr>
                <w:rFonts w:ascii="CG Times (W1)" w:hAnsi="CG Times (W1)"/>
                <w:szCs w:val="20"/>
              </w:rPr>
              <w:t xml:space="preserve">dz ar to ir sagatavots jauns </w:t>
            </w:r>
            <w:r w:rsidR="00616BF8" w:rsidRPr="00D70B63">
              <w:rPr>
                <w:rFonts w:ascii="CG Times (W1)" w:hAnsi="CG Times (W1)"/>
                <w:szCs w:val="20"/>
              </w:rPr>
              <w:t>N</w:t>
            </w:r>
            <w:r w:rsidRPr="00D70B63">
              <w:rPr>
                <w:rFonts w:ascii="CG Times (W1)" w:hAnsi="CG Times (W1)"/>
                <w:szCs w:val="20"/>
              </w:rPr>
              <w:t>oteikumu projekts.</w:t>
            </w:r>
          </w:p>
          <w:p w:rsidR="002D3459" w:rsidRPr="00D70B63" w:rsidRDefault="002D3459" w:rsidP="00D75101">
            <w:pPr>
              <w:pStyle w:val="ListParagraph"/>
              <w:tabs>
                <w:tab w:val="left" w:pos="389"/>
              </w:tabs>
              <w:ind w:left="0"/>
              <w:jc w:val="both"/>
            </w:pPr>
            <w:r w:rsidRPr="00D70B63">
              <w:t>Noteikumu projekts paredzēs:</w:t>
            </w:r>
          </w:p>
          <w:p w:rsidR="002D3459" w:rsidRPr="00D70B63" w:rsidRDefault="002D3459" w:rsidP="00D75101">
            <w:pPr>
              <w:pStyle w:val="ListParagraph"/>
              <w:numPr>
                <w:ilvl w:val="0"/>
                <w:numId w:val="6"/>
              </w:numPr>
              <w:tabs>
                <w:tab w:val="left" w:pos="531"/>
              </w:tabs>
              <w:jc w:val="both"/>
            </w:pPr>
            <w:r w:rsidRPr="00D70B63">
              <w:t xml:space="preserve">precizēt iesniedzamās informācijas apjomu, papildus atklājot informāciju par noslēgtajiem apdrošināšanas līgumiem, atvasinātajiem finanšu instrumentiem, kuriem pārskata periodā ir pozitīvas vērtības grāmatvedības </w:t>
            </w:r>
            <w:r w:rsidR="00397A87" w:rsidRPr="00D70B63">
              <w:t>bilances aktīva un pasīva</w:t>
            </w:r>
            <w:r w:rsidRPr="00D70B63">
              <w:t xml:space="preserve"> kontos</w:t>
            </w:r>
            <w:r w:rsidR="00616BF8" w:rsidRPr="00D70B63">
              <w:t xml:space="preserve">, jo </w:t>
            </w:r>
            <w:r w:rsidR="00D70B63" w:rsidRPr="00D70B63">
              <w:t>nepieciešams nodrošināt kvalitatīvu datu apkopošanu statistikas vajadzībām</w:t>
            </w:r>
            <w:r w:rsidRPr="00D70B63">
              <w:t>;</w:t>
            </w:r>
          </w:p>
          <w:p w:rsidR="00D9106A" w:rsidRPr="00D70B63" w:rsidRDefault="00D9106A">
            <w:pPr>
              <w:pStyle w:val="ListParagraph"/>
              <w:numPr>
                <w:ilvl w:val="0"/>
                <w:numId w:val="6"/>
              </w:numPr>
              <w:tabs>
                <w:tab w:val="left" w:pos="531"/>
              </w:tabs>
              <w:jc w:val="both"/>
            </w:pPr>
            <w:r w:rsidRPr="00D70B63">
              <w:t xml:space="preserve">papildināt </w:t>
            </w:r>
            <w:r w:rsidR="00875520" w:rsidRPr="00D70B63">
              <w:t>sadaļu par konsolidētajiem pārskatiem, nosakot ministrijām un citām centrālām valsts iestādēm un pašvaldībām konsolidējamās pozīcijas</w:t>
            </w:r>
            <w:r w:rsidR="00616BF8" w:rsidRPr="00D70B63">
              <w:t xml:space="preserve">, </w:t>
            </w:r>
            <w:r w:rsidR="00D70B63" w:rsidRPr="00D70B63">
              <w:t>lai nodrošinātu vienādus konsolidācijas principus iepriekšminētajās iestādēs</w:t>
            </w:r>
            <w:r w:rsidR="00616BF8" w:rsidRPr="00D70B63">
              <w:t>;</w:t>
            </w:r>
          </w:p>
          <w:p w:rsidR="002D3459" w:rsidRPr="00D70B63" w:rsidRDefault="002D3459">
            <w:pPr>
              <w:pStyle w:val="ListParagraph"/>
              <w:numPr>
                <w:ilvl w:val="0"/>
                <w:numId w:val="6"/>
              </w:numPr>
              <w:tabs>
                <w:tab w:val="left" w:pos="531"/>
              </w:tabs>
              <w:jc w:val="both"/>
            </w:pPr>
            <w:r w:rsidRPr="00D70B63">
              <w:t xml:space="preserve">noteikt normas attiecībā uz </w:t>
            </w:r>
            <w:r w:rsidR="006676D9" w:rsidRPr="00D70B63">
              <w:t>Valsts d</w:t>
            </w:r>
            <w:r w:rsidRPr="00D70B63">
              <w:t>rošības iestādēm</w:t>
            </w:r>
            <w:r w:rsidR="008B323D" w:rsidRPr="00D70B63">
              <w:t>, neuzliekot par pienākumu tām iesniegt ceturkšņa pārskatus</w:t>
            </w:r>
            <w:r w:rsidR="00F31445" w:rsidRPr="00D70B63">
              <w:t>, jo likuma „Valsts drošības iestāžu likums” 24.punkta 5.apakšpunkts nosaka, ka ziņas par valsts drošības iestāžu personāla skaitlisko sastāvu un iekšējo struktūru, to amatu sarakstiem, finansēm un tehnisko aprīkojumu ir valsts noslēpums. Izvērtējot Valsts drošības iestāžu finanšu datu kopējo apjomu šo noteikumu izpratnē, tiem nav būtiskas ietekmes uz apkopotajiem statistiskajiem finanšu datiem</w:t>
            </w:r>
            <w:r w:rsidR="00011635" w:rsidRPr="00D70B63">
              <w:t>.</w:t>
            </w:r>
          </w:p>
          <w:p w:rsidR="005349C2" w:rsidRPr="00D70B63" w:rsidRDefault="002D3459">
            <w:pPr>
              <w:pStyle w:val="ListParagraph"/>
              <w:numPr>
                <w:ilvl w:val="0"/>
                <w:numId w:val="6"/>
              </w:numPr>
              <w:tabs>
                <w:tab w:val="left" w:pos="531"/>
              </w:tabs>
              <w:jc w:val="both"/>
            </w:pPr>
            <w:r w:rsidRPr="00D70B63">
              <w:t>pārskatīt veidlapu struktūru, tuvinot veidlapu</w:t>
            </w:r>
            <w:r w:rsidRPr="00D70B63">
              <w:rPr>
                <w:lang w:bidi="ar-DZ"/>
              </w:rPr>
              <w:t xml:space="preserve"> saturu</w:t>
            </w:r>
            <w:r w:rsidRPr="00D70B63">
              <w:t xml:space="preserve"> un izskatu </w:t>
            </w:r>
            <w:r w:rsidR="001C050E" w:rsidRPr="00D70B63">
              <w:t xml:space="preserve">2013.gada 15.oktobra Ministru kabineta noteikumu Nr.1115 „Gada pārskata sagatavošanas kārtība” (turpmāk – Noteikumi Nr.1115) </w:t>
            </w:r>
            <w:r w:rsidRPr="00D70B63">
              <w:t>atbilstošajām veidlapām</w:t>
            </w:r>
            <w:r w:rsidR="005349C2" w:rsidRPr="00D70B63">
              <w:t>:</w:t>
            </w:r>
          </w:p>
          <w:p w:rsidR="005349C2" w:rsidRPr="00D70B63" w:rsidRDefault="00510E54">
            <w:pPr>
              <w:pStyle w:val="ListParagraph"/>
              <w:numPr>
                <w:ilvl w:val="1"/>
                <w:numId w:val="7"/>
              </w:numPr>
              <w:tabs>
                <w:tab w:val="left" w:pos="531"/>
              </w:tabs>
              <w:jc w:val="both"/>
            </w:pPr>
            <w:r w:rsidRPr="00D70B63">
              <w:t xml:space="preserve">3.2.1. apakšnodaļā „Veidlapas </w:t>
            </w:r>
            <w:proofErr w:type="spellStart"/>
            <w:r w:rsidRPr="00D70B63">
              <w:t>Nr.C-1</w:t>
            </w:r>
            <w:proofErr w:type="spellEnd"/>
            <w:r w:rsidRPr="00D70B63">
              <w:t xml:space="preserve"> „Naudas līdzekļu izmaiņu pārskats” aizpildīšanas kārtība” pievienoti punkti, kuros atrunāta Valsts kases kontiem piesaistīto kredītkaršu atlikumu uz pārskata perioda beigām,</w:t>
            </w:r>
            <w:r w:rsidR="00D5027E" w:rsidRPr="00D70B63">
              <w:t xml:space="preserve"> naudas līdzekļu atlikumu, kuri budžeta iestādei </w:t>
            </w:r>
            <w:r w:rsidR="00D5027E" w:rsidRPr="00D70B63">
              <w:lastRenderedPageBreak/>
              <w:t>perioda beigās ir grāmatvedības kontā 2670 „Nauda ceļā”, kā arī naudas līdzekļu nodošanu vai saņemšanu</w:t>
            </w:r>
            <w:r w:rsidR="00616BF8" w:rsidRPr="00D70B63">
              <w:t>,</w:t>
            </w:r>
            <w:r w:rsidR="00D5027E" w:rsidRPr="00D70B63">
              <w:t xml:space="preserve"> reorganizējot iestādi, mainot tās padotību vai to likvidējot, uzrādīšanu pārskatā. </w:t>
            </w:r>
          </w:p>
          <w:p w:rsidR="005349C2" w:rsidRPr="00D70B63" w:rsidRDefault="005349C2">
            <w:pPr>
              <w:pStyle w:val="ListParagraph"/>
              <w:numPr>
                <w:ilvl w:val="1"/>
                <w:numId w:val="7"/>
              </w:numPr>
              <w:tabs>
                <w:tab w:val="left" w:pos="531"/>
              </w:tabs>
              <w:jc w:val="both"/>
            </w:pPr>
            <w:r w:rsidRPr="00D70B63">
              <w:t xml:space="preserve">3.2.2. apakšnodaļā „Veidlapas </w:t>
            </w:r>
            <w:proofErr w:type="spellStart"/>
            <w:r w:rsidRPr="00D70B63">
              <w:t>Nr.C-2</w:t>
            </w:r>
            <w:proofErr w:type="spellEnd"/>
            <w:r w:rsidRPr="00D70B63">
              <w:t xml:space="preserve"> „Iegādāto parāda vērtspapīru izmaiņu pārskats” aizpildīšanas kārtība” </w:t>
            </w:r>
            <w:r w:rsidR="002B28B8" w:rsidRPr="00D70B63">
              <w:t>noteikta grāmatvedības kontu 1340 un 2540 datu izmantošana veidlapās aizpildīšanā</w:t>
            </w:r>
            <w:r w:rsidR="00222B17" w:rsidRPr="00D70B63">
              <w:t>.</w:t>
            </w:r>
          </w:p>
          <w:p w:rsidR="00EF0E2B" w:rsidRPr="00D70B63" w:rsidRDefault="00EF0E2B">
            <w:pPr>
              <w:pStyle w:val="ListParagraph"/>
              <w:numPr>
                <w:ilvl w:val="1"/>
                <w:numId w:val="7"/>
              </w:numPr>
              <w:tabs>
                <w:tab w:val="left" w:pos="531"/>
              </w:tabs>
              <w:jc w:val="both"/>
            </w:pPr>
            <w:r w:rsidRPr="00D70B63">
              <w:t xml:space="preserve">3.2.3. apakšnodaļa „Veidlapas </w:t>
            </w:r>
            <w:proofErr w:type="spellStart"/>
            <w:r w:rsidRPr="00D70B63">
              <w:t>Nr.C-3</w:t>
            </w:r>
            <w:proofErr w:type="spellEnd"/>
            <w:r w:rsidRPr="00D70B63">
              <w:t xml:space="preserve"> „Aizdevumu izmaiņu pārskats” aizpildīšanas kārtība” precizēta, lai sagatavotā informācija būtu salīdzināma ar Noteikumu Nr.1115 atbilstošo veidlapu;</w:t>
            </w:r>
          </w:p>
          <w:p w:rsidR="00EF0E2B" w:rsidRPr="00D70B63" w:rsidRDefault="00EF0E2B">
            <w:pPr>
              <w:pStyle w:val="ListParagraph"/>
              <w:numPr>
                <w:ilvl w:val="1"/>
                <w:numId w:val="7"/>
              </w:numPr>
              <w:tabs>
                <w:tab w:val="left" w:pos="531"/>
              </w:tabs>
              <w:jc w:val="both"/>
            </w:pPr>
            <w:r w:rsidRPr="00D70B63">
              <w:t xml:space="preserve">3.2.4. apakšnodaļa „Veidlapas </w:t>
            </w:r>
            <w:proofErr w:type="spellStart"/>
            <w:r w:rsidRPr="00D70B63">
              <w:t>Nr.C-4</w:t>
            </w:r>
            <w:proofErr w:type="spellEnd"/>
            <w:r w:rsidRPr="00D70B63">
              <w:t xml:space="preserve"> „Ieguldījumu akcijās un citā pašu kapitālā izmaiņu pārskats” aizpildīšanas kārtība” precizēta</w:t>
            </w:r>
            <w:r w:rsidR="00F03984" w:rsidRPr="00D70B63">
              <w:t>, lai lietot</w:t>
            </w:r>
            <w:r w:rsidR="00F03984" w:rsidRPr="00D70B63">
              <w:rPr>
                <w:rFonts w:hint="eastAsia"/>
              </w:rPr>
              <w:t>ā</w:t>
            </w:r>
            <w:r w:rsidR="00F03984" w:rsidRPr="00D70B63">
              <w:t>jiem b</w:t>
            </w:r>
            <w:r w:rsidR="00F03984" w:rsidRPr="00D70B63">
              <w:rPr>
                <w:rFonts w:hint="eastAsia"/>
              </w:rPr>
              <w:t>ū</w:t>
            </w:r>
            <w:r w:rsidR="00F03984" w:rsidRPr="00D70B63">
              <w:t>tu saprotam</w:t>
            </w:r>
            <w:r w:rsidR="00F03984" w:rsidRPr="00D70B63">
              <w:rPr>
                <w:rFonts w:hint="eastAsia"/>
              </w:rPr>
              <w:t>ā</w:t>
            </w:r>
            <w:r w:rsidR="00F03984" w:rsidRPr="00D70B63">
              <w:t>ka p</w:t>
            </w:r>
            <w:r w:rsidR="00F03984" w:rsidRPr="00D70B63">
              <w:rPr>
                <w:rFonts w:hint="eastAsia"/>
              </w:rPr>
              <w:t>ā</w:t>
            </w:r>
            <w:r w:rsidR="00F03984" w:rsidRPr="00D70B63">
              <w:t>rskatu sagatavošanas k</w:t>
            </w:r>
            <w:r w:rsidR="00F03984" w:rsidRPr="00D70B63">
              <w:rPr>
                <w:rFonts w:hint="eastAsia"/>
              </w:rPr>
              <w:t>ā</w:t>
            </w:r>
            <w:r w:rsidR="00F03984" w:rsidRPr="00D70B63">
              <w:t>rt</w:t>
            </w:r>
            <w:r w:rsidR="00F03984" w:rsidRPr="00D70B63">
              <w:rPr>
                <w:rFonts w:hint="eastAsia"/>
              </w:rPr>
              <w:t>ī</w:t>
            </w:r>
            <w:r w:rsidR="00F03984" w:rsidRPr="00D70B63">
              <w:t>ba.</w:t>
            </w:r>
          </w:p>
          <w:p w:rsidR="003C2ABA" w:rsidRPr="00D70B63" w:rsidRDefault="00EF0E2B">
            <w:pPr>
              <w:pStyle w:val="ListParagraph"/>
              <w:numPr>
                <w:ilvl w:val="1"/>
                <w:numId w:val="7"/>
              </w:numPr>
              <w:tabs>
                <w:tab w:val="left" w:pos="531"/>
              </w:tabs>
              <w:jc w:val="both"/>
            </w:pPr>
            <w:r w:rsidRPr="00D70B63">
              <w:t xml:space="preserve">3.2.5. apakšnodaļa „Veidlapas </w:t>
            </w:r>
            <w:proofErr w:type="spellStart"/>
            <w:r w:rsidRPr="00D70B63">
              <w:t>Nr.C-5</w:t>
            </w:r>
            <w:proofErr w:type="spellEnd"/>
            <w:r w:rsidRPr="00D70B63">
              <w:t xml:space="preserve"> „</w:t>
            </w:r>
            <w:r w:rsidR="00E37F00" w:rsidRPr="00D70B63">
              <w:t>Pārskats par prasībām</w:t>
            </w:r>
            <w:r w:rsidRPr="00D70B63">
              <w:t>” aizpildīšanas kārtība”</w:t>
            </w:r>
            <w:r w:rsidR="003C2ABA" w:rsidRPr="00D70B63">
              <w:t xml:space="preserve"> pievienoti punkti, kuros norādīta informācijas par grāmatvedības kontos uzskaitītajiem atvasinātajiem finanšu instrumentiem uzrādīšanas kārtība</w:t>
            </w:r>
            <w:r w:rsidR="00B75297" w:rsidRPr="00D70B63">
              <w:t>;</w:t>
            </w:r>
          </w:p>
          <w:p w:rsidR="00EF0E2B" w:rsidRPr="00D70B63" w:rsidRDefault="003C2ABA">
            <w:pPr>
              <w:pStyle w:val="ListParagraph"/>
              <w:numPr>
                <w:ilvl w:val="1"/>
                <w:numId w:val="7"/>
              </w:numPr>
              <w:tabs>
                <w:tab w:val="left" w:pos="531"/>
              </w:tabs>
              <w:jc w:val="both"/>
            </w:pPr>
            <w:r w:rsidRPr="00D70B63">
              <w:t xml:space="preserve">3.2.5. apakšnodaļa „Veidlapas </w:t>
            </w:r>
            <w:proofErr w:type="spellStart"/>
            <w:r w:rsidRPr="00D70B63">
              <w:t>Nr.C-5</w:t>
            </w:r>
            <w:proofErr w:type="spellEnd"/>
            <w:r w:rsidRPr="00D70B63">
              <w:t xml:space="preserve"> „Pārskats par prasībām” aizpildīšanas kārtība” </w:t>
            </w:r>
            <w:r w:rsidR="00E37F00" w:rsidRPr="00D70B63">
              <w:t>tiek sa</w:t>
            </w:r>
            <w:r w:rsidR="00EF0E2B" w:rsidRPr="00D70B63">
              <w:t>da</w:t>
            </w:r>
            <w:r w:rsidR="00E37F00" w:rsidRPr="00D70B63">
              <w:t xml:space="preserve">līta un izveidota jauna 3.2.6. apakšnodaļa „Veidlapas </w:t>
            </w:r>
            <w:proofErr w:type="spellStart"/>
            <w:r w:rsidR="00E37F00" w:rsidRPr="00D70B63">
              <w:t>Nr.C-6</w:t>
            </w:r>
            <w:proofErr w:type="spellEnd"/>
            <w:r w:rsidR="00E37F00" w:rsidRPr="00D70B63">
              <w:t xml:space="preserve"> „</w:t>
            </w:r>
            <w:r w:rsidRPr="00D70B63">
              <w:t>Pārskats par nākamo periodu izdevumiem un avansu maksājumiem</w:t>
            </w:r>
            <w:r w:rsidR="00E37F00" w:rsidRPr="00D70B63">
              <w:t>” aizpildīšanas kārtība”</w:t>
            </w:r>
            <w:r w:rsidR="00B75297" w:rsidRPr="00D70B63">
              <w:t xml:space="preserve">; </w:t>
            </w:r>
          </w:p>
          <w:p w:rsidR="002D3459" w:rsidRPr="00D70B63" w:rsidRDefault="008B323D">
            <w:pPr>
              <w:pStyle w:val="ListParagraph"/>
              <w:tabs>
                <w:tab w:val="left" w:pos="531"/>
              </w:tabs>
              <w:ind w:left="545"/>
              <w:jc w:val="both"/>
            </w:pPr>
            <w:r w:rsidRPr="00D70B63">
              <w:t xml:space="preserve">līdzīgi, kā tas ir noteikts </w:t>
            </w:r>
            <w:r w:rsidR="001C050E" w:rsidRPr="00D70B63">
              <w:t>Noteikumos Nr.1115</w:t>
            </w:r>
            <w:r w:rsidR="003C2ABA" w:rsidRPr="00D70B63">
              <w:t xml:space="preserve"> par atbilstošās informācijas uzrādīšanu</w:t>
            </w:r>
            <w:r w:rsidR="00B75297" w:rsidRPr="00D70B63">
              <w:t>, papildus jāsniedz informācija arī par grāmatvedības kontos uzskaitītajiem apdrošināšanas darījumiem;</w:t>
            </w:r>
          </w:p>
          <w:p w:rsidR="003C2ABA" w:rsidRPr="00D70B63" w:rsidRDefault="003C2ABA">
            <w:pPr>
              <w:pStyle w:val="ListParagraph"/>
              <w:numPr>
                <w:ilvl w:val="1"/>
                <w:numId w:val="7"/>
              </w:numPr>
              <w:tabs>
                <w:tab w:val="left" w:pos="531"/>
              </w:tabs>
              <w:jc w:val="both"/>
            </w:pPr>
            <w:r w:rsidRPr="00D70B63">
              <w:t xml:space="preserve">3.2.7. apakšnodaļa „Veidlapas </w:t>
            </w:r>
            <w:proofErr w:type="spellStart"/>
            <w:r w:rsidRPr="00D70B63">
              <w:t>Nr.C-7</w:t>
            </w:r>
            <w:proofErr w:type="spellEnd"/>
            <w:r w:rsidRPr="00D70B63">
              <w:t xml:space="preserve"> „Pārskats par saistībām” aizpildīšanas kārtība” pievienoti punkti, kuros norādīta informācijas par grāmatvedības kontos uzskaitītajiem atvasinātajiem finanšu instrumentiem uzrādīšanas kārtība</w:t>
            </w:r>
            <w:r w:rsidR="00616BF8" w:rsidRPr="00D70B63">
              <w:t>;</w:t>
            </w:r>
          </w:p>
          <w:p w:rsidR="00397A87" w:rsidRPr="00D70B63" w:rsidRDefault="00397A87">
            <w:pPr>
              <w:pStyle w:val="ListParagraph"/>
              <w:numPr>
                <w:ilvl w:val="0"/>
                <w:numId w:val="6"/>
              </w:numPr>
              <w:tabs>
                <w:tab w:val="left" w:pos="531"/>
              </w:tabs>
              <w:jc w:val="both"/>
            </w:pPr>
            <w:r w:rsidRPr="00D70B63">
              <w:t>mainīt I ceturkšņa sagatavošanas termiņu no 1.maija uz 15.maiju, lai pārskata sagatavotājiem pēc saimnieciskā gada pārskata iesniegšanas Valsts kasē būtu pietiekoši</w:t>
            </w:r>
            <w:r w:rsidR="001C050E" w:rsidRPr="00D70B63">
              <w:t xml:space="preserve"> daudz laika sakoriģēt I ceturkš</w:t>
            </w:r>
            <w:r w:rsidRPr="00D70B63">
              <w:t>ņa sākuma atlikumus;</w:t>
            </w:r>
          </w:p>
          <w:p w:rsidR="00D70B63" w:rsidRDefault="00397A87" w:rsidP="00D70B63">
            <w:pPr>
              <w:pStyle w:val="ListParagraph"/>
              <w:numPr>
                <w:ilvl w:val="0"/>
                <w:numId w:val="6"/>
              </w:numPr>
              <w:tabs>
                <w:tab w:val="left" w:pos="531"/>
              </w:tabs>
              <w:jc w:val="both"/>
            </w:pPr>
            <w:r w:rsidRPr="00D70B63">
              <w:t>noteikt Valsts sociālās apdrošināš</w:t>
            </w:r>
            <w:r w:rsidR="0040391F" w:rsidRPr="00D70B63">
              <w:t>a</w:t>
            </w:r>
            <w:r w:rsidRPr="00D70B63">
              <w:t>nas aģentūras</w:t>
            </w:r>
            <w:r w:rsidR="0040391F" w:rsidRPr="00D70B63">
              <w:t xml:space="preserve"> ceturkšņa finanšu pārskatu iekļaut Labklājības ministrijas konsolidētajā pārskatā, lai ministrijas iesniegtā informācija būtu salīdzināma ar </w:t>
            </w:r>
            <w:r w:rsidR="001C050E" w:rsidRPr="00D70B63">
              <w:t xml:space="preserve">saimnieciskā </w:t>
            </w:r>
            <w:r w:rsidR="0040391F" w:rsidRPr="00D70B63">
              <w:t>gada pārskata atbilstošajām veidla</w:t>
            </w:r>
            <w:r w:rsidR="00D70B63">
              <w:t>pām.</w:t>
            </w:r>
          </w:p>
          <w:p w:rsidR="0040391F" w:rsidRPr="00D70B63" w:rsidRDefault="001F3F22">
            <w:pPr>
              <w:contextualSpacing/>
              <w:jc w:val="both"/>
            </w:pPr>
            <w:r w:rsidRPr="00D70B63">
              <w:t xml:space="preserve">Noteikumu projekts paredz tā stāšanos spēkā no 2015.gada 1.janvāra, jo saimnieciskais gads budžeta iestādēm ir no 1.janvāra līdz 31.decembrim un </w:t>
            </w:r>
            <w:r w:rsidR="004E19DA" w:rsidRPr="00D70B63">
              <w:t xml:space="preserve">saskaņā ar atzīto </w:t>
            </w:r>
            <w:r w:rsidRPr="00D70B63">
              <w:t>labā</w:t>
            </w:r>
            <w:r w:rsidR="004E19DA" w:rsidRPr="00D70B63">
              <w:t>ko praksi</w:t>
            </w:r>
            <w:r w:rsidRPr="00D70B63">
              <w:t xml:space="preserve"> normatīvajiem aktiem </w:t>
            </w:r>
            <w:r w:rsidR="00A32FDB" w:rsidRPr="00D70B63">
              <w:t xml:space="preserve">budžeta iestāžu grāmatvedības jomā stāšanos spēkā </w:t>
            </w:r>
            <w:r w:rsidR="004E19DA" w:rsidRPr="00D70B63">
              <w:t xml:space="preserve">nosaka </w:t>
            </w:r>
            <w:r w:rsidR="00A32FDB" w:rsidRPr="00D70B63">
              <w:t>ar saimnieciskā gada sākumu. P</w:t>
            </w:r>
            <w:r w:rsidR="002D3459" w:rsidRPr="00D70B63">
              <w:t>irmais pārskats pēc šiem noteikumiem būs jāsagatavo par 2015</w:t>
            </w:r>
            <w:r w:rsidRPr="00D70B63">
              <w:t>.gada 1.ceturksni.</w:t>
            </w:r>
          </w:p>
          <w:p w:rsidR="00222B17" w:rsidRPr="00D70B63" w:rsidRDefault="00222B17">
            <w:pPr>
              <w:contextualSpacing/>
              <w:jc w:val="both"/>
            </w:pPr>
            <w:r w:rsidRPr="00D70B63">
              <w:t>Tiesiskā regulējuma izmaiņas risinās iepriekšminēto problēmu datu kvalitātes uzlabošanas jomā un atvieglos pārskatu sagatavošanu.</w:t>
            </w:r>
          </w:p>
        </w:tc>
      </w:tr>
      <w:tr w:rsidR="00D75101" w:rsidRPr="00D70B63" w:rsidTr="00D70B63">
        <w:tc>
          <w:tcPr>
            <w:tcW w:w="540" w:type="dxa"/>
            <w:tcBorders>
              <w:top w:val="single" w:sz="6" w:space="0" w:color="auto"/>
              <w:left w:val="single" w:sz="6" w:space="0" w:color="auto"/>
              <w:bottom w:val="single" w:sz="6" w:space="0" w:color="auto"/>
              <w:right w:val="single" w:sz="6" w:space="0" w:color="auto"/>
            </w:tcBorders>
          </w:tcPr>
          <w:p w:rsidR="00EB707C" w:rsidRPr="00D70B63" w:rsidRDefault="00EB707C" w:rsidP="00D75101">
            <w:pPr>
              <w:pStyle w:val="BodyText"/>
              <w:jc w:val="both"/>
              <w:rPr>
                <w:b w:val="0"/>
                <w:bCs w:val="0"/>
                <w:sz w:val="24"/>
                <w:szCs w:val="24"/>
              </w:rPr>
            </w:pPr>
            <w:r w:rsidRPr="00D70B63">
              <w:rPr>
                <w:b w:val="0"/>
                <w:bCs w:val="0"/>
                <w:sz w:val="24"/>
                <w:szCs w:val="24"/>
              </w:rPr>
              <w:lastRenderedPageBreak/>
              <w:t xml:space="preserve">3. </w:t>
            </w:r>
          </w:p>
        </w:tc>
        <w:tc>
          <w:tcPr>
            <w:tcW w:w="2579" w:type="dxa"/>
            <w:tcBorders>
              <w:top w:val="single" w:sz="6" w:space="0" w:color="auto"/>
              <w:left w:val="single" w:sz="6" w:space="0" w:color="auto"/>
              <w:bottom w:val="single" w:sz="6" w:space="0" w:color="auto"/>
              <w:right w:val="single" w:sz="6" w:space="0" w:color="auto"/>
            </w:tcBorders>
          </w:tcPr>
          <w:p w:rsidR="00EB707C" w:rsidRPr="00D70B63" w:rsidRDefault="00EB707C" w:rsidP="00D70B63">
            <w:pPr>
              <w:pStyle w:val="BodyTextIndent"/>
              <w:spacing w:after="0"/>
              <w:rPr>
                <w:b w:val="0"/>
                <w:bCs w:val="0"/>
              </w:rPr>
            </w:pPr>
            <w:r w:rsidRPr="00D70B63">
              <w:rPr>
                <w:b w:val="0"/>
                <w:bCs w:val="0"/>
              </w:rPr>
              <w:t>Projekta izstrādē iesaistītās institūcijas</w:t>
            </w:r>
          </w:p>
        </w:tc>
        <w:tc>
          <w:tcPr>
            <w:tcW w:w="7087" w:type="dxa"/>
            <w:tcBorders>
              <w:top w:val="single" w:sz="6" w:space="0" w:color="auto"/>
              <w:left w:val="single" w:sz="6" w:space="0" w:color="auto"/>
              <w:bottom w:val="single" w:sz="6" w:space="0" w:color="auto"/>
              <w:right w:val="single" w:sz="6" w:space="0" w:color="auto"/>
            </w:tcBorders>
          </w:tcPr>
          <w:p w:rsidR="00132861" w:rsidRPr="00D70B63" w:rsidRDefault="00233153" w:rsidP="00D70B63">
            <w:pPr>
              <w:pStyle w:val="NormalWeb"/>
              <w:spacing w:before="0" w:beforeAutospacing="0" w:after="0" w:afterAutospacing="0"/>
              <w:jc w:val="both"/>
              <w:rPr>
                <w:bCs/>
                <w:lang w:val="en-GB"/>
              </w:rPr>
            </w:pPr>
            <w:r w:rsidRPr="00D70B63">
              <w:rPr>
                <w:bCs/>
                <w:lang w:val="en-GB"/>
              </w:rPr>
              <w:t xml:space="preserve">Valsts </w:t>
            </w:r>
            <w:proofErr w:type="spellStart"/>
            <w:r w:rsidRPr="00D70B63">
              <w:rPr>
                <w:bCs/>
                <w:lang w:val="en-GB"/>
              </w:rPr>
              <w:t>kase</w:t>
            </w:r>
            <w:proofErr w:type="spellEnd"/>
            <w:r w:rsidRPr="00D70B63">
              <w:rPr>
                <w:bCs/>
                <w:lang w:val="en-GB"/>
              </w:rPr>
              <w:t xml:space="preserve">, Finanšu </w:t>
            </w:r>
            <w:proofErr w:type="spellStart"/>
            <w:r w:rsidRPr="00D70B63">
              <w:rPr>
                <w:bCs/>
                <w:lang w:val="en-GB"/>
              </w:rPr>
              <w:t>ministrija</w:t>
            </w:r>
            <w:proofErr w:type="spellEnd"/>
            <w:r w:rsidR="00132861" w:rsidRPr="00D70B63">
              <w:rPr>
                <w:bCs/>
                <w:lang w:val="en-GB"/>
              </w:rPr>
              <w:t xml:space="preserve">, </w:t>
            </w:r>
            <w:proofErr w:type="spellStart"/>
            <w:r w:rsidR="00132861" w:rsidRPr="00D70B63">
              <w:rPr>
                <w:bCs/>
                <w:lang w:val="en-GB"/>
              </w:rPr>
              <w:t>Aizsardzības</w:t>
            </w:r>
            <w:proofErr w:type="spellEnd"/>
            <w:r w:rsidR="00132861" w:rsidRPr="00D70B63">
              <w:rPr>
                <w:bCs/>
                <w:lang w:val="en-GB"/>
              </w:rPr>
              <w:t xml:space="preserve"> </w:t>
            </w:r>
            <w:proofErr w:type="spellStart"/>
            <w:r w:rsidR="00132861" w:rsidRPr="00D70B63">
              <w:rPr>
                <w:bCs/>
                <w:lang w:val="en-GB"/>
              </w:rPr>
              <w:t>ministrija</w:t>
            </w:r>
            <w:proofErr w:type="spellEnd"/>
            <w:r w:rsidR="00132861" w:rsidRPr="00D70B63">
              <w:rPr>
                <w:bCs/>
                <w:lang w:val="en-GB"/>
              </w:rPr>
              <w:t xml:space="preserve">, </w:t>
            </w:r>
            <w:proofErr w:type="spellStart"/>
            <w:r w:rsidR="00132861" w:rsidRPr="00D70B63">
              <w:rPr>
                <w:bCs/>
                <w:lang w:val="en-GB"/>
              </w:rPr>
              <w:t>Ārlietu</w:t>
            </w:r>
            <w:proofErr w:type="spellEnd"/>
            <w:r w:rsidR="00132861" w:rsidRPr="00D70B63">
              <w:rPr>
                <w:bCs/>
                <w:lang w:val="en-GB"/>
              </w:rPr>
              <w:t xml:space="preserve"> </w:t>
            </w:r>
            <w:proofErr w:type="spellStart"/>
            <w:r w:rsidR="00132861" w:rsidRPr="00D70B63">
              <w:rPr>
                <w:bCs/>
                <w:lang w:val="en-GB"/>
              </w:rPr>
              <w:t>ministrija</w:t>
            </w:r>
            <w:proofErr w:type="spellEnd"/>
            <w:r w:rsidR="00132861" w:rsidRPr="00D70B63">
              <w:rPr>
                <w:bCs/>
                <w:lang w:val="en-GB"/>
              </w:rPr>
              <w:t xml:space="preserve">, </w:t>
            </w:r>
            <w:proofErr w:type="spellStart"/>
            <w:r w:rsidR="00132861" w:rsidRPr="00D70B63">
              <w:rPr>
                <w:bCs/>
                <w:lang w:val="en-GB"/>
              </w:rPr>
              <w:t>Ekonomikas</w:t>
            </w:r>
            <w:proofErr w:type="spellEnd"/>
            <w:r w:rsidR="00132861" w:rsidRPr="00D70B63">
              <w:rPr>
                <w:bCs/>
                <w:lang w:val="en-GB"/>
              </w:rPr>
              <w:t xml:space="preserve"> </w:t>
            </w:r>
            <w:proofErr w:type="spellStart"/>
            <w:r w:rsidR="00132861" w:rsidRPr="00D70B63">
              <w:rPr>
                <w:bCs/>
                <w:lang w:val="en-GB"/>
              </w:rPr>
              <w:t>ministrija</w:t>
            </w:r>
            <w:proofErr w:type="spellEnd"/>
            <w:r w:rsidR="00132861" w:rsidRPr="00D70B63">
              <w:rPr>
                <w:bCs/>
                <w:lang w:val="en-GB"/>
              </w:rPr>
              <w:t xml:space="preserve">, </w:t>
            </w:r>
            <w:proofErr w:type="spellStart"/>
            <w:r w:rsidR="00132861" w:rsidRPr="00D70B63">
              <w:rPr>
                <w:bCs/>
                <w:lang w:val="en-GB"/>
              </w:rPr>
              <w:t>Izglītības</w:t>
            </w:r>
            <w:proofErr w:type="spellEnd"/>
            <w:r w:rsidR="00132861" w:rsidRPr="00D70B63">
              <w:rPr>
                <w:bCs/>
                <w:lang w:val="en-GB"/>
              </w:rPr>
              <w:t xml:space="preserve"> un </w:t>
            </w:r>
            <w:proofErr w:type="spellStart"/>
            <w:r w:rsidR="00132861" w:rsidRPr="00D70B63">
              <w:rPr>
                <w:bCs/>
                <w:lang w:val="en-GB"/>
              </w:rPr>
              <w:t>zinātnes</w:t>
            </w:r>
            <w:proofErr w:type="spellEnd"/>
            <w:r w:rsidR="00132861" w:rsidRPr="00D70B63">
              <w:rPr>
                <w:bCs/>
                <w:lang w:val="en-GB"/>
              </w:rPr>
              <w:t xml:space="preserve"> </w:t>
            </w:r>
            <w:proofErr w:type="spellStart"/>
            <w:r w:rsidR="00132861" w:rsidRPr="00D70B63">
              <w:rPr>
                <w:bCs/>
                <w:lang w:val="en-GB"/>
              </w:rPr>
              <w:t>ministrija</w:t>
            </w:r>
            <w:proofErr w:type="spellEnd"/>
            <w:r w:rsidR="00132861" w:rsidRPr="00D70B63">
              <w:rPr>
                <w:bCs/>
                <w:lang w:val="en-GB"/>
              </w:rPr>
              <w:t xml:space="preserve">, </w:t>
            </w:r>
            <w:proofErr w:type="spellStart"/>
            <w:r w:rsidR="00132861" w:rsidRPr="00D70B63">
              <w:rPr>
                <w:bCs/>
                <w:lang w:val="en-GB"/>
              </w:rPr>
              <w:t>Zemkopības</w:t>
            </w:r>
            <w:proofErr w:type="spellEnd"/>
            <w:r w:rsidR="00132861" w:rsidRPr="00D70B63">
              <w:rPr>
                <w:bCs/>
                <w:lang w:val="en-GB"/>
              </w:rPr>
              <w:t xml:space="preserve"> </w:t>
            </w:r>
            <w:proofErr w:type="spellStart"/>
            <w:r w:rsidR="00132861" w:rsidRPr="00D70B63">
              <w:rPr>
                <w:bCs/>
                <w:lang w:val="en-GB"/>
              </w:rPr>
              <w:t>ministrija</w:t>
            </w:r>
            <w:proofErr w:type="spellEnd"/>
            <w:r w:rsidR="00132861" w:rsidRPr="00D70B63">
              <w:rPr>
                <w:bCs/>
                <w:lang w:val="en-GB"/>
              </w:rPr>
              <w:t xml:space="preserve">, </w:t>
            </w:r>
            <w:proofErr w:type="spellStart"/>
            <w:r w:rsidR="00132861" w:rsidRPr="00D70B63">
              <w:rPr>
                <w:bCs/>
                <w:lang w:val="en-GB"/>
              </w:rPr>
              <w:t>Vides</w:t>
            </w:r>
            <w:proofErr w:type="spellEnd"/>
            <w:r w:rsidR="00132861" w:rsidRPr="00D70B63">
              <w:rPr>
                <w:bCs/>
                <w:lang w:val="en-GB"/>
              </w:rPr>
              <w:t xml:space="preserve"> </w:t>
            </w:r>
            <w:proofErr w:type="spellStart"/>
            <w:r w:rsidR="00132861" w:rsidRPr="00D70B63">
              <w:rPr>
                <w:bCs/>
                <w:lang w:val="en-GB"/>
              </w:rPr>
              <w:t>aizsardzības</w:t>
            </w:r>
            <w:proofErr w:type="spellEnd"/>
            <w:r w:rsidR="00132861" w:rsidRPr="00D70B63">
              <w:rPr>
                <w:bCs/>
                <w:lang w:val="en-GB"/>
              </w:rPr>
              <w:t xml:space="preserve"> un </w:t>
            </w:r>
            <w:proofErr w:type="spellStart"/>
            <w:r w:rsidR="00132861" w:rsidRPr="00D70B63">
              <w:rPr>
                <w:bCs/>
                <w:lang w:val="en-GB"/>
              </w:rPr>
              <w:t>reģionālās</w:t>
            </w:r>
            <w:proofErr w:type="spellEnd"/>
            <w:r w:rsidR="00132861" w:rsidRPr="00D70B63">
              <w:rPr>
                <w:bCs/>
                <w:lang w:val="en-GB"/>
              </w:rPr>
              <w:t xml:space="preserve"> </w:t>
            </w:r>
            <w:proofErr w:type="spellStart"/>
            <w:r w:rsidR="00132861" w:rsidRPr="00D70B63">
              <w:rPr>
                <w:bCs/>
                <w:lang w:val="en-GB"/>
              </w:rPr>
              <w:t>attīstības</w:t>
            </w:r>
            <w:proofErr w:type="spellEnd"/>
            <w:r w:rsidR="00132861" w:rsidRPr="00D70B63">
              <w:rPr>
                <w:bCs/>
                <w:lang w:val="en-GB"/>
              </w:rPr>
              <w:t xml:space="preserve"> </w:t>
            </w:r>
            <w:proofErr w:type="spellStart"/>
            <w:r w:rsidR="00132861" w:rsidRPr="00D70B63">
              <w:rPr>
                <w:bCs/>
                <w:lang w:val="en-GB"/>
              </w:rPr>
              <w:t>ministrija</w:t>
            </w:r>
            <w:proofErr w:type="spellEnd"/>
            <w:r w:rsidR="00132861" w:rsidRPr="00D70B63">
              <w:rPr>
                <w:bCs/>
                <w:lang w:val="en-GB"/>
              </w:rPr>
              <w:t xml:space="preserve">, </w:t>
            </w:r>
            <w:proofErr w:type="spellStart"/>
            <w:r w:rsidR="00132861" w:rsidRPr="00D70B63">
              <w:rPr>
                <w:bCs/>
                <w:lang w:val="en-GB"/>
              </w:rPr>
              <w:t>Veselības</w:t>
            </w:r>
            <w:proofErr w:type="spellEnd"/>
            <w:r w:rsidR="00132861" w:rsidRPr="00D70B63">
              <w:rPr>
                <w:bCs/>
                <w:lang w:val="en-GB"/>
              </w:rPr>
              <w:t xml:space="preserve"> </w:t>
            </w:r>
            <w:proofErr w:type="spellStart"/>
            <w:r w:rsidR="00132861" w:rsidRPr="00D70B63">
              <w:rPr>
                <w:bCs/>
                <w:lang w:val="en-GB"/>
              </w:rPr>
              <w:t>ministrija</w:t>
            </w:r>
            <w:proofErr w:type="spellEnd"/>
            <w:r w:rsidR="00132861" w:rsidRPr="00D70B63">
              <w:rPr>
                <w:bCs/>
                <w:lang w:val="en-GB"/>
              </w:rPr>
              <w:t xml:space="preserve">, </w:t>
            </w:r>
            <w:proofErr w:type="spellStart"/>
            <w:r w:rsidR="00132861" w:rsidRPr="00D70B63">
              <w:rPr>
                <w:bCs/>
                <w:lang w:val="en-GB"/>
              </w:rPr>
              <w:t>Tieslietu</w:t>
            </w:r>
            <w:proofErr w:type="spellEnd"/>
            <w:r w:rsidR="00132861" w:rsidRPr="00D70B63">
              <w:rPr>
                <w:bCs/>
                <w:lang w:val="en-GB"/>
              </w:rPr>
              <w:t xml:space="preserve"> </w:t>
            </w:r>
            <w:proofErr w:type="spellStart"/>
            <w:r w:rsidR="00132861" w:rsidRPr="00D70B63">
              <w:rPr>
                <w:bCs/>
                <w:lang w:val="en-GB"/>
              </w:rPr>
              <w:t>ministrija</w:t>
            </w:r>
            <w:proofErr w:type="spellEnd"/>
            <w:r w:rsidR="00132861" w:rsidRPr="00D70B63">
              <w:rPr>
                <w:bCs/>
                <w:lang w:val="en-GB"/>
              </w:rPr>
              <w:t xml:space="preserve">, </w:t>
            </w:r>
            <w:proofErr w:type="spellStart"/>
            <w:r w:rsidR="00132861" w:rsidRPr="00D70B63">
              <w:rPr>
                <w:bCs/>
                <w:lang w:val="en-GB"/>
              </w:rPr>
              <w:t>Iekšlietu</w:t>
            </w:r>
            <w:proofErr w:type="spellEnd"/>
            <w:r w:rsidR="00132861" w:rsidRPr="00D70B63">
              <w:rPr>
                <w:bCs/>
                <w:lang w:val="en-GB"/>
              </w:rPr>
              <w:t xml:space="preserve"> </w:t>
            </w:r>
            <w:proofErr w:type="spellStart"/>
            <w:r w:rsidR="00132861" w:rsidRPr="00D70B63">
              <w:rPr>
                <w:bCs/>
                <w:lang w:val="en-GB"/>
              </w:rPr>
              <w:lastRenderedPageBreak/>
              <w:t>ministrija</w:t>
            </w:r>
            <w:proofErr w:type="spellEnd"/>
            <w:r w:rsidR="00132861" w:rsidRPr="00D70B63">
              <w:rPr>
                <w:bCs/>
                <w:lang w:val="en-GB"/>
              </w:rPr>
              <w:t xml:space="preserve">, </w:t>
            </w:r>
            <w:proofErr w:type="spellStart"/>
            <w:r w:rsidR="00132861" w:rsidRPr="00D70B63">
              <w:rPr>
                <w:bCs/>
                <w:lang w:val="en-GB"/>
              </w:rPr>
              <w:t>Satiksmes</w:t>
            </w:r>
            <w:proofErr w:type="spellEnd"/>
            <w:r w:rsidR="00132861" w:rsidRPr="00D70B63">
              <w:rPr>
                <w:bCs/>
                <w:lang w:val="en-GB"/>
              </w:rPr>
              <w:t xml:space="preserve"> </w:t>
            </w:r>
            <w:proofErr w:type="spellStart"/>
            <w:r w:rsidR="00132861" w:rsidRPr="00D70B63">
              <w:rPr>
                <w:bCs/>
                <w:lang w:val="en-GB"/>
              </w:rPr>
              <w:t>ministrija</w:t>
            </w:r>
            <w:proofErr w:type="spellEnd"/>
            <w:r w:rsidR="00132861" w:rsidRPr="00D70B63">
              <w:rPr>
                <w:bCs/>
                <w:lang w:val="en-GB"/>
              </w:rPr>
              <w:t xml:space="preserve">, </w:t>
            </w:r>
            <w:proofErr w:type="spellStart"/>
            <w:r w:rsidR="00132861" w:rsidRPr="00D70B63">
              <w:rPr>
                <w:bCs/>
                <w:lang w:val="en-GB"/>
              </w:rPr>
              <w:t>Labklājības</w:t>
            </w:r>
            <w:proofErr w:type="spellEnd"/>
            <w:r w:rsidR="00132861" w:rsidRPr="00D70B63">
              <w:rPr>
                <w:bCs/>
                <w:lang w:val="en-GB"/>
              </w:rPr>
              <w:t xml:space="preserve"> </w:t>
            </w:r>
            <w:proofErr w:type="spellStart"/>
            <w:r w:rsidR="00132861" w:rsidRPr="00D70B63">
              <w:rPr>
                <w:bCs/>
                <w:lang w:val="en-GB"/>
              </w:rPr>
              <w:t>ministrija</w:t>
            </w:r>
            <w:proofErr w:type="spellEnd"/>
            <w:r w:rsidR="00132861" w:rsidRPr="00D70B63">
              <w:rPr>
                <w:bCs/>
                <w:lang w:val="en-GB"/>
              </w:rPr>
              <w:t xml:space="preserve">, </w:t>
            </w:r>
            <w:proofErr w:type="spellStart"/>
            <w:r w:rsidR="00132861" w:rsidRPr="00D70B63">
              <w:rPr>
                <w:bCs/>
                <w:lang w:val="en-GB"/>
              </w:rPr>
              <w:t>Kultūras</w:t>
            </w:r>
            <w:proofErr w:type="spellEnd"/>
            <w:r w:rsidR="00132861" w:rsidRPr="00D70B63">
              <w:rPr>
                <w:bCs/>
                <w:lang w:val="en-GB"/>
              </w:rPr>
              <w:t xml:space="preserve"> </w:t>
            </w:r>
            <w:proofErr w:type="spellStart"/>
            <w:r w:rsidR="00132861" w:rsidRPr="00D70B63">
              <w:rPr>
                <w:bCs/>
                <w:lang w:val="en-GB"/>
              </w:rPr>
              <w:t>ministrija</w:t>
            </w:r>
            <w:proofErr w:type="spellEnd"/>
            <w:r w:rsidR="00C82F9B" w:rsidRPr="00D70B63">
              <w:rPr>
                <w:bCs/>
                <w:lang w:val="en-GB"/>
              </w:rPr>
              <w:t>.</w:t>
            </w:r>
          </w:p>
        </w:tc>
      </w:tr>
      <w:tr w:rsidR="00D75101" w:rsidRPr="00D70B63" w:rsidTr="00D70B63">
        <w:tc>
          <w:tcPr>
            <w:tcW w:w="540" w:type="dxa"/>
            <w:tcBorders>
              <w:top w:val="single" w:sz="6" w:space="0" w:color="auto"/>
              <w:left w:val="single" w:sz="6" w:space="0" w:color="auto"/>
              <w:bottom w:val="single" w:sz="6" w:space="0" w:color="auto"/>
              <w:right w:val="single" w:sz="6" w:space="0" w:color="auto"/>
            </w:tcBorders>
          </w:tcPr>
          <w:p w:rsidR="00EB707C" w:rsidRPr="00D70B63" w:rsidRDefault="00EB707C" w:rsidP="00D75101">
            <w:pPr>
              <w:pStyle w:val="BodyText"/>
              <w:jc w:val="both"/>
              <w:rPr>
                <w:b w:val="0"/>
                <w:bCs w:val="0"/>
                <w:sz w:val="24"/>
                <w:szCs w:val="24"/>
              </w:rPr>
            </w:pPr>
            <w:r w:rsidRPr="00D70B63">
              <w:rPr>
                <w:b w:val="0"/>
                <w:bCs w:val="0"/>
                <w:sz w:val="24"/>
                <w:szCs w:val="24"/>
              </w:rPr>
              <w:lastRenderedPageBreak/>
              <w:t xml:space="preserve">4. </w:t>
            </w:r>
          </w:p>
        </w:tc>
        <w:tc>
          <w:tcPr>
            <w:tcW w:w="2579" w:type="dxa"/>
            <w:tcBorders>
              <w:top w:val="single" w:sz="6" w:space="0" w:color="auto"/>
              <w:left w:val="single" w:sz="6" w:space="0" w:color="auto"/>
              <w:bottom w:val="single" w:sz="6" w:space="0" w:color="auto"/>
              <w:right w:val="single" w:sz="6" w:space="0" w:color="auto"/>
            </w:tcBorders>
          </w:tcPr>
          <w:p w:rsidR="00EB707C" w:rsidRPr="00D70B63" w:rsidRDefault="00EB707C" w:rsidP="00D75101">
            <w:pPr>
              <w:jc w:val="both"/>
            </w:pPr>
            <w:r w:rsidRPr="00D70B63">
              <w:t>Cita informācija</w:t>
            </w:r>
          </w:p>
        </w:tc>
        <w:tc>
          <w:tcPr>
            <w:tcW w:w="7087" w:type="dxa"/>
            <w:tcBorders>
              <w:top w:val="single" w:sz="6" w:space="0" w:color="auto"/>
              <w:left w:val="single" w:sz="6" w:space="0" w:color="auto"/>
              <w:bottom w:val="single" w:sz="6" w:space="0" w:color="auto"/>
              <w:right w:val="single" w:sz="6" w:space="0" w:color="auto"/>
            </w:tcBorders>
          </w:tcPr>
          <w:p w:rsidR="00EB707C" w:rsidRPr="00D70B63" w:rsidRDefault="00EB707C">
            <w:pPr>
              <w:jc w:val="both"/>
            </w:pPr>
            <w:r w:rsidRPr="00D70B63">
              <w:t>Nav.</w:t>
            </w:r>
          </w:p>
        </w:tc>
      </w:tr>
    </w:tbl>
    <w:p w:rsidR="008766F2" w:rsidRPr="00D70B63" w:rsidRDefault="008766F2" w:rsidP="00D75101">
      <w:pPr>
        <w:rPr>
          <w:b/>
          <w:bCs/>
          <w:i/>
          <w:iCs/>
        </w:rPr>
      </w:pPr>
    </w:p>
    <w:p w:rsidR="00063831" w:rsidRPr="00D70B63" w:rsidRDefault="00063831" w:rsidP="00D75101">
      <w:pPr>
        <w:rPr>
          <w:b/>
          <w:bCs/>
          <w:i/>
          <w:iCs/>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694"/>
        <w:gridCol w:w="6945"/>
      </w:tblGrid>
      <w:tr w:rsidR="00D75101" w:rsidRPr="00D70B63" w:rsidTr="00AC5B40">
        <w:tc>
          <w:tcPr>
            <w:tcW w:w="10206" w:type="dxa"/>
            <w:gridSpan w:val="3"/>
            <w:tcBorders>
              <w:top w:val="single" w:sz="4" w:space="0" w:color="auto"/>
              <w:left w:val="single" w:sz="4" w:space="0" w:color="auto"/>
              <w:bottom w:val="single" w:sz="4" w:space="0" w:color="auto"/>
              <w:right w:val="single" w:sz="4" w:space="0" w:color="auto"/>
            </w:tcBorders>
            <w:hideMark/>
          </w:tcPr>
          <w:p w:rsidR="00AC5B40" w:rsidRPr="00D70B63" w:rsidRDefault="00AC5B40" w:rsidP="00D70B63">
            <w:pPr>
              <w:pStyle w:val="NormalWeb"/>
              <w:spacing w:before="0" w:beforeAutospacing="0" w:after="0" w:afterAutospacing="0"/>
              <w:jc w:val="center"/>
            </w:pPr>
            <w:r w:rsidRPr="00D70B63">
              <w:rPr>
                <w:b/>
                <w:bCs/>
              </w:rPr>
              <w:t xml:space="preserve">II. </w:t>
            </w:r>
            <w:proofErr w:type="spellStart"/>
            <w:r w:rsidRPr="00D70B63">
              <w:rPr>
                <w:b/>
                <w:bCs/>
              </w:rPr>
              <w:t>Tiesību</w:t>
            </w:r>
            <w:proofErr w:type="spellEnd"/>
            <w:r w:rsidRPr="00D70B63">
              <w:rPr>
                <w:b/>
                <w:bCs/>
              </w:rPr>
              <w:t xml:space="preserve"> </w:t>
            </w:r>
            <w:proofErr w:type="spellStart"/>
            <w:r w:rsidRPr="00D70B63">
              <w:rPr>
                <w:b/>
                <w:bCs/>
              </w:rPr>
              <w:t>akta</w:t>
            </w:r>
            <w:proofErr w:type="spellEnd"/>
            <w:r w:rsidRPr="00D70B63">
              <w:rPr>
                <w:b/>
                <w:bCs/>
              </w:rPr>
              <w:t xml:space="preserve"> </w:t>
            </w:r>
            <w:proofErr w:type="spellStart"/>
            <w:r w:rsidRPr="00D70B63">
              <w:rPr>
                <w:b/>
                <w:bCs/>
              </w:rPr>
              <w:t>projekta</w:t>
            </w:r>
            <w:proofErr w:type="spellEnd"/>
            <w:r w:rsidRPr="00D70B63">
              <w:rPr>
                <w:b/>
                <w:bCs/>
              </w:rPr>
              <w:t xml:space="preserve"> </w:t>
            </w:r>
            <w:proofErr w:type="spellStart"/>
            <w:r w:rsidRPr="00D70B63">
              <w:rPr>
                <w:b/>
                <w:bCs/>
              </w:rPr>
              <w:t>ietekme</w:t>
            </w:r>
            <w:proofErr w:type="spellEnd"/>
            <w:r w:rsidRPr="00D70B63">
              <w:rPr>
                <w:b/>
                <w:bCs/>
              </w:rPr>
              <w:t xml:space="preserve"> </w:t>
            </w:r>
            <w:proofErr w:type="spellStart"/>
            <w:r w:rsidRPr="00D70B63">
              <w:rPr>
                <w:b/>
                <w:bCs/>
              </w:rPr>
              <w:t>uz</w:t>
            </w:r>
            <w:proofErr w:type="spellEnd"/>
            <w:r w:rsidRPr="00D70B63">
              <w:rPr>
                <w:b/>
                <w:bCs/>
              </w:rPr>
              <w:t xml:space="preserve"> </w:t>
            </w:r>
            <w:proofErr w:type="spellStart"/>
            <w:r w:rsidRPr="00D70B63">
              <w:rPr>
                <w:b/>
                <w:bCs/>
              </w:rPr>
              <w:t>sabiedrību</w:t>
            </w:r>
            <w:proofErr w:type="spellEnd"/>
            <w:r w:rsidRPr="00D70B63">
              <w:rPr>
                <w:b/>
                <w:bCs/>
              </w:rPr>
              <w:t xml:space="preserve">, </w:t>
            </w:r>
            <w:proofErr w:type="spellStart"/>
            <w:r w:rsidRPr="00D70B63">
              <w:rPr>
                <w:b/>
                <w:bCs/>
              </w:rPr>
              <w:t>tautsaimniecības</w:t>
            </w:r>
            <w:proofErr w:type="spellEnd"/>
            <w:r w:rsidRPr="00D70B63">
              <w:rPr>
                <w:b/>
                <w:bCs/>
              </w:rPr>
              <w:t xml:space="preserve"> </w:t>
            </w:r>
            <w:proofErr w:type="spellStart"/>
            <w:r w:rsidRPr="00D70B63">
              <w:rPr>
                <w:b/>
                <w:bCs/>
              </w:rPr>
              <w:t>attīstību</w:t>
            </w:r>
            <w:proofErr w:type="spellEnd"/>
            <w:r w:rsidRPr="00D70B63">
              <w:rPr>
                <w:b/>
                <w:bCs/>
              </w:rPr>
              <w:t xml:space="preserve"> un </w:t>
            </w:r>
            <w:proofErr w:type="spellStart"/>
            <w:r w:rsidRPr="00D70B63">
              <w:rPr>
                <w:b/>
                <w:bCs/>
              </w:rPr>
              <w:t>administratīvo</w:t>
            </w:r>
            <w:proofErr w:type="spellEnd"/>
            <w:r w:rsidRPr="00D70B63">
              <w:rPr>
                <w:b/>
                <w:bCs/>
              </w:rPr>
              <w:t xml:space="preserve"> </w:t>
            </w:r>
            <w:proofErr w:type="spellStart"/>
            <w:r w:rsidRPr="00D70B63">
              <w:rPr>
                <w:b/>
                <w:bCs/>
              </w:rPr>
              <w:t>slogu</w:t>
            </w:r>
            <w:proofErr w:type="spellEnd"/>
          </w:p>
        </w:tc>
      </w:tr>
      <w:tr w:rsidR="00D75101" w:rsidRPr="00D70B63" w:rsidTr="00AC5B40">
        <w:tc>
          <w:tcPr>
            <w:tcW w:w="567" w:type="dxa"/>
            <w:tcBorders>
              <w:top w:val="single" w:sz="4" w:space="0" w:color="auto"/>
              <w:left w:val="single" w:sz="4" w:space="0" w:color="auto"/>
              <w:bottom w:val="single" w:sz="4" w:space="0" w:color="auto"/>
              <w:right w:val="single" w:sz="4" w:space="0" w:color="auto"/>
            </w:tcBorders>
            <w:hideMark/>
          </w:tcPr>
          <w:p w:rsidR="00AC5B40" w:rsidRPr="00D70B63" w:rsidRDefault="00AC5B40" w:rsidP="00D70B63">
            <w:pPr>
              <w:pStyle w:val="NormalWeb"/>
              <w:spacing w:before="0" w:beforeAutospacing="0" w:after="0" w:afterAutospacing="0"/>
            </w:pPr>
            <w:r w:rsidRPr="00D70B63">
              <w:t>1.</w:t>
            </w:r>
          </w:p>
        </w:tc>
        <w:tc>
          <w:tcPr>
            <w:tcW w:w="2694" w:type="dxa"/>
            <w:tcBorders>
              <w:top w:val="single" w:sz="4" w:space="0" w:color="auto"/>
              <w:left w:val="single" w:sz="4" w:space="0" w:color="auto"/>
              <w:bottom w:val="single" w:sz="4" w:space="0" w:color="auto"/>
              <w:right w:val="single" w:sz="4" w:space="0" w:color="auto"/>
            </w:tcBorders>
            <w:hideMark/>
          </w:tcPr>
          <w:p w:rsidR="00AC5B40" w:rsidRPr="00D70B63" w:rsidRDefault="00AC5B40" w:rsidP="00D70B63">
            <w:pPr>
              <w:pStyle w:val="NormalWeb"/>
              <w:spacing w:before="0" w:beforeAutospacing="0" w:after="0" w:afterAutospacing="0"/>
            </w:pPr>
            <w:proofErr w:type="spellStart"/>
            <w:r w:rsidRPr="00D70B63">
              <w:t>Sabiedrības</w:t>
            </w:r>
            <w:proofErr w:type="spellEnd"/>
            <w:r w:rsidRPr="00D70B63">
              <w:t xml:space="preserve"> </w:t>
            </w:r>
            <w:proofErr w:type="spellStart"/>
            <w:r w:rsidRPr="00D70B63">
              <w:t>mērķgrupa</w:t>
            </w:r>
            <w:proofErr w:type="spellEnd"/>
            <w:r w:rsidRPr="00D70B63">
              <w:t xml:space="preserve"> </w:t>
            </w:r>
            <w:proofErr w:type="spellStart"/>
            <w:r w:rsidRPr="00D70B63">
              <w:t>kuras</w:t>
            </w:r>
            <w:proofErr w:type="spellEnd"/>
            <w:r w:rsidRPr="00D70B63">
              <w:t xml:space="preserve"> </w:t>
            </w:r>
            <w:proofErr w:type="spellStart"/>
            <w:r w:rsidRPr="00D70B63">
              <w:t>tiesiskais</w:t>
            </w:r>
            <w:proofErr w:type="spellEnd"/>
            <w:r w:rsidRPr="00D70B63">
              <w:t xml:space="preserve"> </w:t>
            </w:r>
            <w:proofErr w:type="spellStart"/>
            <w:r w:rsidRPr="00D70B63">
              <w:t>regulējums</w:t>
            </w:r>
            <w:proofErr w:type="spellEnd"/>
            <w:r w:rsidRPr="00D70B63">
              <w:t xml:space="preserve"> </w:t>
            </w:r>
            <w:proofErr w:type="spellStart"/>
            <w:r w:rsidRPr="00D70B63">
              <w:t>ietekmē</w:t>
            </w:r>
            <w:proofErr w:type="spellEnd"/>
            <w:r w:rsidRPr="00D70B63">
              <w:t xml:space="preserve"> </w:t>
            </w:r>
            <w:proofErr w:type="spellStart"/>
            <w:r w:rsidRPr="00D70B63">
              <w:t>vai</w:t>
            </w:r>
            <w:proofErr w:type="spellEnd"/>
            <w:r w:rsidRPr="00D70B63">
              <w:t xml:space="preserve"> </w:t>
            </w:r>
            <w:proofErr w:type="spellStart"/>
            <w:r w:rsidRPr="00D70B63">
              <w:t>varētu</w:t>
            </w:r>
            <w:proofErr w:type="spellEnd"/>
            <w:r w:rsidRPr="00D70B63">
              <w:t xml:space="preserve"> </w:t>
            </w:r>
            <w:proofErr w:type="spellStart"/>
            <w:r w:rsidRPr="00D70B63">
              <w:t>ietekmēt</w:t>
            </w:r>
            <w:proofErr w:type="spellEnd"/>
          </w:p>
        </w:tc>
        <w:tc>
          <w:tcPr>
            <w:tcW w:w="6945" w:type="dxa"/>
            <w:tcBorders>
              <w:top w:val="single" w:sz="4" w:space="0" w:color="auto"/>
              <w:left w:val="single" w:sz="4" w:space="0" w:color="auto"/>
              <w:bottom w:val="single" w:sz="4" w:space="0" w:color="auto"/>
              <w:right w:val="single" w:sz="4" w:space="0" w:color="auto"/>
            </w:tcBorders>
            <w:hideMark/>
          </w:tcPr>
          <w:p w:rsidR="00132861" w:rsidRPr="00D70B63" w:rsidRDefault="00AC5B40" w:rsidP="00D70B63">
            <w:pPr>
              <w:pStyle w:val="NormalWeb"/>
              <w:spacing w:before="0" w:beforeAutospacing="0" w:after="0" w:afterAutospacing="0"/>
              <w:jc w:val="both"/>
            </w:pPr>
            <w:proofErr w:type="spellStart"/>
            <w:r w:rsidRPr="00D70B63">
              <w:t>Noteikumu</w:t>
            </w:r>
            <w:proofErr w:type="spellEnd"/>
            <w:r w:rsidRPr="00D70B63">
              <w:t xml:space="preserve"> </w:t>
            </w:r>
            <w:proofErr w:type="spellStart"/>
            <w:r w:rsidRPr="00D70B63">
              <w:t>projekts</w:t>
            </w:r>
            <w:proofErr w:type="spellEnd"/>
            <w:r w:rsidRPr="00D70B63">
              <w:t xml:space="preserve"> </w:t>
            </w:r>
            <w:proofErr w:type="spellStart"/>
            <w:r w:rsidRPr="00D70B63">
              <w:t>attiecināms</w:t>
            </w:r>
            <w:proofErr w:type="spellEnd"/>
            <w:r w:rsidRPr="00D70B63">
              <w:t xml:space="preserve"> </w:t>
            </w:r>
            <w:proofErr w:type="spellStart"/>
            <w:r w:rsidRPr="00D70B63">
              <w:t>uz</w:t>
            </w:r>
            <w:proofErr w:type="spellEnd"/>
            <w:r w:rsidRPr="00D70B63">
              <w:t xml:space="preserve"> </w:t>
            </w:r>
            <w:proofErr w:type="spellStart"/>
            <w:r w:rsidR="001B0EA1" w:rsidRPr="00D70B63">
              <w:t>valsts</w:t>
            </w:r>
            <w:proofErr w:type="spellEnd"/>
            <w:r w:rsidR="001B0EA1" w:rsidRPr="00D70B63">
              <w:t xml:space="preserve"> </w:t>
            </w:r>
            <w:proofErr w:type="spellStart"/>
            <w:r w:rsidR="001B0EA1" w:rsidRPr="00D70B63">
              <w:t>budžeta</w:t>
            </w:r>
            <w:proofErr w:type="spellEnd"/>
            <w:r w:rsidR="001B0EA1" w:rsidRPr="00D70B63">
              <w:t xml:space="preserve"> </w:t>
            </w:r>
            <w:proofErr w:type="spellStart"/>
            <w:r w:rsidR="001B0EA1" w:rsidRPr="00D70B63">
              <w:t>iestādēm</w:t>
            </w:r>
            <w:proofErr w:type="spellEnd"/>
            <w:r w:rsidR="001B0EA1" w:rsidRPr="00D70B63">
              <w:t>,</w:t>
            </w:r>
            <w:r w:rsidR="00FB1CDF" w:rsidRPr="00D70B63">
              <w:t xml:space="preserve"> t.sk. </w:t>
            </w:r>
            <w:proofErr w:type="spellStart"/>
            <w:proofErr w:type="gramStart"/>
            <w:r w:rsidR="00FB1CDF" w:rsidRPr="00D70B63">
              <w:t>publiskajiem</w:t>
            </w:r>
            <w:proofErr w:type="spellEnd"/>
            <w:proofErr w:type="gramEnd"/>
            <w:r w:rsidR="00FB1CDF" w:rsidRPr="00D70B63">
              <w:t xml:space="preserve"> </w:t>
            </w:r>
            <w:proofErr w:type="spellStart"/>
            <w:r w:rsidR="00FB1CDF" w:rsidRPr="00D70B63">
              <w:t>nodibinājumiem</w:t>
            </w:r>
            <w:proofErr w:type="spellEnd"/>
            <w:r w:rsidR="00FB1CDF" w:rsidRPr="00D70B63">
              <w:t>,</w:t>
            </w:r>
            <w:r w:rsidR="001B0EA1" w:rsidRPr="00D70B63">
              <w:t xml:space="preserve"> </w:t>
            </w:r>
            <w:proofErr w:type="spellStart"/>
            <w:r w:rsidR="001B0EA1" w:rsidRPr="00D70B63">
              <w:t>pašvaldībām</w:t>
            </w:r>
            <w:proofErr w:type="spellEnd"/>
            <w:r w:rsidR="001B0EA1" w:rsidRPr="00D70B63">
              <w:t xml:space="preserve">, no </w:t>
            </w:r>
            <w:proofErr w:type="spellStart"/>
            <w:r w:rsidR="001B0EA1" w:rsidRPr="00D70B63">
              <w:t>budžeta</w:t>
            </w:r>
            <w:proofErr w:type="spellEnd"/>
            <w:r w:rsidR="001B0EA1" w:rsidRPr="00D70B63">
              <w:t xml:space="preserve"> </w:t>
            </w:r>
            <w:proofErr w:type="spellStart"/>
            <w:r w:rsidR="001B0EA1" w:rsidRPr="00D70B63">
              <w:t>daļēji</w:t>
            </w:r>
            <w:proofErr w:type="spellEnd"/>
            <w:r w:rsidR="001B0EA1" w:rsidRPr="00D70B63">
              <w:t xml:space="preserve"> </w:t>
            </w:r>
            <w:proofErr w:type="spellStart"/>
            <w:r w:rsidR="001B0EA1" w:rsidRPr="00D70B63">
              <w:t>finansētām</w:t>
            </w:r>
            <w:proofErr w:type="spellEnd"/>
            <w:r w:rsidR="001B0EA1" w:rsidRPr="00D70B63">
              <w:t xml:space="preserve"> </w:t>
            </w:r>
            <w:proofErr w:type="spellStart"/>
            <w:r w:rsidR="001B0EA1" w:rsidRPr="00D70B63">
              <w:t>atvasinātām</w:t>
            </w:r>
            <w:proofErr w:type="spellEnd"/>
            <w:r w:rsidR="001B0EA1" w:rsidRPr="00D70B63">
              <w:t xml:space="preserve"> </w:t>
            </w:r>
            <w:proofErr w:type="spellStart"/>
            <w:r w:rsidR="001B0EA1" w:rsidRPr="00D70B63">
              <w:t>publiskām</w:t>
            </w:r>
            <w:proofErr w:type="spellEnd"/>
            <w:r w:rsidR="001B0EA1" w:rsidRPr="00D70B63">
              <w:t xml:space="preserve"> personām u</w:t>
            </w:r>
            <w:r w:rsidR="0040391F" w:rsidRPr="00D70B63">
              <w:t xml:space="preserve">n </w:t>
            </w:r>
            <w:proofErr w:type="spellStart"/>
            <w:r w:rsidR="0040391F" w:rsidRPr="00D70B63">
              <w:t>budžeta</w:t>
            </w:r>
            <w:proofErr w:type="spellEnd"/>
            <w:r w:rsidR="0040391F" w:rsidRPr="00D70B63">
              <w:t xml:space="preserve"> </w:t>
            </w:r>
            <w:proofErr w:type="spellStart"/>
            <w:r w:rsidR="0040391F" w:rsidRPr="00D70B63">
              <w:t>nefinansētam</w:t>
            </w:r>
            <w:proofErr w:type="spellEnd"/>
            <w:r w:rsidR="0040391F" w:rsidRPr="00D70B63">
              <w:t xml:space="preserve"> </w:t>
            </w:r>
            <w:proofErr w:type="spellStart"/>
            <w:r w:rsidR="0040391F" w:rsidRPr="00D70B63">
              <w:t>iestādēm</w:t>
            </w:r>
            <w:proofErr w:type="spellEnd"/>
            <w:r w:rsidR="0040391F" w:rsidRPr="00D70B63">
              <w:t xml:space="preserve">, </w:t>
            </w:r>
            <w:proofErr w:type="spellStart"/>
            <w:r w:rsidR="0040391F" w:rsidRPr="00D70B63">
              <w:t>izņemot</w:t>
            </w:r>
            <w:proofErr w:type="spellEnd"/>
            <w:r w:rsidR="0040391F" w:rsidRPr="00D70B63">
              <w:t xml:space="preserve"> Valsts </w:t>
            </w:r>
            <w:proofErr w:type="spellStart"/>
            <w:r w:rsidR="0040391F" w:rsidRPr="00D70B63">
              <w:t>drošības</w:t>
            </w:r>
            <w:proofErr w:type="spellEnd"/>
            <w:r w:rsidR="0040391F" w:rsidRPr="00D70B63">
              <w:t xml:space="preserve"> </w:t>
            </w:r>
            <w:proofErr w:type="spellStart"/>
            <w:r w:rsidR="0040391F" w:rsidRPr="00D70B63">
              <w:t>iestāžu</w:t>
            </w:r>
            <w:proofErr w:type="spellEnd"/>
            <w:r w:rsidR="0040391F" w:rsidRPr="00D70B63">
              <w:t xml:space="preserve"> </w:t>
            </w:r>
            <w:proofErr w:type="spellStart"/>
            <w:r w:rsidR="0040391F" w:rsidRPr="00D70B63">
              <w:t>likumā</w:t>
            </w:r>
            <w:proofErr w:type="spellEnd"/>
            <w:r w:rsidR="0040391F" w:rsidRPr="00D70B63">
              <w:t xml:space="preserve"> </w:t>
            </w:r>
            <w:proofErr w:type="spellStart"/>
            <w:r w:rsidR="0040391F" w:rsidRPr="00D70B63">
              <w:t>minētās</w:t>
            </w:r>
            <w:proofErr w:type="spellEnd"/>
            <w:r w:rsidR="0040391F" w:rsidRPr="00D70B63">
              <w:t xml:space="preserve"> </w:t>
            </w:r>
            <w:proofErr w:type="spellStart"/>
            <w:r w:rsidR="0040391F" w:rsidRPr="00D70B63">
              <w:t>valsts</w:t>
            </w:r>
            <w:proofErr w:type="spellEnd"/>
            <w:r w:rsidR="0040391F" w:rsidRPr="00D70B63">
              <w:t xml:space="preserve"> </w:t>
            </w:r>
            <w:proofErr w:type="spellStart"/>
            <w:r w:rsidR="0040391F" w:rsidRPr="00D70B63">
              <w:t>drošības</w:t>
            </w:r>
            <w:proofErr w:type="spellEnd"/>
            <w:r w:rsidR="0040391F" w:rsidRPr="00D70B63">
              <w:t xml:space="preserve"> </w:t>
            </w:r>
            <w:proofErr w:type="spellStart"/>
            <w:r w:rsidR="0040391F" w:rsidRPr="00D70B63">
              <w:t>iestādes</w:t>
            </w:r>
            <w:proofErr w:type="spellEnd"/>
            <w:r w:rsidR="0040391F" w:rsidRPr="00D70B63">
              <w:t>.</w:t>
            </w:r>
          </w:p>
        </w:tc>
      </w:tr>
      <w:tr w:rsidR="00D75101" w:rsidRPr="00D70B63" w:rsidTr="00AC5B40">
        <w:tc>
          <w:tcPr>
            <w:tcW w:w="567" w:type="dxa"/>
            <w:tcBorders>
              <w:top w:val="single" w:sz="4" w:space="0" w:color="auto"/>
              <w:left w:val="single" w:sz="4" w:space="0" w:color="auto"/>
              <w:bottom w:val="single" w:sz="4" w:space="0" w:color="auto"/>
              <w:right w:val="single" w:sz="4" w:space="0" w:color="auto"/>
            </w:tcBorders>
            <w:hideMark/>
          </w:tcPr>
          <w:p w:rsidR="00AC5B40" w:rsidRPr="00D70B63" w:rsidRDefault="00AC5B40" w:rsidP="00D70B63">
            <w:pPr>
              <w:pStyle w:val="NormalWeb"/>
              <w:spacing w:before="0" w:beforeAutospacing="0" w:after="0" w:afterAutospacing="0"/>
            </w:pPr>
            <w:r w:rsidRPr="00D70B63">
              <w:t>2.</w:t>
            </w:r>
          </w:p>
        </w:tc>
        <w:tc>
          <w:tcPr>
            <w:tcW w:w="2694" w:type="dxa"/>
            <w:tcBorders>
              <w:top w:val="single" w:sz="4" w:space="0" w:color="auto"/>
              <w:left w:val="single" w:sz="4" w:space="0" w:color="auto"/>
              <w:bottom w:val="single" w:sz="4" w:space="0" w:color="auto"/>
              <w:right w:val="single" w:sz="4" w:space="0" w:color="auto"/>
            </w:tcBorders>
            <w:hideMark/>
          </w:tcPr>
          <w:p w:rsidR="00AC5B40" w:rsidRPr="00D70B63" w:rsidRDefault="00AC5B40" w:rsidP="00D70B63">
            <w:pPr>
              <w:pStyle w:val="NormalWeb"/>
              <w:spacing w:before="0" w:beforeAutospacing="0" w:after="0" w:afterAutospacing="0"/>
            </w:pPr>
            <w:proofErr w:type="spellStart"/>
            <w:r w:rsidRPr="00D70B63">
              <w:t>Tiesiskā</w:t>
            </w:r>
            <w:proofErr w:type="spellEnd"/>
            <w:r w:rsidRPr="00D70B63">
              <w:t xml:space="preserve"> </w:t>
            </w:r>
            <w:proofErr w:type="spellStart"/>
            <w:r w:rsidRPr="00D70B63">
              <w:t>regulējuma</w:t>
            </w:r>
            <w:proofErr w:type="spellEnd"/>
            <w:r w:rsidRPr="00D70B63">
              <w:t xml:space="preserve"> </w:t>
            </w:r>
            <w:proofErr w:type="spellStart"/>
            <w:r w:rsidRPr="00D70B63">
              <w:t>ietekme</w:t>
            </w:r>
            <w:proofErr w:type="spellEnd"/>
            <w:r w:rsidRPr="00D70B63">
              <w:t xml:space="preserve"> </w:t>
            </w:r>
            <w:proofErr w:type="spellStart"/>
            <w:r w:rsidRPr="00D70B63">
              <w:t>uz</w:t>
            </w:r>
            <w:proofErr w:type="spellEnd"/>
            <w:r w:rsidRPr="00D70B63">
              <w:t xml:space="preserve"> </w:t>
            </w:r>
            <w:proofErr w:type="spellStart"/>
            <w:r w:rsidRPr="00D70B63">
              <w:t>tautsaimniecību</w:t>
            </w:r>
            <w:proofErr w:type="spellEnd"/>
            <w:r w:rsidRPr="00D70B63">
              <w:t xml:space="preserve"> un </w:t>
            </w:r>
            <w:proofErr w:type="spellStart"/>
            <w:r w:rsidRPr="00D70B63">
              <w:t>administratīvo</w:t>
            </w:r>
            <w:proofErr w:type="spellEnd"/>
            <w:r w:rsidRPr="00D70B63">
              <w:t xml:space="preserve"> </w:t>
            </w:r>
            <w:proofErr w:type="spellStart"/>
            <w:r w:rsidRPr="00D70B63">
              <w:t>slogu</w:t>
            </w:r>
            <w:proofErr w:type="spellEnd"/>
          </w:p>
        </w:tc>
        <w:tc>
          <w:tcPr>
            <w:tcW w:w="6945" w:type="dxa"/>
            <w:tcBorders>
              <w:top w:val="single" w:sz="4" w:space="0" w:color="auto"/>
              <w:left w:val="single" w:sz="4" w:space="0" w:color="auto"/>
              <w:bottom w:val="single" w:sz="4" w:space="0" w:color="auto"/>
              <w:right w:val="single" w:sz="4" w:space="0" w:color="auto"/>
            </w:tcBorders>
            <w:hideMark/>
          </w:tcPr>
          <w:p w:rsidR="00132861" w:rsidRPr="00D70B63" w:rsidRDefault="006676D9" w:rsidP="00D75101">
            <w:pPr>
              <w:pStyle w:val="NormalWeb"/>
              <w:spacing w:before="0" w:beforeAutospacing="0" w:after="0" w:afterAutospacing="0"/>
              <w:jc w:val="both"/>
            </w:pPr>
            <w:proofErr w:type="spellStart"/>
            <w:r w:rsidRPr="00D70B63">
              <w:t>Tiesiskajam</w:t>
            </w:r>
            <w:proofErr w:type="spellEnd"/>
            <w:r w:rsidRPr="00D70B63">
              <w:t xml:space="preserve"> </w:t>
            </w:r>
            <w:proofErr w:type="spellStart"/>
            <w:r w:rsidRPr="00D70B63">
              <w:t>regulējumam</w:t>
            </w:r>
            <w:proofErr w:type="spellEnd"/>
            <w:r w:rsidRPr="00D70B63">
              <w:t xml:space="preserve"> </w:t>
            </w:r>
            <w:proofErr w:type="spellStart"/>
            <w:r w:rsidRPr="00D70B63">
              <w:t>nav</w:t>
            </w:r>
            <w:proofErr w:type="spellEnd"/>
            <w:r w:rsidRPr="00D70B63">
              <w:t xml:space="preserve"> </w:t>
            </w:r>
            <w:proofErr w:type="spellStart"/>
            <w:r w:rsidRPr="00D70B63">
              <w:t>ietekmes</w:t>
            </w:r>
            <w:proofErr w:type="spellEnd"/>
            <w:r w:rsidRPr="00D70B63">
              <w:t xml:space="preserve"> </w:t>
            </w:r>
            <w:proofErr w:type="spellStart"/>
            <w:r w:rsidRPr="00D70B63">
              <w:t>uz</w:t>
            </w:r>
            <w:proofErr w:type="spellEnd"/>
            <w:r w:rsidRPr="00D70B63">
              <w:t xml:space="preserve"> </w:t>
            </w:r>
            <w:proofErr w:type="spellStart"/>
            <w:r w:rsidRPr="00D70B63">
              <w:t>tautsaimniecību</w:t>
            </w:r>
            <w:proofErr w:type="spellEnd"/>
            <w:r w:rsidRPr="00D70B63">
              <w:t xml:space="preserve"> un </w:t>
            </w:r>
            <w:proofErr w:type="spellStart"/>
            <w:r w:rsidRPr="00D70B63">
              <w:t>a</w:t>
            </w:r>
            <w:r w:rsidR="001B0EA1" w:rsidRPr="00D70B63">
              <w:t>dministratīvais</w:t>
            </w:r>
            <w:proofErr w:type="spellEnd"/>
            <w:r w:rsidR="001B0EA1" w:rsidRPr="00D70B63">
              <w:t xml:space="preserve"> slogs </w:t>
            </w:r>
            <w:proofErr w:type="spellStart"/>
            <w:r w:rsidR="001B0EA1" w:rsidRPr="00D70B63">
              <w:t>attiecībā</w:t>
            </w:r>
            <w:proofErr w:type="spellEnd"/>
            <w:r w:rsidR="001B0EA1" w:rsidRPr="00D70B63">
              <w:t xml:space="preserve"> </w:t>
            </w:r>
            <w:proofErr w:type="spellStart"/>
            <w:r w:rsidR="001B0EA1" w:rsidRPr="00D70B63">
              <w:t>uz</w:t>
            </w:r>
            <w:proofErr w:type="spellEnd"/>
            <w:r w:rsidR="001B0EA1" w:rsidRPr="00D70B63">
              <w:t xml:space="preserve"> </w:t>
            </w:r>
            <w:proofErr w:type="spellStart"/>
            <w:r w:rsidR="001B0EA1" w:rsidRPr="00D70B63">
              <w:t>šīs</w:t>
            </w:r>
            <w:proofErr w:type="spellEnd"/>
            <w:r w:rsidR="001B0EA1" w:rsidRPr="00D70B63">
              <w:t xml:space="preserve"> </w:t>
            </w:r>
            <w:proofErr w:type="spellStart"/>
            <w:r w:rsidR="001B0EA1" w:rsidRPr="00D70B63">
              <w:t>anotācijas</w:t>
            </w:r>
            <w:proofErr w:type="spellEnd"/>
            <w:r w:rsidR="001B0EA1" w:rsidRPr="00D70B63">
              <w:t xml:space="preserve"> </w:t>
            </w:r>
            <w:proofErr w:type="spellStart"/>
            <w:r w:rsidR="001B0EA1" w:rsidRPr="00D70B63">
              <w:t>daļas</w:t>
            </w:r>
            <w:proofErr w:type="spellEnd"/>
            <w:r w:rsidR="001B0EA1" w:rsidRPr="00D70B63">
              <w:t xml:space="preserve"> 1.punktā </w:t>
            </w:r>
            <w:proofErr w:type="spellStart"/>
            <w:r w:rsidR="001B0EA1" w:rsidRPr="00D70B63">
              <w:t>minētajām</w:t>
            </w:r>
            <w:proofErr w:type="spellEnd"/>
            <w:r w:rsidR="001B0EA1" w:rsidRPr="00D70B63">
              <w:t xml:space="preserve"> </w:t>
            </w:r>
            <w:proofErr w:type="spellStart"/>
            <w:r w:rsidR="00A32FDB" w:rsidRPr="00D70B63">
              <w:t>sabiedrības</w:t>
            </w:r>
            <w:proofErr w:type="spellEnd"/>
            <w:r w:rsidR="00A32FDB" w:rsidRPr="00D70B63">
              <w:t xml:space="preserve"> </w:t>
            </w:r>
            <w:proofErr w:type="spellStart"/>
            <w:r w:rsidR="00A32FDB" w:rsidRPr="00D70B63">
              <w:t>mērķgrupām</w:t>
            </w:r>
            <w:proofErr w:type="spellEnd"/>
            <w:r w:rsidR="00A32FDB" w:rsidRPr="00D70B63">
              <w:t xml:space="preserve"> </w:t>
            </w:r>
            <w:proofErr w:type="spellStart"/>
            <w:r w:rsidR="00A32FDB" w:rsidRPr="00D70B63">
              <w:t>nemainās</w:t>
            </w:r>
            <w:proofErr w:type="spellEnd"/>
            <w:r w:rsidR="00A32FDB" w:rsidRPr="00D70B63">
              <w:t>.</w:t>
            </w:r>
            <w:r w:rsidR="001B0EA1" w:rsidRPr="00D70B63">
              <w:t xml:space="preserve"> </w:t>
            </w:r>
            <w:proofErr w:type="spellStart"/>
            <w:r w:rsidR="00A32FDB" w:rsidRPr="00D70B63">
              <w:t>Kaut</w:t>
            </w:r>
            <w:proofErr w:type="spellEnd"/>
            <w:r w:rsidR="00A32FDB" w:rsidRPr="00D70B63">
              <w:t xml:space="preserve"> </w:t>
            </w:r>
            <w:proofErr w:type="spellStart"/>
            <w:r w:rsidR="00A32FDB" w:rsidRPr="00D70B63">
              <w:t>arī</w:t>
            </w:r>
            <w:proofErr w:type="spellEnd"/>
            <w:r w:rsidR="00A32FDB" w:rsidRPr="00D70B63">
              <w:t xml:space="preserve"> </w:t>
            </w:r>
            <w:proofErr w:type="spellStart"/>
            <w:r w:rsidR="00A32FDB" w:rsidRPr="00D70B63">
              <w:t>ir</w:t>
            </w:r>
            <w:proofErr w:type="spellEnd"/>
            <w:r w:rsidR="00A32FDB" w:rsidRPr="00D70B63">
              <w:t xml:space="preserve"> </w:t>
            </w:r>
            <w:proofErr w:type="spellStart"/>
            <w:r w:rsidR="00A32FDB" w:rsidRPr="00D70B63">
              <w:t>pievienota</w:t>
            </w:r>
            <w:proofErr w:type="spellEnd"/>
            <w:r w:rsidR="00A32FDB" w:rsidRPr="00D70B63">
              <w:t xml:space="preserve"> </w:t>
            </w:r>
            <w:proofErr w:type="spellStart"/>
            <w:r w:rsidR="00A32FDB" w:rsidRPr="00D70B63">
              <w:t>viena</w:t>
            </w:r>
            <w:proofErr w:type="spellEnd"/>
            <w:r w:rsidR="00A32FDB" w:rsidRPr="00D70B63">
              <w:t xml:space="preserve"> </w:t>
            </w:r>
            <w:proofErr w:type="spellStart"/>
            <w:r w:rsidR="00A32FDB" w:rsidRPr="00D70B63">
              <w:t>jauna</w:t>
            </w:r>
            <w:proofErr w:type="spellEnd"/>
            <w:r w:rsidR="00A32FDB" w:rsidRPr="00D70B63">
              <w:t xml:space="preserve"> </w:t>
            </w:r>
            <w:proofErr w:type="spellStart"/>
            <w:r w:rsidR="00A32FDB" w:rsidRPr="00D70B63">
              <w:t>veidlapa</w:t>
            </w:r>
            <w:proofErr w:type="spellEnd"/>
            <w:r w:rsidR="00A32FDB" w:rsidRPr="00D70B63">
              <w:t xml:space="preserve"> Nr.C-6 „</w:t>
            </w:r>
            <w:proofErr w:type="spellStart"/>
            <w:r w:rsidR="00A32FDB" w:rsidRPr="00D70B63">
              <w:t>Pārskats</w:t>
            </w:r>
            <w:proofErr w:type="spellEnd"/>
            <w:r w:rsidR="00A32FDB" w:rsidRPr="00D70B63">
              <w:t xml:space="preserve"> par </w:t>
            </w:r>
            <w:proofErr w:type="spellStart"/>
            <w:r w:rsidR="00A32FDB" w:rsidRPr="00D70B63">
              <w:t>nākamo</w:t>
            </w:r>
            <w:proofErr w:type="spellEnd"/>
            <w:r w:rsidR="00A32FDB" w:rsidRPr="00D70B63">
              <w:t xml:space="preserve"> </w:t>
            </w:r>
            <w:proofErr w:type="spellStart"/>
            <w:r w:rsidR="00A32FDB" w:rsidRPr="00D70B63">
              <w:t>periodu</w:t>
            </w:r>
            <w:proofErr w:type="spellEnd"/>
            <w:r w:rsidR="00A32FDB" w:rsidRPr="00D70B63">
              <w:t xml:space="preserve"> </w:t>
            </w:r>
            <w:proofErr w:type="spellStart"/>
            <w:r w:rsidR="00A32FDB" w:rsidRPr="00D70B63">
              <w:t>izdevumiem</w:t>
            </w:r>
            <w:proofErr w:type="spellEnd"/>
            <w:r w:rsidR="00A32FDB" w:rsidRPr="00D70B63">
              <w:t xml:space="preserve"> un </w:t>
            </w:r>
            <w:proofErr w:type="spellStart"/>
            <w:r w:rsidR="00A32FDB" w:rsidRPr="00D70B63">
              <w:t>avansu</w:t>
            </w:r>
            <w:proofErr w:type="spellEnd"/>
            <w:r w:rsidR="00A32FDB" w:rsidRPr="00D70B63">
              <w:t xml:space="preserve"> </w:t>
            </w:r>
            <w:proofErr w:type="spellStart"/>
            <w:r w:rsidR="00A32FDB" w:rsidRPr="00D70B63">
              <w:t>maksājumiem</w:t>
            </w:r>
            <w:proofErr w:type="spellEnd"/>
            <w:r w:rsidR="00A32FDB" w:rsidRPr="00D70B63">
              <w:t xml:space="preserve">”, </w:t>
            </w:r>
            <w:proofErr w:type="spellStart"/>
            <w:r w:rsidR="00A32FDB" w:rsidRPr="00D70B63">
              <w:t>taču</w:t>
            </w:r>
            <w:proofErr w:type="spellEnd"/>
            <w:r w:rsidR="00A32FDB" w:rsidRPr="00D70B63">
              <w:t xml:space="preserve"> </w:t>
            </w:r>
            <w:proofErr w:type="spellStart"/>
            <w:r w:rsidR="00A32FDB" w:rsidRPr="00D70B63">
              <w:t>kopējais</w:t>
            </w:r>
            <w:proofErr w:type="spellEnd"/>
            <w:r w:rsidR="00A32FDB" w:rsidRPr="00D70B63">
              <w:t xml:space="preserve"> </w:t>
            </w:r>
            <w:proofErr w:type="spellStart"/>
            <w:r w:rsidR="00A32FDB" w:rsidRPr="00D70B63">
              <w:t>informācijas</w:t>
            </w:r>
            <w:proofErr w:type="spellEnd"/>
            <w:r w:rsidR="00A32FDB" w:rsidRPr="00D70B63">
              <w:t xml:space="preserve"> </w:t>
            </w:r>
            <w:proofErr w:type="spellStart"/>
            <w:r w:rsidR="00A32FDB" w:rsidRPr="00D70B63">
              <w:t>daudzums</w:t>
            </w:r>
            <w:proofErr w:type="spellEnd"/>
            <w:r w:rsidR="00A32FDB" w:rsidRPr="00D70B63">
              <w:t xml:space="preserve"> </w:t>
            </w:r>
            <w:proofErr w:type="spellStart"/>
            <w:r w:rsidR="00A32FDB" w:rsidRPr="00D70B63">
              <w:t>paliek</w:t>
            </w:r>
            <w:proofErr w:type="spellEnd"/>
            <w:r w:rsidR="00A32FDB" w:rsidRPr="00D70B63">
              <w:t xml:space="preserve"> </w:t>
            </w:r>
            <w:proofErr w:type="spellStart"/>
            <w:r w:rsidR="00A32FDB" w:rsidRPr="00D70B63">
              <w:t>nemainīgs</w:t>
            </w:r>
            <w:proofErr w:type="spellEnd"/>
            <w:r w:rsidR="00A32FDB" w:rsidRPr="00D70B63">
              <w:t xml:space="preserve">, jo </w:t>
            </w:r>
            <w:proofErr w:type="spellStart"/>
            <w:r w:rsidR="00A32FDB" w:rsidRPr="00D70B63">
              <w:t>informācijas</w:t>
            </w:r>
            <w:proofErr w:type="spellEnd"/>
            <w:r w:rsidR="00A32FDB" w:rsidRPr="00D70B63">
              <w:t xml:space="preserve"> </w:t>
            </w:r>
            <w:proofErr w:type="spellStart"/>
            <w:r w:rsidR="00A32FDB" w:rsidRPr="00D70B63">
              <w:t>daļ</w:t>
            </w:r>
            <w:r w:rsidR="00AB1FEF" w:rsidRPr="00D70B63">
              <w:t>u</w:t>
            </w:r>
            <w:proofErr w:type="spellEnd"/>
            <w:r w:rsidR="00A32FDB" w:rsidRPr="00D70B63">
              <w:t xml:space="preserve"> no </w:t>
            </w:r>
            <w:proofErr w:type="spellStart"/>
            <w:r w:rsidR="00A32FDB" w:rsidRPr="00D70B63">
              <w:t>veidlapas</w:t>
            </w:r>
            <w:proofErr w:type="spellEnd"/>
            <w:r w:rsidR="00A32FDB" w:rsidRPr="00D70B63">
              <w:t xml:space="preserve"> Nr.C-5 „</w:t>
            </w:r>
            <w:proofErr w:type="spellStart"/>
            <w:r w:rsidR="00A32FDB" w:rsidRPr="00D70B63">
              <w:t>Pārskats</w:t>
            </w:r>
            <w:proofErr w:type="spellEnd"/>
            <w:r w:rsidR="00A32FDB" w:rsidRPr="00D70B63">
              <w:t xml:space="preserve"> par </w:t>
            </w:r>
            <w:proofErr w:type="spellStart"/>
            <w:r w:rsidR="00A32FDB" w:rsidRPr="00D70B63">
              <w:t>prasībām</w:t>
            </w:r>
            <w:proofErr w:type="spellEnd"/>
            <w:r w:rsidR="00A32FDB" w:rsidRPr="00D70B63">
              <w:t>”</w:t>
            </w:r>
            <w:r w:rsidR="00A32FDB" w:rsidRPr="00D70B63">
              <w:rPr>
                <w:sz w:val="28"/>
              </w:rPr>
              <w:t xml:space="preserve"> </w:t>
            </w:r>
            <w:proofErr w:type="spellStart"/>
            <w:r w:rsidR="00A32FDB" w:rsidRPr="00D70B63">
              <w:t>pārce</w:t>
            </w:r>
            <w:r w:rsidR="00AB1FEF" w:rsidRPr="00D70B63">
              <w:t>ļ</w:t>
            </w:r>
            <w:proofErr w:type="spellEnd"/>
            <w:r w:rsidR="00A32FDB" w:rsidRPr="00D70B63">
              <w:t xml:space="preserve"> </w:t>
            </w:r>
            <w:proofErr w:type="spellStart"/>
            <w:r w:rsidR="00A32FDB" w:rsidRPr="00D70B63">
              <w:t>uz</w:t>
            </w:r>
            <w:proofErr w:type="spellEnd"/>
            <w:r w:rsidR="00A32FDB" w:rsidRPr="00D70B63">
              <w:t xml:space="preserve"> </w:t>
            </w:r>
            <w:proofErr w:type="spellStart"/>
            <w:r w:rsidR="00A32FDB" w:rsidRPr="00D70B63">
              <w:t>iepriekš</w:t>
            </w:r>
            <w:proofErr w:type="spellEnd"/>
            <w:r w:rsidR="004E19DA" w:rsidRPr="00D70B63">
              <w:t xml:space="preserve"> </w:t>
            </w:r>
            <w:proofErr w:type="spellStart"/>
            <w:r w:rsidR="004E19DA" w:rsidRPr="00D70B63">
              <w:t>minēto</w:t>
            </w:r>
            <w:proofErr w:type="spellEnd"/>
            <w:r w:rsidR="004E19DA" w:rsidRPr="00D70B63">
              <w:t xml:space="preserve"> </w:t>
            </w:r>
            <w:proofErr w:type="spellStart"/>
            <w:r w:rsidR="004E19DA" w:rsidRPr="00D70B63">
              <w:t>veidlapu</w:t>
            </w:r>
            <w:proofErr w:type="gramStart"/>
            <w:r w:rsidR="00D72DD0" w:rsidRPr="00D70B63">
              <w:t>,</w:t>
            </w:r>
            <w:r w:rsidR="00AB5D3E" w:rsidRPr="00D70B63">
              <w:t>tāpēc</w:t>
            </w:r>
            <w:proofErr w:type="spellEnd"/>
            <w:proofErr w:type="gramEnd"/>
            <w:r w:rsidR="00AB5D3E" w:rsidRPr="00D70B63">
              <w:t xml:space="preserve"> </w:t>
            </w:r>
            <w:r w:rsidR="00A32FDB" w:rsidRPr="00D70B63">
              <w:t xml:space="preserve"> </w:t>
            </w:r>
            <w:proofErr w:type="spellStart"/>
            <w:r w:rsidR="00AB5D3E" w:rsidRPr="00D70B63">
              <w:t>sabiedrības</w:t>
            </w:r>
            <w:proofErr w:type="spellEnd"/>
            <w:r w:rsidR="00AB5D3E" w:rsidRPr="00D70B63">
              <w:t xml:space="preserve"> </w:t>
            </w:r>
            <w:proofErr w:type="spellStart"/>
            <w:r w:rsidR="00AB5D3E" w:rsidRPr="00D70B63">
              <w:t>mērķgrupām</w:t>
            </w:r>
            <w:proofErr w:type="spellEnd"/>
            <w:r w:rsidR="00AB5D3E" w:rsidRPr="00D70B63">
              <w:t xml:space="preserve"> </w:t>
            </w:r>
            <w:proofErr w:type="spellStart"/>
            <w:r w:rsidR="00AB1FEF" w:rsidRPr="00D70B63">
              <w:t>ne</w:t>
            </w:r>
            <w:r w:rsidR="001B0EA1" w:rsidRPr="00D70B63">
              <w:t>mai</w:t>
            </w:r>
            <w:r w:rsidR="00AB1FEF" w:rsidRPr="00D70B63">
              <w:t>nās</w:t>
            </w:r>
            <w:proofErr w:type="spellEnd"/>
            <w:r w:rsidR="001B0EA1" w:rsidRPr="00D70B63">
              <w:t xml:space="preserve"> to </w:t>
            </w:r>
            <w:proofErr w:type="spellStart"/>
            <w:r w:rsidR="001B0EA1" w:rsidRPr="00D70B63">
              <w:t>lī</w:t>
            </w:r>
            <w:r w:rsidR="00C76D2A" w:rsidRPr="00D70B63">
              <w:t>dzšinējie</w:t>
            </w:r>
            <w:proofErr w:type="spellEnd"/>
            <w:r w:rsidR="00C76D2A" w:rsidRPr="00D70B63">
              <w:t xml:space="preserve"> </w:t>
            </w:r>
            <w:proofErr w:type="spellStart"/>
            <w:r w:rsidR="00AB5D3E" w:rsidRPr="00D70B63">
              <w:t>pienākumi</w:t>
            </w:r>
            <w:proofErr w:type="spellEnd"/>
            <w:r w:rsidR="00AB5D3E" w:rsidRPr="00D70B63">
              <w:t xml:space="preserve"> un </w:t>
            </w:r>
            <w:proofErr w:type="spellStart"/>
            <w:r w:rsidR="00AB5D3E" w:rsidRPr="00D70B63">
              <w:t>tiesības</w:t>
            </w:r>
            <w:proofErr w:type="spellEnd"/>
            <w:r w:rsidR="00AB5D3E" w:rsidRPr="00D70B63">
              <w:t>.</w:t>
            </w:r>
          </w:p>
        </w:tc>
      </w:tr>
      <w:tr w:rsidR="00D75101" w:rsidRPr="00D70B63" w:rsidTr="00AC5B40">
        <w:tc>
          <w:tcPr>
            <w:tcW w:w="567" w:type="dxa"/>
            <w:tcBorders>
              <w:top w:val="single" w:sz="4" w:space="0" w:color="auto"/>
              <w:left w:val="single" w:sz="4" w:space="0" w:color="auto"/>
              <w:bottom w:val="single" w:sz="4" w:space="0" w:color="auto"/>
              <w:right w:val="single" w:sz="4" w:space="0" w:color="auto"/>
            </w:tcBorders>
            <w:hideMark/>
          </w:tcPr>
          <w:p w:rsidR="00AC5B40" w:rsidRPr="00D70B63" w:rsidRDefault="00AC5B40" w:rsidP="00D70B63">
            <w:pPr>
              <w:pStyle w:val="NormalWeb"/>
              <w:spacing w:before="0" w:beforeAutospacing="0" w:after="0" w:afterAutospacing="0"/>
            </w:pPr>
            <w:r w:rsidRPr="00D70B63">
              <w:t>3.</w:t>
            </w:r>
          </w:p>
        </w:tc>
        <w:tc>
          <w:tcPr>
            <w:tcW w:w="2694" w:type="dxa"/>
            <w:tcBorders>
              <w:top w:val="single" w:sz="4" w:space="0" w:color="auto"/>
              <w:left w:val="single" w:sz="4" w:space="0" w:color="auto"/>
              <w:bottom w:val="single" w:sz="4" w:space="0" w:color="auto"/>
              <w:right w:val="single" w:sz="4" w:space="0" w:color="auto"/>
            </w:tcBorders>
            <w:hideMark/>
          </w:tcPr>
          <w:p w:rsidR="00AC5B40" w:rsidRPr="00D70B63" w:rsidRDefault="00AC5B40" w:rsidP="00D70B63">
            <w:pPr>
              <w:pStyle w:val="NormalWeb"/>
              <w:spacing w:before="0" w:beforeAutospacing="0" w:after="0" w:afterAutospacing="0"/>
            </w:pPr>
            <w:proofErr w:type="spellStart"/>
            <w:r w:rsidRPr="00D70B63">
              <w:t>Administratīvo</w:t>
            </w:r>
            <w:proofErr w:type="spellEnd"/>
            <w:r w:rsidRPr="00D70B63">
              <w:t xml:space="preserve"> </w:t>
            </w:r>
            <w:proofErr w:type="spellStart"/>
            <w:r w:rsidRPr="00D70B63">
              <w:t>izmaksu</w:t>
            </w:r>
            <w:proofErr w:type="spellEnd"/>
            <w:r w:rsidRPr="00D70B63">
              <w:t xml:space="preserve"> </w:t>
            </w:r>
            <w:proofErr w:type="spellStart"/>
            <w:r w:rsidRPr="00D70B63">
              <w:t>monetārs</w:t>
            </w:r>
            <w:proofErr w:type="spellEnd"/>
            <w:r w:rsidRPr="00D70B63">
              <w:t xml:space="preserve"> </w:t>
            </w:r>
            <w:proofErr w:type="spellStart"/>
            <w:r w:rsidRPr="00D70B63">
              <w:t>novērtējums</w:t>
            </w:r>
            <w:proofErr w:type="spellEnd"/>
          </w:p>
        </w:tc>
        <w:tc>
          <w:tcPr>
            <w:tcW w:w="6945" w:type="dxa"/>
            <w:tcBorders>
              <w:top w:val="single" w:sz="4" w:space="0" w:color="auto"/>
              <w:left w:val="single" w:sz="4" w:space="0" w:color="auto"/>
              <w:bottom w:val="single" w:sz="4" w:space="0" w:color="auto"/>
              <w:right w:val="single" w:sz="4" w:space="0" w:color="auto"/>
            </w:tcBorders>
            <w:hideMark/>
          </w:tcPr>
          <w:p w:rsidR="00AC5B40" w:rsidRPr="00D70B63" w:rsidRDefault="00AC5B40" w:rsidP="00D70B63">
            <w:pPr>
              <w:pStyle w:val="NormalWeb"/>
              <w:spacing w:before="0" w:beforeAutospacing="0" w:after="0" w:afterAutospacing="0"/>
            </w:pPr>
            <w:proofErr w:type="spellStart"/>
            <w:r w:rsidRPr="00D70B63">
              <w:t>Noteikumu</w:t>
            </w:r>
            <w:proofErr w:type="spellEnd"/>
            <w:r w:rsidRPr="00D70B63">
              <w:t xml:space="preserve"> </w:t>
            </w:r>
            <w:proofErr w:type="spellStart"/>
            <w:r w:rsidRPr="00D70B63">
              <w:t>projekts</w:t>
            </w:r>
            <w:proofErr w:type="spellEnd"/>
            <w:r w:rsidRPr="00D70B63">
              <w:t xml:space="preserve"> </w:t>
            </w:r>
            <w:proofErr w:type="spellStart"/>
            <w:r w:rsidRPr="00D70B63">
              <w:t>šo</w:t>
            </w:r>
            <w:proofErr w:type="spellEnd"/>
            <w:r w:rsidRPr="00D70B63">
              <w:t xml:space="preserve"> </w:t>
            </w:r>
            <w:proofErr w:type="spellStart"/>
            <w:r w:rsidRPr="00D70B63">
              <w:t>jomu</w:t>
            </w:r>
            <w:proofErr w:type="spellEnd"/>
            <w:r w:rsidRPr="00D70B63">
              <w:t xml:space="preserve"> </w:t>
            </w:r>
            <w:proofErr w:type="spellStart"/>
            <w:r w:rsidRPr="00D70B63">
              <w:t>neskar</w:t>
            </w:r>
            <w:proofErr w:type="spellEnd"/>
            <w:r w:rsidRPr="00D70B63">
              <w:t>.</w:t>
            </w:r>
          </w:p>
        </w:tc>
      </w:tr>
      <w:tr w:rsidR="00D75101" w:rsidRPr="00D70B63" w:rsidTr="00AC5B40">
        <w:tc>
          <w:tcPr>
            <w:tcW w:w="567" w:type="dxa"/>
            <w:tcBorders>
              <w:top w:val="single" w:sz="4" w:space="0" w:color="auto"/>
              <w:left w:val="single" w:sz="4" w:space="0" w:color="auto"/>
              <w:bottom w:val="single" w:sz="4" w:space="0" w:color="auto"/>
              <w:right w:val="single" w:sz="4" w:space="0" w:color="auto"/>
            </w:tcBorders>
            <w:hideMark/>
          </w:tcPr>
          <w:p w:rsidR="00AC5B40" w:rsidRPr="00D70B63" w:rsidRDefault="00AC5B40" w:rsidP="00D70B63">
            <w:pPr>
              <w:pStyle w:val="NormalWeb"/>
              <w:spacing w:before="0" w:beforeAutospacing="0" w:after="0" w:afterAutospacing="0"/>
            </w:pPr>
            <w:r w:rsidRPr="00D70B63">
              <w:t>4.</w:t>
            </w:r>
          </w:p>
        </w:tc>
        <w:tc>
          <w:tcPr>
            <w:tcW w:w="2694" w:type="dxa"/>
            <w:tcBorders>
              <w:top w:val="single" w:sz="4" w:space="0" w:color="auto"/>
              <w:left w:val="single" w:sz="4" w:space="0" w:color="auto"/>
              <w:bottom w:val="single" w:sz="4" w:space="0" w:color="auto"/>
              <w:right w:val="single" w:sz="4" w:space="0" w:color="auto"/>
            </w:tcBorders>
            <w:hideMark/>
          </w:tcPr>
          <w:p w:rsidR="00AC5B40" w:rsidRPr="00D70B63" w:rsidRDefault="00AC5B40" w:rsidP="00D70B63">
            <w:pPr>
              <w:pStyle w:val="NormalWeb"/>
              <w:spacing w:before="0" w:beforeAutospacing="0" w:after="0" w:afterAutospacing="0"/>
            </w:pPr>
            <w:proofErr w:type="spellStart"/>
            <w:r w:rsidRPr="00D70B63">
              <w:t>Cita</w:t>
            </w:r>
            <w:proofErr w:type="spellEnd"/>
            <w:r w:rsidRPr="00D70B63">
              <w:t xml:space="preserve"> </w:t>
            </w:r>
            <w:proofErr w:type="spellStart"/>
            <w:r w:rsidRPr="00D70B63">
              <w:t>informācija</w:t>
            </w:r>
            <w:proofErr w:type="spellEnd"/>
          </w:p>
        </w:tc>
        <w:tc>
          <w:tcPr>
            <w:tcW w:w="6945" w:type="dxa"/>
            <w:tcBorders>
              <w:top w:val="single" w:sz="4" w:space="0" w:color="auto"/>
              <w:left w:val="single" w:sz="4" w:space="0" w:color="auto"/>
              <w:bottom w:val="single" w:sz="4" w:space="0" w:color="auto"/>
              <w:right w:val="single" w:sz="4" w:space="0" w:color="auto"/>
            </w:tcBorders>
            <w:hideMark/>
          </w:tcPr>
          <w:p w:rsidR="00AC5B40" w:rsidRPr="00D70B63" w:rsidRDefault="00AC5B40" w:rsidP="00D70B63">
            <w:pPr>
              <w:pStyle w:val="NormalWeb"/>
              <w:spacing w:before="0" w:beforeAutospacing="0" w:after="0" w:afterAutospacing="0"/>
            </w:pPr>
            <w:r w:rsidRPr="00D70B63">
              <w:t>Nav.</w:t>
            </w:r>
          </w:p>
        </w:tc>
      </w:tr>
    </w:tbl>
    <w:p w:rsidR="003B6499" w:rsidRPr="00D70B63" w:rsidRDefault="003B6499" w:rsidP="00D75101">
      <w:pPr>
        <w:rPr>
          <w:b/>
          <w:bCs/>
          <w:i/>
          <w:iCs/>
        </w:rPr>
      </w:pPr>
    </w:p>
    <w:p w:rsidR="008766F2" w:rsidRPr="00D70B63" w:rsidRDefault="00C82F9B" w:rsidP="00D75101">
      <w:pPr>
        <w:rPr>
          <w:b/>
          <w:bCs/>
          <w:i/>
          <w:iCs/>
        </w:rPr>
      </w:pPr>
      <w:r w:rsidRPr="00D70B63">
        <w:rPr>
          <w:b/>
          <w:bCs/>
          <w:i/>
          <w:iCs/>
        </w:rPr>
        <w:t xml:space="preserve">III, </w:t>
      </w:r>
      <w:r w:rsidR="00537286" w:rsidRPr="00D70B63">
        <w:rPr>
          <w:b/>
          <w:bCs/>
          <w:i/>
          <w:iCs/>
        </w:rPr>
        <w:t xml:space="preserve">IV, </w:t>
      </w:r>
      <w:r w:rsidR="00061387" w:rsidRPr="00D70B63">
        <w:rPr>
          <w:b/>
          <w:bCs/>
          <w:i/>
          <w:iCs/>
        </w:rPr>
        <w:t>V,</w:t>
      </w:r>
      <w:r w:rsidR="00AF5AA2" w:rsidRPr="00D70B63">
        <w:rPr>
          <w:b/>
          <w:bCs/>
          <w:i/>
          <w:iCs/>
        </w:rPr>
        <w:t xml:space="preserve"> VI sadaļa – </w:t>
      </w:r>
      <w:r w:rsidR="005E702B" w:rsidRPr="00D70B63">
        <w:rPr>
          <w:b/>
          <w:bCs/>
          <w:i/>
          <w:iCs/>
        </w:rPr>
        <w:t>Projekts š</w:t>
      </w:r>
      <w:r w:rsidR="004A2936" w:rsidRPr="00D70B63">
        <w:rPr>
          <w:b/>
          <w:bCs/>
          <w:i/>
          <w:iCs/>
        </w:rPr>
        <w:t>īs</w:t>
      </w:r>
      <w:r w:rsidR="005E702B" w:rsidRPr="00D70B63">
        <w:rPr>
          <w:b/>
          <w:bCs/>
          <w:i/>
          <w:iCs/>
        </w:rPr>
        <w:t xml:space="preserve"> jom</w:t>
      </w:r>
      <w:r w:rsidR="004A2936" w:rsidRPr="00D70B63">
        <w:rPr>
          <w:b/>
          <w:bCs/>
          <w:i/>
          <w:iCs/>
        </w:rPr>
        <w:t>as</w:t>
      </w:r>
      <w:r w:rsidR="005E702B" w:rsidRPr="00D70B63">
        <w:rPr>
          <w:b/>
          <w:bCs/>
          <w:i/>
          <w:iCs/>
        </w:rPr>
        <w:t xml:space="preserve"> neskar</w:t>
      </w:r>
      <w:r w:rsidR="00AF5AA2" w:rsidRPr="00D70B63">
        <w:rPr>
          <w:b/>
          <w:bCs/>
          <w:i/>
          <w:iCs/>
        </w:rPr>
        <w:t>.</w:t>
      </w:r>
    </w:p>
    <w:p w:rsidR="008766F2" w:rsidRPr="00D70B63" w:rsidRDefault="008766F2">
      <w:pPr>
        <w:rPr>
          <w:b/>
          <w:bCs/>
          <w:i/>
          <w:iCs/>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2728"/>
        <w:gridCol w:w="7020"/>
      </w:tblGrid>
      <w:tr w:rsidR="00D75101" w:rsidRPr="00D70B63" w:rsidTr="00B51A83">
        <w:tc>
          <w:tcPr>
            <w:tcW w:w="10206" w:type="dxa"/>
            <w:gridSpan w:val="3"/>
            <w:shd w:val="clear" w:color="auto" w:fill="auto"/>
          </w:tcPr>
          <w:p w:rsidR="00B51A83" w:rsidRPr="00D70B63" w:rsidRDefault="00B51A83">
            <w:pPr>
              <w:jc w:val="center"/>
            </w:pPr>
            <w:r w:rsidRPr="00D70B63">
              <w:rPr>
                <w:b/>
                <w:bCs/>
              </w:rPr>
              <w:t>VII. Tiesību akta projekta izpildes nodrošināšana un tās ietekme uz institūcijām</w:t>
            </w:r>
          </w:p>
        </w:tc>
      </w:tr>
      <w:tr w:rsidR="00D75101" w:rsidRPr="00D70B63" w:rsidTr="00B51A83">
        <w:tc>
          <w:tcPr>
            <w:tcW w:w="458" w:type="dxa"/>
            <w:shd w:val="clear" w:color="auto" w:fill="auto"/>
          </w:tcPr>
          <w:p w:rsidR="00B51A83" w:rsidRPr="00D70B63" w:rsidRDefault="00B51A83" w:rsidP="00D70B63">
            <w:pPr>
              <w:pStyle w:val="NormalWeb"/>
              <w:spacing w:before="0" w:beforeAutospacing="0" w:after="0" w:afterAutospacing="0"/>
            </w:pPr>
            <w:r w:rsidRPr="00D70B63">
              <w:t>1.</w:t>
            </w:r>
          </w:p>
        </w:tc>
        <w:tc>
          <w:tcPr>
            <w:tcW w:w="2728" w:type="dxa"/>
            <w:shd w:val="clear" w:color="auto" w:fill="auto"/>
          </w:tcPr>
          <w:p w:rsidR="00B51A83" w:rsidRPr="00D70B63" w:rsidRDefault="00B51A83" w:rsidP="00D70B63">
            <w:pPr>
              <w:pStyle w:val="NormalWeb"/>
              <w:spacing w:before="0" w:beforeAutospacing="0" w:after="0" w:afterAutospacing="0"/>
            </w:pPr>
            <w:proofErr w:type="spellStart"/>
            <w:r w:rsidRPr="00D70B63">
              <w:t>Projekta</w:t>
            </w:r>
            <w:proofErr w:type="spellEnd"/>
            <w:r w:rsidRPr="00D70B63">
              <w:t xml:space="preserve"> </w:t>
            </w:r>
            <w:proofErr w:type="spellStart"/>
            <w:r w:rsidRPr="00D70B63">
              <w:t>izpildē</w:t>
            </w:r>
            <w:proofErr w:type="spellEnd"/>
            <w:r w:rsidRPr="00D70B63">
              <w:t xml:space="preserve"> </w:t>
            </w:r>
            <w:proofErr w:type="spellStart"/>
            <w:r w:rsidRPr="00D70B63">
              <w:t>iesaistītās</w:t>
            </w:r>
            <w:proofErr w:type="spellEnd"/>
            <w:r w:rsidRPr="00D70B63">
              <w:t xml:space="preserve"> </w:t>
            </w:r>
            <w:proofErr w:type="spellStart"/>
            <w:r w:rsidRPr="00D70B63">
              <w:t>institūcijas</w:t>
            </w:r>
            <w:proofErr w:type="spellEnd"/>
          </w:p>
        </w:tc>
        <w:tc>
          <w:tcPr>
            <w:tcW w:w="7020" w:type="dxa"/>
            <w:shd w:val="clear" w:color="auto" w:fill="auto"/>
          </w:tcPr>
          <w:p w:rsidR="00132861" w:rsidRPr="00D70B63" w:rsidRDefault="00B51A83" w:rsidP="00D70B63">
            <w:pPr>
              <w:pStyle w:val="NormalWeb"/>
              <w:spacing w:before="0" w:beforeAutospacing="0" w:after="0" w:afterAutospacing="0"/>
              <w:jc w:val="both"/>
            </w:pPr>
            <w:r w:rsidRPr="00D70B63">
              <w:t xml:space="preserve">Budžeta </w:t>
            </w:r>
            <w:proofErr w:type="spellStart"/>
            <w:r w:rsidRPr="00D70B63">
              <w:t>iestādes</w:t>
            </w:r>
            <w:proofErr w:type="spellEnd"/>
            <w:r w:rsidRPr="00D70B63">
              <w:t>,</w:t>
            </w:r>
            <w:r w:rsidR="000653D0" w:rsidRPr="00D70B63">
              <w:t xml:space="preserve"> t.sk. </w:t>
            </w:r>
            <w:proofErr w:type="spellStart"/>
            <w:proofErr w:type="gramStart"/>
            <w:r w:rsidR="000653D0" w:rsidRPr="00D70B63">
              <w:t>publiskie</w:t>
            </w:r>
            <w:proofErr w:type="spellEnd"/>
            <w:proofErr w:type="gramEnd"/>
            <w:r w:rsidR="000653D0" w:rsidRPr="00D70B63">
              <w:t xml:space="preserve"> </w:t>
            </w:r>
            <w:proofErr w:type="spellStart"/>
            <w:r w:rsidR="000653D0" w:rsidRPr="00D70B63">
              <w:t>nodibinājumi</w:t>
            </w:r>
            <w:proofErr w:type="spellEnd"/>
            <w:r w:rsidR="000653D0" w:rsidRPr="00D70B63">
              <w:t>,</w:t>
            </w:r>
            <w:r w:rsidRPr="00D70B63">
              <w:t xml:space="preserve"> </w:t>
            </w:r>
            <w:proofErr w:type="spellStart"/>
            <w:r w:rsidRPr="00D70B63">
              <w:t>pašvaldības</w:t>
            </w:r>
            <w:proofErr w:type="spellEnd"/>
            <w:r w:rsidRPr="00D70B63">
              <w:t xml:space="preserve">, no </w:t>
            </w:r>
            <w:proofErr w:type="spellStart"/>
            <w:r w:rsidRPr="00D70B63">
              <w:t>valsts</w:t>
            </w:r>
            <w:proofErr w:type="spellEnd"/>
            <w:r w:rsidRPr="00D70B63">
              <w:t xml:space="preserve"> </w:t>
            </w:r>
            <w:proofErr w:type="spellStart"/>
            <w:r w:rsidRPr="00D70B63">
              <w:t>budžeta</w:t>
            </w:r>
            <w:proofErr w:type="spellEnd"/>
            <w:r w:rsidRPr="00D70B63">
              <w:t xml:space="preserve"> </w:t>
            </w:r>
            <w:proofErr w:type="spellStart"/>
            <w:r w:rsidRPr="00D70B63">
              <w:t>daļēji</w:t>
            </w:r>
            <w:proofErr w:type="spellEnd"/>
            <w:r w:rsidRPr="00D70B63">
              <w:t xml:space="preserve"> </w:t>
            </w:r>
            <w:proofErr w:type="spellStart"/>
            <w:r w:rsidRPr="00D70B63">
              <w:t>finansētas</w:t>
            </w:r>
            <w:proofErr w:type="spellEnd"/>
            <w:r w:rsidRPr="00D70B63">
              <w:t xml:space="preserve"> </w:t>
            </w:r>
            <w:proofErr w:type="spellStart"/>
            <w:r w:rsidRPr="00D70B63">
              <w:t>atvasinātas</w:t>
            </w:r>
            <w:proofErr w:type="spellEnd"/>
            <w:r w:rsidRPr="00D70B63">
              <w:t xml:space="preserve"> </w:t>
            </w:r>
            <w:proofErr w:type="spellStart"/>
            <w:r w:rsidRPr="00D70B63">
              <w:t>publiskas</w:t>
            </w:r>
            <w:proofErr w:type="spellEnd"/>
            <w:r w:rsidRPr="00D70B63">
              <w:t xml:space="preserve"> personas  un </w:t>
            </w:r>
            <w:proofErr w:type="spellStart"/>
            <w:r w:rsidRPr="00D70B63">
              <w:t>budžeta</w:t>
            </w:r>
            <w:proofErr w:type="spellEnd"/>
            <w:r w:rsidRPr="00D70B63">
              <w:t xml:space="preserve"> </w:t>
            </w:r>
            <w:proofErr w:type="spellStart"/>
            <w:r w:rsidRPr="00D70B63">
              <w:t>nefinansētas</w:t>
            </w:r>
            <w:proofErr w:type="spellEnd"/>
            <w:r w:rsidRPr="00D70B63">
              <w:t xml:space="preserve"> </w:t>
            </w:r>
            <w:proofErr w:type="spellStart"/>
            <w:r w:rsidRPr="00D70B63">
              <w:t>iestādes</w:t>
            </w:r>
            <w:proofErr w:type="spellEnd"/>
            <w:r w:rsidRPr="00D70B63">
              <w:t xml:space="preserve">, </w:t>
            </w:r>
            <w:proofErr w:type="spellStart"/>
            <w:r w:rsidRPr="00D70B63">
              <w:t>ministrijas</w:t>
            </w:r>
            <w:proofErr w:type="spellEnd"/>
            <w:r w:rsidRPr="00D70B63">
              <w:t xml:space="preserve"> un </w:t>
            </w:r>
            <w:proofErr w:type="spellStart"/>
            <w:r w:rsidRPr="00D70B63">
              <w:t>citas</w:t>
            </w:r>
            <w:proofErr w:type="spellEnd"/>
            <w:r w:rsidRPr="00D70B63">
              <w:t xml:space="preserve"> </w:t>
            </w:r>
            <w:proofErr w:type="spellStart"/>
            <w:r w:rsidRPr="00D70B63">
              <w:t>centrālās</w:t>
            </w:r>
            <w:proofErr w:type="spellEnd"/>
            <w:r w:rsidRPr="00D70B63">
              <w:t xml:space="preserve"> </w:t>
            </w:r>
            <w:proofErr w:type="spellStart"/>
            <w:r w:rsidRPr="00D70B63">
              <w:t>valsts</w:t>
            </w:r>
            <w:proofErr w:type="spellEnd"/>
            <w:r w:rsidRPr="00D70B63">
              <w:t xml:space="preserve"> </w:t>
            </w:r>
            <w:proofErr w:type="spellStart"/>
            <w:r w:rsidRPr="00D70B63">
              <w:t>iestādes</w:t>
            </w:r>
            <w:proofErr w:type="spellEnd"/>
            <w:r w:rsidRPr="00D70B63">
              <w:t>.</w:t>
            </w:r>
          </w:p>
        </w:tc>
      </w:tr>
      <w:tr w:rsidR="00D75101" w:rsidRPr="00D70B63" w:rsidTr="00B51A83">
        <w:tc>
          <w:tcPr>
            <w:tcW w:w="458" w:type="dxa"/>
            <w:shd w:val="clear" w:color="auto" w:fill="auto"/>
          </w:tcPr>
          <w:p w:rsidR="00B51A83" w:rsidRPr="00D70B63" w:rsidRDefault="00B51A83" w:rsidP="00D70B63">
            <w:pPr>
              <w:pStyle w:val="NormalWeb"/>
              <w:spacing w:before="0" w:beforeAutospacing="0" w:after="0" w:afterAutospacing="0"/>
            </w:pPr>
            <w:r w:rsidRPr="00D70B63">
              <w:t>2.</w:t>
            </w:r>
          </w:p>
        </w:tc>
        <w:tc>
          <w:tcPr>
            <w:tcW w:w="2728" w:type="dxa"/>
            <w:shd w:val="clear" w:color="auto" w:fill="auto"/>
          </w:tcPr>
          <w:p w:rsidR="00132861" w:rsidRPr="00D70B63" w:rsidRDefault="00B51A83" w:rsidP="00D75101">
            <w:r w:rsidRPr="00D70B63">
              <w:t>Projekta izpildes ietekme uz pārvaldes funkcijām un institucionālo struktūru. Jaunu institūciju izveide, esošu institūciju likvidācija vai reorganizācija, to ietekme uz institūcijas cilvēkresursiem</w:t>
            </w:r>
          </w:p>
        </w:tc>
        <w:tc>
          <w:tcPr>
            <w:tcW w:w="7020" w:type="dxa"/>
            <w:shd w:val="clear" w:color="auto" w:fill="auto"/>
          </w:tcPr>
          <w:p w:rsidR="00B51A83" w:rsidRPr="00D70B63" w:rsidRDefault="00B51A83" w:rsidP="00D70B63">
            <w:pPr>
              <w:pStyle w:val="NormalWeb"/>
              <w:spacing w:before="0" w:beforeAutospacing="0" w:after="0" w:afterAutospacing="0"/>
            </w:pPr>
            <w:proofErr w:type="spellStart"/>
            <w:r w:rsidRPr="00D70B63">
              <w:t>Projekts</w:t>
            </w:r>
            <w:proofErr w:type="spellEnd"/>
            <w:r w:rsidRPr="00D70B63">
              <w:t xml:space="preserve"> </w:t>
            </w:r>
            <w:proofErr w:type="spellStart"/>
            <w:r w:rsidRPr="00D70B63">
              <w:t>šo</w:t>
            </w:r>
            <w:proofErr w:type="spellEnd"/>
            <w:r w:rsidRPr="00D70B63">
              <w:t xml:space="preserve"> </w:t>
            </w:r>
            <w:proofErr w:type="spellStart"/>
            <w:r w:rsidRPr="00D70B63">
              <w:t>jomu</w:t>
            </w:r>
            <w:proofErr w:type="spellEnd"/>
            <w:r w:rsidRPr="00D70B63">
              <w:t xml:space="preserve"> </w:t>
            </w:r>
            <w:proofErr w:type="spellStart"/>
            <w:r w:rsidRPr="00D70B63">
              <w:t>neskar</w:t>
            </w:r>
            <w:proofErr w:type="spellEnd"/>
          </w:p>
        </w:tc>
      </w:tr>
      <w:tr w:rsidR="00D75101" w:rsidRPr="00D70B63" w:rsidTr="00B51A83">
        <w:tc>
          <w:tcPr>
            <w:tcW w:w="458" w:type="dxa"/>
            <w:shd w:val="clear" w:color="auto" w:fill="auto"/>
          </w:tcPr>
          <w:p w:rsidR="00B51A83" w:rsidRPr="00D70B63" w:rsidRDefault="00B51A83" w:rsidP="00D70B63">
            <w:pPr>
              <w:pStyle w:val="NormalWeb"/>
              <w:spacing w:before="0" w:beforeAutospacing="0" w:after="0" w:afterAutospacing="0"/>
            </w:pPr>
            <w:r w:rsidRPr="00D70B63">
              <w:t>3.</w:t>
            </w:r>
          </w:p>
        </w:tc>
        <w:tc>
          <w:tcPr>
            <w:tcW w:w="2728" w:type="dxa"/>
            <w:shd w:val="clear" w:color="auto" w:fill="auto"/>
          </w:tcPr>
          <w:p w:rsidR="00B51A83" w:rsidRPr="00D70B63" w:rsidRDefault="00B51A83" w:rsidP="00D75101">
            <w:pPr>
              <w:pStyle w:val="NormalWeb"/>
              <w:spacing w:before="0" w:beforeAutospacing="0" w:after="0" w:afterAutospacing="0"/>
            </w:pPr>
            <w:proofErr w:type="spellStart"/>
            <w:r w:rsidRPr="00D70B63">
              <w:t>Cita</w:t>
            </w:r>
            <w:proofErr w:type="spellEnd"/>
            <w:r w:rsidRPr="00D70B63">
              <w:t xml:space="preserve"> </w:t>
            </w:r>
            <w:proofErr w:type="spellStart"/>
            <w:r w:rsidRPr="00D70B63">
              <w:t>informācija</w:t>
            </w:r>
            <w:proofErr w:type="spellEnd"/>
          </w:p>
        </w:tc>
        <w:tc>
          <w:tcPr>
            <w:tcW w:w="7020" w:type="dxa"/>
            <w:shd w:val="clear" w:color="auto" w:fill="auto"/>
          </w:tcPr>
          <w:p w:rsidR="00B51A83" w:rsidRPr="00D70B63" w:rsidRDefault="00B51A83" w:rsidP="00D70B63">
            <w:pPr>
              <w:pStyle w:val="NormalWeb"/>
              <w:spacing w:before="0" w:beforeAutospacing="0" w:after="0" w:afterAutospacing="0"/>
            </w:pPr>
            <w:proofErr w:type="spellStart"/>
            <w:r w:rsidRPr="00D70B63">
              <w:t>Nav</w:t>
            </w:r>
            <w:proofErr w:type="spellEnd"/>
          </w:p>
        </w:tc>
      </w:tr>
    </w:tbl>
    <w:p w:rsidR="008C0DC4" w:rsidRPr="00D70B63" w:rsidRDefault="008C0DC4" w:rsidP="00D75101">
      <w:pPr>
        <w:pStyle w:val="BodyText2"/>
      </w:pPr>
    </w:p>
    <w:p w:rsidR="0084198D" w:rsidRPr="00D70B63" w:rsidRDefault="00AF5AA2" w:rsidP="00D75101">
      <w:pPr>
        <w:pStyle w:val="BodyText2"/>
      </w:pPr>
      <w:r w:rsidRPr="00D70B63">
        <w:t>Finanšu ministrs</w:t>
      </w:r>
      <w:r w:rsidRPr="00D70B63">
        <w:tab/>
      </w:r>
      <w:r w:rsidR="00BC3BD8" w:rsidRPr="00D70B63">
        <w:tab/>
      </w:r>
      <w:r w:rsidR="00BC3BD8" w:rsidRPr="00D70B63">
        <w:tab/>
      </w:r>
      <w:r w:rsidR="00BC3BD8" w:rsidRPr="00D70B63">
        <w:tab/>
      </w:r>
      <w:r w:rsidR="00BC3BD8" w:rsidRPr="00D70B63">
        <w:tab/>
      </w:r>
      <w:r w:rsidR="00BC3BD8" w:rsidRPr="00D70B63">
        <w:tab/>
      </w:r>
      <w:r w:rsidR="00BC3BD8" w:rsidRPr="00D70B63">
        <w:tab/>
      </w:r>
      <w:r w:rsidR="00BC3BD8" w:rsidRPr="00D70B63">
        <w:tab/>
      </w:r>
      <w:r w:rsidR="00BC3BD8" w:rsidRPr="00D70B63">
        <w:tab/>
      </w:r>
      <w:proofErr w:type="spellStart"/>
      <w:r w:rsidR="00D70B63">
        <w:t>J.Reirs</w:t>
      </w:r>
      <w:proofErr w:type="spellEnd"/>
      <w:r w:rsidRPr="00D70B63">
        <w:tab/>
      </w:r>
      <w:r w:rsidRPr="00D70B63">
        <w:tab/>
      </w:r>
      <w:r w:rsidRPr="00D70B63">
        <w:tab/>
      </w:r>
      <w:r w:rsidRPr="00D70B63">
        <w:tab/>
      </w:r>
      <w:r w:rsidRPr="00D70B63">
        <w:tab/>
      </w:r>
      <w:r w:rsidR="00CD5927" w:rsidRPr="00D70B63">
        <w:tab/>
      </w:r>
      <w:r w:rsidR="00CD5927" w:rsidRPr="00D70B63">
        <w:tab/>
      </w:r>
      <w:r w:rsidRPr="00D70B63">
        <w:tab/>
      </w:r>
    </w:p>
    <w:p w:rsidR="00874B59" w:rsidRPr="00D70B63" w:rsidRDefault="00C86D06">
      <w:pPr>
        <w:jc w:val="both"/>
        <w:rPr>
          <w:sz w:val="22"/>
          <w:szCs w:val="20"/>
        </w:rPr>
      </w:pPr>
      <w:r>
        <w:rPr>
          <w:sz w:val="22"/>
          <w:szCs w:val="20"/>
        </w:rPr>
        <w:t>02.12</w:t>
      </w:r>
      <w:r w:rsidR="00AB371C" w:rsidRPr="00D70B63">
        <w:rPr>
          <w:sz w:val="22"/>
          <w:szCs w:val="20"/>
        </w:rPr>
        <w:t xml:space="preserve">.2014 </w:t>
      </w:r>
      <w:r w:rsidR="00F1285C">
        <w:rPr>
          <w:sz w:val="22"/>
          <w:szCs w:val="20"/>
        </w:rPr>
        <w:t>16:25</w:t>
      </w:r>
      <w:bookmarkStart w:id="0" w:name="_GoBack"/>
      <w:bookmarkEnd w:id="0"/>
    </w:p>
    <w:p w:rsidR="00DB11D5" w:rsidRPr="00D70B63" w:rsidRDefault="00D70B63">
      <w:pPr>
        <w:jc w:val="both"/>
        <w:rPr>
          <w:sz w:val="22"/>
          <w:szCs w:val="20"/>
        </w:rPr>
      </w:pPr>
      <w:r>
        <w:rPr>
          <w:sz w:val="22"/>
        </w:rPr>
        <w:t>930</w:t>
      </w:r>
    </w:p>
    <w:p w:rsidR="00DB11D5" w:rsidRPr="00D70B63" w:rsidRDefault="00DB11D5">
      <w:pPr>
        <w:jc w:val="both"/>
        <w:rPr>
          <w:sz w:val="22"/>
          <w:szCs w:val="20"/>
        </w:rPr>
      </w:pPr>
      <w:r w:rsidRPr="00D70B63">
        <w:rPr>
          <w:sz w:val="22"/>
          <w:szCs w:val="20"/>
        </w:rPr>
        <w:t>S.Lansmane</w:t>
      </w:r>
    </w:p>
    <w:p w:rsidR="00DB11D5" w:rsidRPr="00D75101" w:rsidRDefault="00DB11D5">
      <w:pPr>
        <w:pStyle w:val="BodyText"/>
        <w:jc w:val="left"/>
        <w:rPr>
          <w:b w:val="0"/>
          <w:bCs w:val="0"/>
          <w:sz w:val="22"/>
        </w:rPr>
      </w:pPr>
      <w:r w:rsidRPr="00D70B63">
        <w:rPr>
          <w:b w:val="0"/>
          <w:bCs w:val="0"/>
          <w:sz w:val="22"/>
        </w:rPr>
        <w:t>67094239; Silvija.Lansmane@kase.gov.lv</w:t>
      </w:r>
    </w:p>
    <w:sectPr w:rsidR="00DB11D5" w:rsidRPr="00D75101">
      <w:headerReference w:type="default" r:id="rId9"/>
      <w:footerReference w:type="default" r:id="rId10"/>
      <w:footerReference w:type="first" r:id="rId11"/>
      <w:pgSz w:w="11906" w:h="16838"/>
      <w:pgMar w:top="1438" w:right="1800" w:bottom="107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86B" w:rsidRDefault="0096586B">
      <w:r>
        <w:separator/>
      </w:r>
    </w:p>
  </w:endnote>
  <w:endnote w:type="continuationSeparator" w:id="0">
    <w:p w:rsidR="0096586B" w:rsidRDefault="0096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6B" w:rsidRDefault="00F6168D" w:rsidP="00091BAE">
    <w:pPr>
      <w:spacing w:before="60" w:after="60"/>
      <w:ind w:right="-1333"/>
      <w:jc w:val="both"/>
      <w:rPr>
        <w:sz w:val="22"/>
        <w:szCs w:val="22"/>
      </w:rPr>
    </w:pPr>
    <w:r>
      <w:rPr>
        <w:sz w:val="22"/>
        <w:szCs w:val="22"/>
      </w:rPr>
      <w:fldChar w:fldCharType="begin"/>
    </w:r>
    <w:r>
      <w:rPr>
        <w:sz w:val="22"/>
        <w:szCs w:val="22"/>
      </w:rPr>
      <w:instrText xml:space="preserve"> FILENAME </w:instrText>
    </w:r>
    <w:r>
      <w:rPr>
        <w:sz w:val="22"/>
        <w:szCs w:val="22"/>
      </w:rPr>
      <w:fldChar w:fldCharType="separate"/>
    </w:r>
    <w:r w:rsidR="00F1285C">
      <w:rPr>
        <w:noProof/>
        <w:sz w:val="22"/>
        <w:szCs w:val="22"/>
      </w:rPr>
      <w:t>FMAnot_021214_ceturksnis.docx</w:t>
    </w:r>
    <w:r>
      <w:rPr>
        <w:sz w:val="22"/>
        <w:szCs w:val="22"/>
      </w:rPr>
      <w:fldChar w:fldCharType="end"/>
    </w:r>
    <w:r w:rsidR="0096586B">
      <w:rPr>
        <w:sz w:val="22"/>
        <w:szCs w:val="22"/>
      </w:rPr>
      <w:t xml:space="preserve">; </w:t>
    </w:r>
    <w:r>
      <w:rPr>
        <w:sz w:val="22"/>
        <w:szCs w:val="22"/>
      </w:rPr>
      <w:t>Mini</w:t>
    </w:r>
    <w:r w:rsidR="00C636D6">
      <w:rPr>
        <w:sz w:val="22"/>
        <w:szCs w:val="22"/>
      </w:rPr>
      <w:t>stru kabineta noteikumu projekt</w:t>
    </w:r>
    <w:r w:rsidR="00D75101">
      <w:rPr>
        <w:sz w:val="22"/>
        <w:szCs w:val="22"/>
      </w:rPr>
      <w:t>a</w:t>
    </w:r>
    <w:r>
      <w:rPr>
        <w:sz w:val="22"/>
        <w:szCs w:val="22"/>
      </w:rPr>
      <w:t xml:space="preserve"> </w:t>
    </w:r>
    <w:r w:rsidR="00D75101">
      <w:rPr>
        <w:sz w:val="22"/>
        <w:szCs w:val="22"/>
      </w:rPr>
      <w:t>„</w:t>
    </w:r>
    <w:r>
      <w:rPr>
        <w:sz w:val="22"/>
        <w:szCs w:val="22"/>
      </w:rPr>
      <w:t>Ceturkšņa pārskatu sagatavošanas un iesniegšanas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6B" w:rsidRDefault="0096586B" w:rsidP="00091BAE">
    <w:pPr>
      <w:spacing w:before="60" w:after="60"/>
      <w:ind w:right="-1333"/>
      <w:jc w:val="both"/>
      <w:rPr>
        <w:sz w:val="22"/>
        <w:szCs w:val="22"/>
      </w:rPr>
    </w:pPr>
    <w:r>
      <w:rPr>
        <w:sz w:val="22"/>
        <w:szCs w:val="22"/>
      </w:rPr>
      <w:fldChar w:fldCharType="begin"/>
    </w:r>
    <w:r>
      <w:rPr>
        <w:sz w:val="22"/>
        <w:szCs w:val="22"/>
      </w:rPr>
      <w:instrText xml:space="preserve"> FILENAME </w:instrText>
    </w:r>
    <w:r>
      <w:rPr>
        <w:sz w:val="22"/>
        <w:szCs w:val="22"/>
      </w:rPr>
      <w:fldChar w:fldCharType="separate"/>
    </w:r>
    <w:r w:rsidR="00F1285C">
      <w:rPr>
        <w:noProof/>
        <w:sz w:val="22"/>
        <w:szCs w:val="22"/>
      </w:rPr>
      <w:t>FMAnot_021214_ceturksnis.docx</w:t>
    </w:r>
    <w:r>
      <w:rPr>
        <w:sz w:val="22"/>
        <w:szCs w:val="22"/>
      </w:rPr>
      <w:fldChar w:fldCharType="end"/>
    </w:r>
    <w:r>
      <w:rPr>
        <w:sz w:val="22"/>
        <w:szCs w:val="22"/>
      </w:rPr>
      <w:t>; Mini</w:t>
    </w:r>
    <w:r w:rsidR="00C636D6">
      <w:rPr>
        <w:sz w:val="22"/>
        <w:szCs w:val="22"/>
      </w:rPr>
      <w:t>stru kabineta noteikumu projekt</w:t>
    </w:r>
    <w:r w:rsidR="00D75101">
      <w:rPr>
        <w:sz w:val="22"/>
        <w:szCs w:val="22"/>
      </w:rPr>
      <w:t>a „</w:t>
    </w:r>
    <w:r w:rsidR="00CC62B8">
      <w:rPr>
        <w:sz w:val="22"/>
        <w:szCs w:val="22"/>
      </w:rPr>
      <w:t>Ceturkšņa pārskatu sagatav</w:t>
    </w:r>
    <w:r w:rsidR="00C636D6">
      <w:rPr>
        <w:sz w:val="22"/>
        <w:szCs w:val="22"/>
      </w:rPr>
      <w:t>ošanas un iesniegšanas kārtība”</w:t>
    </w:r>
    <w:r w:rsidR="00CC62B8">
      <w:rPr>
        <w:sz w:val="22"/>
        <w:szCs w:val="22"/>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86B" w:rsidRDefault="0096586B">
      <w:r>
        <w:separator/>
      </w:r>
    </w:p>
  </w:footnote>
  <w:footnote w:type="continuationSeparator" w:id="0">
    <w:p w:rsidR="0096586B" w:rsidRDefault="00965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6B" w:rsidRDefault="0096586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285C">
      <w:rPr>
        <w:rStyle w:val="PageNumber"/>
        <w:noProof/>
      </w:rPr>
      <w:t>3</w:t>
    </w:r>
    <w:r>
      <w:rPr>
        <w:rStyle w:val="PageNumber"/>
      </w:rPr>
      <w:fldChar w:fldCharType="end"/>
    </w:r>
  </w:p>
  <w:p w:rsidR="0096586B" w:rsidRDefault="0096586B">
    <w:pPr>
      <w:pStyle w:val="Header"/>
    </w:pPr>
  </w:p>
  <w:p w:rsidR="0096586B" w:rsidRDefault="00965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213C"/>
    <w:multiLevelType w:val="multilevel"/>
    <w:tmpl w:val="5BD8E9F6"/>
    <w:lvl w:ilvl="0">
      <w:start w:val="4"/>
      <w:numFmt w:val="decimal"/>
      <w:lvlText w:val="%1."/>
      <w:lvlJc w:val="left"/>
      <w:pPr>
        <w:ind w:left="485" w:hanging="360"/>
      </w:pPr>
      <w:rPr>
        <w:rFonts w:hint="default"/>
      </w:rPr>
    </w:lvl>
    <w:lvl w:ilvl="1">
      <w:start w:val="1"/>
      <w:numFmt w:val="decimal"/>
      <w:isLgl/>
      <w:lvlText w:val="%1.%2."/>
      <w:lvlJc w:val="left"/>
      <w:pPr>
        <w:ind w:left="545" w:hanging="420"/>
      </w:pPr>
      <w:rPr>
        <w:rFonts w:hint="default"/>
      </w:rPr>
    </w:lvl>
    <w:lvl w:ilvl="2">
      <w:start w:val="1"/>
      <w:numFmt w:val="decimal"/>
      <w:isLgl/>
      <w:lvlText w:val="%1.%2.%3."/>
      <w:lvlJc w:val="left"/>
      <w:pPr>
        <w:ind w:left="845" w:hanging="720"/>
      </w:pPr>
      <w:rPr>
        <w:rFonts w:hint="default"/>
      </w:rPr>
    </w:lvl>
    <w:lvl w:ilvl="3">
      <w:start w:val="1"/>
      <w:numFmt w:val="decimal"/>
      <w:isLgl/>
      <w:lvlText w:val="%1.%2.%3.%4."/>
      <w:lvlJc w:val="left"/>
      <w:pPr>
        <w:ind w:left="845" w:hanging="720"/>
      </w:pPr>
      <w:rPr>
        <w:rFonts w:hint="default"/>
      </w:rPr>
    </w:lvl>
    <w:lvl w:ilvl="4">
      <w:start w:val="1"/>
      <w:numFmt w:val="decimal"/>
      <w:isLgl/>
      <w:lvlText w:val="%1.%2.%3.%4.%5."/>
      <w:lvlJc w:val="left"/>
      <w:pPr>
        <w:ind w:left="1205" w:hanging="1080"/>
      </w:pPr>
      <w:rPr>
        <w:rFonts w:hint="default"/>
      </w:rPr>
    </w:lvl>
    <w:lvl w:ilvl="5">
      <w:start w:val="1"/>
      <w:numFmt w:val="decimal"/>
      <w:isLgl/>
      <w:lvlText w:val="%1.%2.%3.%4.%5.%6."/>
      <w:lvlJc w:val="left"/>
      <w:pPr>
        <w:ind w:left="1205" w:hanging="1080"/>
      </w:pPr>
      <w:rPr>
        <w:rFonts w:hint="default"/>
      </w:rPr>
    </w:lvl>
    <w:lvl w:ilvl="6">
      <w:start w:val="1"/>
      <w:numFmt w:val="decimal"/>
      <w:isLgl/>
      <w:lvlText w:val="%1.%2.%3.%4.%5.%6.%7."/>
      <w:lvlJc w:val="left"/>
      <w:pPr>
        <w:ind w:left="1565" w:hanging="1440"/>
      </w:pPr>
      <w:rPr>
        <w:rFonts w:hint="default"/>
      </w:rPr>
    </w:lvl>
    <w:lvl w:ilvl="7">
      <w:start w:val="1"/>
      <w:numFmt w:val="decimal"/>
      <w:isLgl/>
      <w:lvlText w:val="%1.%2.%3.%4.%5.%6.%7.%8."/>
      <w:lvlJc w:val="left"/>
      <w:pPr>
        <w:ind w:left="1565" w:hanging="1440"/>
      </w:pPr>
      <w:rPr>
        <w:rFonts w:hint="default"/>
      </w:rPr>
    </w:lvl>
    <w:lvl w:ilvl="8">
      <w:start w:val="1"/>
      <w:numFmt w:val="decimal"/>
      <w:isLgl/>
      <w:lvlText w:val="%1.%2.%3.%4.%5.%6.%7.%8.%9."/>
      <w:lvlJc w:val="left"/>
      <w:pPr>
        <w:ind w:left="1925" w:hanging="1800"/>
      </w:pPr>
      <w:rPr>
        <w:rFonts w:hint="default"/>
      </w:rPr>
    </w:lvl>
  </w:abstractNum>
  <w:abstractNum w:abstractNumId="1">
    <w:nsid w:val="1716555C"/>
    <w:multiLevelType w:val="hybridMultilevel"/>
    <w:tmpl w:val="573AA8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32576EC"/>
    <w:multiLevelType w:val="hybridMultilevel"/>
    <w:tmpl w:val="2B8A90A0"/>
    <w:lvl w:ilvl="0" w:tplc="B5F4D9DC">
      <w:start w:val="9"/>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F551704"/>
    <w:multiLevelType w:val="hybridMultilevel"/>
    <w:tmpl w:val="5BD8C3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3E15D53"/>
    <w:multiLevelType w:val="hybridMultilevel"/>
    <w:tmpl w:val="F6326354"/>
    <w:lvl w:ilvl="0" w:tplc="04260001">
      <w:start w:val="1"/>
      <w:numFmt w:val="bullet"/>
      <w:lvlText w:val=""/>
      <w:lvlJc w:val="left"/>
      <w:pPr>
        <w:ind w:left="1151" w:hanging="360"/>
      </w:pPr>
      <w:rPr>
        <w:rFonts w:ascii="Symbol" w:hAnsi="Symbol" w:hint="default"/>
      </w:rPr>
    </w:lvl>
    <w:lvl w:ilvl="1" w:tplc="04260003" w:tentative="1">
      <w:start w:val="1"/>
      <w:numFmt w:val="bullet"/>
      <w:lvlText w:val="o"/>
      <w:lvlJc w:val="left"/>
      <w:pPr>
        <w:ind w:left="1871" w:hanging="360"/>
      </w:pPr>
      <w:rPr>
        <w:rFonts w:ascii="Courier New" w:hAnsi="Courier New" w:cs="Courier New" w:hint="default"/>
      </w:rPr>
    </w:lvl>
    <w:lvl w:ilvl="2" w:tplc="04260005" w:tentative="1">
      <w:start w:val="1"/>
      <w:numFmt w:val="bullet"/>
      <w:lvlText w:val=""/>
      <w:lvlJc w:val="left"/>
      <w:pPr>
        <w:ind w:left="2591" w:hanging="360"/>
      </w:pPr>
      <w:rPr>
        <w:rFonts w:ascii="Wingdings" w:hAnsi="Wingdings" w:hint="default"/>
      </w:rPr>
    </w:lvl>
    <w:lvl w:ilvl="3" w:tplc="04260001" w:tentative="1">
      <w:start w:val="1"/>
      <w:numFmt w:val="bullet"/>
      <w:lvlText w:val=""/>
      <w:lvlJc w:val="left"/>
      <w:pPr>
        <w:ind w:left="3311" w:hanging="360"/>
      </w:pPr>
      <w:rPr>
        <w:rFonts w:ascii="Symbol" w:hAnsi="Symbol" w:hint="default"/>
      </w:rPr>
    </w:lvl>
    <w:lvl w:ilvl="4" w:tplc="04260003" w:tentative="1">
      <w:start w:val="1"/>
      <w:numFmt w:val="bullet"/>
      <w:lvlText w:val="o"/>
      <w:lvlJc w:val="left"/>
      <w:pPr>
        <w:ind w:left="4031" w:hanging="360"/>
      </w:pPr>
      <w:rPr>
        <w:rFonts w:ascii="Courier New" w:hAnsi="Courier New" w:cs="Courier New" w:hint="default"/>
      </w:rPr>
    </w:lvl>
    <w:lvl w:ilvl="5" w:tplc="04260005" w:tentative="1">
      <w:start w:val="1"/>
      <w:numFmt w:val="bullet"/>
      <w:lvlText w:val=""/>
      <w:lvlJc w:val="left"/>
      <w:pPr>
        <w:ind w:left="4751" w:hanging="360"/>
      </w:pPr>
      <w:rPr>
        <w:rFonts w:ascii="Wingdings" w:hAnsi="Wingdings" w:hint="default"/>
      </w:rPr>
    </w:lvl>
    <w:lvl w:ilvl="6" w:tplc="04260001" w:tentative="1">
      <w:start w:val="1"/>
      <w:numFmt w:val="bullet"/>
      <w:lvlText w:val=""/>
      <w:lvlJc w:val="left"/>
      <w:pPr>
        <w:ind w:left="5471" w:hanging="360"/>
      </w:pPr>
      <w:rPr>
        <w:rFonts w:ascii="Symbol" w:hAnsi="Symbol" w:hint="default"/>
      </w:rPr>
    </w:lvl>
    <w:lvl w:ilvl="7" w:tplc="04260003" w:tentative="1">
      <w:start w:val="1"/>
      <w:numFmt w:val="bullet"/>
      <w:lvlText w:val="o"/>
      <w:lvlJc w:val="left"/>
      <w:pPr>
        <w:ind w:left="6191" w:hanging="360"/>
      </w:pPr>
      <w:rPr>
        <w:rFonts w:ascii="Courier New" w:hAnsi="Courier New" w:cs="Courier New" w:hint="default"/>
      </w:rPr>
    </w:lvl>
    <w:lvl w:ilvl="8" w:tplc="04260005" w:tentative="1">
      <w:start w:val="1"/>
      <w:numFmt w:val="bullet"/>
      <w:lvlText w:val=""/>
      <w:lvlJc w:val="left"/>
      <w:pPr>
        <w:ind w:left="6911" w:hanging="360"/>
      </w:pPr>
      <w:rPr>
        <w:rFonts w:ascii="Wingdings" w:hAnsi="Wingdings" w:hint="default"/>
      </w:rPr>
    </w:lvl>
  </w:abstractNum>
  <w:abstractNum w:abstractNumId="5">
    <w:nsid w:val="48150E09"/>
    <w:multiLevelType w:val="hybridMultilevel"/>
    <w:tmpl w:val="1A64B1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2DB2657"/>
    <w:multiLevelType w:val="multilevel"/>
    <w:tmpl w:val="580891FE"/>
    <w:lvl w:ilvl="0">
      <w:start w:val="1"/>
      <w:numFmt w:val="decimal"/>
      <w:lvlText w:val="%1."/>
      <w:lvlJc w:val="left"/>
      <w:pPr>
        <w:ind w:left="485" w:hanging="360"/>
      </w:pPr>
      <w:rPr>
        <w:rFonts w:hint="default"/>
      </w:rPr>
    </w:lvl>
    <w:lvl w:ilvl="1">
      <w:start w:val="3"/>
      <w:numFmt w:val="decimal"/>
      <w:isLgl/>
      <w:lvlText w:val="%1.%2."/>
      <w:lvlJc w:val="left"/>
      <w:pPr>
        <w:ind w:left="545" w:hanging="420"/>
      </w:pPr>
      <w:rPr>
        <w:rFonts w:hint="default"/>
      </w:rPr>
    </w:lvl>
    <w:lvl w:ilvl="2">
      <w:start w:val="1"/>
      <w:numFmt w:val="decimal"/>
      <w:isLgl/>
      <w:lvlText w:val="%1.%2.%3."/>
      <w:lvlJc w:val="left"/>
      <w:pPr>
        <w:ind w:left="845" w:hanging="720"/>
      </w:pPr>
      <w:rPr>
        <w:rFonts w:hint="default"/>
      </w:rPr>
    </w:lvl>
    <w:lvl w:ilvl="3">
      <w:start w:val="1"/>
      <w:numFmt w:val="decimal"/>
      <w:isLgl/>
      <w:lvlText w:val="%1.%2.%3.%4."/>
      <w:lvlJc w:val="left"/>
      <w:pPr>
        <w:ind w:left="845" w:hanging="720"/>
      </w:pPr>
      <w:rPr>
        <w:rFonts w:hint="default"/>
      </w:rPr>
    </w:lvl>
    <w:lvl w:ilvl="4">
      <w:start w:val="1"/>
      <w:numFmt w:val="decimal"/>
      <w:isLgl/>
      <w:lvlText w:val="%1.%2.%3.%4.%5."/>
      <w:lvlJc w:val="left"/>
      <w:pPr>
        <w:ind w:left="1205" w:hanging="1080"/>
      </w:pPr>
      <w:rPr>
        <w:rFonts w:hint="default"/>
      </w:rPr>
    </w:lvl>
    <w:lvl w:ilvl="5">
      <w:start w:val="1"/>
      <w:numFmt w:val="decimal"/>
      <w:isLgl/>
      <w:lvlText w:val="%1.%2.%3.%4.%5.%6."/>
      <w:lvlJc w:val="left"/>
      <w:pPr>
        <w:ind w:left="1205" w:hanging="1080"/>
      </w:pPr>
      <w:rPr>
        <w:rFonts w:hint="default"/>
      </w:rPr>
    </w:lvl>
    <w:lvl w:ilvl="6">
      <w:start w:val="1"/>
      <w:numFmt w:val="decimal"/>
      <w:isLgl/>
      <w:lvlText w:val="%1.%2.%3.%4.%5.%6.%7."/>
      <w:lvlJc w:val="left"/>
      <w:pPr>
        <w:ind w:left="1565" w:hanging="1440"/>
      </w:pPr>
      <w:rPr>
        <w:rFonts w:hint="default"/>
      </w:rPr>
    </w:lvl>
    <w:lvl w:ilvl="7">
      <w:start w:val="1"/>
      <w:numFmt w:val="decimal"/>
      <w:isLgl/>
      <w:lvlText w:val="%1.%2.%3.%4.%5.%6.%7.%8."/>
      <w:lvlJc w:val="left"/>
      <w:pPr>
        <w:ind w:left="1565" w:hanging="1440"/>
      </w:pPr>
      <w:rPr>
        <w:rFonts w:hint="default"/>
      </w:rPr>
    </w:lvl>
    <w:lvl w:ilvl="8">
      <w:start w:val="1"/>
      <w:numFmt w:val="decimal"/>
      <w:isLgl/>
      <w:lvlText w:val="%1.%2.%3.%4.%5.%6.%7.%8.%9."/>
      <w:lvlJc w:val="left"/>
      <w:pPr>
        <w:ind w:left="1925" w:hanging="180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F7E"/>
    <w:rsid w:val="00011635"/>
    <w:rsid w:val="00033E33"/>
    <w:rsid w:val="00061387"/>
    <w:rsid w:val="00063831"/>
    <w:rsid w:val="000653D0"/>
    <w:rsid w:val="000760F2"/>
    <w:rsid w:val="00076979"/>
    <w:rsid w:val="00087197"/>
    <w:rsid w:val="00091BAE"/>
    <w:rsid w:val="000D6179"/>
    <w:rsid w:val="00132861"/>
    <w:rsid w:val="00170C92"/>
    <w:rsid w:val="00175B57"/>
    <w:rsid w:val="0018233B"/>
    <w:rsid w:val="001858AE"/>
    <w:rsid w:val="001B0EA1"/>
    <w:rsid w:val="001C050E"/>
    <w:rsid w:val="001F3F22"/>
    <w:rsid w:val="001F449C"/>
    <w:rsid w:val="0021346B"/>
    <w:rsid w:val="00222B17"/>
    <w:rsid w:val="00223A1F"/>
    <w:rsid w:val="00224411"/>
    <w:rsid w:val="00233153"/>
    <w:rsid w:val="00237471"/>
    <w:rsid w:val="00271557"/>
    <w:rsid w:val="00271B8A"/>
    <w:rsid w:val="00272183"/>
    <w:rsid w:val="00272AC7"/>
    <w:rsid w:val="002763AD"/>
    <w:rsid w:val="002A39D1"/>
    <w:rsid w:val="002B28B8"/>
    <w:rsid w:val="002D3459"/>
    <w:rsid w:val="002E0B21"/>
    <w:rsid w:val="002E2C3D"/>
    <w:rsid w:val="002E2ECD"/>
    <w:rsid w:val="0031212A"/>
    <w:rsid w:val="0035571E"/>
    <w:rsid w:val="00397A87"/>
    <w:rsid w:val="003B6499"/>
    <w:rsid w:val="003C2ABA"/>
    <w:rsid w:val="003D157A"/>
    <w:rsid w:val="003F5459"/>
    <w:rsid w:val="0040391F"/>
    <w:rsid w:val="00411095"/>
    <w:rsid w:val="00454D63"/>
    <w:rsid w:val="004A23F7"/>
    <w:rsid w:val="004A2936"/>
    <w:rsid w:val="004A7D68"/>
    <w:rsid w:val="004C342C"/>
    <w:rsid w:val="004D3C6B"/>
    <w:rsid w:val="004D4A04"/>
    <w:rsid w:val="004E19DA"/>
    <w:rsid w:val="004E79F4"/>
    <w:rsid w:val="004F3ED1"/>
    <w:rsid w:val="00510E54"/>
    <w:rsid w:val="00533F7E"/>
    <w:rsid w:val="005349C2"/>
    <w:rsid w:val="00537286"/>
    <w:rsid w:val="005623FA"/>
    <w:rsid w:val="005920FE"/>
    <w:rsid w:val="005951DC"/>
    <w:rsid w:val="005A33C5"/>
    <w:rsid w:val="005E702B"/>
    <w:rsid w:val="005F67E4"/>
    <w:rsid w:val="0060125A"/>
    <w:rsid w:val="00616BF8"/>
    <w:rsid w:val="00641A0C"/>
    <w:rsid w:val="006513BD"/>
    <w:rsid w:val="00655870"/>
    <w:rsid w:val="00665450"/>
    <w:rsid w:val="006676D9"/>
    <w:rsid w:val="00673510"/>
    <w:rsid w:val="006741D3"/>
    <w:rsid w:val="006853DE"/>
    <w:rsid w:val="006960E5"/>
    <w:rsid w:val="006E777E"/>
    <w:rsid w:val="007A2705"/>
    <w:rsid w:val="007A4291"/>
    <w:rsid w:val="007D1685"/>
    <w:rsid w:val="007E41E8"/>
    <w:rsid w:val="00802BF4"/>
    <w:rsid w:val="0082160B"/>
    <w:rsid w:val="0084198D"/>
    <w:rsid w:val="00846E9B"/>
    <w:rsid w:val="00847452"/>
    <w:rsid w:val="00847A4C"/>
    <w:rsid w:val="008557A9"/>
    <w:rsid w:val="00874B59"/>
    <w:rsid w:val="00875520"/>
    <w:rsid w:val="00876262"/>
    <w:rsid w:val="008766F2"/>
    <w:rsid w:val="00876D93"/>
    <w:rsid w:val="008910D7"/>
    <w:rsid w:val="008A1D11"/>
    <w:rsid w:val="008B323D"/>
    <w:rsid w:val="008C0DC4"/>
    <w:rsid w:val="008D1D6C"/>
    <w:rsid w:val="008E0217"/>
    <w:rsid w:val="008F0908"/>
    <w:rsid w:val="008F5F2F"/>
    <w:rsid w:val="00905087"/>
    <w:rsid w:val="0095288C"/>
    <w:rsid w:val="009549D9"/>
    <w:rsid w:val="009553C4"/>
    <w:rsid w:val="0096586B"/>
    <w:rsid w:val="00966E68"/>
    <w:rsid w:val="00984493"/>
    <w:rsid w:val="00992BD4"/>
    <w:rsid w:val="00995238"/>
    <w:rsid w:val="009C5A70"/>
    <w:rsid w:val="009D1309"/>
    <w:rsid w:val="009F58FC"/>
    <w:rsid w:val="00A21F1F"/>
    <w:rsid w:val="00A32FDB"/>
    <w:rsid w:val="00A57658"/>
    <w:rsid w:val="00A72207"/>
    <w:rsid w:val="00A76D60"/>
    <w:rsid w:val="00A84322"/>
    <w:rsid w:val="00AB1FEF"/>
    <w:rsid w:val="00AB371C"/>
    <w:rsid w:val="00AB5D3E"/>
    <w:rsid w:val="00AB7890"/>
    <w:rsid w:val="00AC46E2"/>
    <w:rsid w:val="00AC5B40"/>
    <w:rsid w:val="00AC7B9C"/>
    <w:rsid w:val="00AF13A9"/>
    <w:rsid w:val="00AF28C2"/>
    <w:rsid w:val="00AF5AA2"/>
    <w:rsid w:val="00B21458"/>
    <w:rsid w:val="00B266FD"/>
    <w:rsid w:val="00B407C8"/>
    <w:rsid w:val="00B46BF5"/>
    <w:rsid w:val="00B51A83"/>
    <w:rsid w:val="00B75297"/>
    <w:rsid w:val="00B82A10"/>
    <w:rsid w:val="00BB70ED"/>
    <w:rsid w:val="00BC3BD8"/>
    <w:rsid w:val="00BE143A"/>
    <w:rsid w:val="00BE62DD"/>
    <w:rsid w:val="00C06D31"/>
    <w:rsid w:val="00C265A5"/>
    <w:rsid w:val="00C34230"/>
    <w:rsid w:val="00C62AA8"/>
    <w:rsid w:val="00C636D6"/>
    <w:rsid w:val="00C76D2A"/>
    <w:rsid w:val="00C82F9B"/>
    <w:rsid w:val="00C84625"/>
    <w:rsid w:val="00C86D06"/>
    <w:rsid w:val="00C93E80"/>
    <w:rsid w:val="00CB7D76"/>
    <w:rsid w:val="00CC62B8"/>
    <w:rsid w:val="00CD0F64"/>
    <w:rsid w:val="00CD5927"/>
    <w:rsid w:val="00CF1663"/>
    <w:rsid w:val="00CF5F2D"/>
    <w:rsid w:val="00D457A3"/>
    <w:rsid w:val="00D462B7"/>
    <w:rsid w:val="00D46D85"/>
    <w:rsid w:val="00D5027E"/>
    <w:rsid w:val="00D70B63"/>
    <w:rsid w:val="00D72DD0"/>
    <w:rsid w:val="00D73DD9"/>
    <w:rsid w:val="00D75101"/>
    <w:rsid w:val="00D84617"/>
    <w:rsid w:val="00D9106A"/>
    <w:rsid w:val="00D9403E"/>
    <w:rsid w:val="00DA1D1D"/>
    <w:rsid w:val="00DB11D5"/>
    <w:rsid w:val="00DC3C86"/>
    <w:rsid w:val="00DD54D9"/>
    <w:rsid w:val="00DD56FD"/>
    <w:rsid w:val="00E37F00"/>
    <w:rsid w:val="00E66B0F"/>
    <w:rsid w:val="00E7437C"/>
    <w:rsid w:val="00EB707C"/>
    <w:rsid w:val="00EF0E2B"/>
    <w:rsid w:val="00F038DB"/>
    <w:rsid w:val="00F03984"/>
    <w:rsid w:val="00F1285C"/>
    <w:rsid w:val="00F31445"/>
    <w:rsid w:val="00F50640"/>
    <w:rsid w:val="00F6168D"/>
    <w:rsid w:val="00F62FCF"/>
    <w:rsid w:val="00F67003"/>
    <w:rsid w:val="00F72056"/>
    <w:rsid w:val="00F73E0E"/>
    <w:rsid w:val="00FB1CDF"/>
    <w:rsid w:val="00FC7A54"/>
    <w:rsid w:val="00FD28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4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75" w:after="75"/>
      <w:ind w:firstLine="375"/>
      <w:jc w:val="both"/>
    </w:pPr>
    <w:rPr>
      <w:lang w:val="en-US"/>
    </w:rPr>
  </w:style>
  <w:style w:type="paragraph" w:styleId="BodyText">
    <w:name w:val="Body Text"/>
    <w:basedOn w:val="Normal"/>
    <w:semiHidden/>
    <w:pPr>
      <w:jc w:val="center"/>
    </w:pPr>
    <w:rPr>
      <w:b/>
      <w:bCs/>
      <w:sz w:val="28"/>
      <w:szCs w:val="28"/>
    </w:rPr>
  </w:style>
  <w:style w:type="paragraph" w:styleId="BodyTextIndent">
    <w:name w:val="Body Text Indent"/>
    <w:basedOn w:val="Normal"/>
    <w:semiHidden/>
    <w:pPr>
      <w:spacing w:after="120"/>
      <w:jc w:val="both"/>
    </w:pPr>
    <w:rPr>
      <w:b/>
      <w:bCs/>
    </w:rPr>
  </w:style>
  <w:style w:type="paragraph" w:styleId="NormalWeb">
    <w:name w:val="Normal (Web)"/>
    <w:basedOn w:val="Normal"/>
    <w:pPr>
      <w:spacing w:before="100" w:beforeAutospacing="1" w:after="100" w:afterAutospacing="1"/>
    </w:pPr>
    <w:rPr>
      <w:lang w:val="en-US"/>
    </w:rPr>
  </w:style>
  <w:style w:type="character" w:styleId="PageNumber">
    <w:name w:val="page number"/>
    <w:basedOn w:val="DefaultParagraphFont"/>
    <w:semiHidden/>
    <w:rPr>
      <w:rFonts w:ascii="Times New Roman" w:hAnsi="Times New Roman" w:cs="Times New Roman"/>
    </w:rPr>
  </w:style>
  <w:style w:type="paragraph" w:styleId="Header">
    <w:name w:val="header"/>
    <w:basedOn w:val="Normal"/>
    <w:uiPriority w:val="99"/>
    <w:pPr>
      <w:tabs>
        <w:tab w:val="center" w:pos="4153"/>
        <w:tab w:val="right" w:pos="8306"/>
      </w:tabs>
    </w:pPr>
  </w:style>
  <w:style w:type="paragraph" w:styleId="BodyTextIndent2">
    <w:name w:val="Body Text Indent 2"/>
    <w:basedOn w:val="Normal"/>
    <w:semiHidden/>
    <w:pPr>
      <w:spacing w:after="120"/>
      <w:ind w:firstLine="431"/>
      <w:jc w:val="both"/>
    </w:pPr>
  </w:style>
  <w:style w:type="paragraph" w:styleId="BodyTextIndent3">
    <w:name w:val="Body Text Indent 3"/>
    <w:basedOn w:val="Normal"/>
    <w:semiHidden/>
    <w:pPr>
      <w:spacing w:after="120"/>
      <w:ind w:firstLine="431"/>
      <w:jc w:val="both"/>
    </w:pPr>
    <w:rPr>
      <w:b/>
      <w:bCs/>
    </w:rPr>
  </w:style>
  <w:style w:type="paragraph" w:styleId="Footer">
    <w:name w:val="footer"/>
    <w:basedOn w:val="Normal"/>
    <w:semiHidden/>
    <w:pPr>
      <w:tabs>
        <w:tab w:val="center" w:pos="4153"/>
        <w:tab w:val="right" w:pos="8306"/>
      </w:tabs>
    </w:pPr>
  </w:style>
  <w:style w:type="paragraph" w:styleId="BodyText2">
    <w:name w:val="Body Text 2"/>
    <w:basedOn w:val="Normal"/>
    <w:semiHidden/>
    <w:pPr>
      <w:ind w:right="-857"/>
    </w:pPr>
    <w:rPr>
      <w:sz w:val="28"/>
      <w:szCs w:val="16"/>
    </w:rPr>
  </w:style>
  <w:style w:type="paragraph" w:styleId="BalloonText">
    <w:name w:val="Balloon Text"/>
    <w:basedOn w:val="Normal"/>
    <w:link w:val="BalloonTextChar"/>
    <w:uiPriority w:val="99"/>
    <w:semiHidden/>
    <w:unhideWhenUsed/>
    <w:rsid w:val="007A2705"/>
    <w:rPr>
      <w:rFonts w:ascii="Tahoma" w:hAnsi="Tahoma" w:cs="Tahoma"/>
      <w:sz w:val="16"/>
      <w:szCs w:val="16"/>
    </w:rPr>
  </w:style>
  <w:style w:type="character" w:customStyle="1" w:styleId="BalloonTextChar">
    <w:name w:val="Balloon Text Char"/>
    <w:basedOn w:val="DefaultParagraphFont"/>
    <w:link w:val="BalloonText"/>
    <w:uiPriority w:val="99"/>
    <w:semiHidden/>
    <w:rsid w:val="007A2705"/>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F62FCF"/>
    <w:rPr>
      <w:sz w:val="16"/>
      <w:szCs w:val="16"/>
    </w:rPr>
  </w:style>
  <w:style w:type="paragraph" w:styleId="CommentText">
    <w:name w:val="annotation text"/>
    <w:basedOn w:val="Normal"/>
    <w:link w:val="CommentTextChar"/>
    <w:uiPriority w:val="99"/>
    <w:semiHidden/>
    <w:unhideWhenUsed/>
    <w:rsid w:val="00F62FCF"/>
    <w:rPr>
      <w:sz w:val="20"/>
      <w:szCs w:val="20"/>
    </w:rPr>
  </w:style>
  <w:style w:type="character" w:customStyle="1" w:styleId="CommentTextChar">
    <w:name w:val="Comment Text Char"/>
    <w:basedOn w:val="DefaultParagraphFont"/>
    <w:link w:val="CommentText"/>
    <w:uiPriority w:val="99"/>
    <w:semiHidden/>
    <w:rsid w:val="00F62FCF"/>
    <w:rPr>
      <w:lang w:val="en-GB" w:eastAsia="en-US"/>
    </w:rPr>
  </w:style>
  <w:style w:type="paragraph" w:styleId="CommentSubject">
    <w:name w:val="annotation subject"/>
    <w:basedOn w:val="CommentText"/>
    <w:next w:val="CommentText"/>
    <w:link w:val="CommentSubjectChar"/>
    <w:uiPriority w:val="99"/>
    <w:semiHidden/>
    <w:unhideWhenUsed/>
    <w:rsid w:val="00F62FCF"/>
    <w:rPr>
      <w:b/>
      <w:bCs/>
    </w:rPr>
  </w:style>
  <w:style w:type="character" w:customStyle="1" w:styleId="CommentSubjectChar">
    <w:name w:val="Comment Subject Char"/>
    <w:basedOn w:val="CommentTextChar"/>
    <w:link w:val="CommentSubject"/>
    <w:uiPriority w:val="99"/>
    <w:semiHidden/>
    <w:rsid w:val="00F62FCF"/>
    <w:rPr>
      <w:b/>
      <w:bCs/>
      <w:lang w:val="en-GB" w:eastAsia="en-US"/>
    </w:rPr>
  </w:style>
  <w:style w:type="paragraph" w:styleId="ListParagraph">
    <w:name w:val="List Paragraph"/>
    <w:basedOn w:val="Normal"/>
    <w:uiPriority w:val="34"/>
    <w:qFormat/>
    <w:rsid w:val="0021346B"/>
    <w:pPr>
      <w:ind w:left="720"/>
      <w:contextualSpacing/>
    </w:pPr>
  </w:style>
  <w:style w:type="paragraph" w:customStyle="1" w:styleId="naisnod">
    <w:name w:val="naisnod"/>
    <w:basedOn w:val="Normal"/>
    <w:rsid w:val="00992BD4"/>
    <w:pPr>
      <w:spacing w:before="150" w:after="150"/>
      <w:jc w:val="center"/>
    </w:pPr>
    <w:rPr>
      <w:b/>
      <w:bCs/>
      <w:lang w:eastAsia="lv-LV"/>
    </w:rPr>
  </w:style>
  <w:style w:type="paragraph" w:customStyle="1" w:styleId="labojumupamats">
    <w:name w:val="labojumu_pamats"/>
    <w:basedOn w:val="Normal"/>
    <w:rsid w:val="00224411"/>
    <w:pPr>
      <w:spacing w:before="100" w:beforeAutospacing="1" w:after="100" w:afterAutospacing="1"/>
    </w:pPr>
    <w:rPr>
      <w:lang w:eastAsia="lv-LV"/>
    </w:rPr>
  </w:style>
  <w:style w:type="character" w:styleId="Hyperlink">
    <w:name w:val="Hyperlink"/>
    <w:basedOn w:val="DefaultParagraphFont"/>
    <w:uiPriority w:val="99"/>
    <w:semiHidden/>
    <w:unhideWhenUsed/>
    <w:rsid w:val="00224411"/>
    <w:rPr>
      <w:color w:val="0000FF"/>
      <w:u w:val="single"/>
    </w:rPr>
  </w:style>
  <w:style w:type="paragraph" w:customStyle="1" w:styleId="tvhtml">
    <w:name w:val="tv_html"/>
    <w:basedOn w:val="Normal"/>
    <w:rsid w:val="00224411"/>
    <w:pPr>
      <w:spacing w:before="100" w:beforeAutospacing="1" w:after="100" w:afterAutospacing="1"/>
    </w:pPr>
    <w:rPr>
      <w:lang w:eastAsia="lv-LV"/>
    </w:rPr>
  </w:style>
  <w:style w:type="paragraph" w:styleId="BodyText3">
    <w:name w:val="Body Text 3"/>
    <w:basedOn w:val="Normal"/>
    <w:link w:val="BodyText3Char"/>
    <w:uiPriority w:val="99"/>
    <w:unhideWhenUsed/>
    <w:rsid w:val="00DB11D5"/>
    <w:pPr>
      <w:spacing w:after="120"/>
    </w:pPr>
    <w:rPr>
      <w:sz w:val="16"/>
      <w:szCs w:val="16"/>
      <w:lang w:val="en-GB"/>
    </w:rPr>
  </w:style>
  <w:style w:type="character" w:customStyle="1" w:styleId="BodyText3Char">
    <w:name w:val="Body Text 3 Char"/>
    <w:basedOn w:val="DefaultParagraphFont"/>
    <w:link w:val="BodyText3"/>
    <w:uiPriority w:val="99"/>
    <w:rsid w:val="00DB11D5"/>
    <w:rPr>
      <w:sz w:val="16"/>
      <w:szCs w:val="16"/>
      <w:lang w:val="en-GB" w:eastAsia="en-US"/>
    </w:rPr>
  </w:style>
  <w:style w:type="paragraph" w:customStyle="1" w:styleId="DefaultParagraphFont1">
    <w:name w:val="Default Paragraph Font1"/>
    <w:basedOn w:val="Normal"/>
    <w:rsid w:val="002D3459"/>
    <w:rPr>
      <w:rFonts w:ascii="CG Times (W1)" w:hAnsi="CG Times (W1)"/>
      <w:sz w:val="20"/>
      <w:szCs w:val="20"/>
    </w:rPr>
  </w:style>
  <w:style w:type="character" w:styleId="PlaceholderText">
    <w:name w:val="Placeholder Text"/>
    <w:basedOn w:val="DefaultParagraphFont"/>
    <w:uiPriority w:val="99"/>
    <w:semiHidden/>
    <w:rsid w:val="00C86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4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75" w:after="75"/>
      <w:ind w:firstLine="375"/>
      <w:jc w:val="both"/>
    </w:pPr>
    <w:rPr>
      <w:lang w:val="en-US"/>
    </w:rPr>
  </w:style>
  <w:style w:type="paragraph" w:styleId="BodyText">
    <w:name w:val="Body Text"/>
    <w:basedOn w:val="Normal"/>
    <w:semiHidden/>
    <w:pPr>
      <w:jc w:val="center"/>
    </w:pPr>
    <w:rPr>
      <w:b/>
      <w:bCs/>
      <w:sz w:val="28"/>
      <w:szCs w:val="28"/>
    </w:rPr>
  </w:style>
  <w:style w:type="paragraph" w:styleId="BodyTextIndent">
    <w:name w:val="Body Text Indent"/>
    <w:basedOn w:val="Normal"/>
    <w:semiHidden/>
    <w:pPr>
      <w:spacing w:after="120"/>
      <w:jc w:val="both"/>
    </w:pPr>
    <w:rPr>
      <w:b/>
      <w:bCs/>
    </w:rPr>
  </w:style>
  <w:style w:type="paragraph" w:styleId="NormalWeb">
    <w:name w:val="Normal (Web)"/>
    <w:basedOn w:val="Normal"/>
    <w:pPr>
      <w:spacing w:before="100" w:beforeAutospacing="1" w:after="100" w:afterAutospacing="1"/>
    </w:pPr>
    <w:rPr>
      <w:lang w:val="en-US"/>
    </w:rPr>
  </w:style>
  <w:style w:type="character" w:styleId="PageNumber">
    <w:name w:val="page number"/>
    <w:basedOn w:val="DefaultParagraphFont"/>
    <w:semiHidden/>
    <w:rPr>
      <w:rFonts w:ascii="Times New Roman" w:hAnsi="Times New Roman" w:cs="Times New Roman"/>
    </w:rPr>
  </w:style>
  <w:style w:type="paragraph" w:styleId="Header">
    <w:name w:val="header"/>
    <w:basedOn w:val="Normal"/>
    <w:uiPriority w:val="99"/>
    <w:pPr>
      <w:tabs>
        <w:tab w:val="center" w:pos="4153"/>
        <w:tab w:val="right" w:pos="8306"/>
      </w:tabs>
    </w:pPr>
  </w:style>
  <w:style w:type="paragraph" w:styleId="BodyTextIndent2">
    <w:name w:val="Body Text Indent 2"/>
    <w:basedOn w:val="Normal"/>
    <w:semiHidden/>
    <w:pPr>
      <w:spacing w:after="120"/>
      <w:ind w:firstLine="431"/>
      <w:jc w:val="both"/>
    </w:pPr>
  </w:style>
  <w:style w:type="paragraph" w:styleId="BodyTextIndent3">
    <w:name w:val="Body Text Indent 3"/>
    <w:basedOn w:val="Normal"/>
    <w:semiHidden/>
    <w:pPr>
      <w:spacing w:after="120"/>
      <w:ind w:firstLine="431"/>
      <w:jc w:val="both"/>
    </w:pPr>
    <w:rPr>
      <w:b/>
      <w:bCs/>
    </w:rPr>
  </w:style>
  <w:style w:type="paragraph" w:styleId="Footer">
    <w:name w:val="footer"/>
    <w:basedOn w:val="Normal"/>
    <w:semiHidden/>
    <w:pPr>
      <w:tabs>
        <w:tab w:val="center" w:pos="4153"/>
        <w:tab w:val="right" w:pos="8306"/>
      </w:tabs>
    </w:pPr>
  </w:style>
  <w:style w:type="paragraph" w:styleId="BodyText2">
    <w:name w:val="Body Text 2"/>
    <w:basedOn w:val="Normal"/>
    <w:semiHidden/>
    <w:pPr>
      <w:ind w:right="-857"/>
    </w:pPr>
    <w:rPr>
      <w:sz w:val="28"/>
      <w:szCs w:val="16"/>
    </w:rPr>
  </w:style>
  <w:style w:type="paragraph" w:styleId="BalloonText">
    <w:name w:val="Balloon Text"/>
    <w:basedOn w:val="Normal"/>
    <w:link w:val="BalloonTextChar"/>
    <w:uiPriority w:val="99"/>
    <w:semiHidden/>
    <w:unhideWhenUsed/>
    <w:rsid w:val="007A2705"/>
    <w:rPr>
      <w:rFonts w:ascii="Tahoma" w:hAnsi="Tahoma" w:cs="Tahoma"/>
      <w:sz w:val="16"/>
      <w:szCs w:val="16"/>
    </w:rPr>
  </w:style>
  <w:style w:type="character" w:customStyle="1" w:styleId="BalloonTextChar">
    <w:name w:val="Balloon Text Char"/>
    <w:basedOn w:val="DefaultParagraphFont"/>
    <w:link w:val="BalloonText"/>
    <w:uiPriority w:val="99"/>
    <w:semiHidden/>
    <w:rsid w:val="007A2705"/>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F62FCF"/>
    <w:rPr>
      <w:sz w:val="16"/>
      <w:szCs w:val="16"/>
    </w:rPr>
  </w:style>
  <w:style w:type="paragraph" w:styleId="CommentText">
    <w:name w:val="annotation text"/>
    <w:basedOn w:val="Normal"/>
    <w:link w:val="CommentTextChar"/>
    <w:uiPriority w:val="99"/>
    <w:semiHidden/>
    <w:unhideWhenUsed/>
    <w:rsid w:val="00F62FCF"/>
    <w:rPr>
      <w:sz w:val="20"/>
      <w:szCs w:val="20"/>
    </w:rPr>
  </w:style>
  <w:style w:type="character" w:customStyle="1" w:styleId="CommentTextChar">
    <w:name w:val="Comment Text Char"/>
    <w:basedOn w:val="DefaultParagraphFont"/>
    <w:link w:val="CommentText"/>
    <w:uiPriority w:val="99"/>
    <w:semiHidden/>
    <w:rsid w:val="00F62FCF"/>
    <w:rPr>
      <w:lang w:val="en-GB" w:eastAsia="en-US"/>
    </w:rPr>
  </w:style>
  <w:style w:type="paragraph" w:styleId="CommentSubject">
    <w:name w:val="annotation subject"/>
    <w:basedOn w:val="CommentText"/>
    <w:next w:val="CommentText"/>
    <w:link w:val="CommentSubjectChar"/>
    <w:uiPriority w:val="99"/>
    <w:semiHidden/>
    <w:unhideWhenUsed/>
    <w:rsid w:val="00F62FCF"/>
    <w:rPr>
      <w:b/>
      <w:bCs/>
    </w:rPr>
  </w:style>
  <w:style w:type="character" w:customStyle="1" w:styleId="CommentSubjectChar">
    <w:name w:val="Comment Subject Char"/>
    <w:basedOn w:val="CommentTextChar"/>
    <w:link w:val="CommentSubject"/>
    <w:uiPriority w:val="99"/>
    <w:semiHidden/>
    <w:rsid w:val="00F62FCF"/>
    <w:rPr>
      <w:b/>
      <w:bCs/>
      <w:lang w:val="en-GB" w:eastAsia="en-US"/>
    </w:rPr>
  </w:style>
  <w:style w:type="paragraph" w:styleId="ListParagraph">
    <w:name w:val="List Paragraph"/>
    <w:basedOn w:val="Normal"/>
    <w:uiPriority w:val="34"/>
    <w:qFormat/>
    <w:rsid w:val="0021346B"/>
    <w:pPr>
      <w:ind w:left="720"/>
      <w:contextualSpacing/>
    </w:pPr>
  </w:style>
  <w:style w:type="paragraph" w:customStyle="1" w:styleId="naisnod">
    <w:name w:val="naisnod"/>
    <w:basedOn w:val="Normal"/>
    <w:rsid w:val="00992BD4"/>
    <w:pPr>
      <w:spacing w:before="150" w:after="150"/>
      <w:jc w:val="center"/>
    </w:pPr>
    <w:rPr>
      <w:b/>
      <w:bCs/>
      <w:lang w:eastAsia="lv-LV"/>
    </w:rPr>
  </w:style>
  <w:style w:type="paragraph" w:customStyle="1" w:styleId="labojumupamats">
    <w:name w:val="labojumu_pamats"/>
    <w:basedOn w:val="Normal"/>
    <w:rsid w:val="00224411"/>
    <w:pPr>
      <w:spacing w:before="100" w:beforeAutospacing="1" w:after="100" w:afterAutospacing="1"/>
    </w:pPr>
    <w:rPr>
      <w:lang w:eastAsia="lv-LV"/>
    </w:rPr>
  </w:style>
  <w:style w:type="character" w:styleId="Hyperlink">
    <w:name w:val="Hyperlink"/>
    <w:basedOn w:val="DefaultParagraphFont"/>
    <w:uiPriority w:val="99"/>
    <w:semiHidden/>
    <w:unhideWhenUsed/>
    <w:rsid w:val="00224411"/>
    <w:rPr>
      <w:color w:val="0000FF"/>
      <w:u w:val="single"/>
    </w:rPr>
  </w:style>
  <w:style w:type="paragraph" w:customStyle="1" w:styleId="tvhtml">
    <w:name w:val="tv_html"/>
    <w:basedOn w:val="Normal"/>
    <w:rsid w:val="00224411"/>
    <w:pPr>
      <w:spacing w:before="100" w:beforeAutospacing="1" w:after="100" w:afterAutospacing="1"/>
    </w:pPr>
    <w:rPr>
      <w:lang w:eastAsia="lv-LV"/>
    </w:rPr>
  </w:style>
  <w:style w:type="paragraph" w:styleId="BodyText3">
    <w:name w:val="Body Text 3"/>
    <w:basedOn w:val="Normal"/>
    <w:link w:val="BodyText3Char"/>
    <w:uiPriority w:val="99"/>
    <w:unhideWhenUsed/>
    <w:rsid w:val="00DB11D5"/>
    <w:pPr>
      <w:spacing w:after="120"/>
    </w:pPr>
    <w:rPr>
      <w:sz w:val="16"/>
      <w:szCs w:val="16"/>
      <w:lang w:val="en-GB"/>
    </w:rPr>
  </w:style>
  <w:style w:type="character" w:customStyle="1" w:styleId="BodyText3Char">
    <w:name w:val="Body Text 3 Char"/>
    <w:basedOn w:val="DefaultParagraphFont"/>
    <w:link w:val="BodyText3"/>
    <w:uiPriority w:val="99"/>
    <w:rsid w:val="00DB11D5"/>
    <w:rPr>
      <w:sz w:val="16"/>
      <w:szCs w:val="16"/>
      <w:lang w:val="en-GB" w:eastAsia="en-US"/>
    </w:rPr>
  </w:style>
  <w:style w:type="paragraph" w:customStyle="1" w:styleId="DefaultParagraphFont1">
    <w:name w:val="Default Paragraph Font1"/>
    <w:basedOn w:val="Normal"/>
    <w:rsid w:val="002D3459"/>
    <w:rPr>
      <w:rFonts w:ascii="CG Times (W1)" w:hAnsi="CG Times (W1)"/>
      <w:sz w:val="20"/>
      <w:szCs w:val="20"/>
    </w:rPr>
  </w:style>
  <w:style w:type="character" w:styleId="PlaceholderText">
    <w:name w:val="Placeholder Text"/>
    <w:basedOn w:val="DefaultParagraphFont"/>
    <w:uiPriority w:val="99"/>
    <w:semiHidden/>
    <w:rsid w:val="00C86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841857">
      <w:bodyDiv w:val="1"/>
      <w:marLeft w:val="0"/>
      <w:marRight w:val="0"/>
      <w:marTop w:val="0"/>
      <w:marBottom w:val="0"/>
      <w:divBdr>
        <w:top w:val="none" w:sz="0" w:space="0" w:color="auto"/>
        <w:left w:val="none" w:sz="0" w:space="0" w:color="auto"/>
        <w:bottom w:val="none" w:sz="0" w:space="0" w:color="auto"/>
        <w:right w:val="none" w:sz="0" w:space="0" w:color="auto"/>
      </w:divBdr>
      <w:divsChild>
        <w:div w:id="707488906">
          <w:marLeft w:val="0"/>
          <w:marRight w:val="0"/>
          <w:marTop w:val="0"/>
          <w:marBottom w:val="0"/>
          <w:divBdr>
            <w:top w:val="none" w:sz="0" w:space="0" w:color="auto"/>
            <w:left w:val="none" w:sz="0" w:space="0" w:color="auto"/>
            <w:bottom w:val="none" w:sz="0" w:space="0" w:color="auto"/>
            <w:right w:val="none" w:sz="0" w:space="0" w:color="auto"/>
          </w:divBdr>
        </w:div>
        <w:div w:id="158540263">
          <w:marLeft w:val="0"/>
          <w:marRight w:val="0"/>
          <w:marTop w:val="0"/>
          <w:marBottom w:val="0"/>
          <w:divBdr>
            <w:top w:val="none" w:sz="0" w:space="0" w:color="auto"/>
            <w:left w:val="none" w:sz="0" w:space="0" w:color="auto"/>
            <w:bottom w:val="none" w:sz="0" w:space="0" w:color="auto"/>
            <w:right w:val="none" w:sz="0" w:space="0" w:color="auto"/>
          </w:divBdr>
        </w:div>
      </w:divsChild>
    </w:div>
    <w:div w:id="165834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A24BB-2002-4FAD-BB8B-050E699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930</Words>
  <Characters>7003</Characters>
  <Application>Microsoft Office Word</Application>
  <DocSecurity>0</DocSecurity>
  <Lines>58</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“Ceturkšņa pārskatu sagatavošanas un iesniegšanas kārtība” sākotnējās ietekmes novērtējuma ziņojums (anotācija)</vt:lpstr>
      <vt:lpstr>Ministru kabineta noteikumu projekta “Grozījumi Ministru kabineta 2009. gada 15. decembra noteikumos Nr. 1486 “Kārtība, kādā budžeta iestādes kārto grāmatvedības uzskaiti”” sākotnējās ietekmes novērtējuma ziņojums (anotācija)</vt:lpstr>
    </vt:vector>
  </TitlesOfParts>
  <Manager>Valsts kases Pārskatu departamenta direktore Ligita Agleniece</Manager>
  <Company>Valsts kase</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“Ceturkšņa pārskatu sagatavošanas un iesniegšanas kārtība” sākotnējās ietekmes novērtējuma ziņojums (anotācija)</dc:title>
  <dc:subject>Anotācija</dc:subject>
  <dc:creator>Silvija.Lansmane@kase.gov.lv</dc:creator>
  <cp:lastModifiedBy>Silvija Lansmane</cp:lastModifiedBy>
  <cp:revision>9</cp:revision>
  <cp:lastPrinted>2014-11-22T12:24:00Z</cp:lastPrinted>
  <dcterms:created xsi:type="dcterms:W3CDTF">2014-11-22T12:08:00Z</dcterms:created>
  <dcterms:modified xsi:type="dcterms:W3CDTF">2014-12-02T14:25:00Z</dcterms:modified>
</cp:coreProperties>
</file>