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67" w:rsidRPr="004E7184" w:rsidRDefault="00F25315" w:rsidP="000F7667">
      <w:pPr>
        <w:pStyle w:val="naisc"/>
        <w:spacing w:before="0" w:after="0"/>
      </w:pPr>
      <w:bookmarkStart w:id="0" w:name="OLE_LINK1"/>
      <w:bookmarkStart w:id="1" w:name="OLE_LINK2"/>
      <w:bookmarkStart w:id="2" w:name="_GoBack"/>
      <w:bookmarkEnd w:id="2"/>
      <w:r>
        <w:tab/>
      </w:r>
    </w:p>
    <w:p w:rsidR="00F307B0" w:rsidRPr="003F4F05" w:rsidRDefault="000F7667" w:rsidP="00F307B0">
      <w:pPr>
        <w:pStyle w:val="naisc"/>
        <w:spacing w:before="0" w:after="0"/>
        <w:rPr>
          <w:b/>
        </w:rPr>
      </w:pPr>
      <w:r w:rsidRPr="003F4F05">
        <w:rPr>
          <w:b/>
        </w:rPr>
        <w:t>Mini</w:t>
      </w:r>
      <w:r w:rsidR="00F307B0" w:rsidRPr="003F4F05">
        <w:rPr>
          <w:b/>
        </w:rPr>
        <w:t>stru kabineta rīkojuma projekta</w:t>
      </w:r>
    </w:p>
    <w:p w:rsidR="000F7667" w:rsidRPr="003F4F05" w:rsidRDefault="000F7667" w:rsidP="00F307B0">
      <w:pPr>
        <w:pStyle w:val="naisc"/>
        <w:spacing w:before="0" w:after="0"/>
        <w:rPr>
          <w:b/>
        </w:rPr>
      </w:pPr>
      <w:r w:rsidRPr="003F4F05">
        <w:rPr>
          <w:b/>
          <w:bCs/>
        </w:rPr>
        <w:t>„</w:t>
      </w:r>
      <w:r w:rsidR="00AA7530" w:rsidRPr="003F4F05">
        <w:rPr>
          <w:b/>
          <w:bCs/>
        </w:rPr>
        <w:t>Par finansējuma precizēšanu, kas paredzēts Valsts ieņēmuma dienesta administratīvās ēkas Talejas ielā 1, Rīgā, telpu uzturēšanas, aprīkojuma iegādes un pārcelšanās izdevumu segšanai</w:t>
      </w:r>
      <w:r w:rsidRPr="003F4F05">
        <w:rPr>
          <w:b/>
          <w:bCs/>
        </w:rPr>
        <w:t xml:space="preserve">” </w:t>
      </w:r>
      <w:r w:rsidRPr="003F4F05">
        <w:rPr>
          <w:b/>
        </w:rPr>
        <w:t xml:space="preserve"> </w:t>
      </w:r>
    </w:p>
    <w:bookmarkEnd w:id="0"/>
    <w:bookmarkEnd w:id="1"/>
    <w:p w:rsidR="000F7667" w:rsidRPr="003F4F05" w:rsidRDefault="000F7667" w:rsidP="000F7667">
      <w:pPr>
        <w:pStyle w:val="naisc"/>
        <w:spacing w:before="0" w:after="0"/>
        <w:rPr>
          <w:b/>
        </w:rPr>
      </w:pPr>
      <w:r w:rsidRPr="003F4F05">
        <w:rPr>
          <w:b/>
        </w:rPr>
        <w:t>sākotnējās ietekmes novērtējuma ziņojums (anotācija)</w:t>
      </w:r>
    </w:p>
    <w:p w:rsidR="00F02ADC" w:rsidRPr="003F4F05" w:rsidRDefault="00F02ADC" w:rsidP="00F02ADC">
      <w:pPr>
        <w:pStyle w:val="naisc"/>
        <w:spacing w:before="0" w:after="0"/>
        <w:jc w:val="left"/>
        <w:rPr>
          <w:bCs/>
          <w:caps/>
          <w:sz w:val="26"/>
          <w:szCs w:val="26"/>
        </w:rPr>
      </w:pPr>
    </w:p>
    <w:tbl>
      <w:tblPr>
        <w:tblStyle w:val="TableGrid"/>
        <w:tblW w:w="0" w:type="auto"/>
        <w:tblLook w:val="04A0" w:firstRow="1" w:lastRow="0" w:firstColumn="1" w:lastColumn="0" w:noHBand="0" w:noVBand="1"/>
      </w:tblPr>
      <w:tblGrid>
        <w:gridCol w:w="534"/>
        <w:gridCol w:w="1559"/>
        <w:gridCol w:w="7194"/>
      </w:tblGrid>
      <w:tr w:rsidR="008C57BD" w:rsidRPr="003F4F05" w:rsidTr="001E5481">
        <w:tc>
          <w:tcPr>
            <w:tcW w:w="9287" w:type="dxa"/>
            <w:gridSpan w:val="3"/>
          </w:tcPr>
          <w:p w:rsidR="008C57BD" w:rsidRPr="003F4F05" w:rsidRDefault="008C57BD" w:rsidP="008C57BD">
            <w:pPr>
              <w:pStyle w:val="naisc"/>
              <w:spacing w:before="0" w:after="0"/>
              <w:rPr>
                <w:bCs/>
                <w:caps/>
                <w:sz w:val="26"/>
                <w:szCs w:val="26"/>
              </w:rPr>
            </w:pPr>
            <w:r w:rsidRPr="003F4F05">
              <w:rPr>
                <w:b/>
                <w:bCs/>
                <w:sz w:val="26"/>
                <w:szCs w:val="26"/>
              </w:rPr>
              <w:t>I. Tiesību akta projekta izstrādes nepieciešamība</w:t>
            </w:r>
          </w:p>
        </w:tc>
      </w:tr>
      <w:tr w:rsidR="008C57BD" w:rsidRPr="003F4F05" w:rsidTr="008C57BD">
        <w:tc>
          <w:tcPr>
            <w:tcW w:w="534" w:type="dxa"/>
          </w:tcPr>
          <w:p w:rsidR="008C57BD" w:rsidRPr="003F4F05" w:rsidRDefault="008C57BD" w:rsidP="00F02ADC">
            <w:pPr>
              <w:pStyle w:val="naisc"/>
              <w:spacing w:before="0" w:after="0"/>
              <w:jc w:val="left"/>
              <w:rPr>
                <w:bCs/>
                <w:caps/>
                <w:sz w:val="26"/>
                <w:szCs w:val="26"/>
              </w:rPr>
            </w:pPr>
            <w:r w:rsidRPr="003F4F05">
              <w:rPr>
                <w:sz w:val="26"/>
                <w:szCs w:val="26"/>
              </w:rPr>
              <w:t>1.</w:t>
            </w:r>
          </w:p>
        </w:tc>
        <w:tc>
          <w:tcPr>
            <w:tcW w:w="1559" w:type="dxa"/>
          </w:tcPr>
          <w:p w:rsidR="008C57BD" w:rsidRPr="003F4F05" w:rsidRDefault="008C57BD" w:rsidP="00F02ADC">
            <w:pPr>
              <w:pStyle w:val="naisc"/>
              <w:spacing w:before="0" w:after="0"/>
              <w:jc w:val="left"/>
              <w:rPr>
                <w:bCs/>
                <w:caps/>
                <w:sz w:val="26"/>
                <w:szCs w:val="26"/>
              </w:rPr>
            </w:pPr>
            <w:r w:rsidRPr="003F4F05">
              <w:rPr>
                <w:sz w:val="26"/>
                <w:szCs w:val="26"/>
              </w:rPr>
              <w:t>Pamatojums</w:t>
            </w:r>
          </w:p>
        </w:tc>
        <w:tc>
          <w:tcPr>
            <w:tcW w:w="7194" w:type="dxa"/>
          </w:tcPr>
          <w:p w:rsidR="00754DD5" w:rsidRDefault="00754DD5" w:rsidP="00A11969">
            <w:pPr>
              <w:pStyle w:val="naisc"/>
              <w:spacing w:before="0" w:after="0"/>
              <w:jc w:val="both"/>
              <w:rPr>
                <w:bCs/>
                <w:sz w:val="26"/>
                <w:szCs w:val="26"/>
              </w:rPr>
            </w:pPr>
            <w:r>
              <w:rPr>
                <w:bCs/>
                <w:sz w:val="26"/>
                <w:szCs w:val="26"/>
              </w:rPr>
              <w:t>Pamatojoties uz Finanšu ministrijas</w:t>
            </w:r>
            <w:r w:rsidR="00D93247">
              <w:rPr>
                <w:bCs/>
                <w:sz w:val="26"/>
                <w:szCs w:val="26"/>
              </w:rPr>
              <w:t xml:space="preserve"> (turpmāk – FM)</w:t>
            </w:r>
            <w:r>
              <w:rPr>
                <w:bCs/>
                <w:sz w:val="26"/>
                <w:szCs w:val="26"/>
              </w:rPr>
              <w:t xml:space="preserve"> (Valsts ieņēmumu dienesta</w:t>
            </w:r>
            <w:r w:rsidR="00D93247">
              <w:rPr>
                <w:bCs/>
                <w:sz w:val="26"/>
                <w:szCs w:val="26"/>
              </w:rPr>
              <w:t xml:space="preserve"> (turpmāk – VID)</w:t>
            </w:r>
            <w:r>
              <w:rPr>
                <w:bCs/>
                <w:sz w:val="26"/>
                <w:szCs w:val="26"/>
              </w:rPr>
              <w:t xml:space="preserve">) iniciatīvu, ir precizēts finansējums </w:t>
            </w:r>
            <w:r w:rsidR="007642D4" w:rsidRPr="003F4F05">
              <w:rPr>
                <w:bCs/>
                <w:sz w:val="26"/>
                <w:szCs w:val="26"/>
              </w:rPr>
              <w:t xml:space="preserve">Ministru kabineta </w:t>
            </w:r>
            <w:r w:rsidR="00A11969" w:rsidRPr="003F4F05">
              <w:rPr>
                <w:bCs/>
                <w:sz w:val="26"/>
                <w:szCs w:val="26"/>
              </w:rPr>
              <w:t xml:space="preserve">(turpmāk – MK) </w:t>
            </w:r>
            <w:r w:rsidR="007642D4" w:rsidRPr="003F4F05">
              <w:rPr>
                <w:bCs/>
                <w:sz w:val="26"/>
                <w:szCs w:val="26"/>
              </w:rPr>
              <w:t>2012.gada 24.augusta rīkojuma Nr.411 „</w:t>
            </w:r>
            <w:r w:rsidR="007642D4" w:rsidRPr="003F4F05">
              <w:rPr>
                <w:sz w:val="26"/>
                <w:szCs w:val="26"/>
              </w:rPr>
              <w:t>Par finansējuma piešķiršanu Finanšu ministrijai Valsts ieņēmuma dienesta administratīvās ēkas Talejas ielā 1, Rīgā, telpu nomas maksas, aprīkojuma iegādes, pārcelšanās un uzturēšanas izdevumu segšanai</w:t>
            </w:r>
            <w:r w:rsidR="007642D4" w:rsidRPr="003F4F05">
              <w:rPr>
                <w:bCs/>
                <w:sz w:val="26"/>
                <w:szCs w:val="26"/>
              </w:rPr>
              <w:t xml:space="preserve">” (turpmāk – MK </w:t>
            </w:r>
            <w:smartTag w:uri="schemas-tilde-lv/tildestengine" w:element="veidnes">
              <w:smartTagPr>
                <w:attr w:name="id" w:val="-1"/>
                <w:attr w:name="baseform" w:val="rīkojums"/>
                <w:attr w:name="text" w:val="rīkojums"/>
              </w:smartTagPr>
              <w:r w:rsidR="007642D4" w:rsidRPr="003F4F05">
                <w:rPr>
                  <w:bCs/>
                  <w:sz w:val="26"/>
                  <w:szCs w:val="26"/>
                </w:rPr>
                <w:t>rīkojums</w:t>
              </w:r>
            </w:smartTag>
            <w:r w:rsidR="008E7494" w:rsidRPr="003F4F05">
              <w:rPr>
                <w:bCs/>
                <w:sz w:val="26"/>
                <w:szCs w:val="26"/>
              </w:rPr>
              <w:t xml:space="preserve"> Nr.411</w:t>
            </w:r>
            <w:r>
              <w:rPr>
                <w:bCs/>
                <w:sz w:val="26"/>
                <w:szCs w:val="26"/>
              </w:rPr>
              <w:t xml:space="preserve">) </w:t>
            </w:r>
            <w:r w:rsidRPr="003F4F05">
              <w:rPr>
                <w:bCs/>
                <w:sz w:val="26"/>
                <w:szCs w:val="26"/>
              </w:rPr>
              <w:t>1</w:t>
            </w:r>
            <w:r w:rsidR="00D93247">
              <w:rPr>
                <w:bCs/>
                <w:sz w:val="26"/>
                <w:szCs w:val="26"/>
              </w:rPr>
              <w:t>.2</w:t>
            </w:r>
            <w:r w:rsidRPr="003F4F05">
              <w:rPr>
                <w:bCs/>
                <w:sz w:val="26"/>
                <w:szCs w:val="26"/>
              </w:rPr>
              <w:t>.</w:t>
            </w:r>
            <w:r w:rsidR="00D93247">
              <w:rPr>
                <w:bCs/>
                <w:sz w:val="26"/>
                <w:szCs w:val="26"/>
              </w:rPr>
              <w:t>, 1.3.1., 1.3.2., 1.3.3. un 1.3.4.apakš</w:t>
            </w:r>
            <w:r w:rsidR="00D93247" w:rsidRPr="003F4F05">
              <w:rPr>
                <w:bCs/>
                <w:sz w:val="26"/>
                <w:szCs w:val="26"/>
              </w:rPr>
              <w:t>punkt</w:t>
            </w:r>
            <w:r w:rsidR="00D93247">
              <w:rPr>
                <w:bCs/>
                <w:sz w:val="26"/>
                <w:szCs w:val="26"/>
              </w:rPr>
              <w:t>ā</w:t>
            </w:r>
            <w:r w:rsidRPr="003F4F05">
              <w:rPr>
                <w:bCs/>
                <w:sz w:val="26"/>
                <w:szCs w:val="26"/>
              </w:rPr>
              <w:t xml:space="preserve"> noteikt</w:t>
            </w:r>
            <w:r>
              <w:rPr>
                <w:bCs/>
                <w:sz w:val="26"/>
                <w:szCs w:val="26"/>
              </w:rPr>
              <w:t>o</w:t>
            </w:r>
            <w:r w:rsidRPr="003F4F05">
              <w:rPr>
                <w:bCs/>
                <w:sz w:val="26"/>
                <w:szCs w:val="26"/>
              </w:rPr>
              <w:t xml:space="preserve"> </w:t>
            </w:r>
            <w:r w:rsidRPr="003F4F05">
              <w:rPr>
                <w:sz w:val="26"/>
                <w:szCs w:val="26"/>
              </w:rPr>
              <w:t>administratīvās ēkas Talejas ielā 1, Rīgā, telpu nomas maksas, aprīkojuma iegādes, pārcelšanās un uzturēšanas izdevumu segšanai</w:t>
            </w:r>
            <w:r w:rsidRPr="003F4F05">
              <w:rPr>
                <w:bCs/>
                <w:sz w:val="26"/>
                <w:szCs w:val="26"/>
              </w:rPr>
              <w:t>.</w:t>
            </w:r>
          </w:p>
          <w:p w:rsidR="008C57BD" w:rsidRPr="00754DD5" w:rsidRDefault="00754DD5" w:rsidP="00B44D13">
            <w:pPr>
              <w:pStyle w:val="naisc"/>
              <w:spacing w:before="0" w:after="0"/>
              <w:jc w:val="both"/>
              <w:rPr>
                <w:bCs/>
                <w:sz w:val="26"/>
                <w:szCs w:val="26"/>
              </w:rPr>
            </w:pPr>
            <w:r w:rsidRPr="003F4F05">
              <w:rPr>
                <w:bCs/>
                <w:sz w:val="26"/>
                <w:szCs w:val="26"/>
              </w:rPr>
              <w:t xml:space="preserve">Deklarācijas par Laimdotas Straujumas vadītā </w:t>
            </w:r>
            <w:r w:rsidR="00B44D13">
              <w:rPr>
                <w:bCs/>
                <w:sz w:val="26"/>
                <w:szCs w:val="26"/>
              </w:rPr>
              <w:t>MK</w:t>
            </w:r>
            <w:r w:rsidRPr="003F4F05">
              <w:rPr>
                <w:bCs/>
                <w:sz w:val="26"/>
                <w:szCs w:val="26"/>
              </w:rPr>
              <w:t xml:space="preserve"> iecerēto darbību īstenošanai</w:t>
            </w:r>
            <w:r w:rsidR="00B44D13">
              <w:rPr>
                <w:bCs/>
                <w:sz w:val="26"/>
                <w:szCs w:val="26"/>
              </w:rPr>
              <w:t xml:space="preserve"> </w:t>
            </w:r>
            <w:r w:rsidR="00844655" w:rsidRPr="00844655">
              <w:rPr>
                <w:bCs/>
                <w:sz w:val="26"/>
                <w:szCs w:val="26"/>
              </w:rPr>
              <w:t xml:space="preserve">(2014.gada novembris) </w:t>
            </w:r>
            <w:r w:rsidR="00B44D13">
              <w:rPr>
                <w:bCs/>
                <w:sz w:val="26"/>
                <w:szCs w:val="26"/>
              </w:rPr>
              <w:t>27.punkts</w:t>
            </w:r>
            <w:r w:rsidRPr="003F4F05">
              <w:rPr>
                <w:bCs/>
                <w:sz w:val="26"/>
                <w:szCs w:val="26"/>
              </w:rPr>
              <w:t xml:space="preserve"> un </w:t>
            </w:r>
            <w:r>
              <w:rPr>
                <w:bCs/>
                <w:sz w:val="26"/>
                <w:szCs w:val="26"/>
              </w:rPr>
              <w:t>MK</w:t>
            </w:r>
            <w:r w:rsidRPr="003F4F05">
              <w:rPr>
                <w:bCs/>
                <w:sz w:val="26"/>
                <w:szCs w:val="26"/>
              </w:rPr>
              <w:t xml:space="preserve"> 2013.gada 19</w:t>
            </w:r>
            <w:r>
              <w:rPr>
                <w:bCs/>
                <w:sz w:val="26"/>
                <w:szCs w:val="26"/>
              </w:rPr>
              <w:t>.februāra rīkojums</w:t>
            </w:r>
            <w:r w:rsidRPr="003F4F05">
              <w:rPr>
                <w:bCs/>
                <w:sz w:val="26"/>
                <w:szCs w:val="26"/>
              </w:rPr>
              <w:t xml:space="preserve"> Nr.58 „Par Koncepciju par publisko pakalpojumu sistēmas pilnveidi”</w:t>
            </w:r>
            <w:r>
              <w:rPr>
                <w:bCs/>
                <w:sz w:val="26"/>
                <w:szCs w:val="26"/>
              </w:rPr>
              <w:t>.</w:t>
            </w:r>
          </w:p>
        </w:tc>
      </w:tr>
      <w:tr w:rsidR="008C57BD" w:rsidRPr="003F4F05" w:rsidTr="000A6F90">
        <w:tc>
          <w:tcPr>
            <w:tcW w:w="534" w:type="dxa"/>
          </w:tcPr>
          <w:p w:rsidR="008C57BD" w:rsidRPr="003F4F05" w:rsidRDefault="008C57BD" w:rsidP="001E5481">
            <w:pPr>
              <w:spacing w:before="100" w:beforeAutospacing="1" w:after="100" w:afterAutospacing="1"/>
              <w:rPr>
                <w:sz w:val="26"/>
                <w:szCs w:val="26"/>
                <w:lang w:eastAsia="lv-LV"/>
              </w:rPr>
            </w:pPr>
            <w:r w:rsidRPr="003F4F05">
              <w:rPr>
                <w:sz w:val="26"/>
                <w:szCs w:val="26"/>
                <w:lang w:eastAsia="lv-LV"/>
              </w:rPr>
              <w:t>2.</w:t>
            </w:r>
          </w:p>
        </w:tc>
        <w:tc>
          <w:tcPr>
            <w:tcW w:w="1559" w:type="dxa"/>
          </w:tcPr>
          <w:p w:rsidR="008C57BD" w:rsidRPr="003F4F05" w:rsidRDefault="008C57BD" w:rsidP="00F02ADC">
            <w:pPr>
              <w:pStyle w:val="naisc"/>
              <w:spacing w:before="0" w:after="0"/>
              <w:jc w:val="left"/>
              <w:rPr>
                <w:bCs/>
                <w:caps/>
                <w:sz w:val="26"/>
                <w:szCs w:val="26"/>
              </w:rPr>
            </w:pPr>
            <w:r w:rsidRPr="003F4F05">
              <w:rPr>
                <w:sz w:val="26"/>
                <w:szCs w:val="26"/>
              </w:rPr>
              <w:t>Pašreizējā situācija un problēmas, kuru risināšanai tiesību akta projekts izstrādāts, tiesiskā regulējuma mērķis un būtība</w:t>
            </w:r>
          </w:p>
        </w:tc>
        <w:tc>
          <w:tcPr>
            <w:tcW w:w="7194" w:type="dxa"/>
            <w:shd w:val="clear" w:color="auto" w:fill="auto"/>
          </w:tcPr>
          <w:p w:rsidR="00DF5103" w:rsidRPr="003F4F05" w:rsidRDefault="00841A98" w:rsidP="00A50D17">
            <w:pPr>
              <w:pStyle w:val="naiskr"/>
              <w:tabs>
                <w:tab w:val="left" w:pos="366"/>
              </w:tabs>
              <w:spacing w:before="0" w:beforeAutospacing="0" w:after="0" w:afterAutospacing="0"/>
              <w:ind w:right="113"/>
              <w:jc w:val="both"/>
              <w:rPr>
                <w:bCs/>
                <w:sz w:val="26"/>
                <w:szCs w:val="26"/>
                <w:u w:val="single"/>
              </w:rPr>
            </w:pPr>
            <w:r w:rsidRPr="003F4F05">
              <w:rPr>
                <w:bCs/>
                <w:sz w:val="26"/>
                <w:szCs w:val="26"/>
                <w:u w:val="single"/>
              </w:rPr>
              <w:t>Ņemot vērā MK rīkojuma Nr.411</w:t>
            </w:r>
            <w:r w:rsidR="00DF5103" w:rsidRPr="003F4F05">
              <w:rPr>
                <w:bCs/>
                <w:sz w:val="26"/>
                <w:szCs w:val="26"/>
                <w:u w:val="single"/>
              </w:rPr>
              <w:t>:</w:t>
            </w:r>
          </w:p>
          <w:p w:rsidR="00DF5103" w:rsidRPr="003F4F05" w:rsidRDefault="00F17EEF" w:rsidP="00F17EEF">
            <w:pPr>
              <w:pStyle w:val="naiskr"/>
              <w:tabs>
                <w:tab w:val="left" w:pos="175"/>
                <w:tab w:val="left" w:pos="317"/>
              </w:tabs>
              <w:spacing w:before="0" w:beforeAutospacing="0" w:after="0" w:afterAutospacing="0"/>
              <w:ind w:right="113"/>
              <w:jc w:val="both"/>
              <w:rPr>
                <w:sz w:val="26"/>
                <w:szCs w:val="26"/>
              </w:rPr>
            </w:pPr>
            <w:r w:rsidRPr="003F4F05">
              <w:rPr>
                <w:bCs/>
                <w:sz w:val="26"/>
                <w:szCs w:val="26"/>
              </w:rPr>
              <w:t xml:space="preserve">– </w:t>
            </w:r>
            <w:r w:rsidR="008C57BD" w:rsidRPr="003F4F05">
              <w:rPr>
                <w:bCs/>
                <w:sz w:val="26"/>
                <w:szCs w:val="26"/>
              </w:rPr>
              <w:t>1.1.apakšpunktu likumā „Par valsts budžetu 2014.gadam”</w:t>
            </w:r>
            <w:r w:rsidR="0089355E" w:rsidRPr="003F4F05">
              <w:rPr>
                <w:bCs/>
                <w:sz w:val="26"/>
                <w:szCs w:val="26"/>
              </w:rPr>
              <w:t xml:space="preserve"> </w:t>
            </w:r>
            <w:r w:rsidR="00DF5103" w:rsidRPr="003F4F05">
              <w:rPr>
                <w:bCs/>
                <w:sz w:val="26"/>
                <w:szCs w:val="26"/>
              </w:rPr>
              <w:t>FM</w:t>
            </w:r>
            <w:r w:rsidR="0089355E" w:rsidRPr="003F4F05">
              <w:rPr>
                <w:bCs/>
                <w:sz w:val="26"/>
                <w:szCs w:val="26"/>
              </w:rPr>
              <w:t xml:space="preserve">) </w:t>
            </w:r>
            <w:r w:rsidR="00DF5103" w:rsidRPr="003F4F05">
              <w:rPr>
                <w:bCs/>
                <w:sz w:val="26"/>
                <w:szCs w:val="26"/>
              </w:rPr>
              <w:t>(</w:t>
            </w:r>
            <w:r w:rsidR="0089355E" w:rsidRPr="003F4F05">
              <w:rPr>
                <w:bCs/>
                <w:sz w:val="26"/>
                <w:szCs w:val="26"/>
              </w:rPr>
              <w:t>VID</w:t>
            </w:r>
            <w:r w:rsidR="00ED60FE" w:rsidRPr="003F4F05">
              <w:rPr>
                <w:bCs/>
                <w:sz w:val="26"/>
                <w:szCs w:val="26"/>
              </w:rPr>
              <w:t>)</w:t>
            </w:r>
            <w:r w:rsidR="00DF5103" w:rsidRPr="003F4F05">
              <w:rPr>
                <w:bCs/>
                <w:sz w:val="26"/>
                <w:szCs w:val="26"/>
              </w:rPr>
              <w:t xml:space="preserve"> </w:t>
            </w:r>
            <w:r w:rsidR="008C57BD" w:rsidRPr="003F4F05">
              <w:rPr>
                <w:bCs/>
                <w:sz w:val="26"/>
                <w:szCs w:val="26"/>
              </w:rPr>
              <w:t>budžet</w:t>
            </w:r>
            <w:r w:rsidR="00DF5103" w:rsidRPr="003F4F05">
              <w:rPr>
                <w:bCs/>
                <w:sz w:val="26"/>
                <w:szCs w:val="26"/>
              </w:rPr>
              <w:t xml:space="preserve">a programmā 33.00.00 </w:t>
            </w:r>
            <w:r w:rsidR="008C57BD" w:rsidRPr="003F4F05">
              <w:rPr>
                <w:bCs/>
                <w:sz w:val="26"/>
                <w:szCs w:val="26"/>
              </w:rPr>
              <w:t xml:space="preserve"> </w:t>
            </w:r>
            <w:r w:rsidR="00DF5103" w:rsidRPr="003F4F05">
              <w:rPr>
                <w:bCs/>
                <w:sz w:val="26"/>
                <w:szCs w:val="26"/>
              </w:rPr>
              <w:t xml:space="preserve">„Valsts ieņēmumu un muitas politikas nodrošināšana” </w:t>
            </w:r>
            <w:r w:rsidR="008C57BD" w:rsidRPr="003F4F05">
              <w:rPr>
                <w:bCs/>
                <w:sz w:val="26"/>
                <w:szCs w:val="26"/>
              </w:rPr>
              <w:t>paredzēts finansējums</w:t>
            </w:r>
            <w:r w:rsidR="00DF5103" w:rsidRPr="003F4F05">
              <w:rPr>
                <w:bCs/>
                <w:sz w:val="26"/>
                <w:szCs w:val="26"/>
              </w:rPr>
              <w:t xml:space="preserve"> „VID ēkas Talejas ielā 1, Rīgā, telpu nomas maksas, aprīkojuma iegādes, pārcelšanās un uzturēšanas izdevumu segšanai” </w:t>
            </w:r>
            <w:r w:rsidR="00DF5103" w:rsidRPr="003F4F05">
              <w:rPr>
                <w:sz w:val="26"/>
                <w:szCs w:val="26"/>
              </w:rPr>
              <w:t xml:space="preserve">2014.gadā </w:t>
            </w:r>
            <w:r w:rsidR="000C7FFE" w:rsidRPr="003F4F05">
              <w:rPr>
                <w:sz w:val="26"/>
                <w:szCs w:val="26"/>
              </w:rPr>
              <w:t>5</w:t>
            </w:r>
            <w:r w:rsidR="000C7FFE">
              <w:rPr>
                <w:sz w:val="26"/>
                <w:szCs w:val="26"/>
              </w:rPr>
              <w:t> </w:t>
            </w:r>
            <w:r w:rsidR="00F307B0" w:rsidRPr="003F4F05">
              <w:rPr>
                <w:sz w:val="26"/>
                <w:szCs w:val="26"/>
              </w:rPr>
              <w:t>255</w:t>
            </w:r>
            <w:r w:rsidR="000C7FFE">
              <w:rPr>
                <w:sz w:val="26"/>
                <w:szCs w:val="26"/>
              </w:rPr>
              <w:t> </w:t>
            </w:r>
            <w:r w:rsidR="000C7FFE" w:rsidRPr="003F4F05">
              <w:rPr>
                <w:sz w:val="26"/>
                <w:szCs w:val="26"/>
              </w:rPr>
              <w:t>637</w:t>
            </w:r>
            <w:r w:rsidR="000C7FFE">
              <w:rPr>
                <w:sz w:val="26"/>
                <w:szCs w:val="26"/>
              </w:rPr>
              <w:t> </w:t>
            </w:r>
            <w:r w:rsidR="00F307B0" w:rsidRPr="003F4F05">
              <w:rPr>
                <w:sz w:val="26"/>
                <w:szCs w:val="26"/>
              </w:rPr>
              <w:t>lati (</w:t>
            </w:r>
            <w:r w:rsidR="00DF5103" w:rsidRPr="003F4F05">
              <w:rPr>
                <w:sz w:val="26"/>
                <w:szCs w:val="26"/>
              </w:rPr>
              <w:t>7 478</w:t>
            </w:r>
            <w:r w:rsidR="00F307B0" w:rsidRPr="003F4F05">
              <w:rPr>
                <w:sz w:val="26"/>
                <w:szCs w:val="26"/>
              </w:rPr>
              <w:t> </w:t>
            </w:r>
            <w:r w:rsidR="00DF5103" w:rsidRPr="003F4F05">
              <w:rPr>
                <w:sz w:val="26"/>
                <w:szCs w:val="26"/>
              </w:rPr>
              <w:t>098</w:t>
            </w:r>
            <w:r w:rsidR="00F307B0" w:rsidRPr="003F4F05">
              <w:rPr>
                <w:sz w:val="26"/>
                <w:szCs w:val="26"/>
              </w:rPr>
              <w:t> </w:t>
            </w:r>
            <w:r w:rsidR="00DF5103" w:rsidRPr="003F4F05">
              <w:rPr>
                <w:i/>
                <w:sz w:val="26"/>
                <w:szCs w:val="26"/>
              </w:rPr>
              <w:t>euro</w:t>
            </w:r>
            <w:r w:rsidR="00F307B0" w:rsidRPr="003F4F05">
              <w:rPr>
                <w:sz w:val="26"/>
                <w:szCs w:val="26"/>
              </w:rPr>
              <w:t>)</w:t>
            </w:r>
            <w:r w:rsidR="00DF5103" w:rsidRPr="003F4F05">
              <w:rPr>
                <w:i/>
                <w:sz w:val="26"/>
                <w:szCs w:val="26"/>
              </w:rPr>
              <w:t xml:space="preserve">, </w:t>
            </w:r>
            <w:r w:rsidR="00DF5103" w:rsidRPr="003F4F05">
              <w:rPr>
                <w:sz w:val="26"/>
                <w:szCs w:val="26"/>
              </w:rPr>
              <w:t xml:space="preserve"> 2015. un 2016.gadā </w:t>
            </w:r>
            <w:r w:rsidR="00F307B0" w:rsidRPr="003F4F05">
              <w:rPr>
                <w:sz w:val="26"/>
                <w:szCs w:val="26"/>
              </w:rPr>
              <w:t xml:space="preserve"> 5 445 953 lati (</w:t>
            </w:r>
            <w:r w:rsidR="00DF5103" w:rsidRPr="003F4F05">
              <w:rPr>
                <w:sz w:val="26"/>
                <w:szCs w:val="26"/>
              </w:rPr>
              <w:t>7 748</w:t>
            </w:r>
            <w:r w:rsidR="00F307B0" w:rsidRPr="003F4F05">
              <w:rPr>
                <w:sz w:val="26"/>
                <w:szCs w:val="26"/>
              </w:rPr>
              <w:t> </w:t>
            </w:r>
            <w:r w:rsidR="00DF5103" w:rsidRPr="003F4F05">
              <w:rPr>
                <w:sz w:val="26"/>
                <w:szCs w:val="26"/>
              </w:rPr>
              <w:t>893</w:t>
            </w:r>
            <w:r w:rsidR="00F307B0" w:rsidRPr="003F4F05">
              <w:rPr>
                <w:i/>
                <w:sz w:val="26"/>
                <w:szCs w:val="26"/>
              </w:rPr>
              <w:t> </w:t>
            </w:r>
            <w:r w:rsidR="00DF5103" w:rsidRPr="003F4F05">
              <w:rPr>
                <w:i/>
                <w:sz w:val="26"/>
                <w:szCs w:val="26"/>
              </w:rPr>
              <w:t>euro</w:t>
            </w:r>
            <w:r w:rsidR="00F307B0" w:rsidRPr="003F4F05">
              <w:rPr>
                <w:sz w:val="26"/>
                <w:szCs w:val="26"/>
              </w:rPr>
              <w:t>)</w:t>
            </w:r>
            <w:r w:rsidR="00DF5103" w:rsidRPr="003F4F05">
              <w:rPr>
                <w:i/>
                <w:sz w:val="26"/>
                <w:szCs w:val="26"/>
              </w:rPr>
              <w:t xml:space="preserve"> </w:t>
            </w:r>
            <w:r w:rsidR="00DF5103" w:rsidRPr="003F4F05">
              <w:rPr>
                <w:sz w:val="26"/>
                <w:szCs w:val="26"/>
              </w:rPr>
              <w:t>katru gadu, bet</w:t>
            </w:r>
            <w:r w:rsidR="00821E65" w:rsidRPr="003F4F05">
              <w:rPr>
                <w:sz w:val="26"/>
                <w:szCs w:val="26"/>
              </w:rPr>
              <w:t xml:space="preserve"> tālākā laika posmā līdz projekta īstenošanai </w:t>
            </w:r>
            <w:r w:rsidR="00F307B0" w:rsidRPr="003F4F05">
              <w:rPr>
                <w:sz w:val="26"/>
                <w:szCs w:val="26"/>
              </w:rPr>
              <w:t>147 231 047 lati (</w:t>
            </w:r>
            <w:r w:rsidR="00821E65" w:rsidRPr="003F4F05">
              <w:rPr>
                <w:sz w:val="26"/>
                <w:szCs w:val="26"/>
              </w:rPr>
              <w:t>209</w:t>
            </w:r>
            <w:r w:rsidR="00F307B0" w:rsidRPr="003F4F05">
              <w:rPr>
                <w:sz w:val="26"/>
                <w:szCs w:val="26"/>
              </w:rPr>
              <w:t> </w:t>
            </w:r>
            <w:r w:rsidR="00821E65" w:rsidRPr="003F4F05">
              <w:rPr>
                <w:sz w:val="26"/>
                <w:szCs w:val="26"/>
              </w:rPr>
              <w:t>490</w:t>
            </w:r>
            <w:r w:rsidR="00F307B0" w:rsidRPr="003F4F05">
              <w:rPr>
                <w:sz w:val="26"/>
                <w:szCs w:val="26"/>
              </w:rPr>
              <w:t> </w:t>
            </w:r>
            <w:r w:rsidR="00821E65" w:rsidRPr="003F4F05">
              <w:rPr>
                <w:sz w:val="26"/>
                <w:szCs w:val="26"/>
              </w:rPr>
              <w:t>906</w:t>
            </w:r>
            <w:r w:rsidR="00F307B0" w:rsidRPr="003F4F05">
              <w:rPr>
                <w:sz w:val="26"/>
                <w:szCs w:val="26"/>
              </w:rPr>
              <w:t> </w:t>
            </w:r>
            <w:r w:rsidR="00821E65" w:rsidRPr="003F4F05">
              <w:rPr>
                <w:i/>
                <w:sz w:val="26"/>
                <w:szCs w:val="26"/>
              </w:rPr>
              <w:t>euro</w:t>
            </w:r>
            <w:r w:rsidR="00F307B0" w:rsidRPr="003F4F05">
              <w:rPr>
                <w:sz w:val="26"/>
                <w:szCs w:val="26"/>
              </w:rPr>
              <w:t>)</w:t>
            </w:r>
            <w:r w:rsidR="009618DE" w:rsidRPr="003F4F05">
              <w:rPr>
                <w:sz w:val="26"/>
                <w:szCs w:val="26"/>
              </w:rPr>
              <w:t>, nomas maksas izdevumu segšanai</w:t>
            </w:r>
            <w:r w:rsidR="00821E65" w:rsidRPr="003F4F05">
              <w:rPr>
                <w:sz w:val="26"/>
                <w:szCs w:val="26"/>
              </w:rPr>
              <w:t>.</w:t>
            </w:r>
          </w:p>
          <w:p w:rsidR="00520E11" w:rsidRPr="003F4F05" w:rsidRDefault="00F17EEF" w:rsidP="00486437">
            <w:pPr>
              <w:pStyle w:val="naiskr"/>
              <w:tabs>
                <w:tab w:val="left" w:pos="175"/>
                <w:tab w:val="left" w:pos="317"/>
              </w:tabs>
              <w:spacing w:before="0" w:beforeAutospacing="0" w:after="0" w:afterAutospacing="0"/>
              <w:ind w:right="113"/>
              <w:jc w:val="both"/>
              <w:rPr>
                <w:sz w:val="26"/>
                <w:szCs w:val="26"/>
              </w:rPr>
            </w:pPr>
            <w:r w:rsidRPr="003F4F05">
              <w:rPr>
                <w:bCs/>
                <w:sz w:val="26"/>
                <w:szCs w:val="26"/>
              </w:rPr>
              <w:t>–</w:t>
            </w:r>
            <w:r w:rsidR="00884361" w:rsidRPr="003F4F05">
              <w:rPr>
                <w:bCs/>
                <w:sz w:val="26"/>
                <w:szCs w:val="26"/>
              </w:rPr>
              <w:t xml:space="preserve"> </w:t>
            </w:r>
            <w:r w:rsidR="008C57BD" w:rsidRPr="003F4F05">
              <w:rPr>
                <w:bCs/>
                <w:sz w:val="26"/>
                <w:szCs w:val="26"/>
              </w:rPr>
              <w:t>1.</w:t>
            </w:r>
            <w:r w:rsidR="009618DE" w:rsidRPr="003F4F05">
              <w:rPr>
                <w:bCs/>
                <w:sz w:val="26"/>
                <w:szCs w:val="26"/>
              </w:rPr>
              <w:t>2</w:t>
            </w:r>
            <w:r w:rsidR="008C57BD" w:rsidRPr="003F4F05">
              <w:rPr>
                <w:bCs/>
                <w:sz w:val="26"/>
                <w:szCs w:val="26"/>
              </w:rPr>
              <w:t>.apakšpunkt</w:t>
            </w:r>
            <w:r w:rsidR="00DF5103" w:rsidRPr="003F4F05">
              <w:rPr>
                <w:bCs/>
                <w:sz w:val="26"/>
                <w:szCs w:val="26"/>
              </w:rPr>
              <w:t>u</w:t>
            </w:r>
            <w:r w:rsidR="008C57BD" w:rsidRPr="003F4F05">
              <w:rPr>
                <w:bCs/>
                <w:sz w:val="26"/>
                <w:szCs w:val="26"/>
              </w:rPr>
              <w:t xml:space="preserve"> </w:t>
            </w:r>
            <w:r w:rsidR="00DF5103" w:rsidRPr="003F4F05">
              <w:rPr>
                <w:bCs/>
                <w:sz w:val="26"/>
                <w:szCs w:val="26"/>
              </w:rPr>
              <w:t>likumā „Par valsts budžetu 2014.gadam” FM (VID) budžeta programmā 33.00.00  „Valsts ieņēmumu un muitas politikas nodrošināšana” paredzēts finansējums</w:t>
            </w:r>
            <w:r w:rsidR="00486437" w:rsidRPr="003F4F05">
              <w:rPr>
                <w:bCs/>
                <w:sz w:val="26"/>
                <w:szCs w:val="26"/>
              </w:rPr>
              <w:t xml:space="preserve"> </w:t>
            </w:r>
            <w:r w:rsidR="00520E11" w:rsidRPr="003F4F05">
              <w:rPr>
                <w:sz w:val="26"/>
                <w:szCs w:val="26"/>
              </w:rPr>
              <w:t>izdevumiem vienreizēju pasākumu nodrošināšanai:</w:t>
            </w:r>
          </w:p>
          <w:p w:rsidR="00F17EEF" w:rsidRPr="003F4F05" w:rsidRDefault="00520E11" w:rsidP="00F307B0">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aprīkojuma (piemēram, mēbeles, iekārtas, tehniskais aprīkojums) iegādes un ar to saistīto izdevumu segšanai - 2013.gadā </w:t>
            </w:r>
            <w:r w:rsidR="00F307B0" w:rsidRPr="003F4F05">
              <w:rPr>
                <w:sz w:val="26"/>
                <w:szCs w:val="26"/>
              </w:rPr>
              <w:t>509 703 lati (</w:t>
            </w:r>
            <w:r w:rsidR="00F17EEF" w:rsidRPr="003F4F05">
              <w:rPr>
                <w:sz w:val="26"/>
                <w:szCs w:val="26"/>
              </w:rPr>
              <w:t>725</w:t>
            </w:r>
            <w:r w:rsidR="00F307B0" w:rsidRPr="003F4F05">
              <w:rPr>
                <w:sz w:val="26"/>
                <w:szCs w:val="26"/>
              </w:rPr>
              <w:t> </w:t>
            </w:r>
            <w:r w:rsidR="00F17EEF" w:rsidRPr="003F4F05">
              <w:rPr>
                <w:sz w:val="26"/>
                <w:szCs w:val="26"/>
              </w:rPr>
              <w:t>242</w:t>
            </w:r>
            <w:r w:rsidR="00F307B0" w:rsidRPr="003F4F05">
              <w:rPr>
                <w:sz w:val="26"/>
                <w:szCs w:val="26"/>
              </w:rPr>
              <w:t> </w:t>
            </w:r>
            <w:r w:rsidR="00F17EEF" w:rsidRPr="003F4F05">
              <w:rPr>
                <w:i/>
                <w:sz w:val="26"/>
                <w:szCs w:val="26"/>
              </w:rPr>
              <w:t>euro</w:t>
            </w:r>
            <w:r w:rsidR="00F307B0" w:rsidRPr="003F4F05">
              <w:rPr>
                <w:sz w:val="26"/>
                <w:szCs w:val="26"/>
              </w:rPr>
              <w:t>)</w:t>
            </w:r>
            <w:r w:rsidRPr="003F4F05">
              <w:rPr>
                <w:sz w:val="26"/>
                <w:szCs w:val="26"/>
              </w:rPr>
              <w:t xml:space="preserve"> un 2014.gadā </w:t>
            </w:r>
            <w:r w:rsidR="00F307B0" w:rsidRPr="003F4F05">
              <w:rPr>
                <w:sz w:val="26"/>
                <w:szCs w:val="26"/>
              </w:rPr>
              <w:t>3 510 465 lati (</w:t>
            </w:r>
            <w:r w:rsidR="00F17EEF" w:rsidRPr="003F4F05">
              <w:rPr>
                <w:sz w:val="26"/>
                <w:szCs w:val="26"/>
              </w:rPr>
              <w:t>4</w:t>
            </w:r>
            <w:r w:rsidR="00F307B0" w:rsidRPr="003F4F05">
              <w:rPr>
                <w:sz w:val="26"/>
                <w:szCs w:val="26"/>
              </w:rPr>
              <w:t> </w:t>
            </w:r>
            <w:r w:rsidR="00F17EEF" w:rsidRPr="003F4F05">
              <w:rPr>
                <w:sz w:val="26"/>
                <w:szCs w:val="26"/>
              </w:rPr>
              <w:t>994</w:t>
            </w:r>
            <w:r w:rsidR="00F307B0" w:rsidRPr="003F4F05">
              <w:rPr>
                <w:sz w:val="26"/>
                <w:szCs w:val="26"/>
              </w:rPr>
              <w:t> </w:t>
            </w:r>
            <w:r w:rsidR="00F17EEF" w:rsidRPr="003F4F05">
              <w:rPr>
                <w:sz w:val="26"/>
                <w:szCs w:val="26"/>
              </w:rPr>
              <w:t>94</w:t>
            </w:r>
            <w:r w:rsidR="00D7564B" w:rsidRPr="003F4F05">
              <w:rPr>
                <w:sz w:val="26"/>
                <w:szCs w:val="26"/>
              </w:rPr>
              <w:t>2</w:t>
            </w:r>
            <w:r w:rsidR="00F307B0" w:rsidRPr="003F4F05">
              <w:rPr>
                <w:sz w:val="26"/>
                <w:szCs w:val="26"/>
              </w:rPr>
              <w:t> </w:t>
            </w:r>
            <w:r w:rsidR="00F17EEF" w:rsidRPr="003F4F05">
              <w:rPr>
                <w:i/>
                <w:sz w:val="26"/>
                <w:szCs w:val="26"/>
              </w:rPr>
              <w:t>euro</w:t>
            </w:r>
            <w:r w:rsidR="00F307B0" w:rsidRPr="003F4F05">
              <w:rPr>
                <w:sz w:val="26"/>
                <w:szCs w:val="26"/>
              </w:rPr>
              <w:t>)</w:t>
            </w:r>
            <w:r w:rsidRPr="003F4F05">
              <w:rPr>
                <w:sz w:val="26"/>
                <w:szCs w:val="26"/>
              </w:rPr>
              <w:t>;</w:t>
            </w:r>
          </w:p>
          <w:p w:rsidR="00F17EEF" w:rsidRPr="003F4F05" w:rsidRDefault="00520E11" w:rsidP="00F307B0">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pārcelšanās izdevumu segšanai - 2014.gadā </w:t>
            </w:r>
            <w:r w:rsidR="00F307B0" w:rsidRPr="003F4F05">
              <w:rPr>
                <w:sz w:val="26"/>
                <w:szCs w:val="26"/>
              </w:rPr>
              <w:t>130 141 lats (</w:t>
            </w:r>
            <w:r w:rsidR="00F17EEF" w:rsidRPr="003F4F05">
              <w:rPr>
                <w:sz w:val="26"/>
                <w:szCs w:val="26"/>
              </w:rPr>
              <w:t>185</w:t>
            </w:r>
            <w:r w:rsidR="00F307B0" w:rsidRPr="003F4F05">
              <w:rPr>
                <w:sz w:val="26"/>
                <w:szCs w:val="26"/>
              </w:rPr>
              <w:t> </w:t>
            </w:r>
            <w:r w:rsidR="00DF459F" w:rsidRPr="003F4F05">
              <w:rPr>
                <w:sz w:val="26"/>
                <w:szCs w:val="26"/>
              </w:rPr>
              <w:t>174</w:t>
            </w:r>
            <w:r w:rsidR="00F307B0" w:rsidRPr="003F4F05">
              <w:rPr>
                <w:sz w:val="26"/>
                <w:szCs w:val="26"/>
              </w:rPr>
              <w:t> </w:t>
            </w:r>
            <w:r w:rsidR="00F17EEF" w:rsidRPr="003F4F05">
              <w:rPr>
                <w:i/>
                <w:sz w:val="26"/>
                <w:szCs w:val="26"/>
              </w:rPr>
              <w:t>euro</w:t>
            </w:r>
            <w:r w:rsidR="00F307B0" w:rsidRPr="003F4F05">
              <w:rPr>
                <w:sz w:val="26"/>
                <w:szCs w:val="26"/>
              </w:rPr>
              <w:t>)</w:t>
            </w:r>
            <w:r w:rsidRPr="003F4F05">
              <w:rPr>
                <w:sz w:val="26"/>
                <w:szCs w:val="26"/>
              </w:rPr>
              <w:t>;</w:t>
            </w:r>
          </w:p>
          <w:p w:rsidR="00520E11" w:rsidRPr="003F4F05" w:rsidRDefault="00F307B0" w:rsidP="00F307B0">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 </w:t>
            </w:r>
            <w:r w:rsidR="00520E11" w:rsidRPr="003F4F05">
              <w:rPr>
                <w:sz w:val="26"/>
                <w:szCs w:val="26"/>
              </w:rPr>
              <w:t xml:space="preserve">ar </w:t>
            </w:r>
            <w:r w:rsidR="00F17EEF" w:rsidRPr="003F4F05">
              <w:rPr>
                <w:sz w:val="26"/>
                <w:szCs w:val="26"/>
              </w:rPr>
              <w:t>VID</w:t>
            </w:r>
            <w:r w:rsidR="00520E11" w:rsidRPr="003F4F05">
              <w:rPr>
                <w:sz w:val="26"/>
                <w:szCs w:val="26"/>
              </w:rPr>
              <w:t xml:space="preserve"> nepārtrauktas darbības nodrošināšanu saistīto izdevumu segšanai </w:t>
            </w:r>
            <w:r w:rsidRPr="003F4F05">
              <w:rPr>
                <w:sz w:val="26"/>
                <w:szCs w:val="26"/>
              </w:rPr>
              <w:t>–</w:t>
            </w:r>
            <w:r w:rsidR="00520E11" w:rsidRPr="003F4F05">
              <w:rPr>
                <w:sz w:val="26"/>
                <w:szCs w:val="26"/>
              </w:rPr>
              <w:t xml:space="preserve"> 2014.gadā</w:t>
            </w:r>
            <w:r w:rsidRPr="003F4F05">
              <w:rPr>
                <w:sz w:val="26"/>
                <w:szCs w:val="26"/>
              </w:rPr>
              <w:t xml:space="preserve"> 1 549 548 lati</w:t>
            </w:r>
            <w:r w:rsidR="00520E11" w:rsidRPr="003F4F05">
              <w:rPr>
                <w:sz w:val="26"/>
                <w:szCs w:val="26"/>
              </w:rPr>
              <w:t xml:space="preserve"> </w:t>
            </w:r>
            <w:r w:rsidRPr="003F4F05">
              <w:rPr>
                <w:sz w:val="26"/>
                <w:szCs w:val="26"/>
              </w:rPr>
              <w:t>(</w:t>
            </w:r>
            <w:r w:rsidR="00F17EEF" w:rsidRPr="003F4F05">
              <w:rPr>
                <w:sz w:val="26"/>
                <w:szCs w:val="26"/>
              </w:rPr>
              <w:t>2</w:t>
            </w:r>
            <w:r w:rsidRPr="003F4F05">
              <w:rPr>
                <w:sz w:val="26"/>
                <w:szCs w:val="26"/>
              </w:rPr>
              <w:t> </w:t>
            </w:r>
            <w:r w:rsidR="00F17EEF" w:rsidRPr="003F4F05">
              <w:rPr>
                <w:sz w:val="26"/>
                <w:szCs w:val="26"/>
              </w:rPr>
              <w:t>204</w:t>
            </w:r>
            <w:r w:rsidRPr="003F4F05">
              <w:rPr>
                <w:sz w:val="26"/>
                <w:szCs w:val="26"/>
              </w:rPr>
              <w:t> </w:t>
            </w:r>
            <w:r w:rsidR="00F17EEF" w:rsidRPr="003F4F05">
              <w:rPr>
                <w:sz w:val="26"/>
                <w:szCs w:val="26"/>
              </w:rPr>
              <w:t>808</w:t>
            </w:r>
            <w:r w:rsidRPr="003F4F05">
              <w:rPr>
                <w:sz w:val="26"/>
                <w:szCs w:val="26"/>
              </w:rPr>
              <w:t> </w:t>
            </w:r>
            <w:r w:rsidR="00F17EEF" w:rsidRPr="003F4F05">
              <w:rPr>
                <w:i/>
                <w:sz w:val="26"/>
                <w:szCs w:val="26"/>
              </w:rPr>
              <w:t>euro</w:t>
            </w:r>
            <w:r w:rsidRPr="003F4F05">
              <w:rPr>
                <w:sz w:val="26"/>
                <w:szCs w:val="26"/>
              </w:rPr>
              <w:t>)</w:t>
            </w:r>
            <w:r w:rsidR="00520E11" w:rsidRPr="003F4F05">
              <w:rPr>
                <w:sz w:val="26"/>
                <w:szCs w:val="26"/>
              </w:rPr>
              <w:t>;</w:t>
            </w:r>
          </w:p>
          <w:p w:rsidR="008C57BD" w:rsidRPr="003F4F05" w:rsidRDefault="009618DE" w:rsidP="00486437">
            <w:pPr>
              <w:pStyle w:val="naiskr"/>
              <w:tabs>
                <w:tab w:val="left" w:pos="317"/>
                <w:tab w:val="left" w:pos="884"/>
              </w:tabs>
              <w:spacing w:before="0" w:beforeAutospacing="0" w:after="0" w:afterAutospacing="0"/>
              <w:ind w:right="113" w:firstLine="34"/>
              <w:jc w:val="both"/>
              <w:rPr>
                <w:sz w:val="26"/>
                <w:szCs w:val="26"/>
              </w:rPr>
            </w:pPr>
            <w:r w:rsidRPr="003F4F05">
              <w:rPr>
                <w:bCs/>
                <w:sz w:val="26"/>
                <w:szCs w:val="26"/>
              </w:rPr>
              <w:t>–</w:t>
            </w:r>
            <w:r w:rsidR="00884361" w:rsidRPr="003F4F05">
              <w:rPr>
                <w:bCs/>
                <w:sz w:val="26"/>
                <w:szCs w:val="26"/>
              </w:rPr>
              <w:t xml:space="preserve"> </w:t>
            </w:r>
            <w:r w:rsidRPr="003F4F05">
              <w:rPr>
                <w:bCs/>
                <w:sz w:val="26"/>
                <w:szCs w:val="26"/>
              </w:rPr>
              <w:t>1.3.apakšpunktu</w:t>
            </w:r>
            <w:r w:rsidR="00520E11" w:rsidRPr="003F4F05">
              <w:rPr>
                <w:bCs/>
                <w:sz w:val="26"/>
                <w:szCs w:val="26"/>
              </w:rPr>
              <w:t xml:space="preserve"> </w:t>
            </w:r>
            <w:r w:rsidR="00486437" w:rsidRPr="003F4F05">
              <w:rPr>
                <w:bCs/>
                <w:sz w:val="26"/>
                <w:szCs w:val="26"/>
              </w:rPr>
              <w:t xml:space="preserve">likumā „Par valsts budžetu 2014.gadam” FM </w:t>
            </w:r>
            <w:r w:rsidR="00486437" w:rsidRPr="003F4F05">
              <w:rPr>
                <w:bCs/>
                <w:sz w:val="26"/>
                <w:szCs w:val="26"/>
              </w:rPr>
              <w:lastRenderedPageBreak/>
              <w:t>(VID) budžeta programmā 33.00.00  „Valsts ieņēmumu un muitas politikas nodrošināšana” paredzēts finansējums</w:t>
            </w:r>
            <w:r w:rsidR="00486437" w:rsidRPr="003F4F05">
              <w:rPr>
                <w:sz w:val="26"/>
                <w:szCs w:val="26"/>
              </w:rPr>
              <w:t xml:space="preserve"> </w:t>
            </w:r>
            <w:r w:rsidR="008C57BD" w:rsidRPr="003F4F05">
              <w:rPr>
                <w:sz w:val="26"/>
                <w:szCs w:val="26"/>
              </w:rPr>
              <w:t>pamatbudžeta bāzē telpu Talejas ielā 1, Rīgā, un iekārtu uzturēšanas izdevumu segšanai:</w:t>
            </w:r>
          </w:p>
          <w:p w:rsidR="008C57BD" w:rsidRPr="003F4F05" w:rsidRDefault="008C57BD" w:rsidP="00777F1F">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komunālo pakalpojumu izdevumu segšanai – 2014.gadā </w:t>
            </w:r>
            <w:r w:rsidR="00F307B0" w:rsidRPr="003F4F05">
              <w:rPr>
                <w:sz w:val="26"/>
                <w:szCs w:val="26"/>
              </w:rPr>
              <w:t>818 044 lati (</w:t>
            </w:r>
            <w:r w:rsidR="00821E65" w:rsidRPr="003F4F05">
              <w:rPr>
                <w:sz w:val="26"/>
                <w:szCs w:val="26"/>
              </w:rPr>
              <w:t xml:space="preserve">1 163 972 </w:t>
            </w:r>
            <w:r w:rsidR="00DF5103" w:rsidRPr="003F4F05">
              <w:rPr>
                <w:i/>
                <w:sz w:val="26"/>
                <w:szCs w:val="26"/>
              </w:rPr>
              <w:t>euro</w:t>
            </w:r>
            <w:r w:rsidR="00F307B0" w:rsidRPr="003F4F05">
              <w:rPr>
                <w:sz w:val="26"/>
                <w:szCs w:val="26"/>
              </w:rPr>
              <w:t>)</w:t>
            </w:r>
            <w:r w:rsidRPr="003F4F05">
              <w:rPr>
                <w:sz w:val="26"/>
                <w:szCs w:val="26"/>
              </w:rPr>
              <w:t>, 2015.gadā un turpmāk ik gadu</w:t>
            </w:r>
            <w:r w:rsidR="00777F1F" w:rsidRPr="003F4F05">
              <w:rPr>
                <w:sz w:val="26"/>
                <w:szCs w:val="26"/>
              </w:rPr>
              <w:t xml:space="preserve"> 847 667 lati</w:t>
            </w:r>
            <w:r w:rsidRPr="003F4F05">
              <w:rPr>
                <w:sz w:val="26"/>
                <w:szCs w:val="26"/>
              </w:rPr>
              <w:t xml:space="preserve"> </w:t>
            </w:r>
            <w:r w:rsidR="00777F1F" w:rsidRPr="003F4F05">
              <w:rPr>
                <w:sz w:val="26"/>
                <w:szCs w:val="26"/>
              </w:rPr>
              <w:t>(</w:t>
            </w:r>
            <w:r w:rsidR="00821E65" w:rsidRPr="003F4F05">
              <w:rPr>
                <w:sz w:val="26"/>
                <w:szCs w:val="26"/>
              </w:rPr>
              <w:t xml:space="preserve">1 206 121 </w:t>
            </w:r>
            <w:r w:rsidR="00DF5103" w:rsidRPr="003F4F05">
              <w:rPr>
                <w:i/>
                <w:sz w:val="26"/>
                <w:szCs w:val="26"/>
              </w:rPr>
              <w:t>euro</w:t>
            </w:r>
            <w:r w:rsidR="00777F1F" w:rsidRPr="003F4F05">
              <w:rPr>
                <w:sz w:val="26"/>
                <w:szCs w:val="26"/>
              </w:rPr>
              <w:t>)</w:t>
            </w:r>
            <w:r w:rsidRPr="003F4F05">
              <w:rPr>
                <w:sz w:val="26"/>
                <w:szCs w:val="26"/>
              </w:rPr>
              <w:t>;</w:t>
            </w:r>
          </w:p>
          <w:p w:rsidR="00DF5103" w:rsidRPr="003F4F05" w:rsidRDefault="008C57BD" w:rsidP="00867957">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apsaimniekošanas izdevumu segšanai – </w:t>
            </w:r>
            <w:r w:rsidR="00DF5103" w:rsidRPr="003F4F05">
              <w:rPr>
                <w:sz w:val="26"/>
                <w:szCs w:val="26"/>
              </w:rPr>
              <w:t xml:space="preserve">2014.gadā </w:t>
            </w:r>
            <w:r w:rsidR="00867957" w:rsidRPr="003F4F05">
              <w:rPr>
                <w:sz w:val="26"/>
                <w:szCs w:val="26"/>
              </w:rPr>
              <w:t>791 920 lati (</w:t>
            </w:r>
            <w:r w:rsidR="00D7564B" w:rsidRPr="003F4F05">
              <w:rPr>
                <w:sz w:val="26"/>
                <w:szCs w:val="26"/>
              </w:rPr>
              <w:t>1 126 801 </w:t>
            </w:r>
            <w:r w:rsidR="00DF5103" w:rsidRPr="003F4F05">
              <w:rPr>
                <w:i/>
                <w:sz w:val="26"/>
                <w:szCs w:val="26"/>
              </w:rPr>
              <w:t>euro</w:t>
            </w:r>
            <w:r w:rsidR="00867957" w:rsidRPr="003F4F05">
              <w:rPr>
                <w:sz w:val="26"/>
                <w:szCs w:val="26"/>
              </w:rPr>
              <w:t>)</w:t>
            </w:r>
            <w:r w:rsidR="00DF5103" w:rsidRPr="003F4F05">
              <w:rPr>
                <w:sz w:val="26"/>
                <w:szCs w:val="26"/>
              </w:rPr>
              <w:t xml:space="preserve">, 2015.gadā un turpmāk ik gadu </w:t>
            </w:r>
            <w:r w:rsidR="00867957" w:rsidRPr="003F4F05">
              <w:rPr>
                <w:sz w:val="26"/>
                <w:szCs w:val="26"/>
              </w:rPr>
              <w:t>823 232 lati (</w:t>
            </w:r>
            <w:r w:rsidR="00D7564B" w:rsidRPr="003F4F05">
              <w:rPr>
                <w:sz w:val="26"/>
                <w:szCs w:val="26"/>
              </w:rPr>
              <w:t>1 171 354 </w:t>
            </w:r>
            <w:r w:rsidR="00DF5103" w:rsidRPr="003F4F05">
              <w:rPr>
                <w:i/>
                <w:sz w:val="26"/>
                <w:szCs w:val="26"/>
              </w:rPr>
              <w:t>euro</w:t>
            </w:r>
            <w:r w:rsidR="00867957" w:rsidRPr="003F4F05">
              <w:rPr>
                <w:sz w:val="26"/>
                <w:szCs w:val="26"/>
              </w:rPr>
              <w:t>)</w:t>
            </w:r>
            <w:r w:rsidR="00DF5103" w:rsidRPr="003F4F05">
              <w:rPr>
                <w:sz w:val="26"/>
                <w:szCs w:val="26"/>
              </w:rPr>
              <w:t>;</w:t>
            </w:r>
          </w:p>
          <w:p w:rsidR="008C57BD" w:rsidRPr="003F4F05" w:rsidRDefault="008C57BD" w:rsidP="00867957">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nekustamā īpašuma apdrošināšanas izdevumu segšanai – </w:t>
            </w:r>
            <w:r w:rsidR="00DF5103" w:rsidRPr="003F4F05">
              <w:rPr>
                <w:sz w:val="26"/>
                <w:szCs w:val="26"/>
              </w:rPr>
              <w:t xml:space="preserve">2014.gadā un turpmāk ik gadu </w:t>
            </w:r>
            <w:r w:rsidR="00867957" w:rsidRPr="003F4F05">
              <w:rPr>
                <w:sz w:val="26"/>
                <w:szCs w:val="26"/>
              </w:rPr>
              <w:t>13 483 lati (</w:t>
            </w:r>
            <w:r w:rsidR="00821E65" w:rsidRPr="003F4F05">
              <w:rPr>
                <w:sz w:val="26"/>
                <w:szCs w:val="26"/>
              </w:rPr>
              <w:t>19</w:t>
            </w:r>
            <w:r w:rsidR="00867957" w:rsidRPr="003F4F05">
              <w:rPr>
                <w:sz w:val="26"/>
                <w:szCs w:val="26"/>
              </w:rPr>
              <w:t> </w:t>
            </w:r>
            <w:r w:rsidR="00821E65" w:rsidRPr="003F4F05">
              <w:rPr>
                <w:sz w:val="26"/>
                <w:szCs w:val="26"/>
              </w:rPr>
              <w:t>185</w:t>
            </w:r>
            <w:r w:rsidR="00867957" w:rsidRPr="003F4F05">
              <w:rPr>
                <w:sz w:val="26"/>
                <w:szCs w:val="26"/>
              </w:rPr>
              <w:t> </w:t>
            </w:r>
            <w:r w:rsidR="00DF5103" w:rsidRPr="003F4F05">
              <w:rPr>
                <w:i/>
                <w:sz w:val="26"/>
                <w:szCs w:val="26"/>
              </w:rPr>
              <w:t>euro</w:t>
            </w:r>
            <w:r w:rsidR="00867957" w:rsidRPr="003F4F05">
              <w:rPr>
                <w:sz w:val="26"/>
                <w:szCs w:val="26"/>
              </w:rPr>
              <w:t>)</w:t>
            </w:r>
            <w:r w:rsidR="00DF5103" w:rsidRPr="003F4F05">
              <w:rPr>
                <w:sz w:val="26"/>
                <w:szCs w:val="26"/>
              </w:rPr>
              <w:t>;</w:t>
            </w:r>
          </w:p>
          <w:p w:rsidR="008C57BD" w:rsidRPr="003F4F05" w:rsidRDefault="008C57BD" w:rsidP="00867957">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apsardzes un ar apsardzes infrastruktūras uzturēšanu saistīto izdevumu segšanai – </w:t>
            </w:r>
            <w:r w:rsidR="00DF5103" w:rsidRPr="003F4F05">
              <w:rPr>
                <w:sz w:val="26"/>
                <w:szCs w:val="26"/>
              </w:rPr>
              <w:t xml:space="preserve">2014.gadā un turpmāk ik gadu </w:t>
            </w:r>
            <w:r w:rsidR="00867957" w:rsidRPr="003F4F05">
              <w:rPr>
                <w:sz w:val="26"/>
                <w:szCs w:val="26"/>
              </w:rPr>
              <w:t>237 160 lati (</w:t>
            </w:r>
            <w:r w:rsidR="00821E65" w:rsidRPr="003F4F05">
              <w:rPr>
                <w:sz w:val="26"/>
                <w:szCs w:val="26"/>
              </w:rPr>
              <w:t>337</w:t>
            </w:r>
            <w:r w:rsidR="00867957" w:rsidRPr="003F4F05">
              <w:rPr>
                <w:sz w:val="26"/>
                <w:szCs w:val="26"/>
              </w:rPr>
              <w:t> </w:t>
            </w:r>
            <w:r w:rsidR="00821E65" w:rsidRPr="003F4F05">
              <w:rPr>
                <w:sz w:val="26"/>
                <w:szCs w:val="26"/>
              </w:rPr>
              <w:t>448</w:t>
            </w:r>
            <w:r w:rsidR="00867957" w:rsidRPr="003F4F05">
              <w:rPr>
                <w:sz w:val="26"/>
                <w:szCs w:val="26"/>
              </w:rPr>
              <w:t> </w:t>
            </w:r>
            <w:r w:rsidR="00821E65" w:rsidRPr="003F4F05">
              <w:rPr>
                <w:i/>
                <w:sz w:val="26"/>
                <w:szCs w:val="26"/>
              </w:rPr>
              <w:t>euro</w:t>
            </w:r>
            <w:r w:rsidR="00867957" w:rsidRPr="003F4F05">
              <w:rPr>
                <w:sz w:val="26"/>
                <w:szCs w:val="26"/>
              </w:rPr>
              <w:t>)</w:t>
            </w:r>
            <w:r w:rsidRPr="003F4F05">
              <w:rPr>
                <w:sz w:val="26"/>
                <w:szCs w:val="26"/>
              </w:rPr>
              <w:t>;</w:t>
            </w:r>
          </w:p>
          <w:p w:rsidR="008C57BD" w:rsidRPr="003F4F05" w:rsidRDefault="008C57BD" w:rsidP="00867957">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ar informācijas tehnoloģiju (IT) uzturēšanu saistīto izdevumu segšanai – </w:t>
            </w:r>
            <w:r w:rsidR="00DF5103" w:rsidRPr="003F4F05">
              <w:rPr>
                <w:sz w:val="26"/>
                <w:szCs w:val="26"/>
              </w:rPr>
              <w:t xml:space="preserve">2014.gadā </w:t>
            </w:r>
            <w:r w:rsidR="00867957" w:rsidRPr="003F4F05">
              <w:rPr>
                <w:sz w:val="26"/>
                <w:szCs w:val="26"/>
              </w:rPr>
              <w:t>134 954 lati (</w:t>
            </w:r>
            <w:r w:rsidR="00821E65" w:rsidRPr="003F4F05">
              <w:rPr>
                <w:sz w:val="26"/>
                <w:szCs w:val="26"/>
              </w:rPr>
              <w:t>192</w:t>
            </w:r>
            <w:r w:rsidR="00867957" w:rsidRPr="003F4F05">
              <w:rPr>
                <w:sz w:val="26"/>
                <w:szCs w:val="26"/>
              </w:rPr>
              <w:t> </w:t>
            </w:r>
            <w:r w:rsidR="00821E65" w:rsidRPr="003F4F05">
              <w:rPr>
                <w:sz w:val="26"/>
                <w:szCs w:val="26"/>
              </w:rPr>
              <w:t>022</w:t>
            </w:r>
            <w:r w:rsidR="00867957" w:rsidRPr="003F4F05">
              <w:rPr>
                <w:sz w:val="26"/>
                <w:szCs w:val="26"/>
              </w:rPr>
              <w:t> </w:t>
            </w:r>
            <w:r w:rsidR="00DF5103" w:rsidRPr="003F4F05">
              <w:rPr>
                <w:i/>
                <w:sz w:val="26"/>
                <w:szCs w:val="26"/>
              </w:rPr>
              <w:t>euro</w:t>
            </w:r>
            <w:r w:rsidR="00867957" w:rsidRPr="003F4F05">
              <w:rPr>
                <w:sz w:val="26"/>
                <w:szCs w:val="26"/>
              </w:rPr>
              <w:t>)</w:t>
            </w:r>
            <w:r w:rsidR="00DF5103" w:rsidRPr="003F4F05">
              <w:rPr>
                <w:sz w:val="26"/>
                <w:szCs w:val="26"/>
              </w:rPr>
              <w:t xml:space="preserve">, 2015.gadā un turpmāk ik gadu </w:t>
            </w:r>
            <w:r w:rsidR="00867957" w:rsidRPr="003F4F05">
              <w:rPr>
                <w:sz w:val="26"/>
                <w:szCs w:val="26"/>
              </w:rPr>
              <w:t>110 598 lati (</w:t>
            </w:r>
            <w:r w:rsidR="00821E65" w:rsidRPr="003F4F05">
              <w:rPr>
                <w:sz w:val="26"/>
                <w:szCs w:val="26"/>
              </w:rPr>
              <w:t>157</w:t>
            </w:r>
            <w:r w:rsidR="00867957" w:rsidRPr="003F4F05">
              <w:rPr>
                <w:sz w:val="26"/>
                <w:szCs w:val="26"/>
              </w:rPr>
              <w:t> </w:t>
            </w:r>
            <w:r w:rsidR="00821E65" w:rsidRPr="003F4F05">
              <w:rPr>
                <w:sz w:val="26"/>
                <w:szCs w:val="26"/>
              </w:rPr>
              <w:t>367</w:t>
            </w:r>
            <w:r w:rsidR="00867957" w:rsidRPr="003F4F05">
              <w:rPr>
                <w:sz w:val="26"/>
                <w:szCs w:val="26"/>
              </w:rPr>
              <w:t> </w:t>
            </w:r>
            <w:r w:rsidR="00DF5103" w:rsidRPr="003F4F05">
              <w:rPr>
                <w:i/>
                <w:sz w:val="26"/>
                <w:szCs w:val="26"/>
              </w:rPr>
              <w:t>euro</w:t>
            </w:r>
            <w:r w:rsidR="00867957" w:rsidRPr="003F4F05">
              <w:rPr>
                <w:sz w:val="26"/>
                <w:szCs w:val="26"/>
              </w:rPr>
              <w:t>)</w:t>
            </w:r>
            <w:r w:rsidRPr="003F4F05">
              <w:rPr>
                <w:sz w:val="26"/>
                <w:szCs w:val="26"/>
              </w:rPr>
              <w:t>;</w:t>
            </w:r>
          </w:p>
          <w:p w:rsidR="008C57BD" w:rsidRPr="003F4F05" w:rsidRDefault="008C57BD" w:rsidP="00867957">
            <w:pPr>
              <w:pStyle w:val="BodyText"/>
              <w:numPr>
                <w:ilvl w:val="0"/>
                <w:numId w:val="9"/>
              </w:numPr>
              <w:tabs>
                <w:tab w:val="left" w:pos="742"/>
              </w:tabs>
              <w:spacing w:after="0"/>
              <w:ind w:left="459" w:firstLine="0"/>
              <w:contextualSpacing/>
              <w:jc w:val="both"/>
              <w:rPr>
                <w:sz w:val="26"/>
                <w:szCs w:val="26"/>
              </w:rPr>
            </w:pPr>
            <w:r w:rsidRPr="003F4F05">
              <w:rPr>
                <w:sz w:val="26"/>
                <w:szCs w:val="26"/>
              </w:rPr>
              <w:t xml:space="preserve">uzkrājumiem izdevumu plānotajiem kārtējiem remontiem segšanai – 2016.gadā un turpmāk ik gadu </w:t>
            </w:r>
            <w:r w:rsidR="00867957" w:rsidRPr="003F4F05">
              <w:rPr>
                <w:sz w:val="26"/>
                <w:szCs w:val="26"/>
              </w:rPr>
              <w:t>67 895 lati (</w:t>
            </w:r>
            <w:r w:rsidR="00821E65" w:rsidRPr="003F4F05">
              <w:rPr>
                <w:sz w:val="26"/>
                <w:szCs w:val="26"/>
              </w:rPr>
              <w:t>96</w:t>
            </w:r>
            <w:r w:rsidR="00867957" w:rsidRPr="003F4F05">
              <w:rPr>
                <w:sz w:val="26"/>
                <w:szCs w:val="26"/>
              </w:rPr>
              <w:t> </w:t>
            </w:r>
            <w:r w:rsidR="00821E65" w:rsidRPr="003F4F05">
              <w:rPr>
                <w:sz w:val="26"/>
                <w:szCs w:val="26"/>
              </w:rPr>
              <w:t>606</w:t>
            </w:r>
            <w:r w:rsidR="00867957" w:rsidRPr="003F4F05">
              <w:rPr>
                <w:sz w:val="26"/>
                <w:szCs w:val="26"/>
              </w:rPr>
              <w:t> </w:t>
            </w:r>
            <w:r w:rsidR="00DF5103" w:rsidRPr="003F4F05">
              <w:rPr>
                <w:i/>
                <w:sz w:val="26"/>
                <w:szCs w:val="26"/>
              </w:rPr>
              <w:t>euro</w:t>
            </w:r>
            <w:r w:rsidR="00867957" w:rsidRPr="003F4F05">
              <w:rPr>
                <w:sz w:val="26"/>
                <w:szCs w:val="26"/>
              </w:rPr>
              <w:t>)</w:t>
            </w:r>
            <w:r w:rsidR="00841A98" w:rsidRPr="003F4F05">
              <w:rPr>
                <w:sz w:val="26"/>
                <w:szCs w:val="26"/>
              </w:rPr>
              <w:t>.</w:t>
            </w:r>
          </w:p>
          <w:p w:rsidR="0008444E" w:rsidRPr="003F4F05" w:rsidRDefault="0008444E" w:rsidP="0008444E">
            <w:pPr>
              <w:spacing w:before="120" w:after="120"/>
              <w:jc w:val="both"/>
              <w:rPr>
                <w:bCs/>
                <w:sz w:val="26"/>
                <w:szCs w:val="26"/>
                <w:lang w:eastAsia="lv-LV"/>
              </w:rPr>
            </w:pPr>
            <w:r w:rsidRPr="003F4F05">
              <w:rPr>
                <w:bCs/>
                <w:sz w:val="26"/>
                <w:szCs w:val="26"/>
                <w:lang w:eastAsia="lv-LV"/>
              </w:rPr>
              <w:t>Būvobjekts „Latvijas Republikas Valsts ieņēmumu dienesta admin</w:t>
            </w:r>
            <w:r w:rsidR="00F1017A" w:rsidRPr="003F4F05">
              <w:rPr>
                <w:bCs/>
                <w:sz w:val="26"/>
                <w:szCs w:val="26"/>
                <w:lang w:eastAsia="lv-LV"/>
              </w:rPr>
              <w:t>istratīvo ēku komplekss</w:t>
            </w:r>
            <w:r w:rsidRPr="003F4F05">
              <w:rPr>
                <w:bCs/>
                <w:sz w:val="26"/>
                <w:szCs w:val="26"/>
                <w:lang w:eastAsia="lv-LV"/>
              </w:rPr>
              <w:t xml:space="preserve"> Rīgā, Talejas ielā 1 (2.kārta)”</w:t>
            </w:r>
            <w:r w:rsidR="00731368" w:rsidRPr="003F4F05">
              <w:rPr>
                <w:bCs/>
                <w:sz w:val="26"/>
                <w:szCs w:val="26"/>
                <w:lang w:eastAsia="lv-LV"/>
              </w:rPr>
              <w:t xml:space="preserve"> </w:t>
            </w:r>
            <w:r w:rsidRPr="003F4F05">
              <w:rPr>
                <w:bCs/>
                <w:sz w:val="26"/>
                <w:szCs w:val="26"/>
                <w:lang w:eastAsia="lv-LV"/>
              </w:rPr>
              <w:t>tika nodots ekspluatācijā 2014.gada 17.aprīlī</w:t>
            </w:r>
            <w:r w:rsidR="008C6EC8">
              <w:rPr>
                <w:bCs/>
                <w:sz w:val="26"/>
                <w:szCs w:val="26"/>
                <w:lang w:eastAsia="lv-LV"/>
              </w:rPr>
              <w:t xml:space="preserve">, kā rezultātā </w:t>
            </w:r>
            <w:r w:rsidR="008C6EC8" w:rsidRPr="003F4F05">
              <w:rPr>
                <w:bCs/>
                <w:sz w:val="26"/>
                <w:szCs w:val="26"/>
              </w:rPr>
              <w:t xml:space="preserve">2014.gada 30.aprīlī starp VNĪ un VID </w:t>
            </w:r>
            <w:r w:rsidR="008C6EC8">
              <w:rPr>
                <w:bCs/>
                <w:sz w:val="26"/>
                <w:szCs w:val="26"/>
              </w:rPr>
              <w:t xml:space="preserve">tik </w:t>
            </w:r>
            <w:r w:rsidR="008C6EC8" w:rsidRPr="003F4F05">
              <w:rPr>
                <w:bCs/>
                <w:sz w:val="26"/>
                <w:szCs w:val="26"/>
              </w:rPr>
              <w:t>noslēgts Apakšnomas līgums</w:t>
            </w:r>
            <w:r w:rsidRPr="003F4F05">
              <w:rPr>
                <w:bCs/>
                <w:sz w:val="26"/>
                <w:szCs w:val="26"/>
                <w:lang w:eastAsia="lv-LV"/>
              </w:rPr>
              <w:t>.</w:t>
            </w:r>
          </w:p>
          <w:p w:rsidR="008B076D" w:rsidRPr="003F4F05" w:rsidRDefault="00D23C2E" w:rsidP="00D31F15">
            <w:pPr>
              <w:pStyle w:val="naiskr"/>
              <w:tabs>
                <w:tab w:val="left" w:pos="366"/>
              </w:tabs>
              <w:spacing w:before="120" w:beforeAutospacing="0" w:after="120" w:afterAutospacing="0"/>
              <w:ind w:right="140"/>
              <w:jc w:val="both"/>
              <w:rPr>
                <w:bCs/>
                <w:sz w:val="26"/>
                <w:szCs w:val="26"/>
              </w:rPr>
            </w:pPr>
            <w:r w:rsidRPr="003F4F05">
              <w:rPr>
                <w:bCs/>
                <w:sz w:val="26"/>
                <w:szCs w:val="26"/>
              </w:rPr>
              <w:t xml:space="preserve">VID darbības nepārtrauktai nodrošināšanai </w:t>
            </w:r>
            <w:r w:rsidR="00262B98" w:rsidRPr="003F4F05">
              <w:rPr>
                <w:bCs/>
                <w:sz w:val="26"/>
                <w:szCs w:val="26"/>
              </w:rPr>
              <w:t>VID struktūrvienību pārcelšan</w:t>
            </w:r>
            <w:r w:rsidR="00731368" w:rsidRPr="003F4F05">
              <w:rPr>
                <w:bCs/>
                <w:sz w:val="26"/>
                <w:szCs w:val="26"/>
              </w:rPr>
              <w:t>o</w:t>
            </w:r>
            <w:r w:rsidR="00262B98" w:rsidRPr="003F4F05">
              <w:rPr>
                <w:bCs/>
                <w:sz w:val="26"/>
                <w:szCs w:val="26"/>
              </w:rPr>
              <w:t xml:space="preserve">s uz </w:t>
            </w:r>
            <w:r w:rsidR="00A11969" w:rsidRPr="003F4F05">
              <w:rPr>
                <w:bCs/>
                <w:sz w:val="26"/>
                <w:szCs w:val="26"/>
              </w:rPr>
              <w:t xml:space="preserve">administratīvo </w:t>
            </w:r>
            <w:r w:rsidR="00EF4C4F" w:rsidRPr="003F4F05">
              <w:rPr>
                <w:bCs/>
                <w:sz w:val="26"/>
                <w:szCs w:val="26"/>
              </w:rPr>
              <w:t>ēku Talejas ielā 1, Rīgā</w:t>
            </w:r>
            <w:r w:rsidR="00262B98" w:rsidRPr="003F4F05">
              <w:rPr>
                <w:bCs/>
                <w:sz w:val="26"/>
                <w:szCs w:val="26"/>
              </w:rPr>
              <w:t>,</w:t>
            </w:r>
            <w:r w:rsidR="00EF4C4F" w:rsidRPr="003F4F05">
              <w:rPr>
                <w:bCs/>
                <w:sz w:val="26"/>
                <w:szCs w:val="26"/>
              </w:rPr>
              <w:t xml:space="preserve"> tika plānots veikt pakāpeniski</w:t>
            </w:r>
            <w:r w:rsidRPr="003F4F05">
              <w:rPr>
                <w:bCs/>
                <w:sz w:val="26"/>
                <w:szCs w:val="26"/>
              </w:rPr>
              <w:t>.</w:t>
            </w:r>
            <w:r w:rsidR="00541AFA" w:rsidRPr="003F4F05">
              <w:rPr>
                <w:bCs/>
                <w:sz w:val="26"/>
                <w:szCs w:val="26"/>
              </w:rPr>
              <w:t xml:space="preserve"> </w:t>
            </w:r>
            <w:r w:rsidRPr="003F4F05">
              <w:rPr>
                <w:bCs/>
                <w:sz w:val="26"/>
                <w:szCs w:val="26"/>
              </w:rPr>
              <w:t>Līdz ar to</w:t>
            </w:r>
            <w:r w:rsidR="00262B98" w:rsidRPr="003F4F05">
              <w:rPr>
                <w:bCs/>
                <w:sz w:val="26"/>
                <w:szCs w:val="26"/>
              </w:rPr>
              <w:t xml:space="preserve"> </w:t>
            </w:r>
            <w:r w:rsidR="00EF4C4F" w:rsidRPr="003F4F05">
              <w:rPr>
                <w:bCs/>
                <w:sz w:val="26"/>
                <w:szCs w:val="26"/>
              </w:rPr>
              <w:t>MK rīkojumā Nr.411 finansējums</w:t>
            </w:r>
            <w:r w:rsidR="007D2E25" w:rsidRPr="003F4F05">
              <w:rPr>
                <w:bCs/>
                <w:sz w:val="26"/>
                <w:szCs w:val="26"/>
              </w:rPr>
              <w:t xml:space="preserve"> </w:t>
            </w:r>
            <w:r w:rsidRPr="003F4F05">
              <w:rPr>
                <w:bCs/>
                <w:sz w:val="26"/>
                <w:szCs w:val="26"/>
              </w:rPr>
              <w:t xml:space="preserve">VID </w:t>
            </w:r>
            <w:r w:rsidR="00262B98" w:rsidRPr="003F4F05">
              <w:rPr>
                <w:bCs/>
                <w:sz w:val="26"/>
                <w:szCs w:val="26"/>
              </w:rPr>
              <w:t xml:space="preserve">telpu nomas maksas </w:t>
            </w:r>
            <w:r w:rsidR="00CF4543" w:rsidRPr="003F4F05">
              <w:rPr>
                <w:bCs/>
                <w:sz w:val="26"/>
                <w:szCs w:val="26"/>
              </w:rPr>
              <w:t xml:space="preserve">un uzturēšanas </w:t>
            </w:r>
            <w:r w:rsidR="00262B98" w:rsidRPr="003F4F05">
              <w:rPr>
                <w:bCs/>
                <w:sz w:val="26"/>
                <w:szCs w:val="26"/>
              </w:rPr>
              <w:t xml:space="preserve">izdevumu segšanai </w:t>
            </w:r>
            <w:r w:rsidR="00EF4C4F" w:rsidRPr="003F4F05">
              <w:rPr>
                <w:bCs/>
                <w:sz w:val="26"/>
                <w:szCs w:val="26"/>
              </w:rPr>
              <w:t>2014.gadā tika plānots</w:t>
            </w:r>
            <w:r w:rsidR="00262B98" w:rsidRPr="003F4F05">
              <w:rPr>
                <w:bCs/>
                <w:sz w:val="26"/>
                <w:szCs w:val="26"/>
              </w:rPr>
              <w:t xml:space="preserve"> vienlaikus gan par </w:t>
            </w:r>
            <w:r w:rsidR="00486437" w:rsidRPr="003F4F05">
              <w:rPr>
                <w:bCs/>
                <w:sz w:val="26"/>
                <w:szCs w:val="26"/>
              </w:rPr>
              <w:t>telpām, kuras izmantoja VID struktūrvienības līdz to pārvietošanai uz telpām Talejas ielā 1, Rīg</w:t>
            </w:r>
            <w:r w:rsidR="009345C4" w:rsidRPr="003F4F05">
              <w:rPr>
                <w:bCs/>
                <w:sz w:val="26"/>
                <w:szCs w:val="26"/>
              </w:rPr>
              <w:t>ā</w:t>
            </w:r>
            <w:r w:rsidR="00262B98" w:rsidRPr="003F4F05">
              <w:rPr>
                <w:bCs/>
                <w:sz w:val="26"/>
                <w:szCs w:val="26"/>
              </w:rPr>
              <w:t>, gan par jaunajām</w:t>
            </w:r>
            <w:r w:rsidR="006D38DD" w:rsidRPr="003F4F05">
              <w:rPr>
                <w:bCs/>
                <w:sz w:val="26"/>
                <w:szCs w:val="26"/>
              </w:rPr>
              <w:t xml:space="preserve"> telpām</w:t>
            </w:r>
            <w:r w:rsidR="00486437" w:rsidRPr="003F4F05">
              <w:rPr>
                <w:bCs/>
                <w:sz w:val="26"/>
                <w:szCs w:val="26"/>
              </w:rPr>
              <w:t xml:space="preserve"> Talejas ielā 1, Rīgā</w:t>
            </w:r>
            <w:r w:rsidR="00262B98" w:rsidRPr="003F4F05">
              <w:rPr>
                <w:bCs/>
                <w:sz w:val="26"/>
                <w:szCs w:val="26"/>
              </w:rPr>
              <w:t xml:space="preserve">. </w:t>
            </w:r>
            <w:r w:rsidR="00D31F15" w:rsidRPr="003F4F05">
              <w:rPr>
                <w:bCs/>
                <w:sz w:val="26"/>
                <w:szCs w:val="26"/>
              </w:rPr>
              <w:t xml:space="preserve"> Ar VID nepārtrauktas darbības nodrošināšanu saistīto izdevumu segšanai 2014.gadā tika plānot</w:t>
            </w:r>
            <w:r w:rsidR="00CF4543" w:rsidRPr="003F4F05">
              <w:rPr>
                <w:bCs/>
                <w:sz w:val="26"/>
                <w:szCs w:val="26"/>
              </w:rPr>
              <w:t>s finansējums</w:t>
            </w:r>
            <w:r w:rsidR="00D31F15" w:rsidRPr="003F4F05">
              <w:rPr>
                <w:bCs/>
                <w:sz w:val="26"/>
                <w:szCs w:val="26"/>
              </w:rPr>
              <w:t xml:space="preserve"> </w:t>
            </w:r>
            <w:r w:rsidR="00162FA0" w:rsidRPr="003F4F05">
              <w:rPr>
                <w:bCs/>
                <w:sz w:val="26"/>
                <w:szCs w:val="26"/>
              </w:rPr>
              <w:t>2</w:t>
            </w:r>
            <w:r w:rsidR="00867957" w:rsidRPr="003F4F05">
              <w:rPr>
                <w:bCs/>
                <w:sz w:val="26"/>
                <w:szCs w:val="26"/>
              </w:rPr>
              <w:t> </w:t>
            </w:r>
            <w:r w:rsidR="00D31F15" w:rsidRPr="003F4F05">
              <w:rPr>
                <w:bCs/>
                <w:sz w:val="26"/>
                <w:szCs w:val="26"/>
              </w:rPr>
              <w:t>204</w:t>
            </w:r>
            <w:r w:rsidR="00867957" w:rsidRPr="003F4F05">
              <w:rPr>
                <w:bCs/>
                <w:sz w:val="26"/>
                <w:szCs w:val="26"/>
              </w:rPr>
              <w:t> </w:t>
            </w:r>
            <w:r w:rsidR="00D31F15" w:rsidRPr="003F4F05">
              <w:rPr>
                <w:bCs/>
                <w:sz w:val="26"/>
                <w:szCs w:val="26"/>
              </w:rPr>
              <w:t>808</w:t>
            </w:r>
            <w:r w:rsidR="00867957" w:rsidRPr="003F4F05">
              <w:rPr>
                <w:bCs/>
                <w:sz w:val="26"/>
                <w:szCs w:val="26"/>
              </w:rPr>
              <w:t> </w:t>
            </w:r>
            <w:r w:rsidR="00D31F15" w:rsidRPr="003F4F05">
              <w:rPr>
                <w:bCs/>
                <w:i/>
                <w:sz w:val="26"/>
                <w:szCs w:val="26"/>
              </w:rPr>
              <w:t>euro</w:t>
            </w:r>
            <w:r w:rsidR="00A11969" w:rsidRPr="003F4F05">
              <w:rPr>
                <w:bCs/>
                <w:sz w:val="26"/>
                <w:szCs w:val="26"/>
              </w:rPr>
              <w:t xml:space="preserve"> (</w:t>
            </w:r>
            <w:r w:rsidR="00A11969" w:rsidRPr="003F4F05">
              <w:rPr>
                <w:sz w:val="26"/>
                <w:szCs w:val="26"/>
              </w:rPr>
              <w:t>1</w:t>
            </w:r>
            <w:r w:rsidR="00867957" w:rsidRPr="003F4F05">
              <w:rPr>
                <w:sz w:val="26"/>
                <w:szCs w:val="26"/>
              </w:rPr>
              <w:t> </w:t>
            </w:r>
            <w:r w:rsidR="00A11969" w:rsidRPr="003F4F05">
              <w:rPr>
                <w:sz w:val="26"/>
                <w:szCs w:val="26"/>
              </w:rPr>
              <w:t>549</w:t>
            </w:r>
            <w:r w:rsidR="00867957" w:rsidRPr="003F4F05">
              <w:rPr>
                <w:sz w:val="26"/>
                <w:szCs w:val="26"/>
              </w:rPr>
              <w:t> </w:t>
            </w:r>
            <w:r w:rsidR="00A11969" w:rsidRPr="003F4F05">
              <w:rPr>
                <w:sz w:val="26"/>
                <w:szCs w:val="26"/>
              </w:rPr>
              <w:t>548</w:t>
            </w:r>
            <w:r w:rsidR="00867957" w:rsidRPr="003F4F05">
              <w:rPr>
                <w:sz w:val="26"/>
                <w:szCs w:val="26"/>
              </w:rPr>
              <w:t> </w:t>
            </w:r>
            <w:r w:rsidR="00A11969" w:rsidRPr="003F4F05">
              <w:rPr>
                <w:sz w:val="26"/>
                <w:szCs w:val="26"/>
              </w:rPr>
              <w:t>lati)</w:t>
            </w:r>
            <w:r w:rsidR="00D31F15" w:rsidRPr="003F4F05">
              <w:rPr>
                <w:bCs/>
                <w:sz w:val="26"/>
                <w:szCs w:val="26"/>
              </w:rPr>
              <w:t xml:space="preserve">, bet </w:t>
            </w:r>
            <w:r w:rsidR="00BF7256" w:rsidRPr="003F4F05">
              <w:rPr>
                <w:bCs/>
                <w:sz w:val="26"/>
                <w:szCs w:val="26"/>
              </w:rPr>
              <w:t xml:space="preserve">precizētais nepieciešamā finansējuma apmērs ir </w:t>
            </w:r>
            <w:r w:rsidR="00D31F15" w:rsidRPr="003F4F05">
              <w:rPr>
                <w:bCs/>
                <w:sz w:val="26"/>
                <w:szCs w:val="26"/>
              </w:rPr>
              <w:t>3</w:t>
            </w:r>
            <w:r w:rsidR="00867957" w:rsidRPr="003F4F05">
              <w:rPr>
                <w:bCs/>
                <w:sz w:val="26"/>
                <w:szCs w:val="26"/>
              </w:rPr>
              <w:t> </w:t>
            </w:r>
            <w:r w:rsidR="00D31F15" w:rsidRPr="003F4F05">
              <w:rPr>
                <w:bCs/>
                <w:sz w:val="26"/>
                <w:szCs w:val="26"/>
              </w:rPr>
              <w:t>313</w:t>
            </w:r>
            <w:r w:rsidR="00867957" w:rsidRPr="003F4F05">
              <w:rPr>
                <w:bCs/>
                <w:sz w:val="26"/>
                <w:szCs w:val="26"/>
              </w:rPr>
              <w:t> </w:t>
            </w:r>
            <w:r w:rsidR="00D31F15" w:rsidRPr="003F4F05">
              <w:rPr>
                <w:bCs/>
                <w:sz w:val="26"/>
                <w:szCs w:val="26"/>
              </w:rPr>
              <w:t>407</w:t>
            </w:r>
            <w:r w:rsidR="00867957" w:rsidRPr="003F4F05">
              <w:rPr>
                <w:bCs/>
                <w:sz w:val="26"/>
                <w:szCs w:val="26"/>
              </w:rPr>
              <w:t> </w:t>
            </w:r>
            <w:r w:rsidR="00D31F15" w:rsidRPr="003F4F05">
              <w:rPr>
                <w:bCs/>
                <w:i/>
                <w:sz w:val="26"/>
                <w:szCs w:val="26"/>
              </w:rPr>
              <w:t>euro.</w:t>
            </w:r>
            <w:r w:rsidR="00D31F15" w:rsidRPr="003F4F05">
              <w:rPr>
                <w:sz w:val="26"/>
                <w:szCs w:val="26"/>
              </w:rPr>
              <w:t xml:space="preserve"> </w:t>
            </w:r>
            <w:r w:rsidR="00D31F15" w:rsidRPr="003F4F05">
              <w:rPr>
                <w:bCs/>
                <w:sz w:val="26"/>
                <w:szCs w:val="26"/>
              </w:rPr>
              <w:t xml:space="preserve">Ņemot vērā to, ka Būvobjekts tika nodots ekspluatācijā vēlāk nekā sākotnēji plānots un Apakšnomas līgums starp VNĪ un VID noslēgts 2014.gada 30.aprīlī, VID struktūrvienību darbības nodrošināšanai bija nepieciešams ilgāk </w:t>
            </w:r>
            <w:r w:rsidR="00162FA0" w:rsidRPr="003F4F05">
              <w:rPr>
                <w:bCs/>
                <w:sz w:val="26"/>
                <w:szCs w:val="26"/>
              </w:rPr>
              <w:t xml:space="preserve">uzturēt </w:t>
            </w:r>
            <w:r w:rsidR="00D31F15" w:rsidRPr="003F4F05">
              <w:rPr>
                <w:bCs/>
                <w:sz w:val="26"/>
                <w:szCs w:val="26"/>
              </w:rPr>
              <w:t xml:space="preserve">telpas 14 nekustamajos īpašumos. To </w:t>
            </w:r>
            <w:r w:rsidR="00162FA0" w:rsidRPr="003F4F05">
              <w:rPr>
                <w:bCs/>
                <w:sz w:val="26"/>
                <w:szCs w:val="26"/>
              </w:rPr>
              <w:t>uzturēšanai</w:t>
            </w:r>
            <w:r w:rsidR="00D31F15" w:rsidRPr="003F4F05">
              <w:rPr>
                <w:bCs/>
                <w:sz w:val="26"/>
                <w:szCs w:val="26"/>
              </w:rPr>
              <w:t xml:space="preserve"> nepieciešamais finansējums tika nodrošināts no </w:t>
            </w:r>
            <w:r w:rsidR="00F04C3E" w:rsidRPr="003F4F05">
              <w:rPr>
                <w:bCs/>
                <w:sz w:val="26"/>
                <w:szCs w:val="26"/>
              </w:rPr>
              <w:t xml:space="preserve">administratīvās ēkas Talejas ielā 1, Rīgā, telpu uzturēšanas (komunālie maksājumi un apsaimniekošanas izdevumi, tai skaitā apdrošināšana un nekustamā īpašuma nodoklis) un apsardzes un ar apsardzes infrastruktūras (apsardzes signalizācijas, novērošanas iekārtu u.c. veida infrastruktūras) uzturēšanu saistīto </w:t>
            </w:r>
            <w:r w:rsidR="00F04C3E" w:rsidRPr="003F4F05">
              <w:rPr>
                <w:bCs/>
                <w:sz w:val="26"/>
                <w:szCs w:val="26"/>
              </w:rPr>
              <w:lastRenderedPageBreak/>
              <w:t xml:space="preserve">izdevumu segšanai </w:t>
            </w:r>
            <w:r w:rsidR="00D31F15" w:rsidRPr="003F4F05">
              <w:rPr>
                <w:bCs/>
                <w:sz w:val="26"/>
                <w:szCs w:val="26"/>
              </w:rPr>
              <w:t>piešķirtā finansējuma.</w:t>
            </w:r>
          </w:p>
          <w:p w:rsidR="001A078B" w:rsidRPr="003F4F05" w:rsidRDefault="00CF4543" w:rsidP="00501007">
            <w:pPr>
              <w:pStyle w:val="naiskr"/>
              <w:tabs>
                <w:tab w:val="left" w:pos="0"/>
              </w:tabs>
              <w:spacing w:before="120" w:beforeAutospacing="0" w:after="120" w:afterAutospacing="0"/>
              <w:ind w:right="140"/>
              <w:jc w:val="both"/>
              <w:rPr>
                <w:bCs/>
                <w:i/>
                <w:sz w:val="26"/>
                <w:szCs w:val="26"/>
              </w:rPr>
            </w:pPr>
            <w:r w:rsidRPr="003F4F05">
              <w:rPr>
                <w:bCs/>
                <w:sz w:val="26"/>
                <w:szCs w:val="26"/>
              </w:rPr>
              <w:t>A</w:t>
            </w:r>
            <w:r w:rsidR="00D31F15" w:rsidRPr="003F4F05">
              <w:rPr>
                <w:bCs/>
                <w:sz w:val="26"/>
                <w:szCs w:val="26"/>
              </w:rPr>
              <w:t xml:space="preserve">prīkojuma (piemēram, mēbeles, iekārtas, tehniskais aprīkojums) iegādes un ar to saistīto izdevumu segšanai </w:t>
            </w:r>
            <w:r w:rsidRPr="003F4F05">
              <w:rPr>
                <w:bCs/>
                <w:sz w:val="26"/>
                <w:szCs w:val="26"/>
              </w:rPr>
              <w:t xml:space="preserve">VID finansējums 2014.gadā tika plānots </w:t>
            </w:r>
            <w:r w:rsidR="00D31F15" w:rsidRPr="003F4F05">
              <w:rPr>
                <w:bCs/>
                <w:sz w:val="26"/>
                <w:szCs w:val="26"/>
              </w:rPr>
              <w:t>4</w:t>
            </w:r>
            <w:r w:rsidR="00867957" w:rsidRPr="003F4F05">
              <w:rPr>
                <w:bCs/>
                <w:sz w:val="26"/>
                <w:szCs w:val="26"/>
              </w:rPr>
              <w:t> </w:t>
            </w:r>
            <w:r w:rsidR="00D31F15" w:rsidRPr="003F4F05">
              <w:rPr>
                <w:bCs/>
                <w:sz w:val="26"/>
                <w:szCs w:val="26"/>
              </w:rPr>
              <w:t>994</w:t>
            </w:r>
            <w:r w:rsidR="00867957" w:rsidRPr="003F4F05">
              <w:rPr>
                <w:bCs/>
                <w:sz w:val="26"/>
                <w:szCs w:val="26"/>
              </w:rPr>
              <w:t> </w:t>
            </w:r>
            <w:r w:rsidR="00D31F15" w:rsidRPr="003F4F05">
              <w:rPr>
                <w:bCs/>
                <w:sz w:val="26"/>
                <w:szCs w:val="26"/>
              </w:rPr>
              <w:t>94</w:t>
            </w:r>
            <w:r w:rsidR="003F4F05" w:rsidRPr="003F4F05">
              <w:rPr>
                <w:bCs/>
                <w:sz w:val="26"/>
                <w:szCs w:val="26"/>
              </w:rPr>
              <w:t>2</w:t>
            </w:r>
            <w:r w:rsidR="00867957" w:rsidRPr="003F4F05">
              <w:rPr>
                <w:bCs/>
                <w:sz w:val="26"/>
                <w:szCs w:val="26"/>
              </w:rPr>
              <w:t> </w:t>
            </w:r>
            <w:r w:rsidR="00D31F15" w:rsidRPr="003F4F05">
              <w:rPr>
                <w:bCs/>
                <w:i/>
                <w:sz w:val="26"/>
                <w:szCs w:val="26"/>
              </w:rPr>
              <w:t>euro</w:t>
            </w:r>
            <w:r w:rsidR="00A11969" w:rsidRPr="003F4F05">
              <w:rPr>
                <w:bCs/>
                <w:sz w:val="26"/>
                <w:szCs w:val="26"/>
              </w:rPr>
              <w:t xml:space="preserve"> (</w:t>
            </w:r>
            <w:r w:rsidR="00A11969" w:rsidRPr="003F4F05">
              <w:rPr>
                <w:sz w:val="26"/>
                <w:szCs w:val="26"/>
              </w:rPr>
              <w:t>3</w:t>
            </w:r>
            <w:r w:rsidR="00867957" w:rsidRPr="003F4F05">
              <w:rPr>
                <w:sz w:val="26"/>
                <w:szCs w:val="26"/>
              </w:rPr>
              <w:t> </w:t>
            </w:r>
            <w:r w:rsidR="00A11969" w:rsidRPr="003F4F05">
              <w:rPr>
                <w:sz w:val="26"/>
                <w:szCs w:val="26"/>
              </w:rPr>
              <w:t>510</w:t>
            </w:r>
            <w:r w:rsidR="00867957" w:rsidRPr="003F4F05">
              <w:rPr>
                <w:sz w:val="26"/>
                <w:szCs w:val="26"/>
              </w:rPr>
              <w:t> </w:t>
            </w:r>
            <w:r w:rsidR="00A11969" w:rsidRPr="003F4F05">
              <w:rPr>
                <w:sz w:val="26"/>
                <w:szCs w:val="26"/>
              </w:rPr>
              <w:t>465</w:t>
            </w:r>
            <w:r w:rsidR="00867957" w:rsidRPr="003F4F05">
              <w:rPr>
                <w:sz w:val="26"/>
                <w:szCs w:val="26"/>
              </w:rPr>
              <w:t> </w:t>
            </w:r>
            <w:r w:rsidR="00A11969" w:rsidRPr="003F4F05">
              <w:rPr>
                <w:sz w:val="26"/>
                <w:szCs w:val="26"/>
              </w:rPr>
              <w:t>lati)</w:t>
            </w:r>
            <w:r w:rsidR="00D31F15" w:rsidRPr="003F4F05">
              <w:rPr>
                <w:bCs/>
                <w:sz w:val="26"/>
                <w:szCs w:val="26"/>
              </w:rPr>
              <w:t xml:space="preserve">, bet </w:t>
            </w:r>
            <w:r w:rsidR="0026458C" w:rsidRPr="003F4F05">
              <w:rPr>
                <w:bCs/>
                <w:sz w:val="26"/>
                <w:szCs w:val="26"/>
              </w:rPr>
              <w:t xml:space="preserve">ņemot vērā to, ka iepirkuma rezultātā mēbeles tika iegādātas par zemāku cenu nekā sākotnēji tika plānots, </w:t>
            </w:r>
            <w:r w:rsidR="00BF7256" w:rsidRPr="003F4F05">
              <w:rPr>
                <w:bCs/>
                <w:sz w:val="26"/>
                <w:szCs w:val="26"/>
              </w:rPr>
              <w:t xml:space="preserve">precizētais nepieciešamā finansējuma apmērs ir </w:t>
            </w:r>
            <w:r w:rsidR="00BB67FD" w:rsidRPr="003F4F05">
              <w:rPr>
                <w:bCs/>
                <w:sz w:val="26"/>
                <w:szCs w:val="26"/>
              </w:rPr>
              <w:t>3</w:t>
            </w:r>
            <w:r w:rsidR="00867957" w:rsidRPr="003F4F05">
              <w:rPr>
                <w:bCs/>
                <w:sz w:val="26"/>
                <w:szCs w:val="26"/>
              </w:rPr>
              <w:t> </w:t>
            </w:r>
            <w:r w:rsidR="00BB67FD" w:rsidRPr="003F4F05">
              <w:rPr>
                <w:bCs/>
                <w:sz w:val="26"/>
                <w:szCs w:val="26"/>
              </w:rPr>
              <w:t>383</w:t>
            </w:r>
            <w:r w:rsidR="00867957" w:rsidRPr="003F4F05">
              <w:rPr>
                <w:bCs/>
                <w:sz w:val="26"/>
                <w:szCs w:val="26"/>
              </w:rPr>
              <w:t> </w:t>
            </w:r>
            <w:r w:rsidR="00BB67FD" w:rsidRPr="003F4F05">
              <w:rPr>
                <w:bCs/>
                <w:sz w:val="26"/>
                <w:szCs w:val="26"/>
              </w:rPr>
              <w:t>30</w:t>
            </w:r>
            <w:r w:rsidR="00F21CB4">
              <w:rPr>
                <w:bCs/>
                <w:sz w:val="26"/>
                <w:szCs w:val="26"/>
              </w:rPr>
              <w:t>4</w:t>
            </w:r>
            <w:r w:rsidR="00867957" w:rsidRPr="003F4F05">
              <w:rPr>
                <w:bCs/>
                <w:sz w:val="26"/>
                <w:szCs w:val="26"/>
              </w:rPr>
              <w:t> </w:t>
            </w:r>
            <w:r w:rsidR="00D31F15" w:rsidRPr="003F4F05">
              <w:rPr>
                <w:bCs/>
                <w:i/>
                <w:sz w:val="26"/>
                <w:szCs w:val="26"/>
              </w:rPr>
              <w:t>euro</w:t>
            </w:r>
            <w:r w:rsidR="0026458C" w:rsidRPr="003F4F05">
              <w:rPr>
                <w:bCs/>
                <w:sz w:val="26"/>
                <w:szCs w:val="26"/>
              </w:rPr>
              <w:t>, l</w:t>
            </w:r>
            <w:r w:rsidRPr="003F4F05">
              <w:rPr>
                <w:bCs/>
                <w:sz w:val="26"/>
                <w:szCs w:val="26"/>
              </w:rPr>
              <w:t>īdz ar to</w:t>
            </w:r>
            <w:r w:rsidR="00D31F15" w:rsidRPr="003F4F05">
              <w:rPr>
                <w:bCs/>
                <w:sz w:val="26"/>
                <w:szCs w:val="26"/>
              </w:rPr>
              <w:t xml:space="preserve"> veidojas finansējuma atlikums attiecīgajā pozīcijā, </w:t>
            </w:r>
            <w:r w:rsidR="00510166" w:rsidRPr="003F4F05">
              <w:rPr>
                <w:bCs/>
                <w:sz w:val="26"/>
                <w:szCs w:val="26"/>
              </w:rPr>
              <w:t xml:space="preserve">kas </w:t>
            </w:r>
            <w:r w:rsidR="00D31F15" w:rsidRPr="003F4F05">
              <w:rPr>
                <w:bCs/>
                <w:sz w:val="26"/>
                <w:szCs w:val="26"/>
              </w:rPr>
              <w:t xml:space="preserve">tiek </w:t>
            </w:r>
            <w:r w:rsidR="00510166" w:rsidRPr="003F4F05">
              <w:rPr>
                <w:bCs/>
                <w:sz w:val="26"/>
                <w:szCs w:val="26"/>
              </w:rPr>
              <w:t xml:space="preserve">novirzīts </w:t>
            </w:r>
            <w:r w:rsidR="0026458C" w:rsidRPr="003F4F05">
              <w:rPr>
                <w:bCs/>
                <w:sz w:val="26"/>
                <w:szCs w:val="26"/>
              </w:rPr>
              <w:t>8</w:t>
            </w:r>
            <w:r w:rsidR="00867957" w:rsidRPr="003F4F05">
              <w:rPr>
                <w:bCs/>
                <w:sz w:val="26"/>
                <w:szCs w:val="26"/>
              </w:rPr>
              <w:t> </w:t>
            </w:r>
            <w:r w:rsidR="0026458C" w:rsidRPr="003F4F05">
              <w:rPr>
                <w:bCs/>
                <w:sz w:val="26"/>
                <w:szCs w:val="26"/>
              </w:rPr>
              <w:t>626</w:t>
            </w:r>
            <w:r w:rsidR="00867957" w:rsidRPr="003F4F05">
              <w:rPr>
                <w:bCs/>
                <w:sz w:val="26"/>
                <w:szCs w:val="26"/>
              </w:rPr>
              <w:t> </w:t>
            </w:r>
            <w:r w:rsidR="0026458C" w:rsidRPr="003F4F05">
              <w:rPr>
                <w:bCs/>
                <w:i/>
                <w:sz w:val="26"/>
                <w:szCs w:val="26"/>
              </w:rPr>
              <w:t>euro</w:t>
            </w:r>
            <w:r w:rsidR="0026458C" w:rsidRPr="003F4F05">
              <w:rPr>
                <w:bCs/>
                <w:sz w:val="26"/>
                <w:szCs w:val="26"/>
              </w:rPr>
              <w:t xml:space="preserve"> apmērā </w:t>
            </w:r>
            <w:r w:rsidR="0026458C" w:rsidRPr="003F4F05">
              <w:rPr>
                <w:sz w:val="26"/>
                <w:szCs w:val="26"/>
              </w:rPr>
              <w:t>vienota valsts klientu apkalpošanas centra izveidošanai administratīvajā ēkā Talejas ielā 1, Rīgā, nepieciešamo vienreizēju pasākumu izdevumu segšanai 2014.gadā</w:t>
            </w:r>
            <w:r w:rsidR="0026458C" w:rsidRPr="003F4F05">
              <w:rPr>
                <w:bCs/>
                <w:sz w:val="26"/>
                <w:szCs w:val="26"/>
              </w:rPr>
              <w:t>, 219</w:t>
            </w:r>
            <w:r w:rsidR="00867957" w:rsidRPr="003F4F05">
              <w:rPr>
                <w:bCs/>
                <w:sz w:val="26"/>
                <w:szCs w:val="26"/>
              </w:rPr>
              <w:t> </w:t>
            </w:r>
            <w:r w:rsidR="0026458C" w:rsidRPr="003F4F05">
              <w:rPr>
                <w:bCs/>
                <w:sz w:val="26"/>
                <w:szCs w:val="26"/>
              </w:rPr>
              <w:t>161</w:t>
            </w:r>
            <w:r w:rsidR="00867957" w:rsidRPr="003F4F05">
              <w:rPr>
                <w:bCs/>
                <w:sz w:val="26"/>
                <w:szCs w:val="26"/>
              </w:rPr>
              <w:t> </w:t>
            </w:r>
            <w:r w:rsidR="0026458C" w:rsidRPr="003F4F05">
              <w:rPr>
                <w:bCs/>
                <w:i/>
                <w:sz w:val="26"/>
                <w:szCs w:val="26"/>
              </w:rPr>
              <w:t>euro</w:t>
            </w:r>
            <w:r w:rsidR="0026458C" w:rsidRPr="003F4F05">
              <w:rPr>
                <w:bCs/>
                <w:sz w:val="26"/>
                <w:szCs w:val="26"/>
              </w:rPr>
              <w:t xml:space="preserve"> apmērā papildu nepieciešamajam finansējumam VID struktūrvienību pārcelšanās izdevumu segšanai 2014.gadā </w:t>
            </w:r>
            <w:r w:rsidR="001A078B" w:rsidRPr="003F4F05">
              <w:rPr>
                <w:bCs/>
                <w:sz w:val="26"/>
                <w:szCs w:val="26"/>
              </w:rPr>
              <w:t xml:space="preserve">un </w:t>
            </w:r>
            <w:r w:rsidR="0026458C" w:rsidRPr="003F4F05">
              <w:rPr>
                <w:bCs/>
                <w:sz w:val="26"/>
                <w:szCs w:val="26"/>
              </w:rPr>
              <w:t>1</w:t>
            </w:r>
            <w:r w:rsidR="00867957" w:rsidRPr="003F4F05">
              <w:rPr>
                <w:bCs/>
                <w:sz w:val="26"/>
                <w:szCs w:val="26"/>
              </w:rPr>
              <w:t> </w:t>
            </w:r>
            <w:r w:rsidR="0026458C" w:rsidRPr="003F4F05">
              <w:rPr>
                <w:bCs/>
                <w:sz w:val="26"/>
                <w:szCs w:val="26"/>
              </w:rPr>
              <w:t>383</w:t>
            </w:r>
            <w:r w:rsidR="00867957" w:rsidRPr="003F4F05">
              <w:rPr>
                <w:bCs/>
                <w:sz w:val="26"/>
                <w:szCs w:val="26"/>
              </w:rPr>
              <w:t> </w:t>
            </w:r>
            <w:r w:rsidR="0026458C" w:rsidRPr="003F4F05">
              <w:rPr>
                <w:bCs/>
                <w:sz w:val="26"/>
                <w:szCs w:val="26"/>
              </w:rPr>
              <w:t>850</w:t>
            </w:r>
            <w:r w:rsidR="00867957" w:rsidRPr="003F4F05">
              <w:rPr>
                <w:bCs/>
                <w:sz w:val="26"/>
                <w:szCs w:val="26"/>
              </w:rPr>
              <w:t> </w:t>
            </w:r>
            <w:r w:rsidR="00AE0E8E" w:rsidRPr="003F4F05">
              <w:rPr>
                <w:bCs/>
                <w:i/>
                <w:sz w:val="26"/>
                <w:szCs w:val="26"/>
              </w:rPr>
              <w:t xml:space="preserve">euro </w:t>
            </w:r>
            <w:r w:rsidR="0026458C" w:rsidRPr="003F4F05">
              <w:rPr>
                <w:bCs/>
                <w:sz w:val="26"/>
                <w:szCs w:val="26"/>
              </w:rPr>
              <w:t xml:space="preserve">apmērā </w:t>
            </w:r>
            <w:r w:rsidR="001A078B" w:rsidRPr="003F4F05">
              <w:rPr>
                <w:bCs/>
                <w:sz w:val="26"/>
                <w:szCs w:val="26"/>
              </w:rPr>
              <w:t>VID atlīdzības finansējuma palielināšanai</w:t>
            </w:r>
            <w:r w:rsidR="0026458C" w:rsidRPr="003F4F05">
              <w:rPr>
                <w:bCs/>
                <w:sz w:val="26"/>
                <w:szCs w:val="26"/>
              </w:rPr>
              <w:t xml:space="preserve"> 2014.gadā.</w:t>
            </w:r>
          </w:p>
          <w:p w:rsidR="00D31F15" w:rsidRPr="003F4F05" w:rsidRDefault="00CF4543" w:rsidP="00D31F15">
            <w:pPr>
              <w:pStyle w:val="naiskr"/>
              <w:tabs>
                <w:tab w:val="left" w:pos="366"/>
              </w:tabs>
              <w:spacing w:before="120" w:beforeAutospacing="0" w:after="120" w:afterAutospacing="0"/>
              <w:ind w:right="140"/>
              <w:jc w:val="both"/>
              <w:rPr>
                <w:bCs/>
                <w:sz w:val="26"/>
                <w:szCs w:val="26"/>
              </w:rPr>
            </w:pPr>
            <w:r w:rsidRPr="003F4F05">
              <w:rPr>
                <w:bCs/>
                <w:sz w:val="26"/>
                <w:szCs w:val="26"/>
              </w:rPr>
              <w:t>VID finansējums 2014.gadā p</w:t>
            </w:r>
            <w:r w:rsidR="00D31F15" w:rsidRPr="003F4F05">
              <w:rPr>
                <w:bCs/>
                <w:sz w:val="26"/>
                <w:szCs w:val="26"/>
              </w:rPr>
              <w:t>ārcelšanās izdevumu se</w:t>
            </w:r>
            <w:r w:rsidRPr="003F4F05">
              <w:rPr>
                <w:bCs/>
                <w:sz w:val="26"/>
                <w:szCs w:val="26"/>
              </w:rPr>
              <w:t>gšanai tika plānots</w:t>
            </w:r>
            <w:r w:rsidR="00D31F15" w:rsidRPr="003F4F05">
              <w:rPr>
                <w:bCs/>
                <w:sz w:val="26"/>
                <w:szCs w:val="26"/>
              </w:rPr>
              <w:t xml:space="preserve"> 185</w:t>
            </w:r>
            <w:r w:rsidR="00867957" w:rsidRPr="003F4F05">
              <w:rPr>
                <w:bCs/>
                <w:sz w:val="26"/>
                <w:szCs w:val="26"/>
              </w:rPr>
              <w:t> </w:t>
            </w:r>
            <w:r w:rsidR="00D31F15" w:rsidRPr="003F4F05">
              <w:rPr>
                <w:bCs/>
                <w:sz w:val="26"/>
                <w:szCs w:val="26"/>
              </w:rPr>
              <w:t>174</w:t>
            </w:r>
            <w:r w:rsidR="00867957" w:rsidRPr="003F4F05">
              <w:rPr>
                <w:bCs/>
                <w:sz w:val="26"/>
                <w:szCs w:val="26"/>
              </w:rPr>
              <w:t> </w:t>
            </w:r>
            <w:r w:rsidR="00D31F15" w:rsidRPr="003F4F05">
              <w:rPr>
                <w:bCs/>
                <w:i/>
                <w:sz w:val="26"/>
                <w:szCs w:val="26"/>
              </w:rPr>
              <w:t>euro</w:t>
            </w:r>
            <w:r w:rsidR="00BC106E" w:rsidRPr="003F4F05">
              <w:rPr>
                <w:bCs/>
                <w:sz w:val="26"/>
                <w:szCs w:val="26"/>
              </w:rPr>
              <w:t xml:space="preserve"> (</w:t>
            </w:r>
            <w:r w:rsidR="00BC106E" w:rsidRPr="003F4F05">
              <w:rPr>
                <w:sz w:val="26"/>
                <w:szCs w:val="26"/>
              </w:rPr>
              <w:t>130</w:t>
            </w:r>
            <w:r w:rsidR="00867957" w:rsidRPr="003F4F05">
              <w:rPr>
                <w:sz w:val="26"/>
                <w:szCs w:val="26"/>
              </w:rPr>
              <w:t> </w:t>
            </w:r>
            <w:r w:rsidR="00BC106E" w:rsidRPr="003F4F05">
              <w:rPr>
                <w:sz w:val="26"/>
                <w:szCs w:val="26"/>
              </w:rPr>
              <w:t>141</w:t>
            </w:r>
            <w:r w:rsidR="00867957" w:rsidRPr="003F4F05">
              <w:rPr>
                <w:sz w:val="26"/>
                <w:szCs w:val="26"/>
              </w:rPr>
              <w:t> </w:t>
            </w:r>
            <w:r w:rsidR="00BC106E" w:rsidRPr="003F4F05">
              <w:rPr>
                <w:sz w:val="26"/>
                <w:szCs w:val="26"/>
              </w:rPr>
              <w:t>lati)</w:t>
            </w:r>
            <w:r w:rsidR="00D31F15" w:rsidRPr="003F4F05">
              <w:rPr>
                <w:bCs/>
                <w:sz w:val="26"/>
                <w:szCs w:val="26"/>
              </w:rPr>
              <w:t xml:space="preserve">, bet </w:t>
            </w:r>
            <w:r w:rsidR="00BF7256" w:rsidRPr="003F4F05">
              <w:rPr>
                <w:bCs/>
                <w:sz w:val="26"/>
                <w:szCs w:val="26"/>
              </w:rPr>
              <w:t>precizētais nepieciešamā finansējuma apmērs ir</w:t>
            </w:r>
            <w:r w:rsidR="00D31F15" w:rsidRPr="003F4F05">
              <w:rPr>
                <w:bCs/>
                <w:sz w:val="26"/>
                <w:szCs w:val="26"/>
              </w:rPr>
              <w:t xml:space="preserve"> </w:t>
            </w:r>
            <w:r w:rsidR="00162FA0" w:rsidRPr="003F4F05">
              <w:rPr>
                <w:bCs/>
                <w:sz w:val="26"/>
                <w:szCs w:val="26"/>
              </w:rPr>
              <w:t>404</w:t>
            </w:r>
            <w:r w:rsidR="00867957" w:rsidRPr="003F4F05">
              <w:rPr>
                <w:bCs/>
                <w:sz w:val="26"/>
                <w:szCs w:val="26"/>
              </w:rPr>
              <w:t> </w:t>
            </w:r>
            <w:r w:rsidR="00AD6FE0" w:rsidRPr="003F4F05">
              <w:rPr>
                <w:bCs/>
                <w:sz w:val="26"/>
                <w:szCs w:val="26"/>
              </w:rPr>
              <w:t>335</w:t>
            </w:r>
            <w:r w:rsidR="00867957" w:rsidRPr="003F4F05">
              <w:rPr>
                <w:bCs/>
                <w:sz w:val="26"/>
                <w:szCs w:val="26"/>
              </w:rPr>
              <w:t> </w:t>
            </w:r>
            <w:r w:rsidR="00D31F15" w:rsidRPr="003F4F05">
              <w:rPr>
                <w:bCs/>
                <w:i/>
                <w:sz w:val="26"/>
                <w:szCs w:val="26"/>
              </w:rPr>
              <w:t>euro</w:t>
            </w:r>
            <w:r w:rsidR="00D31F15" w:rsidRPr="003F4F05">
              <w:rPr>
                <w:bCs/>
                <w:sz w:val="26"/>
                <w:szCs w:val="26"/>
              </w:rPr>
              <w:t>, jo</w:t>
            </w:r>
            <w:r w:rsidR="00684280" w:rsidRPr="003F4F05">
              <w:rPr>
                <w:bCs/>
                <w:sz w:val="26"/>
                <w:szCs w:val="26"/>
              </w:rPr>
              <w:t>,</w:t>
            </w:r>
            <w:r w:rsidR="00135C2D" w:rsidRPr="003F4F05">
              <w:rPr>
                <w:bCs/>
                <w:sz w:val="26"/>
                <w:szCs w:val="26"/>
              </w:rPr>
              <w:t xml:space="preserve"> veicot darba vietu pārvietošanu uz jauno ēku Talejas ielā 1, Rīgā, tika konstatēts, ka pārvietojamo dokumentu/ lietu apjomi pārsniedz papildu piešķirtā finansējuma aprēķinos iekļautos apjomus, kā rezultātā pieauga izdevumi attiecīgajā pozīcijā.</w:t>
            </w:r>
            <w:r w:rsidR="00F04C3E" w:rsidRPr="003F4F05">
              <w:rPr>
                <w:bCs/>
                <w:sz w:val="26"/>
                <w:szCs w:val="26"/>
              </w:rPr>
              <w:t xml:space="preserve"> </w:t>
            </w:r>
            <w:r w:rsidR="00B9037E" w:rsidRPr="003F4F05">
              <w:rPr>
                <w:bCs/>
                <w:sz w:val="26"/>
                <w:szCs w:val="26"/>
              </w:rPr>
              <w:t xml:space="preserve">Līdz ar to priekšlikums novirzīt attiecīgajam mērķim 2014.gadā finansējumu </w:t>
            </w:r>
            <w:r w:rsidR="00AD6FE0" w:rsidRPr="003F4F05">
              <w:rPr>
                <w:bCs/>
                <w:sz w:val="26"/>
                <w:szCs w:val="26"/>
              </w:rPr>
              <w:t xml:space="preserve">no </w:t>
            </w:r>
            <w:r w:rsidR="00AD6FE0" w:rsidRPr="003F4F05">
              <w:rPr>
                <w:sz w:val="26"/>
                <w:szCs w:val="26"/>
              </w:rPr>
              <w:t>aprīkojuma (piemēram, mēbeles, iekārtas, tehniskais aprīkojums) iegādes un ar to saistīto izdevumu segšanai</w:t>
            </w:r>
            <w:r w:rsidR="00AD6FE0" w:rsidRPr="003F4F05">
              <w:rPr>
                <w:bCs/>
                <w:sz w:val="26"/>
                <w:szCs w:val="26"/>
              </w:rPr>
              <w:t xml:space="preserve"> piešķirtā finansējuma.</w:t>
            </w:r>
          </w:p>
          <w:p w:rsidR="00841A98" w:rsidRPr="003F4F05" w:rsidRDefault="00E27634" w:rsidP="00975B15">
            <w:pPr>
              <w:pStyle w:val="naiskr"/>
              <w:tabs>
                <w:tab w:val="left" w:pos="366"/>
                <w:tab w:val="left" w:pos="1297"/>
              </w:tabs>
              <w:spacing w:before="120" w:beforeAutospacing="0" w:after="120" w:afterAutospacing="0"/>
              <w:ind w:right="140"/>
              <w:jc w:val="both"/>
              <w:rPr>
                <w:bCs/>
                <w:sz w:val="26"/>
                <w:szCs w:val="26"/>
              </w:rPr>
            </w:pPr>
            <w:r w:rsidRPr="003F4F05">
              <w:rPr>
                <w:bCs/>
                <w:sz w:val="26"/>
                <w:szCs w:val="26"/>
              </w:rPr>
              <w:t xml:space="preserve">Sakarā ar to, ka Būvobjekts tika nodots ekspluatācijā vēlāk nekā sākotnēji plānots un Apakšnomas līgums starp VNĪ un VID noslēgts 2014.gada 30.aprīlī, veidojas finansējuma atlikums 2014.gadā VID piešķirtajam finansējumam </w:t>
            </w:r>
            <w:r w:rsidR="00AD6FE0" w:rsidRPr="003F4F05">
              <w:rPr>
                <w:bCs/>
                <w:sz w:val="26"/>
                <w:szCs w:val="26"/>
              </w:rPr>
              <w:t xml:space="preserve">apsardzes un ar apsardzes infrastruktūras (apsardzes signalizācijas, novērošanas iekārtu u.c. veida infrastruktūras) uzturēšanu saistīto izdevumu segšanai </w:t>
            </w:r>
            <w:r w:rsidRPr="003F4F05">
              <w:rPr>
                <w:bCs/>
                <w:sz w:val="26"/>
                <w:szCs w:val="26"/>
              </w:rPr>
              <w:t>137</w:t>
            </w:r>
            <w:r w:rsidR="00867957" w:rsidRPr="003F4F05">
              <w:rPr>
                <w:bCs/>
                <w:sz w:val="26"/>
                <w:szCs w:val="26"/>
              </w:rPr>
              <w:t> </w:t>
            </w:r>
            <w:r w:rsidRPr="003F4F05">
              <w:rPr>
                <w:bCs/>
                <w:sz w:val="26"/>
                <w:szCs w:val="26"/>
              </w:rPr>
              <w:t>129</w:t>
            </w:r>
            <w:r w:rsidR="00867957" w:rsidRPr="003F4F05">
              <w:rPr>
                <w:bCs/>
                <w:sz w:val="26"/>
                <w:szCs w:val="26"/>
              </w:rPr>
              <w:t> </w:t>
            </w:r>
            <w:r w:rsidRPr="003F4F05">
              <w:rPr>
                <w:bCs/>
                <w:i/>
                <w:sz w:val="26"/>
                <w:szCs w:val="26"/>
              </w:rPr>
              <w:t>euro</w:t>
            </w:r>
            <w:r w:rsidR="00AD6FE0" w:rsidRPr="003F4F05">
              <w:rPr>
                <w:bCs/>
                <w:sz w:val="26"/>
                <w:szCs w:val="26"/>
              </w:rPr>
              <w:t>, kas tiek novirzīts 101</w:t>
            </w:r>
            <w:r w:rsidR="00867957" w:rsidRPr="003F4F05">
              <w:rPr>
                <w:bCs/>
                <w:sz w:val="26"/>
                <w:szCs w:val="26"/>
              </w:rPr>
              <w:t> </w:t>
            </w:r>
            <w:r w:rsidR="00AD6FE0" w:rsidRPr="003F4F05">
              <w:rPr>
                <w:bCs/>
                <w:sz w:val="26"/>
                <w:szCs w:val="26"/>
              </w:rPr>
              <w:t>219</w:t>
            </w:r>
            <w:r w:rsidR="00867957" w:rsidRPr="003F4F05">
              <w:rPr>
                <w:bCs/>
                <w:sz w:val="26"/>
                <w:szCs w:val="26"/>
              </w:rPr>
              <w:t> </w:t>
            </w:r>
            <w:r w:rsidR="00AD6FE0" w:rsidRPr="003F4F05">
              <w:rPr>
                <w:bCs/>
                <w:i/>
                <w:sz w:val="26"/>
                <w:szCs w:val="26"/>
              </w:rPr>
              <w:t>euro</w:t>
            </w:r>
            <w:r w:rsidR="00AD6FE0" w:rsidRPr="003F4F05">
              <w:rPr>
                <w:bCs/>
                <w:sz w:val="26"/>
                <w:szCs w:val="26"/>
              </w:rPr>
              <w:t xml:space="preserve"> apmērā </w:t>
            </w:r>
            <w:r w:rsidR="00AD6FE0" w:rsidRPr="003F4F05">
              <w:rPr>
                <w:sz w:val="26"/>
                <w:szCs w:val="26"/>
              </w:rPr>
              <w:t>papildu nepieciešamajam finansējumam ar VID nepārtrauktas darbības nodrošināšanu saistīto izdevumu segšanai 2014.gadā</w:t>
            </w:r>
            <w:r w:rsidR="00AD6FE0" w:rsidRPr="003F4F05">
              <w:rPr>
                <w:bCs/>
                <w:sz w:val="26"/>
                <w:szCs w:val="26"/>
              </w:rPr>
              <w:t xml:space="preserve"> un 35</w:t>
            </w:r>
            <w:r w:rsidR="00867957" w:rsidRPr="003F4F05">
              <w:rPr>
                <w:bCs/>
                <w:sz w:val="26"/>
                <w:szCs w:val="26"/>
              </w:rPr>
              <w:t> </w:t>
            </w:r>
            <w:r w:rsidR="00AD6FE0" w:rsidRPr="003F4F05">
              <w:rPr>
                <w:bCs/>
                <w:sz w:val="26"/>
                <w:szCs w:val="26"/>
              </w:rPr>
              <w:t>910</w:t>
            </w:r>
            <w:r w:rsidR="00867957" w:rsidRPr="003F4F05">
              <w:rPr>
                <w:bCs/>
                <w:sz w:val="26"/>
                <w:szCs w:val="26"/>
              </w:rPr>
              <w:t> </w:t>
            </w:r>
            <w:r w:rsidR="00AD6FE0" w:rsidRPr="003F4F05">
              <w:rPr>
                <w:bCs/>
                <w:i/>
                <w:sz w:val="26"/>
                <w:szCs w:val="26"/>
              </w:rPr>
              <w:t>euro</w:t>
            </w:r>
            <w:r w:rsidR="00AD6FE0" w:rsidRPr="003F4F05">
              <w:rPr>
                <w:bCs/>
                <w:sz w:val="26"/>
                <w:szCs w:val="26"/>
              </w:rPr>
              <w:t xml:space="preserve"> apmērā VID atlīdzības finansējuma palielināšanai 2014.gadā</w:t>
            </w:r>
            <w:r w:rsidRPr="003F4F05">
              <w:rPr>
                <w:bCs/>
                <w:sz w:val="26"/>
                <w:szCs w:val="26"/>
              </w:rPr>
              <w:t>.</w:t>
            </w:r>
          </w:p>
          <w:p w:rsidR="004E2496" w:rsidRPr="003F4F05" w:rsidRDefault="00975B15" w:rsidP="004E2496">
            <w:pPr>
              <w:pStyle w:val="naiskr"/>
              <w:tabs>
                <w:tab w:val="left" w:pos="366"/>
                <w:tab w:val="left" w:pos="1297"/>
              </w:tabs>
              <w:spacing w:before="120" w:beforeAutospacing="0" w:after="120" w:afterAutospacing="0"/>
              <w:ind w:right="140"/>
              <w:jc w:val="both"/>
              <w:rPr>
                <w:bCs/>
                <w:sz w:val="26"/>
                <w:szCs w:val="26"/>
              </w:rPr>
            </w:pPr>
            <w:r w:rsidRPr="003F4F05">
              <w:rPr>
                <w:bCs/>
                <w:sz w:val="26"/>
                <w:szCs w:val="26"/>
              </w:rPr>
              <w:t>Precizēt</w:t>
            </w:r>
            <w:r w:rsidR="004E2496" w:rsidRPr="003F4F05">
              <w:rPr>
                <w:bCs/>
                <w:sz w:val="26"/>
                <w:szCs w:val="26"/>
              </w:rPr>
              <w:t xml:space="preserve"> 2014.gadā kopējo nepieciešamo finansējumu </w:t>
            </w:r>
            <w:r w:rsidR="00245DA3" w:rsidRPr="003F4F05">
              <w:rPr>
                <w:bCs/>
                <w:sz w:val="26"/>
                <w:szCs w:val="26"/>
              </w:rPr>
              <w:t xml:space="preserve">ar </w:t>
            </w:r>
            <w:r w:rsidR="004E2496" w:rsidRPr="003F4F05">
              <w:rPr>
                <w:bCs/>
                <w:sz w:val="26"/>
                <w:szCs w:val="26"/>
              </w:rPr>
              <w:t xml:space="preserve">VID nepārtrauktas darbības nodrošināšanu saistīto izdevumu segšanai, VID struktūrvienību pārcelšanās izdevumu segšanai, administratīvās ēkas Talejas ielā 1, Rīgā, telpu uzturēšanas (komunālie maksājumi un apsaimniekošanas izdevumi, tai skaitā apdrošināšana un nekustamā īpašuma nodoklis) izdevumu segšanai, apsardzes un ar apsardzes infrastruktūras (apsardzes signalizācijas, novērošanas iekārtu u.c. veida infrastruktūras) uzturēšanu saistīto izdevumu segšanai un aprīkojuma (piemēram, mēbeles, iekārtas, tehniskais aprīkojums) iegādes un ar to saistīto </w:t>
            </w:r>
            <w:r w:rsidR="004E2496" w:rsidRPr="003F4F05">
              <w:rPr>
                <w:bCs/>
                <w:sz w:val="26"/>
                <w:szCs w:val="26"/>
              </w:rPr>
              <w:lastRenderedPageBreak/>
              <w:t>izdevumu segšanai</w:t>
            </w:r>
            <w:r w:rsidRPr="003F4F05">
              <w:rPr>
                <w:bCs/>
                <w:sz w:val="26"/>
                <w:szCs w:val="26"/>
              </w:rPr>
              <w:t xml:space="preserve">, kā arī noteikt finansējuma apmēru, kuru iespējams novirzīt VID atlīdzības finansējuma palielināšanai, bija iespējams tikai </w:t>
            </w:r>
            <w:r w:rsidR="00245DA3" w:rsidRPr="003F4F05">
              <w:rPr>
                <w:bCs/>
                <w:sz w:val="26"/>
                <w:szCs w:val="26"/>
              </w:rPr>
              <w:t>pēc darba vietu iekārtošanas</w:t>
            </w:r>
            <w:r w:rsidR="00A60591" w:rsidRPr="003F4F05">
              <w:rPr>
                <w:bCs/>
                <w:sz w:val="26"/>
                <w:szCs w:val="26"/>
              </w:rPr>
              <w:t xml:space="preserve">, </w:t>
            </w:r>
            <w:r w:rsidR="00245DA3" w:rsidRPr="003F4F05">
              <w:rPr>
                <w:bCs/>
                <w:sz w:val="26"/>
                <w:szCs w:val="26"/>
              </w:rPr>
              <w:t xml:space="preserve">struktūrvienību pārcelšanas pabeigšanas un </w:t>
            </w:r>
            <w:r w:rsidRPr="003F4F05">
              <w:rPr>
                <w:bCs/>
                <w:sz w:val="26"/>
                <w:szCs w:val="26"/>
              </w:rPr>
              <w:t xml:space="preserve">ņemot vērā </w:t>
            </w:r>
            <w:r w:rsidR="00245DA3" w:rsidRPr="003F4F05">
              <w:rPr>
                <w:bCs/>
                <w:sz w:val="26"/>
                <w:szCs w:val="26"/>
              </w:rPr>
              <w:t xml:space="preserve">piešķirtā finansējuma apguves </w:t>
            </w:r>
            <w:r w:rsidRPr="003F4F05">
              <w:rPr>
                <w:bCs/>
                <w:sz w:val="26"/>
                <w:szCs w:val="26"/>
              </w:rPr>
              <w:t>faktisko izpildi</w:t>
            </w:r>
            <w:r w:rsidR="004E2496" w:rsidRPr="003F4F05">
              <w:rPr>
                <w:bCs/>
                <w:sz w:val="26"/>
                <w:szCs w:val="26"/>
              </w:rPr>
              <w:t>,</w:t>
            </w:r>
            <w:r w:rsidRPr="003F4F05">
              <w:rPr>
                <w:bCs/>
                <w:sz w:val="26"/>
                <w:szCs w:val="26"/>
              </w:rPr>
              <w:t xml:space="preserve"> t.i., pēc konkrētu rēķinu apmaksas,</w:t>
            </w:r>
            <w:r w:rsidR="004E2496" w:rsidRPr="003F4F05">
              <w:rPr>
                <w:bCs/>
                <w:sz w:val="26"/>
                <w:szCs w:val="26"/>
              </w:rPr>
              <w:t xml:space="preserve"> līdz ar to minēto izdevumu pozīciju precizēšanu nebija iespējams veikt iepriekš.</w:t>
            </w:r>
          </w:p>
          <w:p w:rsidR="004E2496" w:rsidRPr="003F4F05" w:rsidRDefault="004E2496" w:rsidP="006C5039">
            <w:pPr>
              <w:pStyle w:val="naiskr"/>
              <w:tabs>
                <w:tab w:val="left" w:pos="366"/>
              </w:tabs>
              <w:spacing w:before="120" w:beforeAutospacing="0" w:after="120" w:afterAutospacing="0"/>
              <w:ind w:right="140"/>
              <w:jc w:val="both"/>
              <w:rPr>
                <w:bCs/>
                <w:sz w:val="26"/>
                <w:szCs w:val="26"/>
              </w:rPr>
            </w:pPr>
          </w:p>
          <w:p w:rsidR="00245DA3" w:rsidRPr="003F4F05" w:rsidRDefault="00803B10" w:rsidP="00A94744">
            <w:pPr>
              <w:pStyle w:val="naiskr"/>
              <w:tabs>
                <w:tab w:val="left" w:pos="366"/>
              </w:tabs>
              <w:spacing w:before="120" w:beforeAutospacing="0" w:after="120" w:afterAutospacing="0"/>
              <w:ind w:right="140"/>
              <w:jc w:val="both"/>
              <w:rPr>
                <w:bCs/>
                <w:sz w:val="26"/>
                <w:szCs w:val="26"/>
              </w:rPr>
            </w:pPr>
            <w:r w:rsidRPr="003F4F05">
              <w:rPr>
                <w:bCs/>
                <w:sz w:val="26"/>
                <w:szCs w:val="26"/>
              </w:rPr>
              <w:t xml:space="preserve">Saskaņā </w:t>
            </w:r>
            <w:r w:rsidR="00B44D13">
              <w:rPr>
                <w:bCs/>
                <w:sz w:val="26"/>
                <w:szCs w:val="26"/>
              </w:rPr>
              <w:t xml:space="preserve">ar </w:t>
            </w:r>
            <w:r w:rsidRPr="003F4F05">
              <w:rPr>
                <w:bCs/>
                <w:sz w:val="26"/>
                <w:szCs w:val="26"/>
              </w:rPr>
              <w:t xml:space="preserve">Deklarācijas par Laimdotas Straujumas vadītā </w:t>
            </w:r>
            <w:r w:rsidR="00B44D13">
              <w:rPr>
                <w:bCs/>
                <w:sz w:val="26"/>
                <w:szCs w:val="26"/>
              </w:rPr>
              <w:t>MK</w:t>
            </w:r>
            <w:r w:rsidRPr="003F4F05">
              <w:rPr>
                <w:bCs/>
                <w:sz w:val="26"/>
                <w:szCs w:val="26"/>
              </w:rPr>
              <w:t xml:space="preserve"> iecerēto darbību īstenošanai”</w:t>
            </w:r>
            <w:r w:rsidR="00B44D13">
              <w:rPr>
                <w:bCs/>
                <w:sz w:val="26"/>
                <w:szCs w:val="26"/>
              </w:rPr>
              <w:t xml:space="preserve"> </w:t>
            </w:r>
            <w:r w:rsidR="00844655" w:rsidRPr="00844655">
              <w:rPr>
                <w:bCs/>
                <w:sz w:val="26"/>
                <w:szCs w:val="26"/>
              </w:rPr>
              <w:t xml:space="preserve">(2014.gada novembris) </w:t>
            </w:r>
            <w:r w:rsidR="00B44D13">
              <w:rPr>
                <w:bCs/>
                <w:sz w:val="26"/>
                <w:szCs w:val="26"/>
              </w:rPr>
              <w:t>27.punktu</w:t>
            </w:r>
            <w:r w:rsidRPr="003F4F05">
              <w:rPr>
                <w:bCs/>
                <w:sz w:val="26"/>
                <w:szCs w:val="26"/>
              </w:rPr>
              <w:t xml:space="preserve"> un </w:t>
            </w:r>
            <w:r w:rsidR="00B44D13">
              <w:rPr>
                <w:bCs/>
                <w:sz w:val="26"/>
                <w:szCs w:val="26"/>
              </w:rPr>
              <w:t>MK</w:t>
            </w:r>
            <w:r w:rsidRPr="003F4F05">
              <w:rPr>
                <w:bCs/>
                <w:sz w:val="26"/>
                <w:szCs w:val="26"/>
              </w:rPr>
              <w:t xml:space="preserve"> 2013.gada 19.februāra rīkojumu Nr.58 „Par Koncepciju par publisko pakalpojumu sistēmas pilnveidi” tika atbalstīts pasākumu kopums, kas vērst uz klientu – iedzīvotāju, uzņēmēju un citu pakalpojumu saņēmēju vajadzībām, atbilstošu pakalpojumu izveidi un to sniegšanas organizēšanu, vienlaikus samazinot administratīvo slogu, uzlabojot uzņēmējdarbības vidi un pakalpojumu pieejamību, kā arī veicinot efektīvāku valsts pārvaldi.</w:t>
            </w:r>
            <w:r w:rsidR="00B6536A" w:rsidRPr="003F4F05">
              <w:rPr>
                <w:bCs/>
                <w:sz w:val="26"/>
                <w:szCs w:val="26"/>
              </w:rPr>
              <w:t xml:space="preserve"> </w:t>
            </w:r>
            <w:r w:rsidRPr="003F4F05">
              <w:rPr>
                <w:bCs/>
                <w:sz w:val="26"/>
                <w:szCs w:val="26"/>
              </w:rPr>
              <w:t>Balstoties uz VID un Vides aizsardzības un reģionālās attīstības ministrijas</w:t>
            </w:r>
            <w:r w:rsidR="003D1F88" w:rsidRPr="003F4F05">
              <w:rPr>
                <w:bCs/>
                <w:sz w:val="26"/>
                <w:szCs w:val="26"/>
              </w:rPr>
              <w:t xml:space="preserve"> (turpmāk – VARAM)</w:t>
            </w:r>
            <w:r w:rsidRPr="003F4F05">
              <w:rPr>
                <w:bCs/>
                <w:sz w:val="26"/>
                <w:szCs w:val="26"/>
              </w:rPr>
              <w:t xml:space="preserve"> atbalstītu iniciatīvu, notika tikšanās starp vairāku valsts tiešās pārvaldes iestāžu un Rīgas domes vadības pārstāvjiem. Rezultātā panākta konceptuāla vienošanās par </w:t>
            </w:r>
            <w:r w:rsidR="007F1032" w:rsidRPr="003F4F05">
              <w:rPr>
                <w:bCs/>
                <w:sz w:val="26"/>
                <w:szCs w:val="26"/>
              </w:rPr>
              <w:t>vienota valsts</w:t>
            </w:r>
            <w:r w:rsidRPr="003F4F05">
              <w:rPr>
                <w:bCs/>
                <w:sz w:val="26"/>
                <w:szCs w:val="26"/>
              </w:rPr>
              <w:t xml:space="preserve"> klientu apkalpošanas centra (turpmāk – </w:t>
            </w:r>
            <w:r w:rsidR="007F1032" w:rsidRPr="003F4F05">
              <w:rPr>
                <w:bCs/>
                <w:sz w:val="26"/>
                <w:szCs w:val="26"/>
              </w:rPr>
              <w:t>VV</w:t>
            </w:r>
            <w:r w:rsidRPr="003F4F05">
              <w:rPr>
                <w:bCs/>
                <w:sz w:val="26"/>
                <w:szCs w:val="26"/>
              </w:rPr>
              <w:t>KAC) prototipa izveidi ēkas Talejas ielā 1, Rīgā, telpās. KAC ēkas Talejas ielā 1, Rīgā, telpās izveidošana t</w:t>
            </w:r>
            <w:r w:rsidR="00104291" w:rsidRPr="003F4F05">
              <w:rPr>
                <w:bCs/>
                <w:sz w:val="26"/>
                <w:szCs w:val="26"/>
              </w:rPr>
              <w:t xml:space="preserve">iks </w:t>
            </w:r>
            <w:r w:rsidRPr="003F4F05">
              <w:rPr>
                <w:bCs/>
                <w:sz w:val="26"/>
                <w:szCs w:val="26"/>
              </w:rPr>
              <w:t>īstenot</w:t>
            </w:r>
            <w:r w:rsidR="00104291" w:rsidRPr="003F4F05">
              <w:rPr>
                <w:bCs/>
                <w:sz w:val="26"/>
                <w:szCs w:val="26"/>
              </w:rPr>
              <w:t>a</w:t>
            </w:r>
            <w:r w:rsidRPr="003F4F05">
              <w:rPr>
                <w:bCs/>
                <w:sz w:val="26"/>
                <w:szCs w:val="26"/>
              </w:rPr>
              <w:t xml:space="preserve"> kā pilotprojekts</w:t>
            </w:r>
            <w:r w:rsidR="00104291" w:rsidRPr="003F4F05">
              <w:rPr>
                <w:bCs/>
                <w:sz w:val="26"/>
                <w:szCs w:val="26"/>
              </w:rPr>
              <w:t xml:space="preserve"> un tā darbība </w:t>
            </w:r>
            <w:r w:rsidR="00320053" w:rsidRPr="003F4F05">
              <w:rPr>
                <w:bCs/>
                <w:sz w:val="26"/>
                <w:szCs w:val="26"/>
              </w:rPr>
              <w:t>plānot</w:t>
            </w:r>
            <w:r w:rsidR="00104291" w:rsidRPr="003F4F05">
              <w:rPr>
                <w:bCs/>
                <w:sz w:val="26"/>
                <w:szCs w:val="26"/>
              </w:rPr>
              <w:t>a</w:t>
            </w:r>
            <w:r w:rsidR="00320053" w:rsidRPr="003F4F05">
              <w:rPr>
                <w:bCs/>
                <w:sz w:val="26"/>
                <w:szCs w:val="26"/>
              </w:rPr>
              <w:t xml:space="preserve"> </w:t>
            </w:r>
            <w:r w:rsidRPr="003F4F05">
              <w:rPr>
                <w:bCs/>
                <w:sz w:val="26"/>
                <w:szCs w:val="26"/>
              </w:rPr>
              <w:t xml:space="preserve">no </w:t>
            </w:r>
            <w:r w:rsidR="00E727A2" w:rsidRPr="003F4F05">
              <w:rPr>
                <w:bCs/>
                <w:sz w:val="26"/>
                <w:szCs w:val="26"/>
              </w:rPr>
              <w:t>2015</w:t>
            </w:r>
            <w:r w:rsidRPr="003F4F05">
              <w:rPr>
                <w:bCs/>
                <w:sz w:val="26"/>
                <w:szCs w:val="26"/>
              </w:rPr>
              <w:t xml:space="preserve">.gada </w:t>
            </w:r>
            <w:r w:rsidR="00E727A2" w:rsidRPr="003F4F05">
              <w:rPr>
                <w:bCs/>
                <w:sz w:val="26"/>
                <w:szCs w:val="26"/>
              </w:rPr>
              <w:t>5</w:t>
            </w:r>
            <w:r w:rsidR="00F04699" w:rsidRPr="003F4F05">
              <w:rPr>
                <w:bCs/>
                <w:sz w:val="26"/>
                <w:szCs w:val="26"/>
              </w:rPr>
              <w:t>.</w:t>
            </w:r>
            <w:r w:rsidR="00E727A2" w:rsidRPr="003F4F05">
              <w:rPr>
                <w:bCs/>
                <w:sz w:val="26"/>
                <w:szCs w:val="26"/>
              </w:rPr>
              <w:t xml:space="preserve">janvāra </w:t>
            </w:r>
            <w:r w:rsidRPr="003F4F05">
              <w:rPr>
                <w:bCs/>
                <w:sz w:val="26"/>
                <w:szCs w:val="26"/>
              </w:rPr>
              <w:t>līdz 2015.gada 31.decembrim. Tajā tiks izvietota</w:t>
            </w:r>
            <w:r w:rsidR="003D1F88" w:rsidRPr="003F4F05">
              <w:rPr>
                <w:bCs/>
                <w:sz w:val="26"/>
                <w:szCs w:val="26"/>
              </w:rPr>
              <w:t>s arī Labklājības ministrijas (turpmāk – LM) padotībā esošās iestādes -</w:t>
            </w:r>
            <w:r w:rsidRPr="003F4F05">
              <w:rPr>
                <w:bCs/>
                <w:sz w:val="26"/>
                <w:szCs w:val="26"/>
              </w:rPr>
              <w:t xml:space="preserve"> </w:t>
            </w:r>
            <w:r w:rsidRPr="003F4F05">
              <w:rPr>
                <w:sz w:val="26"/>
                <w:szCs w:val="26"/>
              </w:rPr>
              <w:t>Nodarbinātības valsts aģentūra</w:t>
            </w:r>
            <w:r w:rsidRPr="003F4F05">
              <w:rPr>
                <w:bCs/>
                <w:sz w:val="26"/>
                <w:szCs w:val="26"/>
              </w:rPr>
              <w:t xml:space="preserve"> (divas darba vietas; iznomātā platība 29,16 m</w:t>
            </w:r>
            <w:r w:rsidRPr="003F4F05">
              <w:rPr>
                <w:bCs/>
                <w:sz w:val="26"/>
                <w:szCs w:val="26"/>
                <w:vertAlign w:val="superscript"/>
              </w:rPr>
              <w:t>2</w:t>
            </w:r>
            <w:r w:rsidRPr="003F4F05">
              <w:rPr>
                <w:bCs/>
                <w:sz w:val="26"/>
                <w:szCs w:val="26"/>
              </w:rPr>
              <w:t xml:space="preserve">), </w:t>
            </w:r>
            <w:r w:rsidRPr="003F4F05">
              <w:rPr>
                <w:sz w:val="26"/>
                <w:szCs w:val="26"/>
              </w:rPr>
              <w:t>Valsts sociālās apdrošināšanas aģentūra</w:t>
            </w:r>
            <w:r w:rsidRPr="003F4F05">
              <w:rPr>
                <w:bCs/>
                <w:sz w:val="26"/>
                <w:szCs w:val="26"/>
              </w:rPr>
              <w:t xml:space="preserve"> (divas darba vietas; iznomātā platība 29,16 m</w:t>
            </w:r>
            <w:r w:rsidRPr="003F4F05">
              <w:rPr>
                <w:bCs/>
                <w:sz w:val="26"/>
                <w:szCs w:val="26"/>
                <w:vertAlign w:val="superscript"/>
              </w:rPr>
              <w:t>2</w:t>
            </w:r>
            <w:r w:rsidRPr="003F4F05">
              <w:rPr>
                <w:bCs/>
                <w:sz w:val="26"/>
                <w:szCs w:val="26"/>
              </w:rPr>
              <w:t xml:space="preserve">), </w:t>
            </w:r>
            <w:r w:rsidRPr="003F4F05">
              <w:rPr>
                <w:sz w:val="26"/>
                <w:szCs w:val="26"/>
              </w:rPr>
              <w:t xml:space="preserve">Valsts darba inspekcija </w:t>
            </w:r>
            <w:r w:rsidRPr="003F4F05">
              <w:rPr>
                <w:bCs/>
                <w:sz w:val="26"/>
                <w:szCs w:val="26"/>
              </w:rPr>
              <w:t>(viena darba vieta; iznomātā platība 21,24 m</w:t>
            </w:r>
            <w:r w:rsidRPr="003F4F05">
              <w:rPr>
                <w:bCs/>
                <w:sz w:val="26"/>
                <w:szCs w:val="26"/>
                <w:vertAlign w:val="superscript"/>
              </w:rPr>
              <w:t>2</w:t>
            </w:r>
            <w:r w:rsidR="00F04699" w:rsidRPr="003F4F05">
              <w:rPr>
                <w:bCs/>
                <w:sz w:val="26"/>
                <w:szCs w:val="26"/>
              </w:rPr>
              <w:t>)</w:t>
            </w:r>
            <w:r w:rsidR="00E727A2" w:rsidRPr="003F4F05">
              <w:rPr>
                <w:bCs/>
                <w:sz w:val="26"/>
                <w:szCs w:val="26"/>
              </w:rPr>
              <w:t>, attiecīgi minētajā laika periodā samazinot VID nomāto telpu platību</w:t>
            </w:r>
            <w:r w:rsidRPr="003F4F05">
              <w:rPr>
                <w:bCs/>
                <w:sz w:val="26"/>
                <w:szCs w:val="26"/>
              </w:rPr>
              <w:t>.</w:t>
            </w:r>
          </w:p>
          <w:p w:rsidR="009345C4" w:rsidRPr="003F4F05" w:rsidRDefault="009345C4" w:rsidP="00A94744">
            <w:pPr>
              <w:pStyle w:val="naiskr"/>
              <w:tabs>
                <w:tab w:val="left" w:pos="366"/>
              </w:tabs>
              <w:spacing w:before="120" w:beforeAutospacing="0" w:after="120" w:afterAutospacing="0"/>
              <w:ind w:right="140"/>
              <w:jc w:val="both"/>
              <w:rPr>
                <w:bCs/>
                <w:sz w:val="26"/>
                <w:szCs w:val="26"/>
              </w:rPr>
            </w:pPr>
            <w:r w:rsidRPr="003F4F05">
              <w:rPr>
                <w:bCs/>
                <w:sz w:val="26"/>
                <w:szCs w:val="26"/>
              </w:rPr>
              <w:t>Paredzēts, ka VNĪ ar katru no minētajām valsts iestādēm</w:t>
            </w:r>
            <w:r w:rsidR="00F04699" w:rsidRPr="003F4F05">
              <w:rPr>
                <w:bCs/>
                <w:sz w:val="26"/>
                <w:szCs w:val="26"/>
              </w:rPr>
              <w:t xml:space="preserve"> </w:t>
            </w:r>
            <w:r w:rsidRPr="003F4F05">
              <w:rPr>
                <w:bCs/>
                <w:sz w:val="26"/>
                <w:szCs w:val="26"/>
              </w:rPr>
              <w:t>slēgs atsevišķu apakšnomas līgumu.</w:t>
            </w:r>
            <w:r w:rsidR="006F6F4C" w:rsidRPr="003F4F05">
              <w:rPr>
                <w:bCs/>
                <w:sz w:val="26"/>
                <w:szCs w:val="26"/>
              </w:rPr>
              <w:t xml:space="preserve"> </w:t>
            </w:r>
          </w:p>
          <w:p w:rsidR="00320053" w:rsidRPr="003F4F05" w:rsidRDefault="006F6F4C" w:rsidP="006F6F4C">
            <w:pPr>
              <w:pStyle w:val="naiskr"/>
              <w:tabs>
                <w:tab w:val="left" w:pos="366"/>
              </w:tabs>
              <w:spacing w:before="120" w:beforeAutospacing="0" w:after="120" w:afterAutospacing="0"/>
              <w:ind w:right="140"/>
              <w:jc w:val="both"/>
              <w:rPr>
                <w:bCs/>
                <w:sz w:val="26"/>
                <w:szCs w:val="26"/>
              </w:rPr>
            </w:pPr>
            <w:r w:rsidRPr="003F4F05">
              <w:rPr>
                <w:bCs/>
                <w:sz w:val="26"/>
                <w:szCs w:val="26"/>
              </w:rPr>
              <w:t xml:space="preserve">Tā kā 2014.gadā </w:t>
            </w:r>
            <w:r w:rsidR="009345C4" w:rsidRPr="003F4F05">
              <w:rPr>
                <w:bCs/>
                <w:sz w:val="26"/>
                <w:szCs w:val="26"/>
              </w:rPr>
              <w:t>d</w:t>
            </w:r>
            <w:r w:rsidR="00803B10" w:rsidRPr="003F4F05">
              <w:rPr>
                <w:bCs/>
                <w:sz w:val="26"/>
                <w:szCs w:val="26"/>
              </w:rPr>
              <w:t>aļu no minētā finansējuma nepieciešams pārdalīt minētajām</w:t>
            </w:r>
            <w:r w:rsidR="009345C4" w:rsidRPr="003F4F05">
              <w:rPr>
                <w:bCs/>
                <w:sz w:val="26"/>
                <w:szCs w:val="26"/>
              </w:rPr>
              <w:t xml:space="preserve"> valsts</w:t>
            </w:r>
            <w:r w:rsidR="00803B10" w:rsidRPr="003F4F05">
              <w:rPr>
                <w:bCs/>
                <w:sz w:val="26"/>
                <w:szCs w:val="26"/>
              </w:rPr>
              <w:t xml:space="preserve"> iestādēm, lai nodrošinātu </w:t>
            </w:r>
            <w:r w:rsidR="00F04699" w:rsidRPr="003F4F05">
              <w:rPr>
                <w:bCs/>
                <w:sz w:val="26"/>
                <w:szCs w:val="26"/>
              </w:rPr>
              <w:t xml:space="preserve">vienreizējo </w:t>
            </w:r>
            <w:r w:rsidR="00803B10" w:rsidRPr="003F4F05">
              <w:rPr>
                <w:bCs/>
                <w:sz w:val="26"/>
                <w:szCs w:val="26"/>
              </w:rPr>
              <w:t xml:space="preserve">izdevumu segšanu </w:t>
            </w:r>
            <w:r w:rsidR="00F04699" w:rsidRPr="003F4F05">
              <w:rPr>
                <w:bCs/>
                <w:sz w:val="26"/>
                <w:szCs w:val="26"/>
              </w:rPr>
              <w:t>(</w:t>
            </w:r>
            <w:r w:rsidR="00F5688E" w:rsidRPr="003F4F05">
              <w:rPr>
                <w:bCs/>
                <w:sz w:val="26"/>
                <w:szCs w:val="26"/>
              </w:rPr>
              <w:t xml:space="preserve">VID un </w:t>
            </w:r>
            <w:r w:rsidR="00513EC8" w:rsidRPr="003F4F05">
              <w:rPr>
                <w:bCs/>
                <w:sz w:val="26"/>
                <w:szCs w:val="26"/>
              </w:rPr>
              <w:t>LM</w:t>
            </w:r>
            <w:r w:rsidR="00F04699" w:rsidRPr="003F4F05">
              <w:rPr>
                <w:bCs/>
                <w:sz w:val="26"/>
                <w:szCs w:val="26"/>
              </w:rPr>
              <w:t xml:space="preserve">) </w:t>
            </w:r>
            <w:r w:rsidRPr="003F4F05">
              <w:rPr>
                <w:bCs/>
                <w:sz w:val="26"/>
                <w:szCs w:val="26"/>
              </w:rPr>
              <w:t>2014.gadā</w:t>
            </w:r>
            <w:r w:rsidR="00803B10" w:rsidRPr="003F4F05">
              <w:rPr>
                <w:bCs/>
                <w:sz w:val="26"/>
                <w:szCs w:val="26"/>
              </w:rPr>
              <w:t>.</w:t>
            </w:r>
            <w:r w:rsidRPr="003F4F05">
              <w:rPr>
                <w:bCs/>
                <w:sz w:val="26"/>
                <w:szCs w:val="26"/>
              </w:rPr>
              <w:t xml:space="preserve"> </w:t>
            </w:r>
            <w:r w:rsidR="00F04699" w:rsidRPr="003F4F05">
              <w:rPr>
                <w:bCs/>
                <w:sz w:val="26"/>
                <w:szCs w:val="26"/>
              </w:rPr>
              <w:t>Vienlaikus</w:t>
            </w:r>
            <w:r w:rsidR="000F7667" w:rsidRPr="003F4F05">
              <w:rPr>
                <w:bCs/>
                <w:sz w:val="26"/>
                <w:szCs w:val="26"/>
              </w:rPr>
              <w:t>, lai nodrošinātu VVK</w:t>
            </w:r>
            <w:r w:rsidR="00245DA3" w:rsidRPr="003F4F05">
              <w:rPr>
                <w:bCs/>
                <w:sz w:val="26"/>
                <w:szCs w:val="26"/>
              </w:rPr>
              <w:t>A</w:t>
            </w:r>
            <w:r w:rsidR="000F7667" w:rsidRPr="003F4F05">
              <w:rPr>
                <w:bCs/>
                <w:sz w:val="26"/>
                <w:szCs w:val="26"/>
              </w:rPr>
              <w:t>C darbību 2015.gadā,</w:t>
            </w:r>
            <w:r w:rsidR="00F04699" w:rsidRPr="003F4F05">
              <w:rPr>
                <w:bCs/>
                <w:sz w:val="26"/>
                <w:szCs w:val="26"/>
              </w:rPr>
              <w:t xml:space="preserve"> </w:t>
            </w:r>
            <w:r w:rsidRPr="003F4F05">
              <w:rPr>
                <w:bCs/>
                <w:sz w:val="26"/>
                <w:szCs w:val="26"/>
              </w:rPr>
              <w:t xml:space="preserve">nepieciešams </w:t>
            </w:r>
            <w:r w:rsidR="00F04699" w:rsidRPr="003F4F05">
              <w:rPr>
                <w:bCs/>
                <w:sz w:val="26"/>
                <w:szCs w:val="26"/>
              </w:rPr>
              <w:t xml:space="preserve">precizēt finansējumu bāzē 2015.gadam, samazinot finansējumu </w:t>
            </w:r>
            <w:r w:rsidRPr="003F4F05">
              <w:rPr>
                <w:bCs/>
                <w:sz w:val="26"/>
                <w:szCs w:val="26"/>
              </w:rPr>
              <w:t xml:space="preserve">VID </w:t>
            </w:r>
            <w:r w:rsidR="001F45CA" w:rsidRPr="003F4F05">
              <w:rPr>
                <w:bCs/>
                <w:sz w:val="26"/>
                <w:szCs w:val="26"/>
              </w:rPr>
              <w:t xml:space="preserve">bāzes izdevumiem </w:t>
            </w:r>
            <w:r w:rsidRPr="003F4F05">
              <w:rPr>
                <w:bCs/>
                <w:sz w:val="26"/>
                <w:szCs w:val="26"/>
              </w:rPr>
              <w:t xml:space="preserve">un </w:t>
            </w:r>
            <w:r w:rsidR="00F04699" w:rsidRPr="003F4F05">
              <w:rPr>
                <w:bCs/>
                <w:sz w:val="26"/>
                <w:szCs w:val="26"/>
              </w:rPr>
              <w:t xml:space="preserve">attiecīgi </w:t>
            </w:r>
            <w:r w:rsidR="00CF19D7" w:rsidRPr="003F4F05">
              <w:rPr>
                <w:bCs/>
                <w:sz w:val="26"/>
                <w:szCs w:val="26"/>
              </w:rPr>
              <w:t>palielin</w:t>
            </w:r>
            <w:r w:rsidR="00F04699" w:rsidRPr="003F4F05">
              <w:rPr>
                <w:bCs/>
                <w:sz w:val="26"/>
                <w:szCs w:val="26"/>
              </w:rPr>
              <w:t>o</w:t>
            </w:r>
            <w:r w:rsidRPr="003F4F05">
              <w:rPr>
                <w:bCs/>
                <w:sz w:val="26"/>
                <w:szCs w:val="26"/>
              </w:rPr>
              <w:t xml:space="preserve">t </w:t>
            </w:r>
            <w:r w:rsidR="001F45CA" w:rsidRPr="003F4F05">
              <w:rPr>
                <w:bCs/>
                <w:sz w:val="26"/>
                <w:szCs w:val="26"/>
              </w:rPr>
              <w:t xml:space="preserve">bāzes izdevumus </w:t>
            </w:r>
            <w:r w:rsidRPr="003F4F05">
              <w:rPr>
                <w:bCs/>
                <w:sz w:val="26"/>
                <w:szCs w:val="26"/>
              </w:rPr>
              <w:t>minētajām valsts iestādēm</w:t>
            </w:r>
            <w:r w:rsidR="000F7667" w:rsidRPr="003F4F05">
              <w:rPr>
                <w:bCs/>
                <w:sz w:val="26"/>
                <w:szCs w:val="26"/>
              </w:rPr>
              <w:t xml:space="preserve"> nomas maksas segšanai VNĪ un uzturēšanas izdevumu segšanai</w:t>
            </w:r>
            <w:r w:rsidRPr="003F4F05">
              <w:rPr>
                <w:bCs/>
                <w:sz w:val="26"/>
                <w:szCs w:val="26"/>
              </w:rPr>
              <w:t>.</w:t>
            </w:r>
          </w:p>
          <w:p w:rsidR="00104291" w:rsidRPr="003F4F05" w:rsidRDefault="009345C4" w:rsidP="00E60203">
            <w:pPr>
              <w:pStyle w:val="naiskr"/>
              <w:tabs>
                <w:tab w:val="left" w:pos="366"/>
              </w:tabs>
              <w:spacing w:before="120" w:beforeAutospacing="0" w:after="120" w:afterAutospacing="0"/>
              <w:ind w:right="140"/>
              <w:jc w:val="both"/>
              <w:rPr>
                <w:bCs/>
                <w:sz w:val="26"/>
                <w:szCs w:val="26"/>
              </w:rPr>
            </w:pPr>
            <w:r w:rsidRPr="003F4F05">
              <w:rPr>
                <w:bCs/>
                <w:sz w:val="26"/>
                <w:szCs w:val="26"/>
              </w:rPr>
              <w:t>Telpu nomas</w:t>
            </w:r>
            <w:r w:rsidR="00CF19D7" w:rsidRPr="003F4F05">
              <w:rPr>
                <w:bCs/>
                <w:sz w:val="26"/>
                <w:szCs w:val="26"/>
              </w:rPr>
              <w:t xml:space="preserve"> </w:t>
            </w:r>
            <w:r w:rsidR="004D134E" w:rsidRPr="003F4F05">
              <w:rPr>
                <w:bCs/>
                <w:sz w:val="26"/>
                <w:szCs w:val="26"/>
              </w:rPr>
              <w:t xml:space="preserve">maksas </w:t>
            </w:r>
            <w:r w:rsidR="00CF19D7" w:rsidRPr="003F4F05">
              <w:rPr>
                <w:bCs/>
                <w:sz w:val="26"/>
                <w:szCs w:val="26"/>
              </w:rPr>
              <w:t>un</w:t>
            </w:r>
            <w:r w:rsidRPr="003F4F05">
              <w:rPr>
                <w:bCs/>
                <w:sz w:val="26"/>
                <w:szCs w:val="26"/>
              </w:rPr>
              <w:t xml:space="preserve"> uzturēšanas izdevumi tiek aprēķināti katrai iestādei proporcionāli plānotajai nomātai telpu platībai (arī par koplietošanas telpām)</w:t>
            </w:r>
            <w:r w:rsidR="00CF19D7" w:rsidRPr="003F4F05">
              <w:rPr>
                <w:bCs/>
                <w:sz w:val="26"/>
                <w:szCs w:val="26"/>
              </w:rPr>
              <w:t>,</w:t>
            </w:r>
            <w:r w:rsidRPr="003F4F05">
              <w:rPr>
                <w:bCs/>
                <w:sz w:val="26"/>
                <w:szCs w:val="26"/>
              </w:rPr>
              <w:t xml:space="preserve"> izņemot maksu par elektroenerģijas </w:t>
            </w:r>
            <w:r w:rsidRPr="003F4F05">
              <w:rPr>
                <w:bCs/>
                <w:sz w:val="26"/>
                <w:szCs w:val="26"/>
              </w:rPr>
              <w:lastRenderedPageBreak/>
              <w:t xml:space="preserve">patēriņu, kas </w:t>
            </w:r>
            <w:r w:rsidR="00320053" w:rsidRPr="003F4F05">
              <w:rPr>
                <w:bCs/>
                <w:sz w:val="26"/>
                <w:szCs w:val="26"/>
              </w:rPr>
              <w:t xml:space="preserve">minētajām LM </w:t>
            </w:r>
            <w:r w:rsidR="003D1F88" w:rsidRPr="003F4F05">
              <w:rPr>
                <w:bCs/>
                <w:sz w:val="26"/>
                <w:szCs w:val="26"/>
              </w:rPr>
              <w:t xml:space="preserve">padotībā esošajām </w:t>
            </w:r>
            <w:r w:rsidR="00320053" w:rsidRPr="003F4F05">
              <w:rPr>
                <w:bCs/>
                <w:sz w:val="26"/>
                <w:szCs w:val="26"/>
              </w:rPr>
              <w:t>iestādēm</w:t>
            </w:r>
            <w:r w:rsidR="00320053" w:rsidRPr="003F4F05">
              <w:rPr>
                <w:sz w:val="26"/>
                <w:szCs w:val="26"/>
              </w:rPr>
              <w:t xml:space="preserve"> </w:t>
            </w:r>
            <w:r w:rsidR="005922EC" w:rsidRPr="003F4F05">
              <w:rPr>
                <w:bCs/>
                <w:sz w:val="26"/>
                <w:szCs w:val="26"/>
              </w:rPr>
              <w:t>tiks</w:t>
            </w:r>
            <w:r w:rsidRPr="003F4F05">
              <w:rPr>
                <w:bCs/>
                <w:sz w:val="26"/>
                <w:szCs w:val="26"/>
              </w:rPr>
              <w:t xml:space="preserve"> </w:t>
            </w:r>
            <w:r w:rsidR="00CF19D7" w:rsidRPr="003F4F05">
              <w:rPr>
                <w:bCs/>
                <w:sz w:val="26"/>
                <w:szCs w:val="26"/>
              </w:rPr>
              <w:t xml:space="preserve">aprēķināta </w:t>
            </w:r>
            <w:r w:rsidR="00DA4BE1" w:rsidRPr="003F4F05">
              <w:rPr>
                <w:bCs/>
                <w:sz w:val="26"/>
                <w:szCs w:val="26"/>
              </w:rPr>
              <w:t xml:space="preserve">1,5 </w:t>
            </w:r>
            <w:r w:rsidR="00B679D9" w:rsidRPr="003F4F05">
              <w:rPr>
                <w:bCs/>
                <w:sz w:val="26"/>
                <w:szCs w:val="26"/>
              </w:rPr>
              <w:t xml:space="preserve">kWh </w:t>
            </w:r>
            <w:r w:rsidRPr="003F4F05">
              <w:rPr>
                <w:bCs/>
                <w:sz w:val="26"/>
                <w:szCs w:val="26"/>
              </w:rPr>
              <w:t xml:space="preserve">uz vienu </w:t>
            </w:r>
            <w:r w:rsidR="00DA4BE1" w:rsidRPr="003F4F05">
              <w:rPr>
                <w:bCs/>
                <w:sz w:val="26"/>
                <w:szCs w:val="26"/>
              </w:rPr>
              <w:t>kvadrātmetru</w:t>
            </w:r>
            <w:r w:rsidR="005922EC" w:rsidRPr="003F4F05">
              <w:rPr>
                <w:bCs/>
                <w:sz w:val="26"/>
                <w:szCs w:val="26"/>
              </w:rPr>
              <w:t xml:space="preserve"> mēnesī</w:t>
            </w:r>
            <w:r w:rsidRPr="003F4F05">
              <w:rPr>
                <w:bCs/>
                <w:sz w:val="26"/>
                <w:szCs w:val="26"/>
              </w:rPr>
              <w:t>.</w:t>
            </w:r>
            <w:r w:rsidR="00ED71EA" w:rsidRPr="003F4F05">
              <w:rPr>
                <w:bCs/>
                <w:sz w:val="26"/>
                <w:szCs w:val="26"/>
              </w:rPr>
              <w:t xml:space="preserve"> Izdevumi par elektroenerģiju aprēķināti pēc faktiskā tarifa. </w:t>
            </w:r>
            <w:r w:rsidR="00320053" w:rsidRPr="003F4F05">
              <w:rPr>
                <w:bCs/>
                <w:sz w:val="26"/>
                <w:szCs w:val="26"/>
              </w:rPr>
              <w:t xml:space="preserve"> </w:t>
            </w:r>
          </w:p>
          <w:p w:rsidR="00FD04D8" w:rsidRPr="003F4F05" w:rsidRDefault="00B76A2F" w:rsidP="00E60203">
            <w:pPr>
              <w:pStyle w:val="naiskr"/>
              <w:tabs>
                <w:tab w:val="left" w:pos="366"/>
              </w:tabs>
              <w:spacing w:before="120" w:beforeAutospacing="0" w:after="120" w:afterAutospacing="0"/>
              <w:ind w:right="140"/>
              <w:jc w:val="both"/>
              <w:rPr>
                <w:bCs/>
                <w:sz w:val="26"/>
                <w:szCs w:val="26"/>
              </w:rPr>
            </w:pPr>
            <w:r w:rsidRPr="003F4F05">
              <w:rPr>
                <w:bCs/>
                <w:sz w:val="26"/>
                <w:szCs w:val="26"/>
              </w:rPr>
              <w:t>Saistīb</w:t>
            </w:r>
            <w:r w:rsidR="005B1C54" w:rsidRPr="003F4F05">
              <w:rPr>
                <w:bCs/>
                <w:sz w:val="26"/>
                <w:szCs w:val="26"/>
              </w:rPr>
              <w:t xml:space="preserve">ā ar </w:t>
            </w:r>
            <w:r w:rsidR="00C715A8" w:rsidRPr="003F4F05">
              <w:rPr>
                <w:bCs/>
                <w:sz w:val="26"/>
                <w:szCs w:val="26"/>
              </w:rPr>
              <w:t>VV</w:t>
            </w:r>
            <w:r w:rsidR="005B1C54" w:rsidRPr="003F4F05">
              <w:rPr>
                <w:bCs/>
                <w:sz w:val="26"/>
                <w:szCs w:val="26"/>
              </w:rPr>
              <w:t>KAC izveidi</w:t>
            </w:r>
            <w:r w:rsidRPr="003F4F05">
              <w:rPr>
                <w:bCs/>
                <w:sz w:val="26"/>
                <w:szCs w:val="26"/>
              </w:rPr>
              <w:t xml:space="preserve"> </w:t>
            </w:r>
            <w:r w:rsidR="00FD04D8" w:rsidRPr="003F4F05">
              <w:rPr>
                <w:bCs/>
                <w:sz w:val="26"/>
                <w:szCs w:val="26"/>
              </w:rPr>
              <w:t xml:space="preserve">2014.gadā </w:t>
            </w:r>
            <w:r w:rsidRPr="003F4F05">
              <w:rPr>
                <w:bCs/>
                <w:sz w:val="26"/>
                <w:szCs w:val="26"/>
              </w:rPr>
              <w:t xml:space="preserve">ir nepieciešams </w:t>
            </w:r>
            <w:r w:rsidR="00FD04D8" w:rsidRPr="003F4F05">
              <w:rPr>
                <w:bCs/>
                <w:sz w:val="26"/>
                <w:szCs w:val="26"/>
              </w:rPr>
              <w:t>paredzēt vienreizējus izdevumus</w:t>
            </w:r>
            <w:r w:rsidRPr="003F4F05">
              <w:rPr>
                <w:bCs/>
                <w:sz w:val="26"/>
                <w:szCs w:val="26"/>
              </w:rPr>
              <w:t xml:space="preserve"> </w:t>
            </w:r>
            <w:r w:rsidR="00FD04D8" w:rsidRPr="003F4F05">
              <w:rPr>
                <w:bCs/>
                <w:sz w:val="26"/>
                <w:szCs w:val="26"/>
              </w:rPr>
              <w:t xml:space="preserve">VID </w:t>
            </w:r>
            <w:r w:rsidRPr="003F4F05">
              <w:rPr>
                <w:bCs/>
                <w:sz w:val="26"/>
                <w:szCs w:val="26"/>
              </w:rPr>
              <w:t>rindu regulēšanas sistēma</w:t>
            </w:r>
            <w:r w:rsidR="00FD04D8" w:rsidRPr="003F4F05">
              <w:rPr>
                <w:bCs/>
                <w:sz w:val="26"/>
                <w:szCs w:val="26"/>
              </w:rPr>
              <w:t xml:space="preserve">s papildināšanai un informatīvo norāžu izgatavošanai, bet LM izdevumiem, kas saistīti ar informācijas tehnoloģiju sistēmas </w:t>
            </w:r>
            <w:r w:rsidR="0029710A" w:rsidRPr="003F4F05">
              <w:rPr>
                <w:bCs/>
                <w:sz w:val="26"/>
                <w:szCs w:val="26"/>
              </w:rPr>
              <w:t>izveidošanu</w:t>
            </w:r>
            <w:r w:rsidR="00FD04D8" w:rsidRPr="003F4F05">
              <w:rPr>
                <w:bCs/>
                <w:sz w:val="26"/>
                <w:szCs w:val="26"/>
              </w:rPr>
              <w:t xml:space="preserve">, veicot </w:t>
            </w:r>
            <w:r w:rsidR="00826436" w:rsidRPr="003F4F05">
              <w:rPr>
                <w:bCs/>
                <w:sz w:val="26"/>
                <w:szCs w:val="26"/>
              </w:rPr>
              <w:t xml:space="preserve">apropriācijas </w:t>
            </w:r>
            <w:r w:rsidR="00FD04D8" w:rsidRPr="003F4F05">
              <w:rPr>
                <w:bCs/>
                <w:sz w:val="26"/>
                <w:szCs w:val="26"/>
              </w:rPr>
              <w:t xml:space="preserve">pārdali no </w:t>
            </w:r>
            <w:r w:rsidR="002C07BB" w:rsidRPr="003F4F05">
              <w:rPr>
                <w:sz w:val="26"/>
                <w:szCs w:val="26"/>
              </w:rPr>
              <w:t>aprīkojuma (piemēram, mēbeles, iekārtas, tehniskais aprīkojums) iegādes un ar to saistīto izdevumu segšanai</w:t>
            </w:r>
            <w:r w:rsidR="002C07BB" w:rsidRPr="003F4F05">
              <w:rPr>
                <w:bCs/>
                <w:sz w:val="26"/>
                <w:szCs w:val="26"/>
              </w:rPr>
              <w:t xml:space="preserve"> piešķirtā finansējuma 2014.gadā</w:t>
            </w:r>
            <w:r w:rsidR="00826436" w:rsidRPr="003F4F05">
              <w:rPr>
                <w:bCs/>
                <w:sz w:val="26"/>
                <w:szCs w:val="26"/>
              </w:rPr>
              <w:t>.</w:t>
            </w:r>
          </w:p>
          <w:p w:rsidR="00B91923" w:rsidRPr="003F4F05" w:rsidRDefault="00B91923" w:rsidP="00B91923">
            <w:pPr>
              <w:pStyle w:val="naiskr"/>
              <w:tabs>
                <w:tab w:val="left" w:pos="366"/>
              </w:tabs>
              <w:spacing w:before="0" w:beforeAutospacing="0" w:after="0" w:afterAutospacing="0"/>
              <w:ind w:right="140"/>
              <w:jc w:val="both"/>
              <w:rPr>
                <w:bCs/>
                <w:sz w:val="26"/>
                <w:szCs w:val="26"/>
              </w:rPr>
            </w:pPr>
            <w:r w:rsidRPr="003F4F05">
              <w:rPr>
                <w:bCs/>
                <w:sz w:val="26"/>
                <w:szCs w:val="26"/>
              </w:rPr>
              <w:t>2012.gada 21.maijā VID Finanšu policijas pārvaldē tika uzsākts kriminālprocess pēc Krimināllikuma 218.panta otrās daļas par SIA “PICA SERVISS” izvairīšanos no nodokļu un tiem pielīdzināto maksājumu nomaksas. 2014.gada 7.aprīlī, veicot pirmstiesas izmeklēšanu, kriminālprocess tika pārkvalificēts pēc Krimināllikuma 218.panta trešās daļas par izvairīšanos no nodokļu un tiem pielīdzināto maksājumu nomaksas, ja tas izdarīts organizētā grupā.</w:t>
            </w:r>
          </w:p>
          <w:p w:rsidR="00B91923" w:rsidRPr="003F4F05" w:rsidRDefault="00B91923" w:rsidP="00B91923">
            <w:pPr>
              <w:pStyle w:val="naiskr"/>
              <w:tabs>
                <w:tab w:val="left" w:pos="366"/>
              </w:tabs>
              <w:spacing w:before="240" w:beforeAutospacing="0" w:after="120"/>
              <w:ind w:right="140"/>
              <w:jc w:val="both"/>
              <w:rPr>
                <w:bCs/>
                <w:sz w:val="26"/>
                <w:szCs w:val="26"/>
              </w:rPr>
            </w:pPr>
            <w:r w:rsidRPr="003F4F05">
              <w:rPr>
                <w:bCs/>
                <w:sz w:val="26"/>
                <w:szCs w:val="26"/>
              </w:rPr>
              <w:t xml:space="preserve">Intensīva darba un informācijas pārbaudes rezultātā, kuras laikā, izmantojot iegūtās zināšanas un uzkrāto pieredzi, tika identificētas iespējamās noziedzīgo nodarījumu izdarīšanas vietas un lietisko pierādījumu atrašanās vietas, ko nodrošināja operatīvā darbinieka un izmeklētāja profesionalitāte, kriminālprocesa ietvaros 2012.gada 4.jūnijā VID Finanšu policijas pārvaldes darbinieki veica kratīšanas SIA “PICA SERVISS” struktūrvienībās Liepājā, Daugavpilī, Ogrē, Siguldā, Valmierā un Jelgavā, birojā un citās vietās. Kratīšanu laikā izņemti grāmatvedības dokumenti, elektronisko datu serveri un citi pierādījumi, kā arī skaidra nauda 17 120,15 </w:t>
            </w:r>
            <w:r w:rsidR="005B2307" w:rsidRPr="003F4F05">
              <w:rPr>
                <w:bCs/>
                <w:sz w:val="26"/>
                <w:szCs w:val="26"/>
              </w:rPr>
              <w:t>lati</w:t>
            </w:r>
            <w:r w:rsidRPr="003F4F05">
              <w:rPr>
                <w:bCs/>
                <w:sz w:val="26"/>
                <w:szCs w:val="26"/>
              </w:rPr>
              <w:t xml:space="preserve"> un 1</w:t>
            </w:r>
            <w:r w:rsidR="000A6F90" w:rsidRPr="003F4F05">
              <w:rPr>
                <w:bCs/>
                <w:sz w:val="26"/>
                <w:szCs w:val="26"/>
              </w:rPr>
              <w:t> </w:t>
            </w:r>
            <w:r w:rsidRPr="003F4F05">
              <w:rPr>
                <w:bCs/>
                <w:sz w:val="26"/>
                <w:szCs w:val="26"/>
              </w:rPr>
              <w:t xml:space="preserve">421,95 </w:t>
            </w:r>
            <w:r w:rsidRPr="003F4F05">
              <w:rPr>
                <w:i/>
                <w:sz w:val="26"/>
                <w:szCs w:val="26"/>
              </w:rPr>
              <w:t>euro</w:t>
            </w:r>
            <w:r w:rsidRPr="003F4F05">
              <w:rPr>
                <w:bCs/>
                <w:sz w:val="26"/>
                <w:szCs w:val="26"/>
              </w:rPr>
              <w:t xml:space="preserve"> apmērā.</w:t>
            </w:r>
          </w:p>
          <w:p w:rsidR="00B91923" w:rsidRPr="003F4F05" w:rsidRDefault="00B91923" w:rsidP="00B91923">
            <w:pPr>
              <w:pStyle w:val="naiskr"/>
              <w:tabs>
                <w:tab w:val="left" w:pos="366"/>
              </w:tabs>
              <w:spacing w:before="120" w:after="120"/>
              <w:ind w:right="140"/>
              <w:jc w:val="both"/>
              <w:rPr>
                <w:bCs/>
                <w:sz w:val="26"/>
                <w:szCs w:val="26"/>
              </w:rPr>
            </w:pPr>
            <w:r w:rsidRPr="003F4F05">
              <w:rPr>
                <w:bCs/>
                <w:sz w:val="26"/>
                <w:szCs w:val="26"/>
              </w:rPr>
              <w:t>Lai iegūtu un nostiprinātu pierādījumus, kriminālprocesa pirmstiesas izmeklēšanas laikā tika noteiktas vairākas ekspertīzes, tajā skaitā ļoti sarežģīta kratīšanu laikā izņemto datu serveru informācijas tehnoloģiju ekspertīze. Ekspertīžu rezultātā izdevās nostiprināt iegūtos pierādījumus un noskaidrot uzņēmuma patiesos ienākumus. Ekspertīžu rezultātā iegūtā informācija izmeklēšanas laikā tika apkopota, apstrādāta un analizēta. Pamatojoties uz iegūtajiem un nostiprinātajiem pierādījumiem – uzņēmuma dubulto jeb melno grāmatvedību, informācijas tehnoloģiju ekspertīzēm u.c. –, tika sagatavots un pieņemts motivēts lēmums par nodokļu aprēķina noteikšanu, kurā secināts, ka SIA “PICA SERVISS” nepamatoti samazinājusi budžetā iemaksājamo nodokļu apmēru kopumā par 529</w:t>
            </w:r>
            <w:r w:rsidR="005B2307" w:rsidRPr="003F4F05">
              <w:rPr>
                <w:bCs/>
                <w:sz w:val="26"/>
                <w:szCs w:val="26"/>
              </w:rPr>
              <w:t> </w:t>
            </w:r>
            <w:r w:rsidRPr="003F4F05">
              <w:rPr>
                <w:bCs/>
                <w:sz w:val="26"/>
                <w:szCs w:val="26"/>
              </w:rPr>
              <w:t>754,90</w:t>
            </w:r>
            <w:r w:rsidR="005B2307" w:rsidRPr="003F4F05">
              <w:rPr>
                <w:bCs/>
                <w:sz w:val="26"/>
                <w:szCs w:val="26"/>
              </w:rPr>
              <w:t> lati</w:t>
            </w:r>
            <w:r w:rsidRPr="003F4F05">
              <w:rPr>
                <w:bCs/>
                <w:sz w:val="26"/>
                <w:szCs w:val="26"/>
              </w:rPr>
              <w:t xml:space="preserve"> (sadalījumā pa nodokļiem pievienotās vērtības nodoklis kopā 379</w:t>
            </w:r>
            <w:r w:rsidR="005B2307" w:rsidRPr="003F4F05">
              <w:rPr>
                <w:bCs/>
                <w:sz w:val="26"/>
                <w:szCs w:val="26"/>
              </w:rPr>
              <w:t> </w:t>
            </w:r>
            <w:r w:rsidRPr="003F4F05">
              <w:rPr>
                <w:bCs/>
                <w:sz w:val="26"/>
                <w:szCs w:val="26"/>
              </w:rPr>
              <w:t>137,01</w:t>
            </w:r>
            <w:r w:rsidR="005B2307" w:rsidRPr="003F4F05">
              <w:rPr>
                <w:bCs/>
                <w:sz w:val="26"/>
                <w:szCs w:val="26"/>
              </w:rPr>
              <w:t> lati</w:t>
            </w:r>
            <w:r w:rsidRPr="003F4F05">
              <w:rPr>
                <w:bCs/>
                <w:sz w:val="26"/>
                <w:szCs w:val="26"/>
              </w:rPr>
              <w:t xml:space="preserve"> (539</w:t>
            </w:r>
            <w:r w:rsidR="005B2307" w:rsidRPr="003F4F05">
              <w:rPr>
                <w:bCs/>
                <w:sz w:val="26"/>
                <w:szCs w:val="26"/>
              </w:rPr>
              <w:t> </w:t>
            </w:r>
            <w:r w:rsidRPr="003F4F05">
              <w:rPr>
                <w:bCs/>
                <w:sz w:val="26"/>
                <w:szCs w:val="26"/>
              </w:rPr>
              <w:t>463,36</w:t>
            </w:r>
            <w:r w:rsidR="005B2307" w:rsidRPr="003F4F05">
              <w:rPr>
                <w:bCs/>
                <w:sz w:val="26"/>
                <w:szCs w:val="26"/>
              </w:rPr>
              <w:t> </w:t>
            </w:r>
            <w:r w:rsidRPr="003F4F05">
              <w:rPr>
                <w:i/>
                <w:sz w:val="26"/>
                <w:szCs w:val="26"/>
              </w:rPr>
              <w:t>euro</w:t>
            </w:r>
            <w:r w:rsidRPr="003F4F05">
              <w:rPr>
                <w:bCs/>
                <w:sz w:val="26"/>
                <w:szCs w:val="26"/>
              </w:rPr>
              <w:t xml:space="preserve">); valsts sociālās </w:t>
            </w:r>
            <w:r w:rsidRPr="003F4F05">
              <w:rPr>
                <w:bCs/>
                <w:sz w:val="26"/>
                <w:szCs w:val="26"/>
              </w:rPr>
              <w:lastRenderedPageBreak/>
              <w:t>apdrošināšanas obligātās iemaksas kopā 92</w:t>
            </w:r>
            <w:r w:rsidR="005B2307" w:rsidRPr="003F4F05">
              <w:rPr>
                <w:bCs/>
                <w:sz w:val="26"/>
                <w:szCs w:val="26"/>
              </w:rPr>
              <w:t> </w:t>
            </w:r>
            <w:r w:rsidRPr="003F4F05">
              <w:rPr>
                <w:bCs/>
                <w:sz w:val="26"/>
                <w:szCs w:val="26"/>
              </w:rPr>
              <w:t>124,14</w:t>
            </w:r>
            <w:r w:rsidR="005B2307" w:rsidRPr="003F4F05">
              <w:rPr>
                <w:bCs/>
                <w:sz w:val="26"/>
                <w:szCs w:val="26"/>
              </w:rPr>
              <w:t> lati</w:t>
            </w:r>
            <w:r w:rsidRPr="003F4F05">
              <w:rPr>
                <w:bCs/>
                <w:sz w:val="26"/>
                <w:szCs w:val="26"/>
              </w:rPr>
              <w:t xml:space="preserve"> (131</w:t>
            </w:r>
            <w:r w:rsidR="005B2307" w:rsidRPr="003F4F05">
              <w:rPr>
                <w:bCs/>
                <w:sz w:val="26"/>
                <w:szCs w:val="26"/>
              </w:rPr>
              <w:t> </w:t>
            </w:r>
            <w:r w:rsidRPr="003F4F05">
              <w:rPr>
                <w:bCs/>
                <w:sz w:val="26"/>
                <w:szCs w:val="26"/>
              </w:rPr>
              <w:t>080,84</w:t>
            </w:r>
            <w:r w:rsidR="005B2307" w:rsidRPr="003F4F05">
              <w:rPr>
                <w:bCs/>
                <w:sz w:val="26"/>
                <w:szCs w:val="26"/>
              </w:rPr>
              <w:t> </w:t>
            </w:r>
            <w:r w:rsidRPr="003F4F05">
              <w:rPr>
                <w:i/>
                <w:sz w:val="26"/>
                <w:szCs w:val="26"/>
              </w:rPr>
              <w:t>euro</w:t>
            </w:r>
            <w:r w:rsidRPr="003F4F05">
              <w:rPr>
                <w:bCs/>
                <w:sz w:val="26"/>
                <w:szCs w:val="26"/>
              </w:rPr>
              <w:t>); iedzīvotāju ienākuma nodoklis kopā 58</w:t>
            </w:r>
            <w:r w:rsidR="005B2307" w:rsidRPr="003F4F05">
              <w:rPr>
                <w:bCs/>
                <w:sz w:val="26"/>
                <w:szCs w:val="26"/>
              </w:rPr>
              <w:t> </w:t>
            </w:r>
            <w:r w:rsidRPr="003F4F05">
              <w:rPr>
                <w:bCs/>
                <w:sz w:val="26"/>
                <w:szCs w:val="26"/>
              </w:rPr>
              <w:t>493,75</w:t>
            </w:r>
            <w:r w:rsidR="005B2307" w:rsidRPr="003F4F05">
              <w:rPr>
                <w:bCs/>
                <w:sz w:val="26"/>
                <w:szCs w:val="26"/>
              </w:rPr>
              <w:t> lati</w:t>
            </w:r>
            <w:r w:rsidRPr="003F4F05">
              <w:rPr>
                <w:bCs/>
                <w:sz w:val="26"/>
                <w:szCs w:val="26"/>
              </w:rPr>
              <w:t xml:space="preserve"> (83</w:t>
            </w:r>
            <w:r w:rsidR="005B2307" w:rsidRPr="003F4F05">
              <w:rPr>
                <w:bCs/>
                <w:sz w:val="26"/>
                <w:szCs w:val="26"/>
              </w:rPr>
              <w:t> </w:t>
            </w:r>
            <w:r w:rsidRPr="003F4F05">
              <w:rPr>
                <w:bCs/>
                <w:sz w:val="26"/>
                <w:szCs w:val="26"/>
              </w:rPr>
              <w:t>229,11</w:t>
            </w:r>
            <w:r w:rsidR="005B2307" w:rsidRPr="003F4F05">
              <w:rPr>
                <w:bCs/>
                <w:sz w:val="26"/>
                <w:szCs w:val="26"/>
              </w:rPr>
              <w:t> </w:t>
            </w:r>
            <w:r w:rsidRPr="003F4F05">
              <w:rPr>
                <w:i/>
                <w:sz w:val="26"/>
                <w:szCs w:val="26"/>
              </w:rPr>
              <w:t>euro</w:t>
            </w:r>
            <w:r w:rsidRPr="003F4F05">
              <w:rPr>
                <w:bCs/>
                <w:sz w:val="26"/>
                <w:szCs w:val="26"/>
              </w:rPr>
              <w:t>)).</w:t>
            </w:r>
          </w:p>
          <w:p w:rsidR="00245DA3" w:rsidRPr="003F4F05" w:rsidRDefault="00B91923" w:rsidP="00B91923">
            <w:pPr>
              <w:pStyle w:val="naiskr"/>
              <w:tabs>
                <w:tab w:val="left" w:pos="366"/>
              </w:tabs>
              <w:spacing w:before="120" w:after="120"/>
              <w:ind w:right="140"/>
              <w:jc w:val="both"/>
              <w:rPr>
                <w:bCs/>
                <w:sz w:val="26"/>
                <w:szCs w:val="26"/>
              </w:rPr>
            </w:pPr>
            <w:r w:rsidRPr="003F4F05">
              <w:rPr>
                <w:bCs/>
                <w:sz w:val="26"/>
                <w:szCs w:val="26"/>
              </w:rPr>
              <w:t>2014.gada 31.jūlijā Finanšu un ekonomisko noziegumu izmeklēšanas prokuratūrā minētais kriminālprocess tika pabeigts, sastādot prokurora priekšrakstu par sodu un par vainīgām noziedzīga nodarījuma izdarīšanā atzīstot piecas personas, kurām kopā piemērotais sods ir 270 minimālās mēnešalgas, turklāt kriminālprocess tika pabeigts arī pret juridisku personu SIA “PICA SERVISS”, piemērojot prokurora priekšrakstu par sodu, nosakot kā piespiedu ietekmēšanas līdzekli naudas piedziņu 200 minimālo mēnešalgu apmērā. SIA “PICA SERVISS” š.g. 30.jūlijā ir veikusi maksājumu par noziedzīga nodarījuma rezultātā valstij nodarītajiem zaudējumiem 753</w:t>
            </w:r>
            <w:r w:rsidR="005B2307" w:rsidRPr="003F4F05">
              <w:rPr>
                <w:bCs/>
                <w:sz w:val="26"/>
                <w:szCs w:val="26"/>
              </w:rPr>
              <w:t> </w:t>
            </w:r>
            <w:r w:rsidRPr="003F4F05">
              <w:rPr>
                <w:bCs/>
                <w:sz w:val="26"/>
                <w:szCs w:val="26"/>
              </w:rPr>
              <w:t>773,31</w:t>
            </w:r>
            <w:r w:rsidR="005B2307" w:rsidRPr="003F4F05">
              <w:rPr>
                <w:bCs/>
                <w:sz w:val="26"/>
                <w:szCs w:val="26"/>
              </w:rPr>
              <w:t> </w:t>
            </w:r>
            <w:r w:rsidRPr="003F4F05">
              <w:rPr>
                <w:i/>
                <w:sz w:val="26"/>
                <w:szCs w:val="26"/>
              </w:rPr>
              <w:t>euro</w:t>
            </w:r>
            <w:r w:rsidRPr="003F4F05">
              <w:rPr>
                <w:bCs/>
                <w:sz w:val="26"/>
                <w:szCs w:val="26"/>
              </w:rPr>
              <w:t xml:space="preserve"> (529</w:t>
            </w:r>
            <w:r w:rsidR="005B2307" w:rsidRPr="003F4F05">
              <w:rPr>
                <w:bCs/>
                <w:sz w:val="26"/>
                <w:szCs w:val="26"/>
              </w:rPr>
              <w:t> </w:t>
            </w:r>
            <w:r w:rsidRPr="003F4F05">
              <w:rPr>
                <w:bCs/>
                <w:sz w:val="26"/>
                <w:szCs w:val="26"/>
              </w:rPr>
              <w:t>754,90</w:t>
            </w:r>
            <w:r w:rsidR="005B2307" w:rsidRPr="003F4F05">
              <w:rPr>
                <w:bCs/>
                <w:sz w:val="26"/>
                <w:szCs w:val="26"/>
              </w:rPr>
              <w:t> lati</w:t>
            </w:r>
            <w:r w:rsidRPr="003F4F05">
              <w:rPr>
                <w:bCs/>
                <w:sz w:val="26"/>
                <w:szCs w:val="26"/>
              </w:rPr>
              <w:t>) apmērā.</w:t>
            </w:r>
          </w:p>
          <w:p w:rsidR="00B91923" w:rsidRPr="003F4F05" w:rsidRDefault="00B91923" w:rsidP="00B91923">
            <w:pPr>
              <w:pStyle w:val="naiskr"/>
              <w:tabs>
                <w:tab w:val="left" w:pos="366"/>
              </w:tabs>
              <w:spacing w:before="120" w:after="120"/>
              <w:ind w:right="140"/>
              <w:jc w:val="both"/>
              <w:rPr>
                <w:bCs/>
                <w:sz w:val="26"/>
                <w:szCs w:val="26"/>
              </w:rPr>
            </w:pPr>
            <w:r w:rsidRPr="003F4F05">
              <w:rPr>
                <w:bCs/>
                <w:sz w:val="26"/>
                <w:szCs w:val="26"/>
              </w:rPr>
              <w:t>Saskaņā ar Valsts un pašvaldību institūciju amatpersonu un darbinieku atlīdzības likuma pārejas noteikumu 8.15</w:t>
            </w:r>
            <w:r w:rsidR="00275FFE">
              <w:rPr>
                <w:bCs/>
                <w:sz w:val="26"/>
                <w:szCs w:val="26"/>
              </w:rPr>
              <w:t>.</w:t>
            </w:r>
            <w:r w:rsidRPr="003F4F05">
              <w:rPr>
                <w:bCs/>
                <w:sz w:val="26"/>
                <w:szCs w:val="26"/>
              </w:rPr>
              <w:t>punkta 1.apakšpunktu 2014. un 2015.gadā atbilstoši institūcijā noteiktajai prēmēšanas kārtībai un kritērijiem papildus šā likuma 16.pantā noteiktajam var prēmēt Valsts ieņēmumu dienesta amatpersonas (darbiniekus), kuru tiešas darbības rezultātā atklāti un novērsti noziedzīgi nodarījumi valsts ieņēmumu un nodokļu administrēšanas jomā, aizturētas kontrabandas kravas un novērsta konvencionāli aizliegtu priekšmetu ievešana un izvešana, novērsta noziedzīgi iegūtu līdzekļu legalizācija un tā rezultātā ir palielinājušies valsts budžeta ieņēmumi vai tiek prognozēts būtisks to palielinājums. Prēmijas apmērs nedrīkst pārsniegt amatpersonas (darbinieka) 12 mēnešalgu apmēru.</w:t>
            </w:r>
          </w:p>
          <w:p w:rsidR="00B91923" w:rsidRPr="003F4F05" w:rsidRDefault="00B91923" w:rsidP="00B91923">
            <w:pPr>
              <w:pStyle w:val="naiskr"/>
              <w:tabs>
                <w:tab w:val="left" w:pos="366"/>
              </w:tabs>
              <w:spacing w:before="120" w:beforeAutospacing="0" w:after="120" w:afterAutospacing="0"/>
              <w:ind w:right="140"/>
              <w:jc w:val="both"/>
              <w:rPr>
                <w:bCs/>
                <w:sz w:val="26"/>
                <w:szCs w:val="26"/>
              </w:rPr>
            </w:pPr>
            <w:r w:rsidRPr="003F4F05">
              <w:rPr>
                <w:bCs/>
                <w:sz w:val="26"/>
                <w:szCs w:val="26"/>
              </w:rPr>
              <w:t>Ņemot vērā to, ka īsā laika periodā valsts budžetā tika atgūti noziedzīgi iegūti finanšu līdzekļi 17</w:t>
            </w:r>
            <w:r w:rsidR="005B2307" w:rsidRPr="003F4F05">
              <w:rPr>
                <w:bCs/>
                <w:sz w:val="26"/>
                <w:szCs w:val="26"/>
              </w:rPr>
              <w:t> </w:t>
            </w:r>
            <w:r w:rsidRPr="003F4F05">
              <w:rPr>
                <w:bCs/>
                <w:sz w:val="26"/>
                <w:szCs w:val="26"/>
              </w:rPr>
              <w:t>120,15</w:t>
            </w:r>
            <w:r w:rsidR="005B2307" w:rsidRPr="003F4F05">
              <w:rPr>
                <w:bCs/>
                <w:sz w:val="26"/>
                <w:szCs w:val="26"/>
              </w:rPr>
              <w:t> lati</w:t>
            </w:r>
            <w:r w:rsidRPr="003F4F05">
              <w:rPr>
                <w:bCs/>
                <w:sz w:val="26"/>
                <w:szCs w:val="26"/>
              </w:rPr>
              <w:t xml:space="preserve"> un 1</w:t>
            </w:r>
            <w:r w:rsidR="005B2307" w:rsidRPr="003F4F05">
              <w:rPr>
                <w:bCs/>
                <w:sz w:val="26"/>
                <w:szCs w:val="26"/>
              </w:rPr>
              <w:t> </w:t>
            </w:r>
            <w:r w:rsidRPr="003F4F05">
              <w:rPr>
                <w:bCs/>
                <w:sz w:val="26"/>
                <w:szCs w:val="26"/>
              </w:rPr>
              <w:t>421,95</w:t>
            </w:r>
            <w:r w:rsidR="005B2307" w:rsidRPr="003F4F05">
              <w:rPr>
                <w:bCs/>
                <w:sz w:val="26"/>
                <w:szCs w:val="26"/>
              </w:rPr>
              <w:t> </w:t>
            </w:r>
            <w:r w:rsidRPr="003F4F05">
              <w:rPr>
                <w:i/>
                <w:sz w:val="26"/>
                <w:szCs w:val="26"/>
              </w:rPr>
              <w:t>euro</w:t>
            </w:r>
            <w:r w:rsidRPr="003F4F05">
              <w:rPr>
                <w:bCs/>
                <w:sz w:val="26"/>
                <w:szCs w:val="26"/>
              </w:rPr>
              <w:t xml:space="preserve"> apmērā, kā arī tika atlīdzināts noziedzīga nodarījuma rezultātā valsts budžetam radītais zaudējums 753</w:t>
            </w:r>
            <w:r w:rsidR="005B2307" w:rsidRPr="003F4F05">
              <w:rPr>
                <w:bCs/>
                <w:sz w:val="26"/>
                <w:szCs w:val="26"/>
              </w:rPr>
              <w:t> </w:t>
            </w:r>
            <w:r w:rsidRPr="003F4F05">
              <w:rPr>
                <w:bCs/>
                <w:sz w:val="26"/>
                <w:szCs w:val="26"/>
              </w:rPr>
              <w:t>773,31</w:t>
            </w:r>
            <w:r w:rsidR="005B2307" w:rsidRPr="003F4F05">
              <w:rPr>
                <w:bCs/>
                <w:sz w:val="26"/>
                <w:szCs w:val="26"/>
              </w:rPr>
              <w:t> </w:t>
            </w:r>
            <w:r w:rsidRPr="003F4F05">
              <w:rPr>
                <w:i/>
                <w:sz w:val="26"/>
                <w:szCs w:val="26"/>
              </w:rPr>
              <w:t>euro</w:t>
            </w:r>
            <w:r w:rsidRPr="003F4F05">
              <w:rPr>
                <w:bCs/>
                <w:sz w:val="26"/>
                <w:szCs w:val="26"/>
              </w:rPr>
              <w:t xml:space="preserve"> apmērā, VID, izvērtējot katra ierēdņa ieguldījumu minētā procesa ietvaros, saskaņā ar Valsts un pašvaldību institūciju amatpersonu un darbinieku atlīdzības likuma pārejas noteikumu 8.15punkta 1.apakšpunktu ir izvirzījis prēmēšanai VID Finanšu policijas pārvaldes Finanšu izlūkošanas daļas Operatīvās izlūkošanas nodaļas vecāko izmeklētāju Edvīnu Repšu (kurš pirms kriminālprocesa uzsākšanas īstenoja visas nepieciešamās operatīvā darbinieka funkcijas – veica informācijas pārbaudes, kā rezultātā tika identificēts noziedzīgs nodarījums un iespējamās tā izdarīšanas vietas, kā arī lietisko pierādījumu atrašanās vietas, kā arī kriminālprocesa izmeklēšanas laikā sniedza izmeklētājam visu nepieciešamo operatīvo atbalstu), nosakot prēmijas apmēru sešu mēnešalgu apmērā, t.i., prēmiju 5</w:t>
            </w:r>
            <w:r w:rsidR="005B2307" w:rsidRPr="003F4F05">
              <w:rPr>
                <w:bCs/>
                <w:sz w:val="26"/>
                <w:szCs w:val="26"/>
              </w:rPr>
              <w:t> </w:t>
            </w:r>
            <w:r w:rsidRPr="003F4F05">
              <w:rPr>
                <w:bCs/>
                <w:sz w:val="26"/>
                <w:szCs w:val="26"/>
              </w:rPr>
              <w:t>724</w:t>
            </w:r>
            <w:r w:rsidR="005B2307" w:rsidRPr="003F4F05">
              <w:rPr>
                <w:bCs/>
                <w:sz w:val="26"/>
                <w:szCs w:val="26"/>
              </w:rPr>
              <w:t> </w:t>
            </w:r>
            <w:r w:rsidRPr="003F4F05">
              <w:rPr>
                <w:i/>
                <w:sz w:val="26"/>
                <w:szCs w:val="26"/>
              </w:rPr>
              <w:t>euro</w:t>
            </w:r>
            <w:r w:rsidRPr="003F4F05">
              <w:rPr>
                <w:bCs/>
                <w:sz w:val="26"/>
                <w:szCs w:val="26"/>
              </w:rPr>
              <w:t xml:space="preserve">, un VID Finanšu </w:t>
            </w:r>
            <w:r w:rsidRPr="003F4F05">
              <w:rPr>
                <w:bCs/>
                <w:sz w:val="26"/>
                <w:szCs w:val="26"/>
              </w:rPr>
              <w:lastRenderedPageBreak/>
              <w:t>policijas pārvaldes Pirmās izmeklēšanas daļas vecāko izmeklētāju Rolanu Kravčenko (kurš minētā procesa ietvaros veica izmeklētāja funkcijas – pamatojoties uz operatīvā darbinieka apkopoto informāciju, pieņēma lēmumu par kriminālprocesa uzsākšanu, vadīja un organizēja pirmstiesas kriminālprocesa izmeklēšanu, veicot procesuālās darbības, iegūstot un nostiprinot pierādījumus un pieņemot motivētus lēmumus), nosakot prēmijas apmēru deviņu mēnešalgu apmērā, t.i., prēmiju 9</w:t>
            </w:r>
            <w:r w:rsidR="005B2307" w:rsidRPr="003F4F05">
              <w:rPr>
                <w:bCs/>
                <w:sz w:val="26"/>
                <w:szCs w:val="26"/>
              </w:rPr>
              <w:t> </w:t>
            </w:r>
            <w:r w:rsidRPr="003F4F05">
              <w:rPr>
                <w:bCs/>
                <w:sz w:val="26"/>
                <w:szCs w:val="26"/>
              </w:rPr>
              <w:t>054</w:t>
            </w:r>
            <w:r w:rsidR="005B2307" w:rsidRPr="003F4F05">
              <w:rPr>
                <w:bCs/>
                <w:sz w:val="26"/>
                <w:szCs w:val="26"/>
              </w:rPr>
              <w:t> </w:t>
            </w:r>
            <w:r w:rsidRPr="003F4F05">
              <w:rPr>
                <w:i/>
                <w:sz w:val="26"/>
                <w:szCs w:val="26"/>
              </w:rPr>
              <w:t>euro</w:t>
            </w:r>
            <w:r w:rsidRPr="003F4F05">
              <w:rPr>
                <w:bCs/>
                <w:sz w:val="26"/>
                <w:szCs w:val="26"/>
              </w:rPr>
              <w:t>.</w:t>
            </w:r>
          </w:p>
          <w:p w:rsidR="00B91923" w:rsidRPr="003F4F05" w:rsidRDefault="00B91923" w:rsidP="000A6F90">
            <w:pPr>
              <w:pStyle w:val="naiskr"/>
              <w:tabs>
                <w:tab w:val="left" w:pos="366"/>
              </w:tabs>
              <w:spacing w:before="0" w:beforeAutospacing="0" w:after="0" w:afterAutospacing="0"/>
              <w:ind w:right="140"/>
              <w:jc w:val="both"/>
              <w:rPr>
                <w:bCs/>
                <w:sz w:val="26"/>
                <w:szCs w:val="26"/>
              </w:rPr>
            </w:pPr>
            <w:r w:rsidRPr="003F4F05">
              <w:rPr>
                <w:bCs/>
                <w:sz w:val="26"/>
                <w:szCs w:val="26"/>
              </w:rPr>
              <w:t>VID ierēdņiem, kuru tiešas darbības rezultātā atklāti noziedzīgi nodarījumi un palielinājušies valsts budžeta ieņēmumi</w:t>
            </w:r>
            <w:r w:rsidR="000A6F90" w:rsidRPr="003F4F05">
              <w:rPr>
                <w:bCs/>
                <w:sz w:val="26"/>
                <w:szCs w:val="26"/>
              </w:rPr>
              <w:t>,</w:t>
            </w:r>
            <w:r w:rsidRPr="003F4F05">
              <w:rPr>
                <w:bCs/>
                <w:sz w:val="26"/>
                <w:szCs w:val="26"/>
              </w:rPr>
              <w:t xml:space="preserve"> </w:t>
            </w:r>
            <w:r w:rsidR="000A6F90" w:rsidRPr="003F4F05">
              <w:rPr>
                <w:bCs/>
                <w:sz w:val="26"/>
                <w:szCs w:val="26"/>
              </w:rPr>
              <w:t xml:space="preserve">prēmijas izmaksai </w:t>
            </w:r>
            <w:r w:rsidRPr="003F4F05">
              <w:rPr>
                <w:bCs/>
                <w:sz w:val="26"/>
                <w:szCs w:val="26"/>
              </w:rPr>
              <w:t>18</w:t>
            </w:r>
            <w:r w:rsidR="005B2307" w:rsidRPr="003F4F05">
              <w:rPr>
                <w:bCs/>
                <w:sz w:val="26"/>
                <w:szCs w:val="26"/>
              </w:rPr>
              <w:t> </w:t>
            </w:r>
            <w:r w:rsidRPr="003F4F05">
              <w:rPr>
                <w:bCs/>
                <w:sz w:val="26"/>
                <w:szCs w:val="26"/>
              </w:rPr>
              <w:t>265</w:t>
            </w:r>
            <w:r w:rsidR="005B2307" w:rsidRPr="003F4F05">
              <w:rPr>
                <w:bCs/>
                <w:sz w:val="26"/>
                <w:szCs w:val="26"/>
              </w:rPr>
              <w:t> </w:t>
            </w:r>
            <w:r w:rsidRPr="003F4F05">
              <w:rPr>
                <w:i/>
                <w:sz w:val="26"/>
                <w:szCs w:val="26"/>
              </w:rPr>
              <w:t>euro</w:t>
            </w:r>
            <w:r w:rsidRPr="003F4F05">
              <w:rPr>
                <w:bCs/>
                <w:sz w:val="26"/>
                <w:szCs w:val="26"/>
              </w:rPr>
              <w:t xml:space="preserve"> apmērā (no tā prēmijām 14</w:t>
            </w:r>
            <w:r w:rsidR="005B2307" w:rsidRPr="003F4F05">
              <w:rPr>
                <w:bCs/>
                <w:sz w:val="26"/>
                <w:szCs w:val="26"/>
              </w:rPr>
              <w:t> </w:t>
            </w:r>
            <w:r w:rsidRPr="003F4F05">
              <w:rPr>
                <w:bCs/>
                <w:sz w:val="26"/>
                <w:szCs w:val="26"/>
              </w:rPr>
              <w:t>778</w:t>
            </w:r>
            <w:r w:rsidR="005B2307" w:rsidRPr="003F4F05">
              <w:rPr>
                <w:bCs/>
                <w:sz w:val="26"/>
                <w:szCs w:val="26"/>
              </w:rPr>
              <w:t> </w:t>
            </w:r>
            <w:r w:rsidRPr="003F4F05">
              <w:rPr>
                <w:i/>
                <w:sz w:val="26"/>
                <w:szCs w:val="26"/>
              </w:rPr>
              <w:t>euro</w:t>
            </w:r>
            <w:r w:rsidRPr="003F4F05">
              <w:rPr>
                <w:bCs/>
                <w:sz w:val="26"/>
                <w:szCs w:val="26"/>
              </w:rPr>
              <w:t>, darba devēja valsts sociālās apdrošināšanas obligātajām iemaksām 3</w:t>
            </w:r>
            <w:r w:rsidR="005B2307" w:rsidRPr="003F4F05">
              <w:rPr>
                <w:bCs/>
                <w:sz w:val="26"/>
                <w:szCs w:val="26"/>
              </w:rPr>
              <w:t> </w:t>
            </w:r>
            <w:r w:rsidRPr="003F4F05">
              <w:rPr>
                <w:bCs/>
                <w:sz w:val="26"/>
                <w:szCs w:val="26"/>
              </w:rPr>
              <w:t>487</w:t>
            </w:r>
            <w:r w:rsidR="005B2307" w:rsidRPr="003F4F05">
              <w:rPr>
                <w:bCs/>
                <w:sz w:val="26"/>
                <w:szCs w:val="26"/>
              </w:rPr>
              <w:t> </w:t>
            </w:r>
            <w:r w:rsidRPr="003F4F05">
              <w:rPr>
                <w:i/>
                <w:sz w:val="26"/>
                <w:szCs w:val="26"/>
              </w:rPr>
              <w:t>euro</w:t>
            </w:r>
            <w:r w:rsidRPr="003F4F05">
              <w:rPr>
                <w:bCs/>
                <w:sz w:val="26"/>
                <w:szCs w:val="26"/>
              </w:rPr>
              <w:t xml:space="preserve">) </w:t>
            </w:r>
            <w:r w:rsidR="000A6F90" w:rsidRPr="003F4F05">
              <w:rPr>
                <w:bCs/>
                <w:sz w:val="26"/>
                <w:szCs w:val="26"/>
              </w:rPr>
              <w:t xml:space="preserve">nepieciešamo finansējumu </w:t>
            </w:r>
            <w:r w:rsidR="000A6F90" w:rsidRPr="003F4F05">
              <w:rPr>
                <w:sz w:val="26"/>
                <w:szCs w:val="26"/>
              </w:rPr>
              <w:t xml:space="preserve">ir iespējams pārdalīt </w:t>
            </w:r>
            <w:r w:rsidR="000A6F90" w:rsidRPr="003F4F05">
              <w:rPr>
                <w:bCs/>
                <w:sz w:val="26"/>
                <w:szCs w:val="26"/>
              </w:rPr>
              <w:t>FM budžeta programmas 33.00.00</w:t>
            </w:r>
            <w:r w:rsidR="00867957" w:rsidRPr="003F4F05">
              <w:rPr>
                <w:bCs/>
                <w:sz w:val="26"/>
                <w:szCs w:val="26"/>
              </w:rPr>
              <w:t xml:space="preserve"> „Valsts ieņēmumu un muitas politikas nodrošināšana”</w:t>
            </w:r>
            <w:r w:rsidR="000A6F90" w:rsidRPr="003F4F05">
              <w:rPr>
                <w:bCs/>
                <w:sz w:val="26"/>
                <w:szCs w:val="26"/>
              </w:rPr>
              <w:t xml:space="preserve"> ietvaros</w:t>
            </w:r>
            <w:r w:rsidR="000A6F90" w:rsidRPr="003F4F05">
              <w:rPr>
                <w:sz w:val="26"/>
                <w:szCs w:val="26"/>
              </w:rPr>
              <w:t xml:space="preserve"> no 2014.gadā papildu piešķirtā finansējuma VID administratīvās ēkas Talejas ielā 1, Rīgā, aprīkojuma (piemēram, mēbeles, iekārtas, tehniskais aprīkojums) iegādes un ar to saistīto izdevumu segšanai.</w:t>
            </w:r>
          </w:p>
          <w:p w:rsidR="000A6F90" w:rsidRPr="003F4F05" w:rsidRDefault="000A6F90" w:rsidP="000A6F90">
            <w:pPr>
              <w:pStyle w:val="naiskr"/>
              <w:tabs>
                <w:tab w:val="left" w:pos="366"/>
              </w:tabs>
              <w:spacing w:before="0" w:beforeAutospacing="0" w:after="0" w:afterAutospacing="0"/>
              <w:ind w:right="140"/>
              <w:jc w:val="both"/>
              <w:rPr>
                <w:bCs/>
                <w:sz w:val="26"/>
                <w:szCs w:val="26"/>
              </w:rPr>
            </w:pPr>
          </w:p>
          <w:p w:rsidR="00B91923" w:rsidRPr="003F4F05" w:rsidRDefault="00B91923" w:rsidP="00B91923">
            <w:pPr>
              <w:pStyle w:val="naiskr"/>
              <w:tabs>
                <w:tab w:val="left" w:pos="366"/>
              </w:tabs>
              <w:spacing w:before="0" w:beforeAutospacing="0" w:after="0" w:afterAutospacing="0"/>
              <w:ind w:right="140"/>
              <w:jc w:val="both"/>
              <w:rPr>
                <w:bCs/>
                <w:sz w:val="26"/>
                <w:szCs w:val="26"/>
              </w:rPr>
            </w:pPr>
            <w:r w:rsidRPr="003F4F05">
              <w:rPr>
                <w:bCs/>
                <w:sz w:val="26"/>
                <w:szCs w:val="26"/>
              </w:rPr>
              <w:t>2014.gadā VID ir ieguldījis ievērojamu darbu ēnu ekonomikas apkarošanas uzlabošanā, piemēram, nodokļu administrēšanā īstenota jaunu - nozaru pieeja ātrākai nodokļu zudumu atgūšanai (no 27.06.2014. automobiļu apkopes un remonta nozare, no 01.10.2014. zobārstniecības nozare, turpmāk plānots – skaistumkopšanas nozare), veikti aktīvi saimnieciskās darbības ierobežojošie pasākumi (papildsods komercsabiedrību valdes locekļiem, atņemot tiesības ieņemt noteiktus amatus komercsabiedrībās, saimnieciskās darbības apturēšana/</w:t>
            </w:r>
            <w:r w:rsidR="005B2307" w:rsidRPr="003F4F05">
              <w:rPr>
                <w:bCs/>
                <w:sz w:val="26"/>
                <w:szCs w:val="26"/>
              </w:rPr>
              <w:t xml:space="preserve"> </w:t>
            </w:r>
            <w:r w:rsidRPr="003F4F05">
              <w:rPr>
                <w:bCs/>
                <w:sz w:val="26"/>
                <w:szCs w:val="26"/>
              </w:rPr>
              <w:t>izbeigšana, riska adrešu statusa noteikšana, fizisko personu riska sarakstu uzturēšana), ir aktīvi piedalījies Nacionālā kriminālizlūkošanas modeļa un organizētās noziedzības apkarošanas plāna izstrādē un īstenošanā un līdzdarbojies Eiropas Savienības politikas cikla 2014.-2017.gadam cīņā pret smagiem noziegumiem un organizēto noziedzību, kā arī izstrādāti priekšlikumi grozījumiem normatīvajos aktos ēnu ekonomikas apkarošanas uzlabošanai.</w:t>
            </w:r>
          </w:p>
          <w:p w:rsidR="00B91923" w:rsidRPr="003F4F05" w:rsidRDefault="00B91923" w:rsidP="00B91923">
            <w:pPr>
              <w:pStyle w:val="naiskr"/>
              <w:tabs>
                <w:tab w:val="left" w:pos="366"/>
              </w:tabs>
              <w:spacing w:before="0" w:beforeAutospacing="0" w:after="0" w:afterAutospacing="0"/>
              <w:ind w:right="140"/>
              <w:jc w:val="both"/>
              <w:rPr>
                <w:sz w:val="26"/>
                <w:szCs w:val="26"/>
              </w:rPr>
            </w:pPr>
            <w:r w:rsidRPr="003F4F05">
              <w:rPr>
                <w:bCs/>
                <w:sz w:val="26"/>
                <w:szCs w:val="26"/>
              </w:rPr>
              <w:t xml:space="preserve">Lai nodrošinātu produktivitātes celšanu, tai skaitā, saistībā ar ēnu ekonomikas apkarošanas un nodokļu ieņēmumu atgūšanu valsts budžetam, ir nepieciešams pilnveidot VID darbinieku motivēšanu, nosakot darba samaksas mainīgo daļu saskaņā ar darbinieka personīgo ieguldījumu VID mērķu sasniegšanā. </w:t>
            </w:r>
            <w:r w:rsidR="000A6F90" w:rsidRPr="003F4F05">
              <w:rPr>
                <w:bCs/>
                <w:sz w:val="26"/>
                <w:szCs w:val="26"/>
              </w:rPr>
              <w:t xml:space="preserve">VID darbinieku piemaksām par personīgo darba ieguldījumu un darba kvalitāti </w:t>
            </w:r>
            <w:r w:rsidR="000A6F90" w:rsidRPr="003F4F05">
              <w:rPr>
                <w:sz w:val="26"/>
                <w:szCs w:val="26"/>
              </w:rPr>
              <w:t xml:space="preserve">nepieciešamo finansējumu atlīdzībai </w:t>
            </w:r>
            <w:r w:rsidR="00842F57" w:rsidRPr="003F4F05">
              <w:rPr>
                <w:bCs/>
                <w:sz w:val="26"/>
                <w:szCs w:val="26"/>
              </w:rPr>
              <w:t>1</w:t>
            </w:r>
            <w:r w:rsidR="005B2307" w:rsidRPr="003F4F05">
              <w:rPr>
                <w:bCs/>
                <w:sz w:val="26"/>
                <w:szCs w:val="26"/>
              </w:rPr>
              <w:t> </w:t>
            </w:r>
            <w:r w:rsidR="00842F57" w:rsidRPr="003F4F05">
              <w:rPr>
                <w:bCs/>
                <w:sz w:val="26"/>
                <w:szCs w:val="26"/>
              </w:rPr>
              <w:t>401</w:t>
            </w:r>
            <w:r w:rsidR="005B2307" w:rsidRPr="003F4F05">
              <w:rPr>
                <w:bCs/>
                <w:sz w:val="26"/>
                <w:szCs w:val="26"/>
              </w:rPr>
              <w:t> </w:t>
            </w:r>
            <w:r w:rsidR="00842F57" w:rsidRPr="003F4F05">
              <w:rPr>
                <w:bCs/>
                <w:sz w:val="26"/>
                <w:szCs w:val="26"/>
              </w:rPr>
              <w:t>495</w:t>
            </w:r>
            <w:r w:rsidR="005B2307" w:rsidRPr="003F4F05">
              <w:rPr>
                <w:bCs/>
                <w:sz w:val="26"/>
                <w:szCs w:val="26"/>
              </w:rPr>
              <w:t> </w:t>
            </w:r>
            <w:r w:rsidR="000A6F90" w:rsidRPr="003F4F05">
              <w:rPr>
                <w:i/>
                <w:sz w:val="26"/>
                <w:szCs w:val="26"/>
              </w:rPr>
              <w:t xml:space="preserve">euro </w:t>
            </w:r>
            <w:r w:rsidR="000A6F90" w:rsidRPr="003F4F05">
              <w:rPr>
                <w:bCs/>
                <w:sz w:val="26"/>
                <w:szCs w:val="26"/>
              </w:rPr>
              <w:t xml:space="preserve">apmērā (no tā atalgojums </w:t>
            </w:r>
            <w:r w:rsidR="0016741F" w:rsidRPr="003F4F05">
              <w:rPr>
                <w:bCs/>
                <w:sz w:val="26"/>
                <w:szCs w:val="26"/>
              </w:rPr>
              <w:t>1</w:t>
            </w:r>
            <w:r w:rsidR="005B2307" w:rsidRPr="003F4F05">
              <w:rPr>
                <w:bCs/>
                <w:sz w:val="26"/>
                <w:szCs w:val="26"/>
              </w:rPr>
              <w:t> </w:t>
            </w:r>
            <w:r w:rsidR="0016741F" w:rsidRPr="003F4F05">
              <w:rPr>
                <w:bCs/>
                <w:sz w:val="26"/>
                <w:szCs w:val="26"/>
              </w:rPr>
              <w:t>133</w:t>
            </w:r>
            <w:r w:rsidR="005B2307" w:rsidRPr="003F4F05">
              <w:rPr>
                <w:bCs/>
                <w:sz w:val="26"/>
                <w:szCs w:val="26"/>
              </w:rPr>
              <w:t> </w:t>
            </w:r>
            <w:r w:rsidR="0016741F" w:rsidRPr="003F4F05">
              <w:rPr>
                <w:bCs/>
                <w:sz w:val="26"/>
                <w:szCs w:val="26"/>
              </w:rPr>
              <w:t>987</w:t>
            </w:r>
            <w:r w:rsidR="005B2307" w:rsidRPr="003F4F05">
              <w:rPr>
                <w:bCs/>
                <w:sz w:val="26"/>
                <w:szCs w:val="26"/>
              </w:rPr>
              <w:t> </w:t>
            </w:r>
            <w:r w:rsidR="000A6F90" w:rsidRPr="003F4F05">
              <w:rPr>
                <w:i/>
                <w:sz w:val="26"/>
                <w:szCs w:val="26"/>
              </w:rPr>
              <w:t>euro</w:t>
            </w:r>
            <w:r w:rsidR="000A6F90" w:rsidRPr="003F4F05">
              <w:rPr>
                <w:bCs/>
                <w:sz w:val="26"/>
                <w:szCs w:val="26"/>
              </w:rPr>
              <w:t xml:space="preserve">) </w:t>
            </w:r>
            <w:r w:rsidR="000A6F90" w:rsidRPr="003F4F05">
              <w:rPr>
                <w:sz w:val="26"/>
                <w:szCs w:val="26"/>
              </w:rPr>
              <w:t xml:space="preserve">ir iespējams pārdalīt </w:t>
            </w:r>
            <w:r w:rsidR="000A6F90" w:rsidRPr="003F4F05">
              <w:rPr>
                <w:bCs/>
                <w:sz w:val="26"/>
                <w:szCs w:val="26"/>
              </w:rPr>
              <w:t xml:space="preserve">FM budžeta programmas 33.00.00 </w:t>
            </w:r>
            <w:r w:rsidR="00867957" w:rsidRPr="003F4F05">
              <w:rPr>
                <w:bCs/>
                <w:sz w:val="26"/>
                <w:szCs w:val="26"/>
              </w:rPr>
              <w:t xml:space="preserve">„Valsts ieņēmumu un muitas politikas nodrošināšana” </w:t>
            </w:r>
            <w:r w:rsidR="000A6F90" w:rsidRPr="003F4F05">
              <w:rPr>
                <w:bCs/>
                <w:sz w:val="26"/>
                <w:szCs w:val="26"/>
              </w:rPr>
              <w:t>ietvaros</w:t>
            </w:r>
            <w:r w:rsidR="000A6F90" w:rsidRPr="003F4F05">
              <w:rPr>
                <w:sz w:val="26"/>
                <w:szCs w:val="26"/>
              </w:rPr>
              <w:t xml:space="preserve"> no 2014.gadā papildu piešķirtā </w:t>
            </w:r>
            <w:r w:rsidR="000A6F90" w:rsidRPr="003F4F05">
              <w:rPr>
                <w:sz w:val="26"/>
                <w:szCs w:val="26"/>
              </w:rPr>
              <w:lastRenderedPageBreak/>
              <w:t xml:space="preserve">finansējuma VID administratīvās ēkas Talejas ielā 1, Rīgā, aprīkojuma (piemēram, mēbeles, iekārtas, tehniskais aprīkojums) iegādes un ar to saistīto izdevumu </w:t>
            </w:r>
            <w:r w:rsidR="00245DA3" w:rsidRPr="003F4F05">
              <w:rPr>
                <w:sz w:val="26"/>
                <w:szCs w:val="26"/>
              </w:rPr>
              <w:t xml:space="preserve">un </w:t>
            </w:r>
            <w:r w:rsidR="00245DA3" w:rsidRPr="003F4F05">
              <w:rPr>
                <w:bCs/>
                <w:sz w:val="26"/>
                <w:szCs w:val="26"/>
              </w:rPr>
              <w:t xml:space="preserve">apsardzes un ar apsardzes infrastruktūras (apsardzes signalizācijas, novērošanas iekārtu u.c. veida infrastruktūras) uzturēšanu saistīto izdevumu </w:t>
            </w:r>
            <w:r w:rsidR="000A6F90" w:rsidRPr="003F4F05">
              <w:rPr>
                <w:sz w:val="26"/>
                <w:szCs w:val="26"/>
              </w:rPr>
              <w:t>segšanai.</w:t>
            </w:r>
          </w:p>
          <w:p w:rsidR="00B80BA9" w:rsidRPr="003F4F05" w:rsidRDefault="00B80BA9" w:rsidP="00B91923">
            <w:pPr>
              <w:pStyle w:val="naiskr"/>
              <w:tabs>
                <w:tab w:val="left" w:pos="366"/>
              </w:tabs>
              <w:spacing w:before="0" w:beforeAutospacing="0" w:after="0" w:afterAutospacing="0"/>
              <w:ind w:right="140"/>
              <w:jc w:val="both"/>
              <w:rPr>
                <w:sz w:val="26"/>
                <w:szCs w:val="26"/>
              </w:rPr>
            </w:pPr>
          </w:p>
          <w:p w:rsidR="00B80BA9" w:rsidRPr="003F4F05" w:rsidRDefault="00B80BA9" w:rsidP="00B80BA9">
            <w:pPr>
              <w:pStyle w:val="naiskr"/>
              <w:tabs>
                <w:tab w:val="left" w:pos="366"/>
              </w:tabs>
              <w:spacing w:before="120" w:beforeAutospacing="0" w:after="120" w:afterAutospacing="0"/>
              <w:ind w:right="140"/>
              <w:jc w:val="both"/>
              <w:rPr>
                <w:bCs/>
                <w:sz w:val="26"/>
                <w:szCs w:val="26"/>
              </w:rPr>
            </w:pPr>
            <w:r w:rsidRPr="003F4F05">
              <w:rPr>
                <w:bCs/>
                <w:sz w:val="26"/>
                <w:szCs w:val="26"/>
              </w:rPr>
              <w:t xml:space="preserve">Ņemot vērā iepriekš minēto, MK rīkojuma projektā </w:t>
            </w:r>
            <w:r w:rsidR="00A60591" w:rsidRPr="003F4F05">
              <w:rPr>
                <w:iCs/>
                <w:sz w:val="26"/>
                <w:szCs w:val="26"/>
              </w:rPr>
              <w:t xml:space="preserve">iekļautas </w:t>
            </w:r>
            <w:r w:rsidRPr="003F4F05">
              <w:rPr>
                <w:iCs/>
                <w:sz w:val="26"/>
                <w:szCs w:val="26"/>
              </w:rPr>
              <w:t>finansējum</w:t>
            </w:r>
            <w:r w:rsidR="00A60591" w:rsidRPr="003F4F05">
              <w:rPr>
                <w:iCs/>
                <w:sz w:val="26"/>
                <w:szCs w:val="26"/>
              </w:rPr>
              <w:t>a izmaiņas</w:t>
            </w:r>
            <w:r w:rsidRPr="003F4F05">
              <w:rPr>
                <w:iCs/>
                <w:sz w:val="26"/>
                <w:szCs w:val="26"/>
              </w:rPr>
              <w:t xml:space="preserve"> FM (VID)</w:t>
            </w:r>
            <w:r w:rsidRPr="003F4F05">
              <w:rPr>
                <w:sz w:val="26"/>
                <w:szCs w:val="26"/>
              </w:rPr>
              <w:t xml:space="preserve"> </w:t>
            </w:r>
            <w:r w:rsidRPr="003F4F05">
              <w:rPr>
                <w:iCs/>
                <w:sz w:val="26"/>
                <w:szCs w:val="26"/>
              </w:rPr>
              <w:t>bāzes izdevumiem, t.sk.:</w:t>
            </w:r>
          </w:p>
          <w:p w:rsidR="00B80BA9" w:rsidRPr="003F4F05" w:rsidRDefault="00B80BA9" w:rsidP="00B80BA9">
            <w:pPr>
              <w:pStyle w:val="BodyText"/>
              <w:numPr>
                <w:ilvl w:val="0"/>
                <w:numId w:val="9"/>
              </w:numPr>
              <w:tabs>
                <w:tab w:val="left" w:pos="742"/>
              </w:tabs>
              <w:spacing w:after="0"/>
              <w:ind w:left="459" w:firstLine="0"/>
              <w:contextualSpacing/>
              <w:jc w:val="both"/>
              <w:rPr>
                <w:sz w:val="26"/>
                <w:szCs w:val="26"/>
              </w:rPr>
            </w:pPr>
            <w:r w:rsidRPr="003F4F05">
              <w:rPr>
                <w:sz w:val="26"/>
                <w:szCs w:val="26"/>
              </w:rPr>
              <w:t>administratīvās ēkas Talejas ielā 1, Rīgā, telpu uzturēšanas (komunālie maksājumi un apsaimniekošanas izdevumi, tai skaitā apdrošināšana un nekustamā īpašuma nodoklis) izdevumu segšanai;</w:t>
            </w:r>
          </w:p>
          <w:p w:rsidR="00B80BA9" w:rsidRPr="003F4F05" w:rsidRDefault="00B80BA9" w:rsidP="00B80BA9">
            <w:pPr>
              <w:pStyle w:val="BodyText"/>
              <w:numPr>
                <w:ilvl w:val="0"/>
                <w:numId w:val="9"/>
              </w:numPr>
              <w:tabs>
                <w:tab w:val="left" w:pos="742"/>
              </w:tabs>
              <w:spacing w:after="0"/>
              <w:ind w:left="459" w:firstLine="0"/>
              <w:contextualSpacing/>
              <w:jc w:val="both"/>
              <w:rPr>
                <w:sz w:val="26"/>
                <w:szCs w:val="26"/>
              </w:rPr>
            </w:pPr>
            <w:r w:rsidRPr="003F4F05">
              <w:rPr>
                <w:sz w:val="26"/>
                <w:szCs w:val="26"/>
              </w:rPr>
              <w:t>administratīvās ēkas Talejas ielā 1, Rīgā, apsardzes un ar apsardzes infrastruktūras (apsardzes signalizācijas, novērošanas iekārtu u.c. veida infrastruktūras) uzturēšanu saistītos izdevumu segšanai;</w:t>
            </w:r>
          </w:p>
          <w:p w:rsidR="00B80BA9" w:rsidRPr="003F4F05" w:rsidRDefault="00B80BA9" w:rsidP="00B80BA9">
            <w:pPr>
              <w:pStyle w:val="BodyText"/>
              <w:numPr>
                <w:ilvl w:val="0"/>
                <w:numId w:val="9"/>
              </w:numPr>
              <w:tabs>
                <w:tab w:val="left" w:pos="742"/>
              </w:tabs>
              <w:spacing w:after="0"/>
              <w:ind w:left="459" w:firstLine="0"/>
              <w:contextualSpacing/>
              <w:jc w:val="both"/>
              <w:rPr>
                <w:sz w:val="26"/>
                <w:szCs w:val="26"/>
              </w:rPr>
            </w:pPr>
            <w:r w:rsidRPr="003F4F05">
              <w:rPr>
                <w:sz w:val="26"/>
                <w:szCs w:val="26"/>
              </w:rPr>
              <w:t>administratīvās ēkas Talejas ielā 1, Rīgā, aprīkojuma (piemēram, mēbeles, iekārtas, tehniskais aprīkojums) iegādes un ar to saistīto izdevumu segšanai;</w:t>
            </w:r>
          </w:p>
          <w:p w:rsidR="00B80BA9" w:rsidRPr="003F4F05" w:rsidRDefault="00B80BA9" w:rsidP="00B80BA9">
            <w:pPr>
              <w:pStyle w:val="BodyText"/>
              <w:numPr>
                <w:ilvl w:val="0"/>
                <w:numId w:val="9"/>
              </w:numPr>
              <w:tabs>
                <w:tab w:val="left" w:pos="742"/>
              </w:tabs>
              <w:spacing w:after="0"/>
              <w:ind w:left="459" w:firstLine="0"/>
              <w:contextualSpacing/>
              <w:jc w:val="both"/>
              <w:rPr>
                <w:sz w:val="26"/>
                <w:szCs w:val="26"/>
              </w:rPr>
            </w:pPr>
            <w:r w:rsidRPr="003F4F05">
              <w:rPr>
                <w:sz w:val="26"/>
                <w:szCs w:val="26"/>
              </w:rPr>
              <w:t>VID struktūrvienību pārcelšanās izdevumu segšanai;</w:t>
            </w:r>
          </w:p>
          <w:p w:rsidR="00B80BA9" w:rsidRPr="003F4F05" w:rsidRDefault="00B80BA9" w:rsidP="00B80BA9">
            <w:pPr>
              <w:pStyle w:val="BodyText"/>
              <w:numPr>
                <w:ilvl w:val="0"/>
                <w:numId w:val="9"/>
              </w:numPr>
              <w:tabs>
                <w:tab w:val="left" w:pos="742"/>
              </w:tabs>
              <w:spacing w:after="0"/>
              <w:ind w:left="459" w:firstLine="0"/>
              <w:contextualSpacing/>
              <w:jc w:val="both"/>
              <w:rPr>
                <w:sz w:val="26"/>
                <w:szCs w:val="26"/>
              </w:rPr>
            </w:pPr>
            <w:r w:rsidRPr="003F4F05">
              <w:rPr>
                <w:sz w:val="26"/>
                <w:szCs w:val="26"/>
              </w:rPr>
              <w:t>ar VID nepārtrauktas darbības nodrošināšanu saistīto izdevumu segšanai.</w:t>
            </w:r>
          </w:p>
          <w:p w:rsidR="00B80BA9" w:rsidRPr="003F4F05" w:rsidRDefault="00B80BA9" w:rsidP="00B80BA9">
            <w:pPr>
              <w:pStyle w:val="naiskr"/>
              <w:tabs>
                <w:tab w:val="left" w:pos="366"/>
              </w:tabs>
              <w:spacing w:before="120" w:beforeAutospacing="0" w:after="120" w:afterAutospacing="0"/>
              <w:ind w:right="140"/>
              <w:jc w:val="both"/>
              <w:rPr>
                <w:bCs/>
                <w:sz w:val="26"/>
                <w:szCs w:val="26"/>
              </w:rPr>
            </w:pPr>
            <w:r w:rsidRPr="003F4F05">
              <w:rPr>
                <w:bCs/>
                <w:sz w:val="26"/>
                <w:szCs w:val="26"/>
              </w:rPr>
              <w:t>MK rīkojuma projekta tiesiskā regulējuma mērķis un būtība:</w:t>
            </w:r>
          </w:p>
          <w:p w:rsidR="00B80BA9" w:rsidRPr="003F4F05" w:rsidRDefault="00B80BA9" w:rsidP="00B80BA9">
            <w:pPr>
              <w:pStyle w:val="ListParagraph"/>
              <w:numPr>
                <w:ilvl w:val="0"/>
                <w:numId w:val="20"/>
              </w:numPr>
              <w:tabs>
                <w:tab w:val="left" w:pos="709"/>
              </w:tabs>
              <w:spacing w:before="120"/>
              <w:ind w:left="0" w:firstLine="0"/>
              <w:contextualSpacing w:val="0"/>
              <w:jc w:val="both"/>
              <w:rPr>
                <w:sz w:val="26"/>
                <w:szCs w:val="26"/>
              </w:rPr>
            </w:pPr>
            <w:r w:rsidRPr="003F4F05">
              <w:rPr>
                <w:sz w:val="26"/>
                <w:szCs w:val="26"/>
              </w:rPr>
              <w:t xml:space="preserve">Atbalstīt </w:t>
            </w:r>
            <w:r w:rsidR="0089355E" w:rsidRPr="003F4F05">
              <w:rPr>
                <w:sz w:val="26"/>
                <w:szCs w:val="26"/>
              </w:rPr>
              <w:t>FM</w:t>
            </w:r>
            <w:r w:rsidRPr="003F4F05">
              <w:rPr>
                <w:sz w:val="26"/>
                <w:szCs w:val="26"/>
              </w:rPr>
              <w:t xml:space="preserve"> (</w:t>
            </w:r>
            <w:r w:rsidR="0089355E" w:rsidRPr="003F4F05">
              <w:rPr>
                <w:sz w:val="26"/>
                <w:szCs w:val="26"/>
              </w:rPr>
              <w:t>VID</w:t>
            </w:r>
            <w:r w:rsidRPr="003F4F05">
              <w:rPr>
                <w:sz w:val="26"/>
                <w:szCs w:val="26"/>
              </w:rPr>
              <w:t>) priekšlikumu par finansējuma izmaiņām:</w:t>
            </w:r>
          </w:p>
          <w:p w:rsidR="00B80BA9" w:rsidRPr="003F4F05" w:rsidRDefault="00B80BA9" w:rsidP="00B80BA9">
            <w:pPr>
              <w:pStyle w:val="ListParagraph"/>
              <w:numPr>
                <w:ilvl w:val="1"/>
                <w:numId w:val="20"/>
              </w:numPr>
              <w:tabs>
                <w:tab w:val="left" w:pos="709"/>
              </w:tabs>
              <w:spacing w:before="120"/>
              <w:ind w:left="0" w:firstLine="0"/>
              <w:contextualSpacing w:val="0"/>
              <w:jc w:val="both"/>
              <w:rPr>
                <w:sz w:val="26"/>
                <w:szCs w:val="26"/>
              </w:rPr>
            </w:pPr>
            <w:r w:rsidRPr="003F4F05">
              <w:rPr>
                <w:sz w:val="26"/>
                <w:szCs w:val="26"/>
              </w:rPr>
              <w:t>uzturēšanas izdevumiem:</w:t>
            </w:r>
          </w:p>
          <w:p w:rsidR="00B80BA9" w:rsidRPr="003F4F05" w:rsidRDefault="00B80BA9" w:rsidP="00B80BA9">
            <w:pPr>
              <w:pStyle w:val="ListParagraph"/>
              <w:numPr>
                <w:ilvl w:val="2"/>
                <w:numId w:val="20"/>
              </w:numPr>
              <w:tabs>
                <w:tab w:val="left" w:pos="709"/>
              </w:tabs>
              <w:ind w:left="0" w:firstLine="0"/>
              <w:contextualSpacing w:val="0"/>
              <w:jc w:val="both"/>
              <w:rPr>
                <w:sz w:val="26"/>
                <w:szCs w:val="26"/>
              </w:rPr>
            </w:pPr>
            <w:r w:rsidRPr="003F4F05">
              <w:rPr>
                <w:sz w:val="26"/>
                <w:szCs w:val="26"/>
              </w:rPr>
              <w:t xml:space="preserve">samazinot </w:t>
            </w:r>
            <w:r w:rsidR="0089355E" w:rsidRPr="003F4F05">
              <w:rPr>
                <w:sz w:val="26"/>
                <w:szCs w:val="26"/>
              </w:rPr>
              <w:t>VID</w:t>
            </w:r>
            <w:r w:rsidRPr="003F4F05">
              <w:rPr>
                <w:sz w:val="26"/>
                <w:szCs w:val="26"/>
              </w:rPr>
              <w:t xml:space="preserve"> administratīvās ēkas Talejas ielā 1, Rīgā, telpu uzturēšanas (komunālie maksājumi un apsaimniekošanas izdevumi, tai skaitā apdrošināšana un nekustamā īpašuma nodoklis) izdevumu segšanai nepieciešamo finansējumu 2014.gadā par 1 007 3</w:t>
            </w:r>
            <w:r w:rsidR="00F21CB4">
              <w:rPr>
                <w:sz w:val="26"/>
                <w:szCs w:val="26"/>
              </w:rPr>
              <w:t>79</w:t>
            </w:r>
            <w:r w:rsidRPr="003F4F05">
              <w:rPr>
                <w:sz w:val="26"/>
                <w:szCs w:val="26"/>
              </w:rPr>
              <w:t> </w:t>
            </w:r>
            <w:r w:rsidRPr="003F4F05">
              <w:rPr>
                <w:i/>
                <w:sz w:val="26"/>
                <w:szCs w:val="26"/>
              </w:rPr>
              <w:t>euro</w:t>
            </w:r>
            <w:r w:rsidR="004A235C">
              <w:rPr>
                <w:i/>
                <w:sz w:val="26"/>
                <w:szCs w:val="26"/>
              </w:rPr>
              <w:t xml:space="preserve"> </w:t>
            </w:r>
            <w:r w:rsidR="004A235C">
              <w:rPr>
                <w:sz w:val="26"/>
                <w:szCs w:val="26"/>
              </w:rPr>
              <w:t>un nosakot kopējo finansējumu VID</w:t>
            </w:r>
            <w:r w:rsidR="004A235C" w:rsidRPr="009836C2">
              <w:rPr>
                <w:sz w:val="26"/>
                <w:szCs w:val="26"/>
              </w:rPr>
              <w:t xml:space="preserve"> administratīvās ēkas Talejas ielā 1, Rīgā, telpu uzturēšanas (komunālie maksājumi un apsaimniekošanas izdevumi, tai skaitā apdrošināšana un nekustamā īpašuma nodoklis) izdevumu segšanai</w:t>
            </w:r>
            <w:r w:rsidR="004A235C">
              <w:rPr>
                <w:sz w:val="26"/>
                <w:szCs w:val="26"/>
              </w:rPr>
              <w:t xml:space="preserve"> – 2014.gadā  1 406 094 </w:t>
            </w:r>
            <w:r w:rsidR="004A235C" w:rsidRPr="00B81E7D">
              <w:rPr>
                <w:i/>
                <w:sz w:val="26"/>
                <w:szCs w:val="26"/>
              </w:rPr>
              <w:t>euro</w:t>
            </w:r>
            <w:r w:rsidRPr="003F4F05">
              <w:rPr>
                <w:sz w:val="26"/>
                <w:szCs w:val="26"/>
              </w:rPr>
              <w:t>;</w:t>
            </w:r>
          </w:p>
          <w:p w:rsidR="00B80BA9" w:rsidRPr="003F4F05" w:rsidRDefault="00B80BA9" w:rsidP="00B80BA9">
            <w:pPr>
              <w:pStyle w:val="ListParagraph"/>
              <w:numPr>
                <w:ilvl w:val="2"/>
                <w:numId w:val="20"/>
              </w:numPr>
              <w:tabs>
                <w:tab w:val="left" w:pos="709"/>
              </w:tabs>
              <w:ind w:left="0" w:firstLine="0"/>
              <w:contextualSpacing w:val="0"/>
              <w:jc w:val="both"/>
              <w:rPr>
                <w:sz w:val="26"/>
                <w:szCs w:val="26"/>
              </w:rPr>
            </w:pPr>
            <w:r w:rsidRPr="003F4F05">
              <w:rPr>
                <w:sz w:val="26"/>
                <w:szCs w:val="26"/>
              </w:rPr>
              <w:t xml:space="preserve">samazinot </w:t>
            </w:r>
            <w:r w:rsidR="0089355E" w:rsidRPr="003F4F05">
              <w:rPr>
                <w:sz w:val="26"/>
                <w:szCs w:val="26"/>
              </w:rPr>
              <w:t>VID</w:t>
            </w:r>
            <w:r w:rsidRPr="003F4F05">
              <w:rPr>
                <w:sz w:val="26"/>
                <w:szCs w:val="26"/>
              </w:rPr>
              <w:t xml:space="preserve"> administratīvās ēkas Talejas ielā 1, Rīgā, apsardzes un ar apsardzes infrastruktūras (apsardzes signalizācijas, novērošanas iekārtu u.c. veida infrastruktūras) uzturēšanu saistītos izdevumu segšanai nepieciešamo finansējumu 2014.gadā par 137 129 </w:t>
            </w:r>
            <w:r w:rsidRPr="003F4F05">
              <w:rPr>
                <w:i/>
                <w:sz w:val="26"/>
                <w:szCs w:val="26"/>
              </w:rPr>
              <w:t>euro</w:t>
            </w:r>
            <w:r w:rsidR="004A235C">
              <w:rPr>
                <w:sz w:val="26"/>
                <w:szCs w:val="26"/>
              </w:rPr>
              <w:t xml:space="preserve"> un nosakot kopējo finansējumu VID</w:t>
            </w:r>
            <w:r w:rsidR="004A235C" w:rsidRPr="009836C2">
              <w:rPr>
                <w:sz w:val="26"/>
                <w:szCs w:val="26"/>
              </w:rPr>
              <w:t xml:space="preserve"> administratīvās ēkas Talejas ielā 1, Rīgā, apsardzes un ar apsardzes infrastruktūras (apsardzes signalizācijas, novērošanas iekārtu u.c. veida infrastruktūras) uzturēšanu saistītos izdevumu segšanai</w:t>
            </w:r>
            <w:r w:rsidR="004A235C">
              <w:rPr>
                <w:sz w:val="26"/>
                <w:szCs w:val="26"/>
              </w:rPr>
              <w:t xml:space="preserve"> – 2014.gadā </w:t>
            </w:r>
            <w:r w:rsidR="004A235C" w:rsidRPr="00B81E7D">
              <w:rPr>
                <w:sz w:val="26"/>
                <w:szCs w:val="26"/>
              </w:rPr>
              <w:t>200</w:t>
            </w:r>
            <w:r w:rsidR="004A235C">
              <w:rPr>
                <w:sz w:val="26"/>
                <w:szCs w:val="26"/>
              </w:rPr>
              <w:t> </w:t>
            </w:r>
            <w:r w:rsidR="004A235C" w:rsidRPr="00B81E7D">
              <w:rPr>
                <w:sz w:val="26"/>
                <w:szCs w:val="26"/>
              </w:rPr>
              <w:t>319</w:t>
            </w:r>
            <w:r w:rsidR="004A235C">
              <w:rPr>
                <w:sz w:val="26"/>
                <w:szCs w:val="26"/>
              </w:rPr>
              <w:t> </w:t>
            </w:r>
            <w:r w:rsidR="004A235C" w:rsidRPr="00B81E7D">
              <w:rPr>
                <w:i/>
                <w:sz w:val="26"/>
                <w:szCs w:val="26"/>
              </w:rPr>
              <w:t>euro</w:t>
            </w:r>
            <w:r w:rsidRPr="003F4F05">
              <w:rPr>
                <w:sz w:val="26"/>
                <w:szCs w:val="26"/>
              </w:rPr>
              <w:t>;</w:t>
            </w:r>
          </w:p>
          <w:p w:rsidR="00B80BA9" w:rsidRPr="003F4F05" w:rsidRDefault="00B80BA9" w:rsidP="00B80BA9">
            <w:pPr>
              <w:pStyle w:val="ListParagraph"/>
              <w:numPr>
                <w:ilvl w:val="1"/>
                <w:numId w:val="20"/>
              </w:numPr>
              <w:tabs>
                <w:tab w:val="left" w:pos="709"/>
              </w:tabs>
              <w:spacing w:before="120"/>
              <w:ind w:left="0" w:firstLine="0"/>
              <w:contextualSpacing w:val="0"/>
              <w:jc w:val="both"/>
              <w:rPr>
                <w:sz w:val="26"/>
                <w:szCs w:val="26"/>
              </w:rPr>
            </w:pPr>
            <w:r w:rsidRPr="003F4F05">
              <w:rPr>
                <w:sz w:val="26"/>
                <w:szCs w:val="26"/>
              </w:rPr>
              <w:t>vienreizējiem izdevumiem:</w:t>
            </w:r>
          </w:p>
          <w:p w:rsidR="00B80BA9" w:rsidRPr="003F4F05" w:rsidRDefault="00B80BA9" w:rsidP="00B80BA9">
            <w:pPr>
              <w:pStyle w:val="ListParagraph"/>
              <w:numPr>
                <w:ilvl w:val="2"/>
                <w:numId w:val="20"/>
              </w:numPr>
              <w:tabs>
                <w:tab w:val="left" w:pos="709"/>
              </w:tabs>
              <w:ind w:left="0" w:firstLine="0"/>
              <w:contextualSpacing w:val="0"/>
              <w:jc w:val="both"/>
              <w:rPr>
                <w:sz w:val="26"/>
                <w:szCs w:val="26"/>
              </w:rPr>
            </w:pPr>
            <w:r w:rsidRPr="003F4F05">
              <w:rPr>
                <w:sz w:val="26"/>
                <w:szCs w:val="26"/>
              </w:rPr>
              <w:lastRenderedPageBreak/>
              <w:t xml:space="preserve">samazinot </w:t>
            </w:r>
            <w:r w:rsidR="0089355E" w:rsidRPr="003F4F05">
              <w:rPr>
                <w:sz w:val="26"/>
                <w:szCs w:val="26"/>
              </w:rPr>
              <w:t>VID</w:t>
            </w:r>
            <w:r w:rsidRPr="003F4F05">
              <w:rPr>
                <w:sz w:val="26"/>
                <w:szCs w:val="26"/>
              </w:rPr>
              <w:t xml:space="preserve"> administratīvās ēkas Talejas ielā 1, Rīgā, aprīkojuma (piemēram, mēbeles, iekārtas, tehniskais aprīkojums) iegādes un ar to saistīto izdevumu segšanai nepieciešamo finansējumu 2014.gadā par 1 611 63</w:t>
            </w:r>
            <w:r w:rsidR="00F21CB4">
              <w:rPr>
                <w:sz w:val="26"/>
                <w:szCs w:val="26"/>
              </w:rPr>
              <w:t>8</w:t>
            </w:r>
            <w:r w:rsidRPr="003F4F05">
              <w:rPr>
                <w:sz w:val="26"/>
                <w:szCs w:val="26"/>
              </w:rPr>
              <w:t> </w:t>
            </w:r>
            <w:r w:rsidRPr="003F4F05">
              <w:rPr>
                <w:i/>
                <w:sz w:val="26"/>
                <w:szCs w:val="26"/>
              </w:rPr>
              <w:t>euro</w:t>
            </w:r>
            <w:r w:rsidR="004A235C">
              <w:rPr>
                <w:sz w:val="26"/>
                <w:szCs w:val="26"/>
              </w:rPr>
              <w:t xml:space="preserve"> un nosakot kopējo finansējumu </w:t>
            </w:r>
            <w:r w:rsidR="003E228F">
              <w:rPr>
                <w:sz w:val="26"/>
                <w:szCs w:val="26"/>
              </w:rPr>
              <w:t>VID</w:t>
            </w:r>
            <w:r w:rsidR="004A235C" w:rsidRPr="009836C2">
              <w:rPr>
                <w:sz w:val="26"/>
                <w:szCs w:val="26"/>
              </w:rPr>
              <w:t xml:space="preserve"> administratīvās ēkas Talejas ielā 1, Rīgā, aprīkojuma (piemēram, mēbeles, iekārtas, tehniskais aprīkojums) iegādes un ar to saistīto izdevumu segšanai</w:t>
            </w:r>
            <w:r w:rsidR="004A235C">
              <w:rPr>
                <w:sz w:val="26"/>
                <w:szCs w:val="26"/>
              </w:rPr>
              <w:t xml:space="preserve"> – 2014.gadā 3 383 30</w:t>
            </w:r>
            <w:r w:rsidR="00F21CB4">
              <w:rPr>
                <w:sz w:val="26"/>
                <w:szCs w:val="26"/>
              </w:rPr>
              <w:t>4</w:t>
            </w:r>
            <w:r w:rsidR="004A235C">
              <w:rPr>
                <w:sz w:val="26"/>
                <w:szCs w:val="26"/>
              </w:rPr>
              <w:t> </w:t>
            </w:r>
            <w:r w:rsidR="004A235C" w:rsidRPr="00B81E7D">
              <w:rPr>
                <w:i/>
                <w:sz w:val="26"/>
                <w:szCs w:val="26"/>
              </w:rPr>
              <w:t>euro</w:t>
            </w:r>
            <w:r w:rsidRPr="003F4F05">
              <w:rPr>
                <w:sz w:val="26"/>
                <w:szCs w:val="26"/>
              </w:rPr>
              <w:t>;</w:t>
            </w:r>
          </w:p>
          <w:p w:rsidR="00B80BA9" w:rsidRPr="003F4F05" w:rsidRDefault="00B80BA9" w:rsidP="00B80BA9">
            <w:pPr>
              <w:pStyle w:val="ListParagraph"/>
              <w:numPr>
                <w:ilvl w:val="2"/>
                <w:numId w:val="20"/>
              </w:numPr>
              <w:tabs>
                <w:tab w:val="left" w:pos="709"/>
              </w:tabs>
              <w:ind w:left="0" w:firstLine="0"/>
              <w:contextualSpacing w:val="0"/>
              <w:jc w:val="both"/>
              <w:rPr>
                <w:sz w:val="26"/>
                <w:szCs w:val="26"/>
              </w:rPr>
            </w:pPr>
            <w:r w:rsidRPr="003F4F05">
              <w:rPr>
                <w:sz w:val="26"/>
                <w:szCs w:val="26"/>
              </w:rPr>
              <w:t xml:space="preserve">palielinot </w:t>
            </w:r>
            <w:r w:rsidR="0089355E" w:rsidRPr="003F4F05">
              <w:rPr>
                <w:sz w:val="26"/>
                <w:szCs w:val="26"/>
              </w:rPr>
              <w:t>VID</w:t>
            </w:r>
            <w:r w:rsidRPr="003F4F05">
              <w:rPr>
                <w:sz w:val="26"/>
                <w:szCs w:val="26"/>
              </w:rPr>
              <w:t xml:space="preserve"> struktūrvienību pārcelšanās izdevumu segšanai nepieciešamo finansējumu 2014.gadā par 219 161 </w:t>
            </w:r>
            <w:r w:rsidRPr="003F4F05">
              <w:rPr>
                <w:i/>
                <w:sz w:val="26"/>
                <w:szCs w:val="26"/>
              </w:rPr>
              <w:t>euro</w:t>
            </w:r>
            <w:r w:rsidR="003E228F">
              <w:rPr>
                <w:sz w:val="26"/>
                <w:szCs w:val="26"/>
              </w:rPr>
              <w:t xml:space="preserve"> un nosakot kopējo finansējumu VID</w:t>
            </w:r>
            <w:r w:rsidR="003E228F" w:rsidRPr="009836C2">
              <w:rPr>
                <w:sz w:val="26"/>
                <w:szCs w:val="26"/>
              </w:rPr>
              <w:t xml:space="preserve"> struktūrvienību pārcelšanās izdevumu segšanai</w:t>
            </w:r>
            <w:r w:rsidR="003E228F">
              <w:rPr>
                <w:sz w:val="26"/>
                <w:szCs w:val="26"/>
              </w:rPr>
              <w:t xml:space="preserve"> – 2014.gadā 404 335 </w:t>
            </w:r>
            <w:r w:rsidR="003E228F" w:rsidRPr="00B81E7D">
              <w:rPr>
                <w:i/>
                <w:sz w:val="26"/>
                <w:szCs w:val="26"/>
              </w:rPr>
              <w:t>euro</w:t>
            </w:r>
            <w:r w:rsidRPr="003F4F05">
              <w:rPr>
                <w:sz w:val="26"/>
                <w:szCs w:val="26"/>
              </w:rPr>
              <w:t>;</w:t>
            </w:r>
          </w:p>
          <w:p w:rsidR="00B80BA9" w:rsidRPr="003F4F05" w:rsidRDefault="00B80BA9" w:rsidP="00B80BA9">
            <w:pPr>
              <w:pStyle w:val="ListParagraph"/>
              <w:numPr>
                <w:ilvl w:val="2"/>
                <w:numId w:val="20"/>
              </w:numPr>
              <w:tabs>
                <w:tab w:val="left" w:pos="709"/>
              </w:tabs>
              <w:ind w:left="0" w:firstLine="0"/>
              <w:contextualSpacing w:val="0"/>
              <w:jc w:val="both"/>
              <w:rPr>
                <w:sz w:val="26"/>
                <w:szCs w:val="26"/>
              </w:rPr>
            </w:pPr>
            <w:r w:rsidRPr="003F4F05">
              <w:rPr>
                <w:sz w:val="26"/>
                <w:szCs w:val="26"/>
              </w:rPr>
              <w:t xml:space="preserve">palielinot ar </w:t>
            </w:r>
            <w:r w:rsidR="0089355E" w:rsidRPr="003F4F05">
              <w:rPr>
                <w:sz w:val="26"/>
                <w:szCs w:val="26"/>
              </w:rPr>
              <w:t>VID</w:t>
            </w:r>
            <w:r w:rsidRPr="003F4F05">
              <w:rPr>
                <w:sz w:val="26"/>
                <w:szCs w:val="26"/>
              </w:rPr>
              <w:t xml:space="preserve"> nepārtrauktas darbības nodrošināšanu saistīto izdevumu segšanai nepieciešamo finansējumu 2014.gadā par 1 108 599 </w:t>
            </w:r>
            <w:r w:rsidRPr="003F4F05">
              <w:rPr>
                <w:i/>
                <w:sz w:val="26"/>
                <w:szCs w:val="26"/>
              </w:rPr>
              <w:t>euro</w:t>
            </w:r>
            <w:r w:rsidR="003E228F">
              <w:rPr>
                <w:sz w:val="26"/>
                <w:szCs w:val="26"/>
              </w:rPr>
              <w:t xml:space="preserve"> un nosakot kopējo finansējumu </w:t>
            </w:r>
            <w:r w:rsidR="003E228F" w:rsidRPr="009836C2">
              <w:rPr>
                <w:sz w:val="26"/>
                <w:szCs w:val="26"/>
              </w:rPr>
              <w:t xml:space="preserve">ar </w:t>
            </w:r>
            <w:r w:rsidR="003E228F">
              <w:rPr>
                <w:sz w:val="26"/>
                <w:szCs w:val="26"/>
              </w:rPr>
              <w:t>VID</w:t>
            </w:r>
            <w:r w:rsidR="003E228F" w:rsidRPr="009836C2">
              <w:rPr>
                <w:sz w:val="26"/>
                <w:szCs w:val="26"/>
              </w:rPr>
              <w:t xml:space="preserve"> nepārtrauktas darbības nodrošināšanu saistīto izdevumu segšanai</w:t>
            </w:r>
            <w:r w:rsidR="003E228F">
              <w:rPr>
                <w:sz w:val="26"/>
                <w:szCs w:val="26"/>
              </w:rPr>
              <w:t xml:space="preserve"> – 2014.gadā 3 313 407 </w:t>
            </w:r>
            <w:r w:rsidR="003E228F" w:rsidRPr="00B81E7D">
              <w:rPr>
                <w:i/>
                <w:sz w:val="26"/>
                <w:szCs w:val="26"/>
              </w:rPr>
              <w:t>euro</w:t>
            </w:r>
            <w:r w:rsidRPr="003F4F05">
              <w:rPr>
                <w:sz w:val="26"/>
                <w:szCs w:val="26"/>
              </w:rPr>
              <w:t>.</w:t>
            </w:r>
          </w:p>
          <w:p w:rsidR="00B80BA9" w:rsidRPr="003F4F05" w:rsidRDefault="00B80BA9" w:rsidP="00B80BA9">
            <w:pPr>
              <w:pStyle w:val="ListParagraph"/>
              <w:tabs>
                <w:tab w:val="left" w:pos="709"/>
              </w:tabs>
              <w:ind w:left="0"/>
              <w:contextualSpacing w:val="0"/>
              <w:jc w:val="both"/>
              <w:rPr>
                <w:sz w:val="26"/>
                <w:szCs w:val="26"/>
              </w:rPr>
            </w:pPr>
          </w:p>
          <w:p w:rsidR="00B80BA9" w:rsidRPr="003F4F05" w:rsidRDefault="00B80BA9" w:rsidP="00B80BA9">
            <w:pPr>
              <w:tabs>
                <w:tab w:val="left" w:pos="426"/>
              </w:tabs>
              <w:spacing w:before="120" w:after="120"/>
              <w:jc w:val="both"/>
              <w:rPr>
                <w:sz w:val="26"/>
                <w:szCs w:val="26"/>
              </w:rPr>
            </w:pPr>
            <w:r w:rsidRPr="003F4F05">
              <w:rPr>
                <w:sz w:val="26"/>
                <w:szCs w:val="26"/>
              </w:rPr>
              <w:t>MK rīkojuma projekts pilnībā atrisina iepriekš minētās problēmas.</w:t>
            </w:r>
          </w:p>
          <w:p w:rsidR="00B80BA9" w:rsidRPr="003F4F05" w:rsidRDefault="00B80BA9" w:rsidP="00B91923">
            <w:pPr>
              <w:pStyle w:val="naiskr"/>
              <w:tabs>
                <w:tab w:val="left" w:pos="366"/>
              </w:tabs>
              <w:spacing w:before="0" w:beforeAutospacing="0" w:after="0" w:afterAutospacing="0"/>
              <w:ind w:right="140"/>
              <w:jc w:val="both"/>
              <w:rPr>
                <w:bCs/>
                <w:sz w:val="26"/>
                <w:szCs w:val="26"/>
              </w:rPr>
            </w:pPr>
          </w:p>
          <w:p w:rsidR="00A94744" w:rsidRPr="003F4F05" w:rsidRDefault="00B80BA9" w:rsidP="00A94744">
            <w:pPr>
              <w:pStyle w:val="naiskr"/>
              <w:tabs>
                <w:tab w:val="left" w:pos="366"/>
              </w:tabs>
              <w:spacing w:before="120" w:beforeAutospacing="0" w:after="120" w:afterAutospacing="0"/>
              <w:ind w:right="140"/>
              <w:jc w:val="both"/>
              <w:rPr>
                <w:sz w:val="26"/>
                <w:szCs w:val="26"/>
              </w:rPr>
            </w:pPr>
            <w:r w:rsidRPr="003F4F05">
              <w:rPr>
                <w:bCs/>
                <w:sz w:val="26"/>
                <w:szCs w:val="26"/>
              </w:rPr>
              <w:t>V</w:t>
            </w:r>
            <w:r w:rsidR="00A94744" w:rsidRPr="003F4F05">
              <w:rPr>
                <w:sz w:val="26"/>
                <w:szCs w:val="26"/>
              </w:rPr>
              <w:t xml:space="preserve">ienlaikus ar MK rīkojuma projektu ir </w:t>
            </w:r>
            <w:r w:rsidR="00A94744" w:rsidRPr="003F4F05">
              <w:rPr>
                <w:bCs/>
                <w:sz w:val="26"/>
                <w:szCs w:val="26"/>
              </w:rPr>
              <w:t>sagatavots</w:t>
            </w:r>
            <w:r w:rsidR="00A94744" w:rsidRPr="003F4F05">
              <w:rPr>
                <w:sz w:val="26"/>
                <w:szCs w:val="26"/>
              </w:rPr>
              <w:t xml:space="preserve"> </w:t>
            </w:r>
            <w:r w:rsidR="005B2307" w:rsidRPr="003F4F05">
              <w:rPr>
                <w:sz w:val="26"/>
                <w:szCs w:val="26"/>
              </w:rPr>
              <w:t>MK</w:t>
            </w:r>
            <w:r w:rsidR="00A94744" w:rsidRPr="003F4F05">
              <w:rPr>
                <w:sz w:val="26"/>
                <w:szCs w:val="26"/>
              </w:rPr>
              <w:t xml:space="preserve"> sēdes protokollēmuma projekts, kas paredz:</w:t>
            </w:r>
          </w:p>
          <w:p w:rsidR="00C715A8" w:rsidRPr="003F4F05" w:rsidRDefault="002C07BB" w:rsidP="00C715A8">
            <w:pPr>
              <w:pStyle w:val="ListParagraph"/>
              <w:numPr>
                <w:ilvl w:val="0"/>
                <w:numId w:val="14"/>
              </w:numPr>
              <w:tabs>
                <w:tab w:val="left" w:pos="426"/>
              </w:tabs>
              <w:spacing w:before="120"/>
              <w:ind w:left="0" w:firstLine="0"/>
              <w:contextualSpacing w:val="0"/>
              <w:jc w:val="both"/>
              <w:rPr>
                <w:sz w:val="26"/>
                <w:szCs w:val="26"/>
              </w:rPr>
            </w:pPr>
            <w:r w:rsidRPr="003F4F05">
              <w:rPr>
                <w:sz w:val="26"/>
                <w:szCs w:val="26"/>
              </w:rPr>
              <w:t xml:space="preserve">Atļaut novirzīt finansējumu </w:t>
            </w:r>
            <w:r w:rsidR="0089355E" w:rsidRPr="003F4F05">
              <w:rPr>
                <w:sz w:val="26"/>
                <w:szCs w:val="26"/>
              </w:rPr>
              <w:t>VVKAC</w:t>
            </w:r>
            <w:r w:rsidRPr="003F4F05">
              <w:rPr>
                <w:sz w:val="26"/>
                <w:szCs w:val="26"/>
              </w:rPr>
              <w:t xml:space="preserve"> izveidošanai administratīvajā ēkā Talejas ielā 1, Rīgā, nepieciešamo vienreizēju pasākumu izdevumu segšanai 2014.gadā 8 626 </w:t>
            </w:r>
            <w:r w:rsidRPr="003F4F05">
              <w:rPr>
                <w:i/>
                <w:sz w:val="26"/>
                <w:szCs w:val="26"/>
              </w:rPr>
              <w:t>euro</w:t>
            </w:r>
            <w:r w:rsidRPr="003F4F05">
              <w:rPr>
                <w:sz w:val="26"/>
                <w:szCs w:val="26"/>
              </w:rPr>
              <w:t xml:space="preserve"> apmērā, kas sākotnēji bija paredzēts aprīkojuma (piemēram, mēbeles, iekārtas, tehniskais aprīkojums) iegādes un ar to saistīto izdevumu segšanai</w:t>
            </w:r>
            <w:r w:rsidR="00C715A8" w:rsidRPr="003F4F05">
              <w:rPr>
                <w:sz w:val="26"/>
                <w:szCs w:val="26"/>
              </w:rPr>
              <w:t>:</w:t>
            </w:r>
          </w:p>
          <w:p w:rsidR="00C715A8" w:rsidRPr="003F4F05" w:rsidRDefault="002C07BB" w:rsidP="00C715A8">
            <w:pPr>
              <w:pStyle w:val="ListParagraph"/>
              <w:numPr>
                <w:ilvl w:val="1"/>
                <w:numId w:val="14"/>
              </w:numPr>
              <w:tabs>
                <w:tab w:val="left" w:pos="0"/>
                <w:tab w:val="left" w:pos="426"/>
              </w:tabs>
              <w:spacing w:before="120"/>
              <w:ind w:left="0" w:firstLine="0"/>
              <w:contextualSpacing w:val="0"/>
              <w:jc w:val="both"/>
              <w:rPr>
                <w:sz w:val="26"/>
                <w:szCs w:val="26"/>
              </w:rPr>
            </w:pPr>
            <w:r w:rsidRPr="003F4F05">
              <w:rPr>
                <w:sz w:val="26"/>
                <w:szCs w:val="26"/>
              </w:rPr>
              <w:t xml:space="preserve">veicot transferta pārskaitījumu </w:t>
            </w:r>
            <w:r w:rsidR="0089355E" w:rsidRPr="003F4F05">
              <w:rPr>
                <w:sz w:val="26"/>
                <w:szCs w:val="26"/>
              </w:rPr>
              <w:t>LM</w:t>
            </w:r>
            <w:r w:rsidRPr="003F4F05">
              <w:rPr>
                <w:sz w:val="26"/>
                <w:szCs w:val="26"/>
              </w:rPr>
              <w:t xml:space="preserve"> pamatbudžeta apakšprogrammā 97.02.00 „Nozares centralizēto funkciju izpilde” vienota valsts klientu apkalpošanas centra izveidošanai vienreizēja pasākuma – datu pārraides tīkla punkta ierīkošanas – izdevumu segšanai 431 </w:t>
            </w:r>
            <w:r w:rsidRPr="003F4F05">
              <w:rPr>
                <w:i/>
                <w:sz w:val="26"/>
                <w:szCs w:val="26"/>
              </w:rPr>
              <w:t>euro</w:t>
            </w:r>
            <w:r w:rsidRPr="003F4F05">
              <w:rPr>
                <w:sz w:val="26"/>
                <w:szCs w:val="26"/>
              </w:rPr>
              <w:t xml:space="preserve"> apmērā</w:t>
            </w:r>
            <w:r w:rsidR="006C014A" w:rsidRPr="003F4F05">
              <w:rPr>
                <w:sz w:val="26"/>
                <w:szCs w:val="26"/>
              </w:rPr>
              <w:t>;</w:t>
            </w:r>
          </w:p>
          <w:p w:rsidR="00513EC8" w:rsidRPr="003F4F05" w:rsidRDefault="0089355E" w:rsidP="00513EC8">
            <w:pPr>
              <w:pStyle w:val="ListParagraph"/>
              <w:numPr>
                <w:ilvl w:val="1"/>
                <w:numId w:val="14"/>
              </w:numPr>
              <w:tabs>
                <w:tab w:val="left" w:pos="0"/>
                <w:tab w:val="left" w:pos="426"/>
              </w:tabs>
              <w:spacing w:before="120"/>
              <w:ind w:left="0" w:firstLine="0"/>
              <w:contextualSpacing w:val="0"/>
              <w:jc w:val="both"/>
              <w:rPr>
                <w:sz w:val="26"/>
                <w:szCs w:val="26"/>
              </w:rPr>
            </w:pPr>
            <w:r w:rsidRPr="003F4F05">
              <w:rPr>
                <w:sz w:val="26"/>
                <w:szCs w:val="26"/>
              </w:rPr>
              <w:t>FM</w:t>
            </w:r>
            <w:r w:rsidR="002C07BB" w:rsidRPr="003F4F05">
              <w:rPr>
                <w:sz w:val="26"/>
                <w:szCs w:val="26"/>
              </w:rPr>
              <w:t xml:space="preserve"> (VID) pamatbudžeta programmā 33.00.00 „Valsts ieņēmumu un muitas politikas nodrošināšana” vienota valsts klientu apkalpošanas centra izveidošanai vienreizēju pasākumu – informatīvo norāžu izgatavošanas un rindu regulēšanas sistēmas papildināšanas – izdevumu segšanai 8 195 </w:t>
            </w:r>
            <w:r w:rsidR="002C07BB" w:rsidRPr="003F4F05">
              <w:rPr>
                <w:i/>
                <w:sz w:val="26"/>
                <w:szCs w:val="26"/>
              </w:rPr>
              <w:t>euro</w:t>
            </w:r>
            <w:r w:rsidR="002C07BB" w:rsidRPr="003F4F05">
              <w:rPr>
                <w:sz w:val="26"/>
                <w:szCs w:val="26"/>
              </w:rPr>
              <w:t xml:space="preserve"> apmērā.</w:t>
            </w:r>
          </w:p>
          <w:p w:rsidR="00A60591" w:rsidRPr="003F4F05" w:rsidRDefault="00A60591" w:rsidP="00A60591">
            <w:pPr>
              <w:pStyle w:val="ListParagraph"/>
              <w:numPr>
                <w:ilvl w:val="0"/>
                <w:numId w:val="14"/>
              </w:numPr>
              <w:tabs>
                <w:tab w:val="left" w:pos="426"/>
              </w:tabs>
              <w:spacing w:before="120"/>
              <w:ind w:left="0" w:firstLine="0"/>
              <w:contextualSpacing w:val="0"/>
              <w:jc w:val="both"/>
              <w:rPr>
                <w:sz w:val="26"/>
                <w:szCs w:val="26"/>
              </w:rPr>
            </w:pPr>
            <w:r w:rsidRPr="003F4F05">
              <w:rPr>
                <w:sz w:val="26"/>
                <w:szCs w:val="26"/>
              </w:rPr>
              <w:t>Atļaut novirzīt finansējumu VID atlīdzības finansējuma palielināšanai 2014.gadā 1 419 760 </w:t>
            </w:r>
            <w:r w:rsidRPr="003F4F05">
              <w:rPr>
                <w:i/>
                <w:sz w:val="26"/>
                <w:szCs w:val="26"/>
              </w:rPr>
              <w:t>euro</w:t>
            </w:r>
            <w:r w:rsidRPr="003F4F05">
              <w:rPr>
                <w:sz w:val="26"/>
                <w:szCs w:val="26"/>
              </w:rPr>
              <w:t xml:space="preserve"> apmērā</w:t>
            </w:r>
            <w:r w:rsidR="00266B03">
              <w:rPr>
                <w:sz w:val="26"/>
                <w:szCs w:val="26"/>
              </w:rPr>
              <w:t xml:space="preserve"> (no tā atalgojums 1 148 765 </w:t>
            </w:r>
            <w:r w:rsidR="00266B03">
              <w:rPr>
                <w:i/>
                <w:sz w:val="26"/>
                <w:szCs w:val="26"/>
              </w:rPr>
              <w:t>euro</w:t>
            </w:r>
            <w:r w:rsidR="00266B03">
              <w:rPr>
                <w:sz w:val="26"/>
                <w:szCs w:val="26"/>
              </w:rPr>
              <w:t>)</w:t>
            </w:r>
            <w:r w:rsidRPr="003F4F05">
              <w:rPr>
                <w:sz w:val="26"/>
                <w:szCs w:val="26"/>
              </w:rPr>
              <w:t>, no tā 18 265 </w:t>
            </w:r>
            <w:r w:rsidRPr="003F4F05">
              <w:rPr>
                <w:i/>
                <w:sz w:val="26"/>
                <w:szCs w:val="26"/>
              </w:rPr>
              <w:t>euro</w:t>
            </w:r>
            <w:r w:rsidRPr="003F4F05">
              <w:rPr>
                <w:sz w:val="26"/>
                <w:szCs w:val="26"/>
              </w:rPr>
              <w:t xml:space="preserve"> </w:t>
            </w:r>
            <w:r w:rsidR="00266B03" w:rsidRPr="00F17523">
              <w:rPr>
                <w:sz w:val="26"/>
                <w:szCs w:val="26"/>
              </w:rPr>
              <w:t xml:space="preserve">(no tā atalgojums </w:t>
            </w:r>
            <w:r w:rsidR="00266B03" w:rsidRPr="00BC6E0A">
              <w:rPr>
                <w:sz w:val="26"/>
                <w:szCs w:val="26"/>
              </w:rPr>
              <w:t>14 778 </w:t>
            </w:r>
            <w:r w:rsidR="00266B03" w:rsidRPr="00BC6E0A">
              <w:rPr>
                <w:i/>
                <w:sz w:val="26"/>
                <w:szCs w:val="26"/>
              </w:rPr>
              <w:t>euro</w:t>
            </w:r>
            <w:r w:rsidR="00266B03" w:rsidRPr="00F17523">
              <w:rPr>
                <w:sz w:val="26"/>
                <w:szCs w:val="26"/>
              </w:rPr>
              <w:t>)</w:t>
            </w:r>
            <w:r w:rsidR="00266B03">
              <w:rPr>
                <w:sz w:val="26"/>
                <w:szCs w:val="26"/>
              </w:rPr>
              <w:t xml:space="preserve"> </w:t>
            </w:r>
            <w:r w:rsidRPr="003F4F05">
              <w:rPr>
                <w:sz w:val="26"/>
                <w:szCs w:val="26"/>
              </w:rPr>
              <w:t>prēmiju izmaksai atbilstoši Valsts un pašvaldību institūciju amatpersonu un darbinieku atlīdzības likuma pārejas noteikumu 8.15.punkta 1.apakšpunktam un 1 401 495 </w:t>
            </w:r>
            <w:r w:rsidRPr="003F4F05">
              <w:rPr>
                <w:i/>
                <w:sz w:val="26"/>
                <w:szCs w:val="26"/>
              </w:rPr>
              <w:t>euro</w:t>
            </w:r>
            <w:r w:rsidRPr="003F4F05">
              <w:rPr>
                <w:sz w:val="26"/>
                <w:szCs w:val="26"/>
              </w:rPr>
              <w:t xml:space="preserve"> </w:t>
            </w:r>
            <w:r w:rsidR="00266B03" w:rsidRPr="00F17523">
              <w:rPr>
                <w:sz w:val="26"/>
                <w:szCs w:val="26"/>
              </w:rPr>
              <w:t>(no tā atalgojums 1</w:t>
            </w:r>
            <w:r w:rsidR="00266B03">
              <w:rPr>
                <w:sz w:val="26"/>
                <w:szCs w:val="26"/>
              </w:rPr>
              <w:t> </w:t>
            </w:r>
            <w:r w:rsidR="00266B03" w:rsidRPr="00F17523">
              <w:rPr>
                <w:sz w:val="26"/>
                <w:szCs w:val="26"/>
              </w:rPr>
              <w:t>133</w:t>
            </w:r>
            <w:r w:rsidR="00266B03">
              <w:rPr>
                <w:sz w:val="26"/>
                <w:szCs w:val="26"/>
              </w:rPr>
              <w:t> </w:t>
            </w:r>
            <w:r w:rsidR="00266B03" w:rsidRPr="00F17523">
              <w:rPr>
                <w:sz w:val="26"/>
                <w:szCs w:val="26"/>
              </w:rPr>
              <w:t>987</w:t>
            </w:r>
            <w:r w:rsidR="00266B03">
              <w:rPr>
                <w:sz w:val="26"/>
                <w:szCs w:val="26"/>
              </w:rPr>
              <w:t> </w:t>
            </w:r>
            <w:r w:rsidR="00266B03" w:rsidRPr="00BC6E0A">
              <w:rPr>
                <w:i/>
                <w:sz w:val="26"/>
                <w:szCs w:val="26"/>
              </w:rPr>
              <w:t>euro</w:t>
            </w:r>
            <w:r w:rsidR="00266B03" w:rsidRPr="00F17523">
              <w:rPr>
                <w:sz w:val="26"/>
                <w:szCs w:val="26"/>
              </w:rPr>
              <w:t>)</w:t>
            </w:r>
            <w:r w:rsidR="00266B03">
              <w:rPr>
                <w:sz w:val="26"/>
                <w:szCs w:val="26"/>
              </w:rPr>
              <w:t xml:space="preserve"> </w:t>
            </w:r>
            <w:r w:rsidRPr="003F4F05">
              <w:rPr>
                <w:sz w:val="26"/>
                <w:szCs w:val="26"/>
              </w:rPr>
              <w:t xml:space="preserve">piemaksu par personīgo darba ieguldījumu un darba kvalitāti izmaksai atbilstoši Valsts un pašvaldību institūciju </w:t>
            </w:r>
            <w:r w:rsidRPr="003F4F05">
              <w:rPr>
                <w:sz w:val="26"/>
                <w:szCs w:val="26"/>
              </w:rPr>
              <w:lastRenderedPageBreak/>
              <w:t>amatpersonu un darbinieku atlīdzības likuma 14.panta divpadsmitajai daļai, kas sākotnēji bija paredzēts administratīvās ēkas Talejas ielā 1, Rīgā, aprīkojuma (piemēram, mēbeles, iekārtas, tehniskais aprīkojums) iegādes un ar to saistīto izdevumu segšanai (1 383 850 </w:t>
            </w:r>
            <w:r w:rsidRPr="003F4F05">
              <w:rPr>
                <w:i/>
                <w:sz w:val="26"/>
                <w:szCs w:val="26"/>
              </w:rPr>
              <w:t>euro</w:t>
            </w:r>
            <w:r w:rsidRPr="003F4F05">
              <w:rPr>
                <w:sz w:val="26"/>
                <w:szCs w:val="26"/>
              </w:rPr>
              <w:t xml:space="preserve"> apmērā) un administratīvās ēkas Talejas ielā 1, Rīgā, apsardzes un ar apsardzes infrastruktūras (apsardzes signalizācijas, novērošanas iekārtu u.c. veida infrastruktūras) uzturēšanu saistīto izdevumu segšanai (35 910 </w:t>
            </w:r>
            <w:r w:rsidRPr="003F4F05">
              <w:rPr>
                <w:i/>
                <w:sz w:val="26"/>
                <w:szCs w:val="26"/>
              </w:rPr>
              <w:t>euro</w:t>
            </w:r>
            <w:r w:rsidRPr="003F4F05">
              <w:rPr>
                <w:sz w:val="26"/>
                <w:szCs w:val="26"/>
              </w:rPr>
              <w:t xml:space="preserve"> apmērā).</w:t>
            </w:r>
          </w:p>
          <w:p w:rsidR="002C07BB" w:rsidRPr="003F4F05" w:rsidRDefault="002C07BB" w:rsidP="002C07BB">
            <w:pPr>
              <w:pStyle w:val="ListParagraph"/>
              <w:numPr>
                <w:ilvl w:val="0"/>
                <w:numId w:val="14"/>
              </w:numPr>
              <w:tabs>
                <w:tab w:val="left" w:pos="426"/>
              </w:tabs>
              <w:spacing w:before="120"/>
              <w:ind w:left="0" w:firstLine="0"/>
              <w:contextualSpacing w:val="0"/>
              <w:jc w:val="both"/>
              <w:rPr>
                <w:sz w:val="26"/>
                <w:szCs w:val="26"/>
              </w:rPr>
            </w:pPr>
            <w:r w:rsidRPr="003F4F05">
              <w:rPr>
                <w:sz w:val="26"/>
                <w:szCs w:val="26"/>
              </w:rPr>
              <w:t xml:space="preserve">Atbalstīt </w:t>
            </w:r>
            <w:r w:rsidR="004354C3" w:rsidRPr="003F4F05">
              <w:rPr>
                <w:sz w:val="26"/>
                <w:szCs w:val="26"/>
              </w:rPr>
              <w:t>FM (VID)</w:t>
            </w:r>
            <w:r w:rsidRPr="003F4F05">
              <w:rPr>
                <w:sz w:val="26"/>
                <w:szCs w:val="26"/>
              </w:rPr>
              <w:t xml:space="preserve"> priekšlikumu samazināt izdevumus 2015.gadam budžeta programmā 33.00.00 „Valsts ieņēmumu un muitas politikas nodrošināšana” 18 422 </w:t>
            </w:r>
            <w:r w:rsidRPr="003F4F05">
              <w:rPr>
                <w:i/>
                <w:sz w:val="26"/>
                <w:szCs w:val="26"/>
              </w:rPr>
              <w:t>euro</w:t>
            </w:r>
            <w:r w:rsidRPr="003F4F05">
              <w:rPr>
                <w:sz w:val="26"/>
                <w:szCs w:val="26"/>
              </w:rPr>
              <w:t xml:space="preserve"> apmērā</w:t>
            </w:r>
            <w:r w:rsidR="004A235C">
              <w:rPr>
                <w:sz w:val="26"/>
                <w:szCs w:val="26"/>
              </w:rPr>
              <w:t xml:space="preserve"> (pozīcijā – preces un pakalpojumi)</w:t>
            </w:r>
            <w:r w:rsidRPr="003F4F05">
              <w:rPr>
                <w:sz w:val="26"/>
                <w:szCs w:val="26"/>
              </w:rPr>
              <w:t>, tajā skaitā ilgtermiņa saistībām pasākumam „VID ēkas Talejas ielā 1, Rīgā, telpu nomas maksas, aprīkojuma iegādes, pārcelšanās un uzturēšanas izdevumu segšanai” 15 200 </w:t>
            </w:r>
            <w:r w:rsidRPr="003F4F05">
              <w:rPr>
                <w:i/>
                <w:sz w:val="26"/>
                <w:szCs w:val="26"/>
              </w:rPr>
              <w:t>euro</w:t>
            </w:r>
            <w:r w:rsidRPr="003F4F05">
              <w:rPr>
                <w:sz w:val="26"/>
                <w:szCs w:val="26"/>
              </w:rPr>
              <w:t xml:space="preserve"> apmērā, un</w:t>
            </w:r>
            <w:r w:rsidR="004A235C">
              <w:rPr>
                <w:sz w:val="26"/>
                <w:szCs w:val="26"/>
              </w:rPr>
              <w:t xml:space="preserve">, veicot </w:t>
            </w:r>
            <w:r w:rsidR="004A235C" w:rsidRPr="00074598">
              <w:rPr>
                <w:sz w:val="26"/>
                <w:szCs w:val="26"/>
              </w:rPr>
              <w:t>transferta pārskaitījumu 2015.gada budžeta izpildes procesā</w:t>
            </w:r>
            <w:r w:rsidR="004A235C">
              <w:rPr>
                <w:sz w:val="26"/>
                <w:szCs w:val="26"/>
              </w:rPr>
              <w:t>,</w:t>
            </w:r>
            <w:r w:rsidRPr="003F4F05">
              <w:rPr>
                <w:sz w:val="26"/>
                <w:szCs w:val="26"/>
              </w:rPr>
              <w:t xml:space="preserve"> par attiecīgo finansējuma apmēru palielināt Labklājības ministrijas izdevumus 2015.gadam administratīvās ēkas Talejas ielā 1, Rīgā, telpu nomas maksas izdevumu segšanai valsts akciju sabiedrībai „Valsts nekustamie īpašumi” un telpu uzturēšanas izdevumu segšanai  apmērā saistībā ar vienota valsts klientu apkalpošanas centra izveidošanu:</w:t>
            </w:r>
          </w:p>
          <w:p w:rsidR="002C07BB" w:rsidRPr="003F4F05" w:rsidRDefault="002C07BB" w:rsidP="002C07BB">
            <w:pPr>
              <w:pStyle w:val="ListParagraph"/>
              <w:numPr>
                <w:ilvl w:val="1"/>
                <w:numId w:val="14"/>
              </w:numPr>
              <w:tabs>
                <w:tab w:val="left" w:pos="0"/>
                <w:tab w:val="left" w:pos="426"/>
              </w:tabs>
              <w:spacing w:before="120"/>
              <w:ind w:left="502"/>
              <w:contextualSpacing w:val="0"/>
              <w:jc w:val="both"/>
              <w:rPr>
                <w:sz w:val="26"/>
                <w:szCs w:val="26"/>
              </w:rPr>
            </w:pPr>
            <w:r w:rsidRPr="003F4F05">
              <w:rPr>
                <w:sz w:val="26"/>
                <w:szCs w:val="26"/>
              </w:rPr>
              <w:t>pamatbudžeta apakšprogrammai 07.01.00 „Nodarbinātības valsts aģentūras darbības nodrošināšana” 6 752 </w:t>
            </w:r>
            <w:r w:rsidRPr="003F4F05">
              <w:rPr>
                <w:i/>
                <w:sz w:val="26"/>
                <w:szCs w:val="26"/>
              </w:rPr>
              <w:t>euro</w:t>
            </w:r>
            <w:r w:rsidRPr="003F4F05">
              <w:rPr>
                <w:sz w:val="26"/>
                <w:szCs w:val="26"/>
              </w:rPr>
              <w:t xml:space="preserve"> apmērā;</w:t>
            </w:r>
          </w:p>
          <w:p w:rsidR="002C07BB" w:rsidRPr="003F4F05" w:rsidRDefault="002C07BB" w:rsidP="002C07BB">
            <w:pPr>
              <w:pStyle w:val="ListParagraph"/>
              <w:numPr>
                <w:ilvl w:val="1"/>
                <w:numId w:val="14"/>
              </w:numPr>
              <w:tabs>
                <w:tab w:val="left" w:pos="0"/>
                <w:tab w:val="left" w:pos="426"/>
              </w:tabs>
              <w:spacing w:before="120"/>
              <w:ind w:left="502"/>
              <w:contextualSpacing w:val="0"/>
              <w:jc w:val="both"/>
              <w:rPr>
                <w:sz w:val="26"/>
                <w:szCs w:val="26"/>
              </w:rPr>
            </w:pPr>
            <w:r w:rsidRPr="003F4F05">
              <w:rPr>
                <w:sz w:val="26"/>
                <w:szCs w:val="26"/>
              </w:rPr>
              <w:t>budžeta apakšprogrammai 21.01.00 „Darba tiesisko attiecību un darba apstākļu kontrole un uzraudzība” 4 918 </w:t>
            </w:r>
            <w:r w:rsidRPr="003F4F05">
              <w:rPr>
                <w:i/>
                <w:sz w:val="26"/>
                <w:szCs w:val="26"/>
              </w:rPr>
              <w:t>euro</w:t>
            </w:r>
            <w:r w:rsidRPr="003F4F05">
              <w:rPr>
                <w:sz w:val="26"/>
                <w:szCs w:val="26"/>
              </w:rPr>
              <w:t xml:space="preserve"> apmērā;</w:t>
            </w:r>
          </w:p>
          <w:p w:rsidR="00B80BA9" w:rsidRPr="003F4F05" w:rsidRDefault="002C07BB" w:rsidP="00B80BA9">
            <w:pPr>
              <w:pStyle w:val="ListParagraph"/>
              <w:numPr>
                <w:ilvl w:val="1"/>
                <w:numId w:val="14"/>
              </w:numPr>
              <w:tabs>
                <w:tab w:val="left" w:pos="0"/>
                <w:tab w:val="left" w:pos="426"/>
              </w:tabs>
              <w:spacing w:before="120"/>
              <w:ind w:left="502"/>
              <w:contextualSpacing w:val="0"/>
              <w:jc w:val="both"/>
              <w:rPr>
                <w:sz w:val="26"/>
                <w:szCs w:val="26"/>
              </w:rPr>
            </w:pPr>
            <w:r w:rsidRPr="003F4F05">
              <w:rPr>
                <w:sz w:val="26"/>
                <w:szCs w:val="26"/>
              </w:rPr>
              <w:t>budžeta apakšprogrammai 97.02.00 „Nozares centralizēto funkciju izpilde” 6 752 </w:t>
            </w:r>
            <w:r w:rsidRPr="003F4F05">
              <w:rPr>
                <w:i/>
                <w:sz w:val="26"/>
                <w:szCs w:val="26"/>
              </w:rPr>
              <w:t>euro</w:t>
            </w:r>
            <w:r w:rsidRPr="003F4F05">
              <w:rPr>
                <w:sz w:val="26"/>
                <w:szCs w:val="26"/>
              </w:rPr>
              <w:t xml:space="preserve"> pārskaitīšanai uz speciālā budžeta apakšprogrammu 04.05.00 „Valsts sociālās apdrošināšanas aģentūras speciālais budžets”.</w:t>
            </w:r>
          </w:p>
          <w:p w:rsidR="006C014A" w:rsidRPr="003F4F05" w:rsidRDefault="006C014A" w:rsidP="00E727A2">
            <w:pPr>
              <w:pStyle w:val="naiskr"/>
              <w:tabs>
                <w:tab w:val="left" w:pos="366"/>
              </w:tabs>
              <w:spacing w:before="120" w:beforeAutospacing="0" w:after="120" w:afterAutospacing="0"/>
              <w:ind w:right="140"/>
              <w:jc w:val="both"/>
              <w:rPr>
                <w:color w:val="FF0000"/>
                <w:sz w:val="26"/>
                <w:szCs w:val="26"/>
              </w:rPr>
            </w:pPr>
          </w:p>
          <w:p w:rsidR="008C57BD" w:rsidRPr="003F4F05" w:rsidRDefault="00A50D17" w:rsidP="004354C3">
            <w:pPr>
              <w:pStyle w:val="naiskr"/>
              <w:tabs>
                <w:tab w:val="left" w:pos="366"/>
              </w:tabs>
              <w:spacing w:before="120" w:beforeAutospacing="0" w:after="120" w:afterAutospacing="0"/>
              <w:ind w:right="140"/>
              <w:jc w:val="both"/>
              <w:rPr>
                <w:sz w:val="26"/>
                <w:szCs w:val="26"/>
              </w:rPr>
            </w:pPr>
            <w:r w:rsidRPr="003F4F05">
              <w:rPr>
                <w:bCs/>
                <w:sz w:val="26"/>
                <w:szCs w:val="26"/>
              </w:rPr>
              <w:t xml:space="preserve">Atbilstoši </w:t>
            </w:r>
            <w:r w:rsidR="004354C3" w:rsidRPr="003F4F05">
              <w:rPr>
                <w:bCs/>
                <w:sz w:val="26"/>
                <w:szCs w:val="26"/>
              </w:rPr>
              <w:t>MK</w:t>
            </w:r>
            <w:r w:rsidRPr="003F4F05">
              <w:rPr>
                <w:bCs/>
                <w:sz w:val="26"/>
                <w:szCs w:val="26"/>
              </w:rPr>
              <w:t xml:space="preserve"> 2009.gada 7.aprīļa noteikumu Nr.300 „Ministru kabineta kārtības rullis” 3.pielikumā ietvertajai politikas jomu klasifikācijai MK rīkojuma projekts atbilst publiskās pārvaldes politikas un budžeta un finanšu politikas jomai.</w:t>
            </w:r>
          </w:p>
        </w:tc>
      </w:tr>
      <w:tr w:rsidR="008C57BD" w:rsidRPr="003F4F05" w:rsidTr="008C57BD">
        <w:tc>
          <w:tcPr>
            <w:tcW w:w="534" w:type="dxa"/>
          </w:tcPr>
          <w:p w:rsidR="008C57BD" w:rsidRPr="003F4F05" w:rsidRDefault="008C57BD" w:rsidP="001E5481">
            <w:pPr>
              <w:spacing w:before="100" w:beforeAutospacing="1" w:after="100" w:afterAutospacing="1"/>
              <w:rPr>
                <w:sz w:val="26"/>
                <w:szCs w:val="26"/>
                <w:lang w:eastAsia="lv-LV"/>
              </w:rPr>
            </w:pPr>
            <w:r w:rsidRPr="003F4F05">
              <w:rPr>
                <w:sz w:val="26"/>
                <w:szCs w:val="26"/>
                <w:lang w:eastAsia="lv-LV"/>
              </w:rPr>
              <w:lastRenderedPageBreak/>
              <w:t>3.</w:t>
            </w:r>
          </w:p>
        </w:tc>
        <w:tc>
          <w:tcPr>
            <w:tcW w:w="1559" w:type="dxa"/>
          </w:tcPr>
          <w:p w:rsidR="008C57BD" w:rsidRPr="003F4F05" w:rsidRDefault="008C57BD" w:rsidP="00F02ADC">
            <w:pPr>
              <w:pStyle w:val="naisc"/>
              <w:spacing w:before="0" w:after="0"/>
              <w:jc w:val="left"/>
              <w:rPr>
                <w:bCs/>
                <w:caps/>
                <w:sz w:val="26"/>
                <w:szCs w:val="26"/>
              </w:rPr>
            </w:pPr>
            <w:r w:rsidRPr="003F4F05">
              <w:rPr>
                <w:sz w:val="26"/>
                <w:szCs w:val="26"/>
              </w:rPr>
              <w:t>Projekta izstrādē iesaistītās institūcijas</w:t>
            </w:r>
          </w:p>
        </w:tc>
        <w:tc>
          <w:tcPr>
            <w:tcW w:w="7194" w:type="dxa"/>
          </w:tcPr>
          <w:p w:rsidR="008C57BD" w:rsidRPr="003F4F05" w:rsidRDefault="00F0471E" w:rsidP="00680433">
            <w:pPr>
              <w:pStyle w:val="naisc"/>
              <w:spacing w:before="0" w:after="0"/>
              <w:jc w:val="left"/>
              <w:rPr>
                <w:bCs/>
                <w:caps/>
                <w:sz w:val="26"/>
                <w:szCs w:val="26"/>
              </w:rPr>
            </w:pPr>
            <w:r w:rsidRPr="003F4F05">
              <w:rPr>
                <w:sz w:val="26"/>
                <w:szCs w:val="26"/>
              </w:rPr>
              <w:t>FM</w:t>
            </w:r>
            <w:r w:rsidR="005B2307" w:rsidRPr="003F4F05">
              <w:rPr>
                <w:sz w:val="26"/>
                <w:szCs w:val="26"/>
              </w:rPr>
              <w:t xml:space="preserve"> (</w:t>
            </w:r>
            <w:r w:rsidRPr="003F4F05">
              <w:rPr>
                <w:sz w:val="26"/>
                <w:szCs w:val="26"/>
              </w:rPr>
              <w:t>VID</w:t>
            </w:r>
            <w:r w:rsidR="008C57BD" w:rsidRPr="003F4F05">
              <w:rPr>
                <w:sz w:val="26"/>
                <w:szCs w:val="26"/>
              </w:rPr>
              <w:t>)</w:t>
            </w:r>
            <w:r w:rsidR="00B5130C" w:rsidRPr="003F4F05">
              <w:rPr>
                <w:sz w:val="26"/>
                <w:szCs w:val="26"/>
              </w:rPr>
              <w:t xml:space="preserve">, </w:t>
            </w:r>
            <w:r w:rsidR="00680433" w:rsidRPr="003F4F05">
              <w:rPr>
                <w:sz w:val="26"/>
                <w:szCs w:val="26"/>
              </w:rPr>
              <w:t xml:space="preserve">LM, </w:t>
            </w:r>
            <w:r w:rsidR="00B5130C" w:rsidRPr="003F4F05">
              <w:rPr>
                <w:sz w:val="26"/>
                <w:szCs w:val="26"/>
              </w:rPr>
              <w:t>VARAM</w:t>
            </w:r>
          </w:p>
        </w:tc>
      </w:tr>
      <w:tr w:rsidR="008C57BD" w:rsidRPr="003F4F05" w:rsidTr="008C57BD">
        <w:tc>
          <w:tcPr>
            <w:tcW w:w="534" w:type="dxa"/>
          </w:tcPr>
          <w:p w:rsidR="008C57BD" w:rsidRPr="003F4F05" w:rsidRDefault="008C57BD" w:rsidP="00F02ADC">
            <w:pPr>
              <w:pStyle w:val="naisc"/>
              <w:spacing w:before="0" w:after="0"/>
              <w:jc w:val="left"/>
              <w:rPr>
                <w:bCs/>
                <w:caps/>
                <w:sz w:val="26"/>
                <w:szCs w:val="26"/>
              </w:rPr>
            </w:pPr>
            <w:r w:rsidRPr="003F4F05">
              <w:rPr>
                <w:sz w:val="26"/>
                <w:szCs w:val="26"/>
              </w:rPr>
              <w:t>4.</w:t>
            </w:r>
          </w:p>
        </w:tc>
        <w:tc>
          <w:tcPr>
            <w:tcW w:w="1559" w:type="dxa"/>
          </w:tcPr>
          <w:p w:rsidR="008C57BD" w:rsidRPr="003F4F05" w:rsidRDefault="008C57BD" w:rsidP="00F02ADC">
            <w:pPr>
              <w:pStyle w:val="naisc"/>
              <w:spacing w:before="0" w:after="0"/>
              <w:jc w:val="left"/>
              <w:rPr>
                <w:bCs/>
                <w:caps/>
                <w:sz w:val="26"/>
                <w:szCs w:val="26"/>
              </w:rPr>
            </w:pPr>
            <w:r w:rsidRPr="003F4F05">
              <w:rPr>
                <w:sz w:val="26"/>
                <w:szCs w:val="26"/>
              </w:rPr>
              <w:t>Cita informācija</w:t>
            </w:r>
          </w:p>
        </w:tc>
        <w:tc>
          <w:tcPr>
            <w:tcW w:w="7194" w:type="dxa"/>
          </w:tcPr>
          <w:p w:rsidR="008C57BD" w:rsidRPr="003F4F05" w:rsidRDefault="005B2307" w:rsidP="00F02ADC">
            <w:pPr>
              <w:pStyle w:val="naisc"/>
              <w:spacing w:before="0" w:after="0"/>
              <w:jc w:val="left"/>
              <w:rPr>
                <w:bCs/>
                <w:caps/>
                <w:sz w:val="26"/>
                <w:szCs w:val="26"/>
              </w:rPr>
            </w:pPr>
            <w:r w:rsidRPr="003F4F05">
              <w:rPr>
                <w:bCs/>
                <w:sz w:val="26"/>
                <w:szCs w:val="26"/>
              </w:rPr>
              <w:t>Nav</w:t>
            </w:r>
          </w:p>
        </w:tc>
      </w:tr>
    </w:tbl>
    <w:p w:rsidR="008C57BD" w:rsidRPr="003F4F05" w:rsidRDefault="008C57BD" w:rsidP="00F02ADC">
      <w:pPr>
        <w:pStyle w:val="naisc"/>
        <w:spacing w:before="0" w:after="0"/>
        <w:jc w:val="left"/>
        <w:rPr>
          <w:bCs/>
          <w:caps/>
          <w:sz w:val="26"/>
          <w:szCs w:val="26"/>
        </w:rPr>
      </w:pPr>
    </w:p>
    <w:p w:rsidR="008C57BD" w:rsidRPr="003F4F05" w:rsidRDefault="00CE62FF" w:rsidP="00CE62FF">
      <w:pPr>
        <w:spacing w:after="0" w:line="240" w:lineRule="auto"/>
        <w:rPr>
          <w:sz w:val="26"/>
          <w:szCs w:val="26"/>
          <w:lang w:eastAsia="lv-LV"/>
        </w:rPr>
      </w:pPr>
      <w:r w:rsidRPr="003F4F05">
        <w:rPr>
          <w:sz w:val="26"/>
          <w:szCs w:val="26"/>
          <w:lang w:eastAsia="lv-LV"/>
        </w:rPr>
        <w:t> </w:t>
      </w:r>
    </w:p>
    <w:tbl>
      <w:tblPr>
        <w:tblStyle w:val="TableGrid"/>
        <w:tblW w:w="0" w:type="auto"/>
        <w:tblLook w:val="04A0" w:firstRow="1" w:lastRow="0" w:firstColumn="1" w:lastColumn="0" w:noHBand="0" w:noVBand="1"/>
      </w:tblPr>
      <w:tblGrid>
        <w:gridCol w:w="2853"/>
        <w:gridCol w:w="1386"/>
        <w:gridCol w:w="1367"/>
        <w:gridCol w:w="1227"/>
        <w:gridCol w:w="1227"/>
        <w:gridCol w:w="1227"/>
      </w:tblGrid>
      <w:tr w:rsidR="008C57BD" w:rsidRPr="003F4F05" w:rsidTr="001E5481">
        <w:tc>
          <w:tcPr>
            <w:tcW w:w="9287" w:type="dxa"/>
            <w:gridSpan w:val="6"/>
          </w:tcPr>
          <w:p w:rsidR="008C57BD" w:rsidRPr="003F4F05" w:rsidRDefault="001E5481" w:rsidP="001E5481">
            <w:pPr>
              <w:jc w:val="center"/>
              <w:rPr>
                <w:sz w:val="26"/>
                <w:szCs w:val="26"/>
                <w:lang w:eastAsia="lv-LV"/>
              </w:rPr>
            </w:pPr>
            <w:r w:rsidRPr="003F4F05">
              <w:rPr>
                <w:b/>
                <w:bCs/>
                <w:sz w:val="26"/>
                <w:szCs w:val="26"/>
                <w:lang w:eastAsia="lv-LV"/>
              </w:rPr>
              <w:t>III. Tiesību akta projekta ietekme uz valsts budžetu un pašvaldību budžetiem</w:t>
            </w:r>
          </w:p>
        </w:tc>
      </w:tr>
      <w:tr w:rsidR="001E5481" w:rsidRPr="003F4F05" w:rsidTr="00271E93">
        <w:tc>
          <w:tcPr>
            <w:tcW w:w="2853" w:type="dxa"/>
            <w:vMerge w:val="restart"/>
            <w:vAlign w:val="center"/>
          </w:tcPr>
          <w:p w:rsidR="001E5481" w:rsidRPr="003F4F05" w:rsidRDefault="001E5481" w:rsidP="001E5481">
            <w:pPr>
              <w:jc w:val="center"/>
              <w:rPr>
                <w:sz w:val="26"/>
                <w:szCs w:val="26"/>
                <w:lang w:eastAsia="lv-LV"/>
              </w:rPr>
            </w:pPr>
            <w:r w:rsidRPr="003F4F05">
              <w:rPr>
                <w:b/>
                <w:bCs/>
                <w:sz w:val="26"/>
                <w:szCs w:val="26"/>
                <w:lang w:eastAsia="lv-LV"/>
              </w:rPr>
              <w:lastRenderedPageBreak/>
              <w:t>Rādītāji</w:t>
            </w:r>
          </w:p>
        </w:tc>
        <w:tc>
          <w:tcPr>
            <w:tcW w:w="2753" w:type="dxa"/>
            <w:gridSpan w:val="2"/>
            <w:vMerge w:val="restart"/>
            <w:vAlign w:val="center"/>
          </w:tcPr>
          <w:p w:rsidR="001E5481" w:rsidRPr="003F4F05" w:rsidRDefault="001E5481" w:rsidP="001E5481">
            <w:pPr>
              <w:jc w:val="center"/>
              <w:rPr>
                <w:sz w:val="26"/>
                <w:szCs w:val="26"/>
                <w:lang w:eastAsia="lv-LV"/>
              </w:rPr>
            </w:pPr>
            <w:r w:rsidRPr="003F4F05">
              <w:rPr>
                <w:bCs/>
                <w:sz w:val="26"/>
                <w:szCs w:val="26"/>
                <w:lang w:eastAsia="lv-LV"/>
              </w:rPr>
              <w:t>2014.gads</w:t>
            </w:r>
          </w:p>
        </w:tc>
        <w:tc>
          <w:tcPr>
            <w:tcW w:w="3681" w:type="dxa"/>
            <w:gridSpan w:val="3"/>
          </w:tcPr>
          <w:p w:rsidR="001E5481" w:rsidRPr="003F4F05" w:rsidRDefault="001E5481" w:rsidP="00CE62FF">
            <w:pPr>
              <w:rPr>
                <w:sz w:val="26"/>
                <w:szCs w:val="26"/>
                <w:lang w:eastAsia="lv-LV"/>
              </w:rPr>
            </w:pPr>
            <w:r w:rsidRPr="003F4F05">
              <w:rPr>
                <w:bCs/>
                <w:sz w:val="26"/>
                <w:szCs w:val="26"/>
                <w:lang w:eastAsia="lv-LV"/>
              </w:rPr>
              <w:t xml:space="preserve">Turpmākie trīs gadi </w:t>
            </w:r>
            <w:r w:rsidRPr="003F4F05">
              <w:rPr>
                <w:bCs/>
                <w:i/>
                <w:sz w:val="26"/>
                <w:szCs w:val="26"/>
                <w:lang w:eastAsia="lv-LV"/>
              </w:rPr>
              <w:t>(euro)</w:t>
            </w:r>
          </w:p>
        </w:tc>
      </w:tr>
      <w:tr w:rsidR="001E5481" w:rsidRPr="003F4F05" w:rsidTr="00271E93">
        <w:tc>
          <w:tcPr>
            <w:tcW w:w="2853" w:type="dxa"/>
            <w:vMerge/>
            <w:vAlign w:val="center"/>
          </w:tcPr>
          <w:p w:rsidR="001E5481" w:rsidRPr="003F4F05" w:rsidRDefault="001E5481" w:rsidP="00CE62FF">
            <w:pPr>
              <w:rPr>
                <w:sz w:val="26"/>
                <w:szCs w:val="26"/>
                <w:lang w:eastAsia="lv-LV"/>
              </w:rPr>
            </w:pPr>
          </w:p>
        </w:tc>
        <w:tc>
          <w:tcPr>
            <w:tcW w:w="2753" w:type="dxa"/>
            <w:gridSpan w:val="2"/>
            <w:vMerge/>
          </w:tcPr>
          <w:p w:rsidR="001E5481" w:rsidRPr="003F4F05" w:rsidRDefault="001E5481" w:rsidP="00CE62FF">
            <w:pPr>
              <w:rPr>
                <w:sz w:val="26"/>
                <w:szCs w:val="26"/>
                <w:lang w:eastAsia="lv-LV"/>
              </w:rPr>
            </w:pPr>
          </w:p>
        </w:tc>
        <w:tc>
          <w:tcPr>
            <w:tcW w:w="1227" w:type="dxa"/>
            <w:vAlign w:val="center"/>
          </w:tcPr>
          <w:p w:rsidR="001E5481" w:rsidRPr="003F4F05" w:rsidRDefault="001E5481" w:rsidP="001E5481">
            <w:pPr>
              <w:jc w:val="center"/>
              <w:rPr>
                <w:bCs/>
                <w:sz w:val="26"/>
                <w:szCs w:val="26"/>
                <w:lang w:eastAsia="lv-LV"/>
              </w:rPr>
            </w:pPr>
            <w:r w:rsidRPr="003F4F05">
              <w:rPr>
                <w:bCs/>
                <w:sz w:val="26"/>
                <w:szCs w:val="26"/>
                <w:lang w:eastAsia="lv-LV"/>
              </w:rPr>
              <w:t>2015.</w:t>
            </w:r>
          </w:p>
        </w:tc>
        <w:tc>
          <w:tcPr>
            <w:tcW w:w="1227" w:type="dxa"/>
            <w:vAlign w:val="center"/>
          </w:tcPr>
          <w:p w:rsidR="001E5481" w:rsidRPr="003F4F05" w:rsidRDefault="001E5481" w:rsidP="001E5481">
            <w:pPr>
              <w:jc w:val="center"/>
              <w:rPr>
                <w:bCs/>
                <w:sz w:val="26"/>
                <w:szCs w:val="26"/>
                <w:lang w:eastAsia="lv-LV"/>
              </w:rPr>
            </w:pPr>
            <w:r w:rsidRPr="003F4F05">
              <w:rPr>
                <w:bCs/>
                <w:sz w:val="26"/>
                <w:szCs w:val="26"/>
                <w:lang w:eastAsia="lv-LV"/>
              </w:rPr>
              <w:t>2016.</w:t>
            </w:r>
          </w:p>
        </w:tc>
        <w:tc>
          <w:tcPr>
            <w:tcW w:w="1227" w:type="dxa"/>
            <w:vAlign w:val="center"/>
          </w:tcPr>
          <w:p w:rsidR="001E5481" w:rsidRPr="003F4F05" w:rsidRDefault="001E5481" w:rsidP="001E5481">
            <w:pPr>
              <w:jc w:val="center"/>
              <w:rPr>
                <w:bCs/>
                <w:sz w:val="26"/>
                <w:szCs w:val="26"/>
                <w:lang w:eastAsia="lv-LV"/>
              </w:rPr>
            </w:pPr>
            <w:r w:rsidRPr="003F4F05">
              <w:rPr>
                <w:bCs/>
                <w:sz w:val="26"/>
                <w:szCs w:val="26"/>
                <w:lang w:eastAsia="lv-LV"/>
              </w:rPr>
              <w:t>2017.</w:t>
            </w:r>
          </w:p>
        </w:tc>
      </w:tr>
      <w:tr w:rsidR="001E5481" w:rsidRPr="003F4F05" w:rsidTr="0089355E">
        <w:tc>
          <w:tcPr>
            <w:tcW w:w="2853" w:type="dxa"/>
            <w:vMerge/>
            <w:vAlign w:val="center"/>
          </w:tcPr>
          <w:p w:rsidR="001E5481" w:rsidRPr="003F4F05" w:rsidRDefault="001E5481" w:rsidP="00CE62FF">
            <w:pPr>
              <w:rPr>
                <w:sz w:val="26"/>
                <w:szCs w:val="26"/>
                <w:lang w:eastAsia="lv-LV"/>
              </w:rPr>
            </w:pPr>
          </w:p>
        </w:tc>
        <w:tc>
          <w:tcPr>
            <w:tcW w:w="1386" w:type="dxa"/>
            <w:vAlign w:val="center"/>
          </w:tcPr>
          <w:p w:rsidR="001E5481" w:rsidRPr="003F4F05" w:rsidRDefault="001E5481" w:rsidP="0089355E">
            <w:pPr>
              <w:jc w:val="center"/>
              <w:rPr>
                <w:bCs/>
                <w:sz w:val="26"/>
                <w:szCs w:val="26"/>
                <w:lang w:eastAsia="lv-LV"/>
              </w:rPr>
            </w:pPr>
            <w:r w:rsidRPr="003F4F05">
              <w:rPr>
                <w:bCs/>
                <w:sz w:val="26"/>
                <w:szCs w:val="26"/>
                <w:lang w:eastAsia="lv-LV"/>
              </w:rPr>
              <w:t>Saskaņā ar valsts budžetu kārtējam gadam</w:t>
            </w:r>
          </w:p>
        </w:tc>
        <w:tc>
          <w:tcPr>
            <w:tcW w:w="1367" w:type="dxa"/>
            <w:vAlign w:val="center"/>
          </w:tcPr>
          <w:p w:rsidR="001E5481" w:rsidRPr="003F4F05" w:rsidRDefault="001E5481" w:rsidP="0089355E">
            <w:pPr>
              <w:jc w:val="center"/>
              <w:rPr>
                <w:bCs/>
                <w:sz w:val="26"/>
                <w:szCs w:val="26"/>
                <w:lang w:eastAsia="lv-LV"/>
              </w:rPr>
            </w:pPr>
            <w:r w:rsidRPr="003F4F05">
              <w:rPr>
                <w:bCs/>
                <w:sz w:val="26"/>
                <w:szCs w:val="26"/>
                <w:lang w:eastAsia="lv-LV"/>
              </w:rPr>
              <w:t>Izmaiņas kārtējā gadā, salīdzinot ar valsts budžetu kārtējam gadam</w:t>
            </w:r>
          </w:p>
        </w:tc>
        <w:tc>
          <w:tcPr>
            <w:tcW w:w="1227" w:type="dxa"/>
            <w:vAlign w:val="center"/>
          </w:tcPr>
          <w:p w:rsidR="001E5481" w:rsidRPr="003F4F05" w:rsidRDefault="001E5481" w:rsidP="0089355E">
            <w:pPr>
              <w:jc w:val="center"/>
              <w:rPr>
                <w:bCs/>
                <w:sz w:val="26"/>
                <w:szCs w:val="26"/>
                <w:lang w:eastAsia="lv-LV"/>
              </w:rPr>
            </w:pPr>
            <w:r w:rsidRPr="003F4F05">
              <w:rPr>
                <w:bCs/>
                <w:sz w:val="26"/>
                <w:szCs w:val="26"/>
                <w:lang w:eastAsia="lv-LV"/>
              </w:rPr>
              <w:t>Izmaiņas, salīdzinot ar kārtējo (n) gadu</w:t>
            </w:r>
          </w:p>
        </w:tc>
        <w:tc>
          <w:tcPr>
            <w:tcW w:w="1227" w:type="dxa"/>
            <w:vAlign w:val="center"/>
          </w:tcPr>
          <w:p w:rsidR="001E5481" w:rsidRPr="003F4F05" w:rsidRDefault="001E5481" w:rsidP="0089355E">
            <w:pPr>
              <w:jc w:val="center"/>
              <w:rPr>
                <w:bCs/>
                <w:sz w:val="26"/>
                <w:szCs w:val="26"/>
                <w:lang w:eastAsia="lv-LV"/>
              </w:rPr>
            </w:pPr>
            <w:r w:rsidRPr="003F4F05">
              <w:rPr>
                <w:bCs/>
                <w:sz w:val="26"/>
                <w:szCs w:val="26"/>
                <w:lang w:eastAsia="lv-LV"/>
              </w:rPr>
              <w:t>Izmaiņas, salīdzinot ar kārtējo (n) gadu</w:t>
            </w:r>
          </w:p>
        </w:tc>
        <w:tc>
          <w:tcPr>
            <w:tcW w:w="1227" w:type="dxa"/>
            <w:vAlign w:val="center"/>
          </w:tcPr>
          <w:p w:rsidR="001E5481" w:rsidRPr="003F4F05" w:rsidRDefault="001E5481" w:rsidP="0089355E">
            <w:pPr>
              <w:jc w:val="center"/>
              <w:rPr>
                <w:bCs/>
                <w:sz w:val="26"/>
                <w:szCs w:val="26"/>
                <w:lang w:eastAsia="lv-LV"/>
              </w:rPr>
            </w:pPr>
            <w:r w:rsidRPr="003F4F05">
              <w:rPr>
                <w:bCs/>
                <w:sz w:val="26"/>
                <w:szCs w:val="26"/>
                <w:lang w:eastAsia="lv-LV"/>
              </w:rPr>
              <w:t>Izmaiņas, salīdzinot ar kārtējo (n) gadu</w:t>
            </w:r>
          </w:p>
        </w:tc>
      </w:tr>
      <w:tr w:rsidR="001E5481" w:rsidRPr="003F4F05" w:rsidTr="00271E93">
        <w:tc>
          <w:tcPr>
            <w:tcW w:w="2853" w:type="dxa"/>
          </w:tcPr>
          <w:p w:rsidR="001E5481" w:rsidRPr="003F4F05" w:rsidRDefault="001E5481" w:rsidP="001E5481">
            <w:pPr>
              <w:rPr>
                <w:bCs/>
                <w:sz w:val="26"/>
                <w:szCs w:val="26"/>
                <w:lang w:eastAsia="lv-LV"/>
              </w:rPr>
            </w:pPr>
            <w:r w:rsidRPr="003F4F05">
              <w:rPr>
                <w:bCs/>
                <w:sz w:val="26"/>
                <w:szCs w:val="26"/>
                <w:lang w:eastAsia="lv-LV"/>
              </w:rPr>
              <w:t>1. Budžeta ieņēmumi:</w:t>
            </w:r>
          </w:p>
        </w:tc>
        <w:tc>
          <w:tcPr>
            <w:tcW w:w="1386" w:type="dxa"/>
            <w:vAlign w:val="center"/>
          </w:tcPr>
          <w:p w:rsidR="001E5481" w:rsidRPr="003F4F05" w:rsidRDefault="0089355E" w:rsidP="00867957">
            <w:pPr>
              <w:rPr>
                <w:bCs/>
                <w:sz w:val="26"/>
                <w:szCs w:val="26"/>
                <w:lang w:eastAsia="lv-LV"/>
              </w:rPr>
            </w:pPr>
            <w:r w:rsidRPr="003F4F05">
              <w:rPr>
                <w:bCs/>
                <w:sz w:val="26"/>
                <w:szCs w:val="26"/>
                <w:lang w:eastAsia="lv-LV"/>
              </w:rPr>
              <w:t>17 805 96</w:t>
            </w:r>
            <w:r w:rsidR="00C75538">
              <w:rPr>
                <w:bCs/>
                <w:sz w:val="26"/>
                <w:szCs w:val="26"/>
                <w:lang w:eastAsia="lv-LV"/>
              </w:rPr>
              <w:t>5</w:t>
            </w:r>
          </w:p>
        </w:tc>
        <w:tc>
          <w:tcPr>
            <w:tcW w:w="1367" w:type="dxa"/>
            <w:vAlign w:val="center"/>
          </w:tcPr>
          <w:p w:rsidR="001E5481" w:rsidRPr="003F4F05" w:rsidRDefault="00867957" w:rsidP="00F0471E">
            <w:pPr>
              <w:jc w:val="center"/>
              <w:rPr>
                <w:bCs/>
                <w:sz w:val="26"/>
                <w:szCs w:val="26"/>
                <w:lang w:eastAsia="lv-LV"/>
              </w:rPr>
            </w:pPr>
            <w:r w:rsidRPr="003F4F05">
              <w:rPr>
                <w:bCs/>
                <w:sz w:val="26"/>
                <w:szCs w:val="26"/>
                <w:lang w:eastAsia="lv-LV"/>
              </w:rPr>
              <w:t>0</w:t>
            </w:r>
          </w:p>
        </w:tc>
        <w:tc>
          <w:tcPr>
            <w:tcW w:w="1227" w:type="dxa"/>
            <w:vAlign w:val="center"/>
          </w:tcPr>
          <w:p w:rsidR="001E5481" w:rsidRPr="003F4F05" w:rsidRDefault="00867957" w:rsidP="00F0471E">
            <w:pPr>
              <w:jc w:val="center"/>
              <w:rPr>
                <w:bCs/>
                <w:sz w:val="26"/>
                <w:szCs w:val="26"/>
                <w:lang w:eastAsia="lv-LV"/>
              </w:rPr>
            </w:pPr>
            <w:r w:rsidRPr="003F4F05">
              <w:rPr>
                <w:bCs/>
                <w:sz w:val="26"/>
                <w:szCs w:val="26"/>
                <w:lang w:eastAsia="lv-LV"/>
              </w:rPr>
              <w:t>0</w:t>
            </w:r>
          </w:p>
        </w:tc>
        <w:tc>
          <w:tcPr>
            <w:tcW w:w="1227" w:type="dxa"/>
            <w:vAlign w:val="center"/>
          </w:tcPr>
          <w:p w:rsidR="001E5481" w:rsidRPr="003F4F05" w:rsidRDefault="00867957" w:rsidP="00F0471E">
            <w:pPr>
              <w:jc w:val="center"/>
              <w:rPr>
                <w:bCs/>
                <w:sz w:val="26"/>
                <w:szCs w:val="26"/>
                <w:lang w:eastAsia="lv-LV"/>
              </w:rPr>
            </w:pPr>
            <w:r w:rsidRPr="003F4F05">
              <w:rPr>
                <w:bCs/>
                <w:sz w:val="26"/>
                <w:szCs w:val="26"/>
                <w:lang w:eastAsia="lv-LV"/>
              </w:rPr>
              <w:t>0</w:t>
            </w:r>
          </w:p>
        </w:tc>
        <w:tc>
          <w:tcPr>
            <w:tcW w:w="1227" w:type="dxa"/>
            <w:vAlign w:val="center"/>
          </w:tcPr>
          <w:p w:rsidR="001E5481" w:rsidRPr="003F4F05" w:rsidRDefault="00867957" w:rsidP="00F0471E">
            <w:pPr>
              <w:jc w:val="center"/>
              <w:rPr>
                <w:bCs/>
                <w:sz w:val="26"/>
                <w:szCs w:val="26"/>
                <w:lang w:eastAsia="lv-LV"/>
              </w:rPr>
            </w:pPr>
            <w:r w:rsidRPr="003F4F05">
              <w:rPr>
                <w:bCs/>
                <w:sz w:val="26"/>
                <w:szCs w:val="26"/>
                <w:lang w:eastAsia="lv-LV"/>
              </w:rPr>
              <w:t>0</w:t>
            </w:r>
          </w:p>
        </w:tc>
      </w:tr>
      <w:tr w:rsidR="0089355E" w:rsidRPr="003F4F05" w:rsidTr="00271E93">
        <w:tc>
          <w:tcPr>
            <w:tcW w:w="2853" w:type="dxa"/>
          </w:tcPr>
          <w:p w:rsidR="0089355E" w:rsidRPr="003F4F05" w:rsidRDefault="0089355E" w:rsidP="001E5481">
            <w:pPr>
              <w:rPr>
                <w:bCs/>
                <w:sz w:val="26"/>
                <w:szCs w:val="26"/>
                <w:lang w:eastAsia="lv-LV"/>
              </w:rPr>
            </w:pPr>
            <w:r w:rsidRPr="003F4F05">
              <w:rPr>
                <w:bCs/>
                <w:sz w:val="26"/>
                <w:szCs w:val="26"/>
                <w:lang w:eastAsia="lv-LV"/>
              </w:rPr>
              <w:t>1.1. valsts pamatbudžets, tai skaitā ieņēmumi no maksas pakalpojumiem un citi pašu ieņēmumi</w:t>
            </w:r>
          </w:p>
        </w:tc>
        <w:tc>
          <w:tcPr>
            <w:tcW w:w="1386" w:type="dxa"/>
            <w:vAlign w:val="center"/>
          </w:tcPr>
          <w:p w:rsidR="0089355E" w:rsidRPr="003F4F05" w:rsidRDefault="0089355E" w:rsidP="00690D50">
            <w:pPr>
              <w:rPr>
                <w:bCs/>
                <w:sz w:val="26"/>
                <w:szCs w:val="26"/>
                <w:lang w:eastAsia="lv-LV"/>
              </w:rPr>
            </w:pPr>
            <w:r w:rsidRPr="003F4F05">
              <w:rPr>
                <w:bCs/>
                <w:sz w:val="26"/>
                <w:szCs w:val="26"/>
                <w:lang w:eastAsia="lv-LV"/>
              </w:rPr>
              <w:t>17 805 96</w:t>
            </w:r>
            <w:r w:rsidR="00C75538">
              <w:rPr>
                <w:bCs/>
                <w:sz w:val="26"/>
                <w:szCs w:val="26"/>
                <w:lang w:eastAsia="lv-LV"/>
              </w:rPr>
              <w:t>5</w:t>
            </w:r>
          </w:p>
        </w:tc>
        <w:tc>
          <w:tcPr>
            <w:tcW w:w="1367" w:type="dxa"/>
            <w:vAlign w:val="center"/>
          </w:tcPr>
          <w:p w:rsidR="0089355E" w:rsidRPr="003F4F05" w:rsidRDefault="0089355E" w:rsidP="00F0471E">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F0471E">
            <w:pPr>
              <w:jc w:val="center"/>
              <w:rPr>
                <w:bCs/>
                <w:sz w:val="26"/>
                <w:szCs w:val="26"/>
                <w:lang w:eastAsia="lv-LV"/>
              </w:rPr>
            </w:pPr>
            <w:r w:rsidRPr="003F4F05">
              <w:rPr>
                <w:sz w:val="26"/>
                <w:szCs w:val="26"/>
              </w:rPr>
              <w:t>-6 752 </w:t>
            </w:r>
          </w:p>
        </w:tc>
        <w:tc>
          <w:tcPr>
            <w:tcW w:w="1227" w:type="dxa"/>
            <w:vAlign w:val="center"/>
          </w:tcPr>
          <w:p w:rsidR="0089355E" w:rsidRPr="003F4F05" w:rsidRDefault="0089355E" w:rsidP="00F0471E">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F0471E">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1.2. valsts speciālais budžets</w:t>
            </w:r>
          </w:p>
        </w:tc>
        <w:tc>
          <w:tcPr>
            <w:tcW w:w="1386"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89355E" w:rsidP="00F0471E">
            <w:pPr>
              <w:jc w:val="center"/>
              <w:rPr>
                <w:bCs/>
                <w:sz w:val="26"/>
                <w:szCs w:val="26"/>
                <w:lang w:eastAsia="lv-LV"/>
              </w:rPr>
            </w:pPr>
            <w:r w:rsidRPr="003F4F05">
              <w:rPr>
                <w:bCs/>
                <w:sz w:val="26"/>
                <w:szCs w:val="26"/>
                <w:lang w:eastAsia="lv-LV"/>
              </w:rPr>
              <w:t>6 752</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1.3. pašvaldību budžets</w:t>
            </w:r>
          </w:p>
        </w:tc>
        <w:tc>
          <w:tcPr>
            <w:tcW w:w="1386"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r>
      <w:tr w:rsidR="0089355E" w:rsidRPr="003F4F05" w:rsidTr="00271E93">
        <w:tc>
          <w:tcPr>
            <w:tcW w:w="2853" w:type="dxa"/>
          </w:tcPr>
          <w:p w:rsidR="0089355E" w:rsidRPr="003F4F05" w:rsidRDefault="0089355E" w:rsidP="001E5481">
            <w:pPr>
              <w:rPr>
                <w:bCs/>
                <w:sz w:val="26"/>
                <w:szCs w:val="26"/>
                <w:lang w:eastAsia="lv-LV"/>
              </w:rPr>
            </w:pPr>
            <w:r w:rsidRPr="003F4F05">
              <w:rPr>
                <w:bCs/>
                <w:sz w:val="26"/>
                <w:szCs w:val="26"/>
                <w:lang w:eastAsia="lv-LV"/>
              </w:rPr>
              <w:t>2. Budžeta izdevumi:</w:t>
            </w:r>
          </w:p>
        </w:tc>
        <w:tc>
          <w:tcPr>
            <w:tcW w:w="1386" w:type="dxa"/>
            <w:vAlign w:val="center"/>
          </w:tcPr>
          <w:p w:rsidR="0089355E" w:rsidRPr="003F4F05" w:rsidRDefault="0089355E" w:rsidP="00690D50">
            <w:pPr>
              <w:rPr>
                <w:bCs/>
                <w:sz w:val="26"/>
                <w:szCs w:val="26"/>
                <w:lang w:eastAsia="lv-LV"/>
              </w:rPr>
            </w:pPr>
            <w:r w:rsidRPr="003F4F05">
              <w:rPr>
                <w:bCs/>
                <w:sz w:val="26"/>
                <w:szCs w:val="26"/>
                <w:lang w:eastAsia="lv-LV"/>
              </w:rPr>
              <w:t>17 805 96</w:t>
            </w:r>
            <w:r w:rsidR="00C75538">
              <w:rPr>
                <w:bCs/>
                <w:sz w:val="26"/>
                <w:szCs w:val="26"/>
                <w:lang w:eastAsia="lv-LV"/>
              </w:rPr>
              <w:t>5</w:t>
            </w:r>
          </w:p>
        </w:tc>
        <w:tc>
          <w:tcPr>
            <w:tcW w:w="1367" w:type="dxa"/>
            <w:vAlign w:val="center"/>
          </w:tcPr>
          <w:p w:rsidR="0089355E" w:rsidRPr="003F4F05" w:rsidRDefault="0089355E" w:rsidP="00F0471E">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3E0F50">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3E0F50">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3E0F50">
            <w:pPr>
              <w:jc w:val="center"/>
              <w:rPr>
                <w:bCs/>
                <w:sz w:val="26"/>
                <w:szCs w:val="26"/>
                <w:lang w:eastAsia="lv-LV"/>
              </w:rPr>
            </w:pPr>
            <w:r w:rsidRPr="003F4F05">
              <w:rPr>
                <w:bCs/>
                <w:sz w:val="26"/>
                <w:szCs w:val="26"/>
                <w:lang w:eastAsia="lv-LV"/>
              </w:rPr>
              <w:t>0</w:t>
            </w:r>
          </w:p>
        </w:tc>
      </w:tr>
      <w:tr w:rsidR="0089355E" w:rsidRPr="003F4F05" w:rsidTr="00271E93">
        <w:tc>
          <w:tcPr>
            <w:tcW w:w="2853" w:type="dxa"/>
          </w:tcPr>
          <w:p w:rsidR="0089355E" w:rsidRPr="003F4F05" w:rsidRDefault="0089355E" w:rsidP="001E5481">
            <w:pPr>
              <w:rPr>
                <w:bCs/>
                <w:sz w:val="26"/>
                <w:szCs w:val="26"/>
                <w:lang w:eastAsia="lv-LV"/>
              </w:rPr>
            </w:pPr>
            <w:r w:rsidRPr="003F4F05">
              <w:rPr>
                <w:bCs/>
                <w:sz w:val="26"/>
                <w:szCs w:val="26"/>
                <w:lang w:eastAsia="lv-LV"/>
              </w:rPr>
              <w:t>2.1. valsts pamatbudžets</w:t>
            </w:r>
          </w:p>
        </w:tc>
        <w:tc>
          <w:tcPr>
            <w:tcW w:w="1386" w:type="dxa"/>
            <w:vAlign w:val="center"/>
          </w:tcPr>
          <w:p w:rsidR="0089355E" w:rsidRPr="003F4F05" w:rsidRDefault="0089355E" w:rsidP="00690D50">
            <w:pPr>
              <w:rPr>
                <w:bCs/>
                <w:sz w:val="26"/>
                <w:szCs w:val="26"/>
                <w:lang w:eastAsia="lv-LV"/>
              </w:rPr>
            </w:pPr>
            <w:r w:rsidRPr="003F4F05">
              <w:rPr>
                <w:bCs/>
                <w:sz w:val="26"/>
                <w:szCs w:val="26"/>
                <w:lang w:eastAsia="lv-LV"/>
              </w:rPr>
              <w:t>17 805 96</w:t>
            </w:r>
            <w:r w:rsidR="00C75538">
              <w:rPr>
                <w:bCs/>
                <w:sz w:val="26"/>
                <w:szCs w:val="26"/>
                <w:lang w:eastAsia="lv-LV"/>
              </w:rPr>
              <w:t>5</w:t>
            </w:r>
          </w:p>
        </w:tc>
        <w:tc>
          <w:tcPr>
            <w:tcW w:w="1367" w:type="dxa"/>
            <w:vAlign w:val="center"/>
          </w:tcPr>
          <w:p w:rsidR="0089355E" w:rsidRPr="003F4F05" w:rsidRDefault="0089355E" w:rsidP="00F0471E">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3E0F50">
            <w:pPr>
              <w:jc w:val="center"/>
              <w:rPr>
                <w:bCs/>
                <w:sz w:val="26"/>
                <w:szCs w:val="26"/>
                <w:lang w:eastAsia="lv-LV"/>
              </w:rPr>
            </w:pPr>
            <w:r w:rsidRPr="003F4F05">
              <w:rPr>
                <w:sz w:val="26"/>
                <w:szCs w:val="26"/>
              </w:rPr>
              <w:t>-6 752 </w:t>
            </w:r>
          </w:p>
        </w:tc>
        <w:tc>
          <w:tcPr>
            <w:tcW w:w="1227" w:type="dxa"/>
            <w:vAlign w:val="center"/>
          </w:tcPr>
          <w:p w:rsidR="0089355E" w:rsidRPr="003F4F05" w:rsidRDefault="0089355E" w:rsidP="003E0F50">
            <w:pPr>
              <w:jc w:val="center"/>
              <w:rPr>
                <w:bCs/>
                <w:sz w:val="26"/>
                <w:szCs w:val="26"/>
                <w:lang w:eastAsia="lv-LV"/>
              </w:rPr>
            </w:pPr>
            <w:r w:rsidRPr="003F4F05">
              <w:rPr>
                <w:bCs/>
                <w:sz w:val="26"/>
                <w:szCs w:val="26"/>
                <w:lang w:eastAsia="lv-LV"/>
              </w:rPr>
              <w:t>0</w:t>
            </w:r>
          </w:p>
        </w:tc>
        <w:tc>
          <w:tcPr>
            <w:tcW w:w="1227" w:type="dxa"/>
            <w:vAlign w:val="center"/>
          </w:tcPr>
          <w:p w:rsidR="0089355E" w:rsidRPr="003F4F05" w:rsidRDefault="0089355E"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2.2. valsts speciālais budžets</w:t>
            </w:r>
          </w:p>
        </w:tc>
        <w:tc>
          <w:tcPr>
            <w:tcW w:w="1386"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89355E" w:rsidP="003E0F50">
            <w:pPr>
              <w:jc w:val="center"/>
              <w:rPr>
                <w:bCs/>
                <w:sz w:val="26"/>
                <w:szCs w:val="26"/>
                <w:lang w:eastAsia="lv-LV"/>
              </w:rPr>
            </w:pPr>
            <w:r w:rsidRPr="003F4F05">
              <w:rPr>
                <w:sz w:val="26"/>
                <w:szCs w:val="26"/>
              </w:rPr>
              <w:t>6 752 </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 xml:space="preserve">2.3. pašvaldību budžets </w:t>
            </w:r>
          </w:p>
        </w:tc>
        <w:tc>
          <w:tcPr>
            <w:tcW w:w="1386"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3. Finansiālā ietekme:</w:t>
            </w:r>
          </w:p>
        </w:tc>
        <w:tc>
          <w:tcPr>
            <w:tcW w:w="1386"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3.1. valsts pamatbudžets</w:t>
            </w:r>
          </w:p>
        </w:tc>
        <w:tc>
          <w:tcPr>
            <w:tcW w:w="1386"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3.2. speciālais budžets</w:t>
            </w:r>
          </w:p>
        </w:tc>
        <w:tc>
          <w:tcPr>
            <w:tcW w:w="1386"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027CCB">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027CCB">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 xml:space="preserve">3.3. pašvaldību budžets </w:t>
            </w:r>
          </w:p>
        </w:tc>
        <w:tc>
          <w:tcPr>
            <w:tcW w:w="1386"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027CCB">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027CCB">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4. Finanšu līdzekļi papildu izdevumu finansēšanai (kompensējošu izdevumu samazinājumu norāda ar "+" zīmi)</w:t>
            </w:r>
          </w:p>
        </w:tc>
        <w:tc>
          <w:tcPr>
            <w:tcW w:w="1386" w:type="dxa"/>
            <w:vAlign w:val="center"/>
          </w:tcPr>
          <w:p w:rsidR="00271E93" w:rsidRPr="003F4F05" w:rsidRDefault="00271E93" w:rsidP="00F0471E">
            <w:pPr>
              <w:jc w:val="center"/>
              <w:rPr>
                <w:sz w:val="26"/>
                <w:szCs w:val="26"/>
                <w:lang w:eastAsia="lv-LV"/>
              </w:rPr>
            </w:pPr>
            <w:r w:rsidRPr="003F4F05">
              <w:rPr>
                <w:sz w:val="26"/>
                <w:szCs w:val="26"/>
                <w:lang w:eastAsia="lv-LV"/>
              </w:rPr>
              <w:t>x</w:t>
            </w:r>
          </w:p>
        </w:tc>
        <w:tc>
          <w:tcPr>
            <w:tcW w:w="1367" w:type="dxa"/>
            <w:vAlign w:val="center"/>
          </w:tcPr>
          <w:p w:rsidR="00271E93" w:rsidRPr="003F4F05" w:rsidRDefault="00271E93" w:rsidP="00F0471E">
            <w:pPr>
              <w:jc w:val="center"/>
              <w:rPr>
                <w:sz w:val="26"/>
                <w:szCs w:val="26"/>
                <w:lang w:eastAsia="lv-LV"/>
              </w:rPr>
            </w:pPr>
            <w:r w:rsidRPr="003F4F05">
              <w:rPr>
                <w:sz w:val="26"/>
                <w:szCs w:val="26"/>
                <w:lang w:eastAsia="lv-LV"/>
              </w:rPr>
              <w:t>0</w:t>
            </w:r>
          </w:p>
        </w:tc>
        <w:tc>
          <w:tcPr>
            <w:tcW w:w="1227" w:type="dxa"/>
            <w:vAlign w:val="center"/>
          </w:tcPr>
          <w:p w:rsidR="00271E93" w:rsidRPr="003F4F05" w:rsidRDefault="00271E93" w:rsidP="00F0471E">
            <w:pPr>
              <w:jc w:val="center"/>
              <w:rPr>
                <w:sz w:val="26"/>
                <w:szCs w:val="26"/>
                <w:lang w:eastAsia="lv-LV"/>
              </w:rPr>
            </w:pPr>
            <w:r w:rsidRPr="003F4F05">
              <w:rPr>
                <w:sz w:val="26"/>
                <w:szCs w:val="26"/>
                <w:lang w:eastAsia="lv-LV"/>
              </w:rPr>
              <w:t>0</w:t>
            </w:r>
          </w:p>
        </w:tc>
        <w:tc>
          <w:tcPr>
            <w:tcW w:w="1227" w:type="dxa"/>
            <w:vAlign w:val="center"/>
          </w:tcPr>
          <w:p w:rsidR="00271E93" w:rsidRPr="003F4F05" w:rsidRDefault="00271E93" w:rsidP="00027CCB">
            <w:pPr>
              <w:jc w:val="center"/>
              <w:rPr>
                <w:sz w:val="26"/>
                <w:szCs w:val="26"/>
                <w:lang w:eastAsia="lv-LV"/>
              </w:rPr>
            </w:pPr>
            <w:r w:rsidRPr="003F4F05">
              <w:rPr>
                <w:sz w:val="26"/>
                <w:szCs w:val="26"/>
                <w:lang w:eastAsia="lv-LV"/>
              </w:rPr>
              <w:t>0</w:t>
            </w:r>
          </w:p>
        </w:tc>
        <w:tc>
          <w:tcPr>
            <w:tcW w:w="1227" w:type="dxa"/>
            <w:vAlign w:val="center"/>
          </w:tcPr>
          <w:p w:rsidR="00271E93" w:rsidRPr="003F4F05" w:rsidRDefault="00271E93" w:rsidP="00027CCB">
            <w:pPr>
              <w:jc w:val="center"/>
              <w:rPr>
                <w:sz w:val="26"/>
                <w:szCs w:val="26"/>
                <w:lang w:eastAsia="lv-LV"/>
              </w:rPr>
            </w:pPr>
            <w:r w:rsidRPr="003F4F05">
              <w:rPr>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5. Precizēta finansiālā ietekme:</w:t>
            </w:r>
          </w:p>
        </w:tc>
        <w:tc>
          <w:tcPr>
            <w:tcW w:w="1386" w:type="dxa"/>
            <w:vMerge w:val="restart"/>
            <w:vAlign w:val="center"/>
          </w:tcPr>
          <w:p w:rsidR="00271E93" w:rsidRPr="003F4F05" w:rsidRDefault="00271E93" w:rsidP="00F0471E">
            <w:pPr>
              <w:jc w:val="center"/>
              <w:rPr>
                <w:sz w:val="26"/>
                <w:szCs w:val="26"/>
                <w:lang w:eastAsia="lv-LV"/>
              </w:rPr>
            </w:pPr>
            <w:r w:rsidRPr="003F4F05">
              <w:rPr>
                <w:sz w:val="26"/>
                <w:szCs w:val="26"/>
                <w:lang w:eastAsia="lv-LV"/>
              </w:rPr>
              <w:t>x</w:t>
            </w: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5.1. valsts pamatbudžets</w:t>
            </w:r>
          </w:p>
        </w:tc>
        <w:tc>
          <w:tcPr>
            <w:tcW w:w="1386" w:type="dxa"/>
            <w:vMerge/>
            <w:vAlign w:val="center"/>
          </w:tcPr>
          <w:p w:rsidR="00271E93" w:rsidRPr="003F4F05" w:rsidRDefault="00271E93" w:rsidP="00F0471E">
            <w:pPr>
              <w:jc w:val="center"/>
              <w:rPr>
                <w:bCs/>
                <w:sz w:val="26"/>
                <w:szCs w:val="26"/>
                <w:lang w:eastAsia="lv-LV"/>
              </w:rPr>
            </w:pP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3E0F50">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5.2. speciālais budžets</w:t>
            </w:r>
          </w:p>
        </w:tc>
        <w:tc>
          <w:tcPr>
            <w:tcW w:w="1386" w:type="dxa"/>
            <w:vMerge/>
            <w:vAlign w:val="center"/>
          </w:tcPr>
          <w:p w:rsidR="00271E93" w:rsidRPr="003F4F05" w:rsidRDefault="00271E93" w:rsidP="00F0471E">
            <w:pPr>
              <w:jc w:val="center"/>
              <w:rPr>
                <w:bCs/>
                <w:sz w:val="26"/>
                <w:szCs w:val="26"/>
                <w:lang w:eastAsia="lv-LV"/>
              </w:rPr>
            </w:pP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 xml:space="preserve">5.3. pašvaldību budžets </w:t>
            </w:r>
          </w:p>
        </w:tc>
        <w:tc>
          <w:tcPr>
            <w:tcW w:w="1386" w:type="dxa"/>
            <w:vMerge/>
            <w:vAlign w:val="center"/>
          </w:tcPr>
          <w:p w:rsidR="00271E93" w:rsidRPr="003F4F05" w:rsidRDefault="00271E93" w:rsidP="00F0471E">
            <w:pPr>
              <w:jc w:val="center"/>
              <w:rPr>
                <w:bCs/>
                <w:sz w:val="26"/>
                <w:szCs w:val="26"/>
                <w:lang w:eastAsia="lv-LV"/>
              </w:rPr>
            </w:pPr>
          </w:p>
        </w:tc>
        <w:tc>
          <w:tcPr>
            <w:tcW w:w="136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c>
          <w:tcPr>
            <w:tcW w:w="1227" w:type="dxa"/>
            <w:vAlign w:val="center"/>
          </w:tcPr>
          <w:p w:rsidR="00271E93" w:rsidRPr="003F4F05" w:rsidRDefault="00271E93" w:rsidP="00F0471E">
            <w:pPr>
              <w:jc w:val="center"/>
              <w:rPr>
                <w:bCs/>
                <w:sz w:val="26"/>
                <w:szCs w:val="26"/>
                <w:lang w:eastAsia="lv-LV"/>
              </w:rPr>
            </w:pPr>
            <w:r w:rsidRPr="003F4F05">
              <w:rPr>
                <w:bCs/>
                <w:sz w:val="26"/>
                <w:szCs w:val="26"/>
                <w:lang w:eastAsia="lv-LV"/>
              </w:rPr>
              <w:t>0</w:t>
            </w: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t>6. Detalizēts ieņēmumu un izdevumu aprēķins (ja nepieciešams, detalizētu ieņēmumu un izdevumu aprēķinu var pievienot anotācijas pielikumā):</w:t>
            </w:r>
          </w:p>
        </w:tc>
        <w:tc>
          <w:tcPr>
            <w:tcW w:w="6434" w:type="dxa"/>
            <w:gridSpan w:val="5"/>
            <w:vMerge w:val="restart"/>
          </w:tcPr>
          <w:p w:rsidR="00271E93" w:rsidRPr="003F4F05" w:rsidRDefault="00271E93" w:rsidP="005B2307">
            <w:pPr>
              <w:jc w:val="both"/>
              <w:rPr>
                <w:sz w:val="26"/>
                <w:szCs w:val="26"/>
                <w:lang w:eastAsia="lv-LV"/>
              </w:rPr>
            </w:pPr>
          </w:p>
        </w:tc>
      </w:tr>
      <w:tr w:rsidR="00271E93" w:rsidRPr="003F4F05" w:rsidTr="008C6EC8">
        <w:trPr>
          <w:trHeight w:val="201"/>
        </w:trPr>
        <w:tc>
          <w:tcPr>
            <w:tcW w:w="2853" w:type="dxa"/>
          </w:tcPr>
          <w:p w:rsidR="00271E93" w:rsidRPr="003F4F05" w:rsidRDefault="00271E93" w:rsidP="001E5481">
            <w:pPr>
              <w:rPr>
                <w:bCs/>
                <w:sz w:val="26"/>
                <w:szCs w:val="26"/>
                <w:lang w:eastAsia="lv-LV"/>
              </w:rPr>
            </w:pPr>
            <w:r w:rsidRPr="003F4F05">
              <w:rPr>
                <w:bCs/>
                <w:sz w:val="26"/>
                <w:szCs w:val="26"/>
                <w:lang w:eastAsia="lv-LV"/>
              </w:rPr>
              <w:t>6.1. detalizēts ieņēmumu aprēķins</w:t>
            </w:r>
          </w:p>
        </w:tc>
        <w:tc>
          <w:tcPr>
            <w:tcW w:w="6434" w:type="dxa"/>
            <w:gridSpan w:val="5"/>
            <w:vMerge/>
          </w:tcPr>
          <w:p w:rsidR="00271E93" w:rsidRPr="003F4F05" w:rsidRDefault="00271E93" w:rsidP="00CE62FF">
            <w:pPr>
              <w:rPr>
                <w:sz w:val="26"/>
                <w:szCs w:val="26"/>
                <w:lang w:eastAsia="lv-LV"/>
              </w:rPr>
            </w:pPr>
          </w:p>
        </w:tc>
      </w:tr>
      <w:tr w:rsidR="00271E93" w:rsidRPr="003F4F05" w:rsidTr="00271E93">
        <w:tc>
          <w:tcPr>
            <w:tcW w:w="2853" w:type="dxa"/>
          </w:tcPr>
          <w:p w:rsidR="00271E93" w:rsidRPr="003F4F05" w:rsidRDefault="00271E93" w:rsidP="00F0471E">
            <w:pPr>
              <w:rPr>
                <w:bCs/>
                <w:sz w:val="26"/>
                <w:szCs w:val="26"/>
                <w:lang w:eastAsia="lv-LV"/>
              </w:rPr>
            </w:pPr>
            <w:r w:rsidRPr="003F4F05">
              <w:rPr>
                <w:bCs/>
                <w:sz w:val="26"/>
                <w:szCs w:val="26"/>
                <w:lang w:eastAsia="lv-LV"/>
              </w:rPr>
              <w:t xml:space="preserve">6.2. detalizēts izdevumu </w:t>
            </w:r>
            <w:r w:rsidRPr="003F4F05">
              <w:rPr>
                <w:bCs/>
                <w:sz w:val="26"/>
                <w:szCs w:val="26"/>
                <w:lang w:eastAsia="lv-LV"/>
              </w:rPr>
              <w:lastRenderedPageBreak/>
              <w:t>aprēķins</w:t>
            </w:r>
          </w:p>
        </w:tc>
        <w:tc>
          <w:tcPr>
            <w:tcW w:w="6434" w:type="dxa"/>
            <w:gridSpan w:val="5"/>
            <w:vMerge/>
          </w:tcPr>
          <w:p w:rsidR="00271E93" w:rsidRPr="003F4F05" w:rsidRDefault="00271E93" w:rsidP="00CE62FF">
            <w:pPr>
              <w:rPr>
                <w:sz w:val="26"/>
                <w:szCs w:val="26"/>
                <w:lang w:eastAsia="lv-LV"/>
              </w:rPr>
            </w:pPr>
          </w:p>
        </w:tc>
      </w:tr>
      <w:tr w:rsidR="00271E93" w:rsidRPr="003F4F05" w:rsidTr="00271E93">
        <w:tc>
          <w:tcPr>
            <w:tcW w:w="2853" w:type="dxa"/>
          </w:tcPr>
          <w:p w:rsidR="00271E93" w:rsidRPr="003F4F05" w:rsidRDefault="00271E93" w:rsidP="001E5481">
            <w:pPr>
              <w:rPr>
                <w:bCs/>
                <w:sz w:val="26"/>
                <w:szCs w:val="26"/>
                <w:lang w:eastAsia="lv-LV"/>
              </w:rPr>
            </w:pPr>
            <w:r w:rsidRPr="003F4F05">
              <w:rPr>
                <w:bCs/>
                <w:sz w:val="26"/>
                <w:szCs w:val="26"/>
                <w:lang w:eastAsia="lv-LV"/>
              </w:rPr>
              <w:lastRenderedPageBreak/>
              <w:t>7. Cita informācija</w:t>
            </w:r>
          </w:p>
        </w:tc>
        <w:tc>
          <w:tcPr>
            <w:tcW w:w="6434" w:type="dxa"/>
            <w:gridSpan w:val="5"/>
          </w:tcPr>
          <w:p w:rsidR="0089355E" w:rsidRPr="003F4F05" w:rsidRDefault="00271E93" w:rsidP="00271E93">
            <w:pPr>
              <w:jc w:val="both"/>
              <w:rPr>
                <w:bCs/>
                <w:sz w:val="26"/>
                <w:szCs w:val="26"/>
                <w:lang w:eastAsia="lv-LV"/>
              </w:rPr>
            </w:pPr>
            <w:r w:rsidRPr="003F4F05">
              <w:rPr>
                <w:bCs/>
                <w:sz w:val="26"/>
                <w:szCs w:val="26"/>
                <w:lang w:eastAsia="lv-LV"/>
              </w:rPr>
              <w:t xml:space="preserve">Nepieciešamais finansējums VID struktūrvienību pārcelšanās </w:t>
            </w:r>
            <w:r w:rsidR="00A9114A">
              <w:rPr>
                <w:bCs/>
                <w:sz w:val="26"/>
                <w:szCs w:val="26"/>
                <w:lang w:eastAsia="lv-LV"/>
              </w:rPr>
              <w:t xml:space="preserve">un </w:t>
            </w:r>
            <w:r w:rsidRPr="003F4F05">
              <w:rPr>
                <w:bCs/>
                <w:sz w:val="26"/>
                <w:szCs w:val="26"/>
                <w:lang w:eastAsia="lv-LV"/>
              </w:rPr>
              <w:t xml:space="preserve">ar VID </w:t>
            </w:r>
            <w:r w:rsidRPr="003F4F05">
              <w:rPr>
                <w:sz w:val="26"/>
                <w:szCs w:val="26"/>
              </w:rPr>
              <w:t>nepārtrauktas darbības nodrošināšanu saistīto izdevumu palielināšana</w:t>
            </w:r>
            <w:r w:rsidR="00A9114A">
              <w:rPr>
                <w:sz w:val="26"/>
                <w:szCs w:val="26"/>
              </w:rPr>
              <w:t>i</w:t>
            </w:r>
            <w:r w:rsidRPr="003F4F05">
              <w:rPr>
                <w:sz w:val="26"/>
                <w:szCs w:val="26"/>
              </w:rPr>
              <w:t>, papildu nepieciešamais finansējums VID atlīdzības finansējuma palielināšanai 2014.gadā, kā arī nepieciešamais finansējums vienota valsts klientu apkalpošanas centra izveidošanai administratīvajā ēkā Talejas ielā 1, Rīgā, nepieciešamo vienreizēju pasākumu izdevumu segšanai 2014.gadā</w:t>
            </w:r>
            <w:r w:rsidRPr="003F4F05">
              <w:rPr>
                <w:bCs/>
                <w:sz w:val="26"/>
                <w:szCs w:val="26"/>
                <w:lang w:eastAsia="lv-LV"/>
              </w:rPr>
              <w:t xml:space="preserve"> un </w:t>
            </w:r>
            <w:r w:rsidRPr="003F4F05">
              <w:rPr>
                <w:sz w:val="26"/>
                <w:szCs w:val="26"/>
              </w:rPr>
              <w:t>telpu nomas maksas izdevumu segšanai VNĪ un telpu uzturēšanas izdevumu segšanai 2015.gadā</w:t>
            </w:r>
            <w:r w:rsidRPr="003F4F05">
              <w:rPr>
                <w:bCs/>
                <w:sz w:val="26"/>
                <w:szCs w:val="26"/>
                <w:lang w:eastAsia="lv-LV"/>
              </w:rPr>
              <w:t xml:space="preserve"> tiks nodrošināts VID piešķirtā budžeta ietvaros un papildu finansējums netiks pieprasīts. Izmaksas tiks segtas no FM budžeta programmas 33.00.00 „Valsts ieņēmumu un muitas politikas nodrošināšana”.</w:t>
            </w:r>
          </w:p>
          <w:p w:rsidR="00271E93" w:rsidRPr="003F4F05" w:rsidRDefault="00271E93" w:rsidP="00271E93">
            <w:pPr>
              <w:jc w:val="both"/>
              <w:rPr>
                <w:color w:val="FF0000"/>
                <w:sz w:val="26"/>
                <w:szCs w:val="26"/>
                <w:lang w:eastAsia="lv-LV"/>
              </w:rPr>
            </w:pPr>
            <w:r w:rsidRPr="003F4F05">
              <w:rPr>
                <w:bCs/>
                <w:sz w:val="26"/>
                <w:szCs w:val="26"/>
                <w:lang w:eastAsia="lv-LV"/>
              </w:rPr>
              <w:t>MK rīkojuma projekta ietvaros norādītie izdevumi administratīvās ēkas Talejas ielā 1, Rīgā, telpu uzturēšanas, aprīkojuma iegādes un pārcelšanās izdevumu var tikt precizēti atbilstoši faktiskajām izmaksām.</w:t>
            </w:r>
          </w:p>
        </w:tc>
      </w:tr>
    </w:tbl>
    <w:p w:rsidR="00CE62FF" w:rsidRPr="003F4F05" w:rsidRDefault="00CE62FF" w:rsidP="00CE62FF">
      <w:pPr>
        <w:spacing w:after="0" w:line="240" w:lineRule="auto"/>
        <w:rPr>
          <w:sz w:val="26"/>
          <w:szCs w:val="26"/>
          <w:lang w:eastAsia="lv-LV"/>
        </w:rPr>
      </w:pPr>
    </w:p>
    <w:tbl>
      <w:tblPr>
        <w:tblStyle w:val="TableGrid"/>
        <w:tblW w:w="0" w:type="auto"/>
        <w:tblLook w:val="04A0" w:firstRow="1" w:lastRow="0" w:firstColumn="1" w:lastColumn="0" w:noHBand="0" w:noVBand="1"/>
      </w:tblPr>
      <w:tblGrid>
        <w:gridCol w:w="675"/>
        <w:gridCol w:w="4536"/>
        <w:gridCol w:w="4076"/>
      </w:tblGrid>
      <w:tr w:rsidR="00F0471E" w:rsidRPr="003F4F05" w:rsidTr="00F0471E">
        <w:tc>
          <w:tcPr>
            <w:tcW w:w="9287" w:type="dxa"/>
            <w:gridSpan w:val="3"/>
          </w:tcPr>
          <w:p w:rsidR="00F0471E" w:rsidRPr="003F4F05" w:rsidRDefault="00F0471E" w:rsidP="00F0471E">
            <w:pPr>
              <w:jc w:val="center"/>
              <w:rPr>
                <w:sz w:val="26"/>
                <w:szCs w:val="26"/>
                <w:lang w:eastAsia="lv-LV"/>
              </w:rPr>
            </w:pPr>
            <w:r w:rsidRPr="003F4F05">
              <w:rPr>
                <w:b/>
                <w:bCs/>
                <w:sz w:val="26"/>
                <w:szCs w:val="26"/>
                <w:lang w:eastAsia="lv-LV"/>
              </w:rPr>
              <w:t>VII. Tiesību akta projekta izpildes nodrošināšana un tās ietekme uz institūcijām</w:t>
            </w:r>
          </w:p>
        </w:tc>
      </w:tr>
      <w:tr w:rsidR="00F0471E" w:rsidRPr="003F4F05" w:rsidTr="00F0471E">
        <w:tc>
          <w:tcPr>
            <w:tcW w:w="675" w:type="dxa"/>
          </w:tcPr>
          <w:p w:rsidR="00F0471E" w:rsidRPr="003F4F05" w:rsidRDefault="00F0471E" w:rsidP="00E219AC">
            <w:pPr>
              <w:spacing w:before="100" w:beforeAutospacing="1" w:after="100" w:afterAutospacing="1"/>
              <w:jc w:val="both"/>
              <w:rPr>
                <w:sz w:val="26"/>
                <w:szCs w:val="26"/>
                <w:lang w:eastAsia="lv-LV"/>
              </w:rPr>
            </w:pPr>
            <w:r w:rsidRPr="003F4F05">
              <w:rPr>
                <w:sz w:val="26"/>
                <w:szCs w:val="26"/>
                <w:lang w:eastAsia="lv-LV"/>
              </w:rPr>
              <w:t>1.</w:t>
            </w:r>
          </w:p>
        </w:tc>
        <w:tc>
          <w:tcPr>
            <w:tcW w:w="4536" w:type="dxa"/>
          </w:tcPr>
          <w:p w:rsidR="00F0471E" w:rsidRPr="003F4F05" w:rsidRDefault="00F0471E" w:rsidP="00E219AC">
            <w:pPr>
              <w:spacing w:before="100" w:beforeAutospacing="1" w:after="100" w:afterAutospacing="1"/>
              <w:jc w:val="both"/>
              <w:rPr>
                <w:sz w:val="26"/>
                <w:szCs w:val="26"/>
                <w:lang w:eastAsia="lv-LV"/>
              </w:rPr>
            </w:pPr>
            <w:r w:rsidRPr="003F4F05">
              <w:rPr>
                <w:sz w:val="26"/>
                <w:szCs w:val="26"/>
                <w:lang w:eastAsia="lv-LV"/>
              </w:rPr>
              <w:t>Projekta izpildē iesaistītās institūcijas</w:t>
            </w:r>
          </w:p>
        </w:tc>
        <w:tc>
          <w:tcPr>
            <w:tcW w:w="4076" w:type="dxa"/>
          </w:tcPr>
          <w:p w:rsidR="00F0471E" w:rsidRPr="003F4F05" w:rsidRDefault="004354C3" w:rsidP="00297F0E">
            <w:pPr>
              <w:jc w:val="both"/>
              <w:rPr>
                <w:b/>
                <w:sz w:val="26"/>
                <w:szCs w:val="26"/>
                <w:lang w:eastAsia="lv-LV"/>
              </w:rPr>
            </w:pPr>
            <w:r w:rsidRPr="003F4F05">
              <w:rPr>
                <w:sz w:val="26"/>
                <w:szCs w:val="26"/>
              </w:rPr>
              <w:t>FM (VID), LM, VARAM.</w:t>
            </w:r>
          </w:p>
        </w:tc>
      </w:tr>
      <w:tr w:rsidR="00F0471E" w:rsidRPr="003F4F05" w:rsidTr="005C45E0">
        <w:tc>
          <w:tcPr>
            <w:tcW w:w="675" w:type="dxa"/>
          </w:tcPr>
          <w:p w:rsidR="00F0471E" w:rsidRPr="003F4F05" w:rsidRDefault="00F0471E" w:rsidP="00E219AC">
            <w:pPr>
              <w:spacing w:before="100" w:beforeAutospacing="1" w:after="100" w:afterAutospacing="1"/>
              <w:jc w:val="both"/>
              <w:rPr>
                <w:sz w:val="26"/>
                <w:szCs w:val="26"/>
                <w:lang w:eastAsia="lv-LV"/>
              </w:rPr>
            </w:pPr>
            <w:r w:rsidRPr="003F4F05">
              <w:rPr>
                <w:sz w:val="26"/>
                <w:szCs w:val="26"/>
                <w:lang w:eastAsia="lv-LV"/>
              </w:rPr>
              <w:t>2.</w:t>
            </w:r>
          </w:p>
        </w:tc>
        <w:tc>
          <w:tcPr>
            <w:tcW w:w="4536" w:type="dxa"/>
          </w:tcPr>
          <w:p w:rsidR="00F0471E" w:rsidRPr="003F4F05" w:rsidRDefault="00F0471E" w:rsidP="00E219AC">
            <w:pPr>
              <w:jc w:val="both"/>
              <w:rPr>
                <w:sz w:val="26"/>
                <w:szCs w:val="26"/>
                <w:lang w:eastAsia="lv-LV"/>
              </w:rPr>
            </w:pPr>
            <w:r w:rsidRPr="003F4F05">
              <w:rPr>
                <w:sz w:val="26"/>
                <w:szCs w:val="26"/>
                <w:lang w:eastAsia="lv-LV"/>
              </w:rPr>
              <w:t xml:space="preserve">Projekta izpildes ietekme uz pārvaldes funkcijām un institucionālo struktūru. </w:t>
            </w:r>
          </w:p>
          <w:p w:rsidR="00F0471E" w:rsidRPr="003F4F05" w:rsidRDefault="00F0471E" w:rsidP="00E219AC">
            <w:pPr>
              <w:jc w:val="both"/>
              <w:rPr>
                <w:sz w:val="26"/>
                <w:szCs w:val="26"/>
                <w:lang w:eastAsia="lv-LV"/>
              </w:rPr>
            </w:pPr>
            <w:r w:rsidRPr="003F4F05">
              <w:rPr>
                <w:sz w:val="26"/>
                <w:szCs w:val="26"/>
                <w:lang w:eastAsia="lv-LV"/>
              </w:rPr>
              <w:t>Jaunu institūciju izveide, esošu institūciju likvidācija vai reorganizācija, to ietekme uz institūcijas cilvēkresursiem</w:t>
            </w:r>
          </w:p>
        </w:tc>
        <w:tc>
          <w:tcPr>
            <w:tcW w:w="4076" w:type="dxa"/>
          </w:tcPr>
          <w:p w:rsidR="00F0471E" w:rsidRPr="003F4F05" w:rsidRDefault="00F0471E" w:rsidP="00E219AC">
            <w:pPr>
              <w:spacing w:before="100" w:beforeAutospacing="1" w:after="100" w:afterAutospacing="1"/>
              <w:jc w:val="both"/>
              <w:rPr>
                <w:sz w:val="26"/>
                <w:szCs w:val="26"/>
                <w:lang w:eastAsia="lv-LV"/>
              </w:rPr>
            </w:pPr>
            <w:r w:rsidRPr="003F4F05">
              <w:rPr>
                <w:sz w:val="26"/>
                <w:szCs w:val="26"/>
                <w:lang w:eastAsia="lv-LV"/>
              </w:rPr>
              <w:t>Projekts šo jomu neskar.</w:t>
            </w:r>
          </w:p>
        </w:tc>
      </w:tr>
      <w:tr w:rsidR="00F0471E" w:rsidRPr="003F4F05" w:rsidTr="005C45E0">
        <w:tc>
          <w:tcPr>
            <w:tcW w:w="675" w:type="dxa"/>
          </w:tcPr>
          <w:p w:rsidR="00F0471E" w:rsidRPr="003F4F05" w:rsidRDefault="00F0471E" w:rsidP="00E219AC">
            <w:pPr>
              <w:jc w:val="both"/>
              <w:rPr>
                <w:sz w:val="26"/>
                <w:szCs w:val="26"/>
                <w:lang w:eastAsia="lv-LV"/>
              </w:rPr>
            </w:pPr>
            <w:r w:rsidRPr="003F4F05">
              <w:rPr>
                <w:sz w:val="26"/>
                <w:szCs w:val="26"/>
                <w:lang w:eastAsia="lv-LV"/>
              </w:rPr>
              <w:t>3.</w:t>
            </w:r>
          </w:p>
        </w:tc>
        <w:tc>
          <w:tcPr>
            <w:tcW w:w="4536" w:type="dxa"/>
          </w:tcPr>
          <w:p w:rsidR="00F0471E" w:rsidRPr="003F4F05" w:rsidRDefault="00F0471E" w:rsidP="00E219AC">
            <w:pPr>
              <w:jc w:val="both"/>
              <w:rPr>
                <w:sz w:val="26"/>
                <w:szCs w:val="26"/>
                <w:lang w:eastAsia="lv-LV"/>
              </w:rPr>
            </w:pPr>
            <w:r w:rsidRPr="003F4F05">
              <w:rPr>
                <w:sz w:val="26"/>
                <w:szCs w:val="26"/>
                <w:lang w:eastAsia="lv-LV"/>
              </w:rPr>
              <w:t>Cita informācija</w:t>
            </w:r>
          </w:p>
        </w:tc>
        <w:tc>
          <w:tcPr>
            <w:tcW w:w="4076" w:type="dxa"/>
          </w:tcPr>
          <w:p w:rsidR="00F0471E" w:rsidRPr="003F4F05" w:rsidRDefault="00F0471E" w:rsidP="00E219AC">
            <w:pPr>
              <w:jc w:val="both"/>
              <w:rPr>
                <w:sz w:val="26"/>
                <w:szCs w:val="26"/>
                <w:lang w:eastAsia="lv-LV"/>
              </w:rPr>
            </w:pPr>
            <w:r w:rsidRPr="003F4F05">
              <w:rPr>
                <w:sz w:val="26"/>
                <w:szCs w:val="26"/>
                <w:lang w:eastAsia="lv-LV"/>
              </w:rPr>
              <w:t>Nav.</w:t>
            </w:r>
          </w:p>
        </w:tc>
      </w:tr>
    </w:tbl>
    <w:p w:rsidR="00281B5D" w:rsidRPr="003F4F05" w:rsidRDefault="00281B5D" w:rsidP="00E219AC">
      <w:pPr>
        <w:spacing w:after="0" w:line="240" w:lineRule="auto"/>
        <w:jc w:val="both"/>
        <w:rPr>
          <w:sz w:val="26"/>
          <w:szCs w:val="26"/>
          <w:lang w:eastAsia="lv-LV"/>
        </w:rPr>
      </w:pPr>
    </w:p>
    <w:p w:rsidR="001A1014" w:rsidRPr="003F4F05" w:rsidRDefault="00163A32" w:rsidP="00E219AC">
      <w:pPr>
        <w:tabs>
          <w:tab w:val="left" w:pos="2552"/>
        </w:tabs>
        <w:spacing w:after="0" w:line="240" w:lineRule="auto"/>
        <w:jc w:val="both"/>
        <w:rPr>
          <w:bCs/>
          <w:sz w:val="26"/>
          <w:szCs w:val="26"/>
          <w:lang w:eastAsia="lv-LV"/>
        </w:rPr>
      </w:pPr>
      <w:r w:rsidRPr="003F4F05">
        <w:rPr>
          <w:bCs/>
          <w:sz w:val="26"/>
          <w:szCs w:val="26"/>
          <w:lang w:eastAsia="lv-LV"/>
        </w:rPr>
        <w:t xml:space="preserve">Anotācijas </w:t>
      </w:r>
      <w:r w:rsidR="008C77E2" w:rsidRPr="003F4F05">
        <w:rPr>
          <w:bCs/>
          <w:sz w:val="26"/>
          <w:szCs w:val="26"/>
          <w:lang w:eastAsia="lv-LV"/>
        </w:rPr>
        <w:t xml:space="preserve">II, </w:t>
      </w:r>
      <w:r w:rsidR="00F00BC9" w:rsidRPr="003F4F05">
        <w:rPr>
          <w:bCs/>
          <w:sz w:val="26"/>
          <w:szCs w:val="26"/>
          <w:lang w:eastAsia="lv-LV"/>
        </w:rPr>
        <w:t xml:space="preserve">IV, V </w:t>
      </w:r>
      <w:r w:rsidRPr="003F4F05">
        <w:rPr>
          <w:bCs/>
          <w:sz w:val="26"/>
          <w:szCs w:val="26"/>
          <w:lang w:eastAsia="lv-LV"/>
        </w:rPr>
        <w:t>un V</w:t>
      </w:r>
      <w:r w:rsidR="00F00BC9" w:rsidRPr="003F4F05">
        <w:rPr>
          <w:bCs/>
          <w:sz w:val="26"/>
          <w:szCs w:val="26"/>
          <w:lang w:eastAsia="lv-LV"/>
        </w:rPr>
        <w:t>I</w:t>
      </w:r>
      <w:r w:rsidR="001A1014" w:rsidRPr="003F4F05">
        <w:rPr>
          <w:bCs/>
          <w:sz w:val="26"/>
          <w:szCs w:val="26"/>
          <w:lang w:eastAsia="lv-LV"/>
        </w:rPr>
        <w:t xml:space="preserve"> </w:t>
      </w:r>
      <w:r w:rsidRPr="003F4F05">
        <w:rPr>
          <w:bCs/>
          <w:sz w:val="26"/>
          <w:szCs w:val="26"/>
          <w:lang w:eastAsia="lv-LV"/>
        </w:rPr>
        <w:t>s</w:t>
      </w:r>
      <w:r w:rsidR="001A1014" w:rsidRPr="003F4F05">
        <w:rPr>
          <w:bCs/>
          <w:sz w:val="26"/>
          <w:szCs w:val="26"/>
          <w:lang w:eastAsia="lv-LV"/>
        </w:rPr>
        <w:t>adaļa –</w:t>
      </w:r>
      <w:r w:rsidR="00726CB2" w:rsidRPr="003F4F05">
        <w:rPr>
          <w:bCs/>
          <w:sz w:val="26"/>
          <w:szCs w:val="26"/>
          <w:lang w:eastAsia="lv-LV"/>
        </w:rPr>
        <w:t xml:space="preserve"> </w:t>
      </w:r>
      <w:r w:rsidR="001A1014" w:rsidRPr="003F4F05">
        <w:rPr>
          <w:bCs/>
          <w:sz w:val="26"/>
          <w:szCs w:val="26"/>
          <w:lang w:eastAsia="lv-LV"/>
        </w:rPr>
        <w:t>projekts šīs jomas neskar.</w:t>
      </w:r>
    </w:p>
    <w:p w:rsidR="00F0471E" w:rsidRPr="003F4F05" w:rsidRDefault="00F0471E" w:rsidP="00281B5D">
      <w:pPr>
        <w:spacing w:after="0" w:line="240" w:lineRule="auto"/>
        <w:rPr>
          <w:sz w:val="26"/>
          <w:szCs w:val="26"/>
          <w:lang w:eastAsia="lv-LV"/>
        </w:rPr>
      </w:pPr>
    </w:p>
    <w:p w:rsidR="00D9304F" w:rsidRPr="003F4F05" w:rsidRDefault="00D9304F" w:rsidP="00F25315">
      <w:pPr>
        <w:spacing w:after="0" w:line="240" w:lineRule="auto"/>
        <w:rPr>
          <w:sz w:val="26"/>
          <w:szCs w:val="26"/>
          <w:lang w:eastAsia="lv-LV"/>
        </w:rPr>
      </w:pPr>
    </w:p>
    <w:p w:rsidR="00D9304F" w:rsidRPr="003F4F05" w:rsidRDefault="00D9304F" w:rsidP="00F25315">
      <w:pPr>
        <w:spacing w:after="0" w:line="240" w:lineRule="auto"/>
        <w:rPr>
          <w:sz w:val="26"/>
          <w:szCs w:val="26"/>
          <w:lang w:eastAsia="lv-LV"/>
        </w:rPr>
      </w:pPr>
    </w:p>
    <w:p w:rsidR="00D9304F" w:rsidRPr="003F4F05" w:rsidRDefault="00D9304F" w:rsidP="00F25315">
      <w:pPr>
        <w:spacing w:after="0" w:line="240" w:lineRule="auto"/>
        <w:rPr>
          <w:sz w:val="26"/>
          <w:szCs w:val="26"/>
          <w:lang w:eastAsia="lv-LV"/>
        </w:rPr>
      </w:pPr>
    </w:p>
    <w:p w:rsidR="00281B5D" w:rsidRPr="003F4F05" w:rsidRDefault="00281B5D" w:rsidP="00F25315">
      <w:pPr>
        <w:spacing w:after="0" w:line="240" w:lineRule="auto"/>
        <w:rPr>
          <w:sz w:val="26"/>
          <w:szCs w:val="26"/>
          <w:lang w:eastAsia="lv-LV"/>
        </w:rPr>
      </w:pPr>
      <w:r w:rsidRPr="003F4F05">
        <w:rPr>
          <w:sz w:val="26"/>
          <w:szCs w:val="26"/>
          <w:lang w:eastAsia="lv-LV"/>
        </w:rPr>
        <w:t>Finanšu ministrs</w:t>
      </w:r>
      <w:r w:rsidRPr="003F4F05">
        <w:rPr>
          <w:sz w:val="26"/>
          <w:szCs w:val="26"/>
          <w:lang w:eastAsia="lv-LV"/>
        </w:rPr>
        <w:tab/>
      </w:r>
      <w:r w:rsidRPr="003F4F05">
        <w:rPr>
          <w:sz w:val="26"/>
          <w:szCs w:val="26"/>
          <w:lang w:eastAsia="lv-LV"/>
        </w:rPr>
        <w:tab/>
      </w:r>
      <w:r w:rsidRPr="003F4F05">
        <w:rPr>
          <w:sz w:val="26"/>
          <w:szCs w:val="26"/>
          <w:lang w:eastAsia="lv-LV"/>
        </w:rPr>
        <w:tab/>
      </w:r>
      <w:r w:rsidRPr="003F4F05">
        <w:rPr>
          <w:sz w:val="26"/>
          <w:szCs w:val="26"/>
          <w:lang w:eastAsia="lv-LV"/>
        </w:rPr>
        <w:tab/>
      </w:r>
      <w:r w:rsidRPr="003F4F05">
        <w:rPr>
          <w:sz w:val="26"/>
          <w:szCs w:val="26"/>
          <w:lang w:eastAsia="lv-LV"/>
        </w:rPr>
        <w:tab/>
      </w:r>
      <w:r w:rsidRPr="003F4F05">
        <w:rPr>
          <w:sz w:val="26"/>
          <w:szCs w:val="26"/>
          <w:lang w:eastAsia="lv-LV"/>
        </w:rPr>
        <w:tab/>
      </w:r>
      <w:r w:rsidRPr="003F4F05">
        <w:rPr>
          <w:sz w:val="26"/>
          <w:szCs w:val="26"/>
          <w:lang w:eastAsia="lv-LV"/>
        </w:rPr>
        <w:tab/>
      </w:r>
      <w:r w:rsidR="00441046" w:rsidRPr="003F4F05">
        <w:rPr>
          <w:sz w:val="26"/>
          <w:szCs w:val="26"/>
          <w:lang w:eastAsia="lv-LV"/>
        </w:rPr>
        <w:t>J.Reirs</w:t>
      </w:r>
    </w:p>
    <w:p w:rsidR="00094ECB" w:rsidRPr="003F4F05" w:rsidRDefault="00094ECB" w:rsidP="00F0471E">
      <w:pPr>
        <w:spacing w:after="0"/>
        <w:rPr>
          <w:sz w:val="26"/>
          <w:szCs w:val="26"/>
        </w:rPr>
      </w:pPr>
    </w:p>
    <w:p w:rsidR="00D9304F" w:rsidRPr="003F4F05" w:rsidRDefault="00D9304F" w:rsidP="00F0471E">
      <w:pPr>
        <w:spacing w:after="0"/>
        <w:rPr>
          <w:sz w:val="26"/>
          <w:szCs w:val="26"/>
        </w:rPr>
      </w:pPr>
    </w:p>
    <w:p w:rsidR="00094ECB" w:rsidRPr="003F4F05" w:rsidRDefault="00094ECB" w:rsidP="00F0471E">
      <w:pPr>
        <w:spacing w:after="0"/>
        <w:rPr>
          <w:sz w:val="26"/>
          <w:szCs w:val="26"/>
        </w:rPr>
      </w:pPr>
    </w:p>
    <w:p w:rsidR="008166F4" w:rsidRPr="008166F4" w:rsidRDefault="008166F4" w:rsidP="008166F4">
      <w:pPr>
        <w:pStyle w:val="Header"/>
        <w:spacing w:after="0"/>
        <w:rPr>
          <w:sz w:val="20"/>
          <w:szCs w:val="20"/>
        </w:rPr>
      </w:pPr>
      <w:r w:rsidRPr="008166F4">
        <w:rPr>
          <w:sz w:val="20"/>
          <w:szCs w:val="20"/>
        </w:rPr>
        <w:t>04.12.2014 11:15</w:t>
      </w:r>
    </w:p>
    <w:p w:rsidR="008166F4" w:rsidRDefault="00844655" w:rsidP="008166F4">
      <w:pPr>
        <w:pStyle w:val="Header"/>
        <w:tabs>
          <w:tab w:val="clear" w:pos="4153"/>
          <w:tab w:val="clear" w:pos="8306"/>
        </w:tabs>
        <w:spacing w:after="0"/>
        <w:rPr>
          <w:sz w:val="20"/>
          <w:szCs w:val="20"/>
        </w:rPr>
      </w:pPr>
      <w:r>
        <w:rPr>
          <w:sz w:val="20"/>
          <w:szCs w:val="20"/>
        </w:rPr>
        <w:t>3580</w:t>
      </w:r>
    </w:p>
    <w:p w:rsidR="00AB2CBE" w:rsidRPr="003F4F05" w:rsidRDefault="005B2307" w:rsidP="008166F4">
      <w:pPr>
        <w:pStyle w:val="Header"/>
        <w:tabs>
          <w:tab w:val="clear" w:pos="4153"/>
          <w:tab w:val="clear" w:pos="8306"/>
        </w:tabs>
        <w:spacing w:after="0"/>
        <w:rPr>
          <w:sz w:val="20"/>
          <w:szCs w:val="20"/>
        </w:rPr>
      </w:pPr>
      <w:r w:rsidRPr="003F4F05">
        <w:rPr>
          <w:sz w:val="20"/>
          <w:szCs w:val="20"/>
        </w:rPr>
        <w:t>K.Vīksne</w:t>
      </w:r>
    </w:p>
    <w:p w:rsidR="00AB2CBE" w:rsidRDefault="00AB2CBE" w:rsidP="00AB2CBE">
      <w:pPr>
        <w:pStyle w:val="Header"/>
        <w:tabs>
          <w:tab w:val="clear" w:pos="4153"/>
          <w:tab w:val="clear" w:pos="8306"/>
        </w:tabs>
        <w:spacing w:after="0"/>
        <w:rPr>
          <w:sz w:val="20"/>
          <w:szCs w:val="20"/>
        </w:rPr>
      </w:pPr>
      <w:r w:rsidRPr="003F4F05">
        <w:rPr>
          <w:sz w:val="20"/>
          <w:szCs w:val="20"/>
        </w:rPr>
        <w:t>67</w:t>
      </w:r>
      <w:r w:rsidR="005B2307" w:rsidRPr="003F4F05">
        <w:rPr>
          <w:sz w:val="20"/>
          <w:szCs w:val="20"/>
        </w:rPr>
        <w:t>120243</w:t>
      </w:r>
      <w:r w:rsidRPr="003F4F05">
        <w:rPr>
          <w:sz w:val="20"/>
          <w:szCs w:val="20"/>
        </w:rPr>
        <w:t xml:space="preserve">, </w:t>
      </w:r>
      <w:hyperlink r:id="rId8" w:history="1">
        <w:r w:rsidR="005B2307" w:rsidRPr="003F4F05">
          <w:rPr>
            <w:rStyle w:val="Hyperlink"/>
            <w:sz w:val="20"/>
            <w:szCs w:val="20"/>
          </w:rPr>
          <w:t>Kristaps.Viksne@vid.gov.lv</w:t>
        </w:r>
      </w:hyperlink>
    </w:p>
    <w:sectPr w:rsidR="00AB2CBE" w:rsidSect="00AB2CBE">
      <w:headerReference w:type="even" r:id="rId9"/>
      <w:headerReference w:type="default" r:id="rId10"/>
      <w:footerReference w:type="default" r:id="rId11"/>
      <w:footerReference w:type="first" r:id="rId12"/>
      <w:pgSz w:w="11906" w:h="16838"/>
      <w:pgMar w:top="1418" w:right="1134" w:bottom="993" w:left="1701" w:header="709" w:footer="4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83" w:rsidRDefault="00DD3383" w:rsidP="00F02ADC">
      <w:pPr>
        <w:spacing w:after="0" w:line="240" w:lineRule="auto"/>
      </w:pPr>
      <w:r>
        <w:separator/>
      </w:r>
    </w:p>
  </w:endnote>
  <w:endnote w:type="continuationSeparator" w:id="0">
    <w:p w:rsidR="00DD3383" w:rsidRDefault="00DD3383"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A" w:rsidRPr="005B2307" w:rsidRDefault="005B2307" w:rsidP="00300F61">
    <w:pPr>
      <w:pStyle w:val="Footer"/>
      <w:spacing w:after="0" w:line="240" w:lineRule="auto"/>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80234">
      <w:rPr>
        <w:noProof/>
        <w:sz w:val="20"/>
        <w:szCs w:val="20"/>
      </w:rPr>
      <w:t>FMAnot_031214_FinPrec</w:t>
    </w:r>
    <w:r>
      <w:rPr>
        <w:sz w:val="20"/>
        <w:szCs w:val="20"/>
      </w:rPr>
      <w:fldChar w:fldCharType="end"/>
    </w:r>
    <w:r w:rsidRPr="00706417">
      <w:rPr>
        <w:sz w:val="20"/>
        <w:szCs w:val="20"/>
      </w:rPr>
      <w:t xml:space="preserve">; </w:t>
    </w:r>
    <w:r w:rsidRPr="005B2307">
      <w:rPr>
        <w:sz w:val="20"/>
        <w:szCs w:val="20"/>
      </w:rPr>
      <w:t>Minis</w:t>
    </w:r>
    <w:r>
      <w:rPr>
        <w:sz w:val="20"/>
        <w:szCs w:val="20"/>
      </w:rPr>
      <w:t xml:space="preserve">tru kabineta rīkojuma projekta </w:t>
    </w:r>
    <w:r w:rsidRPr="005B2307">
      <w:rPr>
        <w:sz w:val="20"/>
        <w:szCs w:val="20"/>
      </w:rPr>
      <w:t>„Par finansējuma precizēšanu, kas paredzēts Valsts ieņēmuma dienesta administratīvās ēkas Talejas ielā 1, Rīgā, telpu uzturēšanas, aprīkojuma iegādes un p</w:t>
    </w:r>
    <w:r>
      <w:rPr>
        <w:sz w:val="20"/>
        <w:szCs w:val="20"/>
      </w:rPr>
      <w:t xml:space="preserve">ārcelšanās izdevumu segšanai” </w:t>
    </w:r>
    <w:r w:rsidRPr="005B2307">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A" w:rsidRPr="00706417" w:rsidRDefault="005B2307" w:rsidP="005B2307">
    <w:pPr>
      <w:pStyle w:val="Footer"/>
      <w:spacing w:after="0" w:line="240" w:lineRule="auto"/>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80234">
      <w:rPr>
        <w:noProof/>
        <w:sz w:val="20"/>
        <w:szCs w:val="20"/>
      </w:rPr>
      <w:t>FMAnot_031214_FinPrec</w:t>
    </w:r>
    <w:r>
      <w:rPr>
        <w:sz w:val="20"/>
        <w:szCs w:val="20"/>
      </w:rPr>
      <w:fldChar w:fldCharType="end"/>
    </w:r>
    <w:r w:rsidR="00CD7F4A" w:rsidRPr="00706417">
      <w:rPr>
        <w:sz w:val="20"/>
        <w:szCs w:val="20"/>
      </w:rPr>
      <w:t xml:space="preserve">; </w:t>
    </w:r>
    <w:r w:rsidRPr="005B2307">
      <w:rPr>
        <w:sz w:val="20"/>
        <w:szCs w:val="20"/>
      </w:rPr>
      <w:t>Minis</w:t>
    </w:r>
    <w:r>
      <w:rPr>
        <w:sz w:val="20"/>
        <w:szCs w:val="20"/>
      </w:rPr>
      <w:t xml:space="preserve">tru kabineta rīkojuma projekta </w:t>
    </w:r>
    <w:r w:rsidRPr="005B2307">
      <w:rPr>
        <w:sz w:val="20"/>
        <w:szCs w:val="20"/>
      </w:rPr>
      <w:t>„Par finansējuma precizēšanu, kas paredzēts Valsts ieņēmuma dienesta administratīvās ēkas Talejas ielā 1, Rīgā, telpu uzturēšanas, aprīkojuma iegādes un p</w:t>
    </w:r>
    <w:r>
      <w:rPr>
        <w:sz w:val="20"/>
        <w:szCs w:val="20"/>
      </w:rPr>
      <w:t xml:space="preserve">ārcelšanās izdevumu segšanai” </w:t>
    </w:r>
    <w:r w:rsidRPr="005B2307">
      <w:rPr>
        <w:sz w:val="20"/>
        <w:szCs w:val="20"/>
      </w:rPr>
      <w:t>sākotnējās ietekmes novērtējuma ziņojums (anotācija)</w:t>
    </w:r>
  </w:p>
  <w:p w:rsidR="00CD7F4A" w:rsidRPr="001E5481" w:rsidRDefault="00CD7F4A" w:rsidP="007B54AB">
    <w:pPr>
      <w:pStyle w:val="Footer"/>
      <w:spacing w:after="0" w:line="240" w:lineRule="aut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83" w:rsidRDefault="00DD3383" w:rsidP="00F02ADC">
      <w:pPr>
        <w:spacing w:after="0" w:line="240" w:lineRule="auto"/>
      </w:pPr>
      <w:r>
        <w:separator/>
      </w:r>
    </w:p>
  </w:footnote>
  <w:footnote w:type="continuationSeparator" w:id="0">
    <w:p w:rsidR="00DD3383" w:rsidRDefault="00DD3383"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A" w:rsidRDefault="00AE0E8E" w:rsidP="007B54AB">
    <w:pPr>
      <w:pStyle w:val="Header"/>
      <w:framePr w:wrap="around" w:vAnchor="text" w:hAnchor="margin" w:xAlign="center" w:y="1"/>
      <w:rPr>
        <w:rStyle w:val="PageNumber"/>
      </w:rPr>
    </w:pPr>
    <w:r>
      <w:rPr>
        <w:rStyle w:val="PageNumber"/>
      </w:rPr>
      <w:fldChar w:fldCharType="begin"/>
    </w:r>
    <w:r w:rsidR="00CD7F4A">
      <w:rPr>
        <w:rStyle w:val="PageNumber"/>
      </w:rPr>
      <w:instrText xml:space="preserve">PAGE  </w:instrText>
    </w:r>
    <w:r>
      <w:rPr>
        <w:rStyle w:val="PageNumber"/>
      </w:rPr>
      <w:fldChar w:fldCharType="end"/>
    </w:r>
  </w:p>
  <w:p w:rsidR="00CD7F4A" w:rsidRDefault="00CD7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A" w:rsidRPr="00E219AC" w:rsidRDefault="00AE0E8E"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00CD7F4A" w:rsidRPr="00E219AC">
      <w:rPr>
        <w:rStyle w:val="PageNumber"/>
        <w:sz w:val="24"/>
        <w:szCs w:val="24"/>
      </w:rPr>
      <w:instrText xml:space="preserve">PAGE  </w:instrText>
    </w:r>
    <w:r w:rsidRPr="00E219AC">
      <w:rPr>
        <w:rStyle w:val="PageNumber"/>
        <w:sz w:val="24"/>
        <w:szCs w:val="24"/>
      </w:rPr>
      <w:fldChar w:fldCharType="separate"/>
    </w:r>
    <w:r w:rsidR="00E931D0">
      <w:rPr>
        <w:rStyle w:val="PageNumber"/>
        <w:noProof/>
        <w:sz w:val="24"/>
        <w:szCs w:val="24"/>
      </w:rPr>
      <w:t>2</w:t>
    </w:r>
    <w:r w:rsidRPr="00E219AC">
      <w:rPr>
        <w:rStyle w:val="PageNumber"/>
        <w:sz w:val="24"/>
        <w:szCs w:val="24"/>
      </w:rPr>
      <w:fldChar w:fldCharType="end"/>
    </w:r>
  </w:p>
  <w:p w:rsidR="00CD7F4A" w:rsidRDefault="00CD7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12957ECA"/>
    <w:multiLevelType w:val="hybridMultilevel"/>
    <w:tmpl w:val="68F4BF3E"/>
    <w:lvl w:ilvl="0" w:tplc="6592084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16C24CA7"/>
    <w:multiLevelType w:val="hybridMultilevel"/>
    <w:tmpl w:val="5DDAD77A"/>
    <w:lvl w:ilvl="0" w:tplc="09F2E5EE">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1B5C3E"/>
    <w:multiLevelType w:val="hybridMultilevel"/>
    <w:tmpl w:val="24CC2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7">
    <w:nsid w:val="463237C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9">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0">
    <w:nsid w:val="6EF62125"/>
    <w:multiLevelType w:val="hybridMultilevel"/>
    <w:tmpl w:val="77BE3FBA"/>
    <w:lvl w:ilvl="0" w:tplc="4ACCC7FA">
      <w:start w:val="1"/>
      <w:numFmt w:val="bullet"/>
      <w:lvlText w:val=""/>
      <w:lvlJc w:val="left"/>
      <w:pPr>
        <w:ind w:left="1258"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nsid w:val="6F5B455E"/>
    <w:multiLevelType w:val="multilevel"/>
    <w:tmpl w:val="3844DFF2"/>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0B1797C"/>
    <w:multiLevelType w:val="hybridMultilevel"/>
    <w:tmpl w:val="A20E7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96F5EAC"/>
    <w:multiLevelType w:val="hybridMultilevel"/>
    <w:tmpl w:val="1EEEDBDE"/>
    <w:lvl w:ilvl="0" w:tplc="75082FD6">
      <w:start w:val="1"/>
      <w:numFmt w:val="decimal"/>
      <w:lvlText w:val="%1."/>
      <w:lvlJc w:val="left"/>
      <w:pPr>
        <w:ind w:left="421" w:hanging="360"/>
      </w:pPr>
      <w:rPr>
        <w:rFonts w:ascii="Times New Roman" w:eastAsia="Calibri" w:hAnsi="Times New Roman" w:cs="Times New Roman"/>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15">
    <w:nsid w:val="7CF87ACF"/>
    <w:multiLevelType w:val="hybridMultilevel"/>
    <w:tmpl w:val="5360DEE0"/>
    <w:lvl w:ilvl="0" w:tplc="C268C0AE">
      <w:start w:val="1"/>
      <w:numFmt w:val="bullet"/>
      <w:lvlText w:val="-"/>
      <w:lvlJc w:val="left"/>
      <w:pPr>
        <w:ind w:left="1258"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6">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7">
    <w:nsid w:val="7EC05A7A"/>
    <w:multiLevelType w:val="hybridMultilevel"/>
    <w:tmpl w:val="790AE692"/>
    <w:lvl w:ilvl="0" w:tplc="C268C0AE">
      <w:start w:val="1"/>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8"/>
  </w:num>
  <w:num w:numId="6">
    <w:abstractNumId w:val="13"/>
  </w:num>
  <w:num w:numId="7">
    <w:abstractNumId w:val="16"/>
  </w:num>
  <w:num w:numId="8">
    <w:abstractNumId w:val="1"/>
  </w:num>
  <w:num w:numId="9">
    <w:abstractNumId w:val="17"/>
  </w:num>
  <w:num w:numId="10">
    <w:abstractNumId w:val="14"/>
  </w:num>
  <w:num w:numId="11">
    <w:abstractNumId w:val="15"/>
  </w:num>
  <w:num w:numId="12">
    <w:abstractNumId w:val="10"/>
  </w:num>
  <w:num w:numId="13">
    <w:abstractNumId w:val="2"/>
  </w:num>
  <w:num w:numId="14">
    <w:abstractNumId w:val="11"/>
  </w:num>
  <w:num w:numId="15">
    <w:abstractNumId w:val="0"/>
  </w:num>
  <w:num w:numId="16">
    <w:abstractNumId w:val="4"/>
  </w:num>
  <w:num w:numId="17">
    <w:abstractNumId w:val="12"/>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F6"/>
    <w:rsid w:val="00002909"/>
    <w:rsid w:val="000101CB"/>
    <w:rsid w:val="00011172"/>
    <w:rsid w:val="00011C36"/>
    <w:rsid w:val="00027CCB"/>
    <w:rsid w:val="000445A0"/>
    <w:rsid w:val="00057315"/>
    <w:rsid w:val="00064A4D"/>
    <w:rsid w:val="00065E77"/>
    <w:rsid w:val="00081811"/>
    <w:rsid w:val="000839E1"/>
    <w:rsid w:val="0008444E"/>
    <w:rsid w:val="00086AF4"/>
    <w:rsid w:val="000942F1"/>
    <w:rsid w:val="00094ECB"/>
    <w:rsid w:val="000A3A2C"/>
    <w:rsid w:val="000A3A7E"/>
    <w:rsid w:val="000A5FA4"/>
    <w:rsid w:val="000A6F90"/>
    <w:rsid w:val="000B383F"/>
    <w:rsid w:val="000C51F4"/>
    <w:rsid w:val="000C7FFE"/>
    <w:rsid w:val="000D5DA9"/>
    <w:rsid w:val="000E3D08"/>
    <w:rsid w:val="000F18C0"/>
    <w:rsid w:val="000F6862"/>
    <w:rsid w:val="000F7667"/>
    <w:rsid w:val="001026DE"/>
    <w:rsid w:val="00104291"/>
    <w:rsid w:val="00104A43"/>
    <w:rsid w:val="0010746C"/>
    <w:rsid w:val="00122715"/>
    <w:rsid w:val="00126CB4"/>
    <w:rsid w:val="00130E62"/>
    <w:rsid w:val="00131064"/>
    <w:rsid w:val="00135C2D"/>
    <w:rsid w:val="00144E31"/>
    <w:rsid w:val="001563F8"/>
    <w:rsid w:val="00162FA0"/>
    <w:rsid w:val="00163893"/>
    <w:rsid w:val="00163A32"/>
    <w:rsid w:val="001667F4"/>
    <w:rsid w:val="0016707A"/>
    <w:rsid w:val="0016741F"/>
    <w:rsid w:val="00171830"/>
    <w:rsid w:val="00171B4A"/>
    <w:rsid w:val="00172C98"/>
    <w:rsid w:val="001731ED"/>
    <w:rsid w:val="00182AAF"/>
    <w:rsid w:val="001846E0"/>
    <w:rsid w:val="00184759"/>
    <w:rsid w:val="001867B5"/>
    <w:rsid w:val="00187F06"/>
    <w:rsid w:val="00193A32"/>
    <w:rsid w:val="00195932"/>
    <w:rsid w:val="00196D29"/>
    <w:rsid w:val="001A078B"/>
    <w:rsid w:val="001A1014"/>
    <w:rsid w:val="001A2E2E"/>
    <w:rsid w:val="001A6645"/>
    <w:rsid w:val="001B113F"/>
    <w:rsid w:val="001B79C6"/>
    <w:rsid w:val="001C666A"/>
    <w:rsid w:val="001C726A"/>
    <w:rsid w:val="001D0C42"/>
    <w:rsid w:val="001D0DC1"/>
    <w:rsid w:val="001D3BF7"/>
    <w:rsid w:val="001E3F53"/>
    <w:rsid w:val="001E5481"/>
    <w:rsid w:val="001E6508"/>
    <w:rsid w:val="001F45CA"/>
    <w:rsid w:val="001F75F6"/>
    <w:rsid w:val="00200DE8"/>
    <w:rsid w:val="0020791A"/>
    <w:rsid w:val="00210E04"/>
    <w:rsid w:val="0021168F"/>
    <w:rsid w:val="00226BA5"/>
    <w:rsid w:val="00232565"/>
    <w:rsid w:val="0024025A"/>
    <w:rsid w:val="00243DDB"/>
    <w:rsid w:val="00244731"/>
    <w:rsid w:val="00245DA3"/>
    <w:rsid w:val="002508E7"/>
    <w:rsid w:val="00262B98"/>
    <w:rsid w:val="00262CDB"/>
    <w:rsid w:val="0026458C"/>
    <w:rsid w:val="00265A1A"/>
    <w:rsid w:val="00266B03"/>
    <w:rsid w:val="00271E93"/>
    <w:rsid w:val="00275BB7"/>
    <w:rsid w:val="00275FFE"/>
    <w:rsid w:val="00281B5D"/>
    <w:rsid w:val="00295C5E"/>
    <w:rsid w:val="0029710A"/>
    <w:rsid w:val="00297F0E"/>
    <w:rsid w:val="002A03C2"/>
    <w:rsid w:val="002B3308"/>
    <w:rsid w:val="002C07BB"/>
    <w:rsid w:val="002C29B4"/>
    <w:rsid w:val="002C3984"/>
    <w:rsid w:val="002D32A1"/>
    <w:rsid w:val="002D3B30"/>
    <w:rsid w:val="002E26C0"/>
    <w:rsid w:val="002E66A7"/>
    <w:rsid w:val="002F05DC"/>
    <w:rsid w:val="00300F61"/>
    <w:rsid w:val="00304620"/>
    <w:rsid w:val="00312E33"/>
    <w:rsid w:val="003169CD"/>
    <w:rsid w:val="00320053"/>
    <w:rsid w:val="00326F96"/>
    <w:rsid w:val="00331CD3"/>
    <w:rsid w:val="00334849"/>
    <w:rsid w:val="003417E9"/>
    <w:rsid w:val="00344E67"/>
    <w:rsid w:val="00347802"/>
    <w:rsid w:val="0035118F"/>
    <w:rsid w:val="00354D07"/>
    <w:rsid w:val="00356F4D"/>
    <w:rsid w:val="0036001C"/>
    <w:rsid w:val="00364499"/>
    <w:rsid w:val="003740F3"/>
    <w:rsid w:val="00375EB7"/>
    <w:rsid w:val="0037667B"/>
    <w:rsid w:val="00380085"/>
    <w:rsid w:val="00385395"/>
    <w:rsid w:val="0038783B"/>
    <w:rsid w:val="00390D9D"/>
    <w:rsid w:val="003956FF"/>
    <w:rsid w:val="003A77B3"/>
    <w:rsid w:val="003B30EA"/>
    <w:rsid w:val="003C150D"/>
    <w:rsid w:val="003D1F88"/>
    <w:rsid w:val="003D2FF7"/>
    <w:rsid w:val="003E0F50"/>
    <w:rsid w:val="003E228F"/>
    <w:rsid w:val="003E2ED5"/>
    <w:rsid w:val="003F4F05"/>
    <w:rsid w:val="0040314B"/>
    <w:rsid w:val="004067B7"/>
    <w:rsid w:val="00407C7F"/>
    <w:rsid w:val="004157AA"/>
    <w:rsid w:val="00415CC0"/>
    <w:rsid w:val="00417A4E"/>
    <w:rsid w:val="00424C93"/>
    <w:rsid w:val="00424EE4"/>
    <w:rsid w:val="00426DCA"/>
    <w:rsid w:val="004354C3"/>
    <w:rsid w:val="00441046"/>
    <w:rsid w:val="00445841"/>
    <w:rsid w:val="00447A0E"/>
    <w:rsid w:val="00447F09"/>
    <w:rsid w:val="00457918"/>
    <w:rsid w:val="00460160"/>
    <w:rsid w:val="004618C6"/>
    <w:rsid w:val="00480512"/>
    <w:rsid w:val="00486437"/>
    <w:rsid w:val="00496EA8"/>
    <w:rsid w:val="00497459"/>
    <w:rsid w:val="004A06EC"/>
    <w:rsid w:val="004A0F64"/>
    <w:rsid w:val="004A1D4B"/>
    <w:rsid w:val="004A235C"/>
    <w:rsid w:val="004A2F0B"/>
    <w:rsid w:val="004B0002"/>
    <w:rsid w:val="004B125A"/>
    <w:rsid w:val="004B64FB"/>
    <w:rsid w:val="004B7BE0"/>
    <w:rsid w:val="004C11B2"/>
    <w:rsid w:val="004C6470"/>
    <w:rsid w:val="004D134E"/>
    <w:rsid w:val="004D5C7D"/>
    <w:rsid w:val="004D7287"/>
    <w:rsid w:val="004E2496"/>
    <w:rsid w:val="004E2ABD"/>
    <w:rsid w:val="004F008B"/>
    <w:rsid w:val="004F151F"/>
    <w:rsid w:val="005001A3"/>
    <w:rsid w:val="00501007"/>
    <w:rsid w:val="00506968"/>
    <w:rsid w:val="00506B1C"/>
    <w:rsid w:val="00510166"/>
    <w:rsid w:val="00513EC8"/>
    <w:rsid w:val="00514861"/>
    <w:rsid w:val="00520E11"/>
    <w:rsid w:val="005224F6"/>
    <w:rsid w:val="00525A6E"/>
    <w:rsid w:val="00527AE2"/>
    <w:rsid w:val="0053676F"/>
    <w:rsid w:val="00537C2D"/>
    <w:rsid w:val="00541AFA"/>
    <w:rsid w:val="00543104"/>
    <w:rsid w:val="00554071"/>
    <w:rsid w:val="00561E0B"/>
    <w:rsid w:val="005811BA"/>
    <w:rsid w:val="00582015"/>
    <w:rsid w:val="00583C67"/>
    <w:rsid w:val="00584609"/>
    <w:rsid w:val="005922EC"/>
    <w:rsid w:val="0059552B"/>
    <w:rsid w:val="00596BE9"/>
    <w:rsid w:val="005A2246"/>
    <w:rsid w:val="005A4BA3"/>
    <w:rsid w:val="005B1C54"/>
    <w:rsid w:val="005B2307"/>
    <w:rsid w:val="005B2EF9"/>
    <w:rsid w:val="005C1CC2"/>
    <w:rsid w:val="005C2284"/>
    <w:rsid w:val="005C45E0"/>
    <w:rsid w:val="005D0EFA"/>
    <w:rsid w:val="005D2A74"/>
    <w:rsid w:val="005D7E04"/>
    <w:rsid w:val="005E4FF4"/>
    <w:rsid w:val="005E7EDB"/>
    <w:rsid w:val="005F38F9"/>
    <w:rsid w:val="00610D68"/>
    <w:rsid w:val="00611A31"/>
    <w:rsid w:val="00626C0F"/>
    <w:rsid w:val="00632554"/>
    <w:rsid w:val="00632687"/>
    <w:rsid w:val="00642144"/>
    <w:rsid w:val="00643258"/>
    <w:rsid w:val="00645B49"/>
    <w:rsid w:val="00645EEA"/>
    <w:rsid w:val="00646C67"/>
    <w:rsid w:val="00651EC3"/>
    <w:rsid w:val="00663D7F"/>
    <w:rsid w:val="0066424D"/>
    <w:rsid w:val="00667CA1"/>
    <w:rsid w:val="00670E91"/>
    <w:rsid w:val="00680234"/>
    <w:rsid w:val="00680433"/>
    <w:rsid w:val="00683310"/>
    <w:rsid w:val="00684280"/>
    <w:rsid w:val="0069436D"/>
    <w:rsid w:val="006A0E97"/>
    <w:rsid w:val="006B19B8"/>
    <w:rsid w:val="006B1D4D"/>
    <w:rsid w:val="006B2B7F"/>
    <w:rsid w:val="006B6521"/>
    <w:rsid w:val="006C014A"/>
    <w:rsid w:val="006C162A"/>
    <w:rsid w:val="006C49B3"/>
    <w:rsid w:val="006C5039"/>
    <w:rsid w:val="006C528B"/>
    <w:rsid w:val="006C66AD"/>
    <w:rsid w:val="006C7751"/>
    <w:rsid w:val="006D0403"/>
    <w:rsid w:val="006D2EB4"/>
    <w:rsid w:val="006D38DD"/>
    <w:rsid w:val="006D57A2"/>
    <w:rsid w:val="006E2362"/>
    <w:rsid w:val="006E6260"/>
    <w:rsid w:val="006E6936"/>
    <w:rsid w:val="006F6392"/>
    <w:rsid w:val="006F6F4C"/>
    <w:rsid w:val="006F7D7A"/>
    <w:rsid w:val="0070123C"/>
    <w:rsid w:val="00702A80"/>
    <w:rsid w:val="007044FE"/>
    <w:rsid w:val="00704DCB"/>
    <w:rsid w:val="007054CB"/>
    <w:rsid w:val="007135FE"/>
    <w:rsid w:val="00714873"/>
    <w:rsid w:val="007161FE"/>
    <w:rsid w:val="00720273"/>
    <w:rsid w:val="00721338"/>
    <w:rsid w:val="00722633"/>
    <w:rsid w:val="007256CE"/>
    <w:rsid w:val="00726CB2"/>
    <w:rsid w:val="00731368"/>
    <w:rsid w:val="00754DD5"/>
    <w:rsid w:val="007642D4"/>
    <w:rsid w:val="00771431"/>
    <w:rsid w:val="00772169"/>
    <w:rsid w:val="0077392A"/>
    <w:rsid w:val="00774EE2"/>
    <w:rsid w:val="00776D70"/>
    <w:rsid w:val="00777AC6"/>
    <w:rsid w:val="00777F1F"/>
    <w:rsid w:val="0079465A"/>
    <w:rsid w:val="007A3FC5"/>
    <w:rsid w:val="007A4DD2"/>
    <w:rsid w:val="007A4F87"/>
    <w:rsid w:val="007A51FB"/>
    <w:rsid w:val="007A7421"/>
    <w:rsid w:val="007B1A21"/>
    <w:rsid w:val="007B36F9"/>
    <w:rsid w:val="007B54AB"/>
    <w:rsid w:val="007C459D"/>
    <w:rsid w:val="007C47AE"/>
    <w:rsid w:val="007D2E25"/>
    <w:rsid w:val="007D7326"/>
    <w:rsid w:val="007E5B38"/>
    <w:rsid w:val="007F1032"/>
    <w:rsid w:val="007F3308"/>
    <w:rsid w:val="00803B10"/>
    <w:rsid w:val="0080557B"/>
    <w:rsid w:val="00805DA3"/>
    <w:rsid w:val="00813569"/>
    <w:rsid w:val="00815A67"/>
    <w:rsid w:val="008166F4"/>
    <w:rsid w:val="008212C9"/>
    <w:rsid w:val="008217DD"/>
    <w:rsid w:val="00821E65"/>
    <w:rsid w:val="00822EB3"/>
    <w:rsid w:val="00826436"/>
    <w:rsid w:val="00831510"/>
    <w:rsid w:val="00831C44"/>
    <w:rsid w:val="00834507"/>
    <w:rsid w:val="00841A98"/>
    <w:rsid w:val="00842F57"/>
    <w:rsid w:val="00843631"/>
    <w:rsid w:val="00844655"/>
    <w:rsid w:val="0085224F"/>
    <w:rsid w:val="008574CF"/>
    <w:rsid w:val="00867957"/>
    <w:rsid w:val="00877D15"/>
    <w:rsid w:val="00884361"/>
    <w:rsid w:val="008852F0"/>
    <w:rsid w:val="0089355E"/>
    <w:rsid w:val="008A002D"/>
    <w:rsid w:val="008A383F"/>
    <w:rsid w:val="008A77A8"/>
    <w:rsid w:val="008B076D"/>
    <w:rsid w:val="008B1F6E"/>
    <w:rsid w:val="008B28BB"/>
    <w:rsid w:val="008C10A9"/>
    <w:rsid w:val="008C4B9D"/>
    <w:rsid w:val="008C57BD"/>
    <w:rsid w:val="008C6EC8"/>
    <w:rsid w:val="008C77E2"/>
    <w:rsid w:val="008D1651"/>
    <w:rsid w:val="008D64F6"/>
    <w:rsid w:val="008E29BA"/>
    <w:rsid w:val="008E404A"/>
    <w:rsid w:val="008E7494"/>
    <w:rsid w:val="008F1C80"/>
    <w:rsid w:val="009006F1"/>
    <w:rsid w:val="00903740"/>
    <w:rsid w:val="00903A9D"/>
    <w:rsid w:val="00904499"/>
    <w:rsid w:val="0091711B"/>
    <w:rsid w:val="00923E86"/>
    <w:rsid w:val="00930370"/>
    <w:rsid w:val="009345C4"/>
    <w:rsid w:val="009618DE"/>
    <w:rsid w:val="0096224E"/>
    <w:rsid w:val="00972582"/>
    <w:rsid w:val="00975B15"/>
    <w:rsid w:val="00984BEF"/>
    <w:rsid w:val="00991A89"/>
    <w:rsid w:val="00993DFF"/>
    <w:rsid w:val="009A1B6C"/>
    <w:rsid w:val="009C0A2C"/>
    <w:rsid w:val="009C41CD"/>
    <w:rsid w:val="009C5235"/>
    <w:rsid w:val="009C78F1"/>
    <w:rsid w:val="009E2F2E"/>
    <w:rsid w:val="009F0118"/>
    <w:rsid w:val="009F031D"/>
    <w:rsid w:val="009F1DF4"/>
    <w:rsid w:val="00A000A7"/>
    <w:rsid w:val="00A11969"/>
    <w:rsid w:val="00A1299A"/>
    <w:rsid w:val="00A152F4"/>
    <w:rsid w:val="00A278E7"/>
    <w:rsid w:val="00A33F5A"/>
    <w:rsid w:val="00A45ED7"/>
    <w:rsid w:val="00A50278"/>
    <w:rsid w:val="00A50D17"/>
    <w:rsid w:val="00A5285A"/>
    <w:rsid w:val="00A54E47"/>
    <w:rsid w:val="00A60591"/>
    <w:rsid w:val="00A64503"/>
    <w:rsid w:val="00A64C41"/>
    <w:rsid w:val="00A80770"/>
    <w:rsid w:val="00A83285"/>
    <w:rsid w:val="00A862D9"/>
    <w:rsid w:val="00A87CEC"/>
    <w:rsid w:val="00A9114A"/>
    <w:rsid w:val="00A94744"/>
    <w:rsid w:val="00A96E2B"/>
    <w:rsid w:val="00AA1A55"/>
    <w:rsid w:val="00AA60BB"/>
    <w:rsid w:val="00AA7530"/>
    <w:rsid w:val="00AB2CBE"/>
    <w:rsid w:val="00AB4EDE"/>
    <w:rsid w:val="00AD1B58"/>
    <w:rsid w:val="00AD6FE0"/>
    <w:rsid w:val="00AE0E8E"/>
    <w:rsid w:val="00AE6FAB"/>
    <w:rsid w:val="00AF31E5"/>
    <w:rsid w:val="00B00116"/>
    <w:rsid w:val="00B106D4"/>
    <w:rsid w:val="00B14CE5"/>
    <w:rsid w:val="00B201C2"/>
    <w:rsid w:val="00B2084D"/>
    <w:rsid w:val="00B24205"/>
    <w:rsid w:val="00B27772"/>
    <w:rsid w:val="00B35B25"/>
    <w:rsid w:val="00B36A4E"/>
    <w:rsid w:val="00B42B98"/>
    <w:rsid w:val="00B43C8D"/>
    <w:rsid w:val="00B43DA9"/>
    <w:rsid w:val="00B44D13"/>
    <w:rsid w:val="00B5130C"/>
    <w:rsid w:val="00B52D87"/>
    <w:rsid w:val="00B54631"/>
    <w:rsid w:val="00B5570E"/>
    <w:rsid w:val="00B562A8"/>
    <w:rsid w:val="00B57491"/>
    <w:rsid w:val="00B60AA0"/>
    <w:rsid w:val="00B61B9F"/>
    <w:rsid w:val="00B6536A"/>
    <w:rsid w:val="00B6697E"/>
    <w:rsid w:val="00B679D9"/>
    <w:rsid w:val="00B76A2F"/>
    <w:rsid w:val="00B80BA9"/>
    <w:rsid w:val="00B81E41"/>
    <w:rsid w:val="00B823F4"/>
    <w:rsid w:val="00B9037E"/>
    <w:rsid w:val="00B910D0"/>
    <w:rsid w:val="00B91923"/>
    <w:rsid w:val="00BA49AC"/>
    <w:rsid w:val="00BA4F16"/>
    <w:rsid w:val="00BB67FD"/>
    <w:rsid w:val="00BC106E"/>
    <w:rsid w:val="00BC500D"/>
    <w:rsid w:val="00BC5560"/>
    <w:rsid w:val="00BD37E8"/>
    <w:rsid w:val="00BE2F72"/>
    <w:rsid w:val="00BE473A"/>
    <w:rsid w:val="00BF1496"/>
    <w:rsid w:val="00BF282B"/>
    <w:rsid w:val="00BF7256"/>
    <w:rsid w:val="00C00EBD"/>
    <w:rsid w:val="00C049E1"/>
    <w:rsid w:val="00C06F22"/>
    <w:rsid w:val="00C12295"/>
    <w:rsid w:val="00C13915"/>
    <w:rsid w:val="00C13D70"/>
    <w:rsid w:val="00C14571"/>
    <w:rsid w:val="00C15DE0"/>
    <w:rsid w:val="00C25073"/>
    <w:rsid w:val="00C2706F"/>
    <w:rsid w:val="00C2716F"/>
    <w:rsid w:val="00C32434"/>
    <w:rsid w:val="00C3334F"/>
    <w:rsid w:val="00C3434A"/>
    <w:rsid w:val="00C3503F"/>
    <w:rsid w:val="00C4119A"/>
    <w:rsid w:val="00C41B69"/>
    <w:rsid w:val="00C47030"/>
    <w:rsid w:val="00C51236"/>
    <w:rsid w:val="00C55CD3"/>
    <w:rsid w:val="00C57598"/>
    <w:rsid w:val="00C715A8"/>
    <w:rsid w:val="00C721EC"/>
    <w:rsid w:val="00C75538"/>
    <w:rsid w:val="00C75EBD"/>
    <w:rsid w:val="00C77B56"/>
    <w:rsid w:val="00C80BE1"/>
    <w:rsid w:val="00C83987"/>
    <w:rsid w:val="00C859D0"/>
    <w:rsid w:val="00C86793"/>
    <w:rsid w:val="00C967CC"/>
    <w:rsid w:val="00CA1888"/>
    <w:rsid w:val="00CB4C14"/>
    <w:rsid w:val="00CD13DC"/>
    <w:rsid w:val="00CD2950"/>
    <w:rsid w:val="00CD3E6B"/>
    <w:rsid w:val="00CD7F4A"/>
    <w:rsid w:val="00CE12F9"/>
    <w:rsid w:val="00CE31A7"/>
    <w:rsid w:val="00CE62FF"/>
    <w:rsid w:val="00CF19D7"/>
    <w:rsid w:val="00CF4543"/>
    <w:rsid w:val="00D04AF7"/>
    <w:rsid w:val="00D10E6D"/>
    <w:rsid w:val="00D138AF"/>
    <w:rsid w:val="00D17CD2"/>
    <w:rsid w:val="00D23C2E"/>
    <w:rsid w:val="00D30FE8"/>
    <w:rsid w:val="00D31F15"/>
    <w:rsid w:val="00D33176"/>
    <w:rsid w:val="00D340AB"/>
    <w:rsid w:val="00D36601"/>
    <w:rsid w:val="00D37EA8"/>
    <w:rsid w:val="00D4461C"/>
    <w:rsid w:val="00D44F86"/>
    <w:rsid w:val="00D50D46"/>
    <w:rsid w:val="00D544E3"/>
    <w:rsid w:val="00D560DD"/>
    <w:rsid w:val="00D568CC"/>
    <w:rsid w:val="00D6158C"/>
    <w:rsid w:val="00D6512B"/>
    <w:rsid w:val="00D65441"/>
    <w:rsid w:val="00D70F73"/>
    <w:rsid w:val="00D7564B"/>
    <w:rsid w:val="00D82BEF"/>
    <w:rsid w:val="00D9221F"/>
    <w:rsid w:val="00D9304F"/>
    <w:rsid w:val="00D93247"/>
    <w:rsid w:val="00DA2E3C"/>
    <w:rsid w:val="00DA3B8E"/>
    <w:rsid w:val="00DA4BE1"/>
    <w:rsid w:val="00DA4F28"/>
    <w:rsid w:val="00DA5F01"/>
    <w:rsid w:val="00DB1288"/>
    <w:rsid w:val="00DB1A35"/>
    <w:rsid w:val="00DB5299"/>
    <w:rsid w:val="00DC1F15"/>
    <w:rsid w:val="00DD0A70"/>
    <w:rsid w:val="00DD3315"/>
    <w:rsid w:val="00DD3383"/>
    <w:rsid w:val="00DD5090"/>
    <w:rsid w:val="00DD5756"/>
    <w:rsid w:val="00DF1C16"/>
    <w:rsid w:val="00DF459F"/>
    <w:rsid w:val="00DF5103"/>
    <w:rsid w:val="00E046C2"/>
    <w:rsid w:val="00E0595C"/>
    <w:rsid w:val="00E207C3"/>
    <w:rsid w:val="00E2167C"/>
    <w:rsid w:val="00E219AC"/>
    <w:rsid w:val="00E25302"/>
    <w:rsid w:val="00E27634"/>
    <w:rsid w:val="00E37C3B"/>
    <w:rsid w:val="00E512B1"/>
    <w:rsid w:val="00E55CF6"/>
    <w:rsid w:val="00E57503"/>
    <w:rsid w:val="00E60203"/>
    <w:rsid w:val="00E6201D"/>
    <w:rsid w:val="00E6566E"/>
    <w:rsid w:val="00E727A2"/>
    <w:rsid w:val="00E81190"/>
    <w:rsid w:val="00E8276D"/>
    <w:rsid w:val="00E82D4C"/>
    <w:rsid w:val="00E91F1C"/>
    <w:rsid w:val="00E931D0"/>
    <w:rsid w:val="00E97226"/>
    <w:rsid w:val="00EA24BC"/>
    <w:rsid w:val="00EA4B5C"/>
    <w:rsid w:val="00EB0367"/>
    <w:rsid w:val="00EB2638"/>
    <w:rsid w:val="00EB52ED"/>
    <w:rsid w:val="00EB60F4"/>
    <w:rsid w:val="00ED1419"/>
    <w:rsid w:val="00ED3A2F"/>
    <w:rsid w:val="00ED60FE"/>
    <w:rsid w:val="00ED71EA"/>
    <w:rsid w:val="00EE48FC"/>
    <w:rsid w:val="00EF3B6F"/>
    <w:rsid w:val="00EF4C4F"/>
    <w:rsid w:val="00EF73F6"/>
    <w:rsid w:val="00F00BC9"/>
    <w:rsid w:val="00F02ADC"/>
    <w:rsid w:val="00F04699"/>
    <w:rsid w:val="00F0471E"/>
    <w:rsid w:val="00F04C3E"/>
    <w:rsid w:val="00F1017A"/>
    <w:rsid w:val="00F1294D"/>
    <w:rsid w:val="00F17EEF"/>
    <w:rsid w:val="00F21CB4"/>
    <w:rsid w:val="00F21CE6"/>
    <w:rsid w:val="00F21DA2"/>
    <w:rsid w:val="00F25315"/>
    <w:rsid w:val="00F307B0"/>
    <w:rsid w:val="00F41036"/>
    <w:rsid w:val="00F44324"/>
    <w:rsid w:val="00F46B84"/>
    <w:rsid w:val="00F55185"/>
    <w:rsid w:val="00F5688E"/>
    <w:rsid w:val="00F612FA"/>
    <w:rsid w:val="00F6343B"/>
    <w:rsid w:val="00F72B8D"/>
    <w:rsid w:val="00F87E3A"/>
    <w:rsid w:val="00F915D9"/>
    <w:rsid w:val="00F93C7C"/>
    <w:rsid w:val="00FA019F"/>
    <w:rsid w:val="00FA784E"/>
    <w:rsid w:val="00FC3EA0"/>
    <w:rsid w:val="00FD04D8"/>
    <w:rsid w:val="00FE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0304B458-94A9-4234-80E0-DC6EF924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066412179">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2046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Viksne@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3C88-97C1-4D87-B632-C88B87E9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17849</Words>
  <Characters>10174</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finansējuma precizēšanu, kas paredzēts Valsts ieņēmuma dienesta administratīvās ēkas Talejas ielā 1, Rīgā, telpu uzturēšanas, aprīkojuma iegādes un pārcelšanās izdevumu segšanai” sākotnējās ietekmes novērtējuma ziņ</vt:lpstr>
      <vt:lpstr>Ministru kabineta rīkojuma projekts „Grozījums Ministru kabineta 2012.gada 24.augusta rīkojumā Nr.411 „Par finansējuma piešķiršanu Finanšu ministrijai Valsts ieņēmuma dienesta administratīvās ēkas Talejas ielā 1, Rīgā, telpu nomas maksas, aprīkojuma iegād</vt:lpstr>
    </vt:vector>
  </TitlesOfParts>
  <Company>Valsts ieņēmumu dienests</Company>
  <LinksUpToDate>false</LinksUpToDate>
  <CharactersWithSpaces>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finansējuma precizēšanu, kas paredzēts Valsts ieņēmuma dienesta administratīvās ēkas Talejas ielā 1, Rīgā, telpu uzturēšanas, aprīkojuma iegādes un pārcelšanās izdevumu segšanai”</dc:title>
  <dc:subject>Ministru kabineta rīkojuma anotācija</dc:subject>
  <dc:creator>Kristaps Vīksne</dc:creator>
  <dc:description>K.Vīksne
67120243, Kristaps.Viksne@vid.gov.lv</dc:description>
  <cp:lastModifiedBy>Gunta Puidīte</cp:lastModifiedBy>
  <cp:revision>6</cp:revision>
  <cp:lastPrinted>2014-11-22T09:11:00Z</cp:lastPrinted>
  <dcterms:created xsi:type="dcterms:W3CDTF">2014-12-01T13:47:00Z</dcterms:created>
  <dcterms:modified xsi:type="dcterms:W3CDTF">2014-12-04T11:29:00Z</dcterms:modified>
</cp:coreProperties>
</file>