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45B" w:rsidRPr="00603E2E" w:rsidRDefault="0028245B" w:rsidP="006E3C88">
      <w:pPr>
        <w:pStyle w:val="NoSpacing"/>
        <w:jc w:val="center"/>
        <w:rPr>
          <w:b/>
          <w:sz w:val="28"/>
          <w:szCs w:val="28"/>
        </w:rPr>
      </w:pPr>
      <w:r w:rsidRPr="00603E2E">
        <w:rPr>
          <w:b/>
          <w:sz w:val="28"/>
          <w:szCs w:val="28"/>
        </w:rPr>
        <w:t>Ministru kabineta noteikumu projekta</w:t>
      </w:r>
      <w:bookmarkStart w:id="0" w:name="OLE_LINK1"/>
      <w:bookmarkStart w:id="1" w:name="OLE_LINK2"/>
      <w:r w:rsidRPr="00603E2E">
        <w:rPr>
          <w:b/>
          <w:sz w:val="28"/>
          <w:szCs w:val="28"/>
        </w:rPr>
        <w:t xml:space="preserve"> „</w:t>
      </w:r>
      <w:r w:rsidRPr="00603E2E">
        <w:rPr>
          <w:rStyle w:val="FontStyle20"/>
          <w:rFonts w:ascii="Times New Roman" w:hAnsi="Times New Roman" w:cs="Times New Roman"/>
          <w:color w:val="auto"/>
          <w:sz w:val="28"/>
          <w:szCs w:val="28"/>
        </w:rPr>
        <w:t>Kārtība, kādā iesniedzams ziņojums par azartspēļu un izložu organizēšanu</w:t>
      </w:r>
      <w:r w:rsidRPr="00603E2E">
        <w:rPr>
          <w:b/>
          <w:sz w:val="28"/>
          <w:szCs w:val="28"/>
        </w:rPr>
        <w:t>” sākotnējās ietekmes novērtējuma ziņojums (anotācija</w:t>
      </w:r>
      <w:bookmarkEnd w:id="0"/>
      <w:bookmarkEnd w:id="1"/>
      <w:r w:rsidRPr="00603E2E">
        <w:rPr>
          <w:b/>
          <w:sz w:val="28"/>
          <w:szCs w:val="28"/>
        </w:rPr>
        <w:t>)</w:t>
      </w:r>
    </w:p>
    <w:p w:rsidR="0028245B" w:rsidRPr="00603E2E" w:rsidRDefault="0028245B" w:rsidP="006E3C88">
      <w:pPr>
        <w:pStyle w:val="naislab"/>
        <w:spacing w:before="0" w:after="0"/>
        <w:jc w:val="center"/>
        <w:rPr>
          <w:b/>
          <w:sz w:val="28"/>
          <w:szCs w:val="28"/>
        </w:rPr>
      </w:pPr>
    </w:p>
    <w:p w:rsidR="0028245B" w:rsidRPr="00603E2E" w:rsidRDefault="0028245B" w:rsidP="0028245B">
      <w:pPr>
        <w:pStyle w:val="naislab"/>
        <w:spacing w:before="0" w:after="0"/>
        <w:jc w:val="center"/>
        <w:rPr>
          <w:b/>
          <w:sz w:val="28"/>
          <w:szCs w:val="28"/>
        </w:rPr>
      </w:pPr>
    </w:p>
    <w:tbl>
      <w:tblPr>
        <w:tblpPr w:leftFromText="180" w:rightFromText="180" w:vertAnchor="text" w:horzAnchor="margin" w:tblpXSpec="center" w:tblpY="149"/>
        <w:tblW w:w="8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99"/>
        <w:gridCol w:w="2676"/>
        <w:gridCol w:w="5387"/>
      </w:tblGrid>
      <w:tr w:rsidR="00603E2E" w:rsidRPr="00603E2E" w:rsidTr="00E96CA3">
        <w:trPr>
          <w:trHeight w:val="304"/>
        </w:trPr>
        <w:tc>
          <w:tcPr>
            <w:tcW w:w="8662" w:type="dxa"/>
            <w:gridSpan w:val="3"/>
            <w:vAlign w:val="center"/>
          </w:tcPr>
          <w:p w:rsidR="0028245B" w:rsidRPr="00603E2E" w:rsidRDefault="0028245B" w:rsidP="00E96CA3">
            <w:pPr>
              <w:pStyle w:val="naisnod"/>
              <w:spacing w:before="0" w:after="60"/>
              <w:rPr>
                <w:sz w:val="28"/>
                <w:szCs w:val="28"/>
              </w:rPr>
            </w:pPr>
            <w:r w:rsidRPr="00603E2E">
              <w:rPr>
                <w:sz w:val="28"/>
                <w:szCs w:val="28"/>
              </w:rPr>
              <w:t>I. Tiesību akta projekta izstrādes nepieciešamība</w:t>
            </w:r>
          </w:p>
        </w:tc>
      </w:tr>
      <w:tr w:rsidR="00603E2E" w:rsidRPr="00603E2E" w:rsidTr="00E96CA3">
        <w:trPr>
          <w:trHeight w:val="245"/>
        </w:trPr>
        <w:tc>
          <w:tcPr>
            <w:tcW w:w="599" w:type="dxa"/>
          </w:tcPr>
          <w:p w:rsidR="0028245B" w:rsidRPr="00603E2E" w:rsidRDefault="0028245B" w:rsidP="00E96CA3">
            <w:pPr>
              <w:pStyle w:val="naiskr"/>
              <w:spacing w:before="0" w:after="0"/>
              <w:jc w:val="center"/>
              <w:rPr>
                <w:sz w:val="28"/>
                <w:szCs w:val="28"/>
              </w:rPr>
            </w:pPr>
            <w:r w:rsidRPr="00603E2E">
              <w:rPr>
                <w:sz w:val="28"/>
                <w:szCs w:val="28"/>
              </w:rPr>
              <w:t>1.</w:t>
            </w:r>
          </w:p>
        </w:tc>
        <w:tc>
          <w:tcPr>
            <w:tcW w:w="2676" w:type="dxa"/>
          </w:tcPr>
          <w:p w:rsidR="0028245B" w:rsidRPr="00603E2E" w:rsidRDefault="0028245B" w:rsidP="00E96CA3">
            <w:pPr>
              <w:pStyle w:val="naiskr"/>
              <w:spacing w:before="0" w:after="0"/>
              <w:rPr>
                <w:sz w:val="28"/>
                <w:szCs w:val="28"/>
              </w:rPr>
            </w:pPr>
            <w:r w:rsidRPr="00603E2E">
              <w:rPr>
                <w:sz w:val="28"/>
                <w:szCs w:val="28"/>
              </w:rPr>
              <w:t>Pamatojums</w:t>
            </w:r>
          </w:p>
        </w:tc>
        <w:tc>
          <w:tcPr>
            <w:tcW w:w="5387" w:type="dxa"/>
          </w:tcPr>
          <w:p w:rsidR="005C2E51" w:rsidRPr="00603E2E" w:rsidRDefault="0028245B" w:rsidP="006802E1">
            <w:pPr>
              <w:pStyle w:val="naiskr"/>
              <w:spacing w:before="0" w:after="0"/>
              <w:jc w:val="both"/>
              <w:rPr>
                <w:sz w:val="28"/>
                <w:szCs w:val="28"/>
              </w:rPr>
            </w:pPr>
            <w:r w:rsidRPr="00603E2E">
              <w:rPr>
                <w:sz w:val="28"/>
                <w:szCs w:val="28"/>
              </w:rPr>
              <w:t>Azartspēļu un izložu likuma 84.panta otrā daļa</w:t>
            </w:r>
            <w:r w:rsidR="001A4B30" w:rsidRPr="00603E2E">
              <w:rPr>
                <w:sz w:val="28"/>
                <w:szCs w:val="28"/>
              </w:rPr>
              <w:t>.</w:t>
            </w:r>
          </w:p>
        </w:tc>
      </w:tr>
      <w:tr w:rsidR="00603E2E" w:rsidRPr="00603E2E" w:rsidTr="00E96CA3">
        <w:trPr>
          <w:trHeight w:val="558"/>
        </w:trPr>
        <w:tc>
          <w:tcPr>
            <w:tcW w:w="599" w:type="dxa"/>
          </w:tcPr>
          <w:p w:rsidR="007D31E3" w:rsidRDefault="0028245B" w:rsidP="00E96CA3">
            <w:pPr>
              <w:pStyle w:val="naiskr"/>
              <w:spacing w:before="0" w:after="0"/>
              <w:jc w:val="center"/>
              <w:rPr>
                <w:sz w:val="28"/>
                <w:szCs w:val="28"/>
              </w:rPr>
            </w:pPr>
            <w:r w:rsidRPr="00603E2E">
              <w:rPr>
                <w:sz w:val="28"/>
                <w:szCs w:val="28"/>
              </w:rPr>
              <w:t>2.</w:t>
            </w:r>
          </w:p>
          <w:p w:rsidR="007D31E3" w:rsidRPr="007D31E3" w:rsidRDefault="007D31E3" w:rsidP="007D31E3"/>
          <w:p w:rsidR="007D31E3" w:rsidRPr="007D31E3" w:rsidRDefault="007D31E3" w:rsidP="007D31E3"/>
          <w:p w:rsidR="007D31E3" w:rsidRPr="007D31E3" w:rsidRDefault="007D31E3" w:rsidP="007D31E3"/>
          <w:p w:rsidR="007D31E3" w:rsidRPr="007D31E3" w:rsidRDefault="007D31E3" w:rsidP="007D31E3"/>
          <w:p w:rsidR="007D31E3" w:rsidRPr="007D31E3" w:rsidRDefault="007D31E3" w:rsidP="007D31E3"/>
          <w:p w:rsidR="007D31E3" w:rsidRPr="007D31E3" w:rsidRDefault="007D31E3" w:rsidP="007D31E3"/>
          <w:p w:rsidR="007D31E3" w:rsidRPr="007D31E3" w:rsidRDefault="007D31E3" w:rsidP="007D31E3"/>
          <w:p w:rsidR="007D31E3" w:rsidRPr="007D31E3" w:rsidRDefault="007D31E3" w:rsidP="007D31E3"/>
          <w:p w:rsidR="007D31E3" w:rsidRPr="007D31E3" w:rsidRDefault="007D31E3" w:rsidP="007D31E3"/>
          <w:p w:rsidR="007D31E3" w:rsidRPr="007D31E3" w:rsidRDefault="007D31E3" w:rsidP="007D31E3"/>
          <w:p w:rsidR="007D31E3" w:rsidRPr="007D31E3" w:rsidRDefault="007D31E3" w:rsidP="007D31E3"/>
          <w:p w:rsidR="007D31E3" w:rsidRPr="007D31E3" w:rsidRDefault="007D31E3" w:rsidP="007D31E3"/>
          <w:p w:rsidR="007D31E3" w:rsidRPr="007D31E3" w:rsidRDefault="007D31E3" w:rsidP="007D31E3"/>
          <w:p w:rsidR="007D31E3" w:rsidRPr="007D31E3" w:rsidRDefault="007D31E3" w:rsidP="007D31E3"/>
          <w:p w:rsidR="007D31E3" w:rsidRPr="007D31E3" w:rsidRDefault="007D31E3" w:rsidP="007D31E3"/>
          <w:p w:rsidR="007D31E3" w:rsidRPr="007D31E3" w:rsidRDefault="007D31E3" w:rsidP="007D31E3"/>
          <w:p w:rsidR="007D31E3" w:rsidRDefault="007D31E3" w:rsidP="007D31E3"/>
          <w:p w:rsidR="0028245B" w:rsidRPr="007D31E3" w:rsidRDefault="0028245B" w:rsidP="007D31E3"/>
        </w:tc>
        <w:tc>
          <w:tcPr>
            <w:tcW w:w="2676" w:type="dxa"/>
          </w:tcPr>
          <w:p w:rsidR="0028245B" w:rsidRPr="00603E2E" w:rsidRDefault="0028245B" w:rsidP="00E96CA3">
            <w:pPr>
              <w:pStyle w:val="naiskr"/>
              <w:spacing w:before="0" w:after="0"/>
              <w:rPr>
                <w:sz w:val="28"/>
                <w:szCs w:val="28"/>
              </w:rPr>
            </w:pPr>
            <w:r w:rsidRPr="00603E2E">
              <w:rPr>
                <w:sz w:val="28"/>
                <w:szCs w:val="28"/>
              </w:rPr>
              <w:t>Pašreizējā situācija un problēmas, kuru risināšanai tiesību akta projekts izstrādāts, tiesiskā regulējuma mērķis un būtība</w:t>
            </w:r>
          </w:p>
        </w:tc>
        <w:tc>
          <w:tcPr>
            <w:tcW w:w="5387" w:type="dxa"/>
          </w:tcPr>
          <w:p w:rsidR="0028245B" w:rsidRPr="00603E2E" w:rsidRDefault="0028245B" w:rsidP="00E96CA3">
            <w:pPr>
              <w:jc w:val="both"/>
              <w:rPr>
                <w:sz w:val="28"/>
                <w:szCs w:val="28"/>
              </w:rPr>
            </w:pPr>
            <w:r w:rsidRPr="00603E2E">
              <w:rPr>
                <w:sz w:val="28"/>
                <w:szCs w:val="28"/>
              </w:rPr>
              <w:t xml:space="preserve">Atbilstoši Azartspēļu un izložu likuma 84.panta otrās daļas nosacījumiem azartspēļu un izložu organizētājs 20 dienu laikā pēc ceturkšņa beigām Ministru kabineta noteiktajā kārtībā iesniedz Izložu un azartspēļu uzraudzības inspekcijai ziņojumu par azartspēļu un izložu organizēšanu pārskata ceturksnī. </w:t>
            </w:r>
            <w:r w:rsidR="003E5075" w:rsidRPr="00603E2E">
              <w:rPr>
                <w:sz w:val="28"/>
                <w:szCs w:val="28"/>
              </w:rPr>
              <w:t xml:space="preserve">Pašreiz kārtību, kādā Izložu un azartspēļu uzraudzības inspekcijai iesniedz ziņojumu par azartspēļu un izložu organizēšanu pārskata ceturksnī, nosaka Ministru kabineta 2007.gada 6.februāra noteikumi Nr.96 „Kārtība, kādā iesniedzams ziņojums par azartspēļu un izložu organizēšanu”. </w:t>
            </w:r>
            <w:r w:rsidRPr="00603E2E">
              <w:rPr>
                <w:sz w:val="28"/>
                <w:szCs w:val="28"/>
              </w:rPr>
              <w:t>Ziņojumā azartspēļu un izložu organizētāji norāda vispusīgu informāciju par to statistikas rādītājiem un finansiāli saimniecisko darbību pārskata ceturksnī – ekspluatēto iekārtu skaitu, spēļu vietu skaitu, licences saņēmēja neto apgrozījumu, organizēšanas ieņēmumus pa spēļu veidiem, kopējās izmaksas, darbinieku skaitu, aprēķinātos nodokļus un nodevas pa veidiem, izmaksāto laimestu skaitu. Šos datus Izložu un azartspēļu uzraudzības inspekcija izmanto nozares attīstības analīzei, apgrozījuma plānošanai un ieņēmumu prognozēm valsts un pašvaldību budžetos.</w:t>
            </w:r>
          </w:p>
          <w:p w:rsidR="0028245B" w:rsidRPr="00603E2E" w:rsidRDefault="0028245B" w:rsidP="00E96CA3">
            <w:pPr>
              <w:pStyle w:val="DefaultParagraphFont1"/>
              <w:jc w:val="both"/>
              <w:rPr>
                <w:rFonts w:ascii="Times New Roman" w:hAnsi="Times New Roman"/>
                <w:sz w:val="28"/>
                <w:szCs w:val="28"/>
              </w:rPr>
            </w:pPr>
            <w:r w:rsidRPr="00603E2E">
              <w:rPr>
                <w:rFonts w:ascii="Times New Roman" w:hAnsi="Times New Roman"/>
                <w:sz w:val="28"/>
                <w:szCs w:val="28"/>
              </w:rPr>
              <w:t xml:space="preserve">Ar 2011.gada 15.decembrī Saeimā pieņemtā likuma „Grozījumi likumā „Par iedzīvotāju ienākuma nodokli”” 2.pantu tika izdarīti grozījumi likuma „Par iedzīvotāju ienākuma nodokli” 9.pantā un saskaņā ar šā panta pirmās daļas 5.punktu tika noteikts, ka izložu un azartspēļu laimesti ar iedzīvotāju ienākuma nodokli vairs netiek aplikti. Turklāt saskaņā ar minētā likuma „Grozījumi likumā „Par </w:t>
            </w:r>
            <w:r w:rsidRPr="00603E2E">
              <w:rPr>
                <w:rFonts w:ascii="Times New Roman" w:hAnsi="Times New Roman"/>
                <w:sz w:val="28"/>
                <w:szCs w:val="28"/>
              </w:rPr>
              <w:lastRenderedPageBreak/>
              <w:t xml:space="preserve">iedzīvotāju ienākuma nodokli”” 11.pantu tika izdarīti grozījumi likuma „Par iedzīvotāju ienākuma nodokli” 17.pantā un tika izslēgts šā panta desmitās daļas 10.punkts, kas noteica, ka komersantam, izmaksājot izložu un azartspēļu laimestus, kuri pārsniedz 500 latu, jāietur iedzīvotāju ienākuma nodoklis. Atbilstoši 2013.gada </w:t>
            </w:r>
            <w:r w:rsidR="00046FE9" w:rsidRPr="00603E2E">
              <w:rPr>
                <w:rFonts w:ascii="Times New Roman" w:hAnsi="Times New Roman"/>
                <w:sz w:val="28"/>
                <w:szCs w:val="28"/>
              </w:rPr>
              <w:t>19</w:t>
            </w:r>
            <w:r w:rsidRPr="00603E2E">
              <w:rPr>
                <w:rFonts w:ascii="Times New Roman" w:hAnsi="Times New Roman"/>
                <w:sz w:val="28"/>
                <w:szCs w:val="28"/>
              </w:rPr>
              <w:t>.</w:t>
            </w:r>
            <w:r w:rsidR="00046FE9" w:rsidRPr="00603E2E">
              <w:rPr>
                <w:rFonts w:ascii="Times New Roman" w:hAnsi="Times New Roman"/>
                <w:sz w:val="28"/>
                <w:szCs w:val="28"/>
              </w:rPr>
              <w:t>septem</w:t>
            </w:r>
            <w:r w:rsidRPr="00603E2E">
              <w:rPr>
                <w:rFonts w:ascii="Times New Roman" w:hAnsi="Times New Roman"/>
                <w:sz w:val="28"/>
                <w:szCs w:val="28"/>
              </w:rPr>
              <w:t>brī Saeimā pieņemtā likuma „Grozījumi likumā „Par iedzīvotāju ienākuma nodokli”” 11.pantam tika izdarīti grozījumi likuma „Par iedzīvotāju ienākuma nodokli” 17.pantā un saskaņā ar šā panta 11.</w:t>
            </w:r>
            <w:r w:rsidRPr="00603E2E">
              <w:rPr>
                <w:rFonts w:ascii="Times New Roman" w:hAnsi="Times New Roman"/>
                <w:sz w:val="28"/>
                <w:szCs w:val="28"/>
                <w:vertAlign w:val="superscript"/>
              </w:rPr>
              <w:t>1</w:t>
            </w:r>
            <w:r w:rsidRPr="00603E2E">
              <w:rPr>
                <w:rFonts w:ascii="Times New Roman" w:hAnsi="Times New Roman"/>
                <w:sz w:val="28"/>
                <w:szCs w:val="28"/>
              </w:rPr>
              <w:t>daļu</w:t>
            </w:r>
            <w:r w:rsidR="000152CD" w:rsidRPr="00603E2E">
              <w:rPr>
                <w:rFonts w:ascii="Times New Roman" w:hAnsi="Times New Roman"/>
                <w:sz w:val="28"/>
                <w:szCs w:val="28"/>
              </w:rPr>
              <w:t xml:space="preserve"> </w:t>
            </w:r>
            <w:r w:rsidRPr="00603E2E">
              <w:rPr>
                <w:rFonts w:ascii="Times New Roman" w:hAnsi="Times New Roman"/>
                <w:sz w:val="28"/>
                <w:szCs w:val="28"/>
              </w:rPr>
              <w:t>komersantam tika noteikts pienākums</w:t>
            </w:r>
            <w:r w:rsidR="000152CD" w:rsidRPr="00603E2E">
              <w:rPr>
                <w:rFonts w:ascii="Times New Roman" w:hAnsi="Times New Roman"/>
                <w:sz w:val="28"/>
                <w:szCs w:val="28"/>
              </w:rPr>
              <w:t xml:space="preserve"> </w:t>
            </w:r>
            <w:r w:rsidRPr="00603E2E">
              <w:rPr>
                <w:rFonts w:ascii="Times New Roman" w:hAnsi="Times New Roman"/>
                <w:sz w:val="28"/>
                <w:szCs w:val="28"/>
              </w:rPr>
              <w:t xml:space="preserve">iesniegt Valsts ieņēmumu dienestam paziņojumu par izmaksātajiem izložu un azartspēļu laimestiem, kas pārsniedz 3000 </w:t>
            </w:r>
            <w:proofErr w:type="spellStart"/>
            <w:r w:rsidRPr="00603E2E">
              <w:rPr>
                <w:rFonts w:ascii="Times New Roman" w:hAnsi="Times New Roman"/>
                <w:i/>
                <w:sz w:val="28"/>
                <w:szCs w:val="28"/>
              </w:rPr>
              <w:t>euro</w:t>
            </w:r>
            <w:proofErr w:type="spellEnd"/>
            <w:r w:rsidRPr="00603E2E">
              <w:rPr>
                <w:rFonts w:ascii="Times New Roman" w:hAnsi="Times New Roman"/>
                <w:sz w:val="28"/>
                <w:szCs w:val="28"/>
              </w:rPr>
              <w:t>.</w:t>
            </w:r>
          </w:p>
          <w:p w:rsidR="0028245B" w:rsidRPr="00603E2E" w:rsidRDefault="0028245B" w:rsidP="00E96CA3">
            <w:pPr>
              <w:pStyle w:val="DefaultParagraphFont1"/>
              <w:jc w:val="both"/>
              <w:rPr>
                <w:rFonts w:ascii="Times New Roman" w:hAnsi="Times New Roman"/>
                <w:sz w:val="28"/>
                <w:szCs w:val="28"/>
              </w:rPr>
            </w:pPr>
            <w:r w:rsidRPr="00603E2E">
              <w:rPr>
                <w:rFonts w:ascii="Times New Roman" w:hAnsi="Times New Roman"/>
                <w:sz w:val="28"/>
                <w:szCs w:val="28"/>
              </w:rPr>
              <w:t xml:space="preserve">Ievērojot iedzīvotāju ienākumu nodokļa piemērošanas izmaiņas azartspēļu un izložu laimestiem, jāveic grozījumi noteikumu 2.4. un 3.4.apakšpunktā, izslēdzot no ziņojuma informāciju par ieturēto iedzīvotāju ienākuma nodokli no izložu un azartspēļu laimestiem, un paredzot, ka azartspēļu un izložu organizētājam ziņojumā jānorāda informācija par izmaksātajiem izložu un azartspēļu laimestiem, kas pārsniedz 3000 </w:t>
            </w:r>
            <w:proofErr w:type="spellStart"/>
            <w:r w:rsidRPr="00603E2E">
              <w:rPr>
                <w:rFonts w:ascii="Times New Roman" w:hAnsi="Times New Roman"/>
                <w:i/>
                <w:sz w:val="28"/>
                <w:szCs w:val="28"/>
              </w:rPr>
              <w:t>euro</w:t>
            </w:r>
            <w:proofErr w:type="spellEnd"/>
            <w:r w:rsidRPr="00603E2E">
              <w:rPr>
                <w:rFonts w:ascii="Times New Roman" w:hAnsi="Times New Roman"/>
                <w:sz w:val="28"/>
                <w:szCs w:val="28"/>
              </w:rPr>
              <w:t>.</w:t>
            </w:r>
          </w:p>
          <w:p w:rsidR="0028245B" w:rsidRPr="00603E2E" w:rsidRDefault="0028245B" w:rsidP="00E96CA3">
            <w:pPr>
              <w:pStyle w:val="DefaultParagraphFont1"/>
              <w:jc w:val="both"/>
              <w:rPr>
                <w:rFonts w:ascii="Times New Roman" w:hAnsi="Times New Roman"/>
                <w:sz w:val="28"/>
                <w:szCs w:val="28"/>
              </w:rPr>
            </w:pPr>
            <w:r w:rsidRPr="00603E2E">
              <w:rPr>
                <w:rFonts w:ascii="Times New Roman" w:hAnsi="Times New Roman"/>
                <w:sz w:val="28"/>
                <w:szCs w:val="28"/>
              </w:rPr>
              <w:t>Ņemot vērā izložu un azartspēļu nozares attīstības tendences, esošais ziņojums pašreiz arī pilnībā neatspoguļo visus iegūstamos rādītājus.</w:t>
            </w:r>
          </w:p>
          <w:p w:rsidR="0028245B" w:rsidRPr="00603E2E" w:rsidRDefault="0028245B" w:rsidP="00E96CA3">
            <w:pPr>
              <w:pStyle w:val="DefaultParagraphFont1"/>
              <w:jc w:val="both"/>
              <w:rPr>
                <w:rFonts w:ascii="Times New Roman" w:hAnsi="Times New Roman"/>
                <w:sz w:val="28"/>
                <w:szCs w:val="28"/>
              </w:rPr>
            </w:pPr>
            <w:r w:rsidRPr="00603E2E">
              <w:rPr>
                <w:rFonts w:ascii="Times New Roman" w:hAnsi="Times New Roman"/>
                <w:sz w:val="28"/>
                <w:szCs w:val="28"/>
              </w:rPr>
              <w:t>Latvijā vairs netiek izmantoti azartspēļu automāt</w:t>
            </w:r>
            <w:r w:rsidR="00085D09" w:rsidRPr="00603E2E">
              <w:rPr>
                <w:rFonts w:ascii="Times New Roman" w:hAnsi="Times New Roman"/>
                <w:sz w:val="28"/>
                <w:szCs w:val="28"/>
              </w:rPr>
              <w:t>i  un</w:t>
            </w:r>
            <w:r w:rsidRPr="00603E2E">
              <w:rPr>
                <w:rFonts w:ascii="Times New Roman" w:hAnsi="Times New Roman"/>
                <w:sz w:val="28"/>
                <w:szCs w:val="28"/>
              </w:rPr>
              <w:t xml:space="preserve"> galdi ar vairākām spēles vietām, tāpēc šāda uzskaite vairs nav nepieciešama.</w:t>
            </w:r>
          </w:p>
          <w:p w:rsidR="0028245B" w:rsidRPr="00603E2E" w:rsidRDefault="0028245B" w:rsidP="00E96CA3">
            <w:pPr>
              <w:pStyle w:val="DefaultParagraphFont1"/>
              <w:jc w:val="both"/>
              <w:rPr>
                <w:rFonts w:ascii="Times New Roman" w:hAnsi="Times New Roman"/>
                <w:sz w:val="28"/>
                <w:szCs w:val="28"/>
              </w:rPr>
            </w:pPr>
            <w:r w:rsidRPr="00603E2E">
              <w:rPr>
                <w:rFonts w:ascii="Times New Roman" w:hAnsi="Times New Roman"/>
                <w:sz w:val="28"/>
                <w:szCs w:val="28"/>
              </w:rPr>
              <w:t xml:space="preserve">Ņemot vērā interaktīvo azartspēļu organizēšanas attīstību un pieaugumu, ziņojumā jānodrošina iespēja atsevišķi norādīt azartspēļu organizētāja ieņēmumu kopsummu no interaktīvajām azartspēlēm, kā arī sadalīt to, norādot atsevišķi neto ieņēmumus no šādu interaktīvo azartspēļu veidu organizēšanas: </w:t>
            </w:r>
          </w:p>
          <w:p w:rsidR="0028245B" w:rsidRPr="00603E2E" w:rsidRDefault="0028245B" w:rsidP="0028245B">
            <w:pPr>
              <w:pStyle w:val="DefaultParagraphFont1"/>
              <w:numPr>
                <w:ilvl w:val="0"/>
                <w:numId w:val="1"/>
              </w:numPr>
              <w:tabs>
                <w:tab w:val="left" w:pos="268"/>
              </w:tabs>
              <w:ind w:left="0" w:firstLine="0"/>
              <w:jc w:val="both"/>
              <w:rPr>
                <w:rFonts w:ascii="Times New Roman" w:hAnsi="Times New Roman"/>
                <w:sz w:val="28"/>
                <w:szCs w:val="28"/>
                <w:shd w:val="clear" w:color="auto" w:fill="FFFFFF"/>
              </w:rPr>
            </w:pPr>
            <w:r w:rsidRPr="00603E2E">
              <w:rPr>
                <w:rFonts w:ascii="Times New Roman" w:hAnsi="Times New Roman"/>
                <w:sz w:val="28"/>
                <w:szCs w:val="28"/>
              </w:rPr>
              <w:t xml:space="preserve">interaktīvās </w:t>
            </w:r>
            <w:r w:rsidRPr="00603E2E">
              <w:rPr>
                <w:rFonts w:ascii="Times New Roman" w:hAnsi="Times New Roman"/>
                <w:sz w:val="28"/>
                <w:szCs w:val="28"/>
                <w:shd w:val="clear" w:color="auto" w:fill="FFFFFF"/>
              </w:rPr>
              <w:t>spēļu automātu spēles, ruletes</w:t>
            </w:r>
            <w:r w:rsidR="000152CD" w:rsidRPr="00603E2E">
              <w:rPr>
                <w:rFonts w:ascii="Times New Roman" w:hAnsi="Times New Roman"/>
                <w:sz w:val="28"/>
                <w:szCs w:val="28"/>
                <w:shd w:val="clear" w:color="auto" w:fill="FFFFFF"/>
              </w:rPr>
              <w:t xml:space="preserve"> (cilindriskās spēles)</w:t>
            </w:r>
            <w:r w:rsidRPr="00603E2E">
              <w:rPr>
                <w:rFonts w:ascii="Times New Roman" w:hAnsi="Times New Roman"/>
                <w:sz w:val="28"/>
                <w:szCs w:val="28"/>
                <w:shd w:val="clear" w:color="auto" w:fill="FFFFFF"/>
              </w:rPr>
              <w:t xml:space="preserve">, kāršu spēles, kauliņu </w:t>
            </w:r>
            <w:r w:rsidRPr="00603E2E">
              <w:rPr>
                <w:rFonts w:ascii="Times New Roman" w:hAnsi="Times New Roman"/>
                <w:sz w:val="28"/>
                <w:szCs w:val="28"/>
                <w:shd w:val="clear" w:color="auto" w:fill="FFFFFF"/>
              </w:rPr>
              <w:lastRenderedPageBreak/>
              <w:t xml:space="preserve">spēles, </w:t>
            </w:r>
            <w:proofErr w:type="spellStart"/>
            <w:r w:rsidRPr="00603E2E">
              <w:rPr>
                <w:rFonts w:ascii="Times New Roman" w:hAnsi="Times New Roman"/>
                <w:sz w:val="28"/>
                <w:szCs w:val="28"/>
                <w:shd w:val="clear" w:color="auto" w:fill="FFFFFF"/>
              </w:rPr>
              <w:t>bingo</w:t>
            </w:r>
            <w:proofErr w:type="spellEnd"/>
            <w:r w:rsidRPr="00603E2E">
              <w:rPr>
                <w:rFonts w:ascii="Times New Roman" w:hAnsi="Times New Roman"/>
                <w:sz w:val="28"/>
                <w:szCs w:val="28"/>
                <w:shd w:val="clear" w:color="auto" w:fill="FFFFFF"/>
              </w:rPr>
              <w:t>,</w:t>
            </w:r>
            <w:r w:rsidRPr="00603E2E">
              <w:rPr>
                <w:rFonts w:ascii="Times New Roman" w:hAnsi="Times New Roman"/>
                <w:i/>
                <w:sz w:val="28"/>
                <w:szCs w:val="28"/>
                <w:shd w:val="clear" w:color="auto" w:fill="FFFFFF"/>
              </w:rPr>
              <w:t xml:space="preserve"> izņemot interaktīvās kāršu spēles starp spēlētājiem</w:t>
            </w:r>
            <w:r w:rsidRPr="00603E2E">
              <w:rPr>
                <w:rFonts w:ascii="Times New Roman" w:hAnsi="Times New Roman"/>
                <w:sz w:val="28"/>
                <w:szCs w:val="28"/>
                <w:shd w:val="clear" w:color="auto" w:fill="FFFFFF"/>
              </w:rPr>
              <w:t>;</w:t>
            </w:r>
          </w:p>
          <w:p w:rsidR="0028245B" w:rsidRPr="00603E2E" w:rsidRDefault="0028245B" w:rsidP="0028245B">
            <w:pPr>
              <w:pStyle w:val="DefaultParagraphFont1"/>
              <w:numPr>
                <w:ilvl w:val="0"/>
                <w:numId w:val="1"/>
              </w:numPr>
              <w:tabs>
                <w:tab w:val="left" w:pos="268"/>
              </w:tabs>
              <w:ind w:left="0" w:firstLine="0"/>
              <w:jc w:val="both"/>
              <w:rPr>
                <w:rFonts w:ascii="Times New Roman" w:hAnsi="Times New Roman"/>
                <w:sz w:val="28"/>
                <w:szCs w:val="28"/>
              </w:rPr>
            </w:pPr>
            <w:r w:rsidRPr="00603E2E">
              <w:rPr>
                <w:rFonts w:ascii="Times New Roman" w:hAnsi="Times New Roman"/>
                <w:sz w:val="28"/>
                <w:szCs w:val="28"/>
                <w:shd w:val="clear" w:color="auto" w:fill="FFFFFF"/>
              </w:rPr>
              <w:t xml:space="preserve">interaktīvā </w:t>
            </w:r>
            <w:proofErr w:type="spellStart"/>
            <w:r w:rsidRPr="00603E2E">
              <w:rPr>
                <w:rFonts w:ascii="Times New Roman" w:hAnsi="Times New Roman"/>
                <w:sz w:val="28"/>
                <w:szCs w:val="28"/>
                <w:shd w:val="clear" w:color="auto" w:fill="FFFFFF"/>
              </w:rPr>
              <w:t>totalizatora</w:t>
            </w:r>
            <w:proofErr w:type="spellEnd"/>
            <w:r w:rsidRPr="00603E2E">
              <w:rPr>
                <w:rFonts w:ascii="Times New Roman" w:hAnsi="Times New Roman"/>
                <w:sz w:val="28"/>
                <w:szCs w:val="28"/>
                <w:shd w:val="clear" w:color="auto" w:fill="FFFFFF"/>
              </w:rPr>
              <w:t xml:space="preserve"> un derībām;</w:t>
            </w:r>
          </w:p>
          <w:p w:rsidR="0028245B" w:rsidRPr="00603E2E" w:rsidRDefault="0028245B" w:rsidP="0028245B">
            <w:pPr>
              <w:pStyle w:val="DefaultParagraphFont1"/>
              <w:numPr>
                <w:ilvl w:val="0"/>
                <w:numId w:val="1"/>
              </w:numPr>
              <w:tabs>
                <w:tab w:val="left" w:pos="268"/>
              </w:tabs>
              <w:ind w:left="0" w:firstLine="0"/>
              <w:jc w:val="both"/>
              <w:rPr>
                <w:rFonts w:ascii="Times New Roman" w:hAnsi="Times New Roman"/>
                <w:sz w:val="28"/>
                <w:szCs w:val="28"/>
              </w:rPr>
            </w:pPr>
            <w:r w:rsidRPr="00603E2E">
              <w:rPr>
                <w:rFonts w:ascii="Times New Roman" w:hAnsi="Times New Roman"/>
                <w:sz w:val="28"/>
                <w:szCs w:val="28"/>
                <w:shd w:val="clear" w:color="auto" w:fill="FFFFFF"/>
              </w:rPr>
              <w:t>interaktīvās kāršu spēles starp spēlētājiem.</w:t>
            </w:r>
          </w:p>
          <w:p w:rsidR="006B253D" w:rsidRPr="00603E2E" w:rsidRDefault="006B253D" w:rsidP="00E96CA3">
            <w:pPr>
              <w:pStyle w:val="DefaultParagraphFont1"/>
              <w:jc w:val="both"/>
              <w:rPr>
                <w:rFonts w:ascii="Times New Roman" w:hAnsi="Times New Roman"/>
                <w:sz w:val="28"/>
                <w:szCs w:val="28"/>
                <w:lang w:eastAsia="lv-LV"/>
              </w:rPr>
            </w:pPr>
            <w:r w:rsidRPr="00603E2E">
              <w:rPr>
                <w:rFonts w:ascii="Times New Roman" w:hAnsi="Times New Roman"/>
                <w:sz w:val="28"/>
                <w:szCs w:val="28"/>
              </w:rPr>
              <w:t>Saskaņā ar Azartspēļu un izložu likuma 44.panta pirmo daļu a</w:t>
            </w:r>
            <w:r w:rsidRPr="00603E2E">
              <w:rPr>
                <w:rFonts w:ascii="Times New Roman" w:hAnsi="Times New Roman"/>
                <w:sz w:val="28"/>
                <w:szCs w:val="28"/>
                <w:shd w:val="clear" w:color="auto" w:fill="FFFFFF"/>
              </w:rPr>
              <w:t xml:space="preserve">r elektronisko sakaru pakalpojumu starpniecību ir atļauts organizēt spēļu automātu spēles, ruletes (cilindriskās spēles), kāršu spēles, kauliņu spēles, </w:t>
            </w:r>
            <w:proofErr w:type="spellStart"/>
            <w:r w:rsidRPr="00603E2E">
              <w:rPr>
                <w:rFonts w:ascii="Times New Roman" w:hAnsi="Times New Roman"/>
                <w:sz w:val="28"/>
                <w:szCs w:val="28"/>
                <w:shd w:val="clear" w:color="auto" w:fill="FFFFFF"/>
              </w:rPr>
              <w:t>bingo</w:t>
            </w:r>
            <w:proofErr w:type="spellEnd"/>
            <w:r w:rsidRPr="00603E2E">
              <w:rPr>
                <w:rFonts w:ascii="Times New Roman" w:hAnsi="Times New Roman"/>
                <w:sz w:val="28"/>
                <w:szCs w:val="28"/>
                <w:shd w:val="clear" w:color="auto" w:fill="FFFFFF"/>
              </w:rPr>
              <w:t xml:space="preserve">, </w:t>
            </w:r>
            <w:proofErr w:type="spellStart"/>
            <w:r w:rsidRPr="00603E2E">
              <w:rPr>
                <w:rFonts w:ascii="Times New Roman" w:hAnsi="Times New Roman"/>
                <w:sz w:val="28"/>
                <w:szCs w:val="28"/>
                <w:shd w:val="clear" w:color="auto" w:fill="FFFFFF"/>
              </w:rPr>
              <w:t>totalizatoru</w:t>
            </w:r>
            <w:proofErr w:type="spellEnd"/>
            <w:r w:rsidRPr="00603E2E">
              <w:rPr>
                <w:rFonts w:ascii="Times New Roman" w:hAnsi="Times New Roman"/>
                <w:sz w:val="28"/>
                <w:szCs w:val="28"/>
                <w:shd w:val="clear" w:color="auto" w:fill="FFFFFF"/>
              </w:rPr>
              <w:t>, derības (turpmāk arī - inter</w:t>
            </w:r>
            <w:r w:rsidRPr="00603E2E">
              <w:rPr>
                <w:rFonts w:ascii="Times New Roman" w:hAnsi="Times New Roman"/>
                <w:sz w:val="28"/>
                <w:szCs w:val="28"/>
                <w:shd w:val="clear" w:color="auto" w:fill="FFFFFF"/>
              </w:rPr>
              <w:softHyphen/>
              <w:t xml:space="preserve">aktīvās azartspēles) un veiksmes spēles pa tālruni. Viens no interaktīvajā vidē organizētajiem kāršu spēles veidiem, kuru neto ieņēmumus azartspēļu organizētājam ziņojumā paredzēts norādīt atsevišķi, ir interaktīvā kāršu spēle starp spēlētājiem. </w:t>
            </w:r>
            <w:r w:rsidRPr="00603E2E">
              <w:rPr>
                <w:rFonts w:ascii="Times New Roman" w:hAnsi="Times New Roman"/>
                <w:sz w:val="28"/>
                <w:szCs w:val="28"/>
                <w:lang w:eastAsia="lv-LV"/>
              </w:rPr>
              <w:t xml:space="preserve">Organizējot interaktīvo </w:t>
            </w:r>
            <w:r w:rsidRPr="00603E2E">
              <w:rPr>
                <w:rFonts w:ascii="Times New Roman" w:hAnsi="Times New Roman"/>
                <w:sz w:val="28"/>
                <w:szCs w:val="28"/>
                <w:shd w:val="clear" w:color="auto" w:fill="FFFFFF"/>
              </w:rPr>
              <w:t>kāršu spēli starp spēlētājiem,</w:t>
            </w:r>
            <w:r w:rsidRPr="00603E2E">
              <w:rPr>
                <w:rFonts w:ascii="Times New Roman" w:hAnsi="Times New Roman"/>
                <w:sz w:val="28"/>
                <w:szCs w:val="28"/>
                <w:lang w:eastAsia="lv-LV"/>
              </w:rPr>
              <w:t xml:space="preserve"> azartspēļu organizētājs nodrošina spēlētājiem iespēju piedalīties šādā kāršu spēlē un spēlēt vienam pret otru.</w:t>
            </w:r>
            <w:r w:rsidRPr="00603E2E">
              <w:rPr>
                <w:rFonts w:ascii="Times New Roman" w:hAnsi="Times New Roman"/>
                <w:sz w:val="28"/>
                <w:szCs w:val="28"/>
                <w:shd w:val="clear" w:color="auto" w:fill="FFFFFF"/>
              </w:rPr>
              <w:t xml:space="preserve"> Interaktīvā kāršu spēle starp spēlētājiem no citiem interaktīvajā vidē organizētajiem azartspēļu veidiem, tai skaitā no citām kāršu spēlēm, atšķiras ar to, ka </w:t>
            </w:r>
            <w:r w:rsidRPr="00603E2E">
              <w:rPr>
                <w:rFonts w:ascii="Times New Roman" w:hAnsi="Times New Roman"/>
                <w:sz w:val="28"/>
                <w:szCs w:val="28"/>
                <w:lang w:eastAsia="lv-LV"/>
              </w:rPr>
              <w:t>azartspēļu organizētāja ieņēmumus no i</w:t>
            </w:r>
            <w:r w:rsidRPr="00603E2E">
              <w:rPr>
                <w:rFonts w:ascii="Times New Roman" w:hAnsi="Times New Roman"/>
                <w:sz w:val="28"/>
                <w:szCs w:val="28"/>
                <w:shd w:val="clear" w:color="auto" w:fill="FFFFFF"/>
              </w:rPr>
              <w:t>nteraktīvās</w:t>
            </w:r>
            <w:r w:rsidRPr="00603E2E">
              <w:rPr>
                <w:rFonts w:ascii="Times New Roman" w:hAnsi="Times New Roman"/>
                <w:sz w:val="28"/>
                <w:szCs w:val="28"/>
                <w:lang w:eastAsia="lv-LV"/>
              </w:rPr>
              <w:t xml:space="preserve"> kāršu spēles starp spēlētājiem veido saņemtā komisijas maksa.</w:t>
            </w:r>
          </w:p>
          <w:p w:rsidR="0028245B" w:rsidRPr="00603E2E" w:rsidRDefault="0028245B" w:rsidP="00E96CA3">
            <w:pPr>
              <w:pStyle w:val="DefaultParagraphFont1"/>
              <w:jc w:val="both"/>
              <w:rPr>
                <w:rFonts w:ascii="Times New Roman" w:hAnsi="Times New Roman"/>
                <w:sz w:val="28"/>
                <w:szCs w:val="28"/>
              </w:rPr>
            </w:pPr>
            <w:r w:rsidRPr="00603E2E">
              <w:rPr>
                <w:rFonts w:ascii="Times New Roman" w:hAnsi="Times New Roman"/>
                <w:sz w:val="28"/>
                <w:szCs w:val="28"/>
              </w:rPr>
              <w:t>Organizējot interaktīvās</w:t>
            </w:r>
            <w:r w:rsidR="000152CD" w:rsidRPr="00603E2E">
              <w:rPr>
                <w:rFonts w:ascii="Times New Roman" w:hAnsi="Times New Roman"/>
                <w:sz w:val="28"/>
                <w:szCs w:val="28"/>
              </w:rPr>
              <w:t xml:space="preserve"> </w:t>
            </w:r>
            <w:r w:rsidRPr="00603E2E">
              <w:rPr>
                <w:rFonts w:ascii="Times New Roman" w:hAnsi="Times New Roman"/>
                <w:sz w:val="28"/>
                <w:szCs w:val="28"/>
              </w:rPr>
              <w:t>azartspēles, azartspēļu organizētājs var izmantot vairākus domēna vārdus. Līdz ar to ziņojumā jāparedz iespēja interaktīvo azartspēļu organizētājam norādīt domēna vārdu skaitu.</w:t>
            </w:r>
          </w:p>
          <w:p w:rsidR="007A022C" w:rsidRPr="00603E2E" w:rsidRDefault="0028245B" w:rsidP="007A022C">
            <w:pPr>
              <w:pStyle w:val="DefaultParagraphFont1"/>
              <w:jc w:val="both"/>
              <w:rPr>
                <w:rFonts w:ascii="Times New Roman" w:hAnsi="Times New Roman"/>
                <w:sz w:val="28"/>
                <w:szCs w:val="28"/>
              </w:rPr>
            </w:pPr>
            <w:r w:rsidRPr="00603E2E">
              <w:rPr>
                <w:rFonts w:ascii="Times New Roman" w:hAnsi="Times New Roman"/>
                <w:sz w:val="28"/>
                <w:szCs w:val="28"/>
              </w:rPr>
              <w:t xml:space="preserve">Tā kā arī </w:t>
            </w:r>
            <w:r w:rsidR="00603E2E" w:rsidRPr="00603E2E">
              <w:rPr>
                <w:rFonts w:ascii="Times New Roman" w:hAnsi="Times New Roman"/>
                <w:sz w:val="28"/>
                <w:szCs w:val="28"/>
              </w:rPr>
              <w:t>loterijas</w:t>
            </w:r>
            <w:r w:rsidRPr="00603E2E">
              <w:rPr>
                <w:rFonts w:ascii="Times New Roman" w:hAnsi="Times New Roman"/>
                <w:sz w:val="28"/>
                <w:szCs w:val="28"/>
              </w:rPr>
              <w:t xml:space="preserve"> biļetes tiek pārdotas internetā, tad arī ziņojumā par izložu organizēšanu papildus jāparedz iespēja iekļaut informāciju par </w:t>
            </w:r>
            <w:r w:rsidR="00BC47CC" w:rsidRPr="00603E2E">
              <w:rPr>
                <w:rFonts w:ascii="Times New Roman" w:hAnsi="Times New Roman"/>
                <w:sz w:val="28"/>
                <w:szCs w:val="28"/>
              </w:rPr>
              <w:t>loterijas</w:t>
            </w:r>
            <w:r w:rsidRPr="00603E2E">
              <w:rPr>
                <w:rFonts w:ascii="Times New Roman" w:hAnsi="Times New Roman"/>
                <w:sz w:val="28"/>
                <w:szCs w:val="28"/>
              </w:rPr>
              <w:t xml:space="preserve"> biļešu realizācijas apjomu interaktīvajā vidē.</w:t>
            </w:r>
          </w:p>
          <w:p w:rsidR="00BC47CC" w:rsidRPr="00603E2E" w:rsidRDefault="007A022C" w:rsidP="007A022C">
            <w:pPr>
              <w:pStyle w:val="DefaultParagraphFont1"/>
              <w:jc w:val="both"/>
              <w:rPr>
                <w:sz w:val="28"/>
                <w:szCs w:val="28"/>
              </w:rPr>
            </w:pPr>
            <w:r w:rsidRPr="00603E2E">
              <w:rPr>
                <w:sz w:val="28"/>
                <w:szCs w:val="28"/>
              </w:rPr>
              <w:t xml:space="preserve">Lai samazinātu administratīvo slogu, noteikumu projektā </w:t>
            </w:r>
            <w:r w:rsidR="009F336F" w:rsidRPr="00603E2E">
              <w:rPr>
                <w:sz w:val="28"/>
                <w:szCs w:val="28"/>
              </w:rPr>
              <w:t>tiek p</w:t>
            </w:r>
            <w:r w:rsidRPr="00603E2E">
              <w:rPr>
                <w:sz w:val="28"/>
                <w:szCs w:val="28"/>
              </w:rPr>
              <w:t>aredz</w:t>
            </w:r>
            <w:r w:rsidR="009F336F" w:rsidRPr="00603E2E">
              <w:rPr>
                <w:sz w:val="28"/>
                <w:szCs w:val="28"/>
              </w:rPr>
              <w:t>ēts</w:t>
            </w:r>
            <w:r w:rsidRPr="00603E2E">
              <w:rPr>
                <w:sz w:val="28"/>
                <w:szCs w:val="28"/>
              </w:rPr>
              <w:t xml:space="preserve">, ka ziņojumā par izložu organizēšanu vairs nebūs jānorāda neto ieņēmumi no katras momentloterijas biļešu realizācijas un no katras skaitļu loterijas biļešu realizācijas. Ziņojumā </w:t>
            </w:r>
            <w:r w:rsidR="00BC47CC" w:rsidRPr="00603E2E">
              <w:rPr>
                <w:sz w:val="28"/>
                <w:szCs w:val="28"/>
              </w:rPr>
              <w:t xml:space="preserve">būs jānorāda kopējie neto ieņēmumi no momentloterijas biļešu realizācijas un kopējie neto ieņēmumi </w:t>
            </w:r>
            <w:r w:rsidR="00BC47CC" w:rsidRPr="00603E2E">
              <w:rPr>
                <w:sz w:val="28"/>
                <w:szCs w:val="28"/>
              </w:rPr>
              <w:lastRenderedPageBreak/>
              <w:t xml:space="preserve">skaitļu loterijas biļešu realizācijas, </w:t>
            </w:r>
            <w:r w:rsidRPr="00603E2E">
              <w:rPr>
                <w:rFonts w:ascii="Times New Roman" w:hAnsi="Times New Roman"/>
                <w:sz w:val="28"/>
                <w:szCs w:val="28"/>
              </w:rPr>
              <w:t>norādot</w:t>
            </w:r>
            <w:r w:rsidR="00586CB6" w:rsidRPr="00603E2E">
              <w:rPr>
                <w:rFonts w:ascii="Times New Roman" w:hAnsi="Times New Roman"/>
                <w:sz w:val="28"/>
                <w:szCs w:val="28"/>
              </w:rPr>
              <w:t xml:space="preserve"> atsevišķi kopējos </w:t>
            </w:r>
            <w:r w:rsidR="00BC47CC" w:rsidRPr="00603E2E">
              <w:rPr>
                <w:rFonts w:ascii="Times New Roman" w:hAnsi="Times New Roman"/>
                <w:sz w:val="28"/>
                <w:szCs w:val="28"/>
              </w:rPr>
              <w:t xml:space="preserve">neto ieņēmumus no </w:t>
            </w:r>
            <w:r w:rsidR="00BC47CC" w:rsidRPr="00603E2E">
              <w:rPr>
                <w:sz w:val="28"/>
                <w:szCs w:val="28"/>
              </w:rPr>
              <w:t>šo loterijas biļešu realizācijas ar elektronisko sakaru starpniecību.</w:t>
            </w:r>
          </w:p>
          <w:p w:rsidR="006802E1" w:rsidRPr="00603E2E" w:rsidRDefault="006802E1" w:rsidP="006802E1">
            <w:pPr>
              <w:jc w:val="both"/>
              <w:rPr>
                <w:sz w:val="28"/>
                <w:szCs w:val="28"/>
              </w:rPr>
            </w:pPr>
            <w:r w:rsidRPr="00603E2E">
              <w:rPr>
                <w:sz w:val="28"/>
                <w:szCs w:val="28"/>
              </w:rPr>
              <w:t>Ministru kabineta 2009.gada 3.februāra noteikumu Nr.108 „</w:t>
            </w:r>
            <w:r w:rsidRPr="00603E2E">
              <w:rPr>
                <w:bCs/>
                <w:sz w:val="28"/>
                <w:szCs w:val="28"/>
              </w:rPr>
              <w:t>Normatīvo aktu projektu sagatavošanas noteikumi</w:t>
            </w:r>
            <w:r w:rsidRPr="00603E2E">
              <w:rPr>
                <w:sz w:val="28"/>
                <w:szCs w:val="28"/>
              </w:rPr>
              <w:t>” 140.punktā noteikts, ka g</w:t>
            </w:r>
            <w:r w:rsidRPr="00603E2E">
              <w:rPr>
                <w:sz w:val="28"/>
                <w:szCs w:val="28"/>
                <w:shd w:val="clear" w:color="auto" w:fill="FFFFFF"/>
              </w:rPr>
              <w:t>rozījumu noteikumu projektu nesagatavo, ja tā normu apjoms pārsniegtu pusi no spēkā esošo noteikumu normu apjoma. Šādā gadījumā sagatavo jaunu noteikumu projektu.</w:t>
            </w:r>
          </w:p>
          <w:p w:rsidR="006802E1" w:rsidRPr="00603E2E" w:rsidRDefault="006802E1" w:rsidP="006802E1">
            <w:pPr>
              <w:pStyle w:val="DefaultParagraphFont1"/>
              <w:jc w:val="both"/>
              <w:rPr>
                <w:rFonts w:ascii="Times New Roman" w:hAnsi="Times New Roman"/>
                <w:sz w:val="28"/>
                <w:szCs w:val="28"/>
              </w:rPr>
            </w:pPr>
            <w:r w:rsidRPr="00603E2E">
              <w:rPr>
                <w:iCs/>
                <w:sz w:val="28"/>
                <w:szCs w:val="28"/>
              </w:rPr>
              <w:t>Ņemot vērā, ka nepieciešamo grozījumu apjoms pārsniegtu pusi no spēkā esošo</w:t>
            </w:r>
            <w:r w:rsidRPr="00603E2E">
              <w:rPr>
                <w:sz w:val="28"/>
                <w:szCs w:val="28"/>
              </w:rPr>
              <w:t xml:space="preserve"> Ministru kabineta 2007.gada 6.februāra noteikumu Nr.96 „Kārtība, kādā iesniedzams ziņojums par azartspēļu un izložu organizēšanu”</w:t>
            </w:r>
            <w:r w:rsidRPr="00603E2E">
              <w:rPr>
                <w:iCs/>
                <w:sz w:val="28"/>
                <w:szCs w:val="28"/>
              </w:rPr>
              <w:t xml:space="preserve"> normu apjoma, sagatavots jauns Ministru kabineta noteikumu projekts </w:t>
            </w:r>
            <w:r w:rsidRPr="00603E2E">
              <w:rPr>
                <w:sz w:val="28"/>
                <w:szCs w:val="28"/>
              </w:rPr>
              <w:t>„Kārtība, kādā iesniedzams ziņojums par azartspēļu un izložu organizēšanu”</w:t>
            </w:r>
            <w:r w:rsidRPr="00603E2E">
              <w:rPr>
                <w:iCs/>
                <w:sz w:val="28"/>
                <w:szCs w:val="28"/>
              </w:rPr>
              <w:t>.</w:t>
            </w:r>
          </w:p>
          <w:p w:rsidR="0028245B" w:rsidRPr="00603E2E" w:rsidRDefault="006C31C4" w:rsidP="00933CB9">
            <w:pPr>
              <w:pStyle w:val="DefaultParagraphFont1"/>
              <w:jc w:val="both"/>
              <w:rPr>
                <w:rFonts w:ascii="Times New Roman" w:hAnsi="Times New Roman"/>
                <w:sz w:val="28"/>
                <w:szCs w:val="28"/>
              </w:rPr>
            </w:pPr>
            <w:r w:rsidRPr="00603E2E">
              <w:rPr>
                <w:rFonts w:ascii="Times New Roman" w:hAnsi="Times New Roman"/>
                <w:sz w:val="28"/>
                <w:szCs w:val="28"/>
              </w:rPr>
              <w:t>Lai tiktu nodrošināts, ka licences saņēmējs ziņojumu par azartspēļu un izložu organizēšanu 2015.gada pirmajā ceturksnī iesniegtu atbilstoši noteikumu projektā ietvertajiem grozījumiem, noteikumu projektā paredzēts, ka noteikumi stāsies spēkā 2015.gada 1.janvārī.</w:t>
            </w:r>
          </w:p>
          <w:p w:rsidR="006802E1" w:rsidRPr="00603E2E" w:rsidRDefault="005F46DC" w:rsidP="005F46DC">
            <w:pPr>
              <w:pStyle w:val="DefaultParagraphFont1"/>
              <w:jc w:val="both"/>
              <w:rPr>
                <w:rFonts w:ascii="Times New Roman" w:hAnsi="Times New Roman"/>
                <w:sz w:val="28"/>
                <w:szCs w:val="28"/>
              </w:rPr>
            </w:pPr>
            <w:r w:rsidRPr="00603E2E">
              <w:rPr>
                <w:sz w:val="28"/>
                <w:szCs w:val="28"/>
                <w:lang w:eastAsia="lv-LV"/>
              </w:rPr>
              <w:t xml:space="preserve">Ar Ministru kabineta noteikumu projekta spēkā stāšanos spēku zaudēs </w:t>
            </w:r>
            <w:r w:rsidRPr="00603E2E">
              <w:rPr>
                <w:sz w:val="28"/>
                <w:szCs w:val="28"/>
              </w:rPr>
              <w:t>Ministru kabineta 2007.gada 6.februāra noteikumi Nr.96 „Kārtība, kādā iesniedzams ziņojums par azartspēļu un izložu organizēšanu”.</w:t>
            </w:r>
          </w:p>
        </w:tc>
      </w:tr>
      <w:tr w:rsidR="00603E2E" w:rsidRPr="00603E2E" w:rsidTr="00E96CA3">
        <w:trPr>
          <w:trHeight w:val="439"/>
        </w:trPr>
        <w:tc>
          <w:tcPr>
            <w:tcW w:w="599" w:type="dxa"/>
          </w:tcPr>
          <w:p w:rsidR="0028245B" w:rsidRPr="00603E2E" w:rsidRDefault="0028245B" w:rsidP="00E96CA3">
            <w:pPr>
              <w:pStyle w:val="naiskr"/>
              <w:spacing w:before="0" w:after="0"/>
              <w:jc w:val="center"/>
              <w:rPr>
                <w:sz w:val="28"/>
                <w:szCs w:val="28"/>
              </w:rPr>
            </w:pPr>
            <w:r w:rsidRPr="00603E2E">
              <w:rPr>
                <w:sz w:val="28"/>
                <w:szCs w:val="28"/>
              </w:rPr>
              <w:lastRenderedPageBreak/>
              <w:t>3.</w:t>
            </w:r>
          </w:p>
        </w:tc>
        <w:tc>
          <w:tcPr>
            <w:tcW w:w="2676" w:type="dxa"/>
          </w:tcPr>
          <w:p w:rsidR="0028245B" w:rsidRPr="00603E2E" w:rsidRDefault="0028245B" w:rsidP="00E96CA3">
            <w:pPr>
              <w:pStyle w:val="naiskr"/>
              <w:spacing w:before="0" w:after="60"/>
              <w:rPr>
                <w:sz w:val="28"/>
                <w:szCs w:val="28"/>
              </w:rPr>
            </w:pPr>
            <w:r w:rsidRPr="00603E2E">
              <w:rPr>
                <w:sz w:val="28"/>
                <w:szCs w:val="28"/>
              </w:rPr>
              <w:t>Projekta izstrādē iesaistītās institūcijas</w:t>
            </w:r>
          </w:p>
        </w:tc>
        <w:tc>
          <w:tcPr>
            <w:tcW w:w="5387" w:type="dxa"/>
          </w:tcPr>
          <w:p w:rsidR="0028245B" w:rsidRPr="00603E2E" w:rsidRDefault="001A4B30" w:rsidP="00E96CA3">
            <w:pPr>
              <w:pStyle w:val="naiskr"/>
              <w:spacing w:before="0" w:after="120"/>
              <w:jc w:val="both"/>
              <w:rPr>
                <w:sz w:val="28"/>
                <w:szCs w:val="28"/>
              </w:rPr>
            </w:pPr>
            <w:r w:rsidRPr="00603E2E">
              <w:rPr>
                <w:sz w:val="28"/>
                <w:szCs w:val="28"/>
              </w:rPr>
              <w:t xml:space="preserve">Finanšu ministrija un </w:t>
            </w:r>
            <w:r w:rsidR="0028245B" w:rsidRPr="00603E2E">
              <w:rPr>
                <w:sz w:val="28"/>
                <w:szCs w:val="28"/>
              </w:rPr>
              <w:t>Izložu un azartspēļu uzraudzības inspekcija.</w:t>
            </w:r>
          </w:p>
        </w:tc>
      </w:tr>
      <w:tr w:rsidR="00603E2E" w:rsidRPr="00603E2E" w:rsidTr="00E96CA3">
        <w:trPr>
          <w:trHeight w:val="234"/>
        </w:trPr>
        <w:tc>
          <w:tcPr>
            <w:tcW w:w="599" w:type="dxa"/>
          </w:tcPr>
          <w:p w:rsidR="0028245B" w:rsidRPr="00603E2E" w:rsidRDefault="0028245B" w:rsidP="00E96CA3">
            <w:pPr>
              <w:pStyle w:val="naiskr"/>
              <w:spacing w:before="0" w:after="0"/>
              <w:jc w:val="center"/>
              <w:rPr>
                <w:sz w:val="28"/>
                <w:szCs w:val="28"/>
              </w:rPr>
            </w:pPr>
            <w:r w:rsidRPr="00603E2E">
              <w:rPr>
                <w:sz w:val="28"/>
                <w:szCs w:val="28"/>
              </w:rPr>
              <w:t>4.</w:t>
            </w:r>
          </w:p>
        </w:tc>
        <w:tc>
          <w:tcPr>
            <w:tcW w:w="2676" w:type="dxa"/>
          </w:tcPr>
          <w:p w:rsidR="0028245B" w:rsidRPr="00603E2E" w:rsidRDefault="0028245B" w:rsidP="00E96CA3">
            <w:pPr>
              <w:pStyle w:val="naiskr"/>
              <w:spacing w:before="0" w:after="0"/>
              <w:rPr>
                <w:sz w:val="28"/>
                <w:szCs w:val="28"/>
              </w:rPr>
            </w:pPr>
            <w:r w:rsidRPr="00603E2E">
              <w:rPr>
                <w:sz w:val="28"/>
                <w:szCs w:val="28"/>
              </w:rPr>
              <w:t>Cita informācija</w:t>
            </w:r>
          </w:p>
        </w:tc>
        <w:tc>
          <w:tcPr>
            <w:tcW w:w="5387" w:type="dxa"/>
          </w:tcPr>
          <w:p w:rsidR="0028245B" w:rsidRPr="00603E2E" w:rsidRDefault="0028245B" w:rsidP="00E96CA3">
            <w:pPr>
              <w:jc w:val="both"/>
              <w:rPr>
                <w:sz w:val="28"/>
                <w:szCs w:val="28"/>
              </w:rPr>
            </w:pPr>
            <w:r w:rsidRPr="00603E2E">
              <w:rPr>
                <w:sz w:val="28"/>
                <w:szCs w:val="28"/>
              </w:rPr>
              <w:t>Nav</w:t>
            </w:r>
            <w:r w:rsidR="001A4B30" w:rsidRPr="00603E2E">
              <w:rPr>
                <w:sz w:val="28"/>
                <w:szCs w:val="28"/>
              </w:rPr>
              <w:t>.</w:t>
            </w:r>
          </w:p>
        </w:tc>
      </w:tr>
    </w:tbl>
    <w:p w:rsidR="0028245B" w:rsidRPr="00603E2E" w:rsidRDefault="0028245B" w:rsidP="0028245B">
      <w:pPr>
        <w:pStyle w:val="naisf"/>
        <w:spacing w:before="0" w:after="0"/>
        <w:ind w:firstLine="0"/>
        <w:rPr>
          <w:sz w:val="28"/>
          <w:szCs w:val="28"/>
        </w:rPr>
      </w:pPr>
    </w:p>
    <w:p w:rsidR="0028245B" w:rsidRPr="00603E2E" w:rsidRDefault="0028245B" w:rsidP="0028245B">
      <w:pPr>
        <w:pStyle w:val="naisf"/>
        <w:spacing w:before="0" w:after="0"/>
        <w:ind w:firstLine="0"/>
        <w:rPr>
          <w:sz w:val="28"/>
          <w:szCs w:val="28"/>
        </w:rPr>
      </w:pP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
        <w:gridCol w:w="599"/>
        <w:gridCol w:w="2635"/>
        <w:gridCol w:w="5600"/>
        <w:gridCol w:w="18"/>
      </w:tblGrid>
      <w:tr w:rsidR="00603E2E" w:rsidRPr="00603E2E" w:rsidTr="00E96CA3">
        <w:trPr>
          <w:gridAfter w:val="1"/>
          <w:wAfter w:w="18" w:type="dxa"/>
          <w:trHeight w:val="577"/>
          <w:jc w:val="center"/>
        </w:trPr>
        <w:tc>
          <w:tcPr>
            <w:tcW w:w="8851" w:type="dxa"/>
            <w:gridSpan w:val="4"/>
          </w:tcPr>
          <w:p w:rsidR="0028245B" w:rsidRPr="00603E2E" w:rsidRDefault="0028245B" w:rsidP="00E96CA3">
            <w:pPr>
              <w:pStyle w:val="naisnod"/>
              <w:spacing w:before="0" w:after="60"/>
              <w:rPr>
                <w:sz w:val="28"/>
                <w:szCs w:val="28"/>
              </w:rPr>
            </w:pPr>
            <w:r w:rsidRPr="00603E2E">
              <w:rPr>
                <w:sz w:val="28"/>
                <w:szCs w:val="28"/>
              </w:rPr>
              <w:t>II.</w:t>
            </w:r>
            <w:r w:rsidRPr="00603E2E">
              <w:rPr>
                <w:bCs w:val="0"/>
                <w:sz w:val="28"/>
                <w:szCs w:val="28"/>
              </w:rPr>
              <w:t xml:space="preserve"> Tiesību akta projekta ietekme uz sabiedrību, tautsaimniecības attīstību un administratīvo slogu</w:t>
            </w:r>
          </w:p>
        </w:tc>
      </w:tr>
      <w:tr w:rsidR="00603E2E" w:rsidRPr="00603E2E" w:rsidTr="00E96CA3">
        <w:trPr>
          <w:gridBefore w:val="1"/>
          <w:wBefore w:w="17" w:type="dxa"/>
          <w:trHeight w:val="794"/>
          <w:jc w:val="center"/>
        </w:trPr>
        <w:tc>
          <w:tcPr>
            <w:tcW w:w="599" w:type="dxa"/>
          </w:tcPr>
          <w:p w:rsidR="0028245B" w:rsidRPr="00603E2E" w:rsidRDefault="0028245B" w:rsidP="00E96CA3">
            <w:pPr>
              <w:pStyle w:val="naiskr"/>
              <w:tabs>
                <w:tab w:val="left" w:pos="2628"/>
              </w:tabs>
              <w:spacing w:before="0" w:after="0"/>
              <w:jc w:val="center"/>
              <w:rPr>
                <w:iCs/>
                <w:sz w:val="28"/>
                <w:szCs w:val="28"/>
              </w:rPr>
            </w:pPr>
            <w:r w:rsidRPr="00603E2E">
              <w:rPr>
                <w:iCs/>
                <w:sz w:val="28"/>
                <w:szCs w:val="28"/>
              </w:rPr>
              <w:t>1.</w:t>
            </w:r>
          </w:p>
        </w:tc>
        <w:tc>
          <w:tcPr>
            <w:tcW w:w="2635" w:type="dxa"/>
          </w:tcPr>
          <w:p w:rsidR="0028245B" w:rsidRPr="00603E2E" w:rsidRDefault="0028245B" w:rsidP="00E96CA3">
            <w:pPr>
              <w:pStyle w:val="naiskr"/>
              <w:spacing w:before="0" w:after="0"/>
              <w:rPr>
                <w:iCs/>
                <w:sz w:val="28"/>
                <w:szCs w:val="28"/>
              </w:rPr>
            </w:pPr>
            <w:r w:rsidRPr="00603E2E">
              <w:rPr>
                <w:sz w:val="28"/>
                <w:szCs w:val="28"/>
              </w:rPr>
              <w:t xml:space="preserve">Sabiedrības </w:t>
            </w:r>
            <w:proofErr w:type="spellStart"/>
            <w:r w:rsidRPr="00603E2E">
              <w:rPr>
                <w:sz w:val="28"/>
                <w:szCs w:val="28"/>
              </w:rPr>
              <w:t>mērķgrupas</w:t>
            </w:r>
            <w:proofErr w:type="spellEnd"/>
            <w:r w:rsidRPr="00603E2E">
              <w:rPr>
                <w:sz w:val="28"/>
                <w:szCs w:val="28"/>
              </w:rPr>
              <w:t>, kuras tiesiskais regulējums ietekmē vai varētu ietekmēt</w:t>
            </w:r>
          </w:p>
        </w:tc>
        <w:tc>
          <w:tcPr>
            <w:tcW w:w="5618" w:type="dxa"/>
            <w:gridSpan w:val="2"/>
          </w:tcPr>
          <w:p w:rsidR="0028245B" w:rsidRPr="00603E2E" w:rsidRDefault="0028245B" w:rsidP="00E96CA3">
            <w:pPr>
              <w:pStyle w:val="naiskr"/>
              <w:tabs>
                <w:tab w:val="left" w:pos="360"/>
              </w:tabs>
              <w:spacing w:before="0" w:after="0"/>
              <w:jc w:val="both"/>
              <w:rPr>
                <w:sz w:val="28"/>
                <w:szCs w:val="28"/>
              </w:rPr>
            </w:pPr>
            <w:r w:rsidRPr="00603E2E">
              <w:rPr>
                <w:sz w:val="28"/>
                <w:szCs w:val="28"/>
              </w:rPr>
              <w:t xml:space="preserve">Kapitālsabiedrības, kas organizē azartspēles. Latvijā šobrīd ir 17 šādi azartspēļu organizētāji un VAS „Latvijas Loto”. </w:t>
            </w:r>
          </w:p>
        </w:tc>
      </w:tr>
      <w:tr w:rsidR="00603E2E" w:rsidRPr="00603E2E" w:rsidTr="00E96CA3">
        <w:trPr>
          <w:gridBefore w:val="1"/>
          <w:wBefore w:w="17" w:type="dxa"/>
          <w:trHeight w:val="794"/>
          <w:jc w:val="center"/>
        </w:trPr>
        <w:tc>
          <w:tcPr>
            <w:tcW w:w="599" w:type="dxa"/>
          </w:tcPr>
          <w:p w:rsidR="0028245B" w:rsidRPr="00603E2E" w:rsidRDefault="0028245B" w:rsidP="00E96CA3">
            <w:pPr>
              <w:pStyle w:val="naiskr"/>
              <w:tabs>
                <w:tab w:val="left" w:pos="2628"/>
              </w:tabs>
              <w:spacing w:before="0" w:after="0"/>
              <w:jc w:val="center"/>
              <w:rPr>
                <w:iCs/>
                <w:sz w:val="28"/>
                <w:szCs w:val="28"/>
              </w:rPr>
            </w:pPr>
            <w:r w:rsidRPr="00603E2E">
              <w:rPr>
                <w:iCs/>
                <w:sz w:val="28"/>
                <w:szCs w:val="28"/>
              </w:rPr>
              <w:lastRenderedPageBreak/>
              <w:t>2.</w:t>
            </w:r>
          </w:p>
        </w:tc>
        <w:tc>
          <w:tcPr>
            <w:tcW w:w="2635" w:type="dxa"/>
          </w:tcPr>
          <w:p w:rsidR="0028245B" w:rsidRPr="00603E2E" w:rsidRDefault="0028245B" w:rsidP="00E96CA3">
            <w:pPr>
              <w:pStyle w:val="naiskr"/>
              <w:spacing w:before="0" w:after="0"/>
              <w:rPr>
                <w:sz w:val="28"/>
                <w:szCs w:val="28"/>
              </w:rPr>
            </w:pPr>
            <w:r w:rsidRPr="00603E2E">
              <w:rPr>
                <w:sz w:val="28"/>
                <w:szCs w:val="28"/>
              </w:rPr>
              <w:t>Tiesiskā regulējuma ietekme uz tautsaimniecību un administratīvo slogu</w:t>
            </w:r>
          </w:p>
        </w:tc>
        <w:tc>
          <w:tcPr>
            <w:tcW w:w="5618" w:type="dxa"/>
            <w:gridSpan w:val="2"/>
          </w:tcPr>
          <w:p w:rsidR="00FF79E7" w:rsidRPr="00603E2E" w:rsidRDefault="007B6204" w:rsidP="007B6204">
            <w:pPr>
              <w:pStyle w:val="naiskr"/>
              <w:tabs>
                <w:tab w:val="left" w:pos="283"/>
              </w:tabs>
              <w:spacing w:before="0" w:after="0"/>
              <w:jc w:val="both"/>
              <w:rPr>
                <w:sz w:val="28"/>
                <w:szCs w:val="28"/>
              </w:rPr>
            </w:pPr>
            <w:r w:rsidRPr="00603E2E">
              <w:rPr>
                <w:sz w:val="28"/>
                <w:szCs w:val="28"/>
              </w:rPr>
              <w:t>Ar noteikumu projektu paredzēts pilnveidot</w:t>
            </w:r>
            <w:r w:rsidR="0028245B" w:rsidRPr="00603E2E">
              <w:rPr>
                <w:sz w:val="28"/>
                <w:szCs w:val="28"/>
              </w:rPr>
              <w:t xml:space="preserve"> </w:t>
            </w:r>
            <w:r w:rsidRPr="00603E2E">
              <w:rPr>
                <w:sz w:val="28"/>
                <w:szCs w:val="28"/>
              </w:rPr>
              <w:t xml:space="preserve">šobrīd spēkā esošajos Ministru kabineta 2007.gada 6.februāra noteikumos Nr.96 „Kārtība, kādā iesniedzams ziņojums par azartspēļu un izložu organizēšanu” noteikto </w:t>
            </w:r>
            <w:r w:rsidR="005C4E0D" w:rsidRPr="00603E2E">
              <w:rPr>
                <w:sz w:val="28"/>
                <w:szCs w:val="28"/>
              </w:rPr>
              <w:t>ziņojumu</w:t>
            </w:r>
            <w:r w:rsidRPr="00603E2E">
              <w:rPr>
                <w:sz w:val="28"/>
                <w:szCs w:val="28"/>
              </w:rPr>
              <w:t xml:space="preserve"> iesniegšanas kārtību</w:t>
            </w:r>
            <w:r w:rsidR="0028245B" w:rsidRPr="00603E2E">
              <w:rPr>
                <w:sz w:val="28"/>
                <w:szCs w:val="28"/>
              </w:rPr>
              <w:t xml:space="preserve"> Izložu un aza</w:t>
            </w:r>
            <w:r w:rsidRPr="00603E2E">
              <w:rPr>
                <w:sz w:val="28"/>
                <w:szCs w:val="28"/>
              </w:rPr>
              <w:t>rtspēļu uzraudzības inspekcijai, tādējādi tiesiskais regulējums administratīvo slogu nepalielina.</w:t>
            </w:r>
          </w:p>
          <w:p w:rsidR="00845625" w:rsidRPr="00603E2E" w:rsidRDefault="00586CB6" w:rsidP="00586CB6">
            <w:pPr>
              <w:pStyle w:val="naiskr"/>
              <w:tabs>
                <w:tab w:val="left" w:pos="283"/>
              </w:tabs>
              <w:spacing w:before="0" w:after="0"/>
              <w:jc w:val="both"/>
              <w:rPr>
                <w:sz w:val="28"/>
                <w:szCs w:val="28"/>
              </w:rPr>
            </w:pPr>
            <w:r w:rsidRPr="00603E2E">
              <w:rPr>
                <w:sz w:val="28"/>
                <w:szCs w:val="28"/>
              </w:rPr>
              <w:t>Izložu organizētājiem t</w:t>
            </w:r>
            <w:r w:rsidR="00B35AAD" w:rsidRPr="00603E2E">
              <w:rPr>
                <w:sz w:val="28"/>
                <w:szCs w:val="28"/>
              </w:rPr>
              <w:t xml:space="preserve">iks samazināts administratīvais slogs, jo ziņojumā par izložu organizēšanu vairs nebūs jānorāda neto ieņēmumi no katras momentloterijas biļešu realizācijas un no katras skaitļu loterijas biļešu realizācijas, bet būs jānorāda kopējie neto ieņēmumi no momentloterijas biļešu realizācijas un kopējie neto ieņēmumi skaitļu loterijas biļešu realizācijas,  </w:t>
            </w:r>
            <w:r w:rsidR="007A022C" w:rsidRPr="00603E2E">
              <w:rPr>
                <w:sz w:val="28"/>
                <w:szCs w:val="28"/>
              </w:rPr>
              <w:t>norādot</w:t>
            </w:r>
            <w:r w:rsidRPr="00603E2E">
              <w:rPr>
                <w:sz w:val="28"/>
                <w:szCs w:val="28"/>
              </w:rPr>
              <w:t xml:space="preserve"> atsevišķi</w:t>
            </w:r>
            <w:r w:rsidR="00B35AAD" w:rsidRPr="00603E2E">
              <w:rPr>
                <w:sz w:val="28"/>
                <w:szCs w:val="28"/>
              </w:rPr>
              <w:t xml:space="preserve"> </w:t>
            </w:r>
            <w:r w:rsidRPr="00603E2E">
              <w:rPr>
                <w:sz w:val="28"/>
                <w:szCs w:val="28"/>
              </w:rPr>
              <w:t xml:space="preserve">kopējos </w:t>
            </w:r>
            <w:r w:rsidR="00B35AAD" w:rsidRPr="00603E2E">
              <w:rPr>
                <w:sz w:val="28"/>
                <w:szCs w:val="28"/>
              </w:rPr>
              <w:t>neto ieņēmumus no šo loterijas biļešu realizācijas ar elektronisko sakaru starpniecību.</w:t>
            </w:r>
          </w:p>
        </w:tc>
      </w:tr>
      <w:tr w:rsidR="00603E2E" w:rsidRPr="00603E2E" w:rsidTr="00E96CA3">
        <w:trPr>
          <w:gridBefore w:val="1"/>
          <w:wBefore w:w="17" w:type="dxa"/>
          <w:trHeight w:val="520"/>
          <w:jc w:val="center"/>
        </w:trPr>
        <w:tc>
          <w:tcPr>
            <w:tcW w:w="599" w:type="dxa"/>
          </w:tcPr>
          <w:p w:rsidR="0028245B" w:rsidRPr="00603E2E" w:rsidRDefault="0028245B" w:rsidP="00E96CA3">
            <w:pPr>
              <w:pStyle w:val="naiskr"/>
              <w:tabs>
                <w:tab w:val="left" w:pos="2628"/>
              </w:tabs>
              <w:spacing w:before="0" w:after="0"/>
              <w:jc w:val="center"/>
              <w:rPr>
                <w:iCs/>
                <w:sz w:val="28"/>
                <w:szCs w:val="28"/>
              </w:rPr>
            </w:pPr>
            <w:r w:rsidRPr="00603E2E">
              <w:rPr>
                <w:iCs/>
                <w:sz w:val="28"/>
                <w:szCs w:val="28"/>
              </w:rPr>
              <w:t>3.</w:t>
            </w:r>
          </w:p>
        </w:tc>
        <w:tc>
          <w:tcPr>
            <w:tcW w:w="2635" w:type="dxa"/>
          </w:tcPr>
          <w:p w:rsidR="0028245B" w:rsidRPr="00603E2E" w:rsidRDefault="0028245B" w:rsidP="00E96CA3">
            <w:pPr>
              <w:pStyle w:val="naiskr"/>
              <w:tabs>
                <w:tab w:val="left" w:pos="2628"/>
              </w:tabs>
              <w:spacing w:before="0" w:after="0"/>
              <w:rPr>
                <w:iCs/>
                <w:sz w:val="28"/>
                <w:szCs w:val="28"/>
              </w:rPr>
            </w:pPr>
            <w:r w:rsidRPr="00603E2E">
              <w:rPr>
                <w:sz w:val="28"/>
                <w:szCs w:val="28"/>
              </w:rPr>
              <w:t>Administratīvo izmaksu monetārs novērtējums</w:t>
            </w:r>
          </w:p>
        </w:tc>
        <w:tc>
          <w:tcPr>
            <w:tcW w:w="5618" w:type="dxa"/>
            <w:gridSpan w:val="2"/>
          </w:tcPr>
          <w:p w:rsidR="0028245B" w:rsidRPr="00603E2E" w:rsidRDefault="0028245B" w:rsidP="00E96CA3">
            <w:pPr>
              <w:pStyle w:val="naiskr"/>
              <w:tabs>
                <w:tab w:val="left" w:pos="2628"/>
              </w:tabs>
              <w:spacing w:before="0" w:after="120"/>
              <w:jc w:val="both"/>
              <w:rPr>
                <w:iCs/>
                <w:sz w:val="28"/>
                <w:szCs w:val="28"/>
              </w:rPr>
            </w:pPr>
            <w:r w:rsidRPr="00603E2E">
              <w:rPr>
                <w:iCs/>
                <w:sz w:val="28"/>
                <w:szCs w:val="28"/>
              </w:rPr>
              <w:t>Projekts šo jomu neskar.</w:t>
            </w:r>
          </w:p>
        </w:tc>
      </w:tr>
      <w:tr w:rsidR="0028245B" w:rsidRPr="00603E2E" w:rsidTr="00E96CA3">
        <w:trPr>
          <w:gridBefore w:val="1"/>
          <w:wBefore w:w="17" w:type="dxa"/>
          <w:trHeight w:val="390"/>
          <w:jc w:val="center"/>
        </w:trPr>
        <w:tc>
          <w:tcPr>
            <w:tcW w:w="599" w:type="dxa"/>
          </w:tcPr>
          <w:p w:rsidR="0028245B" w:rsidRPr="00603E2E" w:rsidRDefault="0028245B" w:rsidP="00E96CA3">
            <w:pPr>
              <w:pStyle w:val="naiskr"/>
              <w:tabs>
                <w:tab w:val="left" w:pos="2628"/>
              </w:tabs>
              <w:spacing w:before="0" w:after="0"/>
              <w:jc w:val="center"/>
              <w:rPr>
                <w:iCs/>
                <w:sz w:val="28"/>
                <w:szCs w:val="28"/>
              </w:rPr>
            </w:pPr>
            <w:r w:rsidRPr="00603E2E">
              <w:rPr>
                <w:iCs/>
                <w:sz w:val="28"/>
                <w:szCs w:val="28"/>
              </w:rPr>
              <w:t>4.</w:t>
            </w:r>
          </w:p>
        </w:tc>
        <w:tc>
          <w:tcPr>
            <w:tcW w:w="2635" w:type="dxa"/>
          </w:tcPr>
          <w:p w:rsidR="0028245B" w:rsidRPr="00603E2E" w:rsidRDefault="0028245B" w:rsidP="00E96CA3">
            <w:pPr>
              <w:pStyle w:val="naiskr"/>
              <w:tabs>
                <w:tab w:val="left" w:pos="2628"/>
              </w:tabs>
              <w:spacing w:before="0" w:after="0"/>
              <w:rPr>
                <w:sz w:val="28"/>
                <w:szCs w:val="28"/>
              </w:rPr>
            </w:pPr>
            <w:r w:rsidRPr="00603E2E">
              <w:rPr>
                <w:sz w:val="28"/>
                <w:szCs w:val="28"/>
              </w:rPr>
              <w:t>Cita informācija</w:t>
            </w:r>
          </w:p>
        </w:tc>
        <w:tc>
          <w:tcPr>
            <w:tcW w:w="5618" w:type="dxa"/>
            <w:gridSpan w:val="2"/>
          </w:tcPr>
          <w:p w:rsidR="0028245B" w:rsidRPr="00603E2E" w:rsidRDefault="0028245B" w:rsidP="00E96CA3">
            <w:pPr>
              <w:pStyle w:val="naiskr"/>
              <w:tabs>
                <w:tab w:val="left" w:pos="2628"/>
              </w:tabs>
              <w:spacing w:before="0" w:after="120"/>
              <w:jc w:val="both"/>
              <w:rPr>
                <w:sz w:val="28"/>
                <w:szCs w:val="28"/>
              </w:rPr>
            </w:pPr>
            <w:r w:rsidRPr="00603E2E">
              <w:rPr>
                <w:sz w:val="28"/>
                <w:szCs w:val="28"/>
              </w:rPr>
              <w:t>Nav.</w:t>
            </w:r>
          </w:p>
        </w:tc>
      </w:tr>
    </w:tbl>
    <w:p w:rsidR="0028245B" w:rsidRPr="00603E2E" w:rsidRDefault="0028245B" w:rsidP="0028245B">
      <w:pPr>
        <w:pStyle w:val="naisf"/>
        <w:spacing w:before="0" w:after="0"/>
        <w:ind w:firstLine="0"/>
        <w:rPr>
          <w:sz w:val="28"/>
          <w:szCs w:val="28"/>
        </w:rPr>
      </w:pPr>
    </w:p>
    <w:p w:rsidR="0028245B" w:rsidRPr="00603E2E" w:rsidRDefault="0028245B" w:rsidP="0028245B">
      <w:pPr>
        <w:pStyle w:val="naisf"/>
        <w:spacing w:before="0" w:after="0"/>
        <w:ind w:firstLine="0"/>
        <w:rPr>
          <w:sz w:val="28"/>
          <w:szCs w:val="28"/>
        </w:rPr>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25"/>
        <w:gridCol w:w="2552"/>
        <w:gridCol w:w="5721"/>
      </w:tblGrid>
      <w:tr w:rsidR="00603E2E" w:rsidRPr="00603E2E" w:rsidTr="00E96CA3">
        <w:trPr>
          <w:jc w:val="center"/>
        </w:trPr>
        <w:tc>
          <w:tcPr>
            <w:tcW w:w="8998" w:type="dxa"/>
            <w:gridSpan w:val="3"/>
          </w:tcPr>
          <w:p w:rsidR="0028245B" w:rsidRPr="00603E2E" w:rsidRDefault="0028245B" w:rsidP="00E96CA3">
            <w:pPr>
              <w:pStyle w:val="naisnod"/>
              <w:spacing w:before="0" w:after="60"/>
              <w:rPr>
                <w:sz w:val="28"/>
                <w:szCs w:val="28"/>
              </w:rPr>
            </w:pPr>
            <w:r w:rsidRPr="00603E2E">
              <w:rPr>
                <w:sz w:val="28"/>
                <w:szCs w:val="28"/>
              </w:rPr>
              <w:t xml:space="preserve">VI. </w:t>
            </w:r>
            <w:r w:rsidRPr="00603E2E">
              <w:rPr>
                <w:bCs w:val="0"/>
                <w:sz w:val="28"/>
                <w:szCs w:val="28"/>
              </w:rPr>
              <w:t>Sabiedrības līdzdalība un komunikācijas aktivitātes</w:t>
            </w:r>
          </w:p>
        </w:tc>
      </w:tr>
      <w:tr w:rsidR="00603E2E" w:rsidRPr="00603E2E" w:rsidTr="00E96CA3">
        <w:trPr>
          <w:jc w:val="center"/>
        </w:trPr>
        <w:tc>
          <w:tcPr>
            <w:tcW w:w="725" w:type="dxa"/>
          </w:tcPr>
          <w:p w:rsidR="0028245B" w:rsidRPr="00603E2E" w:rsidRDefault="0028245B" w:rsidP="00E96CA3">
            <w:pPr>
              <w:pStyle w:val="naiskr"/>
              <w:tabs>
                <w:tab w:val="left" w:pos="2628"/>
              </w:tabs>
              <w:spacing w:before="0" w:after="0"/>
              <w:jc w:val="center"/>
              <w:rPr>
                <w:iCs/>
                <w:sz w:val="28"/>
                <w:szCs w:val="28"/>
              </w:rPr>
            </w:pPr>
            <w:r w:rsidRPr="00603E2E">
              <w:rPr>
                <w:iCs/>
                <w:sz w:val="28"/>
                <w:szCs w:val="28"/>
              </w:rPr>
              <w:t>1.</w:t>
            </w:r>
          </w:p>
        </w:tc>
        <w:tc>
          <w:tcPr>
            <w:tcW w:w="2552" w:type="dxa"/>
          </w:tcPr>
          <w:p w:rsidR="0028245B" w:rsidRPr="00603E2E" w:rsidRDefault="0028245B" w:rsidP="00E96CA3">
            <w:pPr>
              <w:pStyle w:val="naiskr"/>
              <w:tabs>
                <w:tab w:val="left" w:pos="2628"/>
              </w:tabs>
              <w:spacing w:before="0" w:after="60"/>
              <w:rPr>
                <w:iCs/>
                <w:sz w:val="28"/>
                <w:szCs w:val="28"/>
              </w:rPr>
            </w:pPr>
            <w:r w:rsidRPr="00603E2E">
              <w:rPr>
                <w:sz w:val="28"/>
                <w:szCs w:val="28"/>
              </w:rPr>
              <w:t>Plānotās sabiedrības līdzdalības un komunikācijas aktivitātes saistībā ar projektu</w:t>
            </w:r>
          </w:p>
        </w:tc>
        <w:tc>
          <w:tcPr>
            <w:tcW w:w="5721" w:type="dxa"/>
          </w:tcPr>
          <w:p w:rsidR="003A7DEF" w:rsidRPr="00603E2E" w:rsidRDefault="00195A4D" w:rsidP="00EE3175">
            <w:pPr>
              <w:pStyle w:val="naiskr"/>
              <w:tabs>
                <w:tab w:val="left" w:pos="2628"/>
              </w:tabs>
              <w:spacing w:before="0" w:after="120"/>
              <w:jc w:val="both"/>
              <w:rPr>
                <w:sz w:val="28"/>
                <w:szCs w:val="28"/>
              </w:rPr>
            </w:pPr>
            <w:r w:rsidRPr="00603E2E">
              <w:rPr>
                <w:sz w:val="28"/>
                <w:szCs w:val="28"/>
              </w:rPr>
              <w:t>Sabiedrības informēšanai projekts publicēts Finanšu ministrijas mājaslapā internetā sadaļā Sabiedrības līdzdalība.</w:t>
            </w:r>
            <w:r w:rsidR="003A7DEF" w:rsidRPr="00603E2E">
              <w:rPr>
                <w:sz w:val="28"/>
                <w:szCs w:val="28"/>
              </w:rPr>
              <w:t xml:space="preserve"> </w:t>
            </w:r>
          </w:p>
          <w:p w:rsidR="0028245B" w:rsidRPr="00603E2E" w:rsidRDefault="0028245B" w:rsidP="00EE3175">
            <w:pPr>
              <w:pStyle w:val="naiskr"/>
              <w:tabs>
                <w:tab w:val="left" w:pos="2628"/>
              </w:tabs>
              <w:spacing w:before="0" w:after="120"/>
              <w:jc w:val="both"/>
              <w:rPr>
                <w:iCs/>
                <w:sz w:val="28"/>
                <w:szCs w:val="28"/>
              </w:rPr>
            </w:pPr>
          </w:p>
        </w:tc>
      </w:tr>
      <w:tr w:rsidR="00603E2E" w:rsidRPr="00603E2E" w:rsidTr="00E96CA3">
        <w:trPr>
          <w:jc w:val="center"/>
        </w:trPr>
        <w:tc>
          <w:tcPr>
            <w:tcW w:w="725" w:type="dxa"/>
          </w:tcPr>
          <w:p w:rsidR="0028245B" w:rsidRPr="00603E2E" w:rsidRDefault="0028245B" w:rsidP="00E96CA3">
            <w:pPr>
              <w:pStyle w:val="naiskr"/>
              <w:tabs>
                <w:tab w:val="left" w:pos="2628"/>
              </w:tabs>
              <w:spacing w:before="0" w:after="0"/>
              <w:jc w:val="center"/>
              <w:rPr>
                <w:iCs/>
                <w:sz w:val="28"/>
                <w:szCs w:val="28"/>
              </w:rPr>
            </w:pPr>
            <w:r w:rsidRPr="00603E2E">
              <w:rPr>
                <w:iCs/>
                <w:sz w:val="28"/>
                <w:szCs w:val="28"/>
              </w:rPr>
              <w:t>2.</w:t>
            </w:r>
          </w:p>
        </w:tc>
        <w:tc>
          <w:tcPr>
            <w:tcW w:w="2552" w:type="dxa"/>
          </w:tcPr>
          <w:p w:rsidR="0028245B" w:rsidRPr="00603E2E" w:rsidRDefault="0028245B" w:rsidP="00E96CA3">
            <w:pPr>
              <w:pStyle w:val="naiskr"/>
              <w:tabs>
                <w:tab w:val="left" w:pos="2628"/>
              </w:tabs>
              <w:spacing w:before="0" w:after="0"/>
              <w:rPr>
                <w:sz w:val="28"/>
                <w:szCs w:val="28"/>
              </w:rPr>
            </w:pPr>
            <w:r w:rsidRPr="00603E2E">
              <w:rPr>
                <w:sz w:val="28"/>
                <w:szCs w:val="28"/>
              </w:rPr>
              <w:t>Sabiedrības līdzdalība projekta izstrādē</w:t>
            </w:r>
          </w:p>
        </w:tc>
        <w:tc>
          <w:tcPr>
            <w:tcW w:w="5721" w:type="dxa"/>
          </w:tcPr>
          <w:p w:rsidR="0028245B" w:rsidRPr="00603E2E" w:rsidRDefault="003A7DEF">
            <w:pPr>
              <w:jc w:val="both"/>
              <w:rPr>
                <w:sz w:val="28"/>
                <w:szCs w:val="28"/>
              </w:rPr>
            </w:pPr>
            <w:r w:rsidRPr="00603E2E">
              <w:rPr>
                <w:sz w:val="28"/>
                <w:szCs w:val="28"/>
              </w:rPr>
              <w:t>Projekts sask</w:t>
            </w:r>
            <w:r w:rsidR="00E12A92" w:rsidRPr="00603E2E">
              <w:rPr>
                <w:sz w:val="28"/>
                <w:szCs w:val="28"/>
              </w:rPr>
              <w:t>aņojams</w:t>
            </w:r>
            <w:r w:rsidRPr="00603E2E">
              <w:rPr>
                <w:sz w:val="28"/>
                <w:szCs w:val="28"/>
              </w:rPr>
              <w:t xml:space="preserve"> ar Latvijas Darba devēju konfederāciju.</w:t>
            </w:r>
          </w:p>
        </w:tc>
      </w:tr>
      <w:tr w:rsidR="00603E2E" w:rsidRPr="00603E2E" w:rsidTr="00E96CA3">
        <w:trPr>
          <w:jc w:val="center"/>
        </w:trPr>
        <w:tc>
          <w:tcPr>
            <w:tcW w:w="725" w:type="dxa"/>
          </w:tcPr>
          <w:p w:rsidR="0028245B" w:rsidRPr="00603E2E" w:rsidRDefault="0028245B" w:rsidP="00E96CA3">
            <w:pPr>
              <w:pStyle w:val="naiskr"/>
              <w:tabs>
                <w:tab w:val="left" w:pos="2628"/>
              </w:tabs>
              <w:spacing w:before="0" w:after="0"/>
              <w:jc w:val="center"/>
              <w:rPr>
                <w:iCs/>
                <w:sz w:val="28"/>
                <w:szCs w:val="28"/>
              </w:rPr>
            </w:pPr>
            <w:r w:rsidRPr="00603E2E">
              <w:rPr>
                <w:iCs/>
                <w:sz w:val="28"/>
                <w:szCs w:val="28"/>
              </w:rPr>
              <w:t>3.</w:t>
            </w:r>
          </w:p>
        </w:tc>
        <w:tc>
          <w:tcPr>
            <w:tcW w:w="2552" w:type="dxa"/>
          </w:tcPr>
          <w:p w:rsidR="0028245B" w:rsidRPr="00603E2E" w:rsidRDefault="0028245B" w:rsidP="00E96CA3">
            <w:pPr>
              <w:pStyle w:val="naiskr"/>
              <w:tabs>
                <w:tab w:val="left" w:pos="2628"/>
              </w:tabs>
              <w:spacing w:before="0" w:after="120"/>
              <w:rPr>
                <w:iCs/>
                <w:sz w:val="28"/>
                <w:szCs w:val="28"/>
              </w:rPr>
            </w:pPr>
            <w:r w:rsidRPr="00603E2E">
              <w:rPr>
                <w:sz w:val="28"/>
                <w:szCs w:val="28"/>
              </w:rPr>
              <w:t>Sabiedrības līdzdalības rezultāti</w:t>
            </w:r>
          </w:p>
        </w:tc>
        <w:tc>
          <w:tcPr>
            <w:tcW w:w="5721" w:type="dxa"/>
          </w:tcPr>
          <w:p w:rsidR="0028245B" w:rsidRPr="00603E2E" w:rsidRDefault="00E12A92" w:rsidP="00281810">
            <w:pPr>
              <w:pStyle w:val="naiskr"/>
              <w:tabs>
                <w:tab w:val="left" w:pos="2628"/>
              </w:tabs>
              <w:spacing w:before="0" w:after="120"/>
              <w:jc w:val="both"/>
              <w:rPr>
                <w:iCs/>
                <w:sz w:val="28"/>
                <w:szCs w:val="28"/>
              </w:rPr>
            </w:pPr>
            <w:r w:rsidRPr="00603E2E">
              <w:rPr>
                <w:sz w:val="28"/>
                <w:szCs w:val="28"/>
              </w:rPr>
              <w:t>Projekts sask</w:t>
            </w:r>
            <w:r w:rsidR="00281810">
              <w:rPr>
                <w:sz w:val="28"/>
                <w:szCs w:val="28"/>
              </w:rPr>
              <w:t>a</w:t>
            </w:r>
            <w:r w:rsidRPr="00603E2E">
              <w:rPr>
                <w:sz w:val="28"/>
                <w:szCs w:val="28"/>
              </w:rPr>
              <w:t>ņots ar Latvijas Darba devēju konfederāciju.</w:t>
            </w:r>
          </w:p>
        </w:tc>
      </w:tr>
      <w:tr w:rsidR="0028245B" w:rsidRPr="00603E2E" w:rsidTr="00E96CA3">
        <w:trPr>
          <w:jc w:val="center"/>
        </w:trPr>
        <w:tc>
          <w:tcPr>
            <w:tcW w:w="725" w:type="dxa"/>
          </w:tcPr>
          <w:p w:rsidR="0028245B" w:rsidRPr="00603E2E" w:rsidRDefault="0028245B" w:rsidP="00E96CA3">
            <w:pPr>
              <w:pStyle w:val="naiskr"/>
              <w:tabs>
                <w:tab w:val="left" w:pos="2628"/>
              </w:tabs>
              <w:spacing w:before="0" w:after="0"/>
              <w:jc w:val="center"/>
              <w:rPr>
                <w:iCs/>
                <w:sz w:val="28"/>
                <w:szCs w:val="28"/>
              </w:rPr>
            </w:pPr>
            <w:r w:rsidRPr="00603E2E">
              <w:rPr>
                <w:iCs/>
                <w:sz w:val="28"/>
                <w:szCs w:val="28"/>
              </w:rPr>
              <w:t>4.</w:t>
            </w:r>
          </w:p>
        </w:tc>
        <w:tc>
          <w:tcPr>
            <w:tcW w:w="2552" w:type="dxa"/>
          </w:tcPr>
          <w:p w:rsidR="0028245B" w:rsidRPr="00603E2E" w:rsidRDefault="0028245B" w:rsidP="00E96CA3">
            <w:pPr>
              <w:pStyle w:val="naiskr"/>
              <w:tabs>
                <w:tab w:val="left" w:pos="2628"/>
              </w:tabs>
              <w:spacing w:before="0" w:after="60"/>
              <w:rPr>
                <w:sz w:val="28"/>
                <w:szCs w:val="28"/>
              </w:rPr>
            </w:pPr>
            <w:r w:rsidRPr="00603E2E">
              <w:rPr>
                <w:sz w:val="28"/>
                <w:szCs w:val="28"/>
              </w:rPr>
              <w:t>Cita informācija</w:t>
            </w:r>
          </w:p>
        </w:tc>
        <w:tc>
          <w:tcPr>
            <w:tcW w:w="5721" w:type="dxa"/>
          </w:tcPr>
          <w:p w:rsidR="0028245B" w:rsidRPr="00603E2E" w:rsidRDefault="0028245B" w:rsidP="00E96CA3">
            <w:pPr>
              <w:pStyle w:val="naiskr"/>
              <w:tabs>
                <w:tab w:val="left" w:pos="2628"/>
              </w:tabs>
              <w:spacing w:before="0" w:after="120"/>
              <w:jc w:val="both"/>
              <w:rPr>
                <w:sz w:val="28"/>
                <w:szCs w:val="28"/>
              </w:rPr>
            </w:pPr>
            <w:r w:rsidRPr="00603E2E">
              <w:rPr>
                <w:sz w:val="28"/>
                <w:szCs w:val="28"/>
              </w:rPr>
              <w:t>Nav.</w:t>
            </w:r>
          </w:p>
        </w:tc>
      </w:tr>
    </w:tbl>
    <w:p w:rsidR="007D31E3" w:rsidRPr="00603E2E" w:rsidRDefault="007D31E3" w:rsidP="0028245B">
      <w:pPr>
        <w:pStyle w:val="naisf"/>
        <w:spacing w:before="0" w:after="0"/>
        <w:ind w:firstLine="0"/>
        <w:rPr>
          <w:sz w:val="28"/>
          <w:szCs w:val="28"/>
        </w:rPr>
      </w:pPr>
    </w:p>
    <w:p w:rsidR="0028245B" w:rsidRPr="00603E2E" w:rsidRDefault="0028245B" w:rsidP="0028245B">
      <w:pPr>
        <w:pStyle w:val="naisf"/>
        <w:spacing w:before="0" w:after="0"/>
        <w:ind w:firstLine="0"/>
        <w:rPr>
          <w:sz w:val="28"/>
          <w:szCs w:val="28"/>
        </w:rPr>
      </w:pPr>
    </w:p>
    <w:tbl>
      <w:tblPr>
        <w:tblpPr w:leftFromText="180" w:rightFromText="180" w:vertAnchor="text" w:horzAnchor="margin" w:tblpX="60" w:tblpY="212"/>
        <w:tblW w:w="496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73"/>
        <w:gridCol w:w="2951"/>
        <w:gridCol w:w="5373"/>
      </w:tblGrid>
      <w:tr w:rsidR="00603E2E" w:rsidRPr="00603E2E" w:rsidTr="00E96CA3">
        <w:tc>
          <w:tcPr>
            <w:tcW w:w="5000" w:type="pct"/>
            <w:gridSpan w:val="3"/>
            <w:tcBorders>
              <w:top w:val="outset" w:sz="6" w:space="0" w:color="000000"/>
              <w:left w:val="outset" w:sz="6" w:space="0" w:color="000000"/>
              <w:bottom w:val="outset" w:sz="6" w:space="0" w:color="000000"/>
              <w:right w:val="outset" w:sz="6" w:space="0" w:color="000000"/>
            </w:tcBorders>
          </w:tcPr>
          <w:p w:rsidR="0028245B" w:rsidRPr="00603E2E" w:rsidRDefault="0028245B" w:rsidP="00E96CA3">
            <w:pPr>
              <w:spacing w:before="100" w:beforeAutospacing="1" w:after="100" w:afterAutospacing="1"/>
              <w:jc w:val="center"/>
              <w:rPr>
                <w:b/>
                <w:bCs/>
                <w:sz w:val="28"/>
                <w:szCs w:val="28"/>
              </w:rPr>
            </w:pPr>
            <w:r w:rsidRPr="00603E2E">
              <w:rPr>
                <w:b/>
                <w:bCs/>
                <w:sz w:val="28"/>
                <w:szCs w:val="28"/>
              </w:rPr>
              <w:t>VII. Tiesību akta projekta izpildes nodrošināšana un tās ietekme uz institūcijām</w:t>
            </w:r>
          </w:p>
        </w:tc>
      </w:tr>
      <w:tr w:rsidR="00603E2E" w:rsidRPr="00603E2E" w:rsidTr="00E96CA3">
        <w:tc>
          <w:tcPr>
            <w:tcW w:w="374" w:type="pct"/>
            <w:tcBorders>
              <w:top w:val="outset" w:sz="6" w:space="0" w:color="000000"/>
              <w:left w:val="outset" w:sz="6" w:space="0" w:color="000000"/>
              <w:bottom w:val="outset" w:sz="6" w:space="0" w:color="000000"/>
              <w:right w:val="outset" w:sz="6" w:space="0" w:color="000000"/>
            </w:tcBorders>
          </w:tcPr>
          <w:p w:rsidR="0028245B" w:rsidRPr="00603E2E" w:rsidRDefault="0028245B" w:rsidP="00E96CA3">
            <w:pPr>
              <w:spacing w:before="100" w:beforeAutospacing="1" w:after="100" w:afterAutospacing="1"/>
              <w:jc w:val="both"/>
              <w:rPr>
                <w:sz w:val="28"/>
                <w:szCs w:val="28"/>
              </w:rPr>
            </w:pPr>
            <w:r w:rsidRPr="00603E2E">
              <w:rPr>
                <w:sz w:val="28"/>
                <w:szCs w:val="28"/>
              </w:rPr>
              <w:lastRenderedPageBreak/>
              <w:t>1.</w:t>
            </w:r>
          </w:p>
        </w:tc>
        <w:tc>
          <w:tcPr>
            <w:tcW w:w="1640" w:type="pct"/>
            <w:tcBorders>
              <w:top w:val="outset" w:sz="6" w:space="0" w:color="000000"/>
              <w:left w:val="outset" w:sz="6" w:space="0" w:color="000000"/>
              <w:bottom w:val="outset" w:sz="6" w:space="0" w:color="000000"/>
              <w:right w:val="outset" w:sz="6" w:space="0" w:color="000000"/>
            </w:tcBorders>
          </w:tcPr>
          <w:p w:rsidR="0028245B" w:rsidRPr="00603E2E" w:rsidRDefault="0028245B" w:rsidP="00E96CA3">
            <w:pPr>
              <w:spacing w:before="100" w:beforeAutospacing="1" w:after="100" w:afterAutospacing="1"/>
              <w:jc w:val="both"/>
              <w:rPr>
                <w:sz w:val="28"/>
                <w:szCs w:val="28"/>
              </w:rPr>
            </w:pPr>
            <w:r w:rsidRPr="00603E2E">
              <w:rPr>
                <w:sz w:val="28"/>
                <w:szCs w:val="28"/>
              </w:rPr>
              <w:t>Projekta izpildē iesaistītās institūcijas</w:t>
            </w:r>
          </w:p>
        </w:tc>
        <w:tc>
          <w:tcPr>
            <w:tcW w:w="2986" w:type="pct"/>
            <w:tcBorders>
              <w:top w:val="outset" w:sz="6" w:space="0" w:color="000000"/>
              <w:left w:val="outset" w:sz="6" w:space="0" w:color="000000"/>
              <w:bottom w:val="outset" w:sz="6" w:space="0" w:color="000000"/>
              <w:right w:val="outset" w:sz="6" w:space="0" w:color="000000"/>
            </w:tcBorders>
          </w:tcPr>
          <w:p w:rsidR="0028245B" w:rsidRPr="00603E2E" w:rsidRDefault="0028245B" w:rsidP="00E96CA3">
            <w:pPr>
              <w:spacing w:before="100" w:beforeAutospacing="1" w:after="100" w:afterAutospacing="1"/>
              <w:jc w:val="both"/>
              <w:rPr>
                <w:sz w:val="28"/>
                <w:szCs w:val="28"/>
              </w:rPr>
            </w:pPr>
            <w:r w:rsidRPr="00603E2E">
              <w:rPr>
                <w:sz w:val="28"/>
                <w:szCs w:val="28"/>
              </w:rPr>
              <w:t>Izložu un azartspēļu uzraudzības inspekcija.</w:t>
            </w:r>
          </w:p>
        </w:tc>
      </w:tr>
      <w:tr w:rsidR="00603E2E" w:rsidRPr="00603E2E" w:rsidTr="00E96CA3">
        <w:tc>
          <w:tcPr>
            <w:tcW w:w="374" w:type="pct"/>
            <w:tcBorders>
              <w:top w:val="outset" w:sz="6" w:space="0" w:color="000000"/>
              <w:left w:val="outset" w:sz="6" w:space="0" w:color="000000"/>
              <w:bottom w:val="outset" w:sz="6" w:space="0" w:color="000000"/>
              <w:right w:val="outset" w:sz="6" w:space="0" w:color="000000"/>
            </w:tcBorders>
          </w:tcPr>
          <w:p w:rsidR="0028245B" w:rsidRPr="00603E2E" w:rsidRDefault="0028245B" w:rsidP="00E96CA3">
            <w:pPr>
              <w:spacing w:before="100" w:beforeAutospacing="1" w:after="100" w:afterAutospacing="1"/>
              <w:jc w:val="both"/>
              <w:rPr>
                <w:sz w:val="28"/>
                <w:szCs w:val="28"/>
              </w:rPr>
            </w:pPr>
            <w:r w:rsidRPr="00603E2E">
              <w:rPr>
                <w:sz w:val="28"/>
                <w:szCs w:val="28"/>
              </w:rPr>
              <w:t>2.</w:t>
            </w:r>
          </w:p>
        </w:tc>
        <w:tc>
          <w:tcPr>
            <w:tcW w:w="1640" w:type="pct"/>
            <w:tcBorders>
              <w:top w:val="outset" w:sz="6" w:space="0" w:color="000000"/>
              <w:left w:val="outset" w:sz="6" w:space="0" w:color="000000"/>
              <w:bottom w:val="outset" w:sz="6" w:space="0" w:color="000000"/>
              <w:right w:val="outset" w:sz="6" w:space="0" w:color="000000"/>
            </w:tcBorders>
          </w:tcPr>
          <w:p w:rsidR="0028245B" w:rsidRPr="00603E2E" w:rsidRDefault="0028245B" w:rsidP="00E96CA3">
            <w:pPr>
              <w:spacing w:before="100" w:beforeAutospacing="1" w:after="100" w:afterAutospacing="1"/>
              <w:jc w:val="both"/>
              <w:rPr>
                <w:sz w:val="28"/>
                <w:szCs w:val="28"/>
              </w:rPr>
            </w:pPr>
            <w:r w:rsidRPr="00603E2E">
              <w:rPr>
                <w:sz w:val="28"/>
                <w:szCs w:val="28"/>
              </w:rPr>
              <w:t>Projekta izpildes ietekme uz pārvaldes funkcijām un institucionālo struktūru</w:t>
            </w:r>
          </w:p>
          <w:p w:rsidR="0028245B" w:rsidRPr="00603E2E" w:rsidRDefault="0028245B" w:rsidP="00E96CA3">
            <w:pPr>
              <w:spacing w:before="100" w:beforeAutospacing="1" w:after="100" w:afterAutospacing="1"/>
              <w:jc w:val="both"/>
              <w:rPr>
                <w:sz w:val="28"/>
                <w:szCs w:val="28"/>
              </w:rPr>
            </w:pPr>
            <w:r w:rsidRPr="00603E2E">
              <w:rPr>
                <w:sz w:val="28"/>
                <w:szCs w:val="28"/>
              </w:rPr>
              <w:t>Jaunu institūciju izveide, esošu institūciju likvidācija vai reorganizācija, to ietekme uz institūcijas cilvēkresursiem</w:t>
            </w:r>
          </w:p>
        </w:tc>
        <w:tc>
          <w:tcPr>
            <w:tcW w:w="2986" w:type="pct"/>
            <w:tcBorders>
              <w:top w:val="outset" w:sz="6" w:space="0" w:color="000000"/>
              <w:left w:val="outset" w:sz="6" w:space="0" w:color="000000"/>
              <w:bottom w:val="outset" w:sz="6" w:space="0" w:color="000000"/>
              <w:right w:val="outset" w:sz="6" w:space="0" w:color="000000"/>
            </w:tcBorders>
          </w:tcPr>
          <w:p w:rsidR="0028245B" w:rsidRPr="00603E2E" w:rsidRDefault="00B50EB6" w:rsidP="00B50EB6">
            <w:pPr>
              <w:jc w:val="both"/>
              <w:rPr>
                <w:sz w:val="28"/>
                <w:szCs w:val="28"/>
              </w:rPr>
            </w:pPr>
            <w:r w:rsidRPr="00603E2E">
              <w:rPr>
                <w:sz w:val="28"/>
                <w:szCs w:val="28"/>
              </w:rPr>
              <w:t xml:space="preserve">Projekts šo jomu neskar. </w:t>
            </w:r>
          </w:p>
        </w:tc>
      </w:tr>
      <w:tr w:rsidR="00603E2E" w:rsidRPr="00603E2E" w:rsidTr="00E96CA3">
        <w:tc>
          <w:tcPr>
            <w:tcW w:w="374" w:type="pct"/>
            <w:tcBorders>
              <w:top w:val="outset" w:sz="6" w:space="0" w:color="000000"/>
              <w:left w:val="outset" w:sz="6" w:space="0" w:color="000000"/>
              <w:bottom w:val="outset" w:sz="6" w:space="0" w:color="000000"/>
              <w:right w:val="outset" w:sz="6" w:space="0" w:color="000000"/>
            </w:tcBorders>
          </w:tcPr>
          <w:p w:rsidR="0028245B" w:rsidRPr="00603E2E" w:rsidRDefault="0028245B" w:rsidP="00E96CA3">
            <w:pPr>
              <w:spacing w:before="100" w:beforeAutospacing="1" w:after="100" w:afterAutospacing="1"/>
              <w:jc w:val="both"/>
              <w:rPr>
                <w:sz w:val="28"/>
                <w:szCs w:val="28"/>
              </w:rPr>
            </w:pPr>
            <w:r w:rsidRPr="00603E2E">
              <w:rPr>
                <w:sz w:val="28"/>
                <w:szCs w:val="28"/>
              </w:rPr>
              <w:t>3.</w:t>
            </w:r>
          </w:p>
        </w:tc>
        <w:tc>
          <w:tcPr>
            <w:tcW w:w="1640" w:type="pct"/>
            <w:tcBorders>
              <w:top w:val="outset" w:sz="6" w:space="0" w:color="000000"/>
              <w:left w:val="outset" w:sz="6" w:space="0" w:color="000000"/>
              <w:bottom w:val="outset" w:sz="6" w:space="0" w:color="000000"/>
              <w:right w:val="outset" w:sz="6" w:space="0" w:color="000000"/>
            </w:tcBorders>
          </w:tcPr>
          <w:p w:rsidR="0028245B" w:rsidRPr="00603E2E" w:rsidRDefault="0028245B" w:rsidP="00E96CA3">
            <w:pPr>
              <w:spacing w:before="100" w:beforeAutospacing="1" w:after="100" w:afterAutospacing="1"/>
              <w:jc w:val="both"/>
              <w:rPr>
                <w:sz w:val="28"/>
                <w:szCs w:val="28"/>
              </w:rPr>
            </w:pPr>
            <w:r w:rsidRPr="00603E2E">
              <w:rPr>
                <w:sz w:val="28"/>
                <w:szCs w:val="28"/>
              </w:rPr>
              <w:t>Cita informācija</w:t>
            </w:r>
          </w:p>
        </w:tc>
        <w:tc>
          <w:tcPr>
            <w:tcW w:w="2986" w:type="pct"/>
            <w:tcBorders>
              <w:top w:val="outset" w:sz="6" w:space="0" w:color="000000"/>
              <w:left w:val="outset" w:sz="6" w:space="0" w:color="000000"/>
              <w:bottom w:val="outset" w:sz="6" w:space="0" w:color="000000"/>
              <w:right w:val="outset" w:sz="6" w:space="0" w:color="000000"/>
            </w:tcBorders>
          </w:tcPr>
          <w:p w:rsidR="0028245B" w:rsidRPr="00603E2E" w:rsidRDefault="0028245B" w:rsidP="00E96CA3">
            <w:pPr>
              <w:spacing w:before="100" w:beforeAutospacing="1" w:after="100" w:afterAutospacing="1"/>
              <w:jc w:val="both"/>
              <w:rPr>
                <w:sz w:val="28"/>
                <w:szCs w:val="28"/>
              </w:rPr>
            </w:pPr>
            <w:r w:rsidRPr="00603E2E">
              <w:rPr>
                <w:sz w:val="28"/>
                <w:szCs w:val="28"/>
              </w:rPr>
              <w:t>Nav.</w:t>
            </w:r>
          </w:p>
        </w:tc>
      </w:tr>
    </w:tbl>
    <w:p w:rsidR="00C508AF" w:rsidRDefault="00C508AF" w:rsidP="0028245B">
      <w:pPr>
        <w:jc w:val="both"/>
        <w:rPr>
          <w:i/>
          <w:sz w:val="28"/>
          <w:szCs w:val="28"/>
        </w:rPr>
      </w:pPr>
      <w:bookmarkStart w:id="2" w:name="_GoBack"/>
      <w:bookmarkEnd w:id="2"/>
    </w:p>
    <w:p w:rsidR="0028245B" w:rsidRPr="00603E2E" w:rsidRDefault="00C508AF" w:rsidP="0028245B">
      <w:pPr>
        <w:jc w:val="both"/>
        <w:rPr>
          <w:sz w:val="28"/>
          <w:szCs w:val="28"/>
        </w:rPr>
      </w:pPr>
      <w:r w:rsidRPr="00603E2E">
        <w:rPr>
          <w:i/>
          <w:sz w:val="28"/>
          <w:szCs w:val="28"/>
        </w:rPr>
        <w:t>Anotācijas III, IV un V sadaļa – projekts šīs jomas neskar.</w:t>
      </w:r>
    </w:p>
    <w:p w:rsidR="00C508AF" w:rsidRDefault="00C508AF" w:rsidP="0028245B">
      <w:pPr>
        <w:ind w:firstLine="720"/>
        <w:jc w:val="both"/>
        <w:rPr>
          <w:sz w:val="28"/>
          <w:szCs w:val="28"/>
        </w:rPr>
      </w:pPr>
    </w:p>
    <w:p w:rsidR="00C508AF" w:rsidRDefault="00C508AF" w:rsidP="0028245B">
      <w:pPr>
        <w:ind w:firstLine="720"/>
        <w:jc w:val="both"/>
        <w:rPr>
          <w:sz w:val="28"/>
          <w:szCs w:val="28"/>
        </w:rPr>
      </w:pPr>
    </w:p>
    <w:p w:rsidR="0028245B" w:rsidRPr="00603E2E" w:rsidRDefault="0028245B" w:rsidP="0028245B">
      <w:pPr>
        <w:ind w:firstLine="720"/>
        <w:jc w:val="both"/>
        <w:rPr>
          <w:sz w:val="28"/>
          <w:szCs w:val="28"/>
          <w:lang w:val="de-DE"/>
        </w:rPr>
      </w:pPr>
      <w:r w:rsidRPr="00603E2E">
        <w:rPr>
          <w:sz w:val="28"/>
          <w:szCs w:val="28"/>
        </w:rPr>
        <w:t>Finanšu ministrs</w:t>
      </w:r>
      <w:r w:rsidRPr="00603E2E">
        <w:rPr>
          <w:sz w:val="28"/>
          <w:szCs w:val="28"/>
        </w:rPr>
        <w:tab/>
      </w:r>
      <w:r w:rsidRPr="00603E2E">
        <w:rPr>
          <w:sz w:val="28"/>
          <w:szCs w:val="28"/>
        </w:rPr>
        <w:tab/>
      </w:r>
      <w:r w:rsidRPr="00603E2E">
        <w:rPr>
          <w:sz w:val="28"/>
          <w:szCs w:val="28"/>
        </w:rPr>
        <w:tab/>
      </w:r>
      <w:r w:rsidRPr="00603E2E">
        <w:rPr>
          <w:sz w:val="28"/>
          <w:szCs w:val="28"/>
          <w:lang w:val="de-DE"/>
        </w:rPr>
        <w:tab/>
      </w:r>
      <w:r w:rsidRPr="00603E2E">
        <w:rPr>
          <w:sz w:val="28"/>
          <w:szCs w:val="28"/>
          <w:lang w:val="de-DE"/>
        </w:rPr>
        <w:tab/>
      </w:r>
      <w:r w:rsidRPr="00603E2E">
        <w:rPr>
          <w:sz w:val="28"/>
          <w:szCs w:val="28"/>
          <w:lang w:val="de-DE"/>
        </w:rPr>
        <w:tab/>
      </w:r>
      <w:r w:rsidRPr="00603E2E">
        <w:rPr>
          <w:sz w:val="28"/>
          <w:szCs w:val="28"/>
          <w:lang w:val="de-DE"/>
        </w:rPr>
        <w:tab/>
      </w:r>
      <w:r w:rsidRPr="00603E2E">
        <w:rPr>
          <w:sz w:val="28"/>
          <w:szCs w:val="28"/>
          <w:lang w:val="de-DE"/>
        </w:rPr>
        <w:tab/>
      </w:r>
      <w:r w:rsidR="00007003" w:rsidRPr="00603E2E">
        <w:rPr>
          <w:sz w:val="28"/>
          <w:szCs w:val="28"/>
          <w:lang w:val="de-DE"/>
        </w:rPr>
        <w:t>J</w:t>
      </w:r>
      <w:r w:rsidRPr="00603E2E">
        <w:rPr>
          <w:sz w:val="28"/>
          <w:szCs w:val="28"/>
          <w:lang w:val="de-DE"/>
        </w:rPr>
        <w:t>.</w:t>
      </w:r>
      <w:r w:rsidR="00007003" w:rsidRPr="00603E2E">
        <w:rPr>
          <w:sz w:val="28"/>
          <w:szCs w:val="28"/>
          <w:lang w:val="de-DE"/>
        </w:rPr>
        <w:t>Reirs</w:t>
      </w:r>
      <w:r w:rsidRPr="00603E2E">
        <w:rPr>
          <w:sz w:val="28"/>
          <w:szCs w:val="28"/>
          <w:lang w:val="de-DE"/>
        </w:rPr>
        <w:t xml:space="preserve"> </w:t>
      </w:r>
    </w:p>
    <w:p w:rsidR="0028245B" w:rsidRPr="00603E2E" w:rsidRDefault="0028245B" w:rsidP="0028245B">
      <w:pPr>
        <w:pStyle w:val="naisf"/>
        <w:tabs>
          <w:tab w:val="left" w:pos="6804"/>
        </w:tabs>
        <w:spacing w:before="0" w:after="0"/>
        <w:ind w:firstLine="0"/>
      </w:pPr>
    </w:p>
    <w:p w:rsidR="0028245B" w:rsidRPr="00603E2E" w:rsidRDefault="0028245B" w:rsidP="0028245B">
      <w:pPr>
        <w:pStyle w:val="naisf"/>
        <w:tabs>
          <w:tab w:val="left" w:pos="6804"/>
        </w:tabs>
        <w:spacing w:before="0" w:after="0"/>
        <w:ind w:firstLine="0"/>
      </w:pPr>
    </w:p>
    <w:p w:rsidR="007D31E3" w:rsidRDefault="007D31E3" w:rsidP="0028245B">
      <w:pPr>
        <w:tabs>
          <w:tab w:val="center" w:pos="4153"/>
          <w:tab w:val="right" w:pos="8306"/>
        </w:tabs>
        <w:rPr>
          <w:sz w:val="20"/>
          <w:szCs w:val="20"/>
        </w:rPr>
      </w:pPr>
    </w:p>
    <w:p w:rsidR="007D31E3" w:rsidRDefault="007D31E3" w:rsidP="0028245B">
      <w:pPr>
        <w:tabs>
          <w:tab w:val="center" w:pos="4153"/>
          <w:tab w:val="right" w:pos="8306"/>
        </w:tabs>
        <w:rPr>
          <w:sz w:val="20"/>
          <w:szCs w:val="20"/>
        </w:rPr>
      </w:pPr>
    </w:p>
    <w:p w:rsidR="0028245B" w:rsidRPr="00603E2E" w:rsidRDefault="00612F0A" w:rsidP="0028245B">
      <w:pPr>
        <w:tabs>
          <w:tab w:val="center" w:pos="4153"/>
          <w:tab w:val="right" w:pos="8306"/>
        </w:tabs>
        <w:rPr>
          <w:sz w:val="20"/>
          <w:szCs w:val="20"/>
        </w:rPr>
      </w:pPr>
      <w:r w:rsidRPr="00603E2E">
        <w:rPr>
          <w:sz w:val="20"/>
          <w:szCs w:val="20"/>
        </w:rPr>
        <w:t>0</w:t>
      </w:r>
      <w:r w:rsidR="002346D1" w:rsidRPr="00603E2E">
        <w:rPr>
          <w:sz w:val="20"/>
          <w:szCs w:val="20"/>
        </w:rPr>
        <w:t>4</w:t>
      </w:r>
      <w:r w:rsidR="0028245B" w:rsidRPr="00603E2E">
        <w:rPr>
          <w:sz w:val="20"/>
          <w:szCs w:val="20"/>
        </w:rPr>
        <w:t>.1</w:t>
      </w:r>
      <w:r w:rsidRPr="00603E2E">
        <w:rPr>
          <w:sz w:val="20"/>
          <w:szCs w:val="20"/>
        </w:rPr>
        <w:t>2</w:t>
      </w:r>
      <w:r w:rsidR="0028245B" w:rsidRPr="00603E2E">
        <w:rPr>
          <w:sz w:val="20"/>
          <w:szCs w:val="20"/>
        </w:rPr>
        <w:t>.2014 10:46</w:t>
      </w:r>
    </w:p>
    <w:p w:rsidR="0028245B" w:rsidRPr="00603E2E" w:rsidRDefault="00612F0A" w:rsidP="0028245B">
      <w:pPr>
        <w:tabs>
          <w:tab w:val="center" w:pos="4153"/>
          <w:tab w:val="right" w:pos="8306"/>
        </w:tabs>
        <w:rPr>
          <w:iCs/>
          <w:sz w:val="20"/>
          <w:szCs w:val="20"/>
        </w:rPr>
      </w:pPr>
      <w:r w:rsidRPr="00603E2E">
        <w:rPr>
          <w:sz w:val="20"/>
          <w:szCs w:val="20"/>
        </w:rPr>
        <w:t>11</w:t>
      </w:r>
      <w:r w:rsidR="00F16AF2" w:rsidRPr="00603E2E">
        <w:rPr>
          <w:sz w:val="20"/>
          <w:szCs w:val="20"/>
        </w:rPr>
        <w:t>3</w:t>
      </w:r>
      <w:r w:rsidR="00201DE3">
        <w:rPr>
          <w:sz w:val="20"/>
          <w:szCs w:val="20"/>
        </w:rPr>
        <w:t>3</w:t>
      </w:r>
    </w:p>
    <w:p w:rsidR="0028245B" w:rsidRPr="00603E2E" w:rsidRDefault="0028245B" w:rsidP="0028245B">
      <w:pPr>
        <w:tabs>
          <w:tab w:val="center" w:pos="4153"/>
          <w:tab w:val="right" w:pos="8306"/>
        </w:tabs>
        <w:rPr>
          <w:sz w:val="20"/>
          <w:szCs w:val="20"/>
        </w:rPr>
      </w:pPr>
      <w:r w:rsidRPr="00603E2E">
        <w:rPr>
          <w:sz w:val="20"/>
          <w:szCs w:val="20"/>
        </w:rPr>
        <w:t>Avotiņa, 67095515</w:t>
      </w:r>
    </w:p>
    <w:p w:rsidR="0028245B" w:rsidRPr="00603E2E" w:rsidRDefault="0028245B" w:rsidP="0028245B">
      <w:pPr>
        <w:tabs>
          <w:tab w:val="center" w:pos="4153"/>
          <w:tab w:val="right" w:pos="8306"/>
        </w:tabs>
        <w:rPr>
          <w:sz w:val="20"/>
        </w:rPr>
      </w:pPr>
      <w:r w:rsidRPr="00603E2E">
        <w:rPr>
          <w:sz w:val="20"/>
          <w:szCs w:val="20"/>
        </w:rPr>
        <w:t xml:space="preserve">e-pasts: </w:t>
      </w:r>
      <w:hyperlink r:id="rId7" w:history="1">
        <w:r w:rsidRPr="00603E2E">
          <w:rPr>
            <w:rStyle w:val="Hyperlink"/>
            <w:color w:val="auto"/>
            <w:sz w:val="20"/>
            <w:szCs w:val="20"/>
          </w:rPr>
          <w:t>Inga.Avotina@fm.gov.lv</w:t>
        </w:r>
      </w:hyperlink>
    </w:p>
    <w:p w:rsidR="00310842" w:rsidRPr="00603E2E" w:rsidRDefault="00310842"/>
    <w:sectPr w:rsidR="00310842" w:rsidRPr="00603E2E" w:rsidSect="00F961AE">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88C" w:rsidRDefault="0052688C">
      <w:r>
        <w:separator/>
      </w:r>
    </w:p>
  </w:endnote>
  <w:endnote w:type="continuationSeparator" w:id="0">
    <w:p w:rsidR="0052688C" w:rsidRDefault="0052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E36" w:rsidRPr="00114BE0" w:rsidRDefault="00B75D87" w:rsidP="00114BE0">
    <w:pPr>
      <w:pStyle w:val="Footer"/>
      <w:jc w:val="both"/>
      <w:rPr>
        <w:sz w:val="20"/>
        <w:szCs w:val="20"/>
      </w:rPr>
    </w:pPr>
    <w:r w:rsidRPr="002542DA">
      <w:rPr>
        <w:sz w:val="20"/>
        <w:szCs w:val="20"/>
      </w:rPr>
      <w:t>F</w:t>
    </w:r>
    <w:r>
      <w:rPr>
        <w:sz w:val="20"/>
        <w:szCs w:val="20"/>
      </w:rPr>
      <w:t>MAnot_</w:t>
    </w:r>
    <w:r w:rsidR="00612F0A">
      <w:rPr>
        <w:sz w:val="20"/>
        <w:szCs w:val="20"/>
      </w:rPr>
      <w:t>0</w:t>
    </w:r>
    <w:r w:rsidR="002346D1">
      <w:rPr>
        <w:sz w:val="20"/>
        <w:szCs w:val="20"/>
      </w:rPr>
      <w:t>4</w:t>
    </w:r>
    <w:r w:rsidR="00256060">
      <w:rPr>
        <w:sz w:val="20"/>
        <w:szCs w:val="20"/>
      </w:rPr>
      <w:t>1</w:t>
    </w:r>
    <w:r w:rsidR="00612F0A">
      <w:rPr>
        <w:sz w:val="20"/>
        <w:szCs w:val="20"/>
      </w:rPr>
      <w:t>2</w:t>
    </w:r>
    <w:r>
      <w:rPr>
        <w:sz w:val="20"/>
        <w:szCs w:val="20"/>
      </w:rPr>
      <w:t>14_</w:t>
    </w:r>
    <w:r w:rsidR="00F46A71">
      <w:rPr>
        <w:sz w:val="20"/>
        <w:szCs w:val="20"/>
      </w:rPr>
      <w:t>VSS-496</w:t>
    </w:r>
    <w:r w:rsidRPr="002542DA">
      <w:rPr>
        <w:sz w:val="20"/>
        <w:szCs w:val="20"/>
      </w:rPr>
      <w:t xml:space="preserve">; </w:t>
    </w:r>
    <w:r w:rsidRPr="00501F8B">
      <w:rPr>
        <w:sz w:val="20"/>
        <w:szCs w:val="20"/>
      </w:rPr>
      <w:t xml:space="preserve">Ministru kabineta noteikumu projekta </w:t>
    </w:r>
    <w:r>
      <w:rPr>
        <w:sz w:val="20"/>
        <w:szCs w:val="20"/>
      </w:rPr>
      <w:t>„</w:t>
    </w:r>
    <w:r w:rsidRPr="00501F8B">
      <w:rPr>
        <w:sz w:val="20"/>
        <w:szCs w:val="20"/>
      </w:rPr>
      <w:t>Kārtība, kādā iesniedzams ziņojums par azartspēļu un izložu organizēšanu”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E36" w:rsidRPr="00501F8B" w:rsidRDefault="00B75D87" w:rsidP="00501F8B">
    <w:pPr>
      <w:pStyle w:val="Footer"/>
      <w:jc w:val="both"/>
      <w:rPr>
        <w:sz w:val="20"/>
        <w:szCs w:val="20"/>
      </w:rPr>
    </w:pPr>
    <w:r w:rsidRPr="002542DA">
      <w:rPr>
        <w:sz w:val="20"/>
        <w:szCs w:val="20"/>
      </w:rPr>
      <w:t>F</w:t>
    </w:r>
    <w:r>
      <w:rPr>
        <w:sz w:val="20"/>
        <w:szCs w:val="20"/>
      </w:rPr>
      <w:t>MAnot_</w:t>
    </w:r>
    <w:r w:rsidR="00612F0A">
      <w:rPr>
        <w:sz w:val="20"/>
        <w:szCs w:val="20"/>
      </w:rPr>
      <w:t>0</w:t>
    </w:r>
    <w:r w:rsidR="002346D1">
      <w:rPr>
        <w:sz w:val="20"/>
        <w:szCs w:val="20"/>
      </w:rPr>
      <w:t>4</w:t>
    </w:r>
    <w:r w:rsidR="00256060">
      <w:rPr>
        <w:sz w:val="20"/>
        <w:szCs w:val="20"/>
      </w:rPr>
      <w:t>1</w:t>
    </w:r>
    <w:r w:rsidR="00612F0A">
      <w:rPr>
        <w:sz w:val="20"/>
        <w:szCs w:val="20"/>
      </w:rPr>
      <w:t>2</w:t>
    </w:r>
    <w:r>
      <w:rPr>
        <w:sz w:val="20"/>
        <w:szCs w:val="20"/>
      </w:rPr>
      <w:t>14_</w:t>
    </w:r>
    <w:r w:rsidR="00F46A71">
      <w:rPr>
        <w:sz w:val="20"/>
        <w:szCs w:val="20"/>
      </w:rPr>
      <w:t>VSS-469</w:t>
    </w:r>
    <w:r w:rsidRPr="002542DA">
      <w:rPr>
        <w:sz w:val="20"/>
        <w:szCs w:val="20"/>
      </w:rPr>
      <w:t xml:space="preserve">; </w:t>
    </w:r>
    <w:r w:rsidRPr="00501F8B">
      <w:rPr>
        <w:sz w:val="20"/>
        <w:szCs w:val="20"/>
      </w:rPr>
      <w:t xml:space="preserve">Ministru kabineta noteikumu projekta </w:t>
    </w:r>
    <w:r>
      <w:rPr>
        <w:sz w:val="20"/>
        <w:szCs w:val="20"/>
      </w:rPr>
      <w:t>„</w:t>
    </w:r>
    <w:r w:rsidRPr="00501F8B">
      <w:rPr>
        <w:sz w:val="20"/>
        <w:szCs w:val="20"/>
      </w:rPr>
      <w:t>Kārtība, kādā iesniedzams ziņojums par azartspēļu un izložu organizēšanu”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88C" w:rsidRDefault="0052688C">
      <w:r>
        <w:separator/>
      </w:r>
    </w:p>
  </w:footnote>
  <w:footnote w:type="continuationSeparator" w:id="0">
    <w:p w:rsidR="0052688C" w:rsidRDefault="00526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E36" w:rsidRDefault="00EB48B5" w:rsidP="003C449B">
    <w:pPr>
      <w:pStyle w:val="Header"/>
      <w:framePr w:wrap="around" w:vAnchor="text" w:hAnchor="margin" w:xAlign="center" w:y="1"/>
      <w:rPr>
        <w:rStyle w:val="PageNumber"/>
      </w:rPr>
    </w:pPr>
    <w:r>
      <w:rPr>
        <w:rStyle w:val="PageNumber"/>
      </w:rPr>
      <w:fldChar w:fldCharType="begin"/>
    </w:r>
    <w:r w:rsidR="00B75D87">
      <w:rPr>
        <w:rStyle w:val="PageNumber"/>
      </w:rPr>
      <w:instrText xml:space="preserve">PAGE  </w:instrText>
    </w:r>
    <w:r>
      <w:rPr>
        <w:rStyle w:val="PageNumber"/>
      </w:rPr>
      <w:fldChar w:fldCharType="end"/>
    </w:r>
  </w:p>
  <w:p w:rsidR="00C31E36" w:rsidRDefault="005268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E36" w:rsidRDefault="00EB48B5" w:rsidP="003C449B">
    <w:pPr>
      <w:pStyle w:val="Header"/>
      <w:framePr w:wrap="around" w:vAnchor="text" w:hAnchor="margin" w:xAlign="center" w:y="1"/>
      <w:rPr>
        <w:rStyle w:val="PageNumber"/>
      </w:rPr>
    </w:pPr>
    <w:r>
      <w:rPr>
        <w:rStyle w:val="PageNumber"/>
      </w:rPr>
      <w:fldChar w:fldCharType="begin"/>
    </w:r>
    <w:r w:rsidR="00B75D87">
      <w:rPr>
        <w:rStyle w:val="PageNumber"/>
      </w:rPr>
      <w:instrText xml:space="preserve">PAGE  </w:instrText>
    </w:r>
    <w:r>
      <w:rPr>
        <w:rStyle w:val="PageNumber"/>
      </w:rPr>
      <w:fldChar w:fldCharType="separate"/>
    </w:r>
    <w:r w:rsidR="00127DAB">
      <w:rPr>
        <w:rStyle w:val="PageNumber"/>
        <w:noProof/>
      </w:rPr>
      <w:t>6</w:t>
    </w:r>
    <w:r>
      <w:rPr>
        <w:rStyle w:val="PageNumber"/>
      </w:rPr>
      <w:fldChar w:fldCharType="end"/>
    </w:r>
  </w:p>
  <w:p w:rsidR="00C31E36" w:rsidRDefault="00526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114DD"/>
    <w:multiLevelType w:val="hybridMultilevel"/>
    <w:tmpl w:val="40A21624"/>
    <w:lvl w:ilvl="0" w:tplc="AB0A5092">
      <w:start w:val="1"/>
      <w:numFmt w:val="decimal"/>
      <w:lvlText w:val="%1."/>
      <w:lvlJc w:val="left"/>
      <w:pPr>
        <w:ind w:left="720" w:hanging="360"/>
      </w:pPr>
      <w:rPr>
        <w:rFonts w:ascii="Times New Roman" w:hAnsi="Times New Roman" w:cs="Times New Roman" w:hint="default"/>
        <w:color w:val="auto"/>
        <w:sz w:val="26"/>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EB06E1D"/>
    <w:multiLevelType w:val="hybridMultilevel"/>
    <w:tmpl w:val="11322C5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5B"/>
    <w:rsid w:val="00007003"/>
    <w:rsid w:val="000152CD"/>
    <w:rsid w:val="00046FE9"/>
    <w:rsid w:val="00051107"/>
    <w:rsid w:val="000755A2"/>
    <w:rsid w:val="00085D09"/>
    <w:rsid w:val="00106658"/>
    <w:rsid w:val="00110C5D"/>
    <w:rsid w:val="00127DAB"/>
    <w:rsid w:val="00160DDA"/>
    <w:rsid w:val="001939A8"/>
    <w:rsid w:val="00195A4D"/>
    <w:rsid w:val="001A4B30"/>
    <w:rsid w:val="001F3590"/>
    <w:rsid w:val="00201DE3"/>
    <w:rsid w:val="00205C08"/>
    <w:rsid w:val="00213AF0"/>
    <w:rsid w:val="002346D1"/>
    <w:rsid w:val="00256060"/>
    <w:rsid w:val="002772DE"/>
    <w:rsid w:val="0028118F"/>
    <w:rsid w:val="00281424"/>
    <w:rsid w:val="00281810"/>
    <w:rsid w:val="0028245B"/>
    <w:rsid w:val="00284DBB"/>
    <w:rsid w:val="002A6E80"/>
    <w:rsid w:val="00310842"/>
    <w:rsid w:val="0036796A"/>
    <w:rsid w:val="00372686"/>
    <w:rsid w:val="0039748D"/>
    <w:rsid w:val="003A7DEF"/>
    <w:rsid w:val="003B5E4A"/>
    <w:rsid w:val="003E5075"/>
    <w:rsid w:val="00477017"/>
    <w:rsid w:val="00495A36"/>
    <w:rsid w:val="004A1278"/>
    <w:rsid w:val="004D5456"/>
    <w:rsid w:val="004D6F02"/>
    <w:rsid w:val="00501ED8"/>
    <w:rsid w:val="0052688C"/>
    <w:rsid w:val="0054593F"/>
    <w:rsid w:val="00586CB6"/>
    <w:rsid w:val="005C2E51"/>
    <w:rsid w:val="005C4E0D"/>
    <w:rsid w:val="005F46DC"/>
    <w:rsid w:val="00603E2E"/>
    <w:rsid w:val="00612F0A"/>
    <w:rsid w:val="006802E1"/>
    <w:rsid w:val="006A56DD"/>
    <w:rsid w:val="006B253D"/>
    <w:rsid w:val="006C31C4"/>
    <w:rsid w:val="006E3C88"/>
    <w:rsid w:val="006E484A"/>
    <w:rsid w:val="00713181"/>
    <w:rsid w:val="00740C3E"/>
    <w:rsid w:val="00792DF2"/>
    <w:rsid w:val="007A022C"/>
    <w:rsid w:val="007B6204"/>
    <w:rsid w:val="007C60D1"/>
    <w:rsid w:val="007D31E3"/>
    <w:rsid w:val="007E2772"/>
    <w:rsid w:val="00815554"/>
    <w:rsid w:val="00833630"/>
    <w:rsid w:val="00843333"/>
    <w:rsid w:val="00845625"/>
    <w:rsid w:val="008A23E3"/>
    <w:rsid w:val="008B12AE"/>
    <w:rsid w:val="00925F28"/>
    <w:rsid w:val="00933CB9"/>
    <w:rsid w:val="00936FCE"/>
    <w:rsid w:val="009607BD"/>
    <w:rsid w:val="009675EE"/>
    <w:rsid w:val="009B2ED3"/>
    <w:rsid w:val="009C6E1F"/>
    <w:rsid w:val="009D3211"/>
    <w:rsid w:val="009F336F"/>
    <w:rsid w:val="00A35804"/>
    <w:rsid w:val="00A91226"/>
    <w:rsid w:val="00AC7EB6"/>
    <w:rsid w:val="00AD0986"/>
    <w:rsid w:val="00B10FFD"/>
    <w:rsid w:val="00B35AAD"/>
    <w:rsid w:val="00B40CB5"/>
    <w:rsid w:val="00B46AD9"/>
    <w:rsid w:val="00B50825"/>
    <w:rsid w:val="00B50EB6"/>
    <w:rsid w:val="00B75D87"/>
    <w:rsid w:val="00BC47CC"/>
    <w:rsid w:val="00C01D88"/>
    <w:rsid w:val="00C508AF"/>
    <w:rsid w:val="00C94646"/>
    <w:rsid w:val="00C96EC3"/>
    <w:rsid w:val="00CB652D"/>
    <w:rsid w:val="00CC4001"/>
    <w:rsid w:val="00D101C4"/>
    <w:rsid w:val="00D220E6"/>
    <w:rsid w:val="00D42FB3"/>
    <w:rsid w:val="00DF6EBC"/>
    <w:rsid w:val="00E12A92"/>
    <w:rsid w:val="00E27866"/>
    <w:rsid w:val="00E863D9"/>
    <w:rsid w:val="00EB48B5"/>
    <w:rsid w:val="00EC172E"/>
    <w:rsid w:val="00ED1082"/>
    <w:rsid w:val="00EE3175"/>
    <w:rsid w:val="00EF442A"/>
    <w:rsid w:val="00F0107E"/>
    <w:rsid w:val="00F16AF2"/>
    <w:rsid w:val="00F46A71"/>
    <w:rsid w:val="00F7441A"/>
    <w:rsid w:val="00FD254F"/>
    <w:rsid w:val="00FF79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24C82F-890B-4F06-B29A-E4CA2070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45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245B"/>
    <w:pPr>
      <w:tabs>
        <w:tab w:val="center" w:pos="4153"/>
        <w:tab w:val="right" w:pos="8306"/>
      </w:tabs>
    </w:pPr>
  </w:style>
  <w:style w:type="character" w:customStyle="1" w:styleId="HeaderChar">
    <w:name w:val="Header Char"/>
    <w:basedOn w:val="DefaultParagraphFont"/>
    <w:link w:val="Header"/>
    <w:rsid w:val="0028245B"/>
    <w:rPr>
      <w:rFonts w:ascii="Times New Roman" w:eastAsia="Times New Roman" w:hAnsi="Times New Roman" w:cs="Times New Roman"/>
      <w:sz w:val="24"/>
      <w:szCs w:val="24"/>
      <w:lang w:eastAsia="lv-LV"/>
    </w:rPr>
  </w:style>
  <w:style w:type="character" w:styleId="PageNumber">
    <w:name w:val="page number"/>
    <w:basedOn w:val="DefaultParagraphFont"/>
    <w:rsid w:val="0028245B"/>
  </w:style>
  <w:style w:type="paragraph" w:customStyle="1" w:styleId="naisf">
    <w:name w:val="naisf"/>
    <w:basedOn w:val="Normal"/>
    <w:rsid w:val="0028245B"/>
    <w:pPr>
      <w:spacing w:before="75" w:after="75"/>
      <w:ind w:firstLine="375"/>
      <w:jc w:val="both"/>
    </w:pPr>
  </w:style>
  <w:style w:type="paragraph" w:customStyle="1" w:styleId="naisnod">
    <w:name w:val="naisnod"/>
    <w:basedOn w:val="Normal"/>
    <w:rsid w:val="0028245B"/>
    <w:pPr>
      <w:spacing w:before="150" w:after="150"/>
      <w:jc w:val="center"/>
    </w:pPr>
    <w:rPr>
      <w:b/>
      <w:bCs/>
    </w:rPr>
  </w:style>
  <w:style w:type="paragraph" w:customStyle="1" w:styleId="naislab">
    <w:name w:val="naislab"/>
    <w:basedOn w:val="Normal"/>
    <w:rsid w:val="0028245B"/>
    <w:pPr>
      <w:spacing w:before="75" w:after="75"/>
      <w:jc w:val="right"/>
    </w:pPr>
  </w:style>
  <w:style w:type="paragraph" w:customStyle="1" w:styleId="naiskr">
    <w:name w:val="naiskr"/>
    <w:basedOn w:val="Normal"/>
    <w:rsid w:val="0028245B"/>
    <w:pPr>
      <w:spacing w:before="75" w:after="75"/>
    </w:pPr>
  </w:style>
  <w:style w:type="paragraph" w:styleId="Footer">
    <w:name w:val="footer"/>
    <w:basedOn w:val="Normal"/>
    <w:link w:val="FooterChar"/>
    <w:rsid w:val="0028245B"/>
    <w:pPr>
      <w:tabs>
        <w:tab w:val="center" w:pos="4153"/>
        <w:tab w:val="right" w:pos="8306"/>
      </w:tabs>
    </w:pPr>
  </w:style>
  <w:style w:type="character" w:customStyle="1" w:styleId="FooterChar">
    <w:name w:val="Footer Char"/>
    <w:basedOn w:val="DefaultParagraphFont"/>
    <w:link w:val="Footer"/>
    <w:rsid w:val="0028245B"/>
    <w:rPr>
      <w:rFonts w:ascii="Times New Roman" w:eastAsia="Times New Roman" w:hAnsi="Times New Roman" w:cs="Times New Roman"/>
      <w:sz w:val="24"/>
      <w:szCs w:val="24"/>
      <w:lang w:eastAsia="lv-LV"/>
    </w:rPr>
  </w:style>
  <w:style w:type="character" w:styleId="Hyperlink">
    <w:name w:val="Hyperlink"/>
    <w:uiPriority w:val="99"/>
    <w:rsid w:val="0028245B"/>
    <w:rPr>
      <w:color w:val="0000FF"/>
      <w:u w:val="single"/>
    </w:rPr>
  </w:style>
  <w:style w:type="paragraph" w:customStyle="1" w:styleId="DefaultParagraphFont1">
    <w:name w:val="Default Paragraph Font1"/>
    <w:basedOn w:val="Normal"/>
    <w:rsid w:val="0028245B"/>
    <w:rPr>
      <w:rFonts w:ascii="CG Times (W1)" w:hAnsi="CG Times (W1)"/>
      <w:sz w:val="20"/>
      <w:szCs w:val="20"/>
      <w:lang w:eastAsia="en-US"/>
    </w:rPr>
  </w:style>
  <w:style w:type="character" w:customStyle="1" w:styleId="FontStyle20">
    <w:name w:val="Font Style20"/>
    <w:uiPriority w:val="99"/>
    <w:rsid w:val="0028245B"/>
    <w:rPr>
      <w:rFonts w:ascii="Arial" w:hAnsi="Arial" w:cs="Arial"/>
      <w:b/>
      <w:bCs/>
      <w:color w:val="000000"/>
      <w:sz w:val="30"/>
      <w:szCs w:val="30"/>
    </w:rPr>
  </w:style>
  <w:style w:type="paragraph" w:styleId="NoSpacing">
    <w:name w:val="No Spacing"/>
    <w:uiPriority w:val="1"/>
    <w:qFormat/>
    <w:rsid w:val="0028245B"/>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5804"/>
    <w:rPr>
      <w:rFonts w:ascii="Tahoma" w:hAnsi="Tahoma" w:cs="Tahoma"/>
      <w:sz w:val="16"/>
      <w:szCs w:val="16"/>
    </w:rPr>
  </w:style>
  <w:style w:type="character" w:customStyle="1" w:styleId="BalloonTextChar">
    <w:name w:val="Balloon Text Char"/>
    <w:basedOn w:val="DefaultParagraphFont"/>
    <w:link w:val="BalloonText"/>
    <w:uiPriority w:val="99"/>
    <w:semiHidden/>
    <w:rsid w:val="00A35804"/>
    <w:rPr>
      <w:rFonts w:ascii="Tahoma" w:eastAsia="Times New Roman" w:hAnsi="Tahoma" w:cs="Tahoma"/>
      <w:sz w:val="16"/>
      <w:szCs w:val="16"/>
      <w:lang w:eastAsia="lv-LV"/>
    </w:rPr>
  </w:style>
  <w:style w:type="paragraph" w:styleId="NormalWeb">
    <w:name w:val="Normal (Web)"/>
    <w:basedOn w:val="Normal"/>
    <w:uiPriority w:val="99"/>
    <w:rsid w:val="006802E1"/>
    <w:pPr>
      <w:spacing w:before="100" w:beforeAutospacing="1" w:after="100" w:afterAutospacing="1"/>
    </w:pPr>
  </w:style>
  <w:style w:type="paragraph" w:styleId="ListParagraph">
    <w:name w:val="List Paragraph"/>
    <w:basedOn w:val="Normal"/>
    <w:uiPriority w:val="34"/>
    <w:qFormat/>
    <w:rsid w:val="00845625"/>
    <w:pPr>
      <w:ind w:left="72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9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ga.Avotina@f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5997</Words>
  <Characters>3419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2007.gada 6.februāra noteikumos Nr.96 „Kārtība, kādā iesniedzams ziņojums par azartspēļu un izložu organizēšanu”” sākotnējās ietekmes novērtējuma ziņojums (anotācija)</vt:lpstr>
    </vt:vector>
  </TitlesOfParts>
  <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6.februāra noteikumos Nr.96 „Kārtība, kādā iesniedzams ziņojums par azartspēļu un izložu organizēšanu”” sākotnējās ietekmes novērtējuma ziņojums (anotācija)</dc:title>
  <dc:subject>sākotnējās ietekmes novērtējuma ziņojums (anotācija)</dc:subject>
  <dc:creator>I.Avotiņa</dc:creator>
  <dc:description>Inga.Avotina@fm.gov.lv_x000d_
67095515</dc:description>
  <cp:lastModifiedBy>Liene Strēlniece</cp:lastModifiedBy>
  <cp:revision>20</cp:revision>
  <cp:lastPrinted>2014-12-05T09:08:00Z</cp:lastPrinted>
  <dcterms:created xsi:type="dcterms:W3CDTF">2014-12-05T06:57:00Z</dcterms:created>
  <dcterms:modified xsi:type="dcterms:W3CDTF">2014-12-17T14:03:00Z</dcterms:modified>
</cp:coreProperties>
</file>