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CC12D" w14:textId="77777777" w:rsidR="00E10F28" w:rsidRPr="008E513B" w:rsidRDefault="00036F46" w:rsidP="00DA34B7">
      <w:pPr>
        <w:jc w:val="center"/>
        <w:rPr>
          <w:rFonts w:eastAsia="Times New Roman" w:cs="Times New Roman"/>
          <w:b/>
          <w:bCs/>
          <w:szCs w:val="24"/>
          <w:lang w:eastAsia="lv-LV"/>
        </w:rPr>
      </w:pPr>
      <w:r w:rsidRPr="008E513B">
        <w:rPr>
          <w:rFonts w:eastAsia="Times New Roman" w:cs="Times New Roman"/>
          <w:b/>
          <w:bCs/>
          <w:szCs w:val="24"/>
          <w:lang w:eastAsia="lv-LV"/>
        </w:rPr>
        <w:t>Ministru kabineta noteikumu projekta „</w:t>
      </w:r>
      <w:r w:rsidR="00DA34B7" w:rsidRPr="008E513B">
        <w:rPr>
          <w:b/>
          <w:szCs w:val="28"/>
        </w:rPr>
        <w:t>Noteikumi par fiskālo risku vispārējo vadību un par fiskālās nodrošinājuma rezerves apjoma noteikšanas metodoloģiju</w:t>
      </w:r>
      <w:r w:rsidRPr="008E513B">
        <w:rPr>
          <w:rFonts w:eastAsia="Times New Roman" w:cs="Times New Roman"/>
          <w:b/>
          <w:bCs/>
          <w:szCs w:val="24"/>
          <w:lang w:eastAsia="lv-LV"/>
        </w:rPr>
        <w:t xml:space="preserve">” </w:t>
      </w:r>
      <w:r w:rsidR="00E10F28" w:rsidRPr="008E513B">
        <w:rPr>
          <w:rFonts w:eastAsia="Times New Roman" w:cs="Times New Roman"/>
          <w:b/>
          <w:bCs/>
          <w:szCs w:val="24"/>
          <w:lang w:eastAsia="lv-LV"/>
        </w:rPr>
        <w:t>sākotnējās ietekmes novērtējuma ziņojums (anotācija)</w:t>
      </w:r>
    </w:p>
    <w:p w14:paraId="2BEB98DE" w14:textId="77777777" w:rsidR="005C545E" w:rsidRPr="00A6706B" w:rsidRDefault="005C545E" w:rsidP="00DA34B7">
      <w:pPr>
        <w:jc w:val="center"/>
        <w:rPr>
          <w:b/>
          <w:sz w:val="16"/>
          <w:szCs w:val="28"/>
        </w:rPr>
      </w:pPr>
    </w:p>
    <w:tbl>
      <w:tblPr>
        <w:tblW w:w="10200" w:type="dxa"/>
        <w:tblCellSpacing w:w="0" w:type="dxa"/>
        <w:tblInd w:w="-5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
        <w:gridCol w:w="3326"/>
        <w:gridCol w:w="6378"/>
      </w:tblGrid>
      <w:tr w:rsidR="008E513B" w:rsidRPr="008E513B" w14:paraId="2181E4E5" w14:textId="77777777" w:rsidTr="005C545E">
        <w:trPr>
          <w:tblCellSpacing w:w="0" w:type="dxa"/>
        </w:trPr>
        <w:tc>
          <w:tcPr>
            <w:tcW w:w="10200" w:type="dxa"/>
            <w:gridSpan w:val="3"/>
            <w:tcBorders>
              <w:top w:val="outset" w:sz="6" w:space="0" w:color="auto"/>
              <w:left w:val="outset" w:sz="6" w:space="0" w:color="auto"/>
              <w:bottom w:val="outset" w:sz="6" w:space="0" w:color="auto"/>
              <w:right w:val="outset" w:sz="6" w:space="0" w:color="auto"/>
            </w:tcBorders>
            <w:vAlign w:val="center"/>
            <w:hideMark/>
          </w:tcPr>
          <w:p w14:paraId="08543500" w14:textId="77777777" w:rsidR="00E10F28" w:rsidRPr="008E513B" w:rsidRDefault="00E10F28" w:rsidP="00036F46">
            <w:pPr>
              <w:spacing w:before="100" w:beforeAutospacing="1" w:after="100" w:afterAutospacing="1"/>
              <w:jc w:val="center"/>
              <w:rPr>
                <w:rFonts w:eastAsia="Times New Roman" w:cs="Times New Roman"/>
                <w:sz w:val="24"/>
                <w:szCs w:val="24"/>
                <w:lang w:eastAsia="lv-LV"/>
              </w:rPr>
            </w:pPr>
            <w:r w:rsidRPr="008E513B">
              <w:rPr>
                <w:rFonts w:eastAsia="Times New Roman" w:cs="Times New Roman"/>
                <w:b/>
                <w:bCs/>
                <w:sz w:val="24"/>
                <w:szCs w:val="24"/>
                <w:lang w:eastAsia="lv-LV"/>
              </w:rPr>
              <w:t>I. Tiesību akta projekta izstrādes nepieciešamība</w:t>
            </w:r>
          </w:p>
        </w:tc>
      </w:tr>
      <w:tr w:rsidR="008E513B" w:rsidRPr="008E513B" w14:paraId="1E5AFF8D" w14:textId="77777777" w:rsidTr="005C545E">
        <w:trPr>
          <w:trHeight w:val="630"/>
          <w:tblCellSpacing w:w="0" w:type="dxa"/>
        </w:trPr>
        <w:tc>
          <w:tcPr>
            <w:tcW w:w="496" w:type="dxa"/>
            <w:tcBorders>
              <w:top w:val="outset" w:sz="6" w:space="0" w:color="auto"/>
              <w:left w:val="outset" w:sz="6" w:space="0" w:color="auto"/>
              <w:bottom w:val="outset" w:sz="6" w:space="0" w:color="auto"/>
              <w:right w:val="outset" w:sz="6" w:space="0" w:color="auto"/>
            </w:tcBorders>
            <w:hideMark/>
          </w:tcPr>
          <w:p w14:paraId="0F36D8E5" w14:textId="77777777" w:rsidR="00E10F28" w:rsidRPr="008E513B" w:rsidRDefault="00E10F28" w:rsidP="00E10F28">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1.</w:t>
            </w:r>
          </w:p>
        </w:tc>
        <w:tc>
          <w:tcPr>
            <w:tcW w:w="3326" w:type="dxa"/>
            <w:tcBorders>
              <w:top w:val="outset" w:sz="6" w:space="0" w:color="auto"/>
              <w:left w:val="outset" w:sz="6" w:space="0" w:color="auto"/>
              <w:bottom w:val="outset" w:sz="6" w:space="0" w:color="auto"/>
              <w:right w:val="outset" w:sz="6" w:space="0" w:color="auto"/>
            </w:tcBorders>
            <w:hideMark/>
          </w:tcPr>
          <w:p w14:paraId="462B8968" w14:textId="77777777" w:rsidR="00E10F28" w:rsidRPr="008E513B" w:rsidRDefault="00E10F28" w:rsidP="00E10F28">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Pamatojums</w:t>
            </w:r>
          </w:p>
        </w:tc>
        <w:tc>
          <w:tcPr>
            <w:tcW w:w="6378" w:type="dxa"/>
            <w:tcBorders>
              <w:top w:val="outset" w:sz="6" w:space="0" w:color="auto"/>
              <w:left w:val="outset" w:sz="6" w:space="0" w:color="auto"/>
              <w:bottom w:val="outset" w:sz="6" w:space="0" w:color="auto"/>
              <w:right w:val="outset" w:sz="6" w:space="0" w:color="auto"/>
            </w:tcBorders>
            <w:hideMark/>
          </w:tcPr>
          <w:p w14:paraId="0F4327D0" w14:textId="647C060C" w:rsidR="00E10F28" w:rsidRPr="008E513B" w:rsidRDefault="00E71110" w:rsidP="00DA34B7">
            <w:pPr>
              <w:jc w:val="both"/>
              <w:rPr>
                <w:b/>
                <w:szCs w:val="28"/>
              </w:rPr>
            </w:pPr>
            <w:r w:rsidRPr="008E513B">
              <w:rPr>
                <w:rFonts w:eastAsia="Times New Roman" w:cs="Times New Roman"/>
                <w:sz w:val="24"/>
                <w:szCs w:val="24"/>
                <w:lang w:eastAsia="lv-LV"/>
              </w:rPr>
              <w:t xml:space="preserve"> </w:t>
            </w:r>
            <w:r w:rsidR="003C2625" w:rsidRPr="008E513B">
              <w:rPr>
                <w:rFonts w:eastAsia="Times New Roman" w:cs="Times New Roman"/>
                <w:sz w:val="24"/>
                <w:szCs w:val="24"/>
                <w:lang w:eastAsia="lv-LV"/>
              </w:rPr>
              <w:t xml:space="preserve">   </w:t>
            </w:r>
            <w:r w:rsidR="00036F46" w:rsidRPr="008E513B">
              <w:rPr>
                <w:rFonts w:eastAsia="Times New Roman" w:cs="Times New Roman"/>
                <w:sz w:val="24"/>
                <w:szCs w:val="24"/>
                <w:lang w:eastAsia="lv-LV"/>
              </w:rPr>
              <w:t>Ministru kabineta</w:t>
            </w:r>
            <w:r w:rsidR="00A6706B">
              <w:rPr>
                <w:rFonts w:eastAsia="Times New Roman" w:cs="Times New Roman"/>
                <w:sz w:val="24"/>
                <w:szCs w:val="24"/>
                <w:lang w:eastAsia="lv-LV"/>
              </w:rPr>
              <w:t xml:space="preserve"> (turpmāk – MK)</w:t>
            </w:r>
            <w:r w:rsidR="00036F46" w:rsidRPr="008E513B">
              <w:rPr>
                <w:rFonts w:eastAsia="Times New Roman" w:cs="Times New Roman"/>
                <w:sz w:val="24"/>
                <w:szCs w:val="24"/>
                <w:lang w:eastAsia="lv-LV"/>
              </w:rPr>
              <w:t xml:space="preserve"> noteikumu projekts „</w:t>
            </w:r>
            <w:r w:rsidR="00DA34B7" w:rsidRPr="008E513B">
              <w:rPr>
                <w:sz w:val="24"/>
                <w:szCs w:val="28"/>
              </w:rPr>
              <w:t>Noteikumi par fiskālo risku vispārējo vadību un par fiskālās nodrošinājuma rezerves apjoma noteikšanas metodoloģiju</w:t>
            </w:r>
            <w:r w:rsidR="00036F46" w:rsidRPr="008E513B">
              <w:rPr>
                <w:rFonts w:eastAsia="Times New Roman" w:cs="Times New Roman"/>
                <w:sz w:val="24"/>
                <w:szCs w:val="24"/>
                <w:lang w:eastAsia="lv-LV"/>
              </w:rPr>
              <w:t xml:space="preserve">” (turpmāk – </w:t>
            </w:r>
            <w:r w:rsidR="002B6CBF" w:rsidRPr="008E513B">
              <w:rPr>
                <w:rFonts w:eastAsia="Times New Roman" w:cs="Times New Roman"/>
                <w:sz w:val="24"/>
                <w:szCs w:val="24"/>
                <w:lang w:eastAsia="lv-LV"/>
              </w:rPr>
              <w:t>noteikumu</w:t>
            </w:r>
            <w:r w:rsidR="00036F46" w:rsidRPr="008E513B">
              <w:rPr>
                <w:rFonts w:eastAsia="Times New Roman" w:cs="Times New Roman"/>
                <w:sz w:val="24"/>
                <w:szCs w:val="24"/>
                <w:lang w:eastAsia="lv-LV"/>
              </w:rPr>
              <w:t xml:space="preserve"> projekts) izstrādāts, pamatojoties uz Fiskālās disciplīnas likuma (turp</w:t>
            </w:r>
            <w:r w:rsidR="00CD08A9" w:rsidRPr="008E513B">
              <w:rPr>
                <w:rFonts w:eastAsia="Times New Roman" w:cs="Times New Roman"/>
                <w:sz w:val="24"/>
                <w:szCs w:val="24"/>
                <w:lang w:eastAsia="lv-LV"/>
              </w:rPr>
              <w:t>māk – FDL) 16. panta trešo daļu</w:t>
            </w:r>
            <w:r w:rsidR="00DA34B7" w:rsidRPr="008E513B">
              <w:rPr>
                <w:rFonts w:eastAsia="Times New Roman" w:cs="Times New Roman"/>
                <w:sz w:val="24"/>
                <w:szCs w:val="24"/>
                <w:lang w:eastAsia="lv-LV"/>
              </w:rPr>
              <w:t xml:space="preserve"> un 17. panta trešo daļu</w:t>
            </w:r>
            <w:r w:rsidR="00CD08A9" w:rsidRPr="008E513B">
              <w:rPr>
                <w:rFonts w:eastAsia="Times New Roman" w:cs="Times New Roman"/>
                <w:sz w:val="24"/>
                <w:szCs w:val="24"/>
                <w:lang w:eastAsia="lv-LV"/>
              </w:rPr>
              <w:t>.</w:t>
            </w:r>
          </w:p>
        </w:tc>
      </w:tr>
      <w:tr w:rsidR="008E513B" w:rsidRPr="008E513B" w14:paraId="43F1A476" w14:textId="77777777" w:rsidTr="005C545E">
        <w:trPr>
          <w:trHeight w:val="472"/>
          <w:tblCellSpacing w:w="0" w:type="dxa"/>
        </w:trPr>
        <w:tc>
          <w:tcPr>
            <w:tcW w:w="496" w:type="dxa"/>
            <w:tcBorders>
              <w:top w:val="outset" w:sz="6" w:space="0" w:color="auto"/>
              <w:left w:val="outset" w:sz="6" w:space="0" w:color="auto"/>
              <w:bottom w:val="outset" w:sz="6" w:space="0" w:color="auto"/>
              <w:right w:val="outset" w:sz="6" w:space="0" w:color="auto"/>
            </w:tcBorders>
            <w:hideMark/>
          </w:tcPr>
          <w:p w14:paraId="240A856A" w14:textId="64F94927" w:rsidR="007D3575" w:rsidRDefault="00E10F28" w:rsidP="00E10F28">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2.</w:t>
            </w:r>
          </w:p>
          <w:p w14:paraId="4DC56262" w14:textId="77777777" w:rsidR="007D3575" w:rsidRPr="007D3575" w:rsidRDefault="007D3575" w:rsidP="007D3575">
            <w:pPr>
              <w:rPr>
                <w:rFonts w:eastAsia="Times New Roman" w:cs="Times New Roman"/>
                <w:sz w:val="24"/>
                <w:szCs w:val="24"/>
                <w:lang w:eastAsia="lv-LV"/>
              </w:rPr>
            </w:pPr>
          </w:p>
          <w:p w14:paraId="7343E6A6" w14:textId="77777777" w:rsidR="007D3575" w:rsidRPr="007D3575" w:rsidRDefault="007D3575" w:rsidP="007D3575">
            <w:pPr>
              <w:rPr>
                <w:rFonts w:eastAsia="Times New Roman" w:cs="Times New Roman"/>
                <w:sz w:val="24"/>
                <w:szCs w:val="24"/>
                <w:lang w:eastAsia="lv-LV"/>
              </w:rPr>
            </w:pPr>
          </w:p>
          <w:p w14:paraId="51268FA6" w14:textId="77777777" w:rsidR="007D3575" w:rsidRPr="007D3575" w:rsidRDefault="007D3575" w:rsidP="007D3575">
            <w:pPr>
              <w:rPr>
                <w:rFonts w:eastAsia="Times New Roman" w:cs="Times New Roman"/>
                <w:sz w:val="24"/>
                <w:szCs w:val="24"/>
                <w:lang w:eastAsia="lv-LV"/>
              </w:rPr>
            </w:pPr>
          </w:p>
          <w:p w14:paraId="6F7EAA28" w14:textId="77777777" w:rsidR="007D3575" w:rsidRPr="007D3575" w:rsidRDefault="007D3575" w:rsidP="007D3575">
            <w:pPr>
              <w:rPr>
                <w:rFonts w:eastAsia="Times New Roman" w:cs="Times New Roman"/>
                <w:sz w:val="24"/>
                <w:szCs w:val="24"/>
                <w:lang w:eastAsia="lv-LV"/>
              </w:rPr>
            </w:pPr>
          </w:p>
          <w:p w14:paraId="24A4F60C" w14:textId="77777777" w:rsidR="007D3575" w:rsidRPr="007D3575" w:rsidRDefault="007D3575" w:rsidP="007D3575">
            <w:pPr>
              <w:rPr>
                <w:rFonts w:eastAsia="Times New Roman" w:cs="Times New Roman"/>
                <w:sz w:val="24"/>
                <w:szCs w:val="24"/>
                <w:lang w:eastAsia="lv-LV"/>
              </w:rPr>
            </w:pPr>
          </w:p>
          <w:p w14:paraId="30B8BD8B" w14:textId="77777777" w:rsidR="007D3575" w:rsidRPr="007D3575" w:rsidRDefault="007D3575" w:rsidP="007D3575">
            <w:pPr>
              <w:rPr>
                <w:rFonts w:eastAsia="Times New Roman" w:cs="Times New Roman"/>
                <w:sz w:val="24"/>
                <w:szCs w:val="24"/>
                <w:lang w:eastAsia="lv-LV"/>
              </w:rPr>
            </w:pPr>
          </w:p>
          <w:p w14:paraId="1BA5C81A" w14:textId="77777777" w:rsidR="007D3575" w:rsidRPr="007D3575" w:rsidRDefault="007D3575" w:rsidP="007D3575">
            <w:pPr>
              <w:rPr>
                <w:rFonts w:eastAsia="Times New Roman" w:cs="Times New Roman"/>
                <w:sz w:val="24"/>
                <w:szCs w:val="24"/>
                <w:lang w:eastAsia="lv-LV"/>
              </w:rPr>
            </w:pPr>
          </w:p>
          <w:p w14:paraId="39098A5D" w14:textId="77777777" w:rsidR="007D3575" w:rsidRPr="007D3575" w:rsidRDefault="007D3575" w:rsidP="007D3575">
            <w:pPr>
              <w:rPr>
                <w:rFonts w:eastAsia="Times New Roman" w:cs="Times New Roman"/>
                <w:sz w:val="24"/>
                <w:szCs w:val="24"/>
                <w:lang w:eastAsia="lv-LV"/>
              </w:rPr>
            </w:pPr>
          </w:p>
          <w:p w14:paraId="35ED181E" w14:textId="77777777" w:rsidR="007D3575" w:rsidRPr="007D3575" w:rsidRDefault="007D3575" w:rsidP="007D3575">
            <w:pPr>
              <w:rPr>
                <w:rFonts w:eastAsia="Times New Roman" w:cs="Times New Roman"/>
                <w:sz w:val="24"/>
                <w:szCs w:val="24"/>
                <w:lang w:eastAsia="lv-LV"/>
              </w:rPr>
            </w:pPr>
          </w:p>
          <w:p w14:paraId="4DB390D7" w14:textId="77777777" w:rsidR="007D3575" w:rsidRPr="007D3575" w:rsidRDefault="007D3575" w:rsidP="007D3575">
            <w:pPr>
              <w:rPr>
                <w:rFonts w:eastAsia="Times New Roman" w:cs="Times New Roman"/>
                <w:sz w:val="24"/>
                <w:szCs w:val="24"/>
                <w:lang w:eastAsia="lv-LV"/>
              </w:rPr>
            </w:pPr>
          </w:p>
          <w:p w14:paraId="2EE3ACC5" w14:textId="77777777" w:rsidR="007D3575" w:rsidRPr="007D3575" w:rsidRDefault="007D3575" w:rsidP="007D3575">
            <w:pPr>
              <w:rPr>
                <w:rFonts w:eastAsia="Times New Roman" w:cs="Times New Roman"/>
                <w:sz w:val="24"/>
                <w:szCs w:val="24"/>
                <w:lang w:eastAsia="lv-LV"/>
              </w:rPr>
            </w:pPr>
          </w:p>
          <w:p w14:paraId="797F2E52" w14:textId="77777777" w:rsidR="007D3575" w:rsidRPr="007D3575" w:rsidRDefault="007D3575" w:rsidP="007D3575">
            <w:pPr>
              <w:rPr>
                <w:rFonts w:eastAsia="Times New Roman" w:cs="Times New Roman"/>
                <w:sz w:val="24"/>
                <w:szCs w:val="24"/>
                <w:lang w:eastAsia="lv-LV"/>
              </w:rPr>
            </w:pPr>
          </w:p>
          <w:p w14:paraId="4C942CDA" w14:textId="77777777" w:rsidR="007D3575" w:rsidRPr="007D3575" w:rsidRDefault="007D3575" w:rsidP="007D3575">
            <w:pPr>
              <w:rPr>
                <w:rFonts w:eastAsia="Times New Roman" w:cs="Times New Roman"/>
                <w:sz w:val="24"/>
                <w:szCs w:val="24"/>
                <w:lang w:eastAsia="lv-LV"/>
              </w:rPr>
            </w:pPr>
          </w:p>
          <w:p w14:paraId="16A09701" w14:textId="77777777" w:rsidR="007D3575" w:rsidRPr="007D3575" w:rsidRDefault="007D3575" w:rsidP="007D3575">
            <w:pPr>
              <w:rPr>
                <w:rFonts w:eastAsia="Times New Roman" w:cs="Times New Roman"/>
                <w:sz w:val="24"/>
                <w:szCs w:val="24"/>
                <w:lang w:eastAsia="lv-LV"/>
              </w:rPr>
            </w:pPr>
          </w:p>
          <w:p w14:paraId="5326B335" w14:textId="77777777" w:rsidR="007D3575" w:rsidRPr="007D3575" w:rsidRDefault="007D3575" w:rsidP="007D3575">
            <w:pPr>
              <w:rPr>
                <w:rFonts w:eastAsia="Times New Roman" w:cs="Times New Roman"/>
                <w:sz w:val="24"/>
                <w:szCs w:val="24"/>
                <w:lang w:eastAsia="lv-LV"/>
              </w:rPr>
            </w:pPr>
          </w:p>
          <w:p w14:paraId="73299348" w14:textId="77777777" w:rsidR="007D3575" w:rsidRPr="007D3575" w:rsidRDefault="007D3575" w:rsidP="007D3575">
            <w:pPr>
              <w:rPr>
                <w:rFonts w:eastAsia="Times New Roman" w:cs="Times New Roman"/>
                <w:sz w:val="24"/>
                <w:szCs w:val="24"/>
                <w:lang w:eastAsia="lv-LV"/>
              </w:rPr>
            </w:pPr>
          </w:p>
          <w:p w14:paraId="41F54A0D" w14:textId="77777777" w:rsidR="007D3575" w:rsidRPr="007D3575" w:rsidRDefault="007D3575" w:rsidP="007D3575">
            <w:pPr>
              <w:rPr>
                <w:rFonts w:eastAsia="Times New Roman" w:cs="Times New Roman"/>
                <w:sz w:val="24"/>
                <w:szCs w:val="24"/>
                <w:lang w:eastAsia="lv-LV"/>
              </w:rPr>
            </w:pPr>
          </w:p>
          <w:p w14:paraId="3AD2672A" w14:textId="77777777" w:rsidR="007D3575" w:rsidRPr="007D3575" w:rsidRDefault="007D3575" w:rsidP="007D3575">
            <w:pPr>
              <w:rPr>
                <w:rFonts w:eastAsia="Times New Roman" w:cs="Times New Roman"/>
                <w:sz w:val="24"/>
                <w:szCs w:val="24"/>
                <w:lang w:eastAsia="lv-LV"/>
              </w:rPr>
            </w:pPr>
          </w:p>
          <w:p w14:paraId="250074EE" w14:textId="77777777" w:rsidR="007D3575" w:rsidRPr="007D3575" w:rsidRDefault="007D3575" w:rsidP="007D3575">
            <w:pPr>
              <w:rPr>
                <w:rFonts w:eastAsia="Times New Roman" w:cs="Times New Roman"/>
                <w:sz w:val="24"/>
                <w:szCs w:val="24"/>
                <w:lang w:eastAsia="lv-LV"/>
              </w:rPr>
            </w:pPr>
          </w:p>
          <w:p w14:paraId="1CD9B476" w14:textId="77777777" w:rsidR="007D3575" w:rsidRPr="007D3575" w:rsidRDefault="007D3575" w:rsidP="007D3575">
            <w:pPr>
              <w:rPr>
                <w:rFonts w:eastAsia="Times New Roman" w:cs="Times New Roman"/>
                <w:sz w:val="24"/>
                <w:szCs w:val="24"/>
                <w:lang w:eastAsia="lv-LV"/>
              </w:rPr>
            </w:pPr>
          </w:p>
          <w:p w14:paraId="243CF2BF" w14:textId="77777777" w:rsidR="007D3575" w:rsidRPr="007D3575" w:rsidRDefault="007D3575" w:rsidP="007D3575">
            <w:pPr>
              <w:rPr>
                <w:rFonts w:eastAsia="Times New Roman" w:cs="Times New Roman"/>
                <w:sz w:val="24"/>
                <w:szCs w:val="24"/>
                <w:lang w:eastAsia="lv-LV"/>
              </w:rPr>
            </w:pPr>
          </w:p>
          <w:p w14:paraId="1F225674" w14:textId="77777777" w:rsidR="007D3575" w:rsidRPr="007D3575" w:rsidRDefault="007D3575" w:rsidP="007D3575">
            <w:pPr>
              <w:rPr>
                <w:rFonts w:eastAsia="Times New Roman" w:cs="Times New Roman"/>
                <w:sz w:val="24"/>
                <w:szCs w:val="24"/>
                <w:lang w:eastAsia="lv-LV"/>
              </w:rPr>
            </w:pPr>
          </w:p>
          <w:p w14:paraId="6671EEB7" w14:textId="77777777" w:rsidR="007D3575" w:rsidRPr="007D3575" w:rsidRDefault="007D3575" w:rsidP="007D3575">
            <w:pPr>
              <w:rPr>
                <w:rFonts w:eastAsia="Times New Roman" w:cs="Times New Roman"/>
                <w:sz w:val="24"/>
                <w:szCs w:val="24"/>
                <w:lang w:eastAsia="lv-LV"/>
              </w:rPr>
            </w:pPr>
          </w:p>
          <w:p w14:paraId="17196479" w14:textId="77777777" w:rsidR="007D3575" w:rsidRPr="007D3575" w:rsidRDefault="007D3575" w:rsidP="007D3575">
            <w:pPr>
              <w:rPr>
                <w:rFonts w:eastAsia="Times New Roman" w:cs="Times New Roman"/>
                <w:sz w:val="24"/>
                <w:szCs w:val="24"/>
                <w:lang w:eastAsia="lv-LV"/>
              </w:rPr>
            </w:pPr>
          </w:p>
          <w:p w14:paraId="08AC423D" w14:textId="77777777" w:rsidR="007D3575" w:rsidRPr="007D3575" w:rsidRDefault="007D3575" w:rsidP="007D3575">
            <w:pPr>
              <w:rPr>
                <w:rFonts w:eastAsia="Times New Roman" w:cs="Times New Roman"/>
                <w:sz w:val="24"/>
                <w:szCs w:val="24"/>
                <w:lang w:eastAsia="lv-LV"/>
              </w:rPr>
            </w:pPr>
          </w:p>
          <w:p w14:paraId="6A70E674" w14:textId="77777777" w:rsidR="007D3575" w:rsidRPr="007D3575" w:rsidRDefault="007D3575" w:rsidP="007D3575">
            <w:pPr>
              <w:rPr>
                <w:rFonts w:eastAsia="Times New Roman" w:cs="Times New Roman"/>
                <w:sz w:val="24"/>
                <w:szCs w:val="24"/>
                <w:lang w:eastAsia="lv-LV"/>
              </w:rPr>
            </w:pPr>
          </w:p>
          <w:p w14:paraId="7B1FD44C" w14:textId="77777777" w:rsidR="007D3575" w:rsidRPr="007D3575" w:rsidRDefault="007D3575" w:rsidP="007D3575">
            <w:pPr>
              <w:rPr>
                <w:rFonts w:eastAsia="Times New Roman" w:cs="Times New Roman"/>
                <w:sz w:val="24"/>
                <w:szCs w:val="24"/>
                <w:lang w:eastAsia="lv-LV"/>
              </w:rPr>
            </w:pPr>
          </w:p>
          <w:p w14:paraId="67F3B70D" w14:textId="77777777" w:rsidR="007D3575" w:rsidRPr="007D3575" w:rsidRDefault="007D3575" w:rsidP="007D3575">
            <w:pPr>
              <w:rPr>
                <w:rFonts w:eastAsia="Times New Roman" w:cs="Times New Roman"/>
                <w:sz w:val="24"/>
                <w:szCs w:val="24"/>
                <w:lang w:eastAsia="lv-LV"/>
              </w:rPr>
            </w:pPr>
          </w:p>
          <w:p w14:paraId="39A47570" w14:textId="77777777" w:rsidR="007D3575" w:rsidRPr="007D3575" w:rsidRDefault="007D3575" w:rsidP="007D3575">
            <w:pPr>
              <w:rPr>
                <w:rFonts w:eastAsia="Times New Roman" w:cs="Times New Roman"/>
                <w:sz w:val="24"/>
                <w:szCs w:val="24"/>
                <w:lang w:eastAsia="lv-LV"/>
              </w:rPr>
            </w:pPr>
          </w:p>
          <w:p w14:paraId="530FDC9A" w14:textId="77777777" w:rsidR="007D3575" w:rsidRPr="007D3575" w:rsidRDefault="007D3575" w:rsidP="007D3575">
            <w:pPr>
              <w:rPr>
                <w:rFonts w:eastAsia="Times New Roman" w:cs="Times New Roman"/>
                <w:sz w:val="24"/>
                <w:szCs w:val="24"/>
                <w:lang w:eastAsia="lv-LV"/>
              </w:rPr>
            </w:pPr>
          </w:p>
          <w:p w14:paraId="5DBE8042" w14:textId="77777777" w:rsidR="007D3575" w:rsidRPr="007D3575" w:rsidRDefault="007D3575" w:rsidP="007D3575">
            <w:pPr>
              <w:rPr>
                <w:rFonts w:eastAsia="Times New Roman" w:cs="Times New Roman"/>
                <w:sz w:val="24"/>
                <w:szCs w:val="24"/>
                <w:lang w:eastAsia="lv-LV"/>
              </w:rPr>
            </w:pPr>
          </w:p>
          <w:p w14:paraId="144CAD0C" w14:textId="77777777" w:rsidR="007D3575" w:rsidRPr="007D3575" w:rsidRDefault="007D3575" w:rsidP="007D3575">
            <w:pPr>
              <w:rPr>
                <w:rFonts w:eastAsia="Times New Roman" w:cs="Times New Roman"/>
                <w:sz w:val="24"/>
                <w:szCs w:val="24"/>
                <w:lang w:eastAsia="lv-LV"/>
              </w:rPr>
            </w:pPr>
          </w:p>
          <w:p w14:paraId="33F5E9E6" w14:textId="77777777" w:rsidR="007D3575" w:rsidRPr="007D3575" w:rsidRDefault="007D3575" w:rsidP="007D3575">
            <w:pPr>
              <w:rPr>
                <w:rFonts w:eastAsia="Times New Roman" w:cs="Times New Roman"/>
                <w:sz w:val="24"/>
                <w:szCs w:val="24"/>
                <w:lang w:eastAsia="lv-LV"/>
              </w:rPr>
            </w:pPr>
          </w:p>
          <w:p w14:paraId="31881112" w14:textId="77777777" w:rsidR="007D3575" w:rsidRPr="007D3575" w:rsidRDefault="007D3575" w:rsidP="007D3575">
            <w:pPr>
              <w:rPr>
                <w:rFonts w:eastAsia="Times New Roman" w:cs="Times New Roman"/>
                <w:sz w:val="24"/>
                <w:szCs w:val="24"/>
                <w:lang w:eastAsia="lv-LV"/>
              </w:rPr>
            </w:pPr>
          </w:p>
          <w:p w14:paraId="4A785A00" w14:textId="4C03B615" w:rsidR="007D3575" w:rsidRDefault="007D3575" w:rsidP="007D3575">
            <w:pPr>
              <w:rPr>
                <w:rFonts w:eastAsia="Times New Roman" w:cs="Times New Roman"/>
                <w:sz w:val="24"/>
                <w:szCs w:val="24"/>
                <w:lang w:eastAsia="lv-LV"/>
              </w:rPr>
            </w:pPr>
          </w:p>
          <w:p w14:paraId="00E8D994" w14:textId="77777777" w:rsidR="007D3575" w:rsidRPr="007D3575" w:rsidRDefault="007D3575" w:rsidP="007D3575">
            <w:pPr>
              <w:rPr>
                <w:rFonts w:eastAsia="Times New Roman" w:cs="Times New Roman"/>
                <w:sz w:val="24"/>
                <w:szCs w:val="24"/>
                <w:lang w:eastAsia="lv-LV"/>
              </w:rPr>
            </w:pPr>
          </w:p>
          <w:p w14:paraId="284C4FED" w14:textId="77777777" w:rsidR="007D3575" w:rsidRPr="007D3575" w:rsidRDefault="007D3575" w:rsidP="007D3575">
            <w:pPr>
              <w:rPr>
                <w:rFonts w:eastAsia="Times New Roman" w:cs="Times New Roman"/>
                <w:sz w:val="24"/>
                <w:szCs w:val="24"/>
                <w:lang w:eastAsia="lv-LV"/>
              </w:rPr>
            </w:pPr>
          </w:p>
          <w:p w14:paraId="10FC44D5" w14:textId="77777777" w:rsidR="007D3575" w:rsidRPr="007D3575" w:rsidRDefault="007D3575" w:rsidP="007D3575">
            <w:pPr>
              <w:rPr>
                <w:rFonts w:eastAsia="Times New Roman" w:cs="Times New Roman"/>
                <w:sz w:val="24"/>
                <w:szCs w:val="24"/>
                <w:lang w:eastAsia="lv-LV"/>
              </w:rPr>
            </w:pPr>
          </w:p>
          <w:p w14:paraId="456D159A" w14:textId="583E084D" w:rsidR="007D3575" w:rsidRDefault="007D3575" w:rsidP="007D3575">
            <w:pPr>
              <w:rPr>
                <w:rFonts w:eastAsia="Times New Roman" w:cs="Times New Roman"/>
                <w:sz w:val="24"/>
                <w:szCs w:val="24"/>
                <w:lang w:eastAsia="lv-LV"/>
              </w:rPr>
            </w:pPr>
          </w:p>
          <w:p w14:paraId="25EED653" w14:textId="77777777" w:rsidR="007D3575" w:rsidRPr="007D3575" w:rsidRDefault="007D3575" w:rsidP="007D3575">
            <w:pPr>
              <w:rPr>
                <w:rFonts w:eastAsia="Times New Roman" w:cs="Times New Roman"/>
                <w:sz w:val="24"/>
                <w:szCs w:val="24"/>
                <w:lang w:eastAsia="lv-LV"/>
              </w:rPr>
            </w:pPr>
          </w:p>
          <w:p w14:paraId="7691FCEC" w14:textId="77777777" w:rsidR="007D3575" w:rsidRPr="007D3575" w:rsidRDefault="007D3575" w:rsidP="007D3575">
            <w:pPr>
              <w:rPr>
                <w:rFonts w:eastAsia="Times New Roman" w:cs="Times New Roman"/>
                <w:sz w:val="24"/>
                <w:szCs w:val="24"/>
                <w:lang w:eastAsia="lv-LV"/>
              </w:rPr>
            </w:pPr>
          </w:p>
          <w:p w14:paraId="5ED15F97" w14:textId="56A0EC31" w:rsidR="007D3575" w:rsidRPr="007D3575" w:rsidRDefault="007D3575" w:rsidP="007D3575">
            <w:pPr>
              <w:rPr>
                <w:rFonts w:eastAsia="Times New Roman" w:cs="Times New Roman"/>
                <w:sz w:val="24"/>
                <w:szCs w:val="24"/>
                <w:lang w:eastAsia="lv-LV"/>
              </w:rPr>
            </w:pPr>
          </w:p>
          <w:p w14:paraId="2A120714" w14:textId="77777777" w:rsidR="007D3575" w:rsidRPr="007D3575" w:rsidRDefault="007D3575" w:rsidP="007D3575">
            <w:pPr>
              <w:rPr>
                <w:rFonts w:eastAsia="Times New Roman" w:cs="Times New Roman"/>
                <w:sz w:val="24"/>
                <w:szCs w:val="24"/>
                <w:lang w:eastAsia="lv-LV"/>
              </w:rPr>
            </w:pPr>
          </w:p>
          <w:p w14:paraId="58FF6121" w14:textId="77777777" w:rsidR="007D3575" w:rsidRPr="007D3575" w:rsidRDefault="007D3575" w:rsidP="007D3575">
            <w:pPr>
              <w:rPr>
                <w:rFonts w:eastAsia="Times New Roman" w:cs="Times New Roman"/>
                <w:sz w:val="24"/>
                <w:szCs w:val="24"/>
                <w:lang w:eastAsia="lv-LV"/>
              </w:rPr>
            </w:pPr>
          </w:p>
          <w:p w14:paraId="6D0D8B58" w14:textId="10A65B0B" w:rsidR="00E10F28" w:rsidRPr="007D3575" w:rsidRDefault="00E10F28" w:rsidP="007D3575">
            <w:pPr>
              <w:rPr>
                <w:rFonts w:eastAsia="Times New Roman" w:cs="Times New Roman"/>
                <w:sz w:val="24"/>
                <w:szCs w:val="24"/>
                <w:lang w:eastAsia="lv-LV"/>
              </w:rPr>
            </w:pPr>
          </w:p>
        </w:tc>
        <w:tc>
          <w:tcPr>
            <w:tcW w:w="3326" w:type="dxa"/>
            <w:tcBorders>
              <w:top w:val="outset" w:sz="6" w:space="0" w:color="auto"/>
              <w:left w:val="outset" w:sz="6" w:space="0" w:color="auto"/>
              <w:bottom w:val="outset" w:sz="6" w:space="0" w:color="auto"/>
              <w:right w:val="outset" w:sz="6" w:space="0" w:color="auto"/>
            </w:tcBorders>
            <w:hideMark/>
          </w:tcPr>
          <w:p w14:paraId="42ACE808" w14:textId="702C8350" w:rsidR="00E7718F" w:rsidRDefault="00E75546" w:rsidP="00E75546">
            <w:pPr>
              <w:spacing w:before="100" w:beforeAutospacing="1" w:after="100" w:afterAutospacing="1"/>
              <w:jc w:val="both"/>
              <w:rPr>
                <w:rFonts w:eastAsia="Times New Roman" w:cs="Times New Roman"/>
                <w:sz w:val="24"/>
                <w:szCs w:val="24"/>
                <w:lang w:eastAsia="lv-LV"/>
              </w:rPr>
            </w:pPr>
            <w:r w:rsidRPr="008E513B">
              <w:rPr>
                <w:rFonts w:cs="Times New Roman"/>
                <w:sz w:val="24"/>
                <w:szCs w:val="20"/>
              </w:rPr>
              <w:lastRenderedPageBreak/>
              <w:t>Pašreizējā situācija un problēmas, kuru risināšanai tiesību akta projekts izstrādāts, tiesiskā regulējuma mērķis un būtība</w:t>
            </w:r>
          </w:p>
          <w:p w14:paraId="3620E75C" w14:textId="77777777" w:rsidR="00E7718F" w:rsidRPr="00E7718F" w:rsidRDefault="00E7718F" w:rsidP="00E7718F">
            <w:pPr>
              <w:rPr>
                <w:rFonts w:eastAsia="Times New Roman" w:cs="Times New Roman"/>
                <w:sz w:val="24"/>
                <w:szCs w:val="24"/>
                <w:lang w:eastAsia="lv-LV"/>
              </w:rPr>
            </w:pPr>
          </w:p>
          <w:p w14:paraId="089BF171" w14:textId="77777777" w:rsidR="00E7718F" w:rsidRPr="00E7718F" w:rsidRDefault="00E7718F" w:rsidP="00E7718F">
            <w:pPr>
              <w:rPr>
                <w:rFonts w:eastAsia="Times New Roman" w:cs="Times New Roman"/>
                <w:sz w:val="24"/>
                <w:szCs w:val="24"/>
                <w:lang w:eastAsia="lv-LV"/>
              </w:rPr>
            </w:pPr>
          </w:p>
          <w:p w14:paraId="0DD539A4" w14:textId="77777777" w:rsidR="00E7718F" w:rsidRPr="00E7718F" w:rsidRDefault="00E7718F" w:rsidP="00E7718F">
            <w:pPr>
              <w:rPr>
                <w:rFonts w:eastAsia="Times New Roman" w:cs="Times New Roman"/>
                <w:sz w:val="24"/>
                <w:szCs w:val="24"/>
                <w:lang w:eastAsia="lv-LV"/>
              </w:rPr>
            </w:pPr>
          </w:p>
          <w:p w14:paraId="4E495AC4" w14:textId="77777777" w:rsidR="00E7718F" w:rsidRPr="00E7718F" w:rsidRDefault="00E7718F" w:rsidP="00E7718F">
            <w:pPr>
              <w:rPr>
                <w:rFonts w:eastAsia="Times New Roman" w:cs="Times New Roman"/>
                <w:sz w:val="24"/>
                <w:szCs w:val="24"/>
                <w:lang w:eastAsia="lv-LV"/>
              </w:rPr>
            </w:pPr>
          </w:p>
          <w:p w14:paraId="04B96197" w14:textId="77777777" w:rsidR="00E7718F" w:rsidRPr="00E7718F" w:rsidRDefault="00E7718F" w:rsidP="00E7718F">
            <w:pPr>
              <w:rPr>
                <w:rFonts w:eastAsia="Times New Roman" w:cs="Times New Roman"/>
                <w:sz w:val="24"/>
                <w:szCs w:val="24"/>
                <w:lang w:eastAsia="lv-LV"/>
              </w:rPr>
            </w:pPr>
          </w:p>
          <w:p w14:paraId="29545BBD" w14:textId="77777777" w:rsidR="00E7718F" w:rsidRPr="00E7718F" w:rsidRDefault="00E7718F" w:rsidP="00E7718F">
            <w:pPr>
              <w:rPr>
                <w:rFonts w:eastAsia="Times New Roman" w:cs="Times New Roman"/>
                <w:sz w:val="24"/>
                <w:szCs w:val="24"/>
                <w:lang w:eastAsia="lv-LV"/>
              </w:rPr>
            </w:pPr>
          </w:p>
          <w:p w14:paraId="32838C24" w14:textId="77777777" w:rsidR="00E7718F" w:rsidRPr="00E7718F" w:rsidRDefault="00E7718F" w:rsidP="00E7718F">
            <w:pPr>
              <w:rPr>
                <w:rFonts w:eastAsia="Times New Roman" w:cs="Times New Roman"/>
                <w:sz w:val="24"/>
                <w:szCs w:val="24"/>
                <w:lang w:eastAsia="lv-LV"/>
              </w:rPr>
            </w:pPr>
          </w:p>
          <w:p w14:paraId="61F437AE" w14:textId="77777777" w:rsidR="00E7718F" w:rsidRPr="00E7718F" w:rsidRDefault="00E7718F" w:rsidP="00E7718F">
            <w:pPr>
              <w:rPr>
                <w:rFonts w:eastAsia="Times New Roman" w:cs="Times New Roman"/>
                <w:sz w:val="24"/>
                <w:szCs w:val="24"/>
                <w:lang w:eastAsia="lv-LV"/>
              </w:rPr>
            </w:pPr>
          </w:p>
          <w:p w14:paraId="7EDA7F75" w14:textId="77777777" w:rsidR="00E7718F" w:rsidRPr="00E7718F" w:rsidRDefault="00E7718F" w:rsidP="00E7718F">
            <w:pPr>
              <w:rPr>
                <w:rFonts w:eastAsia="Times New Roman" w:cs="Times New Roman"/>
                <w:sz w:val="24"/>
                <w:szCs w:val="24"/>
                <w:lang w:eastAsia="lv-LV"/>
              </w:rPr>
            </w:pPr>
          </w:p>
          <w:p w14:paraId="292FFFF3" w14:textId="77777777" w:rsidR="00E7718F" w:rsidRPr="00E7718F" w:rsidRDefault="00E7718F" w:rsidP="00E7718F">
            <w:pPr>
              <w:rPr>
                <w:rFonts w:eastAsia="Times New Roman" w:cs="Times New Roman"/>
                <w:sz w:val="24"/>
                <w:szCs w:val="24"/>
                <w:lang w:eastAsia="lv-LV"/>
              </w:rPr>
            </w:pPr>
          </w:p>
          <w:p w14:paraId="4FAB81FB" w14:textId="77777777" w:rsidR="00E7718F" w:rsidRPr="00E7718F" w:rsidRDefault="00E7718F" w:rsidP="00E7718F">
            <w:pPr>
              <w:rPr>
                <w:rFonts w:eastAsia="Times New Roman" w:cs="Times New Roman"/>
                <w:sz w:val="24"/>
                <w:szCs w:val="24"/>
                <w:lang w:eastAsia="lv-LV"/>
              </w:rPr>
            </w:pPr>
          </w:p>
          <w:p w14:paraId="645422F6" w14:textId="77777777" w:rsidR="00E7718F" w:rsidRPr="00E7718F" w:rsidRDefault="00E7718F" w:rsidP="00E7718F">
            <w:pPr>
              <w:rPr>
                <w:rFonts w:eastAsia="Times New Roman" w:cs="Times New Roman"/>
                <w:sz w:val="24"/>
                <w:szCs w:val="24"/>
                <w:lang w:eastAsia="lv-LV"/>
              </w:rPr>
            </w:pPr>
          </w:p>
          <w:p w14:paraId="239E6008" w14:textId="77777777" w:rsidR="00E7718F" w:rsidRPr="00E7718F" w:rsidRDefault="00E7718F" w:rsidP="00E7718F">
            <w:pPr>
              <w:rPr>
                <w:rFonts w:eastAsia="Times New Roman" w:cs="Times New Roman"/>
                <w:sz w:val="24"/>
                <w:szCs w:val="24"/>
                <w:lang w:eastAsia="lv-LV"/>
              </w:rPr>
            </w:pPr>
          </w:p>
          <w:p w14:paraId="063D0FFB" w14:textId="77777777" w:rsidR="00E7718F" w:rsidRPr="00E7718F" w:rsidRDefault="00E7718F" w:rsidP="00E7718F">
            <w:pPr>
              <w:rPr>
                <w:rFonts w:eastAsia="Times New Roman" w:cs="Times New Roman"/>
                <w:sz w:val="24"/>
                <w:szCs w:val="24"/>
                <w:lang w:eastAsia="lv-LV"/>
              </w:rPr>
            </w:pPr>
          </w:p>
          <w:p w14:paraId="1F457C96" w14:textId="77777777" w:rsidR="00E7718F" w:rsidRPr="00E7718F" w:rsidRDefault="00E7718F" w:rsidP="00E7718F">
            <w:pPr>
              <w:rPr>
                <w:rFonts w:eastAsia="Times New Roman" w:cs="Times New Roman"/>
                <w:sz w:val="24"/>
                <w:szCs w:val="24"/>
                <w:lang w:eastAsia="lv-LV"/>
              </w:rPr>
            </w:pPr>
          </w:p>
          <w:p w14:paraId="102E94D6" w14:textId="77777777" w:rsidR="00E7718F" w:rsidRPr="00E7718F" w:rsidRDefault="00E7718F" w:rsidP="00E7718F">
            <w:pPr>
              <w:rPr>
                <w:rFonts w:eastAsia="Times New Roman" w:cs="Times New Roman"/>
                <w:sz w:val="24"/>
                <w:szCs w:val="24"/>
                <w:lang w:eastAsia="lv-LV"/>
              </w:rPr>
            </w:pPr>
          </w:p>
          <w:p w14:paraId="2230C93E" w14:textId="77777777" w:rsidR="00E7718F" w:rsidRPr="00E7718F" w:rsidRDefault="00E7718F" w:rsidP="00E7718F">
            <w:pPr>
              <w:rPr>
                <w:rFonts w:eastAsia="Times New Roman" w:cs="Times New Roman"/>
                <w:sz w:val="24"/>
                <w:szCs w:val="24"/>
                <w:lang w:eastAsia="lv-LV"/>
              </w:rPr>
            </w:pPr>
          </w:p>
          <w:p w14:paraId="76B68307" w14:textId="661080F9" w:rsidR="00E10F28" w:rsidRPr="00E7718F" w:rsidRDefault="00E10F28" w:rsidP="00E7718F">
            <w:pPr>
              <w:rPr>
                <w:rFonts w:eastAsia="Times New Roman" w:cs="Times New Roman"/>
                <w:sz w:val="24"/>
                <w:szCs w:val="24"/>
                <w:lang w:eastAsia="lv-LV"/>
              </w:rPr>
            </w:pPr>
          </w:p>
        </w:tc>
        <w:tc>
          <w:tcPr>
            <w:tcW w:w="6378" w:type="dxa"/>
            <w:tcBorders>
              <w:top w:val="outset" w:sz="6" w:space="0" w:color="auto"/>
              <w:left w:val="outset" w:sz="6" w:space="0" w:color="auto"/>
              <w:bottom w:val="outset" w:sz="6" w:space="0" w:color="auto"/>
              <w:right w:val="outset" w:sz="6" w:space="0" w:color="auto"/>
            </w:tcBorders>
            <w:hideMark/>
          </w:tcPr>
          <w:p w14:paraId="7E4E6168" w14:textId="77777777" w:rsidR="00D75DCA" w:rsidRPr="008E513B" w:rsidRDefault="00E71110" w:rsidP="0048336F">
            <w:pPr>
              <w:spacing w:before="120"/>
              <w:jc w:val="both"/>
              <w:rPr>
                <w:iCs/>
                <w:sz w:val="24"/>
                <w:szCs w:val="24"/>
              </w:rPr>
            </w:pPr>
            <w:r w:rsidRPr="008E513B">
              <w:rPr>
                <w:sz w:val="24"/>
                <w:szCs w:val="24"/>
              </w:rPr>
              <w:t xml:space="preserve"> </w:t>
            </w:r>
            <w:r w:rsidR="003C2625" w:rsidRPr="008E513B">
              <w:rPr>
                <w:sz w:val="24"/>
                <w:szCs w:val="24"/>
              </w:rPr>
              <w:t xml:space="preserve">   </w:t>
            </w:r>
            <w:r w:rsidR="007524AC">
              <w:rPr>
                <w:iCs/>
                <w:sz w:val="24"/>
                <w:szCs w:val="24"/>
              </w:rPr>
              <w:t>2013.gada</w:t>
            </w:r>
            <w:r w:rsidR="00C12573" w:rsidRPr="008E513B">
              <w:rPr>
                <w:iCs/>
                <w:sz w:val="24"/>
                <w:szCs w:val="24"/>
              </w:rPr>
              <w:t xml:space="preserve"> </w:t>
            </w:r>
            <w:r w:rsidR="00E63DDF" w:rsidRPr="008E513B">
              <w:rPr>
                <w:iCs/>
                <w:sz w:val="24"/>
                <w:szCs w:val="24"/>
              </w:rPr>
              <w:t>6. martā</w:t>
            </w:r>
            <w:r w:rsidR="00C12573" w:rsidRPr="008E513B">
              <w:rPr>
                <w:iCs/>
                <w:sz w:val="24"/>
                <w:szCs w:val="24"/>
              </w:rPr>
              <w:t xml:space="preserve"> </w:t>
            </w:r>
            <w:r w:rsidR="0067221A" w:rsidRPr="008E513B">
              <w:rPr>
                <w:iCs/>
                <w:sz w:val="24"/>
                <w:szCs w:val="24"/>
              </w:rPr>
              <w:t xml:space="preserve">stājās </w:t>
            </w:r>
            <w:r w:rsidR="00C12573" w:rsidRPr="008E513B">
              <w:rPr>
                <w:iCs/>
                <w:sz w:val="24"/>
                <w:szCs w:val="24"/>
              </w:rPr>
              <w:t>spēkā FDL, kurš nosaka tādus fiskālās politikas principus un nosacījumus, kas nodrošina ekonomikas ciklā sabalansētu budžetu. FDL 16. pants paredz fiskālo risku vispārējo vadību, lai tiktu nodrošināta fiskālo rādītāju stabilitāte vidējā termiņā</w:t>
            </w:r>
            <w:r w:rsidR="00B85415" w:rsidRPr="008E513B">
              <w:rPr>
                <w:iCs/>
                <w:sz w:val="24"/>
                <w:szCs w:val="24"/>
              </w:rPr>
              <w:t>, kā arī iekļaujamo informāc</w:t>
            </w:r>
            <w:r w:rsidR="003C2625" w:rsidRPr="008E513B">
              <w:rPr>
                <w:iCs/>
                <w:sz w:val="24"/>
                <w:szCs w:val="24"/>
              </w:rPr>
              <w:t>iju fiskālo risku deklarācijā</w:t>
            </w:r>
            <w:r w:rsidR="00D75DCA" w:rsidRPr="008E513B">
              <w:rPr>
                <w:iCs/>
                <w:sz w:val="24"/>
                <w:szCs w:val="24"/>
              </w:rPr>
              <w:t>.</w:t>
            </w:r>
          </w:p>
          <w:p w14:paraId="1FFBBF34" w14:textId="6344F9C5" w:rsidR="007E1F43" w:rsidRPr="008E513B" w:rsidRDefault="007E1F43" w:rsidP="007E1F43">
            <w:pPr>
              <w:spacing w:before="120"/>
              <w:jc w:val="both"/>
              <w:rPr>
                <w:sz w:val="24"/>
                <w:szCs w:val="24"/>
              </w:rPr>
            </w:pPr>
            <w:r w:rsidRPr="008E513B">
              <w:rPr>
                <w:sz w:val="24"/>
                <w:szCs w:val="24"/>
              </w:rPr>
              <w:t xml:space="preserve">    FDL 17. pants paredz izveidot fiskāl</w:t>
            </w:r>
            <w:r w:rsidR="0096206F">
              <w:rPr>
                <w:sz w:val="24"/>
                <w:szCs w:val="24"/>
              </w:rPr>
              <w:t>o</w:t>
            </w:r>
            <w:r w:rsidRPr="008E513B">
              <w:rPr>
                <w:sz w:val="24"/>
                <w:szCs w:val="24"/>
              </w:rPr>
              <w:t xml:space="preserve"> nodrošinājuma rezervi, kuras mērķis ir nodrošināt gan vidēja termiņa budžeta ietvara likumā attiecīgajam gadam noteikto vispārējās valdības budžeta bilances plānoto līmeni nelielu makroekonomisko svārstību gadījumā, gan kvantificējamo fiskālo risku izraisīto izdevumu segšanas gadījumā.</w:t>
            </w:r>
          </w:p>
          <w:p w14:paraId="17E30170" w14:textId="77777777" w:rsidR="00726ADB" w:rsidRPr="008E513B" w:rsidRDefault="00C12573" w:rsidP="0048336F">
            <w:pPr>
              <w:spacing w:before="120"/>
              <w:jc w:val="both"/>
              <w:rPr>
                <w:iCs/>
                <w:sz w:val="24"/>
                <w:szCs w:val="24"/>
              </w:rPr>
            </w:pPr>
            <w:r w:rsidRPr="008E513B">
              <w:rPr>
                <w:iCs/>
                <w:sz w:val="24"/>
                <w:szCs w:val="24"/>
              </w:rPr>
              <w:t xml:space="preserve"> </w:t>
            </w:r>
            <w:r w:rsidR="003C2625" w:rsidRPr="008E513B">
              <w:rPr>
                <w:iCs/>
                <w:sz w:val="24"/>
                <w:szCs w:val="24"/>
              </w:rPr>
              <w:t xml:space="preserve">   </w:t>
            </w:r>
            <w:r w:rsidR="00726ADB" w:rsidRPr="008E513B">
              <w:rPr>
                <w:sz w:val="24"/>
                <w:szCs w:val="24"/>
              </w:rPr>
              <w:t>Starptautiskā un arī Latvijas pēdējo gadu pieredze liecina, ka nesavlaicīga fiskālo risku apzināšana un to novēršanas plāna neesamība var izraisīt papildus valdības finansiālas saistības, finansēšanas nepieciešamības pieaugumu, valsts parāda būtisku pieaugumu, valsts parāda pārfinansēšanas risku un pat finanšu krīzi</w:t>
            </w:r>
            <w:r w:rsidR="00726ADB" w:rsidRPr="008E513B">
              <w:rPr>
                <w:iCs/>
                <w:sz w:val="24"/>
                <w:szCs w:val="24"/>
              </w:rPr>
              <w:t>.</w:t>
            </w:r>
          </w:p>
          <w:p w14:paraId="7ABAED77" w14:textId="77777777" w:rsidR="00DA34B7" w:rsidRPr="008E513B" w:rsidRDefault="00E71110" w:rsidP="00E63DDF">
            <w:pPr>
              <w:spacing w:before="120"/>
              <w:jc w:val="both"/>
              <w:rPr>
                <w:iCs/>
                <w:sz w:val="24"/>
                <w:szCs w:val="24"/>
              </w:rPr>
            </w:pPr>
            <w:r w:rsidRPr="008E513B">
              <w:rPr>
                <w:iCs/>
                <w:sz w:val="24"/>
                <w:szCs w:val="24"/>
              </w:rPr>
              <w:t xml:space="preserve"> </w:t>
            </w:r>
            <w:r w:rsidR="003C2625" w:rsidRPr="008E513B">
              <w:rPr>
                <w:iCs/>
                <w:sz w:val="24"/>
                <w:szCs w:val="24"/>
              </w:rPr>
              <w:t xml:space="preserve">   </w:t>
            </w:r>
            <w:r w:rsidR="007A540D" w:rsidRPr="008E513B">
              <w:rPr>
                <w:iCs/>
                <w:sz w:val="24"/>
                <w:szCs w:val="24"/>
              </w:rPr>
              <w:t xml:space="preserve">Latvijā jau šobrīd darbojas vairāki </w:t>
            </w:r>
            <w:r w:rsidR="00B85415" w:rsidRPr="008E513B">
              <w:rPr>
                <w:iCs/>
                <w:sz w:val="24"/>
                <w:szCs w:val="24"/>
              </w:rPr>
              <w:t>fiskālo risku vadības elementi</w:t>
            </w:r>
            <w:r w:rsidR="007A540D" w:rsidRPr="008E513B">
              <w:rPr>
                <w:iCs/>
                <w:sz w:val="24"/>
                <w:szCs w:val="24"/>
              </w:rPr>
              <w:t>, tomēr nepastāv vienots fiskālo risku vadības ietvars, kurā valsts līmenī tiktu sistemātiski veikta fiskālo risku identificēšana, to iespējamās ietekmes uz valsts budžetu un parādu izvērtēšana, attiecīgā riska vadības instrumenta izvēle un piemērošana.</w:t>
            </w:r>
          </w:p>
          <w:p w14:paraId="4F7FA4FE" w14:textId="01E1D246" w:rsidR="00B66AFF" w:rsidRPr="00A6706B" w:rsidRDefault="00A6706B" w:rsidP="00E75546">
            <w:pPr>
              <w:spacing w:before="120"/>
              <w:jc w:val="both"/>
              <w:rPr>
                <w:iCs/>
                <w:sz w:val="24"/>
                <w:szCs w:val="24"/>
              </w:rPr>
            </w:pPr>
            <w:r>
              <w:rPr>
                <w:iCs/>
                <w:sz w:val="24"/>
                <w:szCs w:val="24"/>
              </w:rPr>
              <w:t xml:space="preserve">    </w:t>
            </w:r>
            <w:r w:rsidR="00E75546" w:rsidRPr="00A6706B">
              <w:rPr>
                <w:iCs/>
                <w:sz w:val="24"/>
                <w:szCs w:val="24"/>
              </w:rPr>
              <w:t>Noteikumu projekts paredz fiskālo risku vispārējās vadības sistēmas darbības izveidi, fiskālo risku identificēšanas kārtību, kā tiek vērtēta fiskālo risku iestāšanās varbūtība un fiskālā ietekme, kā arī paredz kārtību, kādā sadarbojas vispārējās valdības sektorā ietilpstošās</w:t>
            </w:r>
            <w:r w:rsidR="00E75546" w:rsidRPr="00A6706B" w:rsidDel="009A66F5">
              <w:rPr>
                <w:iCs/>
                <w:sz w:val="24"/>
                <w:szCs w:val="24"/>
              </w:rPr>
              <w:t xml:space="preserve"> </w:t>
            </w:r>
            <w:r w:rsidR="00E75546" w:rsidRPr="00A6706B">
              <w:rPr>
                <w:iCs/>
                <w:sz w:val="24"/>
                <w:szCs w:val="24"/>
              </w:rPr>
              <w:t>institūcijas noteikto funkciju veikšanā. Tāpat noteikumu projekts nosaka fiskālā nodrošinājuma rezerves apjoma noteikšanas metodoloģiju.</w:t>
            </w:r>
          </w:p>
          <w:p w14:paraId="39BD294C" w14:textId="05A9D684" w:rsidR="00B42145" w:rsidRPr="00A6706B" w:rsidRDefault="00A6706B" w:rsidP="00A6706B">
            <w:pPr>
              <w:spacing w:before="120"/>
              <w:jc w:val="both"/>
              <w:rPr>
                <w:iCs/>
                <w:sz w:val="24"/>
                <w:szCs w:val="24"/>
              </w:rPr>
            </w:pPr>
            <w:r>
              <w:rPr>
                <w:iCs/>
                <w:sz w:val="24"/>
                <w:szCs w:val="24"/>
              </w:rPr>
              <w:t xml:space="preserve">     </w:t>
            </w:r>
            <w:r w:rsidR="00B42145" w:rsidRPr="00A6706B">
              <w:rPr>
                <w:iCs/>
                <w:sz w:val="24"/>
                <w:szCs w:val="24"/>
              </w:rPr>
              <w:t>Noteikumu projekta noteiktā kārtība attiecas uz fiskālajiem riskiem, bet ne uz izdevumiem, līdz ar to noteikumu projekts neietekmē jauno politikas iniciatīvu sagatavošanu un izskatīšanu MK. Tomēr MK noteikumi nosaka kā tiek aprēķināta fiskālā nodrošinājuma rezerve un jo lielāka ir šī rezerve, jo mazāka ir fiskālā telpa jauno politikas iniciatīvu atbalstam.</w:t>
            </w:r>
          </w:p>
          <w:p w14:paraId="28E61051" w14:textId="77777777" w:rsidR="00E75546" w:rsidRPr="008E513B" w:rsidRDefault="00E75546" w:rsidP="00E75546">
            <w:pPr>
              <w:spacing w:before="120"/>
              <w:jc w:val="both"/>
              <w:rPr>
                <w:rFonts w:eastAsia="Times New Roman" w:cs="Times New Roman"/>
                <w:sz w:val="24"/>
                <w:szCs w:val="24"/>
                <w:lang w:eastAsia="lv-LV"/>
              </w:rPr>
            </w:pPr>
            <w:r w:rsidRPr="008E513B">
              <w:rPr>
                <w:rFonts w:cs="Times New Roman"/>
                <w:sz w:val="24"/>
                <w:szCs w:val="24"/>
              </w:rPr>
              <w:lastRenderedPageBreak/>
              <w:t xml:space="preserve">    Fiskālo risku identificēšana un mērīšana ir nepieciešama ar mērķi:</w:t>
            </w:r>
          </w:p>
          <w:p w14:paraId="1D0CC6C0" w14:textId="77777777" w:rsidR="00E75546" w:rsidRPr="008E513B" w:rsidRDefault="00E75546" w:rsidP="00E75546">
            <w:pPr>
              <w:pStyle w:val="ListParagraph"/>
              <w:numPr>
                <w:ilvl w:val="0"/>
                <w:numId w:val="5"/>
              </w:numPr>
              <w:rPr>
                <w:rFonts w:ascii="Times New Roman" w:hAnsi="Times New Roman"/>
                <w:sz w:val="24"/>
                <w:szCs w:val="24"/>
              </w:rPr>
            </w:pPr>
            <w:r w:rsidRPr="008E513B">
              <w:rPr>
                <w:rFonts w:ascii="Times New Roman" w:hAnsi="Times New Roman"/>
                <w:sz w:val="24"/>
                <w:szCs w:val="24"/>
              </w:rPr>
              <w:t>nodrošināt fiskālo risku novērtēšanu un vadīšanu;</w:t>
            </w:r>
          </w:p>
          <w:p w14:paraId="0E3166A1" w14:textId="77777777" w:rsidR="00E75546" w:rsidRPr="008E513B" w:rsidRDefault="00E75546" w:rsidP="00E75546">
            <w:pPr>
              <w:pStyle w:val="ListParagraph"/>
              <w:numPr>
                <w:ilvl w:val="0"/>
                <w:numId w:val="5"/>
              </w:numPr>
              <w:rPr>
                <w:rFonts w:ascii="Times New Roman" w:hAnsi="Times New Roman"/>
                <w:sz w:val="24"/>
                <w:szCs w:val="24"/>
              </w:rPr>
            </w:pPr>
            <w:r w:rsidRPr="008E513B">
              <w:rPr>
                <w:rFonts w:ascii="Times New Roman" w:hAnsi="Times New Roman"/>
                <w:sz w:val="24"/>
                <w:szCs w:val="24"/>
              </w:rPr>
              <w:t>izstrādāt efektīvu fiskālo risku vadības stratēģiju, apzinot risku mazināšanas vai novēršanas instrumentus un pasākumus;</w:t>
            </w:r>
          </w:p>
          <w:p w14:paraId="183AEEC8" w14:textId="77777777" w:rsidR="00E75546" w:rsidRPr="008E513B" w:rsidRDefault="00E75546" w:rsidP="00E75546">
            <w:pPr>
              <w:pStyle w:val="ListParagraph"/>
              <w:numPr>
                <w:ilvl w:val="0"/>
                <w:numId w:val="5"/>
              </w:numPr>
              <w:rPr>
                <w:rFonts w:ascii="Times New Roman" w:hAnsi="Times New Roman"/>
                <w:sz w:val="24"/>
                <w:szCs w:val="24"/>
              </w:rPr>
            </w:pPr>
            <w:r w:rsidRPr="008E513B">
              <w:rPr>
                <w:rFonts w:ascii="Times New Roman" w:hAnsi="Times New Roman"/>
                <w:sz w:val="24"/>
                <w:szCs w:val="24"/>
              </w:rPr>
              <w:t>uzlabot fiskālās politikas ietvaros pieņemto lēmumu kvalitāti un ilgtspēju;</w:t>
            </w:r>
          </w:p>
          <w:p w14:paraId="27E71C4A" w14:textId="77777777" w:rsidR="00E75546" w:rsidRPr="008E513B" w:rsidRDefault="00E75546" w:rsidP="00E75546">
            <w:pPr>
              <w:pStyle w:val="ListParagraph"/>
              <w:numPr>
                <w:ilvl w:val="0"/>
                <w:numId w:val="5"/>
              </w:numPr>
              <w:rPr>
                <w:rFonts w:ascii="Times New Roman" w:hAnsi="Times New Roman"/>
                <w:sz w:val="24"/>
                <w:szCs w:val="24"/>
              </w:rPr>
            </w:pPr>
            <w:r w:rsidRPr="008E513B">
              <w:rPr>
                <w:rFonts w:ascii="Times New Roman" w:hAnsi="Times New Roman"/>
                <w:sz w:val="24"/>
                <w:szCs w:val="24"/>
              </w:rPr>
              <w:t xml:space="preserve">veicināt valsts kredītreitinga izaugsmi un investoru uzticību. </w:t>
            </w:r>
          </w:p>
          <w:p w14:paraId="0E36534F" w14:textId="7C348356" w:rsidR="009E3DED" w:rsidRPr="009E3DED" w:rsidRDefault="00E75546" w:rsidP="009E3DED">
            <w:pPr>
              <w:jc w:val="both"/>
              <w:rPr>
                <w:sz w:val="24"/>
              </w:rPr>
            </w:pPr>
            <w:r w:rsidRPr="008E513B">
              <w:rPr>
                <w:rFonts w:cs="Times New Roman"/>
                <w:sz w:val="24"/>
                <w:szCs w:val="24"/>
              </w:rPr>
              <w:t xml:space="preserve">    </w:t>
            </w:r>
            <w:r w:rsidR="009E3DED">
              <w:rPr>
                <w:rFonts w:cs="Times New Roman"/>
                <w:sz w:val="24"/>
                <w:szCs w:val="24"/>
              </w:rPr>
              <w:t>Noteikumu projektā tiek lietots jēdziens centrālā valsts iestāde. Likums par budžetu un finanšu vadību</w:t>
            </w:r>
            <w:r w:rsidR="009E3DED" w:rsidRPr="009E3DED">
              <w:rPr>
                <w:sz w:val="24"/>
              </w:rPr>
              <w:t xml:space="preserve"> nosaka, ka </w:t>
            </w:r>
            <w:r w:rsidR="009E3DED" w:rsidRPr="009E3DED">
              <w:rPr>
                <w:sz w:val="24"/>
                <w:u w:val="single"/>
              </w:rPr>
              <w:t>centrālā valsts iestāde ir</w:t>
            </w:r>
            <w:r w:rsidR="009E3DED" w:rsidRPr="009E3DED">
              <w:rPr>
                <w:sz w:val="24"/>
              </w:rPr>
              <w:t xml:space="preserve"> </w:t>
            </w:r>
            <w:r w:rsidR="009E3DED" w:rsidRPr="009E3DED">
              <w:rPr>
                <w:sz w:val="24"/>
                <w:u w:val="single"/>
              </w:rPr>
              <w:t>valsts budžeta iestāde</w:t>
            </w:r>
            <w:r w:rsidR="009E3DED" w:rsidRPr="009E3DED">
              <w:rPr>
                <w:sz w:val="24"/>
              </w:rPr>
              <w:t xml:space="preserve">, kurai gadskārtējā valsts budžeta likumā budžeta līdzekļus paredz tieši apropriācijas kārtībā. Tātad, šajā termina skaidrojumā jau ir pateikts, ka centrālā valsts iestāde ir vienlaicīgi arī budžeta iestāde. Līdz ar to,  FDL attiecas uz Likumā par budžetu un finanšu vadību noteiktajām </w:t>
            </w:r>
            <w:r w:rsidR="009E3DED" w:rsidRPr="009E3DED">
              <w:rPr>
                <w:sz w:val="24"/>
                <w:u w:val="single"/>
              </w:rPr>
              <w:t>budžeta iestādēm</w:t>
            </w:r>
            <w:r w:rsidR="009E3DED" w:rsidRPr="009E3DED">
              <w:rPr>
                <w:sz w:val="24"/>
              </w:rPr>
              <w:t xml:space="preserve">, budžeta nefinansētām iestādēm un no valsts budžeta daļēji finansētām atvasinātām personām, jau automātiski </w:t>
            </w:r>
            <w:r w:rsidR="00EC52D8">
              <w:rPr>
                <w:sz w:val="24"/>
              </w:rPr>
              <w:t>norāda</w:t>
            </w:r>
            <w:r w:rsidR="009E3DED" w:rsidRPr="009E3DED">
              <w:rPr>
                <w:sz w:val="24"/>
              </w:rPr>
              <w:t xml:space="preserve">, </w:t>
            </w:r>
            <w:r w:rsidR="009E3DED" w:rsidRPr="009E3DED">
              <w:rPr>
                <w:sz w:val="24"/>
                <w:u w:val="single"/>
              </w:rPr>
              <w:t>ka FDL attiecās uz centrālām valsts iestādēm</w:t>
            </w:r>
            <w:r w:rsidR="009E3DED" w:rsidRPr="009E3DED">
              <w:rPr>
                <w:sz w:val="24"/>
              </w:rPr>
              <w:t>. Tātad, arī noteikumi, kas izdoti uz FDL pamata, balstās uz to pašu terminoloģiju.</w:t>
            </w:r>
          </w:p>
          <w:p w14:paraId="5FE1D12B" w14:textId="325F8460" w:rsidR="009E3DED" w:rsidRPr="009E3DED" w:rsidRDefault="009E3DED" w:rsidP="009E3DED">
            <w:pPr>
              <w:spacing w:before="120"/>
              <w:jc w:val="both"/>
              <w:textAlignment w:val="top"/>
              <w:rPr>
                <w:rFonts w:cs="Times New Roman"/>
                <w:sz w:val="22"/>
                <w:szCs w:val="24"/>
              </w:rPr>
            </w:pPr>
            <w:r>
              <w:rPr>
                <w:sz w:val="24"/>
              </w:rPr>
              <w:t xml:space="preserve">    </w:t>
            </w:r>
            <w:r w:rsidRPr="009E3DED">
              <w:rPr>
                <w:sz w:val="24"/>
              </w:rPr>
              <w:t>Centrālās valsts ies</w:t>
            </w:r>
            <w:bookmarkStart w:id="0" w:name="_GoBack"/>
            <w:bookmarkEnd w:id="0"/>
            <w:r w:rsidRPr="009E3DED">
              <w:rPr>
                <w:sz w:val="24"/>
              </w:rPr>
              <w:t xml:space="preserve">tādes dalās – ministrijās, un </w:t>
            </w:r>
            <w:r>
              <w:rPr>
                <w:sz w:val="24"/>
              </w:rPr>
              <w:t>citās centrālās valsts iestādēs, kas nav ministrijas</w:t>
            </w:r>
            <w:r w:rsidRPr="009E3DED">
              <w:rPr>
                <w:sz w:val="24"/>
              </w:rPr>
              <w:t xml:space="preserve">. </w:t>
            </w:r>
            <w:r>
              <w:rPr>
                <w:sz w:val="24"/>
              </w:rPr>
              <w:t>P</w:t>
            </w:r>
            <w:r w:rsidRPr="009E3DED">
              <w:rPr>
                <w:sz w:val="24"/>
              </w:rPr>
              <w:t xml:space="preserve">iemēri citām centrālām valsts iestādēm ir: Ministru kabinets, Valsts kontrole, </w:t>
            </w:r>
            <w:proofErr w:type="spellStart"/>
            <w:r w:rsidRPr="009E3DED">
              <w:rPr>
                <w:sz w:val="24"/>
              </w:rPr>
              <w:t>Tiesībsargs</w:t>
            </w:r>
            <w:proofErr w:type="spellEnd"/>
            <w:r w:rsidRPr="009E3DED">
              <w:rPr>
                <w:sz w:val="24"/>
              </w:rPr>
              <w:t>, Sabiedrības integrācijas fonds un citas iestādes, kam valsts budžeta likumā apropriācija tiek plānota atsevišķā budžeta resorā.</w:t>
            </w:r>
          </w:p>
          <w:p w14:paraId="68350E1C" w14:textId="17904A01" w:rsidR="00E75546" w:rsidRPr="008E513B" w:rsidRDefault="009E3DED" w:rsidP="00E75546">
            <w:pPr>
              <w:spacing w:before="120"/>
              <w:jc w:val="both"/>
              <w:textAlignment w:val="top"/>
              <w:rPr>
                <w:rFonts w:cs="Times New Roman"/>
                <w:sz w:val="24"/>
                <w:szCs w:val="24"/>
              </w:rPr>
            </w:pPr>
            <w:r>
              <w:rPr>
                <w:rFonts w:cs="Times New Roman"/>
                <w:sz w:val="24"/>
                <w:szCs w:val="24"/>
              </w:rPr>
              <w:t xml:space="preserve">    </w:t>
            </w:r>
            <w:r w:rsidR="00E75546" w:rsidRPr="008E513B">
              <w:rPr>
                <w:rFonts w:cs="Times New Roman"/>
                <w:sz w:val="24"/>
                <w:szCs w:val="24"/>
              </w:rPr>
              <w:t>Fiskālie riski tiek apkopoti fiskālo risku reģistrā, kas ir viens no fiskālo risku vispārējās vadības galvenajiem instrumentiem</w:t>
            </w:r>
            <w:r w:rsidR="00BA4E3B">
              <w:rPr>
                <w:rFonts w:cs="Times New Roman"/>
                <w:sz w:val="24"/>
                <w:szCs w:val="24"/>
              </w:rPr>
              <w:t>, kurā ikgadēji tiek atjaunota informācija</w:t>
            </w:r>
            <w:r w:rsidR="00E75546" w:rsidRPr="008E513B">
              <w:rPr>
                <w:rFonts w:cs="Times New Roman"/>
                <w:sz w:val="24"/>
                <w:szCs w:val="24"/>
              </w:rPr>
              <w:t xml:space="preserve">. Noteikumu projekts fiskālo risku vadības procesu aplūko trīs līmeņos – fiskālo risku vispārējās vadības līmenī, </w:t>
            </w:r>
            <w:r w:rsidR="008E7F3D">
              <w:rPr>
                <w:rFonts w:cs="Times New Roman"/>
                <w:sz w:val="24"/>
                <w:szCs w:val="24"/>
              </w:rPr>
              <w:t>specifisko</w:t>
            </w:r>
            <w:r w:rsidR="008E7F3D" w:rsidRPr="008E513B">
              <w:rPr>
                <w:rFonts w:cs="Times New Roman"/>
                <w:sz w:val="24"/>
                <w:szCs w:val="24"/>
              </w:rPr>
              <w:t xml:space="preserve"> </w:t>
            </w:r>
            <w:r w:rsidR="00E75546" w:rsidRPr="008E513B">
              <w:rPr>
                <w:rFonts w:cs="Times New Roman"/>
                <w:sz w:val="24"/>
                <w:szCs w:val="24"/>
              </w:rPr>
              <w:t xml:space="preserve">fiskālo risku vadības līmenī un </w:t>
            </w:r>
            <w:r w:rsidR="008E7F3D">
              <w:rPr>
                <w:rFonts w:cs="Times New Roman"/>
                <w:sz w:val="24"/>
                <w:szCs w:val="24"/>
              </w:rPr>
              <w:t xml:space="preserve">atsevišķo </w:t>
            </w:r>
            <w:r w:rsidR="00BC20A4">
              <w:rPr>
                <w:rFonts w:cs="Times New Roman"/>
                <w:sz w:val="24"/>
                <w:szCs w:val="24"/>
              </w:rPr>
              <w:t>fiskālo</w:t>
            </w:r>
            <w:r w:rsidR="00E75546" w:rsidRPr="008E513B">
              <w:rPr>
                <w:rFonts w:cs="Times New Roman"/>
                <w:sz w:val="24"/>
                <w:szCs w:val="24"/>
              </w:rPr>
              <w:t xml:space="preserve"> risku vadības līmenī. </w:t>
            </w:r>
          </w:p>
          <w:p w14:paraId="566B3019" w14:textId="0719F38A" w:rsidR="00E75546" w:rsidRPr="00EB30AF" w:rsidRDefault="00E75546" w:rsidP="00E75546">
            <w:pPr>
              <w:spacing w:before="120"/>
              <w:jc w:val="both"/>
              <w:textAlignment w:val="top"/>
              <w:rPr>
                <w:rFonts w:cs="Times New Roman"/>
                <w:sz w:val="24"/>
                <w:szCs w:val="24"/>
              </w:rPr>
            </w:pPr>
            <w:r w:rsidRPr="008E513B">
              <w:rPr>
                <w:rFonts w:cs="Times New Roman"/>
                <w:sz w:val="24"/>
                <w:szCs w:val="24"/>
              </w:rPr>
              <w:t xml:space="preserve">    Par fiskālo risku vispārējās vadības līmeni ir atbildīga Finanšu ministrija, kura nodrošina fiskālo risku reģistra uzturēšanu un aktualizēšanu, uzkrājot nepieciešamo informāciju par fiskāliem riskiem, atbild par fiskālo risku vadības procesa koordinēšanu, uzraugot un sniedzot </w:t>
            </w:r>
            <w:r w:rsidR="00826CCB">
              <w:rPr>
                <w:rFonts w:cs="Times New Roman"/>
                <w:sz w:val="24"/>
                <w:szCs w:val="24"/>
              </w:rPr>
              <w:t xml:space="preserve">metodoloģisko </w:t>
            </w:r>
            <w:r w:rsidRPr="008E513B">
              <w:rPr>
                <w:rFonts w:cs="Times New Roman"/>
                <w:sz w:val="24"/>
                <w:szCs w:val="24"/>
              </w:rPr>
              <w:t xml:space="preserve">atbalstu </w:t>
            </w:r>
            <w:r w:rsidR="00826CCB">
              <w:rPr>
                <w:rFonts w:cs="Times New Roman"/>
                <w:sz w:val="24"/>
                <w:szCs w:val="24"/>
              </w:rPr>
              <w:t xml:space="preserve">(skaidrojošas sanāksmes, konsultācijas, kā arī nepieciešamības gadījumā vadlīnijas par noteikumu projektā noteikto </w:t>
            </w:r>
            <w:r w:rsidR="00471EAC">
              <w:rPr>
                <w:rFonts w:cs="Times New Roman"/>
                <w:sz w:val="24"/>
                <w:szCs w:val="24"/>
              </w:rPr>
              <w:t xml:space="preserve">novērtējumu </w:t>
            </w:r>
            <w:r w:rsidR="00826CCB">
              <w:rPr>
                <w:rFonts w:cs="Times New Roman"/>
                <w:sz w:val="24"/>
                <w:szCs w:val="24"/>
              </w:rPr>
              <w:t xml:space="preserve">veikšanu) </w:t>
            </w:r>
            <w:r w:rsidR="008E7F3D" w:rsidRPr="00EB30AF">
              <w:rPr>
                <w:rFonts w:cs="Times New Roman"/>
                <w:sz w:val="24"/>
                <w:szCs w:val="24"/>
              </w:rPr>
              <w:t xml:space="preserve">specifisko </w:t>
            </w:r>
            <w:r w:rsidRPr="00EB30AF">
              <w:rPr>
                <w:rFonts w:cs="Times New Roman"/>
                <w:sz w:val="24"/>
                <w:szCs w:val="24"/>
              </w:rPr>
              <w:t xml:space="preserve">fiskālo risku vadības </w:t>
            </w:r>
            <w:r w:rsidR="009327FA" w:rsidRPr="00EB30AF">
              <w:rPr>
                <w:rFonts w:cs="Times New Roman"/>
                <w:sz w:val="24"/>
                <w:szCs w:val="24"/>
              </w:rPr>
              <w:t>iestādei</w:t>
            </w:r>
            <w:r w:rsidRPr="00EB30AF">
              <w:rPr>
                <w:rFonts w:cs="Times New Roman"/>
                <w:sz w:val="24"/>
                <w:szCs w:val="24"/>
              </w:rPr>
              <w:t xml:space="preserve">, kā arī izstrādā fiskālo risku deklarāciju un nosaka fiskālās nodrošinājuma rezerves apjomu. </w:t>
            </w:r>
            <w:r w:rsidR="009F5C01" w:rsidRPr="00EB30AF">
              <w:rPr>
                <w:rFonts w:cs="Times New Roman"/>
                <w:sz w:val="24"/>
                <w:szCs w:val="24"/>
              </w:rPr>
              <w:t>Metodoloģiskais atbalsts ietver gan skaidrojošas sanāksmes, telefoniskas un elektroniskās sarakstes konsultācijas, gan arī vadlīniju izstrādāšanu</w:t>
            </w:r>
            <w:r w:rsidR="00DF2430" w:rsidRPr="00EB30AF">
              <w:rPr>
                <w:rFonts w:cs="Times New Roman"/>
                <w:sz w:val="24"/>
                <w:szCs w:val="24"/>
              </w:rPr>
              <w:t>.</w:t>
            </w:r>
            <w:r w:rsidR="009F5C01" w:rsidRPr="00EB30AF">
              <w:rPr>
                <w:rFonts w:cs="Times New Roman"/>
                <w:sz w:val="24"/>
                <w:szCs w:val="24"/>
              </w:rPr>
              <w:t xml:space="preserve"> </w:t>
            </w:r>
            <w:r w:rsidR="00DF2430" w:rsidRPr="00EB30AF">
              <w:rPr>
                <w:rFonts w:cs="Times New Roman"/>
                <w:sz w:val="24"/>
                <w:szCs w:val="24"/>
              </w:rPr>
              <w:t>L</w:t>
            </w:r>
            <w:r w:rsidR="009F5C01" w:rsidRPr="00EB30AF">
              <w:rPr>
                <w:rFonts w:cs="Times New Roman"/>
                <w:sz w:val="24"/>
                <w:szCs w:val="24"/>
              </w:rPr>
              <w:t xml:space="preserve">ai centrālās valsts iestādes 2015.gadā varētu sagatavot fiskālo risku vadības ziņojumu. </w:t>
            </w:r>
            <w:r w:rsidR="009F5C01" w:rsidRPr="00EB30AF">
              <w:rPr>
                <w:rFonts w:cs="Times New Roman"/>
                <w:sz w:val="24"/>
                <w:szCs w:val="24"/>
              </w:rPr>
              <w:lastRenderedPageBreak/>
              <w:t>Finanšu ministrija izstrādā</w:t>
            </w:r>
            <w:r w:rsidR="00DF2430" w:rsidRPr="00EB30AF">
              <w:rPr>
                <w:rFonts w:cs="Times New Roman"/>
                <w:sz w:val="24"/>
                <w:szCs w:val="24"/>
              </w:rPr>
              <w:t>s</w:t>
            </w:r>
            <w:r w:rsidR="009F5C01" w:rsidRPr="00EB30AF">
              <w:rPr>
                <w:rFonts w:cs="Times New Roman"/>
                <w:sz w:val="24"/>
                <w:szCs w:val="24"/>
              </w:rPr>
              <w:t xml:space="preserve"> vadlīnijas un ievieto</w:t>
            </w:r>
            <w:r w:rsidR="00DF2430" w:rsidRPr="00EB30AF">
              <w:rPr>
                <w:rFonts w:cs="Times New Roman"/>
                <w:sz w:val="24"/>
                <w:szCs w:val="24"/>
              </w:rPr>
              <w:t>s</w:t>
            </w:r>
            <w:r w:rsidR="009F5C01" w:rsidRPr="00EB30AF">
              <w:rPr>
                <w:rFonts w:cs="Times New Roman"/>
                <w:sz w:val="24"/>
                <w:szCs w:val="24"/>
              </w:rPr>
              <w:t xml:space="preserve"> savā tīmekļa vietnē līdz 2015.gada 1.janvārim.</w:t>
            </w:r>
          </w:p>
          <w:p w14:paraId="69210672" w14:textId="059F7E0C" w:rsidR="007D7275" w:rsidRPr="008E513B" w:rsidRDefault="00E75546" w:rsidP="00E75546">
            <w:pPr>
              <w:spacing w:before="120"/>
              <w:jc w:val="both"/>
              <w:textAlignment w:val="top"/>
              <w:rPr>
                <w:rFonts w:cs="Times New Roman"/>
                <w:sz w:val="24"/>
                <w:szCs w:val="24"/>
              </w:rPr>
            </w:pPr>
            <w:r w:rsidRPr="00EB30AF">
              <w:rPr>
                <w:rFonts w:cs="Times New Roman"/>
                <w:sz w:val="24"/>
                <w:szCs w:val="24"/>
              </w:rPr>
              <w:t xml:space="preserve">    </w:t>
            </w:r>
            <w:r w:rsidR="008E7F3D" w:rsidRPr="00EB30AF">
              <w:rPr>
                <w:rFonts w:cs="Times New Roman"/>
                <w:sz w:val="24"/>
                <w:szCs w:val="24"/>
              </w:rPr>
              <w:t xml:space="preserve">Specifisko </w:t>
            </w:r>
            <w:r w:rsidRPr="00EB30AF">
              <w:rPr>
                <w:rFonts w:cs="Times New Roman"/>
                <w:sz w:val="24"/>
                <w:szCs w:val="24"/>
              </w:rPr>
              <w:t>fiskālo risku vadība</w:t>
            </w:r>
            <w:r w:rsidR="00541082" w:rsidRPr="00EB30AF">
              <w:rPr>
                <w:rFonts w:cs="Times New Roman"/>
                <w:sz w:val="24"/>
                <w:szCs w:val="24"/>
              </w:rPr>
              <w:t xml:space="preserve"> ietver tādus fiskālos riskus, kas, piemēram, ir saistīti ar valsts galvoj</w:t>
            </w:r>
            <w:r w:rsidR="00541082">
              <w:rPr>
                <w:rFonts w:cs="Times New Roman"/>
                <w:sz w:val="24"/>
                <w:szCs w:val="24"/>
              </w:rPr>
              <w:t>umiem investīciju projektiem.</w:t>
            </w:r>
            <w:r w:rsidR="00D270A5">
              <w:rPr>
                <w:rFonts w:cs="Times New Roman"/>
                <w:sz w:val="24"/>
                <w:szCs w:val="24"/>
              </w:rPr>
              <w:t xml:space="preserve"> </w:t>
            </w:r>
            <w:r w:rsidR="00A02B46">
              <w:rPr>
                <w:rFonts w:cs="Times New Roman"/>
                <w:sz w:val="24"/>
                <w:szCs w:val="24"/>
              </w:rPr>
              <w:t xml:space="preserve">Par </w:t>
            </w:r>
            <w:r w:rsidR="008E7F3D">
              <w:rPr>
                <w:rFonts w:cs="Times New Roman"/>
                <w:sz w:val="24"/>
                <w:szCs w:val="24"/>
              </w:rPr>
              <w:t xml:space="preserve">specifisko </w:t>
            </w:r>
            <w:r w:rsidR="00A02B46">
              <w:rPr>
                <w:rFonts w:cs="Times New Roman"/>
                <w:sz w:val="24"/>
                <w:szCs w:val="24"/>
              </w:rPr>
              <w:t>fiskālo risku vadību</w:t>
            </w:r>
            <w:r w:rsidR="00F3033E">
              <w:rPr>
                <w:rFonts w:cs="Times New Roman"/>
                <w:sz w:val="24"/>
                <w:szCs w:val="24"/>
              </w:rPr>
              <w:t xml:space="preserve"> </w:t>
            </w:r>
            <w:r w:rsidRPr="008E513B">
              <w:rPr>
                <w:rFonts w:cs="Times New Roman"/>
                <w:sz w:val="24"/>
                <w:szCs w:val="24"/>
              </w:rPr>
              <w:t xml:space="preserve">ir atbildīgas centrālās valsts iestādes. </w:t>
            </w:r>
            <w:r w:rsidR="008E7F3D">
              <w:rPr>
                <w:rFonts w:cs="Times New Roman"/>
                <w:sz w:val="24"/>
                <w:szCs w:val="24"/>
              </w:rPr>
              <w:t>Specifisko</w:t>
            </w:r>
            <w:r w:rsidRPr="008E513B">
              <w:rPr>
                <w:rFonts w:cs="Times New Roman"/>
                <w:sz w:val="24"/>
                <w:szCs w:val="24"/>
              </w:rPr>
              <w:t xml:space="preserve"> fiskālo risku vadības līmeņa </w:t>
            </w:r>
            <w:r w:rsidR="00541082">
              <w:rPr>
                <w:rFonts w:cs="Times New Roman"/>
                <w:sz w:val="24"/>
                <w:szCs w:val="24"/>
              </w:rPr>
              <w:t>iestādes</w:t>
            </w:r>
            <w:r w:rsidR="00541082" w:rsidRPr="008E513B">
              <w:rPr>
                <w:rFonts w:cs="Times New Roman"/>
                <w:sz w:val="24"/>
                <w:szCs w:val="24"/>
              </w:rPr>
              <w:t xml:space="preserve"> </w:t>
            </w:r>
            <w:r w:rsidRPr="008E513B">
              <w:rPr>
                <w:rFonts w:cs="Times New Roman"/>
                <w:sz w:val="24"/>
                <w:szCs w:val="24"/>
              </w:rPr>
              <w:t>izstrādā ikgadējos fiskālo risku vadības ziņojumus</w:t>
            </w:r>
            <w:r w:rsidR="00BA4E3B">
              <w:rPr>
                <w:rFonts w:cs="Times New Roman"/>
                <w:sz w:val="24"/>
                <w:szCs w:val="24"/>
              </w:rPr>
              <w:t xml:space="preserve"> saskaņā ar noteikumu projekta 2.pielikuma</w:t>
            </w:r>
            <w:r w:rsidRPr="008E513B">
              <w:rPr>
                <w:rFonts w:cs="Times New Roman"/>
                <w:sz w:val="24"/>
                <w:szCs w:val="24"/>
              </w:rPr>
              <w:t xml:space="preserve">, kuru mērķis ir sniegt informāciju Finanšu ministrijai, kas nepieciešama tās funkciju veikšanai, tai skaitā fiskālās rezerves apjoma aprēķinam, fiskālo risku deklarācijas sagatavošanai un informatīvās bāzes iegūšanai. </w:t>
            </w:r>
          </w:p>
          <w:p w14:paraId="33013BAD" w14:textId="222A5724" w:rsidR="00E75546" w:rsidRPr="008E513B" w:rsidRDefault="00E75546" w:rsidP="00E75546">
            <w:pPr>
              <w:spacing w:before="120"/>
              <w:ind w:firstLine="268"/>
              <w:jc w:val="both"/>
              <w:textAlignment w:val="top"/>
              <w:rPr>
                <w:rFonts w:cs="Times New Roman"/>
                <w:sz w:val="24"/>
                <w:szCs w:val="24"/>
              </w:rPr>
            </w:pPr>
            <w:r w:rsidRPr="008E513B">
              <w:rPr>
                <w:rFonts w:cs="Times New Roman"/>
                <w:sz w:val="24"/>
                <w:szCs w:val="24"/>
              </w:rPr>
              <w:t xml:space="preserve">Noteikumu projekts paredz, ka Finanšu ministrija uzrauga centrālo valsts iestāžu veikto </w:t>
            </w:r>
            <w:r w:rsidR="008E7F3D">
              <w:rPr>
                <w:rFonts w:cs="Times New Roman"/>
                <w:sz w:val="24"/>
                <w:szCs w:val="24"/>
              </w:rPr>
              <w:t>specifisko</w:t>
            </w:r>
            <w:r w:rsidRPr="008E513B">
              <w:rPr>
                <w:rFonts w:cs="Times New Roman"/>
                <w:sz w:val="24"/>
                <w:szCs w:val="24"/>
              </w:rPr>
              <w:t xml:space="preserve"> fiskālo risku vadības funkcijas, veic risku vadības procesa efektivitātes izvērtējumu un uz to pamata sniedz priekšlikumus centrālām valsts iestādēm fiskālo risku vadības uzlabošanai. </w:t>
            </w:r>
            <w:r w:rsidR="00A807A3">
              <w:rPr>
                <w:rFonts w:cs="Times New Roman"/>
                <w:sz w:val="24"/>
                <w:szCs w:val="24"/>
              </w:rPr>
              <w:t>Gadījumā, ja centrālā valsts iestāde nespēj panākt vienošanos par Finanšu ministrijas priekšlikumiem</w:t>
            </w:r>
            <w:r w:rsidR="00BA4E3B">
              <w:rPr>
                <w:rFonts w:cs="Times New Roman"/>
                <w:sz w:val="24"/>
                <w:szCs w:val="24"/>
              </w:rPr>
              <w:t xml:space="preserve"> par kāda jauna fiskālā riska iekļaušanu vai esošā fiskālā riska izslēgšanu no fiskālā risku reģistra</w:t>
            </w:r>
            <w:r w:rsidR="00A807A3">
              <w:rPr>
                <w:rFonts w:cs="Times New Roman"/>
                <w:sz w:val="24"/>
                <w:szCs w:val="24"/>
              </w:rPr>
              <w:t xml:space="preserve"> </w:t>
            </w:r>
            <w:r w:rsidR="000D65BF">
              <w:rPr>
                <w:rFonts w:cs="Times New Roman"/>
                <w:sz w:val="24"/>
                <w:szCs w:val="24"/>
              </w:rPr>
              <w:t xml:space="preserve">Finanšu ministrija normatīvajos aktos paredzētajā kārtībā sagatavo un iesniedz </w:t>
            </w:r>
            <w:r w:rsidR="00A6706B">
              <w:rPr>
                <w:rFonts w:cs="Times New Roman"/>
                <w:sz w:val="24"/>
                <w:szCs w:val="24"/>
              </w:rPr>
              <w:t>MK</w:t>
            </w:r>
            <w:r w:rsidR="000D65BF">
              <w:rPr>
                <w:rFonts w:cs="Times New Roman"/>
                <w:sz w:val="24"/>
                <w:szCs w:val="24"/>
              </w:rPr>
              <w:t xml:space="preserve"> informatīvo </w:t>
            </w:r>
            <w:r w:rsidR="00A807A3">
              <w:rPr>
                <w:rFonts w:cs="Times New Roman"/>
                <w:sz w:val="24"/>
                <w:szCs w:val="24"/>
              </w:rPr>
              <w:t>ziņojum</w:t>
            </w:r>
            <w:r w:rsidR="000D65BF">
              <w:rPr>
                <w:rFonts w:cs="Times New Roman"/>
                <w:sz w:val="24"/>
                <w:szCs w:val="24"/>
              </w:rPr>
              <w:t>u</w:t>
            </w:r>
            <w:r w:rsidR="00A807A3">
              <w:rPr>
                <w:rFonts w:cs="Times New Roman"/>
                <w:sz w:val="24"/>
                <w:szCs w:val="24"/>
              </w:rPr>
              <w:t xml:space="preserve"> par konkrētajiem priekšlikumiem un centrālās valsts iestādes viedokli.</w:t>
            </w:r>
          </w:p>
          <w:p w14:paraId="30787185" w14:textId="06521BE8" w:rsidR="00530E8F" w:rsidRDefault="00E75546" w:rsidP="00D70398">
            <w:pPr>
              <w:pStyle w:val="naisc"/>
              <w:spacing w:before="0" w:beforeAutospacing="0" w:after="0" w:afterAutospacing="0"/>
              <w:jc w:val="both"/>
            </w:pPr>
            <w:r w:rsidRPr="008E513B">
              <w:t xml:space="preserve">    </w:t>
            </w:r>
            <w:r w:rsidR="008E7F3D">
              <w:t xml:space="preserve">Atsevišķo </w:t>
            </w:r>
            <w:r w:rsidR="00541082">
              <w:t xml:space="preserve">fiskālo risku vadība ietver tādus fiskālos riskus, kas, piemēram, ir saistīti ar valsts galvojumu konkrētam investīciju projektam. </w:t>
            </w:r>
            <w:r w:rsidR="008E7F3D">
              <w:t>Atsevišķo</w:t>
            </w:r>
            <w:r w:rsidRPr="008E513B">
              <w:t xml:space="preserve"> fiskālo risku vadības </w:t>
            </w:r>
            <w:r w:rsidR="00541082">
              <w:t>iestādes</w:t>
            </w:r>
            <w:r w:rsidR="00541082" w:rsidRPr="008E513B">
              <w:t xml:space="preserve"> </w:t>
            </w:r>
            <w:r w:rsidRPr="008E513B">
              <w:t xml:space="preserve">ir atbildīgas par </w:t>
            </w:r>
            <w:r w:rsidR="008E7F3D">
              <w:t>atsevišķo</w:t>
            </w:r>
            <w:r w:rsidR="008E7F3D" w:rsidRPr="008E513B">
              <w:t xml:space="preserve"> </w:t>
            </w:r>
            <w:r w:rsidRPr="008E513B">
              <w:t xml:space="preserve">fiskālo risku vadību un informē atsevišķo fiskālo risku vadības </w:t>
            </w:r>
            <w:r w:rsidR="00541082">
              <w:t>iestādes</w:t>
            </w:r>
            <w:r w:rsidRPr="008E513B">
              <w:t xml:space="preserve"> par </w:t>
            </w:r>
            <w:r w:rsidR="008E7F3D">
              <w:t>atsevišķo</w:t>
            </w:r>
            <w:r w:rsidRPr="008E513B">
              <w:t xml:space="preserve"> </w:t>
            </w:r>
            <w:r w:rsidR="00BC20A4">
              <w:t xml:space="preserve">fiskālo </w:t>
            </w:r>
            <w:r w:rsidRPr="008E513B">
              <w:t xml:space="preserve">risku vadības un kontroles pasākumiem. Finanšu ministrija tieši neietekmē </w:t>
            </w:r>
            <w:r w:rsidR="008E7F3D">
              <w:t>atsevišķo</w:t>
            </w:r>
            <w:r w:rsidRPr="008E513B">
              <w:t xml:space="preserve"> </w:t>
            </w:r>
            <w:r w:rsidR="00BC20A4">
              <w:t xml:space="preserve">fiskālo </w:t>
            </w:r>
            <w:r w:rsidRPr="008E513B">
              <w:t xml:space="preserve">risku vadības atbildīgās </w:t>
            </w:r>
            <w:r w:rsidR="00EF0B69">
              <w:t>iestādes</w:t>
            </w:r>
            <w:r w:rsidRPr="008E513B">
              <w:t xml:space="preserve">, bet tas var notikt pastarpināti caur priekšlikumiem </w:t>
            </w:r>
            <w:r w:rsidR="008E7F3D">
              <w:t>specifisko</w:t>
            </w:r>
            <w:r w:rsidR="008E7F3D" w:rsidRPr="008E513B">
              <w:t xml:space="preserve"> </w:t>
            </w:r>
            <w:r w:rsidR="00BC20A4">
              <w:t xml:space="preserve">fiskālo </w:t>
            </w:r>
            <w:r w:rsidRPr="008E513B">
              <w:t xml:space="preserve">risku vadības </w:t>
            </w:r>
            <w:r w:rsidR="00EF0B69">
              <w:t>iestādēm</w:t>
            </w:r>
            <w:r w:rsidRPr="008E513B">
              <w:t xml:space="preserve">, kas var ietvert pasākumus, kas ietekmē </w:t>
            </w:r>
            <w:r w:rsidR="008E7F3D">
              <w:t>atsevišķo</w:t>
            </w:r>
            <w:r w:rsidR="00BC20A4">
              <w:t xml:space="preserve"> fiskālo</w:t>
            </w:r>
            <w:r w:rsidRPr="008E513B">
              <w:t xml:space="preserve"> risku vadīb</w:t>
            </w:r>
            <w:r w:rsidR="005D2D3E">
              <w:t>u</w:t>
            </w:r>
            <w:r w:rsidRPr="008E513B">
              <w:t xml:space="preserve">. Par </w:t>
            </w:r>
            <w:r w:rsidR="008E7F3D">
              <w:t>atsevišķo</w:t>
            </w:r>
            <w:r w:rsidRPr="008E513B">
              <w:t xml:space="preserve"> fiskālo risku vadību ir atbildīgi valsts</w:t>
            </w:r>
            <w:r w:rsidR="00B85AA3">
              <w:t xml:space="preserve"> budžeta</w:t>
            </w:r>
            <w:r w:rsidRPr="008E513B">
              <w:t xml:space="preserve"> un Eiropas Savienības politikas instrumentu un citām ārvalstu finanšu palīdzības līdzekļu finansēto projektu un pasākumu īstenotāji, publiskās un privātās partnerības</w:t>
            </w:r>
            <w:r w:rsidR="00D35E9C">
              <w:t xml:space="preserve"> (turpmāk – PPP)</w:t>
            </w:r>
            <w:r w:rsidRPr="008E513B">
              <w:t xml:space="preserve"> projektu īstenotāji un vispārējās valdības sektorā ietilpstošās valsts komercsabiedrības.</w:t>
            </w:r>
            <w:r w:rsidR="005D2D3E">
              <w:t xml:space="preserve"> </w:t>
            </w:r>
          </w:p>
          <w:p w14:paraId="17A7C832" w14:textId="5A7F2373" w:rsidR="00D26427" w:rsidRDefault="001974DF" w:rsidP="00A6706B">
            <w:pPr>
              <w:pStyle w:val="naisc"/>
              <w:spacing w:before="120" w:beforeAutospacing="0" w:after="0" w:afterAutospacing="0"/>
              <w:jc w:val="both"/>
            </w:pPr>
            <w:r>
              <w:t xml:space="preserve">    </w:t>
            </w:r>
            <w:r w:rsidR="00F049E7">
              <w:t>Ši</w:t>
            </w:r>
            <w:r w:rsidR="00B65541">
              <w:t>s noteikumu projekts</w:t>
            </w:r>
            <w:r w:rsidR="00F049E7">
              <w:t xml:space="preserve"> tieš</w:t>
            </w:r>
            <w:r w:rsidR="004A44F2">
              <w:t>ā</w:t>
            </w:r>
            <w:r w:rsidR="00F049E7">
              <w:t xml:space="preserve"> veidā neskar pašvaldību, </w:t>
            </w:r>
            <w:r w:rsidR="00F049E7" w:rsidRPr="00F049E7">
              <w:t>valsts budžeta daļēji finansēt</w:t>
            </w:r>
            <w:r w:rsidR="006E796E">
              <w:t>o</w:t>
            </w:r>
            <w:r w:rsidR="00F049E7" w:rsidRPr="00F049E7">
              <w:t xml:space="preserve"> atvasinā</w:t>
            </w:r>
            <w:r w:rsidR="006E796E">
              <w:t>to</w:t>
            </w:r>
            <w:r w:rsidR="00F049E7" w:rsidRPr="00F049E7">
              <w:t xml:space="preserve"> publisk</w:t>
            </w:r>
            <w:r w:rsidR="006E796E">
              <w:t>o</w:t>
            </w:r>
            <w:r w:rsidR="00F049E7" w:rsidRPr="00F049E7">
              <w:t xml:space="preserve"> person</w:t>
            </w:r>
            <w:r w:rsidR="00F049E7">
              <w:t>u</w:t>
            </w:r>
            <w:r w:rsidR="00D26427">
              <w:t xml:space="preserve"> un </w:t>
            </w:r>
            <w:r w:rsidR="00F049E7" w:rsidRPr="00F049E7">
              <w:t>budžeta nefinansēt</w:t>
            </w:r>
            <w:r w:rsidR="006E796E">
              <w:t>o</w:t>
            </w:r>
            <w:r w:rsidR="00F049E7" w:rsidRPr="00F049E7">
              <w:t xml:space="preserve"> iestā</w:t>
            </w:r>
            <w:r w:rsidR="00F049E7">
              <w:t xml:space="preserve">žu izraisīto fiskālo risku vispārējo vadību. Šo institūciju </w:t>
            </w:r>
            <w:r w:rsidR="00D26427">
              <w:t xml:space="preserve">izraisītie fiskālie riski ir ietverti fiskālo risku vispārējā vadībā tikai tajos gadījumos, ja fiskālie riski ir saistīti ar </w:t>
            </w:r>
            <w:r w:rsidR="00D26427" w:rsidRPr="00FC6369">
              <w:t>valsts budžeta un no Eiropas Savienības politiku instrumentu un pārējās ārvalstu finanšu palīdzības līdzfinansēto un finansēto projektu un pasākumu īstenošanu</w:t>
            </w:r>
            <w:r w:rsidR="0061779E">
              <w:t xml:space="preserve">, kā arī tad ja šīs iestādes ir publiskie partneri </w:t>
            </w:r>
            <w:r w:rsidR="00D35E9C">
              <w:t>PPP</w:t>
            </w:r>
            <w:r w:rsidR="0061779E" w:rsidRPr="0061779E">
              <w:t xml:space="preserve"> projekt</w:t>
            </w:r>
            <w:r w:rsidR="00D35E9C">
              <w:t>o</w:t>
            </w:r>
            <w:r w:rsidR="0061779E" w:rsidRPr="0061779E">
              <w:t>s.</w:t>
            </w:r>
            <w:r w:rsidR="00530E8F">
              <w:t xml:space="preserve"> Noteikum</w:t>
            </w:r>
            <w:r w:rsidR="001C5603">
              <w:t>u projekts</w:t>
            </w:r>
            <w:r w:rsidR="00530E8F">
              <w:t xml:space="preserve"> attiecas uz </w:t>
            </w:r>
            <w:r w:rsidR="00A6706B">
              <w:t>Eiropas Savienības</w:t>
            </w:r>
            <w:r w:rsidR="00530E8F" w:rsidRPr="00AA66CC">
              <w:t xml:space="preserve"> fondu un citu starptautiskās sadarbības programmu (STS) </w:t>
            </w:r>
            <w:r w:rsidR="00530E8F" w:rsidRPr="00AA66CC">
              <w:lastRenderedPageBreak/>
              <w:t>projektiem</w:t>
            </w:r>
            <w:r w:rsidR="00530E8F">
              <w:t xml:space="preserve">, tomēr ne vienmēr projekta īstenošana ietver </w:t>
            </w:r>
            <w:r w:rsidR="008E7F3D">
              <w:t xml:space="preserve">atsevišķu </w:t>
            </w:r>
            <w:r w:rsidR="00B85AA3">
              <w:t>fiskālo</w:t>
            </w:r>
            <w:r w:rsidR="00530E8F">
              <w:t xml:space="preserve"> risku. Ja projektu par saviem līdzekļiem īsteno institūcija, kas nav vispārējās valdības sektorā, </w:t>
            </w:r>
            <w:r w:rsidR="008E7F3D">
              <w:t xml:space="preserve">atsevišķs </w:t>
            </w:r>
            <w:r w:rsidR="00B85AA3">
              <w:t xml:space="preserve">fiskālais </w:t>
            </w:r>
            <w:r w:rsidR="00530E8F">
              <w:t xml:space="preserve">risks nepastāv un uz šo saņēmēju 6.punkta </w:t>
            </w:r>
            <w:r w:rsidR="001C5603">
              <w:t xml:space="preserve">noteikumu projekta </w:t>
            </w:r>
            <w:r w:rsidR="00530E8F">
              <w:t>neattiecas.  6.punkts atti</w:t>
            </w:r>
            <w:r w:rsidR="00B85AA3">
              <w:t>e</w:t>
            </w:r>
            <w:r w:rsidR="00530E8F">
              <w:t>cas uz „</w:t>
            </w:r>
            <w:r w:rsidR="00530E8F" w:rsidRPr="00263D8C">
              <w:t>tādiem fiskālajiem riskiem, kas saistīti ar attiecīgā projekta īstenošanu</w:t>
            </w:r>
            <w:r w:rsidR="00530E8F">
              <w:t xml:space="preserve">”. Līdz ar to </w:t>
            </w:r>
            <w:r w:rsidR="00A6706B">
              <w:t>Eiropas Savienības</w:t>
            </w:r>
            <w:r w:rsidR="00530E8F" w:rsidRPr="00AA66CC">
              <w:t xml:space="preserve"> fondu un citu starptautiskās sadarbības programmu projekt</w:t>
            </w:r>
            <w:r w:rsidR="00530E8F">
              <w:t xml:space="preserve">u īstenošana automātiski nozīmē, ka pastāv fiskālais risks. </w:t>
            </w:r>
            <w:r w:rsidR="00530E8F" w:rsidRPr="00E066BC">
              <w:t>Fiskālo risku pastāvēšanu konkrētajās situācijās noteiks fiskālo risku reģistrs.</w:t>
            </w:r>
          </w:p>
          <w:p w14:paraId="1AB7E794" w14:textId="75356B6B" w:rsidR="00F049E7" w:rsidRDefault="001974DF" w:rsidP="00E75546">
            <w:pPr>
              <w:spacing w:before="120"/>
              <w:jc w:val="both"/>
              <w:textAlignment w:val="top"/>
              <w:rPr>
                <w:rFonts w:cs="Times New Roman"/>
                <w:sz w:val="24"/>
              </w:rPr>
            </w:pPr>
            <w:r>
              <w:rPr>
                <w:rFonts w:cs="Times New Roman"/>
                <w:sz w:val="24"/>
              </w:rPr>
              <w:t xml:space="preserve">    </w:t>
            </w:r>
            <w:r w:rsidR="00B65541">
              <w:rPr>
                <w:rFonts w:cs="Times New Roman"/>
                <w:sz w:val="24"/>
              </w:rPr>
              <w:t>Noteikumu projekts</w:t>
            </w:r>
            <w:r w:rsidR="00D26427">
              <w:rPr>
                <w:rFonts w:cs="Times New Roman"/>
                <w:sz w:val="24"/>
              </w:rPr>
              <w:t xml:space="preserve"> skar </w:t>
            </w:r>
            <w:r w:rsidR="006E796E">
              <w:rPr>
                <w:rFonts w:cs="Times New Roman"/>
                <w:sz w:val="24"/>
              </w:rPr>
              <w:t xml:space="preserve">privāto tiesību juridiskas personas tik lielā mērā, cik šīs personas īsteno </w:t>
            </w:r>
            <w:r w:rsidR="00D26427">
              <w:rPr>
                <w:rFonts w:cs="Times New Roman"/>
                <w:sz w:val="24"/>
              </w:rPr>
              <w:t xml:space="preserve"> </w:t>
            </w:r>
            <w:r w:rsidR="006E796E">
              <w:rPr>
                <w:rFonts w:cs="Times New Roman"/>
                <w:sz w:val="24"/>
              </w:rPr>
              <w:t>no</w:t>
            </w:r>
            <w:r w:rsidR="006E796E" w:rsidRPr="006E796E">
              <w:rPr>
                <w:rFonts w:cs="Times New Roman"/>
                <w:sz w:val="24"/>
              </w:rPr>
              <w:t xml:space="preserve"> valsts budžeta un no Eiropas Savienības politiku instrumentu un pārējās ārvalstu finanšu palīdzības līdzfinansēto</w:t>
            </w:r>
            <w:r w:rsidR="006E796E">
              <w:rPr>
                <w:rFonts w:cs="Times New Roman"/>
                <w:sz w:val="24"/>
              </w:rPr>
              <w:t>s</w:t>
            </w:r>
            <w:r w:rsidR="006E796E" w:rsidRPr="006E796E">
              <w:rPr>
                <w:rFonts w:cs="Times New Roman"/>
                <w:sz w:val="24"/>
              </w:rPr>
              <w:t xml:space="preserve"> un finansēto</w:t>
            </w:r>
            <w:r w:rsidR="006E796E">
              <w:rPr>
                <w:rFonts w:cs="Times New Roman"/>
                <w:sz w:val="24"/>
              </w:rPr>
              <w:t>s</w:t>
            </w:r>
            <w:r w:rsidR="006E796E" w:rsidRPr="006E796E">
              <w:rPr>
                <w:rFonts w:cs="Times New Roman"/>
                <w:sz w:val="24"/>
              </w:rPr>
              <w:t xml:space="preserve"> projektu</w:t>
            </w:r>
            <w:r w:rsidR="006E796E">
              <w:rPr>
                <w:rFonts w:cs="Times New Roman"/>
                <w:sz w:val="24"/>
              </w:rPr>
              <w:t>s</w:t>
            </w:r>
            <w:r w:rsidR="006E796E" w:rsidRPr="006E796E">
              <w:rPr>
                <w:rFonts w:cs="Times New Roman"/>
                <w:sz w:val="24"/>
              </w:rPr>
              <w:t xml:space="preserve"> un pasākumu</w:t>
            </w:r>
            <w:r w:rsidR="006E796E">
              <w:rPr>
                <w:rFonts w:cs="Times New Roman"/>
                <w:sz w:val="24"/>
              </w:rPr>
              <w:t>s, kā arī tad, ja šīs personas</w:t>
            </w:r>
            <w:r w:rsidR="0061779E">
              <w:rPr>
                <w:rFonts w:cs="Times New Roman"/>
                <w:sz w:val="24"/>
              </w:rPr>
              <w:t xml:space="preserve"> ir</w:t>
            </w:r>
            <w:r w:rsidR="006E796E">
              <w:rPr>
                <w:rFonts w:cs="Times New Roman"/>
                <w:sz w:val="24"/>
              </w:rPr>
              <w:t xml:space="preserve"> </w:t>
            </w:r>
            <w:r w:rsidR="0061779E">
              <w:rPr>
                <w:rFonts w:cs="Times New Roman"/>
                <w:sz w:val="24"/>
              </w:rPr>
              <w:t>privātie partneri</w:t>
            </w:r>
            <w:r w:rsidR="006E796E">
              <w:rPr>
                <w:rFonts w:cs="Times New Roman"/>
                <w:sz w:val="24"/>
              </w:rPr>
              <w:t xml:space="preserve"> </w:t>
            </w:r>
            <w:r w:rsidR="006E796E" w:rsidRPr="006E796E">
              <w:rPr>
                <w:rFonts w:cs="Times New Roman"/>
                <w:sz w:val="24"/>
              </w:rPr>
              <w:t xml:space="preserve"> </w:t>
            </w:r>
            <w:r w:rsidR="00D35E9C">
              <w:rPr>
                <w:rFonts w:cs="Times New Roman"/>
                <w:sz w:val="24"/>
              </w:rPr>
              <w:t>PPP</w:t>
            </w:r>
            <w:r w:rsidR="006E796E">
              <w:rPr>
                <w:rFonts w:cs="Times New Roman"/>
                <w:sz w:val="24"/>
              </w:rPr>
              <w:t xml:space="preserve"> projekt</w:t>
            </w:r>
            <w:r w:rsidR="00D35E9C">
              <w:rPr>
                <w:rFonts w:cs="Times New Roman"/>
                <w:sz w:val="24"/>
              </w:rPr>
              <w:t>o</w:t>
            </w:r>
            <w:r w:rsidR="006E796E">
              <w:rPr>
                <w:rFonts w:cs="Times New Roman"/>
                <w:sz w:val="24"/>
              </w:rPr>
              <w:t xml:space="preserve">s. Papildus tam, </w:t>
            </w:r>
            <w:r w:rsidR="00B65541">
              <w:rPr>
                <w:rFonts w:cs="Times New Roman"/>
                <w:sz w:val="24"/>
              </w:rPr>
              <w:t>šis noteikumu projekts</w:t>
            </w:r>
            <w:r w:rsidR="006E796E">
              <w:rPr>
                <w:rFonts w:cs="Times New Roman"/>
                <w:sz w:val="24"/>
              </w:rPr>
              <w:t xml:space="preserve"> nosaka arī tādu fiskālo risku vispārējo vadību, kas izriet no vispārējās valdības sektorā ietilpstošo komercsabiedrību komercdarbības.   </w:t>
            </w:r>
            <w:r w:rsidR="00F049E7" w:rsidRPr="00FC6369">
              <w:rPr>
                <w:sz w:val="24"/>
              </w:rPr>
              <w:t xml:space="preserve"> </w:t>
            </w:r>
          </w:p>
          <w:p w14:paraId="1C3BE233" w14:textId="0F8388C7" w:rsidR="00E75546" w:rsidRDefault="001974DF" w:rsidP="00D270A5">
            <w:pPr>
              <w:spacing w:before="120"/>
              <w:jc w:val="both"/>
              <w:textAlignment w:val="top"/>
              <w:rPr>
                <w:rFonts w:cs="Times New Roman"/>
                <w:sz w:val="24"/>
              </w:rPr>
            </w:pPr>
            <w:r>
              <w:rPr>
                <w:rFonts w:cs="Times New Roman"/>
                <w:sz w:val="24"/>
              </w:rPr>
              <w:t xml:space="preserve">    </w:t>
            </w:r>
            <w:r w:rsidR="00BD393B">
              <w:rPr>
                <w:rFonts w:cs="Times New Roman"/>
                <w:sz w:val="24"/>
              </w:rPr>
              <w:t>A</w:t>
            </w:r>
            <w:r w:rsidR="005D2D3E">
              <w:rPr>
                <w:rFonts w:cs="Times New Roman"/>
                <w:sz w:val="24"/>
              </w:rPr>
              <w:t xml:space="preserve">ttiecībā </w:t>
            </w:r>
            <w:r w:rsidR="001548A6">
              <w:rPr>
                <w:rFonts w:cs="Times New Roman"/>
                <w:sz w:val="24"/>
              </w:rPr>
              <w:t>uz</w:t>
            </w:r>
            <w:r w:rsidR="00BD393B">
              <w:rPr>
                <w:rFonts w:cs="Times New Roman"/>
                <w:sz w:val="24"/>
              </w:rPr>
              <w:t xml:space="preserve"> </w:t>
            </w:r>
            <w:r w:rsidR="00D35E9C">
              <w:rPr>
                <w:rFonts w:cs="Times New Roman"/>
                <w:sz w:val="24"/>
              </w:rPr>
              <w:t>PPP</w:t>
            </w:r>
            <w:r w:rsidR="00BD393B" w:rsidRPr="008E513B">
              <w:rPr>
                <w:rFonts w:cs="Times New Roman"/>
                <w:sz w:val="24"/>
              </w:rPr>
              <w:t xml:space="preserve"> projekt</w:t>
            </w:r>
            <w:r w:rsidR="00BD393B">
              <w:rPr>
                <w:rFonts w:cs="Times New Roman"/>
                <w:sz w:val="24"/>
              </w:rPr>
              <w:t xml:space="preserve">iem, </w:t>
            </w:r>
            <w:r w:rsidR="001548A6">
              <w:rPr>
                <w:rFonts w:cs="Times New Roman"/>
                <w:sz w:val="24"/>
              </w:rPr>
              <w:t xml:space="preserve">šo </w:t>
            </w:r>
            <w:r w:rsidR="00BD393B">
              <w:rPr>
                <w:rFonts w:cs="Times New Roman"/>
                <w:sz w:val="24"/>
              </w:rPr>
              <w:t>noteikumu pro</w:t>
            </w:r>
            <w:r w:rsidR="001548A6">
              <w:rPr>
                <w:rFonts w:cs="Times New Roman"/>
                <w:sz w:val="24"/>
              </w:rPr>
              <w:t>jekta</w:t>
            </w:r>
            <w:r w:rsidR="00D270A5">
              <w:rPr>
                <w:rFonts w:cs="Times New Roman"/>
                <w:sz w:val="24"/>
              </w:rPr>
              <w:t xml:space="preserve"> </w:t>
            </w:r>
            <w:r w:rsidR="00BD393B">
              <w:rPr>
                <w:rFonts w:cs="Times New Roman"/>
                <w:sz w:val="24"/>
              </w:rPr>
              <w:t>9. punkt</w:t>
            </w:r>
            <w:r w:rsidR="00A56572">
              <w:rPr>
                <w:rFonts w:cs="Times New Roman"/>
                <w:sz w:val="24"/>
              </w:rPr>
              <w:t>s</w:t>
            </w:r>
            <w:r w:rsidR="00BD393B">
              <w:rPr>
                <w:rFonts w:cs="Times New Roman"/>
                <w:sz w:val="24"/>
              </w:rPr>
              <w:t xml:space="preserve"> paplašina tās tiesības, kas ir noteiktas </w:t>
            </w:r>
            <w:r w:rsidR="00A6706B">
              <w:rPr>
                <w:rFonts w:cs="Times New Roman"/>
                <w:sz w:val="24"/>
              </w:rPr>
              <w:t>MK</w:t>
            </w:r>
            <w:r w:rsidR="005256D7">
              <w:rPr>
                <w:rFonts w:cs="Times New Roman"/>
                <w:sz w:val="24"/>
              </w:rPr>
              <w:t xml:space="preserve"> 2009.gada 20.oktobra</w:t>
            </w:r>
            <w:r w:rsidR="00BD393B">
              <w:rPr>
                <w:rFonts w:cs="Times New Roman"/>
                <w:sz w:val="24"/>
              </w:rPr>
              <w:t xml:space="preserve"> noteikumos Nr. 1216 „</w:t>
            </w:r>
            <w:r w:rsidR="00BD393B" w:rsidRPr="00BD393B">
              <w:rPr>
                <w:rFonts w:cs="Times New Roman"/>
                <w:sz w:val="24"/>
              </w:rPr>
              <w:t>Noteikumi par uzraudzības institūcijas darbību un publiskā partnera vai tā pārstāvja līguma izpildes pārskata sniegšanu</w:t>
            </w:r>
            <w:r w:rsidR="00BD393B">
              <w:rPr>
                <w:rFonts w:cs="Times New Roman"/>
                <w:sz w:val="24"/>
              </w:rPr>
              <w:t xml:space="preserve">”, jo </w:t>
            </w:r>
            <w:r w:rsidR="008E7F3D">
              <w:rPr>
                <w:rFonts w:cs="Times New Roman"/>
                <w:sz w:val="24"/>
              </w:rPr>
              <w:t xml:space="preserve">atsevišķo </w:t>
            </w:r>
            <w:r w:rsidR="00BD393B">
              <w:rPr>
                <w:rFonts w:cs="Times New Roman"/>
                <w:sz w:val="24"/>
              </w:rPr>
              <w:t xml:space="preserve">fiskālo risku vadības iestādes sniedz </w:t>
            </w:r>
            <w:r w:rsidR="00A56572">
              <w:rPr>
                <w:rFonts w:cs="Times New Roman"/>
                <w:sz w:val="24"/>
              </w:rPr>
              <w:t>nepieciešamo informāciju centrālām valsts iestādēm, kas nepieciešama fiskālo risku vadības ziņojumu sagatavošanai.</w:t>
            </w:r>
          </w:p>
          <w:p w14:paraId="4061724E" w14:textId="10C701AA" w:rsidR="001B5FCE" w:rsidRPr="00F3033E" w:rsidRDefault="001974DF" w:rsidP="00D270A5">
            <w:pPr>
              <w:spacing w:before="120"/>
              <w:jc w:val="both"/>
              <w:textAlignment w:val="top"/>
              <w:rPr>
                <w:rFonts w:cs="Times New Roman"/>
                <w:sz w:val="24"/>
                <w:szCs w:val="24"/>
              </w:rPr>
            </w:pPr>
            <w:r>
              <w:rPr>
                <w:rFonts w:cs="Times New Roman"/>
                <w:sz w:val="24"/>
                <w:szCs w:val="24"/>
              </w:rPr>
              <w:t xml:space="preserve">    </w:t>
            </w:r>
            <w:r w:rsidR="001B5FCE">
              <w:rPr>
                <w:rFonts w:cs="Times New Roman"/>
                <w:sz w:val="24"/>
                <w:szCs w:val="24"/>
              </w:rPr>
              <w:t>Pašvaldības, valsts budžeta daļēji finansētās atvasinā</w:t>
            </w:r>
            <w:r w:rsidR="00B85AA3">
              <w:rPr>
                <w:rFonts w:cs="Times New Roman"/>
                <w:sz w:val="24"/>
                <w:szCs w:val="24"/>
              </w:rPr>
              <w:t>tā</w:t>
            </w:r>
            <w:r w:rsidR="001B5FCE">
              <w:rPr>
                <w:rFonts w:cs="Times New Roman"/>
                <w:sz w:val="24"/>
                <w:szCs w:val="24"/>
              </w:rPr>
              <w:t xml:space="preserve">s publiskās </w:t>
            </w:r>
            <w:r w:rsidR="001B5FCE" w:rsidRPr="00F3033E">
              <w:rPr>
                <w:rFonts w:cs="Times New Roman"/>
                <w:sz w:val="24"/>
                <w:szCs w:val="24"/>
              </w:rPr>
              <w:t>personas un budžeta nefinansētās iestādes savas kompetences ietvaros uzrauga un sniedz informāciju</w:t>
            </w:r>
            <w:r w:rsidR="007A5C40">
              <w:rPr>
                <w:rFonts w:cs="Times New Roman"/>
                <w:sz w:val="24"/>
                <w:szCs w:val="24"/>
              </w:rPr>
              <w:t xml:space="preserve"> centrālai valsts iestādei</w:t>
            </w:r>
            <w:r w:rsidR="001B5FCE" w:rsidRPr="00F3033E">
              <w:rPr>
                <w:rFonts w:cs="Times New Roman"/>
                <w:sz w:val="24"/>
                <w:szCs w:val="24"/>
              </w:rPr>
              <w:t xml:space="preserve"> par tādiem fiskālajiem riskiem, k</w:t>
            </w:r>
            <w:r w:rsidR="00F3033E" w:rsidRPr="00F3033E">
              <w:rPr>
                <w:rFonts w:cs="Times New Roman"/>
                <w:sz w:val="24"/>
                <w:szCs w:val="24"/>
              </w:rPr>
              <w:t>as skar sekojošus projektu</w:t>
            </w:r>
            <w:r w:rsidR="00F3033E">
              <w:rPr>
                <w:rFonts w:cs="Times New Roman"/>
                <w:sz w:val="24"/>
                <w:szCs w:val="24"/>
              </w:rPr>
              <w:t>s</w:t>
            </w:r>
            <w:r w:rsidR="00F3033E" w:rsidRPr="00F3033E">
              <w:rPr>
                <w:rFonts w:cs="Times New Roman"/>
                <w:sz w:val="24"/>
                <w:szCs w:val="24"/>
              </w:rPr>
              <w:t xml:space="preserve"> vai pasākumu</w:t>
            </w:r>
            <w:r w:rsidR="00F3033E">
              <w:rPr>
                <w:rFonts w:cs="Times New Roman"/>
                <w:sz w:val="24"/>
                <w:szCs w:val="24"/>
              </w:rPr>
              <w:t>s</w:t>
            </w:r>
            <w:r w:rsidR="00F3033E" w:rsidRPr="00F3033E">
              <w:rPr>
                <w:rFonts w:cs="Times New Roman"/>
                <w:sz w:val="24"/>
                <w:szCs w:val="24"/>
              </w:rPr>
              <w:t>:</w:t>
            </w:r>
          </w:p>
          <w:p w14:paraId="756AE184" w14:textId="77777777" w:rsidR="00FC6369" w:rsidRDefault="00587CC3" w:rsidP="00D270A5">
            <w:pPr>
              <w:pStyle w:val="ListParagraph"/>
              <w:numPr>
                <w:ilvl w:val="0"/>
                <w:numId w:val="11"/>
              </w:numPr>
              <w:spacing w:before="120"/>
              <w:textAlignment w:val="top"/>
              <w:rPr>
                <w:rFonts w:ascii="Times New Roman" w:hAnsi="Times New Roman"/>
                <w:sz w:val="24"/>
                <w:szCs w:val="24"/>
              </w:rPr>
            </w:pPr>
            <w:r w:rsidRPr="00F3033E">
              <w:rPr>
                <w:rFonts w:ascii="Times New Roman" w:hAnsi="Times New Roman"/>
                <w:sz w:val="24"/>
                <w:szCs w:val="24"/>
              </w:rPr>
              <w:t>no valsts budžeta un no Eiropas Savienības politiku instrumentu un pārējās ārvalstu finanšu palīdzības līdzfinansēt</w:t>
            </w:r>
            <w:r w:rsidR="00F3033E">
              <w:rPr>
                <w:rFonts w:ascii="Times New Roman" w:hAnsi="Times New Roman"/>
                <w:sz w:val="24"/>
                <w:szCs w:val="24"/>
              </w:rPr>
              <w:t>os</w:t>
            </w:r>
            <w:r w:rsidRPr="00F3033E">
              <w:rPr>
                <w:rFonts w:ascii="Times New Roman" w:hAnsi="Times New Roman"/>
                <w:sz w:val="24"/>
                <w:szCs w:val="24"/>
              </w:rPr>
              <w:t xml:space="preserve"> un finansēt</w:t>
            </w:r>
            <w:r w:rsidR="00F3033E">
              <w:rPr>
                <w:rFonts w:ascii="Times New Roman" w:hAnsi="Times New Roman"/>
                <w:sz w:val="24"/>
                <w:szCs w:val="24"/>
              </w:rPr>
              <w:t>os</w:t>
            </w:r>
            <w:r w:rsidRPr="00F3033E">
              <w:rPr>
                <w:rFonts w:ascii="Times New Roman" w:hAnsi="Times New Roman"/>
                <w:sz w:val="24"/>
                <w:szCs w:val="24"/>
              </w:rPr>
              <w:t xml:space="preserve"> projekt</w:t>
            </w:r>
            <w:r w:rsidR="00F3033E">
              <w:rPr>
                <w:rFonts w:ascii="Times New Roman" w:hAnsi="Times New Roman"/>
                <w:sz w:val="24"/>
                <w:szCs w:val="24"/>
              </w:rPr>
              <w:t>us</w:t>
            </w:r>
            <w:r w:rsidRPr="00F3033E">
              <w:rPr>
                <w:rFonts w:ascii="Times New Roman" w:hAnsi="Times New Roman"/>
                <w:sz w:val="24"/>
                <w:szCs w:val="24"/>
              </w:rPr>
              <w:t xml:space="preserve"> un pasākum</w:t>
            </w:r>
            <w:r w:rsidR="00F3033E">
              <w:rPr>
                <w:rFonts w:ascii="Times New Roman" w:hAnsi="Times New Roman"/>
                <w:sz w:val="24"/>
                <w:szCs w:val="24"/>
              </w:rPr>
              <w:t>us</w:t>
            </w:r>
            <w:r w:rsidR="00F3033E" w:rsidRPr="00F3033E">
              <w:rPr>
                <w:rFonts w:ascii="Times New Roman" w:hAnsi="Times New Roman"/>
                <w:sz w:val="24"/>
                <w:szCs w:val="24"/>
              </w:rPr>
              <w:t>;</w:t>
            </w:r>
          </w:p>
          <w:p w14:paraId="205A7439" w14:textId="2D8B7258" w:rsidR="001548A6" w:rsidRPr="00FC6369" w:rsidRDefault="00D35E9C" w:rsidP="00D270A5">
            <w:pPr>
              <w:pStyle w:val="ListParagraph"/>
              <w:numPr>
                <w:ilvl w:val="0"/>
                <w:numId w:val="11"/>
              </w:numPr>
              <w:spacing w:before="120"/>
              <w:textAlignment w:val="top"/>
              <w:rPr>
                <w:rFonts w:ascii="Times New Roman" w:hAnsi="Times New Roman"/>
                <w:sz w:val="24"/>
                <w:szCs w:val="24"/>
              </w:rPr>
            </w:pPr>
            <w:r>
              <w:rPr>
                <w:rFonts w:ascii="Times New Roman" w:hAnsi="Times New Roman"/>
                <w:sz w:val="24"/>
                <w:szCs w:val="24"/>
              </w:rPr>
              <w:t>PPP</w:t>
            </w:r>
            <w:r w:rsidR="00587CC3" w:rsidRPr="00FC6369">
              <w:rPr>
                <w:rFonts w:ascii="Times New Roman" w:hAnsi="Times New Roman"/>
                <w:sz w:val="24"/>
                <w:szCs w:val="24"/>
              </w:rPr>
              <w:t xml:space="preserve"> projekt</w:t>
            </w:r>
            <w:r w:rsidR="00F3033E" w:rsidRPr="00FC6369">
              <w:rPr>
                <w:rFonts w:ascii="Times New Roman" w:hAnsi="Times New Roman"/>
                <w:sz w:val="24"/>
                <w:szCs w:val="24"/>
              </w:rPr>
              <w:t>us</w:t>
            </w:r>
            <w:r w:rsidR="001548A6" w:rsidRPr="00FC6369">
              <w:rPr>
                <w:rFonts w:ascii="Times New Roman" w:hAnsi="Times New Roman"/>
                <w:sz w:val="24"/>
                <w:szCs w:val="24"/>
              </w:rPr>
              <w:t>.</w:t>
            </w:r>
          </w:p>
          <w:p w14:paraId="49297E81" w14:textId="77777777" w:rsidR="001548A6" w:rsidRDefault="001548A6" w:rsidP="00D270A5">
            <w:pPr>
              <w:jc w:val="both"/>
              <w:rPr>
                <w:sz w:val="24"/>
                <w:szCs w:val="24"/>
              </w:rPr>
            </w:pPr>
          </w:p>
          <w:p w14:paraId="57E705DC" w14:textId="27412D11" w:rsidR="001548A6" w:rsidRDefault="001974DF" w:rsidP="00D270A5">
            <w:pPr>
              <w:jc w:val="both"/>
            </w:pPr>
            <w:r>
              <w:rPr>
                <w:sz w:val="24"/>
                <w:szCs w:val="24"/>
              </w:rPr>
              <w:t xml:space="preserve">    </w:t>
            </w:r>
            <w:r w:rsidR="001548A6">
              <w:rPr>
                <w:sz w:val="24"/>
                <w:szCs w:val="24"/>
              </w:rPr>
              <w:t>V</w:t>
            </w:r>
            <w:r w:rsidR="00587CC3" w:rsidRPr="00CC690A">
              <w:rPr>
                <w:sz w:val="24"/>
                <w:szCs w:val="24"/>
              </w:rPr>
              <w:t>ispārējās valdības sektorā ietilpstošās valsts komercsabiedrības</w:t>
            </w:r>
            <w:r w:rsidR="001548A6">
              <w:rPr>
                <w:sz w:val="24"/>
                <w:szCs w:val="24"/>
              </w:rPr>
              <w:t xml:space="preserve"> savas kompetences ietvaros  uzrauga un sniedz informāciju</w:t>
            </w:r>
            <w:r w:rsidR="00B65541">
              <w:rPr>
                <w:sz w:val="24"/>
                <w:szCs w:val="24"/>
              </w:rPr>
              <w:t xml:space="preserve"> centrālām valsts iestādēm</w:t>
            </w:r>
            <w:r w:rsidR="001548A6">
              <w:rPr>
                <w:sz w:val="24"/>
                <w:szCs w:val="24"/>
              </w:rPr>
              <w:t xml:space="preserve"> par tādiem fiskālajiem riskiem, kas attiecas uz to finanšu rādītājiem</w:t>
            </w:r>
            <w:r w:rsidR="00C361CB">
              <w:rPr>
                <w:sz w:val="24"/>
                <w:szCs w:val="24"/>
              </w:rPr>
              <w:t>, kas ietekmē vi</w:t>
            </w:r>
            <w:r w:rsidR="00347FEF">
              <w:rPr>
                <w:sz w:val="24"/>
                <w:szCs w:val="24"/>
              </w:rPr>
              <w:t>spārējās valdības budžeta bilanci un parādu</w:t>
            </w:r>
            <w:r w:rsidR="00587CC3" w:rsidRPr="00CC690A">
              <w:rPr>
                <w:sz w:val="24"/>
                <w:szCs w:val="24"/>
              </w:rPr>
              <w:t>.</w:t>
            </w:r>
            <w:r w:rsidR="00E75546" w:rsidRPr="008E513B">
              <w:t xml:space="preserve">    </w:t>
            </w:r>
          </w:p>
          <w:p w14:paraId="54D8B172" w14:textId="24511626" w:rsidR="00E75546" w:rsidRPr="00CC690A" w:rsidRDefault="001974DF" w:rsidP="00CC690A">
            <w:pPr>
              <w:spacing w:before="120"/>
              <w:jc w:val="both"/>
              <w:textAlignment w:val="top"/>
              <w:rPr>
                <w:rFonts w:cs="Times New Roman"/>
                <w:sz w:val="24"/>
              </w:rPr>
            </w:pPr>
            <w:r>
              <w:rPr>
                <w:rFonts w:cs="Times New Roman"/>
                <w:sz w:val="24"/>
              </w:rPr>
              <w:t xml:space="preserve">    </w:t>
            </w:r>
            <w:r w:rsidR="00E75546" w:rsidRPr="00CC690A">
              <w:rPr>
                <w:rFonts w:cs="Times New Roman"/>
                <w:sz w:val="24"/>
              </w:rPr>
              <w:t>Not</w:t>
            </w:r>
            <w:r w:rsidR="00B85AA3">
              <w:rPr>
                <w:rFonts w:cs="Times New Roman"/>
                <w:sz w:val="24"/>
              </w:rPr>
              <w:t>eikumu projekts paredz centrāl</w:t>
            </w:r>
            <w:r w:rsidR="00E75546" w:rsidRPr="00CC690A">
              <w:rPr>
                <w:rFonts w:cs="Times New Roman"/>
                <w:sz w:val="24"/>
              </w:rPr>
              <w:t>ām valsts iestādēm tiesības uzdot projektu un pasākumu īstenotājiem un ar valsts pilnvarnieku starpniecību - vispārējās valdības sektorā ietilpstošās valsts komercsabiedrīb</w:t>
            </w:r>
            <w:r w:rsidR="00B85AA3">
              <w:rPr>
                <w:rFonts w:cs="Times New Roman"/>
                <w:sz w:val="24"/>
              </w:rPr>
              <w:t>ā</w:t>
            </w:r>
            <w:r w:rsidR="00E75546" w:rsidRPr="00CC690A">
              <w:rPr>
                <w:rFonts w:cs="Times New Roman"/>
                <w:sz w:val="24"/>
              </w:rPr>
              <w:t>m izstrādāt fiskālo risku vadības procedūras.</w:t>
            </w:r>
          </w:p>
          <w:p w14:paraId="35257DC4" w14:textId="0A6ABAAC" w:rsidR="008E7F3D" w:rsidRDefault="00E75546" w:rsidP="00E75546">
            <w:pPr>
              <w:spacing w:before="120"/>
              <w:jc w:val="both"/>
              <w:rPr>
                <w:rFonts w:eastAsia="Times New Roman"/>
                <w:sz w:val="24"/>
                <w:szCs w:val="24"/>
                <w:lang w:eastAsia="lv-LV"/>
              </w:rPr>
            </w:pPr>
            <w:r w:rsidRPr="008E513B">
              <w:rPr>
                <w:rFonts w:cs="Times New Roman"/>
                <w:sz w:val="24"/>
              </w:rPr>
              <w:t xml:space="preserve">    Noteikumu projekts nosaka fiskālo risku iestāšanās varbūtības un fiskālā</w:t>
            </w:r>
            <w:r w:rsidR="00B65541">
              <w:rPr>
                <w:rFonts w:cs="Times New Roman"/>
                <w:sz w:val="24"/>
              </w:rPr>
              <w:t>s</w:t>
            </w:r>
            <w:r w:rsidRPr="008E513B">
              <w:rPr>
                <w:rFonts w:cs="Times New Roman"/>
                <w:sz w:val="24"/>
              </w:rPr>
              <w:t xml:space="preserve"> ietekmes novērtējuma metodoloģiju. Fiskālo risku iestāšanās varbūtība tiek vērtēta 5 punktu skalā, vērtējot vai iestāšanās varbūtība ir tuvāka attiecīgi 0%, 10%, 30%, 60% vai 100%. Novērtējums 1 tiek veikts tad, ja iestāšanās varbūtība ir tuvāka 0%, novērtējums 5 tiek veikts, ja iestāšanās varbūtību ir tuvāka 100%.  </w:t>
            </w:r>
            <w:r w:rsidR="00B42145" w:rsidRPr="008C54DE">
              <w:rPr>
                <w:rFonts w:eastAsia="Times New Roman"/>
                <w:sz w:val="24"/>
                <w:szCs w:val="24"/>
                <w:lang w:eastAsia="lv-LV"/>
              </w:rPr>
              <w:t>Fi</w:t>
            </w:r>
            <w:r w:rsidR="00B42145">
              <w:rPr>
                <w:rFonts w:eastAsia="Times New Roman"/>
                <w:sz w:val="24"/>
                <w:szCs w:val="24"/>
                <w:lang w:eastAsia="lv-LV"/>
              </w:rPr>
              <w:t>skālo risku iestāšanās varbūtība tiek vērtēta ņemot vērā pastāvošos fiskālā riska mazināšanas pasākumu</w:t>
            </w:r>
            <w:r w:rsidR="00D70398">
              <w:rPr>
                <w:rFonts w:eastAsia="Times New Roman"/>
                <w:sz w:val="24"/>
                <w:szCs w:val="24"/>
                <w:lang w:eastAsia="lv-LV"/>
              </w:rPr>
              <w:t>s, kādi ir spēkā esošajos normatīvajos aktos</w:t>
            </w:r>
            <w:r w:rsidR="00B42145">
              <w:rPr>
                <w:rFonts w:eastAsia="Times New Roman"/>
                <w:sz w:val="24"/>
                <w:szCs w:val="24"/>
                <w:lang w:eastAsia="lv-LV"/>
              </w:rPr>
              <w:t>, bet neņemot vērā papildu nepieciešamos pasākumus</w:t>
            </w:r>
            <w:r w:rsidR="006B7B78">
              <w:rPr>
                <w:rFonts w:eastAsia="Times New Roman"/>
                <w:sz w:val="24"/>
                <w:szCs w:val="24"/>
                <w:lang w:eastAsia="lv-LV"/>
              </w:rPr>
              <w:t>, piemēram, normatīvo aktu projektus</w:t>
            </w:r>
            <w:r w:rsidR="00B42145">
              <w:rPr>
                <w:rFonts w:eastAsia="Times New Roman"/>
                <w:sz w:val="24"/>
                <w:szCs w:val="24"/>
                <w:lang w:eastAsia="lv-LV"/>
              </w:rPr>
              <w:t xml:space="preserve">. </w:t>
            </w:r>
          </w:p>
          <w:p w14:paraId="57C63136" w14:textId="10089440" w:rsidR="008E7F3D" w:rsidRDefault="008E7F3D" w:rsidP="00E75546">
            <w:pPr>
              <w:spacing w:before="120"/>
              <w:jc w:val="both"/>
              <w:rPr>
                <w:rFonts w:cs="Times New Roman"/>
                <w:sz w:val="24"/>
              </w:rPr>
            </w:pPr>
            <w:r>
              <w:rPr>
                <w:rFonts w:eastAsia="Times New Roman"/>
                <w:sz w:val="24"/>
                <w:szCs w:val="24"/>
                <w:lang w:eastAsia="lv-LV"/>
              </w:rPr>
              <w:t xml:space="preserve">    </w:t>
            </w:r>
            <w:r w:rsidR="00B42145" w:rsidRPr="008C54DE">
              <w:rPr>
                <w:rFonts w:eastAsia="Times New Roman"/>
                <w:sz w:val="24"/>
                <w:szCs w:val="24"/>
                <w:lang w:eastAsia="lv-LV"/>
              </w:rPr>
              <w:t>Fi</w:t>
            </w:r>
            <w:r w:rsidR="00B42145">
              <w:rPr>
                <w:rFonts w:eastAsia="Times New Roman"/>
                <w:sz w:val="24"/>
                <w:szCs w:val="24"/>
                <w:lang w:eastAsia="lv-LV"/>
              </w:rPr>
              <w:t>skālo risku iestāšanās varbūtību</w:t>
            </w:r>
            <w:r w:rsidR="00B42145" w:rsidRPr="008C54DE">
              <w:rPr>
                <w:rFonts w:eastAsia="Times New Roman"/>
                <w:sz w:val="24"/>
                <w:szCs w:val="24"/>
                <w:lang w:eastAsia="lv-LV"/>
              </w:rPr>
              <w:t xml:space="preserve"> nevar novērtēt, </w:t>
            </w:r>
            <w:r w:rsidR="00B42145">
              <w:rPr>
                <w:rFonts w:eastAsia="Times New Roman"/>
                <w:sz w:val="24"/>
                <w:szCs w:val="24"/>
                <w:lang w:eastAsia="lv-LV"/>
              </w:rPr>
              <w:t>ņemot vērā</w:t>
            </w:r>
            <w:r w:rsidR="00B42145" w:rsidRPr="008C54DE">
              <w:rPr>
                <w:rFonts w:eastAsia="Times New Roman"/>
                <w:sz w:val="24"/>
                <w:szCs w:val="24"/>
                <w:lang w:eastAsia="lv-LV"/>
              </w:rPr>
              <w:t xml:space="preserve"> papildus nepieciešam</w:t>
            </w:r>
            <w:r w:rsidR="00B42145">
              <w:rPr>
                <w:rFonts w:eastAsia="Times New Roman"/>
                <w:sz w:val="24"/>
                <w:szCs w:val="24"/>
                <w:lang w:eastAsia="lv-LV"/>
              </w:rPr>
              <w:t>os pasākumus, ar ko tiek saprasts, ka tā ir turpmākā nepieciešamā rīcība,</w:t>
            </w:r>
            <w:r w:rsidR="00B42145" w:rsidRPr="008C54DE">
              <w:rPr>
                <w:rFonts w:eastAsia="Times New Roman"/>
                <w:sz w:val="24"/>
                <w:szCs w:val="24"/>
                <w:lang w:eastAsia="lv-LV"/>
              </w:rPr>
              <w:t xml:space="preserve"> </w:t>
            </w:r>
            <w:r w:rsidR="00B42145">
              <w:rPr>
                <w:rFonts w:eastAsia="Times New Roman"/>
                <w:sz w:val="24"/>
                <w:szCs w:val="24"/>
                <w:lang w:eastAsia="lv-LV"/>
              </w:rPr>
              <w:t>kas nav stājusies spēkā</w:t>
            </w:r>
            <w:r w:rsidR="00D70398">
              <w:rPr>
                <w:rFonts w:eastAsia="Times New Roman"/>
                <w:sz w:val="24"/>
                <w:szCs w:val="24"/>
                <w:lang w:eastAsia="lv-LV"/>
              </w:rPr>
              <w:t xml:space="preserve"> un kas</w:t>
            </w:r>
            <w:r w:rsidR="00B42145">
              <w:rPr>
                <w:rFonts w:eastAsia="Times New Roman"/>
                <w:sz w:val="24"/>
                <w:szCs w:val="24"/>
                <w:lang w:eastAsia="lv-LV"/>
              </w:rPr>
              <w:t xml:space="preserve"> norāda, ka </w:t>
            </w:r>
            <w:r w:rsidR="00B42145" w:rsidRPr="008C54DE">
              <w:rPr>
                <w:rFonts w:eastAsia="Times New Roman"/>
                <w:sz w:val="24"/>
                <w:szCs w:val="24"/>
                <w:lang w:eastAsia="lv-LV"/>
              </w:rPr>
              <w:t>pastāvošie risku mazināšanas pasākumi nav pietiekami risku mazināšanai vai novēršanai.</w:t>
            </w:r>
            <w:r w:rsidR="00B42145">
              <w:rPr>
                <w:rFonts w:eastAsia="Times New Roman"/>
                <w:sz w:val="24"/>
                <w:szCs w:val="24"/>
                <w:lang w:eastAsia="lv-LV"/>
              </w:rPr>
              <w:t xml:space="preserve"> </w:t>
            </w:r>
            <w:r w:rsidR="008A2BAF">
              <w:rPr>
                <w:rFonts w:cs="Times New Roman"/>
                <w:sz w:val="24"/>
              </w:rPr>
              <w:t xml:space="preserve">Piemēram, viens no riska mazināšanas pasākumiem attiecībā uz </w:t>
            </w:r>
            <w:r w:rsidR="00D35E9C">
              <w:rPr>
                <w:rFonts w:cs="Times New Roman"/>
                <w:sz w:val="24"/>
              </w:rPr>
              <w:t>PPP</w:t>
            </w:r>
            <w:r w:rsidR="006B7B78">
              <w:rPr>
                <w:rFonts w:cs="Times New Roman"/>
                <w:sz w:val="24"/>
              </w:rPr>
              <w:t xml:space="preserve"> ir noteikts</w:t>
            </w:r>
            <w:r w:rsidR="008A2BAF">
              <w:rPr>
                <w:rFonts w:cs="Times New Roman"/>
                <w:sz w:val="24"/>
              </w:rPr>
              <w:t xml:space="preserve"> MK </w:t>
            </w:r>
            <w:r w:rsidR="005256D7">
              <w:rPr>
                <w:rFonts w:cs="Times New Roman"/>
                <w:sz w:val="24"/>
              </w:rPr>
              <w:t xml:space="preserve">2009.gada 20.oktobra </w:t>
            </w:r>
            <w:r w:rsidR="008A2BAF">
              <w:rPr>
                <w:rFonts w:cs="Times New Roman"/>
                <w:sz w:val="24"/>
              </w:rPr>
              <w:t>noteikum</w:t>
            </w:r>
            <w:r w:rsidR="006B7B78">
              <w:rPr>
                <w:rFonts w:cs="Times New Roman"/>
                <w:sz w:val="24"/>
              </w:rPr>
              <w:t>o</w:t>
            </w:r>
            <w:r w:rsidR="008A2BAF">
              <w:rPr>
                <w:rFonts w:cs="Times New Roman"/>
                <w:sz w:val="24"/>
              </w:rPr>
              <w:t>s Nr. 1216 „</w:t>
            </w:r>
            <w:r w:rsidR="008A2BAF" w:rsidRPr="00BD393B">
              <w:rPr>
                <w:rFonts w:cs="Times New Roman"/>
                <w:sz w:val="24"/>
              </w:rPr>
              <w:t>Noteikumi par uzraudzības institūcijas darbību un publiskā partnera vai tā pārstāvja līguma izpildes pārskata sniegšanu</w:t>
            </w:r>
            <w:r w:rsidR="008A2BAF">
              <w:rPr>
                <w:rFonts w:cs="Times New Roman"/>
                <w:sz w:val="24"/>
              </w:rPr>
              <w:t>”</w:t>
            </w:r>
            <w:r w:rsidR="004C563D">
              <w:rPr>
                <w:rFonts w:cs="Times New Roman"/>
                <w:sz w:val="24"/>
              </w:rPr>
              <w:t xml:space="preserve">, kas nosaka, ka publiskais partneris vai tā pārstāvis noteiktā termiņā sniedz </w:t>
            </w:r>
            <w:r w:rsidR="00D35E9C">
              <w:rPr>
                <w:rFonts w:cs="Times New Roman"/>
                <w:sz w:val="24"/>
              </w:rPr>
              <w:t>PPP</w:t>
            </w:r>
            <w:r w:rsidR="004C563D">
              <w:rPr>
                <w:rFonts w:cs="Times New Roman"/>
                <w:sz w:val="24"/>
              </w:rPr>
              <w:t xml:space="preserve"> līguma izpildes pārskatu uzraudzības institūcijai</w:t>
            </w:r>
            <w:r w:rsidR="00D35E9C">
              <w:rPr>
                <w:rFonts w:cs="Times New Roman"/>
                <w:sz w:val="24"/>
              </w:rPr>
              <w:t xml:space="preserve"> ar informāciju par projekta ieviešanu, publiskā partnera veiktajiem maksājumiem privātajam partnerim, problēmām projekta ieviešanas laikā. Pēc pārskata saņemšanas uzraudzības institūcija sagatavo atzinumu par to, vērtējot veikto būvdarbu vai pakalpojumu atbilstību PPP līgumam un PPP aktīvu uzskaites nosacījumu ievērošanu</w:t>
            </w:r>
            <w:r w:rsidR="00ED218A">
              <w:rPr>
                <w:rFonts w:cs="Times New Roman"/>
                <w:sz w:val="24"/>
              </w:rPr>
              <w:t>, tas ir, lai PPP līgums neradītu nevēlamu ietekmi uz valsts budžeta ilgtermiņa saistību apjomu un valsts parādu.</w:t>
            </w:r>
            <w:r w:rsidR="0053598A">
              <w:rPr>
                <w:rFonts w:cs="Times New Roman"/>
                <w:sz w:val="24"/>
              </w:rPr>
              <w:t xml:space="preserve"> </w:t>
            </w:r>
            <w:r w:rsidR="00E36E7F">
              <w:rPr>
                <w:rFonts w:cs="Times New Roman"/>
                <w:sz w:val="24"/>
              </w:rPr>
              <w:t>A</w:t>
            </w:r>
            <w:r w:rsidR="0053598A" w:rsidRPr="0053598A">
              <w:rPr>
                <w:sz w:val="24"/>
                <w:szCs w:val="24"/>
                <w:lang w:eastAsia="lv-LV"/>
              </w:rPr>
              <w:t>ttiecībā uz esošo sistēmu, kur pastāv atsevišķi risku vadības elementi</w:t>
            </w:r>
            <w:r w:rsidR="00E36E7F">
              <w:rPr>
                <w:sz w:val="24"/>
                <w:szCs w:val="24"/>
                <w:lang w:eastAsia="lv-LV"/>
              </w:rPr>
              <w:t xml:space="preserve"> (piemēram, </w:t>
            </w:r>
            <w:r w:rsidR="00E36E7F">
              <w:rPr>
                <w:rFonts w:cs="Times New Roman"/>
                <w:sz w:val="24"/>
              </w:rPr>
              <w:t>PPP līguma izpildes pārskatu sniegšana)</w:t>
            </w:r>
            <w:r w:rsidR="0053598A" w:rsidRPr="0053598A">
              <w:rPr>
                <w:sz w:val="24"/>
                <w:szCs w:val="24"/>
                <w:lang w:eastAsia="lv-LV"/>
              </w:rPr>
              <w:t>, netiek veidota jauna sistēma.</w:t>
            </w:r>
            <w:r w:rsidR="00E36E7F">
              <w:rPr>
                <w:sz w:val="24"/>
                <w:szCs w:val="24"/>
                <w:lang w:eastAsia="lv-LV"/>
              </w:rPr>
              <w:t xml:space="preserve"> Respektīvi, noteikumu projekta 8., 9. un 10.punkts tiek piemērots tik lielā mērā, lai veiktu specifisko fiskālo risku vadības funkcijas, ņemot vērā jau pastāvošos un citos tiesību aktos noteikto risku vadības elementus.</w:t>
            </w:r>
          </w:p>
          <w:p w14:paraId="107C618D" w14:textId="3B2A28B7" w:rsidR="008053E5" w:rsidRPr="008E513B" w:rsidRDefault="00E75546" w:rsidP="00E75546">
            <w:pPr>
              <w:spacing w:before="120"/>
              <w:jc w:val="both"/>
              <w:rPr>
                <w:rFonts w:cs="Times New Roman"/>
                <w:sz w:val="24"/>
                <w:szCs w:val="24"/>
              </w:rPr>
            </w:pPr>
            <w:r w:rsidRPr="008E513B">
              <w:rPr>
                <w:sz w:val="24"/>
                <w:szCs w:val="24"/>
              </w:rPr>
              <w:t xml:space="preserve">    </w:t>
            </w:r>
            <w:r w:rsidR="00B42145" w:rsidRPr="008E513B">
              <w:rPr>
                <w:rFonts w:cs="Times New Roman"/>
                <w:sz w:val="24"/>
              </w:rPr>
              <w:t xml:space="preserve">Fiskālie riski tiek vērtēti kvalitatīvi, un, kur tas iespējams arī kvantitatīvi. </w:t>
            </w:r>
            <w:r w:rsidRPr="008E513B">
              <w:rPr>
                <w:sz w:val="24"/>
                <w:szCs w:val="24"/>
              </w:rPr>
              <w:t xml:space="preserve">Noteikumu projekts paredz, ka fiskālajiem riskiem, kuru fiskālā ietekme ir novērtēta kvalitatīvi, bet nav novērtēta kvantitatīvi, Finanšu ministrija var šos riskus iekļaut fiskālo risku deklarācijā kā nekvantificējamus fiskālos riskus vai novērtēt šo risku aptuveno fiskālo ietekmi, kas fiskālo risku reģistrā tiktu iekļauti kā kvantificējamie fiskālie riski. Savukārt fiskālos riskus, kas ir novērtēti kvantitatīvi, var iekļaut fiskālo risku deklarācijā kā nekvantificējamus fiskālos riskus, sniedzot </w:t>
            </w:r>
            <w:r w:rsidRPr="008E513B">
              <w:rPr>
                <w:rFonts w:cs="Times New Roman"/>
                <w:sz w:val="24"/>
                <w:szCs w:val="24"/>
              </w:rPr>
              <w:t>attiecīgu pamatojumu.</w:t>
            </w:r>
            <w:r w:rsidR="00450E55">
              <w:rPr>
                <w:sz w:val="24"/>
                <w:szCs w:val="24"/>
              </w:rPr>
              <w:t xml:space="preserve"> Fiskālie riski</w:t>
            </w:r>
            <w:r w:rsidR="006F0C7D">
              <w:rPr>
                <w:sz w:val="24"/>
                <w:szCs w:val="24"/>
              </w:rPr>
              <w:t>, kas uzrādīti kā nekvantificējamie</w:t>
            </w:r>
            <w:r w:rsidR="00EC52D8">
              <w:rPr>
                <w:sz w:val="24"/>
                <w:szCs w:val="24"/>
              </w:rPr>
              <w:t xml:space="preserve"> fiskālie</w:t>
            </w:r>
            <w:r w:rsidR="006F0C7D">
              <w:rPr>
                <w:sz w:val="24"/>
                <w:szCs w:val="24"/>
              </w:rPr>
              <w:t xml:space="preserve"> riski</w:t>
            </w:r>
            <w:r w:rsidR="00450E55">
              <w:rPr>
                <w:sz w:val="24"/>
                <w:szCs w:val="24"/>
              </w:rPr>
              <w:t>,</w:t>
            </w:r>
            <w:r w:rsidR="006F0C7D">
              <w:rPr>
                <w:sz w:val="24"/>
                <w:szCs w:val="24"/>
              </w:rPr>
              <w:t xml:space="preserve"> ir</w:t>
            </w:r>
            <w:r w:rsidR="00450E55">
              <w:rPr>
                <w:sz w:val="24"/>
                <w:szCs w:val="24"/>
              </w:rPr>
              <w:t xml:space="preserve"> svarīgi, jo ir</w:t>
            </w:r>
            <w:r w:rsidR="006F0C7D">
              <w:rPr>
                <w:sz w:val="24"/>
                <w:szCs w:val="24"/>
              </w:rPr>
              <w:t xml:space="preserve"> veikta fiskālā riska identificēšana, izklāstīti tā nepieciešamie riska novēršanas pasāku</w:t>
            </w:r>
            <w:r w:rsidR="00D70398">
              <w:rPr>
                <w:sz w:val="24"/>
                <w:szCs w:val="24"/>
              </w:rPr>
              <w:t>mi, lai savlaicīgi novērstu fiskālos riskus un nodrošinātu fiskālo rādītāju stabilitāti.</w:t>
            </w:r>
          </w:p>
          <w:p w14:paraId="0EB72927" w14:textId="77777777" w:rsidR="00E75546" w:rsidRPr="008E513B" w:rsidRDefault="00E75546" w:rsidP="00E75546">
            <w:pPr>
              <w:spacing w:before="120"/>
              <w:jc w:val="both"/>
              <w:rPr>
                <w:rFonts w:cs="Times New Roman"/>
                <w:sz w:val="24"/>
                <w:szCs w:val="24"/>
              </w:rPr>
            </w:pPr>
            <w:r w:rsidRPr="008E513B">
              <w:rPr>
                <w:rFonts w:cs="Times New Roman"/>
                <w:sz w:val="24"/>
                <w:szCs w:val="24"/>
              </w:rPr>
              <w:t xml:space="preserve">    Minētais regulējums ir nepieciešams, lai nodrošinātu pietiekamu elastību fiskālā nodrošinājuma rezerves apjoma noteikšanā, tādejādi novēršot risku, ka fiskālā nodrošinājuma rezerve tiek noteikta neadekvāti liela.  </w:t>
            </w:r>
          </w:p>
          <w:p w14:paraId="23B28939" w14:textId="1191EFE9" w:rsidR="00E75546" w:rsidRPr="008E513B" w:rsidRDefault="00E75546" w:rsidP="00E75546">
            <w:pPr>
              <w:spacing w:before="120"/>
              <w:jc w:val="both"/>
              <w:rPr>
                <w:rFonts w:cs="Times New Roman"/>
                <w:sz w:val="24"/>
                <w:szCs w:val="24"/>
              </w:rPr>
            </w:pPr>
            <w:r w:rsidRPr="008E513B">
              <w:rPr>
                <w:rFonts w:cs="Times New Roman"/>
                <w:sz w:val="24"/>
                <w:szCs w:val="24"/>
              </w:rPr>
              <w:t xml:space="preserve">    Nosakot fiskālās nodrošinājuma rezerves apjomu, nekvantificējamie fiskālie riski netiek iekļauti šajos aprēķinos. Tāpat šajos aprēķinos neiekļauj fiskālos riskus ar iestāšanās varbūtību 1 un 5. Fiskālajiem riskiem ar zemu varbūtību tiek izmantota minimālā fiskālā nodrošinājuma rezerve 0,1% no </w:t>
            </w:r>
            <w:r w:rsidR="00A6706B">
              <w:rPr>
                <w:rFonts w:cs="Times New Roman"/>
                <w:sz w:val="24"/>
                <w:szCs w:val="24"/>
              </w:rPr>
              <w:t xml:space="preserve">iekšzemes kopprodukta (turpmāk – </w:t>
            </w:r>
            <w:r w:rsidRPr="008E513B">
              <w:rPr>
                <w:rFonts w:cs="Times New Roman"/>
                <w:sz w:val="24"/>
                <w:szCs w:val="24"/>
              </w:rPr>
              <w:t>IKP</w:t>
            </w:r>
            <w:r w:rsidR="00A6706B">
              <w:rPr>
                <w:rFonts w:cs="Times New Roman"/>
                <w:sz w:val="24"/>
                <w:szCs w:val="24"/>
              </w:rPr>
              <w:t>)</w:t>
            </w:r>
            <w:r w:rsidRPr="008E513B">
              <w:rPr>
                <w:rFonts w:cs="Times New Roman"/>
                <w:sz w:val="24"/>
                <w:szCs w:val="24"/>
              </w:rPr>
              <w:t>, bet fiskālos riskus ar augstu varbūtību (ar iestāšanās varbūtību 5) fiskālajās prognozēs ņem vērā kā notikumus, kas attiecīgajā periodā</w:t>
            </w:r>
            <w:r w:rsidR="00BD214D">
              <w:rPr>
                <w:rFonts w:cs="Times New Roman"/>
                <w:sz w:val="24"/>
                <w:szCs w:val="24"/>
              </w:rPr>
              <w:t xml:space="preserve"> </w:t>
            </w:r>
            <w:r w:rsidR="00BC4085" w:rsidRPr="008E513B">
              <w:rPr>
                <w:rFonts w:cs="Times New Roman"/>
                <w:sz w:val="24"/>
                <w:szCs w:val="24"/>
              </w:rPr>
              <w:t>notiks</w:t>
            </w:r>
            <w:r w:rsidR="00BC4085">
              <w:rPr>
                <w:rFonts w:cs="Times New Roman"/>
                <w:sz w:val="24"/>
                <w:szCs w:val="24"/>
              </w:rPr>
              <w:t>, respektīvi</w:t>
            </w:r>
            <w:r w:rsidR="006B7B78">
              <w:rPr>
                <w:rFonts w:cs="Times New Roman"/>
                <w:sz w:val="24"/>
                <w:szCs w:val="24"/>
              </w:rPr>
              <w:t>,</w:t>
            </w:r>
            <w:r w:rsidR="00BC4085">
              <w:rPr>
                <w:rFonts w:cs="Times New Roman"/>
                <w:sz w:val="24"/>
                <w:szCs w:val="24"/>
              </w:rPr>
              <w:t xml:space="preserve"> to fiskālo ietekmi</w:t>
            </w:r>
            <w:r w:rsidR="006B7B78">
              <w:rPr>
                <w:rFonts w:cs="Times New Roman"/>
                <w:sz w:val="24"/>
                <w:szCs w:val="24"/>
              </w:rPr>
              <w:t xml:space="preserve">, ko </w:t>
            </w:r>
            <w:r w:rsidR="00BC4085" w:rsidRPr="008E513B">
              <w:rPr>
                <w:rFonts w:cs="Times New Roman"/>
                <w:sz w:val="24"/>
                <w:szCs w:val="24"/>
              </w:rPr>
              <w:t>iekļauj izdevumu vai ieņēmumu prognozēs</w:t>
            </w:r>
            <w:r w:rsidR="00BC4085">
              <w:rPr>
                <w:rFonts w:cs="Times New Roman"/>
                <w:sz w:val="24"/>
                <w:szCs w:val="24"/>
              </w:rPr>
              <w:t xml:space="preserve">, </w:t>
            </w:r>
            <w:r w:rsidR="00BD214D">
              <w:rPr>
                <w:rFonts w:cs="Times New Roman"/>
                <w:sz w:val="24"/>
                <w:szCs w:val="24"/>
              </w:rPr>
              <w:t>sagatavojot vispārējās valdības budžeta finansiālās bilances prognozes</w:t>
            </w:r>
            <w:r w:rsidR="00BC4085">
              <w:rPr>
                <w:rFonts w:cs="Times New Roman"/>
                <w:sz w:val="24"/>
                <w:szCs w:val="24"/>
              </w:rPr>
              <w:t>.</w:t>
            </w:r>
          </w:p>
          <w:p w14:paraId="13471133" w14:textId="77777777" w:rsidR="00E75546" w:rsidRPr="008E513B" w:rsidRDefault="00E75546" w:rsidP="00E75546">
            <w:pPr>
              <w:spacing w:before="120"/>
              <w:jc w:val="both"/>
              <w:rPr>
                <w:rFonts w:cs="Times New Roman"/>
                <w:sz w:val="24"/>
                <w:szCs w:val="24"/>
              </w:rPr>
            </w:pPr>
            <w:r w:rsidRPr="008E513B">
              <w:rPr>
                <w:rFonts w:cs="Times New Roman"/>
                <w:sz w:val="24"/>
                <w:szCs w:val="24"/>
              </w:rPr>
              <w:t xml:space="preserve">    Fiskālā nodrošinājumu rezerve tiek aprēķināta fiskālajiem riskiem ar iestāšanās varbūtību 2, 3 un 4. Fiskālā nodrošinājuma rezerves apjomu aprēķina summējot visu kvantificējamo fiskālos riskus, kuriem:</w:t>
            </w:r>
          </w:p>
          <w:p w14:paraId="286B7B90" w14:textId="77777777" w:rsidR="00E75546" w:rsidRPr="008E513B" w:rsidRDefault="00E75546" w:rsidP="00E75546">
            <w:pPr>
              <w:pStyle w:val="ListParagraph"/>
              <w:numPr>
                <w:ilvl w:val="0"/>
                <w:numId w:val="10"/>
              </w:numPr>
              <w:spacing w:before="120"/>
              <w:rPr>
                <w:rFonts w:ascii="Times New Roman" w:hAnsi="Times New Roman"/>
                <w:sz w:val="24"/>
                <w:szCs w:val="24"/>
              </w:rPr>
            </w:pPr>
            <w:r w:rsidRPr="008E513B">
              <w:rPr>
                <w:rFonts w:ascii="Times New Roman" w:hAnsi="Times New Roman"/>
                <w:sz w:val="24"/>
                <w:szCs w:val="24"/>
              </w:rPr>
              <w:t>iestāšanās varbūtība novērtēta ar 2, fiskālo ietekmi procentos no IKP reizinot ar koeficientu 0,1;</w:t>
            </w:r>
          </w:p>
          <w:p w14:paraId="3E701955" w14:textId="77777777" w:rsidR="00E75546" w:rsidRPr="008E513B" w:rsidRDefault="00E75546" w:rsidP="00E75546">
            <w:pPr>
              <w:pStyle w:val="ListParagraph"/>
              <w:numPr>
                <w:ilvl w:val="0"/>
                <w:numId w:val="10"/>
              </w:numPr>
              <w:spacing w:before="120"/>
              <w:rPr>
                <w:rFonts w:ascii="Times New Roman" w:hAnsi="Times New Roman"/>
                <w:sz w:val="24"/>
                <w:szCs w:val="24"/>
              </w:rPr>
            </w:pPr>
            <w:r w:rsidRPr="008E513B">
              <w:rPr>
                <w:rFonts w:ascii="Times New Roman" w:hAnsi="Times New Roman"/>
                <w:sz w:val="24"/>
                <w:szCs w:val="24"/>
              </w:rPr>
              <w:t>iestāšanās varbūtība novērtēta ar 3, fiskālo ietekmi procentos no IKP reizinot ar koeficientu 0,3;</w:t>
            </w:r>
          </w:p>
          <w:p w14:paraId="6D88996F" w14:textId="77777777" w:rsidR="00E75546" w:rsidRPr="008E513B" w:rsidRDefault="00E75546" w:rsidP="00E75546">
            <w:pPr>
              <w:pStyle w:val="ListParagraph"/>
              <w:numPr>
                <w:ilvl w:val="0"/>
                <w:numId w:val="10"/>
              </w:numPr>
              <w:spacing w:before="120"/>
              <w:rPr>
                <w:rFonts w:ascii="Times New Roman" w:hAnsi="Times New Roman"/>
                <w:sz w:val="24"/>
                <w:szCs w:val="24"/>
              </w:rPr>
            </w:pPr>
            <w:r w:rsidRPr="008E513B">
              <w:rPr>
                <w:rFonts w:ascii="Times New Roman" w:hAnsi="Times New Roman"/>
                <w:sz w:val="24"/>
                <w:szCs w:val="24"/>
              </w:rPr>
              <w:t>iestāšanās varbūtība novērtēta ar 4, fiskālo ietekmi procentos no IKP reizinot ar koeficientu 0,6.</w:t>
            </w:r>
          </w:p>
          <w:p w14:paraId="2C732313" w14:textId="0FD39360" w:rsidR="00E75546" w:rsidRPr="008E513B" w:rsidRDefault="00E75546" w:rsidP="00E75546">
            <w:pPr>
              <w:spacing w:before="120"/>
              <w:jc w:val="both"/>
              <w:rPr>
                <w:iCs/>
                <w:sz w:val="24"/>
                <w:szCs w:val="24"/>
              </w:rPr>
            </w:pPr>
            <w:r w:rsidRPr="008E513B">
              <w:rPr>
                <w:rFonts w:cs="Times New Roman"/>
                <w:sz w:val="24"/>
                <w:szCs w:val="24"/>
              </w:rPr>
              <w:t xml:space="preserve">     </w:t>
            </w:r>
            <w:r w:rsidR="00EC52D8">
              <w:rPr>
                <w:rFonts w:cs="Times New Roman"/>
                <w:sz w:val="24"/>
                <w:szCs w:val="24"/>
              </w:rPr>
              <w:t>Specifiskiem</w:t>
            </w:r>
            <w:r w:rsidR="00EC52D8" w:rsidRPr="008E513B">
              <w:rPr>
                <w:rFonts w:cs="Times New Roman"/>
                <w:sz w:val="24"/>
                <w:szCs w:val="24"/>
              </w:rPr>
              <w:t xml:space="preserve"> </w:t>
            </w:r>
            <w:r w:rsidRPr="008E513B">
              <w:rPr>
                <w:rFonts w:cs="Times New Roman"/>
                <w:sz w:val="24"/>
                <w:szCs w:val="24"/>
              </w:rPr>
              <w:t>fiskālajiem riskiem Finanšu ministrija var mainīt koeficienta lielumu. Tas nepieciešams, lai gadījumos, kur iestāšanās varbūtību var noteikt precīzāk, varētu izmantot precīzākos datus.</w:t>
            </w:r>
          </w:p>
          <w:p w14:paraId="58154B2B" w14:textId="77777777" w:rsidR="00DA34B7" w:rsidRPr="008E513B" w:rsidRDefault="00DA34B7" w:rsidP="007E1F43">
            <w:pPr>
              <w:autoSpaceDE w:val="0"/>
              <w:autoSpaceDN w:val="0"/>
              <w:adjustRightInd w:val="0"/>
              <w:spacing w:before="120"/>
              <w:jc w:val="both"/>
              <w:rPr>
                <w:sz w:val="24"/>
                <w:szCs w:val="24"/>
              </w:rPr>
            </w:pPr>
            <w:r w:rsidRPr="008E513B">
              <w:rPr>
                <w:sz w:val="24"/>
                <w:szCs w:val="24"/>
              </w:rPr>
              <w:t xml:space="preserve">    </w:t>
            </w:r>
          </w:p>
        </w:tc>
      </w:tr>
      <w:tr w:rsidR="008E513B" w:rsidRPr="008E513B" w14:paraId="5CFFC013" w14:textId="77777777" w:rsidTr="005C545E">
        <w:trPr>
          <w:trHeight w:val="476"/>
          <w:tblCellSpacing w:w="0" w:type="dxa"/>
        </w:trPr>
        <w:tc>
          <w:tcPr>
            <w:tcW w:w="496" w:type="dxa"/>
            <w:tcBorders>
              <w:top w:val="outset" w:sz="6" w:space="0" w:color="auto"/>
              <w:left w:val="outset" w:sz="6" w:space="0" w:color="auto"/>
              <w:bottom w:val="outset" w:sz="6" w:space="0" w:color="auto"/>
              <w:right w:val="outset" w:sz="6" w:space="0" w:color="auto"/>
            </w:tcBorders>
            <w:hideMark/>
          </w:tcPr>
          <w:p w14:paraId="283F15AA" w14:textId="77777777" w:rsidR="00E10F28" w:rsidRPr="008E513B" w:rsidRDefault="00E10F28" w:rsidP="00E75546">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lastRenderedPageBreak/>
              <w:t> </w:t>
            </w:r>
            <w:r w:rsidR="00E75546" w:rsidRPr="008E513B">
              <w:rPr>
                <w:rFonts w:eastAsia="Times New Roman" w:cs="Times New Roman"/>
                <w:sz w:val="24"/>
                <w:szCs w:val="24"/>
                <w:lang w:eastAsia="lv-LV"/>
              </w:rPr>
              <w:t>3</w:t>
            </w:r>
            <w:r w:rsidRPr="008E513B">
              <w:rPr>
                <w:rFonts w:eastAsia="Times New Roman" w:cs="Times New Roman"/>
                <w:sz w:val="24"/>
                <w:szCs w:val="24"/>
                <w:lang w:eastAsia="lv-LV"/>
              </w:rPr>
              <w:t>.</w:t>
            </w:r>
          </w:p>
        </w:tc>
        <w:tc>
          <w:tcPr>
            <w:tcW w:w="3326" w:type="dxa"/>
            <w:tcBorders>
              <w:top w:val="outset" w:sz="6" w:space="0" w:color="auto"/>
              <w:left w:val="outset" w:sz="6" w:space="0" w:color="auto"/>
              <w:bottom w:val="outset" w:sz="6" w:space="0" w:color="auto"/>
              <w:right w:val="outset" w:sz="6" w:space="0" w:color="auto"/>
            </w:tcBorders>
            <w:hideMark/>
          </w:tcPr>
          <w:p w14:paraId="172EE996" w14:textId="77777777" w:rsidR="00E10F28" w:rsidRPr="008E513B" w:rsidRDefault="00E10F28" w:rsidP="00E10F28">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Projekta izstrādē iesaistītās institūcijas</w:t>
            </w:r>
          </w:p>
        </w:tc>
        <w:tc>
          <w:tcPr>
            <w:tcW w:w="6378" w:type="dxa"/>
            <w:tcBorders>
              <w:top w:val="outset" w:sz="6" w:space="0" w:color="auto"/>
              <w:left w:val="outset" w:sz="6" w:space="0" w:color="auto"/>
              <w:bottom w:val="outset" w:sz="6" w:space="0" w:color="auto"/>
              <w:right w:val="outset" w:sz="6" w:space="0" w:color="auto"/>
            </w:tcBorders>
            <w:hideMark/>
          </w:tcPr>
          <w:p w14:paraId="7DC3D643" w14:textId="77777777" w:rsidR="00E10F28" w:rsidRPr="008E513B" w:rsidRDefault="00E10F28" w:rsidP="003A1A8A">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w:t>
            </w:r>
            <w:r w:rsidR="003A1A8A" w:rsidRPr="008E513B">
              <w:rPr>
                <w:rFonts w:eastAsia="Times New Roman" w:cs="Times New Roman"/>
                <w:sz w:val="24"/>
                <w:szCs w:val="24"/>
                <w:lang w:eastAsia="lv-LV"/>
              </w:rPr>
              <w:t>Nav</w:t>
            </w:r>
          </w:p>
        </w:tc>
      </w:tr>
      <w:tr w:rsidR="008E513B" w:rsidRPr="008E513B" w14:paraId="6F5084E2" w14:textId="77777777" w:rsidTr="005C545E">
        <w:trPr>
          <w:trHeight w:val="389"/>
          <w:tblCellSpacing w:w="0" w:type="dxa"/>
        </w:trPr>
        <w:tc>
          <w:tcPr>
            <w:tcW w:w="496" w:type="dxa"/>
            <w:tcBorders>
              <w:top w:val="outset" w:sz="6" w:space="0" w:color="auto"/>
              <w:left w:val="outset" w:sz="6" w:space="0" w:color="auto"/>
              <w:bottom w:val="outset" w:sz="6" w:space="0" w:color="auto"/>
              <w:right w:val="outset" w:sz="6" w:space="0" w:color="auto"/>
            </w:tcBorders>
            <w:hideMark/>
          </w:tcPr>
          <w:p w14:paraId="5A787CEE" w14:textId="77777777" w:rsidR="00E10F28" w:rsidRPr="008E513B" w:rsidRDefault="00E75546" w:rsidP="00E10F28">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4</w:t>
            </w:r>
            <w:r w:rsidR="00E10F28" w:rsidRPr="008E513B">
              <w:rPr>
                <w:rFonts w:eastAsia="Times New Roman" w:cs="Times New Roman"/>
                <w:sz w:val="24"/>
                <w:szCs w:val="24"/>
                <w:lang w:eastAsia="lv-LV"/>
              </w:rPr>
              <w:t>.</w:t>
            </w:r>
          </w:p>
        </w:tc>
        <w:tc>
          <w:tcPr>
            <w:tcW w:w="3326" w:type="dxa"/>
            <w:tcBorders>
              <w:top w:val="outset" w:sz="6" w:space="0" w:color="auto"/>
              <w:left w:val="outset" w:sz="6" w:space="0" w:color="auto"/>
              <w:bottom w:val="outset" w:sz="6" w:space="0" w:color="auto"/>
              <w:right w:val="outset" w:sz="6" w:space="0" w:color="auto"/>
            </w:tcBorders>
            <w:hideMark/>
          </w:tcPr>
          <w:p w14:paraId="5B5DA31B" w14:textId="77777777" w:rsidR="00E10F28" w:rsidRPr="008E513B" w:rsidRDefault="00E10F28" w:rsidP="00E10F28">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Cita informācija</w:t>
            </w:r>
          </w:p>
        </w:tc>
        <w:tc>
          <w:tcPr>
            <w:tcW w:w="6378" w:type="dxa"/>
            <w:tcBorders>
              <w:top w:val="outset" w:sz="6" w:space="0" w:color="auto"/>
              <w:left w:val="outset" w:sz="6" w:space="0" w:color="auto"/>
              <w:bottom w:val="outset" w:sz="6" w:space="0" w:color="auto"/>
              <w:right w:val="outset" w:sz="6" w:space="0" w:color="auto"/>
            </w:tcBorders>
            <w:hideMark/>
          </w:tcPr>
          <w:p w14:paraId="32472B2F" w14:textId="77777777" w:rsidR="00E10F28" w:rsidRPr="008E513B" w:rsidRDefault="00726ADB" w:rsidP="005C545E">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xml:space="preserve"> Nav</w:t>
            </w:r>
          </w:p>
        </w:tc>
      </w:tr>
    </w:tbl>
    <w:p w14:paraId="7F06D7FF" w14:textId="77777777" w:rsidR="008E513B" w:rsidRDefault="008E513B" w:rsidP="008E513B">
      <w:pPr>
        <w:rPr>
          <w:rFonts w:eastAsia="Times New Roman" w:cs="Times New Roman"/>
          <w:b/>
          <w:i/>
          <w:szCs w:val="24"/>
          <w:lang w:eastAsia="lv-LV"/>
        </w:rPr>
      </w:pPr>
    </w:p>
    <w:tbl>
      <w:tblPr>
        <w:tblW w:w="5302" w:type="pct"/>
        <w:tblCellSpacing w:w="15" w:type="dxa"/>
        <w:tblInd w:w="-57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8"/>
        <w:gridCol w:w="2959"/>
        <w:gridCol w:w="6726"/>
      </w:tblGrid>
      <w:tr w:rsidR="00AC6B12" w:rsidRPr="00AC6B12" w14:paraId="468F91C0" w14:textId="77777777" w:rsidTr="00AC6B12">
        <w:trPr>
          <w:trHeight w:val="555"/>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14:paraId="44994241" w14:textId="77777777" w:rsidR="00AC6B12" w:rsidRPr="00AC6B12" w:rsidRDefault="00AC6B12" w:rsidP="00AC6B12">
            <w:pPr>
              <w:spacing w:before="100" w:beforeAutospacing="1" w:after="100" w:afterAutospacing="1"/>
              <w:jc w:val="center"/>
              <w:rPr>
                <w:rFonts w:ascii="Arial" w:eastAsia="Times New Roman" w:hAnsi="Arial" w:cs="Arial"/>
                <w:b/>
                <w:bCs/>
                <w:color w:val="414142"/>
                <w:sz w:val="20"/>
                <w:szCs w:val="20"/>
                <w:lang w:eastAsia="lv-LV"/>
              </w:rPr>
            </w:pPr>
            <w:r w:rsidRPr="00AC6B12">
              <w:rPr>
                <w:rFonts w:eastAsia="Times New Roman" w:cs="Times New Roman"/>
                <w:b/>
                <w:bCs/>
                <w:sz w:val="24"/>
                <w:szCs w:val="24"/>
                <w:lang w:eastAsia="lv-LV"/>
              </w:rPr>
              <w:t>II. Tiesību akta projekta ietekme uz sabiedrību, tautsaimniecības attīstību un administratīvo slogu</w:t>
            </w:r>
          </w:p>
        </w:tc>
      </w:tr>
      <w:tr w:rsidR="00AC6B12" w:rsidRPr="00AC6B12" w14:paraId="621317E0" w14:textId="77777777" w:rsidTr="00AC6B12">
        <w:trPr>
          <w:trHeight w:val="465"/>
          <w:tblCellSpacing w:w="15" w:type="dxa"/>
        </w:trPr>
        <w:tc>
          <w:tcPr>
            <w:tcW w:w="233" w:type="pct"/>
            <w:tcBorders>
              <w:top w:val="outset" w:sz="6" w:space="0" w:color="auto"/>
              <w:left w:val="outset" w:sz="6" w:space="0" w:color="auto"/>
              <w:bottom w:val="outset" w:sz="6" w:space="0" w:color="auto"/>
              <w:right w:val="outset" w:sz="6" w:space="0" w:color="auto"/>
            </w:tcBorders>
            <w:hideMark/>
          </w:tcPr>
          <w:p w14:paraId="0CD7604C" w14:textId="77777777" w:rsidR="00AC6B12" w:rsidRPr="00AC6B12" w:rsidRDefault="00AC6B12" w:rsidP="00AC6B12">
            <w:pPr>
              <w:spacing w:before="100" w:beforeAutospacing="1" w:after="100" w:afterAutospacing="1"/>
              <w:rPr>
                <w:rFonts w:eastAsia="Times New Roman" w:cs="Times New Roman"/>
                <w:sz w:val="24"/>
                <w:szCs w:val="24"/>
                <w:lang w:eastAsia="lv-LV"/>
              </w:rPr>
            </w:pPr>
            <w:r w:rsidRPr="00AC6B12">
              <w:rPr>
                <w:rFonts w:eastAsia="Times New Roman" w:cs="Times New Roman"/>
                <w:sz w:val="24"/>
                <w:szCs w:val="24"/>
                <w:lang w:eastAsia="lv-LV"/>
              </w:rPr>
              <w:t>1.</w:t>
            </w:r>
          </w:p>
        </w:tc>
        <w:tc>
          <w:tcPr>
            <w:tcW w:w="1444" w:type="pct"/>
            <w:tcBorders>
              <w:top w:val="outset" w:sz="6" w:space="0" w:color="auto"/>
              <w:left w:val="outset" w:sz="6" w:space="0" w:color="auto"/>
              <w:bottom w:val="outset" w:sz="6" w:space="0" w:color="auto"/>
              <w:right w:val="outset" w:sz="6" w:space="0" w:color="auto"/>
            </w:tcBorders>
            <w:hideMark/>
          </w:tcPr>
          <w:p w14:paraId="3D960C84" w14:textId="77777777" w:rsidR="00AC6B12" w:rsidRPr="00AC6B12" w:rsidRDefault="00AC6B12" w:rsidP="00AC6B12">
            <w:pPr>
              <w:spacing w:before="100" w:beforeAutospacing="1" w:after="100" w:afterAutospacing="1"/>
              <w:rPr>
                <w:rFonts w:eastAsia="Times New Roman" w:cs="Times New Roman"/>
                <w:sz w:val="24"/>
                <w:szCs w:val="24"/>
                <w:lang w:eastAsia="lv-LV"/>
              </w:rPr>
            </w:pPr>
            <w:r w:rsidRPr="00AC6B12">
              <w:rPr>
                <w:rFonts w:eastAsia="Times New Roman" w:cs="Times New Roman"/>
                <w:sz w:val="24"/>
                <w:szCs w:val="24"/>
                <w:lang w:eastAsia="lv-LV"/>
              </w:rPr>
              <w:t xml:space="preserve">Sabiedrības </w:t>
            </w:r>
            <w:proofErr w:type="spellStart"/>
            <w:r w:rsidRPr="00AC6B12">
              <w:rPr>
                <w:rFonts w:eastAsia="Times New Roman" w:cs="Times New Roman"/>
                <w:sz w:val="24"/>
                <w:szCs w:val="24"/>
                <w:lang w:eastAsia="lv-LV"/>
              </w:rPr>
              <w:t>mērķgrupas</w:t>
            </w:r>
            <w:proofErr w:type="spellEnd"/>
            <w:r w:rsidRPr="00AC6B12">
              <w:rPr>
                <w:rFonts w:eastAsia="Times New Roman" w:cs="Times New Roman"/>
                <w:sz w:val="24"/>
                <w:szCs w:val="24"/>
                <w:lang w:eastAsia="lv-LV"/>
              </w:rPr>
              <w:t>, kuras tiesiskais regulējums ietekmē vai varētu ietekmēt</w:t>
            </w:r>
          </w:p>
        </w:tc>
        <w:tc>
          <w:tcPr>
            <w:tcW w:w="3265" w:type="pct"/>
            <w:tcBorders>
              <w:top w:val="outset" w:sz="6" w:space="0" w:color="auto"/>
              <w:left w:val="outset" w:sz="6" w:space="0" w:color="auto"/>
              <w:bottom w:val="outset" w:sz="6" w:space="0" w:color="auto"/>
              <w:right w:val="outset" w:sz="6" w:space="0" w:color="auto"/>
            </w:tcBorders>
            <w:hideMark/>
          </w:tcPr>
          <w:p w14:paraId="406AF3AD" w14:textId="4422E647" w:rsidR="00AC6B12" w:rsidRPr="00AC6B12" w:rsidRDefault="00F85704" w:rsidP="009E3DED">
            <w:pPr>
              <w:spacing w:before="100" w:beforeAutospacing="1" w:after="100" w:afterAutospacing="1"/>
              <w:jc w:val="both"/>
              <w:rPr>
                <w:rFonts w:eastAsia="Times New Roman" w:cs="Times New Roman"/>
                <w:sz w:val="24"/>
                <w:szCs w:val="24"/>
                <w:lang w:eastAsia="lv-LV"/>
              </w:rPr>
            </w:pPr>
            <w:r>
              <w:rPr>
                <w:rFonts w:eastAsia="Times New Roman" w:cs="Times New Roman"/>
                <w:sz w:val="24"/>
                <w:szCs w:val="24"/>
                <w:lang w:eastAsia="lv-LV"/>
              </w:rPr>
              <w:t xml:space="preserve">    </w:t>
            </w:r>
            <w:r w:rsidR="009E3DED" w:rsidRPr="008E513B">
              <w:rPr>
                <w:rFonts w:eastAsia="Times New Roman" w:cs="Times New Roman"/>
                <w:sz w:val="24"/>
                <w:szCs w:val="24"/>
                <w:lang w:eastAsia="lv-LV"/>
              </w:rPr>
              <w:t xml:space="preserve">Centrālās valsts iestādes, pašvaldības, </w:t>
            </w:r>
            <w:r w:rsidR="009E3DED" w:rsidRPr="008E513B">
              <w:rPr>
                <w:rFonts w:cs="Times New Roman"/>
                <w:sz w:val="24"/>
                <w:szCs w:val="24"/>
              </w:rPr>
              <w:t xml:space="preserve">valsts </w:t>
            </w:r>
            <w:r w:rsidR="009E3DED">
              <w:rPr>
                <w:rFonts w:cs="Times New Roman"/>
                <w:sz w:val="24"/>
                <w:szCs w:val="24"/>
              </w:rPr>
              <w:t xml:space="preserve">budžeta </w:t>
            </w:r>
            <w:r w:rsidR="009E3DED" w:rsidRPr="008E513B">
              <w:rPr>
                <w:rFonts w:cs="Times New Roman"/>
                <w:sz w:val="24"/>
                <w:szCs w:val="24"/>
              </w:rPr>
              <w:t xml:space="preserve">un </w:t>
            </w:r>
            <w:r w:rsidR="009E3DED" w:rsidRPr="008E513B">
              <w:rPr>
                <w:rFonts w:cs="Times New Roman"/>
                <w:sz w:val="24"/>
              </w:rPr>
              <w:t>Eiropas Savienības politikas instrumentu un citām ārvalstu finanšu palīdzības programmām finansēto projektu īstenotāji, publiskās un privātās partnerības projektu īstenotāji, vispārējās valdības sektorā ietilpstošās valsts komercsabiedrības.</w:t>
            </w:r>
          </w:p>
        </w:tc>
      </w:tr>
      <w:tr w:rsidR="00AC6B12" w:rsidRPr="00AC6B12" w14:paraId="6FD6B591" w14:textId="77777777" w:rsidTr="00AC6B12">
        <w:trPr>
          <w:trHeight w:val="510"/>
          <w:tblCellSpacing w:w="15" w:type="dxa"/>
        </w:trPr>
        <w:tc>
          <w:tcPr>
            <w:tcW w:w="233" w:type="pct"/>
            <w:tcBorders>
              <w:top w:val="outset" w:sz="6" w:space="0" w:color="auto"/>
              <w:left w:val="outset" w:sz="6" w:space="0" w:color="auto"/>
              <w:bottom w:val="outset" w:sz="6" w:space="0" w:color="auto"/>
              <w:right w:val="outset" w:sz="6" w:space="0" w:color="auto"/>
            </w:tcBorders>
            <w:hideMark/>
          </w:tcPr>
          <w:p w14:paraId="1187D906" w14:textId="77777777" w:rsidR="00AC6B12" w:rsidRPr="00AC6B12" w:rsidRDefault="00AC6B12" w:rsidP="00AC6B12">
            <w:pPr>
              <w:spacing w:before="100" w:beforeAutospacing="1" w:after="100" w:afterAutospacing="1"/>
              <w:rPr>
                <w:rFonts w:eastAsia="Times New Roman" w:cs="Times New Roman"/>
                <w:sz w:val="24"/>
                <w:szCs w:val="24"/>
                <w:lang w:eastAsia="lv-LV"/>
              </w:rPr>
            </w:pPr>
            <w:r w:rsidRPr="00AC6B12">
              <w:rPr>
                <w:rFonts w:eastAsia="Times New Roman" w:cs="Times New Roman"/>
                <w:sz w:val="24"/>
                <w:szCs w:val="24"/>
                <w:lang w:eastAsia="lv-LV"/>
              </w:rPr>
              <w:t>2.</w:t>
            </w:r>
          </w:p>
        </w:tc>
        <w:tc>
          <w:tcPr>
            <w:tcW w:w="1444" w:type="pct"/>
            <w:tcBorders>
              <w:top w:val="outset" w:sz="6" w:space="0" w:color="auto"/>
              <w:left w:val="outset" w:sz="6" w:space="0" w:color="auto"/>
              <w:bottom w:val="outset" w:sz="6" w:space="0" w:color="auto"/>
              <w:right w:val="outset" w:sz="6" w:space="0" w:color="auto"/>
            </w:tcBorders>
            <w:hideMark/>
          </w:tcPr>
          <w:p w14:paraId="239D7D32" w14:textId="77777777" w:rsidR="00AC6B12" w:rsidRPr="00AC6B12" w:rsidRDefault="00AC6B12" w:rsidP="00AC6B12">
            <w:pPr>
              <w:spacing w:before="100" w:beforeAutospacing="1" w:after="100" w:afterAutospacing="1"/>
              <w:rPr>
                <w:rFonts w:eastAsia="Times New Roman" w:cs="Times New Roman"/>
                <w:sz w:val="24"/>
                <w:szCs w:val="24"/>
                <w:lang w:eastAsia="lv-LV"/>
              </w:rPr>
            </w:pPr>
            <w:r w:rsidRPr="00AC6B12">
              <w:rPr>
                <w:rFonts w:eastAsia="Times New Roman" w:cs="Times New Roman"/>
                <w:sz w:val="24"/>
                <w:szCs w:val="24"/>
                <w:lang w:eastAsia="lv-LV"/>
              </w:rPr>
              <w:t>Tiesiskā regulējuma ietekme uz tautsaimniecību un administratīvo slogu</w:t>
            </w:r>
          </w:p>
        </w:tc>
        <w:tc>
          <w:tcPr>
            <w:tcW w:w="3265" w:type="pct"/>
            <w:tcBorders>
              <w:top w:val="outset" w:sz="6" w:space="0" w:color="auto"/>
              <w:left w:val="outset" w:sz="6" w:space="0" w:color="auto"/>
              <w:bottom w:val="outset" w:sz="6" w:space="0" w:color="auto"/>
              <w:right w:val="outset" w:sz="6" w:space="0" w:color="auto"/>
            </w:tcBorders>
            <w:hideMark/>
          </w:tcPr>
          <w:p w14:paraId="6BD89B9D" w14:textId="3C198C46" w:rsidR="00AC6B12" w:rsidRPr="003F638C" w:rsidRDefault="00F85704" w:rsidP="00F85704">
            <w:pPr>
              <w:pStyle w:val="Default"/>
              <w:spacing w:after="120"/>
              <w:jc w:val="both"/>
              <w:rPr>
                <w:rFonts w:ascii="Times New Roman" w:hAnsi="Times New Roman" w:cs="Times New Roman"/>
                <w:szCs w:val="28"/>
              </w:rPr>
            </w:pPr>
            <w:r>
              <w:rPr>
                <w:rFonts w:ascii="Times New Roman" w:hAnsi="Times New Roman" w:cs="Times New Roman"/>
                <w:szCs w:val="28"/>
              </w:rPr>
              <w:t xml:space="preserve">    </w:t>
            </w:r>
            <w:r w:rsidR="003F638C">
              <w:rPr>
                <w:rFonts w:ascii="Times New Roman" w:hAnsi="Times New Roman" w:cs="Times New Roman"/>
                <w:szCs w:val="28"/>
              </w:rPr>
              <w:t>Fiskālās disciplīnas</w:t>
            </w:r>
            <w:r w:rsidR="001C67F7" w:rsidRPr="001C67F7">
              <w:rPr>
                <w:rFonts w:ascii="Times New Roman" w:hAnsi="Times New Roman" w:cs="Times New Roman"/>
                <w:szCs w:val="28"/>
              </w:rPr>
              <w:t xml:space="preserve"> </w:t>
            </w:r>
            <w:r w:rsidR="003F638C">
              <w:rPr>
                <w:rFonts w:ascii="Times New Roman" w:hAnsi="Times New Roman" w:cs="Times New Roman"/>
                <w:szCs w:val="28"/>
              </w:rPr>
              <w:t>īstenošana</w:t>
            </w:r>
            <w:r w:rsidR="001C67F7" w:rsidRPr="001C67F7">
              <w:rPr>
                <w:rFonts w:ascii="Times New Roman" w:hAnsi="Times New Roman" w:cs="Times New Roman"/>
                <w:szCs w:val="28"/>
              </w:rPr>
              <w:t xml:space="preserve"> ir nepieciešama, lai nodrošinātu valsts tautsaimniecības ilgtspējīgu izaugsmi un attīstību</w:t>
            </w:r>
            <w:r w:rsidR="003F638C">
              <w:rPr>
                <w:rFonts w:ascii="Times New Roman" w:hAnsi="Times New Roman" w:cs="Times New Roman"/>
                <w:szCs w:val="28"/>
              </w:rPr>
              <w:t xml:space="preserve"> un lai </w:t>
            </w:r>
            <w:r w:rsidR="003F638C" w:rsidRPr="001C67F7">
              <w:rPr>
                <w:rFonts w:ascii="Times New Roman" w:hAnsi="Times New Roman" w:cs="Times New Roman"/>
                <w:szCs w:val="28"/>
              </w:rPr>
              <w:t>nostiprinātu uzticību valsts spējai īstenot ilgtspējīgu budžeta politiku</w:t>
            </w:r>
            <w:r w:rsidR="001C67F7" w:rsidRPr="001C67F7">
              <w:rPr>
                <w:rFonts w:ascii="Times New Roman" w:hAnsi="Times New Roman" w:cs="Times New Roman"/>
                <w:szCs w:val="28"/>
              </w:rPr>
              <w:t xml:space="preserve">. Starptautiskā pieredze norāda, ka piesardzīga, konsekventa un caurredzama fiskālā politika, kas nodrošina budžeta plānošanu vidējā termiņā, kā arī deficīta un parāda strikta kontrole, paaugstina tautsaimniecības konkurētspēju un samazina tās ievainojamību ārējo šoku rezultātā. </w:t>
            </w:r>
            <w:r w:rsidR="003F638C">
              <w:rPr>
                <w:rFonts w:ascii="Times New Roman" w:hAnsi="Times New Roman" w:cs="Times New Roman"/>
                <w:szCs w:val="28"/>
              </w:rPr>
              <w:t xml:space="preserve">Savukārt, fiskālo risku vispārējā vadība ir viens no fiskālās disciplīnas komponentiem, lai nodrošinātu fiskālo rādītāju (FDL 5.panta </w:t>
            </w:r>
            <w:r w:rsidR="003F638C" w:rsidRPr="001C67F7">
              <w:rPr>
                <w:rFonts w:ascii="Times New Roman" w:hAnsi="Times New Roman" w:cs="Times New Roman"/>
                <w:szCs w:val="28"/>
              </w:rPr>
              <w:t>1., 3., 4., 5. un 7.punktā noteikto rādītāju</w:t>
            </w:r>
            <w:r w:rsidR="003F638C">
              <w:rPr>
                <w:rFonts w:ascii="Times New Roman" w:hAnsi="Times New Roman" w:cs="Times New Roman"/>
                <w:szCs w:val="28"/>
              </w:rPr>
              <w:t xml:space="preserve">) stabilitāti vidējā termiņā neatkarīgi </w:t>
            </w:r>
            <w:r w:rsidR="003F638C" w:rsidRPr="001C67F7">
              <w:rPr>
                <w:rFonts w:ascii="Times New Roman" w:hAnsi="Times New Roman" w:cs="Times New Roman"/>
                <w:szCs w:val="28"/>
              </w:rPr>
              <w:t>no ārējo faktoru izraisītām izmaiņām</w:t>
            </w:r>
            <w:r w:rsidR="003F638C">
              <w:rPr>
                <w:rFonts w:ascii="Times New Roman" w:hAnsi="Times New Roman" w:cs="Times New Roman"/>
                <w:szCs w:val="28"/>
              </w:rPr>
              <w:t>.</w:t>
            </w:r>
            <w:r w:rsidR="00F3150D">
              <w:rPr>
                <w:rFonts w:ascii="Times New Roman" w:hAnsi="Times New Roman" w:cs="Times New Roman"/>
                <w:szCs w:val="28"/>
              </w:rPr>
              <w:t xml:space="preserve"> </w:t>
            </w:r>
          </w:p>
        </w:tc>
      </w:tr>
      <w:tr w:rsidR="00AC6B12" w:rsidRPr="00AC6B12" w14:paraId="35EB7A04" w14:textId="77777777" w:rsidTr="00AC6B12">
        <w:trPr>
          <w:trHeight w:val="510"/>
          <w:tblCellSpacing w:w="15" w:type="dxa"/>
        </w:trPr>
        <w:tc>
          <w:tcPr>
            <w:tcW w:w="233" w:type="pct"/>
            <w:tcBorders>
              <w:top w:val="outset" w:sz="6" w:space="0" w:color="auto"/>
              <w:left w:val="outset" w:sz="6" w:space="0" w:color="auto"/>
              <w:bottom w:val="outset" w:sz="6" w:space="0" w:color="auto"/>
              <w:right w:val="outset" w:sz="6" w:space="0" w:color="auto"/>
            </w:tcBorders>
            <w:hideMark/>
          </w:tcPr>
          <w:p w14:paraId="1B006C4C" w14:textId="77777777" w:rsidR="00AC6B12" w:rsidRPr="00AC6B12" w:rsidRDefault="00AC6B12" w:rsidP="00AC6B12">
            <w:pPr>
              <w:spacing w:before="100" w:beforeAutospacing="1" w:after="100" w:afterAutospacing="1"/>
              <w:rPr>
                <w:rFonts w:eastAsia="Times New Roman" w:cs="Times New Roman"/>
                <w:sz w:val="24"/>
                <w:szCs w:val="24"/>
                <w:lang w:eastAsia="lv-LV"/>
              </w:rPr>
            </w:pPr>
            <w:r w:rsidRPr="00AC6B12">
              <w:rPr>
                <w:rFonts w:eastAsia="Times New Roman" w:cs="Times New Roman"/>
                <w:sz w:val="24"/>
                <w:szCs w:val="24"/>
                <w:lang w:eastAsia="lv-LV"/>
              </w:rPr>
              <w:t>3.</w:t>
            </w:r>
          </w:p>
        </w:tc>
        <w:tc>
          <w:tcPr>
            <w:tcW w:w="1444" w:type="pct"/>
            <w:tcBorders>
              <w:top w:val="outset" w:sz="6" w:space="0" w:color="auto"/>
              <w:left w:val="outset" w:sz="6" w:space="0" w:color="auto"/>
              <w:bottom w:val="outset" w:sz="6" w:space="0" w:color="auto"/>
              <w:right w:val="outset" w:sz="6" w:space="0" w:color="auto"/>
            </w:tcBorders>
            <w:hideMark/>
          </w:tcPr>
          <w:p w14:paraId="7A475362" w14:textId="77777777" w:rsidR="00AC6B12" w:rsidRPr="00AC6B12" w:rsidRDefault="00AC6B12" w:rsidP="00AC6B12">
            <w:pPr>
              <w:spacing w:before="100" w:beforeAutospacing="1" w:after="100" w:afterAutospacing="1"/>
              <w:rPr>
                <w:rFonts w:eastAsia="Times New Roman" w:cs="Times New Roman"/>
                <w:sz w:val="24"/>
                <w:szCs w:val="24"/>
                <w:lang w:eastAsia="lv-LV"/>
              </w:rPr>
            </w:pPr>
            <w:r w:rsidRPr="00AC6B12">
              <w:rPr>
                <w:rFonts w:eastAsia="Times New Roman" w:cs="Times New Roman"/>
                <w:sz w:val="24"/>
                <w:szCs w:val="24"/>
                <w:lang w:eastAsia="lv-LV"/>
              </w:rPr>
              <w:t>Administratīvo izmaksu monetārs novērtējums</w:t>
            </w:r>
          </w:p>
        </w:tc>
        <w:tc>
          <w:tcPr>
            <w:tcW w:w="3265" w:type="pct"/>
            <w:tcBorders>
              <w:top w:val="outset" w:sz="6" w:space="0" w:color="auto"/>
              <w:left w:val="outset" w:sz="6" w:space="0" w:color="auto"/>
              <w:bottom w:val="outset" w:sz="6" w:space="0" w:color="auto"/>
              <w:right w:val="outset" w:sz="6" w:space="0" w:color="auto"/>
            </w:tcBorders>
            <w:hideMark/>
          </w:tcPr>
          <w:p w14:paraId="1D56C426" w14:textId="77777777" w:rsidR="00A244BC" w:rsidRDefault="00A244BC" w:rsidP="005018B5">
            <w:pPr>
              <w:jc w:val="both"/>
              <w:rPr>
                <w:sz w:val="24"/>
                <w:szCs w:val="24"/>
              </w:rPr>
            </w:pPr>
            <w:r>
              <w:rPr>
                <w:sz w:val="24"/>
                <w:szCs w:val="24"/>
              </w:rPr>
              <w:t>Administratīvo izmaksu monetārs novērtējums tiek veikts vienai iestādei, ņemot vērā to, ka iestāžu skaits, kurām var būt kāds fiskālais risks, ir mainīgs.</w:t>
            </w:r>
          </w:p>
          <w:p w14:paraId="24AFAEDD" w14:textId="41317190" w:rsidR="00A244BC" w:rsidRPr="000378BF" w:rsidRDefault="005018B5" w:rsidP="005018B5">
            <w:pPr>
              <w:jc w:val="both"/>
              <w:rPr>
                <w:sz w:val="24"/>
                <w:szCs w:val="24"/>
              </w:rPr>
            </w:pPr>
            <w:r w:rsidRPr="000378BF">
              <w:rPr>
                <w:sz w:val="24"/>
                <w:szCs w:val="24"/>
              </w:rPr>
              <w:t>Tiek pieņemts, ka informācijas sniegšanas pienā</w:t>
            </w:r>
            <w:r w:rsidR="00A244BC">
              <w:rPr>
                <w:sz w:val="24"/>
                <w:szCs w:val="24"/>
              </w:rPr>
              <w:t>kumu izpildi īsteno amatpersona, kuras</w:t>
            </w:r>
            <w:r w:rsidRPr="000378BF">
              <w:rPr>
                <w:sz w:val="24"/>
                <w:szCs w:val="24"/>
              </w:rPr>
              <w:t xml:space="preserve"> atalgojums atbilst vidējam 12.mēnešalgu grupas 2.kategorijas darba samaksas apmēram ((1010+1442)/2=1226 </w:t>
            </w:r>
            <w:proofErr w:type="spellStart"/>
            <w:r w:rsidRPr="000378BF">
              <w:rPr>
                <w:i/>
                <w:sz w:val="24"/>
                <w:szCs w:val="24"/>
              </w:rPr>
              <w:t>euro</w:t>
            </w:r>
            <w:proofErr w:type="spellEnd"/>
            <w:r w:rsidRPr="000378BF">
              <w:rPr>
                <w:sz w:val="24"/>
                <w:szCs w:val="24"/>
              </w:rPr>
              <w:t xml:space="preserve">). Finanšu līdzekļu apjoms (f), kas atbilst vienas stundas likmei tiek noteikts, dalot </w:t>
            </w:r>
            <w:bookmarkStart w:id="1" w:name="484675"/>
            <w:bookmarkEnd w:id="1"/>
            <w:r w:rsidRPr="000378BF">
              <w:rPr>
                <w:sz w:val="24"/>
                <w:szCs w:val="24"/>
              </w:rPr>
              <w:t xml:space="preserve">dotās amatpersonu grupas mēnešalgas apmēru ar </w:t>
            </w:r>
            <w:r w:rsidR="00F85704" w:rsidRPr="000378BF">
              <w:rPr>
                <w:sz w:val="24"/>
                <w:szCs w:val="24"/>
              </w:rPr>
              <w:t>16</w:t>
            </w:r>
            <w:r w:rsidR="00F85704">
              <w:rPr>
                <w:sz w:val="24"/>
                <w:szCs w:val="24"/>
              </w:rPr>
              <w:t>0</w:t>
            </w:r>
            <w:r w:rsidR="00F85704" w:rsidRPr="000378BF">
              <w:rPr>
                <w:sz w:val="24"/>
                <w:szCs w:val="24"/>
              </w:rPr>
              <w:t xml:space="preserve"> </w:t>
            </w:r>
            <w:r w:rsidRPr="000378BF">
              <w:rPr>
                <w:sz w:val="24"/>
                <w:szCs w:val="24"/>
              </w:rPr>
              <w:t>darba stundām</w:t>
            </w:r>
            <w:r>
              <w:rPr>
                <w:sz w:val="24"/>
                <w:szCs w:val="24"/>
              </w:rPr>
              <w:t xml:space="preserve"> (1226/</w:t>
            </w:r>
            <w:r w:rsidR="00F85704">
              <w:rPr>
                <w:sz w:val="24"/>
                <w:szCs w:val="24"/>
              </w:rPr>
              <w:t>160</w:t>
            </w:r>
            <w:r w:rsidRPr="000378BF">
              <w:rPr>
                <w:sz w:val="24"/>
                <w:szCs w:val="24"/>
              </w:rPr>
              <w:t>=7.</w:t>
            </w:r>
            <w:r w:rsidR="00F85704">
              <w:rPr>
                <w:sz w:val="24"/>
                <w:szCs w:val="24"/>
              </w:rPr>
              <w:t>66</w:t>
            </w:r>
            <w:r w:rsidR="00F85704" w:rsidRPr="000378BF">
              <w:rPr>
                <w:sz w:val="24"/>
                <w:szCs w:val="24"/>
              </w:rPr>
              <w:t xml:space="preserve"> </w:t>
            </w:r>
            <w:proofErr w:type="spellStart"/>
            <w:r w:rsidRPr="000378BF">
              <w:rPr>
                <w:i/>
                <w:sz w:val="24"/>
                <w:szCs w:val="24"/>
              </w:rPr>
              <w:t>euro</w:t>
            </w:r>
            <w:proofErr w:type="spellEnd"/>
            <w:r w:rsidRPr="000378BF">
              <w:rPr>
                <w:sz w:val="24"/>
                <w:szCs w:val="24"/>
              </w:rPr>
              <w:t>).</w:t>
            </w:r>
          </w:p>
          <w:p w14:paraId="02D40B96" w14:textId="09E8FD2D" w:rsidR="005018B5" w:rsidRPr="000378BF" w:rsidRDefault="005018B5" w:rsidP="006B7B78">
            <w:pPr>
              <w:jc w:val="both"/>
              <w:rPr>
                <w:sz w:val="24"/>
                <w:szCs w:val="24"/>
              </w:rPr>
            </w:pPr>
            <w:r>
              <w:rPr>
                <w:sz w:val="24"/>
                <w:szCs w:val="24"/>
              </w:rPr>
              <w:t>Tiek pieņemts, ka a</w:t>
            </w:r>
            <w:r w:rsidRPr="000378BF">
              <w:rPr>
                <w:sz w:val="24"/>
                <w:szCs w:val="24"/>
              </w:rPr>
              <w:t>tbildīgo un līdzatbildīgo institūciju darbinieku nepieciešamais laika patēriņš (l)</w:t>
            </w:r>
            <w:r>
              <w:rPr>
                <w:sz w:val="24"/>
                <w:szCs w:val="24"/>
              </w:rPr>
              <w:t>, lai</w:t>
            </w:r>
            <w:r w:rsidR="00BF4741">
              <w:rPr>
                <w:sz w:val="24"/>
                <w:szCs w:val="24"/>
              </w:rPr>
              <w:t xml:space="preserve"> centrālās valsts iestādes saņemtu informāciju no </w:t>
            </w:r>
            <w:r w:rsidR="00F85704">
              <w:rPr>
                <w:sz w:val="24"/>
                <w:szCs w:val="24"/>
              </w:rPr>
              <w:t xml:space="preserve">atsevišķo </w:t>
            </w:r>
            <w:r w:rsidR="00BF4741">
              <w:rPr>
                <w:sz w:val="24"/>
                <w:szCs w:val="24"/>
              </w:rPr>
              <w:t xml:space="preserve">fiskālo risku vadības iestādēm, </w:t>
            </w:r>
            <w:r>
              <w:rPr>
                <w:sz w:val="24"/>
                <w:szCs w:val="24"/>
              </w:rPr>
              <w:t xml:space="preserve"> nodrošinātu </w:t>
            </w:r>
            <w:r w:rsidRPr="000378BF">
              <w:rPr>
                <w:sz w:val="24"/>
                <w:szCs w:val="24"/>
              </w:rPr>
              <w:t xml:space="preserve">informācijas </w:t>
            </w:r>
            <w:r w:rsidR="00A244BC">
              <w:rPr>
                <w:sz w:val="24"/>
                <w:szCs w:val="24"/>
              </w:rPr>
              <w:t xml:space="preserve">sagatavošanas, apstrādes </w:t>
            </w:r>
            <w:r>
              <w:rPr>
                <w:sz w:val="24"/>
                <w:szCs w:val="24"/>
              </w:rPr>
              <w:t xml:space="preserve">pienākumus, ir vienāds ar vidēji </w:t>
            </w:r>
            <w:r w:rsidR="003F42B4">
              <w:rPr>
                <w:sz w:val="24"/>
                <w:szCs w:val="24"/>
              </w:rPr>
              <w:t>3</w:t>
            </w:r>
            <w:r>
              <w:rPr>
                <w:sz w:val="24"/>
                <w:szCs w:val="24"/>
              </w:rPr>
              <w:t xml:space="preserve">6 stundām. </w:t>
            </w:r>
          </w:p>
          <w:p w14:paraId="1BCD2EEB" w14:textId="602D742B" w:rsidR="005018B5" w:rsidRPr="000378BF" w:rsidRDefault="00211DC0" w:rsidP="006B7B78">
            <w:pPr>
              <w:jc w:val="both"/>
              <w:rPr>
                <w:sz w:val="24"/>
                <w:szCs w:val="24"/>
              </w:rPr>
            </w:pPr>
            <w:r>
              <w:rPr>
                <w:sz w:val="24"/>
                <w:szCs w:val="24"/>
              </w:rPr>
              <w:t xml:space="preserve">Tiek pieņemts, ka vienā iestādē ir viens atsevišķs fiskālais risks (kurā var būt vairāki </w:t>
            </w:r>
            <w:r w:rsidR="00F85704">
              <w:rPr>
                <w:sz w:val="24"/>
                <w:szCs w:val="24"/>
              </w:rPr>
              <w:t xml:space="preserve">atsevišķi </w:t>
            </w:r>
            <w:r>
              <w:rPr>
                <w:sz w:val="24"/>
                <w:szCs w:val="24"/>
              </w:rPr>
              <w:t>fiskālie riski), kur ir iesaistīta centrālās valsts iestādes un padotības iestāde</w:t>
            </w:r>
            <w:r w:rsidR="00B85AA3">
              <w:rPr>
                <w:sz w:val="24"/>
                <w:szCs w:val="24"/>
              </w:rPr>
              <w:t>s</w:t>
            </w:r>
            <w:r>
              <w:rPr>
                <w:sz w:val="24"/>
                <w:szCs w:val="24"/>
              </w:rPr>
              <w:t xml:space="preserve"> konkrētā struktūrvienība. Līdz ar to tiek pieņemts, ka uz šo vienu </w:t>
            </w:r>
            <w:r w:rsidR="00F85704">
              <w:rPr>
                <w:sz w:val="24"/>
                <w:szCs w:val="24"/>
              </w:rPr>
              <w:t xml:space="preserve">specifisko </w:t>
            </w:r>
            <w:r>
              <w:rPr>
                <w:sz w:val="24"/>
                <w:szCs w:val="24"/>
              </w:rPr>
              <w:t xml:space="preserve">fiskālo risku ir 3 iesaistīti subjekti (n). </w:t>
            </w:r>
          </w:p>
          <w:p w14:paraId="298DB468" w14:textId="77777777" w:rsidR="005018B5" w:rsidRPr="000378BF" w:rsidRDefault="00BF4741" w:rsidP="006B7B78">
            <w:pPr>
              <w:jc w:val="both"/>
              <w:rPr>
                <w:sz w:val="24"/>
                <w:szCs w:val="24"/>
              </w:rPr>
            </w:pPr>
            <w:r>
              <w:rPr>
                <w:sz w:val="24"/>
                <w:szCs w:val="24"/>
              </w:rPr>
              <w:t xml:space="preserve">Fiskālo risku vadības ziņojuma sniegšana Finanšu ministrijai tiek paredzēta reizi gadā </w:t>
            </w:r>
            <w:r w:rsidR="005018B5" w:rsidRPr="000378BF">
              <w:rPr>
                <w:sz w:val="24"/>
                <w:szCs w:val="24"/>
              </w:rPr>
              <w:t xml:space="preserve"> (b).</w:t>
            </w:r>
          </w:p>
          <w:p w14:paraId="3C4ECBC1" w14:textId="2421B495" w:rsidR="00AC6B12" w:rsidRPr="00AC6B12" w:rsidRDefault="005018B5" w:rsidP="00F85704">
            <w:pPr>
              <w:spacing w:before="100" w:beforeAutospacing="1" w:after="100" w:afterAutospacing="1"/>
              <w:jc w:val="both"/>
              <w:rPr>
                <w:rFonts w:eastAsia="Times New Roman" w:cs="Times New Roman"/>
                <w:sz w:val="24"/>
                <w:szCs w:val="24"/>
                <w:lang w:eastAsia="lv-LV"/>
              </w:rPr>
            </w:pPr>
            <w:r>
              <w:rPr>
                <w:sz w:val="24"/>
                <w:szCs w:val="24"/>
              </w:rPr>
              <w:t>Vidējais a</w:t>
            </w:r>
            <w:r w:rsidRPr="000378BF">
              <w:rPr>
                <w:sz w:val="24"/>
                <w:szCs w:val="24"/>
              </w:rPr>
              <w:t xml:space="preserve">dministratīvā </w:t>
            </w:r>
            <w:r>
              <w:rPr>
                <w:sz w:val="24"/>
                <w:szCs w:val="24"/>
              </w:rPr>
              <w:t xml:space="preserve">sloga </w:t>
            </w:r>
            <w:r w:rsidR="00211DC0">
              <w:rPr>
                <w:sz w:val="24"/>
                <w:szCs w:val="24"/>
              </w:rPr>
              <w:t>palielinājums</w:t>
            </w:r>
            <w:r>
              <w:rPr>
                <w:sz w:val="24"/>
                <w:szCs w:val="24"/>
              </w:rPr>
              <w:t>, kas saistīt</w:t>
            </w:r>
            <w:r w:rsidRPr="000378BF">
              <w:rPr>
                <w:sz w:val="24"/>
                <w:szCs w:val="24"/>
              </w:rPr>
              <w:t xml:space="preserve">s ar </w:t>
            </w:r>
            <w:r w:rsidR="00211DC0">
              <w:rPr>
                <w:sz w:val="24"/>
                <w:szCs w:val="24"/>
              </w:rPr>
              <w:t>fiskālo risku vadības ziņojuma sagatavošanu un iesniegšanu Finanšu ministrijā</w:t>
            </w:r>
            <w:r>
              <w:rPr>
                <w:sz w:val="24"/>
                <w:szCs w:val="24"/>
              </w:rPr>
              <w:t xml:space="preserve"> </w:t>
            </w:r>
            <w:r w:rsidR="00211DC0">
              <w:rPr>
                <w:sz w:val="24"/>
                <w:szCs w:val="24"/>
              </w:rPr>
              <w:t xml:space="preserve"> sastāda </w:t>
            </w:r>
            <w:r w:rsidR="00F85704">
              <w:rPr>
                <w:sz w:val="24"/>
                <w:szCs w:val="24"/>
              </w:rPr>
              <w:t>827,28</w:t>
            </w:r>
            <w:r>
              <w:rPr>
                <w:sz w:val="24"/>
                <w:szCs w:val="24"/>
              </w:rPr>
              <w:t xml:space="preserve"> </w:t>
            </w:r>
            <w:proofErr w:type="spellStart"/>
            <w:r w:rsidRPr="00605E20">
              <w:rPr>
                <w:i/>
                <w:sz w:val="24"/>
                <w:szCs w:val="24"/>
              </w:rPr>
              <w:t>euro</w:t>
            </w:r>
            <w:proofErr w:type="spellEnd"/>
            <w:r>
              <w:rPr>
                <w:sz w:val="24"/>
                <w:szCs w:val="24"/>
              </w:rPr>
              <w:t xml:space="preserve"> gadā </w:t>
            </w:r>
            <w:r w:rsidRPr="000378BF">
              <w:rPr>
                <w:sz w:val="24"/>
                <w:szCs w:val="24"/>
              </w:rPr>
              <w:t xml:space="preserve">(C = </w:t>
            </w:r>
            <w:r>
              <w:rPr>
                <w:sz w:val="24"/>
                <w:szCs w:val="24"/>
              </w:rPr>
              <w:t>(f x l) x (n x b) =</w:t>
            </w:r>
            <w:r w:rsidR="00211DC0">
              <w:rPr>
                <w:sz w:val="24"/>
                <w:szCs w:val="24"/>
              </w:rPr>
              <w:t xml:space="preserve"> </w:t>
            </w:r>
            <w:r w:rsidR="00F85704">
              <w:rPr>
                <w:sz w:val="24"/>
                <w:szCs w:val="24"/>
              </w:rPr>
              <w:t xml:space="preserve">7.66 </w:t>
            </w:r>
            <w:r w:rsidRPr="000378BF">
              <w:rPr>
                <w:sz w:val="24"/>
                <w:szCs w:val="24"/>
              </w:rPr>
              <w:t xml:space="preserve">x </w:t>
            </w:r>
            <w:r w:rsidR="003F42B4">
              <w:rPr>
                <w:sz w:val="24"/>
                <w:szCs w:val="24"/>
              </w:rPr>
              <w:t>3</w:t>
            </w:r>
            <w:r>
              <w:rPr>
                <w:sz w:val="24"/>
                <w:szCs w:val="24"/>
              </w:rPr>
              <w:t>6 x 3</w:t>
            </w:r>
            <w:r w:rsidRPr="000378BF">
              <w:rPr>
                <w:sz w:val="24"/>
                <w:szCs w:val="24"/>
              </w:rPr>
              <w:t xml:space="preserve"> x </w:t>
            </w:r>
            <w:r w:rsidR="003F42B4">
              <w:rPr>
                <w:sz w:val="24"/>
                <w:szCs w:val="24"/>
              </w:rPr>
              <w:t>1</w:t>
            </w:r>
            <w:r>
              <w:rPr>
                <w:sz w:val="24"/>
                <w:szCs w:val="24"/>
              </w:rPr>
              <w:t>).</w:t>
            </w:r>
          </w:p>
        </w:tc>
      </w:tr>
      <w:tr w:rsidR="00AC6B12" w:rsidRPr="00AC6B12" w14:paraId="18DF3208" w14:textId="77777777" w:rsidTr="00AC6B12">
        <w:trPr>
          <w:trHeight w:val="345"/>
          <w:tblCellSpacing w:w="15" w:type="dxa"/>
        </w:trPr>
        <w:tc>
          <w:tcPr>
            <w:tcW w:w="233" w:type="pct"/>
            <w:tcBorders>
              <w:top w:val="outset" w:sz="6" w:space="0" w:color="auto"/>
              <w:left w:val="outset" w:sz="6" w:space="0" w:color="auto"/>
              <w:bottom w:val="outset" w:sz="6" w:space="0" w:color="auto"/>
              <w:right w:val="outset" w:sz="6" w:space="0" w:color="auto"/>
            </w:tcBorders>
            <w:hideMark/>
          </w:tcPr>
          <w:p w14:paraId="25B4A932" w14:textId="77777777" w:rsidR="00AC6B12" w:rsidRPr="00AC6B12" w:rsidRDefault="00AC6B12" w:rsidP="00AC6B12">
            <w:pPr>
              <w:spacing w:before="100" w:beforeAutospacing="1" w:after="100" w:afterAutospacing="1"/>
              <w:rPr>
                <w:rFonts w:eastAsia="Times New Roman" w:cs="Times New Roman"/>
                <w:sz w:val="24"/>
                <w:szCs w:val="24"/>
                <w:lang w:eastAsia="lv-LV"/>
              </w:rPr>
            </w:pPr>
            <w:r w:rsidRPr="00AC6B12">
              <w:rPr>
                <w:rFonts w:eastAsia="Times New Roman" w:cs="Times New Roman"/>
                <w:sz w:val="24"/>
                <w:szCs w:val="24"/>
                <w:lang w:eastAsia="lv-LV"/>
              </w:rPr>
              <w:t>4.</w:t>
            </w:r>
          </w:p>
        </w:tc>
        <w:tc>
          <w:tcPr>
            <w:tcW w:w="1444" w:type="pct"/>
            <w:tcBorders>
              <w:top w:val="outset" w:sz="6" w:space="0" w:color="auto"/>
              <w:left w:val="outset" w:sz="6" w:space="0" w:color="auto"/>
              <w:bottom w:val="outset" w:sz="6" w:space="0" w:color="auto"/>
              <w:right w:val="outset" w:sz="6" w:space="0" w:color="auto"/>
            </w:tcBorders>
            <w:hideMark/>
          </w:tcPr>
          <w:p w14:paraId="1ECBB06B" w14:textId="77777777" w:rsidR="00AC6B12" w:rsidRPr="00AC6B12" w:rsidRDefault="00AC6B12" w:rsidP="00AC6B12">
            <w:pPr>
              <w:spacing w:before="100" w:beforeAutospacing="1" w:after="100" w:afterAutospacing="1"/>
              <w:rPr>
                <w:rFonts w:eastAsia="Times New Roman" w:cs="Times New Roman"/>
                <w:sz w:val="24"/>
                <w:szCs w:val="24"/>
                <w:lang w:eastAsia="lv-LV"/>
              </w:rPr>
            </w:pPr>
            <w:r w:rsidRPr="00AC6B12">
              <w:rPr>
                <w:rFonts w:eastAsia="Times New Roman" w:cs="Times New Roman"/>
                <w:sz w:val="24"/>
                <w:szCs w:val="24"/>
                <w:lang w:eastAsia="lv-LV"/>
              </w:rPr>
              <w:t>Cita informācija</w:t>
            </w:r>
          </w:p>
        </w:tc>
        <w:tc>
          <w:tcPr>
            <w:tcW w:w="3265" w:type="pct"/>
            <w:tcBorders>
              <w:top w:val="outset" w:sz="6" w:space="0" w:color="auto"/>
              <w:left w:val="outset" w:sz="6" w:space="0" w:color="auto"/>
              <w:bottom w:val="outset" w:sz="6" w:space="0" w:color="auto"/>
              <w:right w:val="outset" w:sz="6" w:space="0" w:color="auto"/>
            </w:tcBorders>
            <w:hideMark/>
          </w:tcPr>
          <w:p w14:paraId="073BB6C4" w14:textId="77777777" w:rsidR="00AC6B12" w:rsidRPr="00AC6B12" w:rsidRDefault="003F638C" w:rsidP="00F85704">
            <w:pPr>
              <w:spacing w:before="100" w:beforeAutospacing="1" w:after="100" w:afterAutospacing="1" w:line="360" w:lineRule="auto"/>
              <w:rPr>
                <w:rFonts w:eastAsia="Times New Roman" w:cs="Times New Roman"/>
                <w:sz w:val="24"/>
                <w:szCs w:val="24"/>
                <w:lang w:eastAsia="lv-LV"/>
              </w:rPr>
            </w:pPr>
            <w:r>
              <w:rPr>
                <w:rFonts w:eastAsia="Times New Roman" w:cs="Times New Roman"/>
                <w:sz w:val="24"/>
                <w:szCs w:val="24"/>
                <w:lang w:eastAsia="lv-LV"/>
              </w:rPr>
              <w:t>Nav</w:t>
            </w:r>
          </w:p>
        </w:tc>
      </w:tr>
    </w:tbl>
    <w:p w14:paraId="3358C2A6" w14:textId="77777777" w:rsidR="00AC6B12" w:rsidRPr="008E513B" w:rsidRDefault="00AC6B12" w:rsidP="008E513B">
      <w:pPr>
        <w:rPr>
          <w:rFonts w:eastAsia="Times New Roman" w:cs="Times New Roman"/>
          <w:b/>
          <w:i/>
          <w:szCs w:val="24"/>
          <w:lang w:eastAsia="lv-LV"/>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3403"/>
        <w:gridCol w:w="6378"/>
      </w:tblGrid>
      <w:tr w:rsidR="00F41FC6" w:rsidRPr="008E513B" w14:paraId="27308269" w14:textId="77777777" w:rsidTr="009F50D0">
        <w:trPr>
          <w:tblCellSpacing w:w="0" w:type="dxa"/>
        </w:trPr>
        <w:tc>
          <w:tcPr>
            <w:tcW w:w="10206" w:type="dxa"/>
            <w:gridSpan w:val="3"/>
            <w:tcBorders>
              <w:top w:val="outset" w:sz="6" w:space="0" w:color="auto"/>
              <w:left w:val="outset" w:sz="6" w:space="0" w:color="auto"/>
              <w:bottom w:val="outset" w:sz="6" w:space="0" w:color="auto"/>
              <w:right w:val="outset" w:sz="6" w:space="0" w:color="auto"/>
            </w:tcBorders>
            <w:hideMark/>
          </w:tcPr>
          <w:p w14:paraId="6F303364" w14:textId="77777777" w:rsidR="00F41FC6" w:rsidRPr="008E513B" w:rsidRDefault="00F41FC6" w:rsidP="009F50D0">
            <w:pPr>
              <w:spacing w:before="100" w:beforeAutospacing="1" w:after="100" w:afterAutospacing="1"/>
              <w:jc w:val="center"/>
              <w:rPr>
                <w:rFonts w:eastAsia="Times New Roman" w:cs="Times New Roman"/>
                <w:sz w:val="24"/>
                <w:szCs w:val="24"/>
                <w:lang w:eastAsia="lv-LV"/>
              </w:rPr>
            </w:pPr>
            <w:r w:rsidRPr="00B35974">
              <w:rPr>
                <w:rFonts w:eastAsia="Times New Roman" w:cs="Times New Roman"/>
                <w:b/>
                <w:bCs/>
                <w:sz w:val="24"/>
                <w:szCs w:val="24"/>
                <w:lang w:eastAsia="lv-LV"/>
              </w:rPr>
              <w:t>IV. Tiesību akta projekta ietekme uz spēkā esošo tiesību normu sistēmu</w:t>
            </w:r>
          </w:p>
        </w:tc>
      </w:tr>
      <w:tr w:rsidR="00F41FC6" w:rsidRPr="008E513B" w14:paraId="356ECA32" w14:textId="77777777" w:rsidTr="009F50D0">
        <w:trPr>
          <w:trHeight w:val="427"/>
          <w:tblCellSpacing w:w="0" w:type="dxa"/>
        </w:trPr>
        <w:tc>
          <w:tcPr>
            <w:tcW w:w="425" w:type="dxa"/>
            <w:tcBorders>
              <w:top w:val="outset" w:sz="6" w:space="0" w:color="auto"/>
              <w:left w:val="outset" w:sz="6" w:space="0" w:color="auto"/>
              <w:bottom w:val="outset" w:sz="6" w:space="0" w:color="auto"/>
              <w:right w:val="outset" w:sz="6" w:space="0" w:color="auto"/>
            </w:tcBorders>
            <w:hideMark/>
          </w:tcPr>
          <w:p w14:paraId="0B07AC06" w14:textId="77777777" w:rsidR="00F41FC6" w:rsidRPr="008E513B" w:rsidRDefault="00F41FC6" w:rsidP="009F50D0">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1.</w:t>
            </w:r>
          </w:p>
        </w:tc>
        <w:tc>
          <w:tcPr>
            <w:tcW w:w="3403" w:type="dxa"/>
            <w:tcBorders>
              <w:top w:val="outset" w:sz="6" w:space="0" w:color="auto"/>
              <w:left w:val="outset" w:sz="6" w:space="0" w:color="auto"/>
              <w:bottom w:val="outset" w:sz="6" w:space="0" w:color="auto"/>
              <w:right w:val="outset" w:sz="6" w:space="0" w:color="auto"/>
            </w:tcBorders>
            <w:hideMark/>
          </w:tcPr>
          <w:p w14:paraId="405F064C" w14:textId="77777777" w:rsidR="00F41FC6" w:rsidRPr="008E513B" w:rsidRDefault="00F41FC6" w:rsidP="009F50D0">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w:t>
            </w:r>
            <w:r w:rsidRPr="00B35974">
              <w:rPr>
                <w:rFonts w:eastAsia="Times New Roman" w:cs="Times New Roman"/>
                <w:sz w:val="24"/>
                <w:szCs w:val="24"/>
                <w:lang w:eastAsia="lv-LV"/>
              </w:rPr>
              <w:t>Nepieciešamie saistītie tiesību aktu projekti</w:t>
            </w:r>
          </w:p>
        </w:tc>
        <w:tc>
          <w:tcPr>
            <w:tcW w:w="6378" w:type="dxa"/>
            <w:tcBorders>
              <w:top w:val="outset" w:sz="6" w:space="0" w:color="auto"/>
              <w:left w:val="outset" w:sz="6" w:space="0" w:color="auto"/>
              <w:bottom w:val="outset" w:sz="6" w:space="0" w:color="auto"/>
              <w:right w:val="outset" w:sz="6" w:space="0" w:color="auto"/>
            </w:tcBorders>
            <w:hideMark/>
          </w:tcPr>
          <w:p w14:paraId="18815A38" w14:textId="77777777" w:rsidR="00F41FC6" w:rsidRPr="008E513B" w:rsidRDefault="00F41FC6" w:rsidP="009F50D0">
            <w:pPr>
              <w:spacing w:before="100" w:beforeAutospacing="1" w:after="100" w:afterAutospacing="1"/>
              <w:jc w:val="both"/>
              <w:rPr>
                <w:rFonts w:eastAsia="Times New Roman" w:cs="Times New Roman"/>
                <w:sz w:val="24"/>
                <w:szCs w:val="24"/>
                <w:lang w:eastAsia="lv-LV"/>
              </w:rPr>
            </w:pPr>
            <w:r w:rsidRPr="008E513B">
              <w:rPr>
                <w:rFonts w:eastAsia="Times New Roman" w:cs="Times New Roman"/>
                <w:sz w:val="24"/>
                <w:szCs w:val="24"/>
                <w:lang w:eastAsia="lv-LV"/>
              </w:rPr>
              <w:t xml:space="preserve"> Nav attiecināms</w:t>
            </w:r>
          </w:p>
        </w:tc>
      </w:tr>
      <w:tr w:rsidR="00F41FC6" w:rsidRPr="008E513B" w14:paraId="476485BB" w14:textId="77777777" w:rsidTr="009F50D0">
        <w:trPr>
          <w:trHeight w:val="346"/>
          <w:tblCellSpacing w:w="0" w:type="dxa"/>
        </w:trPr>
        <w:tc>
          <w:tcPr>
            <w:tcW w:w="425" w:type="dxa"/>
            <w:tcBorders>
              <w:top w:val="outset" w:sz="6" w:space="0" w:color="auto"/>
              <w:left w:val="outset" w:sz="6" w:space="0" w:color="auto"/>
              <w:bottom w:val="outset" w:sz="6" w:space="0" w:color="auto"/>
              <w:right w:val="outset" w:sz="6" w:space="0" w:color="auto"/>
            </w:tcBorders>
            <w:hideMark/>
          </w:tcPr>
          <w:p w14:paraId="764FAE50" w14:textId="77777777" w:rsidR="00F41FC6" w:rsidRPr="008E513B" w:rsidRDefault="00F41FC6" w:rsidP="009F50D0">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2.</w:t>
            </w:r>
          </w:p>
        </w:tc>
        <w:tc>
          <w:tcPr>
            <w:tcW w:w="3403" w:type="dxa"/>
            <w:tcBorders>
              <w:top w:val="outset" w:sz="6" w:space="0" w:color="auto"/>
              <w:left w:val="outset" w:sz="6" w:space="0" w:color="auto"/>
              <w:bottom w:val="outset" w:sz="6" w:space="0" w:color="auto"/>
              <w:right w:val="outset" w:sz="6" w:space="0" w:color="auto"/>
            </w:tcBorders>
            <w:hideMark/>
          </w:tcPr>
          <w:p w14:paraId="69DF1E35" w14:textId="77777777" w:rsidR="00F41FC6" w:rsidRPr="008E513B" w:rsidRDefault="00F41FC6" w:rsidP="009F50D0">
            <w:pPr>
              <w:jc w:val="both"/>
              <w:rPr>
                <w:rFonts w:eastAsia="Times New Roman" w:cs="Times New Roman"/>
                <w:sz w:val="24"/>
                <w:szCs w:val="24"/>
                <w:lang w:eastAsia="lv-LV"/>
              </w:rPr>
            </w:pPr>
            <w:r w:rsidRPr="008E513B">
              <w:rPr>
                <w:rFonts w:eastAsia="Times New Roman" w:cs="Times New Roman"/>
                <w:sz w:val="24"/>
                <w:szCs w:val="24"/>
                <w:lang w:eastAsia="lv-LV"/>
              </w:rPr>
              <w:t> </w:t>
            </w:r>
            <w:r w:rsidRPr="00B35974">
              <w:rPr>
                <w:rFonts w:eastAsia="Times New Roman" w:cs="Times New Roman"/>
                <w:sz w:val="24"/>
                <w:szCs w:val="24"/>
                <w:lang w:eastAsia="lv-LV"/>
              </w:rPr>
              <w:t>Atbildīgā institūcija</w:t>
            </w:r>
          </w:p>
        </w:tc>
        <w:tc>
          <w:tcPr>
            <w:tcW w:w="6378" w:type="dxa"/>
            <w:tcBorders>
              <w:top w:val="outset" w:sz="6" w:space="0" w:color="auto"/>
              <w:left w:val="outset" w:sz="6" w:space="0" w:color="auto"/>
              <w:bottom w:val="outset" w:sz="6" w:space="0" w:color="auto"/>
              <w:right w:val="outset" w:sz="6" w:space="0" w:color="auto"/>
            </w:tcBorders>
            <w:hideMark/>
          </w:tcPr>
          <w:p w14:paraId="2F96CDDE" w14:textId="77777777" w:rsidR="00F41FC6" w:rsidRPr="008E513B" w:rsidRDefault="00F41FC6" w:rsidP="009F50D0">
            <w:pPr>
              <w:spacing w:before="100" w:beforeAutospacing="1" w:after="100" w:afterAutospacing="1"/>
              <w:jc w:val="both"/>
              <w:rPr>
                <w:rFonts w:eastAsia="Times New Roman" w:cs="Times New Roman"/>
                <w:sz w:val="24"/>
                <w:szCs w:val="24"/>
                <w:lang w:eastAsia="lv-LV"/>
              </w:rPr>
            </w:pPr>
            <w:r w:rsidRPr="008E513B">
              <w:rPr>
                <w:rFonts w:eastAsia="Times New Roman" w:cs="Times New Roman"/>
                <w:sz w:val="24"/>
                <w:szCs w:val="24"/>
                <w:lang w:eastAsia="lv-LV"/>
              </w:rPr>
              <w:t xml:space="preserve"> </w:t>
            </w:r>
            <w:r w:rsidRPr="008E513B">
              <w:rPr>
                <w:rFonts w:cs="Times New Roman"/>
                <w:sz w:val="24"/>
                <w:szCs w:val="24"/>
              </w:rPr>
              <w:t>Finanšu ministrija</w:t>
            </w:r>
          </w:p>
        </w:tc>
      </w:tr>
      <w:tr w:rsidR="00F41FC6" w:rsidRPr="008E513B" w14:paraId="259FE44C" w14:textId="77777777" w:rsidTr="009F50D0">
        <w:trPr>
          <w:trHeight w:val="476"/>
          <w:tblCellSpacing w:w="0" w:type="dxa"/>
        </w:trPr>
        <w:tc>
          <w:tcPr>
            <w:tcW w:w="425" w:type="dxa"/>
            <w:tcBorders>
              <w:top w:val="outset" w:sz="6" w:space="0" w:color="auto"/>
              <w:left w:val="outset" w:sz="6" w:space="0" w:color="auto"/>
              <w:bottom w:val="outset" w:sz="6" w:space="0" w:color="auto"/>
              <w:right w:val="outset" w:sz="6" w:space="0" w:color="auto"/>
            </w:tcBorders>
            <w:hideMark/>
          </w:tcPr>
          <w:p w14:paraId="766B26BB" w14:textId="77777777" w:rsidR="00F41FC6" w:rsidRPr="008E513B" w:rsidRDefault="00F41FC6" w:rsidP="009F50D0">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3.</w:t>
            </w:r>
          </w:p>
        </w:tc>
        <w:tc>
          <w:tcPr>
            <w:tcW w:w="3403" w:type="dxa"/>
            <w:tcBorders>
              <w:top w:val="outset" w:sz="6" w:space="0" w:color="auto"/>
              <w:left w:val="outset" w:sz="6" w:space="0" w:color="auto"/>
              <w:bottom w:val="outset" w:sz="6" w:space="0" w:color="auto"/>
              <w:right w:val="outset" w:sz="6" w:space="0" w:color="auto"/>
            </w:tcBorders>
            <w:hideMark/>
          </w:tcPr>
          <w:p w14:paraId="07B9BEEF" w14:textId="77777777" w:rsidR="00F41FC6" w:rsidRPr="008E513B" w:rsidRDefault="00F41FC6" w:rsidP="009F50D0">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Cita informācija</w:t>
            </w:r>
          </w:p>
        </w:tc>
        <w:tc>
          <w:tcPr>
            <w:tcW w:w="6378" w:type="dxa"/>
            <w:tcBorders>
              <w:top w:val="outset" w:sz="6" w:space="0" w:color="auto"/>
              <w:left w:val="outset" w:sz="6" w:space="0" w:color="auto"/>
              <w:bottom w:val="outset" w:sz="6" w:space="0" w:color="auto"/>
              <w:right w:val="outset" w:sz="6" w:space="0" w:color="auto"/>
            </w:tcBorders>
            <w:hideMark/>
          </w:tcPr>
          <w:p w14:paraId="7BDE98FC" w14:textId="77777777" w:rsidR="00F41FC6" w:rsidRPr="008E513B" w:rsidRDefault="00F41FC6" w:rsidP="009F50D0">
            <w:pPr>
              <w:spacing w:before="100" w:beforeAutospacing="1" w:after="100" w:afterAutospacing="1"/>
              <w:jc w:val="both"/>
              <w:rPr>
                <w:rFonts w:eastAsia="Times New Roman" w:cs="Times New Roman"/>
                <w:sz w:val="24"/>
                <w:szCs w:val="24"/>
                <w:lang w:eastAsia="lv-LV"/>
              </w:rPr>
            </w:pPr>
            <w:r w:rsidRPr="008E513B">
              <w:rPr>
                <w:rFonts w:eastAsia="Times New Roman" w:cs="Times New Roman"/>
                <w:sz w:val="24"/>
                <w:szCs w:val="24"/>
                <w:lang w:eastAsia="lv-LV"/>
              </w:rPr>
              <w:t> Nav</w:t>
            </w:r>
          </w:p>
        </w:tc>
      </w:tr>
    </w:tbl>
    <w:p w14:paraId="02060F0E" w14:textId="77777777" w:rsidR="00F41FC6" w:rsidRDefault="00F41FC6" w:rsidP="00545C1F">
      <w:pPr>
        <w:rPr>
          <w:rFonts w:eastAsia="Times New Roman" w:cs="Times New Roman"/>
          <w:b/>
          <w:i/>
          <w:szCs w:val="24"/>
          <w:lang w:eastAsia="lv-LV"/>
        </w:rPr>
      </w:pPr>
    </w:p>
    <w:p w14:paraId="6279EAAB" w14:textId="2F158851" w:rsidR="00B80AE1" w:rsidRPr="00A6706B" w:rsidRDefault="00E10F28" w:rsidP="00545C1F">
      <w:pPr>
        <w:rPr>
          <w:rFonts w:eastAsia="Times New Roman" w:cs="Times New Roman"/>
          <w:b/>
          <w:i/>
          <w:szCs w:val="24"/>
          <w:lang w:eastAsia="lv-LV"/>
        </w:rPr>
      </w:pPr>
      <w:r w:rsidRPr="008E513B">
        <w:rPr>
          <w:rFonts w:eastAsia="Times New Roman" w:cs="Times New Roman"/>
          <w:b/>
          <w:i/>
          <w:szCs w:val="24"/>
          <w:lang w:eastAsia="lv-LV"/>
        </w:rPr>
        <w:t> </w:t>
      </w:r>
      <w:r w:rsidR="00545C1F" w:rsidRPr="008E513B">
        <w:rPr>
          <w:rFonts w:eastAsia="Times New Roman" w:cs="Times New Roman"/>
          <w:b/>
          <w:i/>
          <w:szCs w:val="24"/>
          <w:lang w:eastAsia="lv-LV"/>
        </w:rPr>
        <w:t>Anotācijas</w:t>
      </w:r>
      <w:r w:rsidR="00A546B1">
        <w:rPr>
          <w:rFonts w:eastAsia="Times New Roman" w:cs="Times New Roman"/>
          <w:b/>
          <w:i/>
          <w:szCs w:val="24"/>
          <w:lang w:eastAsia="lv-LV"/>
        </w:rPr>
        <w:t xml:space="preserve"> </w:t>
      </w:r>
      <w:r w:rsidR="005854C7" w:rsidRPr="008E513B">
        <w:rPr>
          <w:rFonts w:eastAsia="Times New Roman" w:cs="Times New Roman"/>
          <w:b/>
          <w:i/>
          <w:szCs w:val="24"/>
          <w:lang w:eastAsia="lv-LV"/>
        </w:rPr>
        <w:t>III,</w:t>
      </w:r>
      <w:r w:rsidR="00185F84" w:rsidRPr="008E513B">
        <w:rPr>
          <w:rFonts w:eastAsia="Times New Roman" w:cs="Times New Roman"/>
          <w:b/>
          <w:i/>
          <w:szCs w:val="24"/>
          <w:lang w:eastAsia="lv-LV"/>
        </w:rPr>
        <w:t xml:space="preserve"> V, VI</w:t>
      </w:r>
      <w:r w:rsidR="008C50C4" w:rsidRPr="008E513B">
        <w:rPr>
          <w:rFonts w:eastAsia="Times New Roman" w:cs="Times New Roman"/>
          <w:b/>
          <w:i/>
          <w:szCs w:val="24"/>
          <w:lang w:eastAsia="lv-LV"/>
        </w:rPr>
        <w:t xml:space="preserve"> sadaļa</w:t>
      </w:r>
      <w:r w:rsidR="00185F84" w:rsidRPr="008E513B">
        <w:rPr>
          <w:rFonts w:eastAsia="Times New Roman" w:cs="Times New Roman"/>
          <w:b/>
          <w:i/>
          <w:szCs w:val="24"/>
          <w:lang w:eastAsia="lv-LV"/>
        </w:rPr>
        <w:t>s</w:t>
      </w:r>
      <w:r w:rsidR="008C50C4" w:rsidRPr="008E513B">
        <w:rPr>
          <w:rFonts w:eastAsia="Times New Roman" w:cs="Times New Roman"/>
          <w:b/>
          <w:i/>
          <w:szCs w:val="24"/>
          <w:lang w:eastAsia="lv-LV"/>
        </w:rPr>
        <w:t xml:space="preserve"> – </w:t>
      </w:r>
      <w:r w:rsidR="009327FA">
        <w:rPr>
          <w:rFonts w:eastAsia="Times New Roman" w:cs="Times New Roman"/>
          <w:b/>
          <w:i/>
          <w:szCs w:val="24"/>
          <w:lang w:eastAsia="lv-LV"/>
        </w:rPr>
        <w:t>projekts šīs jomas neskar.</w:t>
      </w:r>
    </w:p>
    <w:p w14:paraId="7A2C7B5C" w14:textId="77777777" w:rsidR="008E513B" w:rsidRPr="008E513B" w:rsidRDefault="008E513B" w:rsidP="00545C1F">
      <w:pPr>
        <w:rPr>
          <w:rFonts w:eastAsia="Times New Roman" w:cs="Times New Roman"/>
          <w:b/>
          <w:i/>
          <w:sz w:val="24"/>
          <w:szCs w:val="24"/>
          <w:lang w:eastAsia="lv-LV"/>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246"/>
        <w:gridCol w:w="6378"/>
      </w:tblGrid>
      <w:tr w:rsidR="008E513B" w:rsidRPr="008E513B" w14:paraId="729D300B" w14:textId="77777777" w:rsidTr="005C545E">
        <w:trPr>
          <w:tblCellSpacing w:w="0" w:type="dxa"/>
        </w:trPr>
        <w:tc>
          <w:tcPr>
            <w:tcW w:w="10206" w:type="dxa"/>
            <w:gridSpan w:val="3"/>
            <w:tcBorders>
              <w:top w:val="outset" w:sz="6" w:space="0" w:color="auto"/>
              <w:left w:val="outset" w:sz="6" w:space="0" w:color="auto"/>
              <w:bottom w:val="outset" w:sz="6" w:space="0" w:color="auto"/>
              <w:right w:val="outset" w:sz="6" w:space="0" w:color="auto"/>
            </w:tcBorders>
            <w:hideMark/>
          </w:tcPr>
          <w:p w14:paraId="17855F14" w14:textId="77777777" w:rsidR="00185F84" w:rsidRPr="008E513B" w:rsidRDefault="00185F84" w:rsidP="005C545E">
            <w:pPr>
              <w:spacing w:before="100" w:beforeAutospacing="1" w:after="100" w:afterAutospacing="1"/>
              <w:jc w:val="center"/>
              <w:rPr>
                <w:rFonts w:eastAsia="Times New Roman" w:cs="Times New Roman"/>
                <w:sz w:val="24"/>
                <w:szCs w:val="24"/>
                <w:lang w:eastAsia="lv-LV"/>
              </w:rPr>
            </w:pPr>
            <w:r w:rsidRPr="008E513B">
              <w:rPr>
                <w:rFonts w:eastAsia="Times New Roman" w:cs="Times New Roman"/>
                <w:b/>
                <w:bCs/>
                <w:sz w:val="24"/>
                <w:szCs w:val="24"/>
                <w:lang w:eastAsia="lv-LV"/>
              </w:rPr>
              <w:t>VII. Tiesību akta projekta izpildes nodrošināšana un tās ietekme uz institūcijām</w:t>
            </w:r>
          </w:p>
        </w:tc>
      </w:tr>
      <w:tr w:rsidR="008E513B" w:rsidRPr="008E513B" w14:paraId="3ED984B4" w14:textId="77777777" w:rsidTr="005C545E">
        <w:trPr>
          <w:trHeight w:val="427"/>
          <w:tblCellSpacing w:w="0" w:type="dxa"/>
        </w:trPr>
        <w:tc>
          <w:tcPr>
            <w:tcW w:w="582" w:type="dxa"/>
            <w:tcBorders>
              <w:top w:val="outset" w:sz="6" w:space="0" w:color="auto"/>
              <w:left w:val="outset" w:sz="6" w:space="0" w:color="auto"/>
              <w:bottom w:val="outset" w:sz="6" w:space="0" w:color="auto"/>
              <w:right w:val="outset" w:sz="6" w:space="0" w:color="auto"/>
            </w:tcBorders>
            <w:hideMark/>
          </w:tcPr>
          <w:p w14:paraId="13491587" w14:textId="77777777" w:rsidR="00185F84" w:rsidRPr="008E513B" w:rsidRDefault="00185F84" w:rsidP="005C545E">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1.</w:t>
            </w:r>
          </w:p>
        </w:tc>
        <w:tc>
          <w:tcPr>
            <w:tcW w:w="3246" w:type="dxa"/>
            <w:tcBorders>
              <w:top w:val="outset" w:sz="6" w:space="0" w:color="auto"/>
              <w:left w:val="outset" w:sz="6" w:space="0" w:color="auto"/>
              <w:bottom w:val="outset" w:sz="6" w:space="0" w:color="auto"/>
              <w:right w:val="outset" w:sz="6" w:space="0" w:color="auto"/>
            </w:tcBorders>
            <w:hideMark/>
          </w:tcPr>
          <w:p w14:paraId="75CB9583" w14:textId="77777777" w:rsidR="00185F84" w:rsidRPr="008E513B" w:rsidRDefault="00185F84" w:rsidP="005C545E">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Projekta izpildē iesaistītās institūcijas</w:t>
            </w:r>
          </w:p>
        </w:tc>
        <w:tc>
          <w:tcPr>
            <w:tcW w:w="6378" w:type="dxa"/>
            <w:tcBorders>
              <w:top w:val="outset" w:sz="6" w:space="0" w:color="auto"/>
              <w:left w:val="outset" w:sz="6" w:space="0" w:color="auto"/>
              <w:bottom w:val="outset" w:sz="6" w:space="0" w:color="auto"/>
              <w:right w:val="outset" w:sz="6" w:space="0" w:color="auto"/>
            </w:tcBorders>
            <w:hideMark/>
          </w:tcPr>
          <w:p w14:paraId="1E33A8A5" w14:textId="71770608" w:rsidR="00185F84" w:rsidRPr="008E513B" w:rsidRDefault="00F85704" w:rsidP="005C545E">
            <w:pPr>
              <w:spacing w:before="100" w:beforeAutospacing="1" w:after="100" w:afterAutospacing="1"/>
              <w:jc w:val="both"/>
              <w:rPr>
                <w:rFonts w:eastAsia="Times New Roman" w:cs="Times New Roman"/>
                <w:sz w:val="24"/>
                <w:szCs w:val="24"/>
                <w:lang w:eastAsia="lv-LV"/>
              </w:rPr>
            </w:pPr>
            <w:r>
              <w:rPr>
                <w:rFonts w:eastAsia="Times New Roman" w:cs="Times New Roman"/>
                <w:sz w:val="24"/>
                <w:szCs w:val="24"/>
                <w:lang w:eastAsia="lv-LV"/>
              </w:rPr>
              <w:t xml:space="preserve">    </w:t>
            </w:r>
            <w:r w:rsidR="009957A3" w:rsidRPr="008E513B">
              <w:rPr>
                <w:rFonts w:eastAsia="Times New Roman" w:cs="Times New Roman"/>
                <w:sz w:val="24"/>
                <w:szCs w:val="24"/>
                <w:lang w:eastAsia="lv-LV"/>
              </w:rPr>
              <w:t>C</w:t>
            </w:r>
            <w:r w:rsidR="003B514C" w:rsidRPr="008E513B">
              <w:rPr>
                <w:rFonts w:eastAsia="Times New Roman" w:cs="Times New Roman"/>
                <w:sz w:val="24"/>
                <w:szCs w:val="24"/>
                <w:lang w:eastAsia="lv-LV"/>
              </w:rPr>
              <w:t xml:space="preserve">entrālās valsts iestādes, </w:t>
            </w:r>
            <w:r w:rsidR="0022204F" w:rsidRPr="008E513B">
              <w:rPr>
                <w:rFonts w:eastAsia="Times New Roman" w:cs="Times New Roman"/>
                <w:sz w:val="24"/>
                <w:szCs w:val="24"/>
                <w:lang w:eastAsia="lv-LV"/>
              </w:rPr>
              <w:t xml:space="preserve">pašvaldības, </w:t>
            </w:r>
            <w:r w:rsidR="003A1A8A" w:rsidRPr="008E513B">
              <w:rPr>
                <w:rFonts w:cs="Times New Roman"/>
                <w:sz w:val="24"/>
                <w:szCs w:val="24"/>
              </w:rPr>
              <w:t xml:space="preserve">valsts </w:t>
            </w:r>
            <w:r w:rsidR="00B85AA3">
              <w:rPr>
                <w:rFonts w:cs="Times New Roman"/>
                <w:sz w:val="24"/>
                <w:szCs w:val="24"/>
              </w:rPr>
              <w:t xml:space="preserve">budžeta </w:t>
            </w:r>
            <w:r w:rsidR="003A1A8A" w:rsidRPr="008E513B">
              <w:rPr>
                <w:rFonts w:cs="Times New Roman"/>
                <w:sz w:val="24"/>
                <w:szCs w:val="24"/>
              </w:rPr>
              <w:t xml:space="preserve">un </w:t>
            </w:r>
            <w:r w:rsidR="003A1A8A" w:rsidRPr="008E513B">
              <w:rPr>
                <w:rFonts w:cs="Times New Roman"/>
                <w:sz w:val="24"/>
              </w:rPr>
              <w:t>Eiropas Savienības politikas instrumentu un citām ārvalstu finanšu palīdzības programmām finansēto projektu īstenotāji, publiskās un privātās partnerības projektu īstenotāji, vispārējās valdības sektorā ietilpstošās valsts komercsabiedrības.</w:t>
            </w:r>
          </w:p>
        </w:tc>
      </w:tr>
      <w:tr w:rsidR="008E513B" w:rsidRPr="008E513B" w14:paraId="6A1F8DFA" w14:textId="77777777" w:rsidTr="005C545E">
        <w:trPr>
          <w:trHeight w:val="463"/>
          <w:tblCellSpacing w:w="0" w:type="dxa"/>
        </w:trPr>
        <w:tc>
          <w:tcPr>
            <w:tcW w:w="582" w:type="dxa"/>
            <w:tcBorders>
              <w:top w:val="outset" w:sz="6" w:space="0" w:color="auto"/>
              <w:left w:val="outset" w:sz="6" w:space="0" w:color="auto"/>
              <w:bottom w:val="outset" w:sz="6" w:space="0" w:color="auto"/>
              <w:right w:val="outset" w:sz="6" w:space="0" w:color="auto"/>
            </w:tcBorders>
            <w:hideMark/>
          </w:tcPr>
          <w:p w14:paraId="39C4C129" w14:textId="77777777" w:rsidR="00185F84" w:rsidRPr="008E513B" w:rsidRDefault="00185F84" w:rsidP="005C545E">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2.</w:t>
            </w:r>
          </w:p>
        </w:tc>
        <w:tc>
          <w:tcPr>
            <w:tcW w:w="3246" w:type="dxa"/>
            <w:tcBorders>
              <w:top w:val="outset" w:sz="6" w:space="0" w:color="auto"/>
              <w:left w:val="outset" w:sz="6" w:space="0" w:color="auto"/>
              <w:bottom w:val="outset" w:sz="6" w:space="0" w:color="auto"/>
              <w:right w:val="outset" w:sz="6" w:space="0" w:color="auto"/>
            </w:tcBorders>
            <w:hideMark/>
          </w:tcPr>
          <w:p w14:paraId="4C331E95" w14:textId="77777777" w:rsidR="00E75546" w:rsidRPr="008E513B" w:rsidRDefault="00E75546" w:rsidP="00E75546">
            <w:pPr>
              <w:jc w:val="both"/>
              <w:rPr>
                <w:rFonts w:eastAsia="Times New Roman" w:cs="Times New Roman"/>
                <w:sz w:val="24"/>
                <w:szCs w:val="20"/>
                <w:lang w:eastAsia="lv-LV"/>
              </w:rPr>
            </w:pPr>
            <w:r w:rsidRPr="008E513B">
              <w:rPr>
                <w:rFonts w:eastAsia="Times New Roman" w:cs="Times New Roman"/>
                <w:sz w:val="24"/>
                <w:szCs w:val="20"/>
                <w:lang w:eastAsia="lv-LV"/>
              </w:rPr>
              <w:t xml:space="preserve">Projekta izpildes ietekme uz pārvaldes funkcijām un institucionālo struktūru. </w:t>
            </w:r>
          </w:p>
          <w:p w14:paraId="6029080D" w14:textId="77777777" w:rsidR="00185F84" w:rsidRPr="008E513B" w:rsidRDefault="00E75546" w:rsidP="00E75546">
            <w:pPr>
              <w:jc w:val="both"/>
              <w:rPr>
                <w:rFonts w:ascii="Arial" w:eastAsia="Times New Roman" w:hAnsi="Arial" w:cs="Arial"/>
                <w:sz w:val="20"/>
                <w:szCs w:val="20"/>
                <w:lang w:eastAsia="lv-LV"/>
              </w:rPr>
            </w:pPr>
            <w:r w:rsidRPr="008E513B">
              <w:rPr>
                <w:rFonts w:eastAsia="Times New Roman" w:cs="Times New Roman"/>
                <w:sz w:val="24"/>
                <w:szCs w:val="20"/>
                <w:lang w:eastAsia="lv-LV"/>
              </w:rPr>
              <w:t>Jaunu institūciju izveide, esošu institūciju likvidācija vai reorganizācija, to ietekme uz institūcijas cilvēkresursiem</w:t>
            </w:r>
          </w:p>
        </w:tc>
        <w:tc>
          <w:tcPr>
            <w:tcW w:w="6378" w:type="dxa"/>
            <w:tcBorders>
              <w:top w:val="outset" w:sz="6" w:space="0" w:color="auto"/>
              <w:left w:val="outset" w:sz="6" w:space="0" w:color="auto"/>
              <w:bottom w:val="outset" w:sz="6" w:space="0" w:color="auto"/>
              <w:right w:val="outset" w:sz="6" w:space="0" w:color="auto"/>
            </w:tcBorders>
            <w:hideMark/>
          </w:tcPr>
          <w:p w14:paraId="2126D755" w14:textId="69CCD0E6" w:rsidR="00BC4085" w:rsidRPr="00BC4085" w:rsidRDefault="00F85704" w:rsidP="00B85AA3">
            <w:pPr>
              <w:spacing w:before="100" w:beforeAutospacing="1" w:after="100" w:afterAutospacing="1"/>
              <w:jc w:val="both"/>
              <w:rPr>
                <w:sz w:val="24"/>
                <w:szCs w:val="26"/>
              </w:rPr>
            </w:pPr>
            <w:r>
              <w:rPr>
                <w:sz w:val="24"/>
                <w:szCs w:val="26"/>
              </w:rPr>
              <w:t xml:space="preserve">    </w:t>
            </w:r>
            <w:r w:rsidR="003B514C" w:rsidRPr="008E513B">
              <w:rPr>
                <w:sz w:val="24"/>
                <w:szCs w:val="26"/>
              </w:rPr>
              <w:t>Iesaistītās institūcijas noteikumu projekta izpildi nodrošina to esošo funkciju un uzdevumus ietvaros</w:t>
            </w:r>
            <w:r w:rsidR="006B7B78">
              <w:rPr>
                <w:sz w:val="24"/>
                <w:szCs w:val="26"/>
              </w:rPr>
              <w:t>.</w:t>
            </w:r>
            <w:r w:rsidR="00BC4085">
              <w:rPr>
                <w:sz w:val="24"/>
                <w:szCs w:val="26"/>
              </w:rPr>
              <w:t xml:space="preserve"> Likuma par budžetu un finanšu vadību </w:t>
            </w:r>
            <w:r w:rsidR="00BC4085">
              <w:rPr>
                <w:sz w:val="24"/>
                <w:szCs w:val="24"/>
              </w:rPr>
              <w:t>46.pants paredz, ka</w:t>
            </w:r>
            <w:r w:rsidR="00BC4085" w:rsidRPr="005666D3">
              <w:rPr>
                <w:sz w:val="24"/>
                <w:szCs w:val="24"/>
              </w:rPr>
              <w:t xml:space="preserve"> budžeta līdzekļi ir jāizlieto efektīvi un ekonomiski atbilstoši paredzētajiem mērķiem</w:t>
            </w:r>
            <w:r w:rsidR="00BC4085">
              <w:rPr>
                <w:sz w:val="24"/>
                <w:szCs w:val="24"/>
              </w:rPr>
              <w:t>.</w:t>
            </w:r>
            <w:r w:rsidR="006B7B78">
              <w:rPr>
                <w:sz w:val="24"/>
                <w:szCs w:val="24"/>
              </w:rPr>
              <w:t xml:space="preserve"> Tāpat</w:t>
            </w:r>
            <w:r w:rsidR="00BC4085">
              <w:rPr>
                <w:sz w:val="24"/>
                <w:szCs w:val="24"/>
              </w:rPr>
              <w:t xml:space="preserve"> </w:t>
            </w:r>
            <w:r w:rsidR="006B7B78">
              <w:rPr>
                <w:sz w:val="24"/>
                <w:szCs w:val="24"/>
              </w:rPr>
              <w:t>š</w:t>
            </w:r>
            <w:r w:rsidR="00BC4085">
              <w:rPr>
                <w:sz w:val="24"/>
                <w:szCs w:val="24"/>
              </w:rPr>
              <w:t xml:space="preserve">obrīd </w:t>
            </w:r>
            <w:r w:rsidR="00BC4085" w:rsidRPr="009F771E">
              <w:rPr>
                <w:sz w:val="24"/>
                <w:szCs w:val="24"/>
              </w:rPr>
              <w:t xml:space="preserve">jau pastāv </w:t>
            </w:r>
            <w:r w:rsidR="00BC4085">
              <w:rPr>
                <w:sz w:val="24"/>
                <w:szCs w:val="24"/>
              </w:rPr>
              <w:t>atsevišķi risku vadības elementi</w:t>
            </w:r>
            <w:r w:rsidR="00BC4085" w:rsidRPr="009F771E">
              <w:rPr>
                <w:sz w:val="24"/>
                <w:szCs w:val="24"/>
              </w:rPr>
              <w:t>, piemēram, pārskatu sniegšan</w:t>
            </w:r>
            <w:r w:rsidR="006B7B78">
              <w:rPr>
                <w:sz w:val="24"/>
                <w:szCs w:val="24"/>
              </w:rPr>
              <w:t>a konkrētās nozarēs</w:t>
            </w:r>
            <w:r w:rsidR="00BC4085" w:rsidRPr="009F771E">
              <w:rPr>
                <w:sz w:val="24"/>
                <w:szCs w:val="24"/>
              </w:rPr>
              <w:t>, tomēr nepastāv vienots fiskālo risku vadības ietvars, kurā valsts līmenī tiktu sistemātiski</w:t>
            </w:r>
            <w:r w:rsidR="006B7B78">
              <w:rPr>
                <w:sz w:val="24"/>
                <w:szCs w:val="24"/>
              </w:rPr>
              <w:t xml:space="preserve">, </w:t>
            </w:r>
            <w:r w:rsidR="00BC4085" w:rsidRPr="009F771E">
              <w:rPr>
                <w:sz w:val="24"/>
                <w:szCs w:val="24"/>
              </w:rPr>
              <w:t xml:space="preserve">centralizēti </w:t>
            </w:r>
            <w:r w:rsidR="006B7B78">
              <w:rPr>
                <w:sz w:val="24"/>
                <w:szCs w:val="24"/>
              </w:rPr>
              <w:t xml:space="preserve">un regulāri </w:t>
            </w:r>
            <w:r w:rsidR="00BC4085" w:rsidRPr="009F771E">
              <w:rPr>
                <w:sz w:val="24"/>
                <w:szCs w:val="24"/>
              </w:rPr>
              <w:t xml:space="preserve">veikta fiskālo risku identificēšana, to iespējamās ietekmes uz valsts budžetu un parādu izvērtēšana, attiecīgā </w:t>
            </w:r>
            <w:r w:rsidR="00B85AA3">
              <w:rPr>
                <w:sz w:val="24"/>
                <w:szCs w:val="24"/>
              </w:rPr>
              <w:t xml:space="preserve">fiskālā </w:t>
            </w:r>
            <w:r w:rsidR="00BC4085" w:rsidRPr="009F771E">
              <w:rPr>
                <w:sz w:val="24"/>
                <w:szCs w:val="24"/>
              </w:rPr>
              <w:t>riska vadības instrumenta izvēle un piemērošana.</w:t>
            </w:r>
            <w:r w:rsidR="00BC4085">
              <w:rPr>
                <w:sz w:val="24"/>
                <w:szCs w:val="24"/>
              </w:rPr>
              <w:t xml:space="preserve"> Vienlaikus pēc Finanšu ministrijas veiktās sākotnējās fiskālo risku re</w:t>
            </w:r>
            <w:r w:rsidR="00551A07">
              <w:rPr>
                <w:sz w:val="24"/>
                <w:szCs w:val="24"/>
              </w:rPr>
              <w:t xml:space="preserve">ģistra analīzes paredzams, ka centrālām valsts iestādēm nav liels fiskālo risku apjoms, </w:t>
            </w:r>
            <w:r w:rsidR="00B85AA3">
              <w:rPr>
                <w:sz w:val="24"/>
                <w:szCs w:val="24"/>
              </w:rPr>
              <w:t>kuru</w:t>
            </w:r>
            <w:r w:rsidR="00551A07">
              <w:rPr>
                <w:sz w:val="24"/>
                <w:szCs w:val="24"/>
              </w:rPr>
              <w:t xml:space="preserve"> vadīšanu var veikt esošo funkciju ietvaros.</w:t>
            </w:r>
          </w:p>
        </w:tc>
      </w:tr>
      <w:tr w:rsidR="008E513B" w:rsidRPr="008E513B" w14:paraId="7E0422E7" w14:textId="77777777" w:rsidTr="005C545E">
        <w:trPr>
          <w:trHeight w:val="476"/>
          <w:tblCellSpacing w:w="0" w:type="dxa"/>
        </w:trPr>
        <w:tc>
          <w:tcPr>
            <w:tcW w:w="582" w:type="dxa"/>
            <w:tcBorders>
              <w:top w:val="outset" w:sz="6" w:space="0" w:color="auto"/>
              <w:left w:val="outset" w:sz="6" w:space="0" w:color="auto"/>
              <w:bottom w:val="outset" w:sz="6" w:space="0" w:color="auto"/>
              <w:right w:val="outset" w:sz="6" w:space="0" w:color="auto"/>
            </w:tcBorders>
            <w:hideMark/>
          </w:tcPr>
          <w:p w14:paraId="57968F34" w14:textId="77777777" w:rsidR="00185F84" w:rsidRPr="008E513B" w:rsidRDefault="00185F84" w:rsidP="005C545E">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6.</w:t>
            </w:r>
          </w:p>
        </w:tc>
        <w:tc>
          <w:tcPr>
            <w:tcW w:w="3246" w:type="dxa"/>
            <w:tcBorders>
              <w:top w:val="outset" w:sz="6" w:space="0" w:color="auto"/>
              <w:left w:val="outset" w:sz="6" w:space="0" w:color="auto"/>
              <w:bottom w:val="outset" w:sz="6" w:space="0" w:color="auto"/>
              <w:right w:val="outset" w:sz="6" w:space="0" w:color="auto"/>
            </w:tcBorders>
            <w:hideMark/>
          </w:tcPr>
          <w:p w14:paraId="4600A07F" w14:textId="77777777" w:rsidR="00185F84" w:rsidRPr="008E513B" w:rsidRDefault="00185F84" w:rsidP="005C545E">
            <w:pPr>
              <w:rPr>
                <w:rFonts w:eastAsia="Times New Roman" w:cs="Times New Roman"/>
                <w:sz w:val="24"/>
                <w:szCs w:val="24"/>
                <w:lang w:eastAsia="lv-LV"/>
              </w:rPr>
            </w:pPr>
            <w:r w:rsidRPr="008E513B">
              <w:rPr>
                <w:rFonts w:eastAsia="Times New Roman" w:cs="Times New Roman"/>
                <w:sz w:val="24"/>
                <w:szCs w:val="24"/>
                <w:lang w:eastAsia="lv-LV"/>
              </w:rPr>
              <w:t> Cita informācija</w:t>
            </w:r>
          </w:p>
        </w:tc>
        <w:tc>
          <w:tcPr>
            <w:tcW w:w="6378" w:type="dxa"/>
            <w:tcBorders>
              <w:top w:val="outset" w:sz="6" w:space="0" w:color="auto"/>
              <w:left w:val="outset" w:sz="6" w:space="0" w:color="auto"/>
              <w:bottom w:val="outset" w:sz="6" w:space="0" w:color="auto"/>
              <w:right w:val="outset" w:sz="6" w:space="0" w:color="auto"/>
            </w:tcBorders>
            <w:hideMark/>
          </w:tcPr>
          <w:p w14:paraId="211A037A" w14:textId="77777777" w:rsidR="00185F84" w:rsidRPr="008E513B" w:rsidRDefault="00185F84" w:rsidP="005C545E">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w:t>
            </w:r>
            <w:r w:rsidR="003B514C" w:rsidRPr="008E513B">
              <w:rPr>
                <w:rFonts w:eastAsia="Times New Roman" w:cs="Times New Roman"/>
                <w:sz w:val="24"/>
                <w:szCs w:val="24"/>
                <w:lang w:eastAsia="lv-LV"/>
              </w:rPr>
              <w:t xml:space="preserve">    Nav</w:t>
            </w:r>
          </w:p>
        </w:tc>
      </w:tr>
    </w:tbl>
    <w:p w14:paraId="4E2F3520" w14:textId="77777777" w:rsidR="009327FA" w:rsidRDefault="009327FA" w:rsidP="00F73D13">
      <w:pPr>
        <w:rPr>
          <w:sz w:val="26"/>
          <w:szCs w:val="26"/>
        </w:rPr>
      </w:pPr>
    </w:p>
    <w:p w14:paraId="0415E558" w14:textId="77777777" w:rsidR="009327FA" w:rsidRDefault="009327FA" w:rsidP="00F73D13">
      <w:pPr>
        <w:rPr>
          <w:sz w:val="26"/>
          <w:szCs w:val="26"/>
        </w:rPr>
      </w:pPr>
    </w:p>
    <w:p w14:paraId="2316D5EE" w14:textId="77777777" w:rsidR="00E7718F" w:rsidRDefault="00E7718F" w:rsidP="00F73D13">
      <w:pPr>
        <w:rPr>
          <w:sz w:val="26"/>
          <w:szCs w:val="26"/>
        </w:rPr>
      </w:pPr>
    </w:p>
    <w:p w14:paraId="3E19DC29" w14:textId="77777777" w:rsidR="00E7718F" w:rsidRPr="008E513B" w:rsidRDefault="00E7718F" w:rsidP="00F73D13">
      <w:pPr>
        <w:rPr>
          <w:sz w:val="26"/>
          <w:szCs w:val="26"/>
        </w:rPr>
      </w:pPr>
    </w:p>
    <w:p w14:paraId="388E17DC" w14:textId="1BB18976" w:rsidR="00720A41" w:rsidRDefault="00F73D13" w:rsidP="00F73D13">
      <w:pPr>
        <w:rPr>
          <w:sz w:val="26"/>
          <w:szCs w:val="26"/>
        </w:rPr>
      </w:pPr>
      <w:r w:rsidRPr="008E513B">
        <w:rPr>
          <w:sz w:val="26"/>
          <w:szCs w:val="26"/>
        </w:rPr>
        <w:t>Finanšu ministr</w:t>
      </w:r>
      <w:r w:rsidR="00720A41">
        <w:rPr>
          <w:sz w:val="26"/>
          <w:szCs w:val="26"/>
        </w:rPr>
        <w:t xml:space="preserve">a vietā – </w:t>
      </w:r>
    </w:p>
    <w:p w14:paraId="570C16D7" w14:textId="22BD626B" w:rsidR="00F73D13" w:rsidRPr="008E513B" w:rsidRDefault="00720A41" w:rsidP="00F73D13">
      <w:pPr>
        <w:rPr>
          <w:sz w:val="26"/>
          <w:szCs w:val="26"/>
        </w:rPr>
      </w:pPr>
      <w:r>
        <w:rPr>
          <w:sz w:val="26"/>
          <w:szCs w:val="26"/>
        </w:rPr>
        <w:t>Zemkopības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J.Dūklavs</w:t>
      </w:r>
      <w:proofErr w:type="spellEnd"/>
      <w:r w:rsidR="005C545E" w:rsidRPr="008E513B">
        <w:rPr>
          <w:sz w:val="26"/>
          <w:szCs w:val="26"/>
        </w:rPr>
        <w:tab/>
      </w:r>
      <w:r w:rsidR="005C545E" w:rsidRPr="008E513B">
        <w:rPr>
          <w:sz w:val="26"/>
          <w:szCs w:val="26"/>
        </w:rPr>
        <w:tab/>
      </w:r>
      <w:r w:rsidR="005C545E" w:rsidRPr="008E513B">
        <w:rPr>
          <w:sz w:val="26"/>
          <w:szCs w:val="26"/>
        </w:rPr>
        <w:tab/>
      </w:r>
      <w:r w:rsidR="005C545E" w:rsidRPr="008E513B">
        <w:rPr>
          <w:sz w:val="26"/>
          <w:szCs w:val="26"/>
        </w:rPr>
        <w:tab/>
      </w:r>
      <w:r w:rsidR="005C545E" w:rsidRPr="008E513B">
        <w:rPr>
          <w:sz w:val="26"/>
          <w:szCs w:val="26"/>
        </w:rPr>
        <w:tab/>
      </w:r>
      <w:r w:rsidR="005C545E" w:rsidRPr="008E513B">
        <w:rPr>
          <w:sz w:val="26"/>
          <w:szCs w:val="26"/>
        </w:rPr>
        <w:tab/>
      </w:r>
      <w:r w:rsidR="005C545E" w:rsidRPr="008E513B">
        <w:rPr>
          <w:sz w:val="26"/>
          <w:szCs w:val="26"/>
        </w:rPr>
        <w:tab/>
      </w:r>
      <w:r w:rsidR="005C545E" w:rsidRPr="008E513B">
        <w:rPr>
          <w:sz w:val="26"/>
          <w:szCs w:val="26"/>
        </w:rPr>
        <w:tab/>
      </w:r>
      <w:r w:rsidR="005C545E" w:rsidRPr="008E513B">
        <w:rPr>
          <w:sz w:val="26"/>
          <w:szCs w:val="26"/>
        </w:rPr>
        <w:tab/>
      </w:r>
      <w:r w:rsidR="005C545E" w:rsidRPr="008E513B">
        <w:rPr>
          <w:sz w:val="26"/>
          <w:szCs w:val="26"/>
        </w:rPr>
        <w:tab/>
      </w:r>
      <w:r w:rsidR="00F73D13" w:rsidRPr="008E513B">
        <w:rPr>
          <w:sz w:val="26"/>
          <w:szCs w:val="26"/>
        </w:rPr>
        <w:t xml:space="preserve"> </w:t>
      </w:r>
    </w:p>
    <w:p w14:paraId="5D4400E2" w14:textId="77777777" w:rsidR="00733D87" w:rsidRDefault="00733D87" w:rsidP="00F73D13">
      <w:pPr>
        <w:rPr>
          <w:sz w:val="20"/>
        </w:rPr>
      </w:pPr>
    </w:p>
    <w:p w14:paraId="011FDC6D" w14:textId="77777777" w:rsidR="00E7718F" w:rsidRDefault="00E7718F" w:rsidP="00F73D13">
      <w:pPr>
        <w:rPr>
          <w:sz w:val="20"/>
        </w:rPr>
      </w:pPr>
    </w:p>
    <w:p w14:paraId="3E57F8AC" w14:textId="77777777" w:rsidR="00E7718F" w:rsidRDefault="00E7718F" w:rsidP="00F73D13">
      <w:pPr>
        <w:rPr>
          <w:sz w:val="20"/>
        </w:rPr>
      </w:pPr>
    </w:p>
    <w:p w14:paraId="4FEBA55E" w14:textId="77777777" w:rsidR="00E7718F" w:rsidRDefault="00E7718F" w:rsidP="00F73D13">
      <w:pPr>
        <w:rPr>
          <w:sz w:val="20"/>
        </w:rPr>
      </w:pPr>
    </w:p>
    <w:p w14:paraId="1E33E603" w14:textId="77777777" w:rsidR="00E7718F" w:rsidRDefault="00E7718F" w:rsidP="00F73D13">
      <w:pPr>
        <w:rPr>
          <w:sz w:val="20"/>
        </w:rPr>
      </w:pPr>
    </w:p>
    <w:p w14:paraId="480BB2EB" w14:textId="77777777" w:rsidR="00E7718F" w:rsidRPr="008E513B" w:rsidRDefault="00E7718F" w:rsidP="00F73D13">
      <w:pPr>
        <w:rPr>
          <w:sz w:val="20"/>
        </w:rPr>
      </w:pPr>
    </w:p>
    <w:p w14:paraId="58BFE80E" w14:textId="77777777" w:rsidR="006C7744" w:rsidRDefault="006C7744" w:rsidP="00F73D13">
      <w:pPr>
        <w:rPr>
          <w:sz w:val="20"/>
        </w:rPr>
      </w:pPr>
      <w:r>
        <w:rPr>
          <w:sz w:val="20"/>
        </w:rPr>
        <w:t>09.04.2014 15:40</w:t>
      </w:r>
    </w:p>
    <w:p w14:paraId="58C5C993" w14:textId="02F94173" w:rsidR="00733D87" w:rsidRPr="008E513B" w:rsidRDefault="007D3575" w:rsidP="00F73D13">
      <w:pPr>
        <w:rPr>
          <w:sz w:val="20"/>
        </w:rPr>
      </w:pPr>
      <w:r>
        <w:rPr>
          <w:sz w:val="20"/>
        </w:rPr>
        <w:t>2</w:t>
      </w:r>
      <w:r w:rsidR="006C7744">
        <w:rPr>
          <w:sz w:val="20"/>
        </w:rPr>
        <w:t>52</w:t>
      </w:r>
      <w:r w:rsidR="00720A41">
        <w:rPr>
          <w:sz w:val="20"/>
        </w:rPr>
        <w:t>9</w:t>
      </w:r>
    </w:p>
    <w:p w14:paraId="36D2F78D" w14:textId="77777777" w:rsidR="00F73D13" w:rsidRPr="008E513B" w:rsidRDefault="00F73D13" w:rsidP="00F73D13">
      <w:pPr>
        <w:rPr>
          <w:sz w:val="20"/>
          <w:szCs w:val="20"/>
        </w:rPr>
      </w:pPr>
      <w:r w:rsidRPr="008E513B">
        <w:rPr>
          <w:sz w:val="20"/>
          <w:szCs w:val="20"/>
        </w:rPr>
        <w:t>G</w:t>
      </w:r>
      <w:r w:rsidR="001535B3" w:rsidRPr="008E513B">
        <w:rPr>
          <w:sz w:val="20"/>
          <w:szCs w:val="20"/>
        </w:rPr>
        <w:t>.</w:t>
      </w:r>
      <w:r w:rsidRPr="008E513B">
        <w:rPr>
          <w:sz w:val="20"/>
          <w:szCs w:val="20"/>
        </w:rPr>
        <w:t xml:space="preserve"> Rubīna</w:t>
      </w:r>
    </w:p>
    <w:p w14:paraId="566FAC52" w14:textId="77777777" w:rsidR="001535B3" w:rsidRPr="008E513B" w:rsidRDefault="00F73D13" w:rsidP="00F73D13">
      <w:pPr>
        <w:rPr>
          <w:rFonts w:cs="Times New Roman"/>
          <w:sz w:val="20"/>
          <w:szCs w:val="20"/>
        </w:rPr>
      </w:pPr>
      <w:r w:rsidRPr="008E513B">
        <w:rPr>
          <w:rFonts w:cs="Times New Roman"/>
          <w:sz w:val="20"/>
          <w:szCs w:val="20"/>
        </w:rPr>
        <w:t>tālrunis 67083911</w:t>
      </w:r>
      <w:r w:rsidR="001535B3" w:rsidRPr="008E513B">
        <w:rPr>
          <w:rFonts w:cs="Times New Roman"/>
          <w:sz w:val="20"/>
          <w:szCs w:val="20"/>
        </w:rPr>
        <w:t xml:space="preserve">, </w:t>
      </w:r>
    </w:p>
    <w:p w14:paraId="1532A64D" w14:textId="77777777" w:rsidR="00F73D13" w:rsidRPr="008E513B" w:rsidRDefault="00EB30AF" w:rsidP="00F73D13">
      <w:pPr>
        <w:rPr>
          <w:rFonts w:cs="Times New Roman"/>
          <w:sz w:val="20"/>
          <w:szCs w:val="20"/>
        </w:rPr>
      </w:pPr>
      <w:hyperlink r:id="rId11" w:history="1">
        <w:r w:rsidR="00F73D13" w:rsidRPr="008E513B">
          <w:rPr>
            <w:rStyle w:val="Hyperlink"/>
            <w:rFonts w:ascii="Times New Roman" w:hAnsi="Times New Roman" w:cs="Times New Roman"/>
            <w:color w:val="auto"/>
            <w:sz w:val="20"/>
            <w:szCs w:val="20"/>
          </w:rPr>
          <w:t>Gerda.Rubina@fm.gov.lv</w:t>
        </w:r>
      </w:hyperlink>
    </w:p>
    <w:sectPr w:rsidR="00F73D13" w:rsidRPr="008E513B" w:rsidSect="00D70398">
      <w:footerReference w:type="defaul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EDBA4" w14:textId="77777777" w:rsidR="006564F4" w:rsidRDefault="006564F4" w:rsidP="003B514C">
      <w:r>
        <w:separator/>
      </w:r>
    </w:p>
  </w:endnote>
  <w:endnote w:type="continuationSeparator" w:id="0">
    <w:p w14:paraId="4BDFDDC0" w14:textId="77777777" w:rsidR="006564F4" w:rsidRDefault="006564F4" w:rsidP="003B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237747"/>
      <w:docPartObj>
        <w:docPartGallery w:val="Page Numbers (Bottom of Page)"/>
        <w:docPartUnique/>
      </w:docPartObj>
    </w:sdtPr>
    <w:sdtEndPr>
      <w:rPr>
        <w:noProof/>
      </w:rPr>
    </w:sdtEndPr>
    <w:sdtContent>
      <w:p w14:paraId="590C70A5" w14:textId="77777777" w:rsidR="00BC4085" w:rsidRDefault="00BC4085">
        <w:pPr>
          <w:pStyle w:val="Footer"/>
          <w:jc w:val="center"/>
        </w:pPr>
        <w:r>
          <w:fldChar w:fldCharType="begin"/>
        </w:r>
        <w:r>
          <w:instrText xml:space="preserve"> PAGE   \* MERGEFORMAT </w:instrText>
        </w:r>
        <w:r>
          <w:fldChar w:fldCharType="separate"/>
        </w:r>
        <w:r w:rsidR="00EB30AF">
          <w:rPr>
            <w:noProof/>
          </w:rPr>
          <w:t>8</w:t>
        </w:r>
        <w:r>
          <w:rPr>
            <w:noProof/>
          </w:rPr>
          <w:fldChar w:fldCharType="end"/>
        </w:r>
      </w:p>
    </w:sdtContent>
  </w:sdt>
  <w:p w14:paraId="4D4A6160" w14:textId="7522981A" w:rsidR="00FA0584" w:rsidRPr="00F72D4E" w:rsidRDefault="007D3575" w:rsidP="00DA34B7">
    <w:pPr>
      <w:spacing w:before="100" w:beforeAutospacing="1" w:after="100" w:afterAutospacing="1"/>
      <w:jc w:val="both"/>
      <w:rPr>
        <w:rFonts w:eastAsia="Times New Roman" w:cs="Times New Roman"/>
        <w:bCs/>
        <w:sz w:val="20"/>
        <w:lang w:eastAsia="lv-LV"/>
      </w:rPr>
    </w:pPr>
    <w:r w:rsidRPr="00F72D4E">
      <w:rPr>
        <w:sz w:val="20"/>
      </w:rPr>
      <w:t>FMAnot_</w:t>
    </w:r>
    <w:r w:rsidR="006C7744">
      <w:rPr>
        <w:sz w:val="20"/>
      </w:rPr>
      <w:t>0904</w:t>
    </w:r>
    <w:r>
      <w:rPr>
        <w:sz w:val="20"/>
      </w:rPr>
      <w:t>2014</w:t>
    </w:r>
    <w:r w:rsidRPr="00F72D4E">
      <w:rPr>
        <w:sz w:val="20"/>
      </w:rPr>
      <w:t xml:space="preserve">_FR; </w:t>
    </w:r>
    <w:r w:rsidRPr="00F72D4E">
      <w:rPr>
        <w:rFonts w:eastAsia="Times New Roman" w:cs="Times New Roman"/>
        <w:bCs/>
        <w:sz w:val="20"/>
        <w:lang w:eastAsia="lv-LV"/>
      </w:rPr>
      <w:t>Ministru kabineta noteikumu projekta „</w:t>
    </w:r>
    <w:r w:rsidRPr="00F72D4E">
      <w:rPr>
        <w:sz w:val="20"/>
      </w:rPr>
      <w:t>Noteikumi par fiskālo risku vispārējo vadību un par fiskālās nodrošinājuma rezerves apjoma noteikšanas metodoloģiju</w:t>
    </w:r>
    <w:r w:rsidRPr="00F72D4E">
      <w:rPr>
        <w:rFonts w:eastAsia="Times New Roman" w:cs="Times New Roman"/>
        <w:bCs/>
        <w:sz w:val="20"/>
        <w:lang w:eastAsia="lv-LV"/>
      </w:rPr>
      <w:t xml:space="preserve">” sākotnējās ietekmes </w:t>
    </w:r>
    <w:r>
      <w:rPr>
        <w:rFonts w:eastAsia="Times New Roman" w:cs="Times New Roman"/>
        <w:bCs/>
        <w:sz w:val="20"/>
        <w:lang w:eastAsia="lv-LV"/>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527F3" w14:textId="5C2E0CBF" w:rsidR="007D3575" w:rsidRPr="007D3575" w:rsidRDefault="007D3575" w:rsidP="007D3575">
    <w:pPr>
      <w:spacing w:before="100" w:beforeAutospacing="1" w:after="100" w:afterAutospacing="1"/>
      <w:jc w:val="both"/>
      <w:rPr>
        <w:rFonts w:eastAsia="Times New Roman" w:cs="Times New Roman"/>
        <w:bCs/>
        <w:sz w:val="20"/>
        <w:lang w:eastAsia="lv-LV"/>
      </w:rPr>
    </w:pPr>
    <w:r w:rsidRPr="00F72D4E">
      <w:rPr>
        <w:sz w:val="20"/>
      </w:rPr>
      <w:t>FMAnot_</w:t>
    </w:r>
    <w:r w:rsidR="006C7744">
      <w:rPr>
        <w:sz w:val="20"/>
      </w:rPr>
      <w:t>0904</w:t>
    </w:r>
    <w:r>
      <w:rPr>
        <w:sz w:val="20"/>
      </w:rPr>
      <w:t>2014</w:t>
    </w:r>
    <w:r w:rsidRPr="00F72D4E">
      <w:rPr>
        <w:sz w:val="20"/>
      </w:rPr>
      <w:t xml:space="preserve">_FR; </w:t>
    </w:r>
    <w:r w:rsidRPr="00F72D4E">
      <w:rPr>
        <w:rFonts w:eastAsia="Times New Roman" w:cs="Times New Roman"/>
        <w:bCs/>
        <w:sz w:val="20"/>
        <w:lang w:eastAsia="lv-LV"/>
      </w:rPr>
      <w:t>Ministru kabineta noteikumu projekta „</w:t>
    </w:r>
    <w:r w:rsidRPr="00F72D4E">
      <w:rPr>
        <w:sz w:val="20"/>
      </w:rPr>
      <w:t>Noteikumi par fiskālo risku vispārējo vadību un par fiskālās nodrošinājuma rezerves apjoma noteikšanas metodoloģiju</w:t>
    </w:r>
    <w:r w:rsidRPr="00F72D4E">
      <w:rPr>
        <w:rFonts w:eastAsia="Times New Roman" w:cs="Times New Roman"/>
        <w:bCs/>
        <w:sz w:val="20"/>
        <w:lang w:eastAsia="lv-LV"/>
      </w:rPr>
      <w:t xml:space="preserve">” sākotnējās ietekmes </w:t>
    </w:r>
    <w:r>
      <w:rPr>
        <w:rFonts w:eastAsia="Times New Roman" w:cs="Times New Roman"/>
        <w:bCs/>
        <w:sz w:val="20"/>
        <w:lang w:eastAsia="lv-LV"/>
      </w:rPr>
      <w:t>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FDD17" w14:textId="77777777" w:rsidR="006564F4" w:rsidRDefault="006564F4" w:rsidP="003B514C">
      <w:r>
        <w:separator/>
      </w:r>
    </w:p>
  </w:footnote>
  <w:footnote w:type="continuationSeparator" w:id="0">
    <w:p w14:paraId="5F48972C" w14:textId="77777777" w:rsidR="006564F4" w:rsidRDefault="006564F4" w:rsidP="003B5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E7E"/>
    <w:multiLevelType w:val="hybridMultilevel"/>
    <w:tmpl w:val="BCB28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39F5F4B"/>
    <w:multiLevelType w:val="hybridMultilevel"/>
    <w:tmpl w:val="0820F63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A74C6F"/>
    <w:multiLevelType w:val="hybridMultilevel"/>
    <w:tmpl w:val="10BA2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F1E7D4C"/>
    <w:multiLevelType w:val="hybridMultilevel"/>
    <w:tmpl w:val="21E4AD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6A65B0"/>
    <w:multiLevelType w:val="hybridMultilevel"/>
    <w:tmpl w:val="BAA01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5DF05B4"/>
    <w:multiLevelType w:val="multilevel"/>
    <w:tmpl w:val="E752E992"/>
    <w:lvl w:ilvl="0">
      <w:start w:val="1"/>
      <w:numFmt w:val="decimal"/>
      <w:lvlText w:val="%1."/>
      <w:lvlJc w:val="left"/>
      <w:pPr>
        <w:ind w:left="644"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6623F97"/>
    <w:multiLevelType w:val="hybridMultilevel"/>
    <w:tmpl w:val="63FE7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E3B1A80"/>
    <w:multiLevelType w:val="hybridMultilevel"/>
    <w:tmpl w:val="9DFC5A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07D1023"/>
    <w:multiLevelType w:val="hybridMultilevel"/>
    <w:tmpl w:val="5E2E9586"/>
    <w:lvl w:ilvl="0" w:tplc="0426000F">
      <w:start w:val="1"/>
      <w:numFmt w:val="decimal"/>
      <w:lvlText w:val="%1."/>
      <w:lvlJc w:val="left"/>
      <w:pPr>
        <w:ind w:left="840" w:hanging="360"/>
      </w:p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9">
    <w:nsid w:val="57E82874"/>
    <w:multiLevelType w:val="hybridMultilevel"/>
    <w:tmpl w:val="41A2307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1204F0D"/>
    <w:multiLevelType w:val="hybridMultilevel"/>
    <w:tmpl w:val="21E4AD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364511A"/>
    <w:multiLevelType w:val="hybridMultilevel"/>
    <w:tmpl w:val="47C0F2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1"/>
  </w:num>
  <w:num w:numId="5">
    <w:abstractNumId w:val="1"/>
  </w:num>
  <w:num w:numId="6">
    <w:abstractNumId w:val="6"/>
  </w:num>
  <w:num w:numId="7">
    <w:abstractNumId w:val="9"/>
  </w:num>
  <w:num w:numId="8">
    <w:abstractNumId w:val="2"/>
  </w:num>
  <w:num w:numId="9">
    <w:abstractNumId w:val="0"/>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28"/>
    <w:rsid w:val="000228CB"/>
    <w:rsid w:val="00036F46"/>
    <w:rsid w:val="00056C24"/>
    <w:rsid w:val="0006414E"/>
    <w:rsid w:val="0007525F"/>
    <w:rsid w:val="000879E5"/>
    <w:rsid w:val="000A2113"/>
    <w:rsid w:val="000D138B"/>
    <w:rsid w:val="000D5170"/>
    <w:rsid w:val="000D65BF"/>
    <w:rsid w:val="000D750F"/>
    <w:rsid w:val="000F23D7"/>
    <w:rsid w:val="00150010"/>
    <w:rsid w:val="001535B3"/>
    <w:rsid w:val="001548A6"/>
    <w:rsid w:val="0018384C"/>
    <w:rsid w:val="0018461E"/>
    <w:rsid w:val="00185F84"/>
    <w:rsid w:val="001903D0"/>
    <w:rsid w:val="00194E77"/>
    <w:rsid w:val="001974DF"/>
    <w:rsid w:val="001A38E2"/>
    <w:rsid w:val="001A637C"/>
    <w:rsid w:val="001A6A74"/>
    <w:rsid w:val="001A7FBB"/>
    <w:rsid w:val="001B17F0"/>
    <w:rsid w:val="001B5FCE"/>
    <w:rsid w:val="001C037F"/>
    <w:rsid w:val="001C5603"/>
    <w:rsid w:val="001C67F7"/>
    <w:rsid w:val="001D70BC"/>
    <w:rsid w:val="001E14E3"/>
    <w:rsid w:val="001E2C56"/>
    <w:rsid w:val="002015BF"/>
    <w:rsid w:val="00204F2E"/>
    <w:rsid w:val="00211DC0"/>
    <w:rsid w:val="00215046"/>
    <w:rsid w:val="0022204F"/>
    <w:rsid w:val="00264C0E"/>
    <w:rsid w:val="0028261E"/>
    <w:rsid w:val="00287820"/>
    <w:rsid w:val="00292FC3"/>
    <w:rsid w:val="002B6CBF"/>
    <w:rsid w:val="002E4C4D"/>
    <w:rsid w:val="00314830"/>
    <w:rsid w:val="003225F7"/>
    <w:rsid w:val="00323708"/>
    <w:rsid w:val="00325A60"/>
    <w:rsid w:val="00340F74"/>
    <w:rsid w:val="00347FEF"/>
    <w:rsid w:val="00350173"/>
    <w:rsid w:val="00360A45"/>
    <w:rsid w:val="003A1A8A"/>
    <w:rsid w:val="003B514C"/>
    <w:rsid w:val="003C2625"/>
    <w:rsid w:val="003D6383"/>
    <w:rsid w:val="003F42B4"/>
    <w:rsid w:val="003F49F4"/>
    <w:rsid w:val="003F638C"/>
    <w:rsid w:val="00407782"/>
    <w:rsid w:val="00424890"/>
    <w:rsid w:val="00443169"/>
    <w:rsid w:val="00450E55"/>
    <w:rsid w:val="004656AC"/>
    <w:rsid w:val="00471EAC"/>
    <w:rsid w:val="0048336F"/>
    <w:rsid w:val="004A3B0D"/>
    <w:rsid w:val="004A44F2"/>
    <w:rsid w:val="004B2FEB"/>
    <w:rsid w:val="004C563D"/>
    <w:rsid w:val="004E2DE5"/>
    <w:rsid w:val="004E78B5"/>
    <w:rsid w:val="005018B5"/>
    <w:rsid w:val="00520877"/>
    <w:rsid w:val="005256D7"/>
    <w:rsid w:val="00525E49"/>
    <w:rsid w:val="00526C3A"/>
    <w:rsid w:val="00530E8F"/>
    <w:rsid w:val="0053598A"/>
    <w:rsid w:val="00541082"/>
    <w:rsid w:val="00545C1F"/>
    <w:rsid w:val="005479AF"/>
    <w:rsid w:val="00551A07"/>
    <w:rsid w:val="00555AEB"/>
    <w:rsid w:val="005604E2"/>
    <w:rsid w:val="00573C2B"/>
    <w:rsid w:val="00581989"/>
    <w:rsid w:val="00584330"/>
    <w:rsid w:val="005854C7"/>
    <w:rsid w:val="00587CC3"/>
    <w:rsid w:val="005A0AA5"/>
    <w:rsid w:val="005C3AB7"/>
    <w:rsid w:val="005C545E"/>
    <w:rsid w:val="005D2D3E"/>
    <w:rsid w:val="005E26BB"/>
    <w:rsid w:val="005F4537"/>
    <w:rsid w:val="00611AF0"/>
    <w:rsid w:val="0061779E"/>
    <w:rsid w:val="006431BF"/>
    <w:rsid w:val="00654DB8"/>
    <w:rsid w:val="006564F4"/>
    <w:rsid w:val="0067221A"/>
    <w:rsid w:val="00674C35"/>
    <w:rsid w:val="00690315"/>
    <w:rsid w:val="006A1E3D"/>
    <w:rsid w:val="006A4D3B"/>
    <w:rsid w:val="006B2DBF"/>
    <w:rsid w:val="006B41DE"/>
    <w:rsid w:val="006B7B78"/>
    <w:rsid w:val="006C3DF3"/>
    <w:rsid w:val="006C5075"/>
    <w:rsid w:val="006C7744"/>
    <w:rsid w:val="006E2642"/>
    <w:rsid w:val="006E523A"/>
    <w:rsid w:val="006E796E"/>
    <w:rsid w:val="006E7E40"/>
    <w:rsid w:val="006F096A"/>
    <w:rsid w:val="006F0C7D"/>
    <w:rsid w:val="006F1323"/>
    <w:rsid w:val="006F73A3"/>
    <w:rsid w:val="00703671"/>
    <w:rsid w:val="00720A41"/>
    <w:rsid w:val="00726ADB"/>
    <w:rsid w:val="0073362D"/>
    <w:rsid w:val="00733D87"/>
    <w:rsid w:val="00740083"/>
    <w:rsid w:val="00741ADB"/>
    <w:rsid w:val="0074206D"/>
    <w:rsid w:val="00746EA4"/>
    <w:rsid w:val="00747D2D"/>
    <w:rsid w:val="007524AC"/>
    <w:rsid w:val="0078217F"/>
    <w:rsid w:val="007854E8"/>
    <w:rsid w:val="007952E0"/>
    <w:rsid w:val="007A540D"/>
    <w:rsid w:val="007A55D9"/>
    <w:rsid w:val="007A5C40"/>
    <w:rsid w:val="007C4223"/>
    <w:rsid w:val="007D3575"/>
    <w:rsid w:val="007D7275"/>
    <w:rsid w:val="007E1F43"/>
    <w:rsid w:val="007E2270"/>
    <w:rsid w:val="008053E5"/>
    <w:rsid w:val="00806AF4"/>
    <w:rsid w:val="008244BB"/>
    <w:rsid w:val="00826CCB"/>
    <w:rsid w:val="008549E4"/>
    <w:rsid w:val="00856D9C"/>
    <w:rsid w:val="008700A9"/>
    <w:rsid w:val="008A01D8"/>
    <w:rsid w:val="008A1704"/>
    <w:rsid w:val="008A2BAF"/>
    <w:rsid w:val="008A6A44"/>
    <w:rsid w:val="008B2B87"/>
    <w:rsid w:val="008C50C4"/>
    <w:rsid w:val="008E513B"/>
    <w:rsid w:val="008E5562"/>
    <w:rsid w:val="008E7441"/>
    <w:rsid w:val="008E7F3D"/>
    <w:rsid w:val="008F7F38"/>
    <w:rsid w:val="0091370A"/>
    <w:rsid w:val="00916483"/>
    <w:rsid w:val="00931715"/>
    <w:rsid w:val="009327FA"/>
    <w:rsid w:val="009411B3"/>
    <w:rsid w:val="0096206F"/>
    <w:rsid w:val="0097427D"/>
    <w:rsid w:val="009957A3"/>
    <w:rsid w:val="009A66F5"/>
    <w:rsid w:val="009B172D"/>
    <w:rsid w:val="009E3DED"/>
    <w:rsid w:val="009F5C01"/>
    <w:rsid w:val="00A02229"/>
    <w:rsid w:val="00A02B46"/>
    <w:rsid w:val="00A244BC"/>
    <w:rsid w:val="00A31270"/>
    <w:rsid w:val="00A546B1"/>
    <w:rsid w:val="00A56572"/>
    <w:rsid w:val="00A63711"/>
    <w:rsid w:val="00A6706B"/>
    <w:rsid w:val="00A7114E"/>
    <w:rsid w:val="00A75C77"/>
    <w:rsid w:val="00A807A3"/>
    <w:rsid w:val="00A91E10"/>
    <w:rsid w:val="00A92ACF"/>
    <w:rsid w:val="00AC6B12"/>
    <w:rsid w:val="00AD35CE"/>
    <w:rsid w:val="00AD4DB7"/>
    <w:rsid w:val="00AE1E8B"/>
    <w:rsid w:val="00AE4DB0"/>
    <w:rsid w:val="00AF034D"/>
    <w:rsid w:val="00AF7BAA"/>
    <w:rsid w:val="00B01A69"/>
    <w:rsid w:val="00B31684"/>
    <w:rsid w:val="00B42145"/>
    <w:rsid w:val="00B50B8B"/>
    <w:rsid w:val="00B65541"/>
    <w:rsid w:val="00B66AFF"/>
    <w:rsid w:val="00B80AE1"/>
    <w:rsid w:val="00B819FC"/>
    <w:rsid w:val="00B85415"/>
    <w:rsid w:val="00B85AA3"/>
    <w:rsid w:val="00BA4E3B"/>
    <w:rsid w:val="00BA7672"/>
    <w:rsid w:val="00BB7D21"/>
    <w:rsid w:val="00BC20A4"/>
    <w:rsid w:val="00BC4085"/>
    <w:rsid w:val="00BD214D"/>
    <w:rsid w:val="00BD393B"/>
    <w:rsid w:val="00BF4741"/>
    <w:rsid w:val="00C034BA"/>
    <w:rsid w:val="00C0594A"/>
    <w:rsid w:val="00C12573"/>
    <w:rsid w:val="00C128A9"/>
    <w:rsid w:val="00C163D0"/>
    <w:rsid w:val="00C16C76"/>
    <w:rsid w:val="00C30B98"/>
    <w:rsid w:val="00C361CB"/>
    <w:rsid w:val="00C56798"/>
    <w:rsid w:val="00C77C4E"/>
    <w:rsid w:val="00C77DFE"/>
    <w:rsid w:val="00C86D57"/>
    <w:rsid w:val="00C95F7F"/>
    <w:rsid w:val="00CC0BDC"/>
    <w:rsid w:val="00CC690A"/>
    <w:rsid w:val="00CD08A9"/>
    <w:rsid w:val="00CD30B2"/>
    <w:rsid w:val="00D12CE4"/>
    <w:rsid w:val="00D21D8F"/>
    <w:rsid w:val="00D26427"/>
    <w:rsid w:val="00D270A5"/>
    <w:rsid w:val="00D35E9C"/>
    <w:rsid w:val="00D47D41"/>
    <w:rsid w:val="00D70398"/>
    <w:rsid w:val="00D7142F"/>
    <w:rsid w:val="00D75DCA"/>
    <w:rsid w:val="00DA2A40"/>
    <w:rsid w:val="00DA3095"/>
    <w:rsid w:val="00DA34B7"/>
    <w:rsid w:val="00DB10F9"/>
    <w:rsid w:val="00DB2D69"/>
    <w:rsid w:val="00DC4D44"/>
    <w:rsid w:val="00DE56C4"/>
    <w:rsid w:val="00DE5842"/>
    <w:rsid w:val="00DF2430"/>
    <w:rsid w:val="00E10F28"/>
    <w:rsid w:val="00E16320"/>
    <w:rsid w:val="00E30A77"/>
    <w:rsid w:val="00E36E7F"/>
    <w:rsid w:val="00E63DDF"/>
    <w:rsid w:val="00E71110"/>
    <w:rsid w:val="00E72FC4"/>
    <w:rsid w:val="00E75546"/>
    <w:rsid w:val="00E7718F"/>
    <w:rsid w:val="00EB2B2B"/>
    <w:rsid w:val="00EB30AF"/>
    <w:rsid w:val="00EB551A"/>
    <w:rsid w:val="00EB7746"/>
    <w:rsid w:val="00EC52D8"/>
    <w:rsid w:val="00ED218A"/>
    <w:rsid w:val="00EF0B69"/>
    <w:rsid w:val="00EF131E"/>
    <w:rsid w:val="00EF4039"/>
    <w:rsid w:val="00F049E7"/>
    <w:rsid w:val="00F24AE3"/>
    <w:rsid w:val="00F3033E"/>
    <w:rsid w:val="00F3150D"/>
    <w:rsid w:val="00F41FC6"/>
    <w:rsid w:val="00F55197"/>
    <w:rsid w:val="00F5588A"/>
    <w:rsid w:val="00F72D4E"/>
    <w:rsid w:val="00F73D13"/>
    <w:rsid w:val="00F841AE"/>
    <w:rsid w:val="00F85704"/>
    <w:rsid w:val="00F922AE"/>
    <w:rsid w:val="00FA0584"/>
    <w:rsid w:val="00FA06D2"/>
    <w:rsid w:val="00FC6369"/>
    <w:rsid w:val="00FE5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8610"/>
  <w15:docId w15:val="{8CDF2BDB-81D6-4B98-9C91-A4340BB9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E10F28"/>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E10F28"/>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E10F28"/>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E10F28"/>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E10F28"/>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A540D"/>
    <w:pPr>
      <w:ind w:left="720"/>
      <w:contextualSpacing/>
      <w:jc w:val="both"/>
    </w:pPr>
    <w:rPr>
      <w:rFonts w:ascii="Calibri" w:eastAsia="Calibri" w:hAnsi="Calibri" w:cs="Times New Roman"/>
      <w:sz w:val="22"/>
    </w:rPr>
  </w:style>
  <w:style w:type="character" w:styleId="Hyperlink">
    <w:name w:val="Hyperlink"/>
    <w:rsid w:val="00F73D13"/>
    <w:rPr>
      <w:rFonts w:ascii="Garamond" w:hAnsi="Garamond"/>
      <w:noProof w:val="0"/>
      <w:color w:val="0000FF"/>
      <w:u w:val="single"/>
      <w:lang w:val="lv-LV"/>
    </w:rPr>
  </w:style>
  <w:style w:type="paragraph" w:styleId="Header">
    <w:name w:val="header"/>
    <w:basedOn w:val="Normal"/>
    <w:link w:val="HeaderChar"/>
    <w:uiPriority w:val="99"/>
    <w:unhideWhenUsed/>
    <w:rsid w:val="003B514C"/>
    <w:pPr>
      <w:tabs>
        <w:tab w:val="center" w:pos="4153"/>
        <w:tab w:val="right" w:pos="8306"/>
      </w:tabs>
    </w:pPr>
  </w:style>
  <w:style w:type="character" w:customStyle="1" w:styleId="HeaderChar">
    <w:name w:val="Header Char"/>
    <w:basedOn w:val="DefaultParagraphFont"/>
    <w:link w:val="Header"/>
    <w:uiPriority w:val="99"/>
    <w:rsid w:val="003B514C"/>
  </w:style>
  <w:style w:type="paragraph" w:styleId="Footer">
    <w:name w:val="footer"/>
    <w:basedOn w:val="Normal"/>
    <w:link w:val="FooterChar"/>
    <w:uiPriority w:val="99"/>
    <w:unhideWhenUsed/>
    <w:rsid w:val="003B514C"/>
    <w:pPr>
      <w:tabs>
        <w:tab w:val="center" w:pos="4153"/>
        <w:tab w:val="right" w:pos="8306"/>
      </w:tabs>
    </w:pPr>
  </w:style>
  <w:style w:type="character" w:customStyle="1" w:styleId="FooterChar">
    <w:name w:val="Footer Char"/>
    <w:basedOn w:val="DefaultParagraphFont"/>
    <w:link w:val="Footer"/>
    <w:uiPriority w:val="99"/>
    <w:rsid w:val="003B514C"/>
  </w:style>
  <w:style w:type="character" w:styleId="CommentReference">
    <w:name w:val="annotation reference"/>
    <w:basedOn w:val="DefaultParagraphFont"/>
    <w:uiPriority w:val="99"/>
    <w:semiHidden/>
    <w:unhideWhenUsed/>
    <w:rsid w:val="0074206D"/>
    <w:rPr>
      <w:sz w:val="16"/>
      <w:szCs w:val="16"/>
    </w:rPr>
  </w:style>
  <w:style w:type="paragraph" w:styleId="CommentText">
    <w:name w:val="annotation text"/>
    <w:basedOn w:val="Normal"/>
    <w:link w:val="CommentTextChar"/>
    <w:uiPriority w:val="99"/>
    <w:semiHidden/>
    <w:unhideWhenUsed/>
    <w:rsid w:val="0074206D"/>
    <w:rPr>
      <w:sz w:val="20"/>
      <w:szCs w:val="20"/>
    </w:rPr>
  </w:style>
  <w:style w:type="character" w:customStyle="1" w:styleId="CommentTextChar">
    <w:name w:val="Comment Text Char"/>
    <w:basedOn w:val="DefaultParagraphFont"/>
    <w:link w:val="CommentText"/>
    <w:uiPriority w:val="99"/>
    <w:semiHidden/>
    <w:rsid w:val="0074206D"/>
    <w:rPr>
      <w:sz w:val="20"/>
      <w:szCs w:val="20"/>
    </w:rPr>
  </w:style>
  <w:style w:type="paragraph" w:styleId="CommentSubject">
    <w:name w:val="annotation subject"/>
    <w:basedOn w:val="CommentText"/>
    <w:next w:val="CommentText"/>
    <w:link w:val="CommentSubjectChar"/>
    <w:uiPriority w:val="99"/>
    <w:semiHidden/>
    <w:unhideWhenUsed/>
    <w:rsid w:val="0074206D"/>
    <w:rPr>
      <w:b/>
      <w:bCs/>
    </w:rPr>
  </w:style>
  <w:style w:type="character" w:customStyle="1" w:styleId="CommentSubjectChar">
    <w:name w:val="Comment Subject Char"/>
    <w:basedOn w:val="CommentTextChar"/>
    <w:link w:val="CommentSubject"/>
    <w:uiPriority w:val="99"/>
    <w:semiHidden/>
    <w:rsid w:val="0074206D"/>
    <w:rPr>
      <w:b/>
      <w:bCs/>
      <w:sz w:val="20"/>
      <w:szCs w:val="20"/>
    </w:rPr>
  </w:style>
  <w:style w:type="paragraph" w:styleId="BalloonText">
    <w:name w:val="Balloon Text"/>
    <w:basedOn w:val="Normal"/>
    <w:link w:val="BalloonTextChar"/>
    <w:uiPriority w:val="99"/>
    <w:semiHidden/>
    <w:unhideWhenUsed/>
    <w:rsid w:val="0074206D"/>
    <w:rPr>
      <w:rFonts w:ascii="Tahoma" w:hAnsi="Tahoma" w:cs="Tahoma"/>
      <w:sz w:val="16"/>
      <w:szCs w:val="16"/>
    </w:rPr>
  </w:style>
  <w:style w:type="character" w:customStyle="1" w:styleId="BalloonTextChar">
    <w:name w:val="Balloon Text Char"/>
    <w:basedOn w:val="DefaultParagraphFont"/>
    <w:link w:val="BalloonText"/>
    <w:uiPriority w:val="99"/>
    <w:semiHidden/>
    <w:rsid w:val="0074206D"/>
    <w:rPr>
      <w:rFonts w:ascii="Tahoma" w:hAnsi="Tahoma" w:cs="Tahoma"/>
      <w:sz w:val="16"/>
      <w:szCs w:val="16"/>
    </w:rPr>
  </w:style>
  <w:style w:type="paragraph" w:customStyle="1" w:styleId="Default">
    <w:name w:val="Default"/>
    <w:uiPriority w:val="99"/>
    <w:rsid w:val="001C67F7"/>
    <w:pPr>
      <w:autoSpaceDE w:val="0"/>
      <w:autoSpaceDN w:val="0"/>
      <w:adjustRightInd w:val="0"/>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1945">
      <w:bodyDiv w:val="1"/>
      <w:marLeft w:val="0"/>
      <w:marRight w:val="0"/>
      <w:marTop w:val="0"/>
      <w:marBottom w:val="0"/>
      <w:divBdr>
        <w:top w:val="none" w:sz="0" w:space="0" w:color="auto"/>
        <w:left w:val="none" w:sz="0" w:space="0" w:color="auto"/>
        <w:bottom w:val="none" w:sz="0" w:space="0" w:color="auto"/>
        <w:right w:val="none" w:sz="0" w:space="0" w:color="auto"/>
      </w:divBdr>
    </w:div>
    <w:div w:id="545877645">
      <w:bodyDiv w:val="1"/>
      <w:marLeft w:val="0"/>
      <w:marRight w:val="0"/>
      <w:marTop w:val="0"/>
      <w:marBottom w:val="0"/>
      <w:divBdr>
        <w:top w:val="none" w:sz="0" w:space="0" w:color="auto"/>
        <w:left w:val="none" w:sz="0" w:space="0" w:color="auto"/>
        <w:bottom w:val="none" w:sz="0" w:space="0" w:color="auto"/>
        <w:right w:val="none" w:sz="0" w:space="0" w:color="auto"/>
      </w:divBdr>
      <w:divsChild>
        <w:div w:id="411975522">
          <w:marLeft w:val="0"/>
          <w:marRight w:val="0"/>
          <w:marTop w:val="0"/>
          <w:marBottom w:val="0"/>
          <w:divBdr>
            <w:top w:val="none" w:sz="0" w:space="0" w:color="auto"/>
            <w:left w:val="none" w:sz="0" w:space="0" w:color="auto"/>
            <w:bottom w:val="none" w:sz="0" w:space="0" w:color="auto"/>
            <w:right w:val="none" w:sz="0" w:space="0" w:color="auto"/>
          </w:divBdr>
          <w:divsChild>
            <w:div w:id="293220556">
              <w:marLeft w:val="0"/>
              <w:marRight w:val="0"/>
              <w:marTop w:val="0"/>
              <w:marBottom w:val="0"/>
              <w:divBdr>
                <w:top w:val="none" w:sz="0" w:space="0" w:color="auto"/>
                <w:left w:val="none" w:sz="0" w:space="0" w:color="auto"/>
                <w:bottom w:val="none" w:sz="0" w:space="0" w:color="auto"/>
                <w:right w:val="none" w:sz="0" w:space="0" w:color="auto"/>
              </w:divBdr>
              <w:divsChild>
                <w:div w:id="2058428609">
                  <w:marLeft w:val="0"/>
                  <w:marRight w:val="0"/>
                  <w:marTop w:val="0"/>
                  <w:marBottom w:val="0"/>
                  <w:divBdr>
                    <w:top w:val="none" w:sz="0" w:space="0" w:color="auto"/>
                    <w:left w:val="none" w:sz="0" w:space="0" w:color="auto"/>
                    <w:bottom w:val="none" w:sz="0" w:space="0" w:color="auto"/>
                    <w:right w:val="none" w:sz="0" w:space="0" w:color="auto"/>
                  </w:divBdr>
                  <w:divsChild>
                    <w:div w:id="1033073255">
                      <w:marLeft w:val="0"/>
                      <w:marRight w:val="0"/>
                      <w:marTop w:val="0"/>
                      <w:marBottom w:val="0"/>
                      <w:divBdr>
                        <w:top w:val="none" w:sz="0" w:space="0" w:color="auto"/>
                        <w:left w:val="none" w:sz="0" w:space="0" w:color="auto"/>
                        <w:bottom w:val="none" w:sz="0" w:space="0" w:color="auto"/>
                        <w:right w:val="none" w:sz="0" w:space="0" w:color="auto"/>
                      </w:divBdr>
                      <w:divsChild>
                        <w:div w:id="1289431714">
                          <w:marLeft w:val="0"/>
                          <w:marRight w:val="0"/>
                          <w:marTop w:val="0"/>
                          <w:marBottom w:val="0"/>
                          <w:divBdr>
                            <w:top w:val="none" w:sz="0" w:space="0" w:color="auto"/>
                            <w:left w:val="none" w:sz="0" w:space="0" w:color="auto"/>
                            <w:bottom w:val="none" w:sz="0" w:space="0" w:color="auto"/>
                            <w:right w:val="none" w:sz="0" w:space="0" w:color="auto"/>
                          </w:divBdr>
                          <w:divsChild>
                            <w:div w:id="808804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rda.Rubina@fm.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N.Sakss</Vad_x012b_t_x0101_js>
    <Kategorija xmlns="2e5bb04e-596e-45bd-9003-43ca78b1ba16">Anotācija</Kategorija>
    <DKP xmlns="2e5bb04e-596e-45bd-9003-43ca78b1ba16">9</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0DF4A-8CC6-43CA-9147-E36F45442649}">
  <ds:schemaRefs>
    <ds:schemaRef ds:uri="http://schemas.microsoft.com/sharepoint/v3/contenttype/forms"/>
  </ds:schemaRefs>
</ds:datastoreItem>
</file>

<file path=customXml/itemProps2.xml><?xml version="1.0" encoding="utf-8"?>
<ds:datastoreItem xmlns:ds="http://schemas.openxmlformats.org/officeDocument/2006/customXml" ds:itemID="{186400F0-BB05-4142-818B-B8BE3A4B0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B2266F-FFCA-468A-BD66-C1B18B813633}">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3971207F-6FBB-4B75-8721-7121879E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12977</Words>
  <Characters>7398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Anotācija</vt:lpstr>
    </vt:vector>
  </TitlesOfParts>
  <Company>Finanšu ministrija</Company>
  <LinksUpToDate>false</LinksUpToDate>
  <CharactersWithSpaces>20335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projekta „Noteikumi par fiskālo risku vispārējo vadību un par fiskālās nodrošinājuma rezerves apjoma noteikšanas metodoloģiju” sākotnējās ietekmes novērtējuma ziņojums (anotācija)</dc:subject>
  <dc:creator>G.Rubīna</dc:creator>
  <cp:keywords/>
  <dc:description>gerda.rubina@fm.gov.lv
67083911</dc:description>
  <cp:lastModifiedBy>Gerda Rubīna</cp:lastModifiedBy>
  <cp:revision>15</cp:revision>
  <cp:lastPrinted>2013-11-12T12:42:00Z</cp:lastPrinted>
  <dcterms:created xsi:type="dcterms:W3CDTF">2014-04-01T07:57:00Z</dcterms:created>
  <dcterms:modified xsi:type="dcterms:W3CDTF">2014-04-10T12:55:00Z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