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5"/>
      </w:tblGrid>
      <w:tr w:rsidR="009F6EC1" w:rsidRPr="009F6EC1" w:rsidTr="006C72FC">
        <w:tc>
          <w:tcPr>
            <w:tcW w:w="9215" w:type="dxa"/>
            <w:shd w:val="clear" w:color="auto" w:fill="FFFFFF"/>
            <w:hideMark/>
          </w:tcPr>
          <w:p w:rsidR="006C72FC" w:rsidRPr="009F6EC1" w:rsidRDefault="00B75596" w:rsidP="00A043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9F6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Likumprojekta</w:t>
            </w:r>
            <w:r w:rsidRPr="009F6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="002E2658" w:rsidRPr="009F6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Grozījum</w:t>
            </w:r>
            <w:r w:rsidR="00CD6FC6" w:rsidRPr="009F6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</w:t>
            </w:r>
            <w:r w:rsidR="002E2658" w:rsidRPr="009F6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Finanšu un kapitāla tirgus komisijas likumā</w:t>
            </w:r>
            <w:r w:rsidRPr="009F6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 sākotnējās ietekmes novērtējuma ziņojums</w:t>
            </w:r>
            <w:r w:rsidRPr="009F6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(anotācija)</w:t>
            </w:r>
          </w:p>
          <w:bookmarkEnd w:id="0"/>
          <w:p w:rsidR="00844CF2" w:rsidRPr="009F6EC1" w:rsidRDefault="00844CF2" w:rsidP="00A043CF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2852"/>
              <w:gridCol w:w="5887"/>
            </w:tblGrid>
            <w:tr w:rsidR="009F6EC1" w:rsidRPr="009F6EC1" w:rsidTr="006C72FC">
              <w:trPr>
                <w:trHeight w:val="405"/>
              </w:trPr>
              <w:tc>
                <w:tcPr>
                  <w:tcW w:w="0" w:type="auto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6C72FC" w:rsidRPr="009F6EC1" w:rsidRDefault="006C72FC" w:rsidP="00A043CF">
                  <w:pPr>
                    <w:keepNext/>
                    <w:keepLines/>
                    <w:widowControl w:val="0"/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lv-LV"/>
                    </w:rPr>
                    <w:t>I. Tiesību akta projekta izstrādes nepieciešamība</w:t>
                  </w:r>
                </w:p>
              </w:tc>
            </w:tr>
            <w:tr w:rsidR="009F6EC1" w:rsidRPr="009F6EC1" w:rsidTr="006C72FC">
              <w:trPr>
                <w:trHeight w:val="40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6C72FC" w:rsidP="00A043CF">
                  <w:pPr>
                    <w:keepNext/>
                    <w:keepLines/>
                    <w:widowControl w:val="0"/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1.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6C72FC" w:rsidP="00A043CF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Pamatojums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7F4B04" w:rsidP="00CD6FC6">
                  <w:pPr>
                    <w:pStyle w:val="default"/>
                    <w:keepNext/>
                    <w:keepLines/>
                    <w:widowControl w:val="0"/>
                    <w:shd w:val="clear" w:color="auto" w:fill="FFFFFF"/>
                    <w:spacing w:before="0" w:beforeAutospacing="0" w:after="0" w:afterAutospacing="0"/>
                    <w:ind w:right="15"/>
                    <w:jc w:val="both"/>
                    <w:rPr>
                      <w:sz w:val="28"/>
                      <w:szCs w:val="28"/>
                    </w:rPr>
                  </w:pPr>
                  <w:r w:rsidRPr="009F6EC1">
                    <w:rPr>
                      <w:sz w:val="28"/>
                      <w:szCs w:val="28"/>
                    </w:rPr>
                    <w:t>Likumprojekts "</w:t>
                  </w:r>
                  <w:r w:rsidR="00C44520" w:rsidRPr="009F6EC1">
                    <w:rPr>
                      <w:sz w:val="28"/>
                      <w:szCs w:val="28"/>
                    </w:rPr>
                    <w:t>Grozījum</w:t>
                  </w:r>
                  <w:r w:rsidR="00CD6FC6" w:rsidRPr="009F6EC1">
                    <w:rPr>
                      <w:sz w:val="28"/>
                      <w:szCs w:val="28"/>
                    </w:rPr>
                    <w:t>s</w:t>
                  </w:r>
                  <w:r w:rsidR="00C44520" w:rsidRPr="009F6EC1">
                    <w:rPr>
                      <w:sz w:val="28"/>
                      <w:szCs w:val="28"/>
                    </w:rPr>
                    <w:t xml:space="preserve"> </w:t>
                  </w:r>
                  <w:r w:rsidR="00C44520" w:rsidRPr="009F6EC1">
                    <w:rPr>
                      <w:sz w:val="28"/>
                      <w:szCs w:val="28"/>
                      <w:shd w:val="clear" w:color="auto" w:fill="FFFFFF"/>
                    </w:rPr>
                    <w:t>Finanšu un kapitāla tirgus komisijas likumā</w:t>
                  </w:r>
                  <w:r w:rsidRPr="009F6EC1">
                    <w:rPr>
                      <w:sz w:val="28"/>
                      <w:szCs w:val="28"/>
                    </w:rPr>
                    <w:t xml:space="preserve">" (turpmāk - Likumprojekts) izstrādāts, lai </w:t>
                  </w:r>
                  <w:r w:rsidR="00B71F23" w:rsidRPr="009F6EC1">
                    <w:rPr>
                      <w:sz w:val="28"/>
                      <w:szCs w:val="28"/>
                      <w:shd w:val="clear" w:color="auto" w:fill="FFFFFF"/>
                    </w:rPr>
                    <w:t>attiecīgajā likumā iekļautu</w:t>
                  </w:r>
                  <w:r w:rsidR="00C44520" w:rsidRPr="009F6EC1">
                    <w:rPr>
                      <w:sz w:val="28"/>
                      <w:szCs w:val="28"/>
                      <w:shd w:val="clear" w:color="auto" w:fill="FFFFFF"/>
                    </w:rPr>
                    <w:t xml:space="preserve"> norādi uz </w:t>
                  </w:r>
                  <w:r w:rsidR="00C44520" w:rsidRPr="009F6EC1">
                    <w:rPr>
                      <w:sz w:val="28"/>
                      <w:szCs w:val="28"/>
                    </w:rPr>
                    <w:t>Finanšu un kapitāla tirgus komisijas</w:t>
                  </w:r>
                  <w:r w:rsidR="00B71F23" w:rsidRPr="009F6EC1">
                    <w:rPr>
                      <w:sz w:val="28"/>
                      <w:szCs w:val="28"/>
                    </w:rPr>
                    <w:t xml:space="preserve"> (turpmāk arī – Komisija)</w:t>
                  </w:r>
                  <w:r w:rsidR="00C44520" w:rsidRPr="009F6EC1">
                    <w:rPr>
                      <w:sz w:val="28"/>
                      <w:szCs w:val="28"/>
                    </w:rPr>
                    <w:t xml:space="preserve"> funkcijām, kas </w:t>
                  </w:r>
                  <w:r w:rsidR="00EA30B4" w:rsidRPr="009F6EC1">
                    <w:rPr>
                      <w:sz w:val="28"/>
                      <w:szCs w:val="28"/>
                    </w:rPr>
                    <w:t>izriet no</w:t>
                  </w:r>
                  <w:r w:rsidR="00C44520" w:rsidRPr="009F6EC1">
                    <w:rPr>
                      <w:sz w:val="28"/>
                      <w:szCs w:val="28"/>
                    </w:rPr>
                    <w:t xml:space="preserve"> </w:t>
                  </w:r>
                  <w:r w:rsidR="00CD6FC6" w:rsidRPr="009F6EC1">
                    <w:rPr>
                      <w:sz w:val="28"/>
                      <w:szCs w:val="28"/>
                    </w:rPr>
                    <w:t xml:space="preserve">Finanšu ministrijas izstrādātā </w:t>
                  </w:r>
                  <w:r w:rsidR="00EA30B4" w:rsidRPr="009F6EC1">
                    <w:rPr>
                      <w:sz w:val="28"/>
                      <w:szCs w:val="28"/>
                    </w:rPr>
                    <w:t>likumprojekta</w:t>
                  </w:r>
                  <w:r w:rsidR="00C44520" w:rsidRPr="009F6EC1">
                    <w:rPr>
                      <w:sz w:val="28"/>
                      <w:szCs w:val="28"/>
                    </w:rPr>
                    <w:t xml:space="preserve"> "Kredītiestāžu un ieguldījumu brokeru sabiedrību darbības atjaunošanas un noregulējuma likums", kas izstrādāts</w:t>
                  </w:r>
                  <w:r w:rsidR="00B71F23" w:rsidRPr="009F6EC1">
                    <w:rPr>
                      <w:sz w:val="28"/>
                      <w:szCs w:val="28"/>
                    </w:rPr>
                    <w:t>,</w:t>
                  </w:r>
                  <w:r w:rsidR="00C44520" w:rsidRPr="009F6EC1">
                    <w:rPr>
                      <w:sz w:val="28"/>
                      <w:szCs w:val="28"/>
                    </w:rPr>
                    <w:t xml:space="preserve"> ņemot vērā </w:t>
                  </w:r>
                  <w:r w:rsidRPr="009F6EC1">
                    <w:rPr>
                      <w:sz w:val="28"/>
                      <w:szCs w:val="28"/>
                    </w:rPr>
                    <w:t>Eiro</w:t>
                  </w:r>
                  <w:r w:rsidR="00CD6FC6" w:rsidRPr="009F6EC1">
                    <w:rPr>
                      <w:sz w:val="28"/>
                      <w:szCs w:val="28"/>
                    </w:rPr>
                    <w:t>pas Parlamenta un Padomes 2014.gada 15.</w:t>
                  </w:r>
                  <w:r w:rsidRPr="009F6EC1">
                    <w:rPr>
                      <w:sz w:val="28"/>
                      <w:szCs w:val="28"/>
                    </w:rPr>
                    <w:t>maija direktīv</w:t>
                  </w:r>
                  <w:r w:rsidR="00C44520" w:rsidRPr="009F6EC1">
                    <w:rPr>
                      <w:sz w:val="28"/>
                      <w:szCs w:val="28"/>
                    </w:rPr>
                    <w:t>u</w:t>
                  </w:r>
                  <w:r w:rsidRPr="009F6EC1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hyperlink r:id="rId7" w:tgtFrame="_blank" w:history="1">
                    <w:r w:rsidRPr="009F6EC1">
                      <w:rPr>
                        <w:rStyle w:val="Hyperlink"/>
                        <w:color w:val="auto"/>
                        <w:sz w:val="28"/>
                        <w:szCs w:val="28"/>
                      </w:rPr>
                      <w:t>2014/59/ES</w:t>
                    </w:r>
                  </w:hyperlink>
                  <w:r w:rsidRPr="009F6EC1">
                    <w:rPr>
                      <w:rStyle w:val="apple-converted-space"/>
                      <w:sz w:val="28"/>
                      <w:szCs w:val="28"/>
                    </w:rPr>
                    <w:t xml:space="preserve">, </w:t>
                  </w:r>
                  <w:r w:rsidRPr="009F6EC1">
                    <w:rPr>
                      <w:bCs/>
                      <w:sz w:val="28"/>
                      <w:szCs w:val="28"/>
                    </w:rPr>
                    <w:t>ar ko izveido kredītiestāžu un ieguldījumu brokeru sabiedrību atveseļošanas un noregulējuma režīmu un groza Padomes Direktīvu 82/891/EEK un Eiropas Parlamenta un Padomes Direktīvas 2001/24/EK, 2002/47/EK, 2004/25/EK, 2005/56/EK, 2007/36/EK, 2011/35/ES, 2012/30/ES un 2013/36/ES, un Eiropas Parlamenta un Padomes Regulas (ES) Nr. 1093/2010 un (ES) Nr. 648/2012</w:t>
                  </w:r>
                  <w:r w:rsidRPr="009F6EC1">
                    <w:rPr>
                      <w:sz w:val="28"/>
                      <w:szCs w:val="28"/>
                    </w:rPr>
                    <w:t xml:space="preserve"> (</w:t>
                  </w:r>
                  <w:r w:rsidR="00677948" w:rsidRPr="009F6EC1">
                    <w:rPr>
                      <w:sz w:val="28"/>
                      <w:szCs w:val="28"/>
                    </w:rPr>
                    <w:t xml:space="preserve">turpmāk arī </w:t>
                  </w:r>
                  <w:r w:rsidRPr="009F6EC1">
                    <w:rPr>
                      <w:sz w:val="28"/>
                      <w:szCs w:val="28"/>
                    </w:rPr>
                    <w:t>– Direktīva 2014/59/ES)</w:t>
                  </w:r>
                  <w:r w:rsidR="00C44520" w:rsidRPr="009F6EC1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9F6EC1" w:rsidRPr="009F6EC1" w:rsidTr="006C72FC">
              <w:trPr>
                <w:trHeight w:val="46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6C72FC" w:rsidP="00A043CF">
                  <w:pPr>
                    <w:keepNext/>
                    <w:keepLines/>
                    <w:widowControl w:val="0"/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2.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6C72FC" w:rsidP="00A043CF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Pašreizējā situācija un problēmas, kuru risināšanai tiesību akta projekts izstrādāts, tiesiskā regulējuma mērķis un būtība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863753" w:rsidP="00CD6FC6">
                  <w:pPr>
                    <w:keepNext/>
                    <w:keepLines/>
                    <w:widowControl w:val="0"/>
                    <w:shd w:val="clear" w:color="auto" w:fill="FFFFFF"/>
                    <w:spacing w:after="0" w:line="240" w:lineRule="auto"/>
                    <w:ind w:right="13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Ņemot vērā izstrādāto likumprojektu "Kredītiestāžu un ieguldījumu brokeru sabiedrību darbības atjaunošanas un noregulējuma likums", </w:t>
                  </w:r>
                  <w:r w:rsidRPr="009F6EC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kas nodrošinās </w:t>
                  </w:r>
                  <w:r w:rsidR="00B71F23"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D</w:t>
                  </w:r>
                  <w:r w:rsidR="003D77D5"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irektīvas 2014/59/ES</w:t>
                  </w:r>
                  <w:r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prasību ieviešanu nacionālajā normatīvajā regulējumā,</w:t>
                  </w:r>
                  <w:r w:rsidR="00223629"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ir </w:t>
                  </w:r>
                  <w:r w:rsidR="00B71F23"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jāveic papildinājumi </w:t>
                  </w:r>
                  <w:r w:rsidR="00B71F23" w:rsidRPr="009F6EC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Finanšu un kapitāla tirgus komisijas likumā</w:t>
                  </w:r>
                  <w:r w:rsidR="00622874"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attiecībā uz</w:t>
                  </w:r>
                  <w:r w:rsidR="00BD5BCE"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71F23"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Komisijas funkcijām, norādot, ka Komisijas funkcijās ietilpst arī </w:t>
                  </w:r>
                  <w:r w:rsidR="00B71F23" w:rsidRPr="009F6EC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Kredītiestāžu un ieguldījumu brokeru sabiedrību darbības atjaunošanas un noregulējuma likumā</w:t>
                  </w:r>
                  <w:r w:rsidR="00B71F23"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noteikto darbību veikšana</w:t>
                  </w:r>
                  <w:r w:rsidR="00223629"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B71F23"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22874"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F6EC1" w:rsidRPr="009F6EC1" w:rsidTr="006C72FC">
              <w:trPr>
                <w:trHeight w:val="46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6C72FC" w:rsidP="00A043CF">
                  <w:pPr>
                    <w:keepNext/>
                    <w:keepLines/>
                    <w:widowControl w:val="0"/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3.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6C72FC" w:rsidP="00A043CF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Projekta izstrādē iesaistītās institūcijas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B75596" w:rsidP="00CD6FC6">
                  <w:pPr>
                    <w:keepNext/>
                    <w:keepLines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Finanšu un kapitāla tirgus komisija, Finanšu ministrija</w:t>
                  </w:r>
                  <w:r w:rsidR="00CD6FC6" w:rsidRPr="009F6EC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</w:tr>
            <w:tr w:rsidR="009F6EC1" w:rsidRPr="009F6EC1" w:rsidTr="006C72FC"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6C72FC" w:rsidP="00A043CF">
                  <w:pPr>
                    <w:keepNext/>
                    <w:keepLines/>
                    <w:widowControl w:val="0"/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4.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6C72FC" w:rsidP="00A043CF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3B3DA2" w:rsidP="00CD6FC6">
                  <w:pPr>
                    <w:keepNext/>
                    <w:keepLines/>
                    <w:widowControl w:val="0"/>
                    <w:spacing w:before="100" w:beforeAutospacing="1" w:after="100" w:afterAutospacing="1" w:line="265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Grozījumi Finanšu un kapitāla tirgus komisijas likumā stāsies spēkā vienlaikus ar </w:t>
                  </w:r>
                  <w:r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Kredītiestāžu un ieguldījumu brokeru sabiedrību darbības atjaunošanas un noregulējuma likumu</w:t>
                  </w:r>
                  <w:r w:rsidRPr="009F6EC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 xml:space="preserve"> </w:t>
                  </w:r>
                </w:p>
              </w:tc>
            </w:tr>
          </w:tbl>
          <w:tbl>
            <w:tblPr>
              <w:tblpPr w:leftFromText="180" w:rightFromText="180" w:vertAnchor="text" w:tblpY="106"/>
              <w:tblOverlap w:val="never"/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99"/>
            </w:tblGrid>
            <w:tr w:rsidR="009F6EC1" w:rsidRPr="009F6EC1" w:rsidTr="00D05D1B">
              <w:trPr>
                <w:trHeight w:val="555"/>
              </w:trPr>
              <w:tc>
                <w:tcPr>
                  <w:tcW w:w="0" w:type="auto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D05D1B" w:rsidRPr="009F6EC1" w:rsidRDefault="00D05D1B" w:rsidP="002470A1">
                  <w:pPr>
                    <w:keepNext/>
                    <w:keepLines/>
                    <w:widowControl w:val="0"/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lv-LV"/>
                    </w:rPr>
                    <w:lastRenderedPageBreak/>
                    <w:t>II. Tiesību akta projekta ietekme uz sabiedrību, tautsaimniecības attīstību un administratīvo slogu</w:t>
                  </w:r>
                </w:p>
              </w:tc>
            </w:tr>
            <w:tr w:rsidR="009F6EC1" w:rsidRPr="009F6EC1" w:rsidTr="00D05D1B">
              <w:trPr>
                <w:trHeight w:val="555"/>
              </w:trPr>
              <w:tc>
                <w:tcPr>
                  <w:tcW w:w="0" w:type="auto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D05D1B" w:rsidRPr="009F6EC1" w:rsidRDefault="00D05D1B" w:rsidP="002470A1">
                  <w:pPr>
                    <w:keepNext/>
                    <w:keepLines/>
                    <w:widowControl w:val="0"/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lv-LV"/>
                    </w:rPr>
                    <w:t>Projekts šo jomu neskar</w:t>
                  </w:r>
                </w:p>
              </w:tc>
            </w:tr>
          </w:tbl>
          <w:p w:rsidR="00D05D1B" w:rsidRPr="009F6EC1" w:rsidRDefault="00D05D1B" w:rsidP="002E78CE">
            <w:pPr>
              <w:keepNext/>
              <w:keepLines/>
              <w:widowControl w:val="0"/>
              <w:spacing w:before="100" w:beforeAutospacing="1" w:after="100" w:afterAutospacing="1" w:line="360" w:lineRule="auto"/>
              <w:ind w:firstLine="27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tbl>
            <w:tblPr>
              <w:tblpPr w:leftFromText="180" w:rightFromText="180" w:vertAnchor="text" w:horzAnchor="margin" w:tblpY="-208"/>
              <w:tblOverlap w:val="never"/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99"/>
            </w:tblGrid>
            <w:tr w:rsidR="009F6EC1" w:rsidRPr="009F6EC1" w:rsidTr="00CD6FC6">
              <w:trPr>
                <w:trHeight w:val="360"/>
              </w:trPr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D05D1B" w:rsidRPr="009F6EC1" w:rsidRDefault="00D05D1B" w:rsidP="008428C7">
                  <w:pPr>
                    <w:keepNext/>
                    <w:keepLines/>
                    <w:widowControl w:val="0"/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lv-LV"/>
                    </w:rPr>
                    <w:t>III. Tiesību akta projekta ietekme uz valsts budžetu un pašvaldību budžetiem</w:t>
                  </w:r>
                </w:p>
              </w:tc>
            </w:tr>
            <w:tr w:rsidR="009F6EC1" w:rsidRPr="009F6EC1" w:rsidTr="00CD6FC6">
              <w:trPr>
                <w:trHeight w:val="360"/>
              </w:trPr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D05D1B" w:rsidRPr="009F6EC1" w:rsidRDefault="00D05D1B" w:rsidP="008428C7">
                  <w:pPr>
                    <w:keepNext/>
                    <w:keepLines/>
                    <w:widowControl w:val="0"/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lv-LV"/>
                    </w:rPr>
                    <w:t>Projekts šo jomu neskar</w:t>
                  </w:r>
                </w:p>
              </w:tc>
            </w:tr>
            <w:tr w:rsidR="009F6EC1" w:rsidRPr="009F6EC1" w:rsidTr="00CD6FC6">
              <w:trPr>
                <w:trHeight w:val="360"/>
              </w:trPr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</w:tcPr>
                <w:p w:rsidR="00CD6FC6" w:rsidRPr="009F6EC1" w:rsidRDefault="00CD6FC6" w:rsidP="008428C7">
                  <w:pPr>
                    <w:keepNext/>
                    <w:keepLines/>
                    <w:widowControl w:val="0"/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lv-LV"/>
                    </w:rPr>
                  </w:pPr>
                </w:p>
              </w:tc>
            </w:tr>
          </w:tbl>
          <w:p w:rsidR="009270C8" w:rsidRPr="009F6EC1" w:rsidRDefault="009270C8" w:rsidP="009270C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F6EC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2665"/>
              <w:gridCol w:w="6041"/>
            </w:tblGrid>
            <w:tr w:rsidR="009F6EC1" w:rsidRPr="009F6EC1" w:rsidTr="009270C8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70C8" w:rsidRPr="009F6EC1" w:rsidRDefault="009270C8" w:rsidP="009270C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lv-LV"/>
                    </w:rPr>
                    <w:t>IV. Tiesību akta projekta ietekme uz spēkā esošo tiesību normu sistēmu</w:t>
                  </w:r>
                </w:p>
              </w:tc>
            </w:tr>
            <w:tr w:rsidR="009F6EC1" w:rsidRPr="009F6EC1" w:rsidTr="009270C8">
              <w:trPr>
                <w:tblCellSpacing w:w="15" w:type="dxa"/>
                <w:jc w:val="center"/>
              </w:trPr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C8" w:rsidRPr="009F6EC1" w:rsidRDefault="009270C8" w:rsidP="00927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1.</w:t>
                  </w:r>
                </w:p>
              </w:tc>
              <w:tc>
                <w:tcPr>
                  <w:tcW w:w="1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C8" w:rsidRPr="009F6EC1" w:rsidRDefault="009270C8" w:rsidP="009270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Nepieciešamie saistītie tiesību aktu projekti</w:t>
                  </w:r>
                </w:p>
              </w:tc>
              <w:tc>
                <w:tcPr>
                  <w:tcW w:w="3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C8" w:rsidRPr="009F6EC1" w:rsidRDefault="009270C8" w:rsidP="009270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Izstrādātais likumprojekts tiek vir</w:t>
                  </w:r>
                  <w:r w:rsidR="00DE1CB8"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zīts pieņemšanai vienlaicīgi ar </w:t>
                  </w:r>
                  <w:r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likumprojektu “Grozījumi Kredītiestāžu likumā”, likumprojektu “Grozījumi Finanšu instrumentu tirgus likumā”</w:t>
                  </w:r>
                  <w:r w:rsid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likumprojektu “Noguldījumu garantiju likums”</w:t>
                  </w:r>
                  <w:r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un likumprojektu “Kredītiestāžu un ieguldījumu brokeru sabiedrību darbības atjaunošanas un noregulējuma likums”.</w:t>
                  </w:r>
                </w:p>
              </w:tc>
            </w:tr>
            <w:tr w:rsidR="009F6EC1" w:rsidRPr="009F6EC1" w:rsidTr="009270C8">
              <w:trPr>
                <w:tblCellSpacing w:w="15" w:type="dxa"/>
                <w:jc w:val="center"/>
              </w:trPr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C8" w:rsidRPr="009F6EC1" w:rsidRDefault="009270C8" w:rsidP="00927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2.</w:t>
                  </w:r>
                </w:p>
              </w:tc>
              <w:tc>
                <w:tcPr>
                  <w:tcW w:w="1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C8" w:rsidRPr="009F6EC1" w:rsidRDefault="009270C8" w:rsidP="009270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Atbildīgā institūcija</w:t>
                  </w:r>
                </w:p>
              </w:tc>
              <w:tc>
                <w:tcPr>
                  <w:tcW w:w="3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C8" w:rsidRPr="009F6EC1" w:rsidRDefault="009270C8" w:rsidP="009270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Finanšu ministrija.</w:t>
                  </w:r>
                </w:p>
              </w:tc>
            </w:tr>
            <w:tr w:rsidR="009F6EC1" w:rsidRPr="009F6EC1" w:rsidTr="009270C8">
              <w:trPr>
                <w:tblCellSpacing w:w="15" w:type="dxa"/>
                <w:jc w:val="center"/>
              </w:trPr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C8" w:rsidRPr="009F6EC1" w:rsidRDefault="009270C8" w:rsidP="00927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3.</w:t>
                  </w:r>
                </w:p>
              </w:tc>
              <w:tc>
                <w:tcPr>
                  <w:tcW w:w="1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C8" w:rsidRPr="009F6EC1" w:rsidRDefault="009270C8" w:rsidP="009270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C8" w:rsidRPr="009F6EC1" w:rsidRDefault="009270C8" w:rsidP="009270C8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Nav.</w:t>
                  </w:r>
                </w:p>
              </w:tc>
            </w:tr>
          </w:tbl>
          <w:p w:rsidR="00495FE4" w:rsidRPr="009F6EC1" w:rsidRDefault="00495FE4" w:rsidP="00844CF2">
            <w:pPr>
              <w:keepNext/>
              <w:keepLines/>
              <w:widowControl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2668"/>
              <w:gridCol w:w="6071"/>
            </w:tblGrid>
            <w:tr w:rsidR="009F6EC1" w:rsidRPr="009F6EC1" w:rsidTr="00D05D1B">
              <w:tc>
                <w:tcPr>
                  <w:tcW w:w="500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6C72FC" w:rsidRPr="009F6EC1" w:rsidRDefault="006C72FC" w:rsidP="00A043CF">
                  <w:pPr>
                    <w:keepNext/>
                    <w:keepLines/>
                    <w:widowControl w:val="0"/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lv-LV"/>
                    </w:rPr>
                    <w:t>V. Tiesību akta projekta atbilstība Latvijas Republikas starptautiskajām saistībām</w:t>
                  </w:r>
                </w:p>
              </w:tc>
            </w:tr>
            <w:tr w:rsidR="009F6EC1" w:rsidRPr="009F6EC1" w:rsidTr="00D05D1B"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6C72FC" w:rsidP="00A043CF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1.</w:t>
                  </w:r>
                </w:p>
              </w:tc>
              <w:tc>
                <w:tcPr>
                  <w:tcW w:w="1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6C72FC" w:rsidP="00A043CF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Saistības pret Eiropas Savienību</w:t>
                  </w:r>
                </w:p>
              </w:tc>
              <w:tc>
                <w:tcPr>
                  <w:tcW w:w="3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CD6FC6" w:rsidRPr="009F6EC1" w:rsidRDefault="00352E6B" w:rsidP="00CD6FC6">
                  <w:pPr>
                    <w:keepNext/>
                    <w:keepLines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Eiro</w:t>
                  </w:r>
                  <w:r w:rsidR="00CD6FC6"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pas Parlamenta un Padomes 2014.gada 15.</w:t>
                  </w:r>
                  <w:r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maija</w:t>
                  </w:r>
                  <w:r w:rsidR="001F77AD"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direktīva</w:t>
                  </w:r>
                  <w:r w:rsidRPr="009F6EC1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hyperlink r:id="rId8" w:tgtFrame="_blank" w:history="1">
                    <w:r w:rsidRPr="009F6EC1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8"/>
                        <w:szCs w:val="28"/>
                      </w:rPr>
                      <w:t>2014/59/ES</w:t>
                    </w:r>
                  </w:hyperlink>
                  <w:r w:rsidRPr="009F6EC1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9F6EC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ar ko izveido kredītiestāžu un ieguldījumu brokeru sabiedrību atveseļošanas un noregulējuma režīmu un groza Padomes Direktīvu 82/891/EEK un Eiropas Parlamenta un Padomes Direktīvas 2001/24/EK, 2002/47/EK, 2004/25/EK, 2005/56/EK, 2007/36/EK, 2011/35/ES, 2012/30/ES un 2013/36/ES, un Eiropas Parlamenta un Padomes Regulas (ES) Nr. 1093/2010 un (ES) Nr. 648/2012</w:t>
                  </w:r>
                  <w:r w:rsidR="001843D5"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D6FC6" w:rsidRPr="009F6EC1" w:rsidRDefault="001843D5" w:rsidP="00CD6FC6">
                  <w:pPr>
                    <w:keepNext/>
                    <w:keepLines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D</w:t>
                  </w:r>
                  <w:r w:rsidR="00352E6B"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irektīvas </w:t>
                  </w:r>
                  <w:r w:rsidR="00352E6B" w:rsidRPr="009F6EC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prasības jāpārņ</w:t>
                  </w:r>
                  <w:r w:rsidR="00CD6FC6" w:rsidRPr="009F6EC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em un jāpiemēro, sākot ar 2015.gada 1.</w:t>
                  </w:r>
                  <w:r w:rsidR="00352E6B" w:rsidRPr="009F6EC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janvāri</w:t>
                  </w:r>
                  <w:r w:rsidRPr="009F6EC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352E6B" w:rsidRPr="009F6EC1" w:rsidRDefault="00352E6B" w:rsidP="00CD6FC6">
                  <w:pPr>
                    <w:keepNext/>
                    <w:keepLines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6EC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Li</w:t>
                  </w:r>
                  <w:r w:rsidR="00CD6FC6" w:rsidRPr="009F6EC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kumprojekts jāpieņem līdz 2015.gada 1.</w:t>
                  </w:r>
                  <w:r w:rsidRPr="009F6EC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janvārim.</w:t>
                  </w:r>
                </w:p>
              </w:tc>
            </w:tr>
            <w:tr w:rsidR="009F6EC1" w:rsidRPr="009F6EC1" w:rsidTr="00D05D1B"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6C72FC" w:rsidP="00A043CF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lastRenderedPageBreak/>
                    <w:t>2.</w:t>
                  </w:r>
                </w:p>
              </w:tc>
              <w:tc>
                <w:tcPr>
                  <w:tcW w:w="1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6C72FC" w:rsidP="00A043CF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Citas starptautiskās saistības</w:t>
                  </w:r>
                </w:p>
              </w:tc>
              <w:tc>
                <w:tcPr>
                  <w:tcW w:w="3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8F0FC4" w:rsidP="00A043CF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>Projekts šo jomu neskar</w:t>
                  </w:r>
                  <w:r w:rsidR="00CD6FC6" w:rsidRPr="009F6EC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>.</w:t>
                  </w: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 xml:space="preserve"> </w:t>
                  </w:r>
                </w:p>
              </w:tc>
            </w:tr>
            <w:tr w:rsidR="009F6EC1" w:rsidRPr="009F6EC1" w:rsidTr="00D05D1B"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6C72FC" w:rsidP="00A043CF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3.</w:t>
                  </w:r>
                </w:p>
              </w:tc>
              <w:tc>
                <w:tcPr>
                  <w:tcW w:w="1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6C72FC" w:rsidP="00A043CF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8F0FC4" w:rsidP="002E78CE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Nav</w:t>
                  </w:r>
                  <w:r w:rsidR="00CD6FC6"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.</w:t>
                  </w:r>
                </w:p>
              </w:tc>
            </w:tr>
          </w:tbl>
          <w:tbl>
            <w:tblPr>
              <w:tblpPr w:leftFromText="180" w:rightFromText="180" w:vertAnchor="text" w:horzAnchor="margin" w:tblpY="125"/>
              <w:tblOverlap w:val="never"/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15"/>
              <w:gridCol w:w="2024"/>
              <w:gridCol w:w="2576"/>
              <w:gridCol w:w="2484"/>
            </w:tblGrid>
            <w:tr w:rsidR="009F6EC1" w:rsidRPr="009F6EC1" w:rsidTr="00D05D1B">
              <w:tc>
                <w:tcPr>
                  <w:tcW w:w="5000" w:type="pct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lv-LV"/>
                    </w:rPr>
                    <w:t>1.tabula</w:t>
                  </w:r>
                  <w:r w:rsidRPr="009F6E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lv-LV"/>
                    </w:rPr>
                    <w:br/>
                    <w:t>Tiesību akta projekta atbilstība ES tiesību aktiem</w:t>
                  </w:r>
                </w:p>
              </w:tc>
            </w:tr>
            <w:tr w:rsidR="009F6EC1" w:rsidRPr="009F6EC1" w:rsidTr="00D05D1B">
              <w:tc>
                <w:tcPr>
                  <w:tcW w:w="1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Attiecīgā ES tiesību akta datums, numurs un nosaukums</w:t>
                  </w:r>
                </w:p>
              </w:tc>
              <w:tc>
                <w:tcPr>
                  <w:tcW w:w="385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Aizpilda, ja ar projektu tiek pārņemts vai ieviests vairāk nekā viens ES tiesību akts, – jānorāda tā pati informācija, kas prasīta instrukcijas 55.1.apakšpunktā un jau tikusi norādīta arī V sadaļas 1.punktā</w:t>
                  </w:r>
                </w:p>
              </w:tc>
            </w:tr>
            <w:tr w:rsidR="009F6EC1" w:rsidRPr="009F6EC1" w:rsidTr="00D05D1B">
              <w:tc>
                <w:tcPr>
                  <w:tcW w:w="1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A</w:t>
                  </w:r>
                </w:p>
              </w:tc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B</w:t>
                  </w: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C</w:t>
                  </w: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D</w:t>
                  </w:r>
                </w:p>
              </w:tc>
            </w:tr>
            <w:tr w:rsidR="009F6EC1" w:rsidRPr="009F6EC1" w:rsidTr="00D05D1B">
              <w:tc>
                <w:tcPr>
                  <w:tcW w:w="1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Attiecīgā ES tiesību akta panta numurs (uzskaitot katru tiesību akta vienību – pantu, daļu, punktu, apakšpunktu)</w:t>
                  </w:r>
                </w:p>
              </w:tc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Projekta vienība, kas pārņem vai ievieš katru šīs tabulas A ailē minēto ES tiesību akta vienību, vai tiesību akts, kur attiecīgā ES tiesību akta vienība pārņemta vai ieviesta</w:t>
                  </w: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Informācija par to, vai šīs tabulas A ailē minētās ES tiesību akta vienības tiek pārņemtas vai ieviestas pilnībā vai daļēji.</w:t>
                  </w:r>
                </w:p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before="100" w:beforeAutospacing="1" w:after="100" w:afterAutospacing="1" w:line="2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Ja attiecīgā ES tiesību akta vienība tiek pārņemta vai ieviesta daļēji, sniedz attiecīgu skaidrojumu, kā arī precīzi norāda, kad un kādā veidā ES tiesību akta vienība tiks pārņemta vai ieviesta pilnībā.</w:t>
                  </w:r>
                </w:p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before="100" w:beforeAutospacing="1" w:after="100" w:afterAutospacing="1" w:line="2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Norāda institūciju, kas ir atbildīga par šo saistību izpildi pilnībā</w:t>
                  </w: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Informācija par to, vai šīs tabulas B ailē minētās projekta vienības paredz stingrākas prasības nekā šīs tabulas A ailē minētās ES tiesību akta vienības.</w:t>
                  </w:r>
                </w:p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before="100" w:beforeAutospacing="1" w:after="100" w:afterAutospacing="1" w:line="2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Ja projekts satur stingrākas prasības nekā attiecīgais ES tiesību akts, norāda pamatojumu un samērīgumu.</w:t>
                  </w:r>
                </w:p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before="100" w:beforeAutospacing="1" w:after="100" w:afterAutospacing="1" w:line="2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Norāda iespējamās alternatīvas (t.sk. alternatīvas, kas neparedz tiesiskā regulējuma izstrādi) – kādos gadījumos būtu iespējams izvairīties no stingrāku prasību noteikšanas, nekā paredzēts attiecīgajos ES tiesību aktos</w:t>
                  </w:r>
                </w:p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before="100" w:beforeAutospacing="1" w:after="100" w:afterAutospacing="1" w:line="2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</w:p>
              </w:tc>
            </w:tr>
            <w:tr w:rsidR="009F6EC1" w:rsidRPr="009F6EC1" w:rsidTr="00D05D1B">
              <w:tc>
                <w:tcPr>
                  <w:tcW w:w="1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D05D1B" w:rsidRPr="009F6EC1" w:rsidRDefault="00D05D1B" w:rsidP="007129D9">
                  <w:pPr>
                    <w:pStyle w:val="CommentText"/>
                    <w:keepNext/>
                    <w:keepLines/>
                    <w:widowContro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6EC1">
                    <w:rPr>
                      <w:rStyle w:val="CommentReference"/>
                      <w:rFonts w:ascii="Times New Roman" w:hAnsi="Times New Roman" w:cs="Times New Roman"/>
                      <w:sz w:val="28"/>
                      <w:szCs w:val="28"/>
                    </w:rPr>
                    <w:t xml:space="preserve">Direktīvas </w:t>
                  </w:r>
                  <w:r w:rsidR="00CD6FC6"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2014/59/ES </w:t>
                  </w:r>
                  <w:r w:rsidR="00CD6FC6"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3.panta 1.</w:t>
                  </w:r>
                  <w:r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daļa</w:t>
                  </w:r>
                </w:p>
                <w:p w:rsidR="00D05D1B" w:rsidRPr="009F6EC1" w:rsidRDefault="00D05D1B" w:rsidP="007129D9">
                  <w:pPr>
                    <w:pStyle w:val="CommentText"/>
                    <w:keepNext/>
                    <w:keepLines/>
                    <w:widowContro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</w:p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</w:p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D05D1B" w:rsidRPr="009F6EC1" w:rsidRDefault="00D05D1B" w:rsidP="00730D93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Likumprojekt</w:t>
                  </w:r>
                  <w:r w:rsidR="00CD6FC6" w:rsidRPr="009F6EC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s </w:t>
                  </w:r>
                  <w:r w:rsidR="00A959B0" w:rsidRPr="009F6EC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(likuma </w:t>
                  </w:r>
                  <w:r w:rsidR="003E0C88" w:rsidRPr="009F6EC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7. panta </w:t>
                  </w:r>
                  <w:r w:rsidR="003E0C88" w:rsidRPr="009F6EC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pirmās daļas 6¹.</w:t>
                  </w:r>
                  <w:r w:rsidRPr="009F6EC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punkts</w:t>
                  </w:r>
                  <w:r w:rsidR="00A959B0" w:rsidRPr="009F6EC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lastRenderedPageBreak/>
                    <w:t xml:space="preserve">ES tiesību akta vienība tiek pārņemta/ </w:t>
                  </w: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lastRenderedPageBreak/>
                    <w:t>ieviesta pilnībā</w:t>
                  </w: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lastRenderedPageBreak/>
                    <w:t xml:space="preserve">Likumprojekts stingrākas prasības </w:t>
                  </w:r>
                  <w:r w:rsidRPr="009F6EC1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lastRenderedPageBreak/>
                    <w:t>neparedz</w:t>
                  </w:r>
                </w:p>
              </w:tc>
            </w:tr>
            <w:tr w:rsidR="009F6EC1" w:rsidRPr="009F6EC1" w:rsidTr="00D05D1B">
              <w:tc>
                <w:tcPr>
                  <w:tcW w:w="1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lastRenderedPageBreak/>
                    <w:t>Kā ir izmantota ES tiesību aktā paredzētā rīcības brīvība dalībvalstij pārņemt vai ieviest noteiktas ES tiesību akta normas?</w:t>
                  </w: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br/>
                    <w:t>Kādēļ?</w:t>
                  </w:r>
                </w:p>
              </w:tc>
              <w:tc>
                <w:tcPr>
                  <w:tcW w:w="385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>Projekts šo jomu neskar</w:t>
                  </w:r>
                  <w:r w:rsidR="00CD6FC6" w:rsidRPr="009F6EC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>.</w:t>
                  </w: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 xml:space="preserve"> </w:t>
                  </w:r>
                </w:p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</w:p>
              </w:tc>
            </w:tr>
            <w:tr w:rsidR="009F6EC1" w:rsidRPr="009F6EC1" w:rsidTr="00D05D1B">
              <w:tc>
                <w:tcPr>
                  <w:tcW w:w="1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      </w:r>
                </w:p>
              </w:tc>
              <w:tc>
                <w:tcPr>
                  <w:tcW w:w="385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>Projekts šo jomu neskar</w:t>
                  </w:r>
                  <w:r w:rsidR="00844CF2" w:rsidRPr="009F6EC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>.</w:t>
                  </w: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 xml:space="preserve"> </w:t>
                  </w:r>
                </w:p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</w:p>
              </w:tc>
            </w:tr>
            <w:tr w:rsidR="009F6EC1" w:rsidRPr="009F6EC1" w:rsidTr="00D05D1B">
              <w:tc>
                <w:tcPr>
                  <w:tcW w:w="1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85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Nav</w:t>
                  </w:r>
                  <w:r w:rsidR="00844CF2"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.</w:t>
                  </w:r>
                </w:p>
              </w:tc>
            </w:tr>
            <w:tr w:rsidR="009F6EC1" w:rsidRPr="009F6EC1" w:rsidTr="00D05D1B">
              <w:tc>
                <w:tcPr>
                  <w:tcW w:w="5000" w:type="pct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lv-LV"/>
                    </w:rPr>
                    <w:t xml:space="preserve">2.tabula </w:t>
                  </w:r>
                  <w:r w:rsidRPr="009F6E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lv-LV"/>
                    </w:rPr>
                    <w:br/>
                    <w:t>Ar tiesību akta projektu izpildītās vai uzņemtās saistības, kas izriet no starptautiskajiem tiesību aktiem vai starptautiskas institūcijas vai organizācijas dokumentiem.</w:t>
                  </w:r>
                  <w:r w:rsidRPr="009F6E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lv-LV"/>
                    </w:rPr>
                    <w:br/>
                    <w:t>Pasākumi šo saistību izpildei</w:t>
                  </w:r>
                </w:p>
              </w:tc>
            </w:tr>
            <w:tr w:rsidR="009F6EC1" w:rsidRPr="009F6EC1" w:rsidTr="00D05D1B">
              <w:tc>
                <w:tcPr>
                  <w:tcW w:w="5000" w:type="pct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lv-LV"/>
                    </w:rPr>
                    <w:t>Projekts šo jomu neskar</w:t>
                  </w:r>
                </w:p>
                <w:p w:rsidR="00D05D1B" w:rsidRPr="009F6EC1" w:rsidRDefault="00D05D1B" w:rsidP="007129D9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</w:p>
              </w:tc>
            </w:tr>
          </w:tbl>
          <w:p w:rsidR="00495FE4" w:rsidRPr="009F6EC1" w:rsidRDefault="00495FE4" w:rsidP="00844CF2">
            <w:pPr>
              <w:keepNext/>
              <w:keepLines/>
              <w:widowControl w:val="0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2760"/>
              <w:gridCol w:w="5979"/>
            </w:tblGrid>
            <w:tr w:rsidR="009F6EC1" w:rsidRPr="009F6EC1" w:rsidTr="006C72FC">
              <w:trPr>
                <w:trHeight w:val="420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6C72FC" w:rsidRPr="009F6EC1" w:rsidRDefault="006C72FC" w:rsidP="00A043CF">
                  <w:pPr>
                    <w:keepNext/>
                    <w:keepLines/>
                    <w:widowControl w:val="0"/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lv-LV"/>
                    </w:rPr>
                    <w:t>VI. Sabiedrības līdzdalība un komunikācijas aktivitātes</w:t>
                  </w:r>
                </w:p>
              </w:tc>
            </w:tr>
            <w:tr w:rsidR="009F6EC1" w:rsidRPr="009F6EC1" w:rsidTr="006C72FC">
              <w:trPr>
                <w:trHeight w:val="540"/>
                <w:jc w:val="center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6C72FC" w:rsidP="00A043CF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1.</w:t>
                  </w:r>
                </w:p>
              </w:tc>
              <w:tc>
                <w:tcPr>
                  <w:tcW w:w="1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6C72FC" w:rsidP="00844CF2">
                  <w:pPr>
                    <w:keepNext/>
                    <w:keepLines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Plānotās sabiedrības līdzdalības un komunikācijas aktivitātes saistībā ar projektu</w:t>
                  </w:r>
                </w:p>
              </w:tc>
              <w:tc>
                <w:tcPr>
                  <w:tcW w:w="3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F7498B" w:rsidRPr="009F6EC1" w:rsidRDefault="00F7498B" w:rsidP="00844CF2">
                  <w:pPr>
                    <w:keepNext/>
                    <w:keepLines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Par Likumprojekta izstrādi tika informēta Latvijas Komercbanku asociācija</w:t>
                  </w:r>
                  <w:r w:rsidR="00844CF2"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6C72FC" w:rsidRPr="009F6EC1" w:rsidRDefault="00631CB7" w:rsidP="00844CF2">
                  <w:pPr>
                    <w:keepNext/>
                    <w:keepLines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 xml:space="preserve"> </w:t>
                  </w:r>
                </w:p>
              </w:tc>
            </w:tr>
            <w:tr w:rsidR="009F6EC1" w:rsidRPr="009F6EC1" w:rsidTr="006C72FC">
              <w:trPr>
                <w:trHeight w:val="330"/>
                <w:jc w:val="center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6C72FC" w:rsidP="00A043CF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2.</w:t>
                  </w:r>
                </w:p>
              </w:tc>
              <w:tc>
                <w:tcPr>
                  <w:tcW w:w="1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6C72FC" w:rsidP="00A043CF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Sabiedrības līdzdalība projekta izstrādē</w:t>
                  </w:r>
                </w:p>
              </w:tc>
              <w:tc>
                <w:tcPr>
                  <w:tcW w:w="3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F7498B" w:rsidRPr="009F6EC1" w:rsidRDefault="00F7498B" w:rsidP="00844CF2">
                  <w:pPr>
                    <w:keepNext/>
                    <w:keepLines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Likumprojekta </w:t>
                  </w:r>
                  <w:r w:rsidR="00D5661D"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saskaņošanas </w:t>
                  </w:r>
                  <w:r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procesā Latvijas Komercbanku asociācija</w:t>
                  </w:r>
                  <w:r w:rsidR="00D5661D"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iebildumus vai priekšlikumus par Likumprojektu neizteica</w:t>
                  </w:r>
                  <w:r w:rsidR="00844CF2"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6C72FC" w:rsidRPr="009F6EC1" w:rsidRDefault="006C72FC" w:rsidP="00A043CF">
                  <w:pPr>
                    <w:keepNext/>
                    <w:keepLines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</w:p>
              </w:tc>
            </w:tr>
            <w:tr w:rsidR="009F6EC1" w:rsidRPr="009F6EC1" w:rsidTr="006C72FC">
              <w:trPr>
                <w:trHeight w:val="465"/>
                <w:jc w:val="center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6C72FC" w:rsidP="00A043CF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3.</w:t>
                  </w:r>
                </w:p>
              </w:tc>
              <w:tc>
                <w:tcPr>
                  <w:tcW w:w="1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6C72FC" w:rsidP="00844CF2">
                  <w:pPr>
                    <w:keepNext/>
                    <w:keepLines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Sabiedrības līdzdalības rezultāti</w:t>
                  </w:r>
                </w:p>
              </w:tc>
              <w:tc>
                <w:tcPr>
                  <w:tcW w:w="3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844CF2" w:rsidP="00844CF2">
                  <w:pPr>
                    <w:keepNext/>
                    <w:keepLines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Likumprojekts saskaņots </w:t>
                  </w: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a</w:t>
                  </w:r>
                  <w:r w:rsidR="00F7498B"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 xml:space="preserve">r </w:t>
                  </w:r>
                  <w:r w:rsidR="00F7498B"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Latvijas Komercbanku asociāciju</w:t>
                  </w:r>
                  <w:r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F7498B"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F6EC1" w:rsidRPr="009F6EC1" w:rsidTr="006C72FC">
              <w:trPr>
                <w:trHeight w:val="465"/>
                <w:jc w:val="center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6C72FC" w:rsidP="00A043CF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4.</w:t>
                  </w:r>
                </w:p>
              </w:tc>
              <w:tc>
                <w:tcPr>
                  <w:tcW w:w="1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6C72FC" w:rsidP="00844CF2">
                  <w:pPr>
                    <w:keepNext/>
                    <w:keepLines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9F6EC1" w:rsidRDefault="00F7498B" w:rsidP="00844CF2">
                  <w:pPr>
                    <w:keepNext/>
                    <w:keepLines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Nav</w:t>
                  </w:r>
                  <w:r w:rsidR="00844CF2"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.</w:t>
                  </w:r>
                </w:p>
              </w:tc>
            </w:tr>
          </w:tbl>
          <w:tbl>
            <w:tblPr>
              <w:tblpPr w:leftFromText="180" w:rightFromText="180" w:vertAnchor="text" w:tblpY="138"/>
              <w:tblOverlap w:val="never"/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3496"/>
              <w:gridCol w:w="5243"/>
            </w:tblGrid>
            <w:tr w:rsidR="009F6EC1" w:rsidRPr="009F6EC1" w:rsidTr="00E95519">
              <w:trPr>
                <w:trHeight w:val="375"/>
              </w:trPr>
              <w:tc>
                <w:tcPr>
                  <w:tcW w:w="0" w:type="auto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E95519" w:rsidRPr="009F6EC1" w:rsidRDefault="00E95519" w:rsidP="00121264">
                  <w:pPr>
                    <w:keepNext/>
                    <w:keepLines/>
                    <w:widowControl w:val="0"/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lv-LV"/>
                    </w:rPr>
                    <w:t>VII. Tiesību akta projekta izpildes nodrošināšana un tās ietekme uz institūcijām</w:t>
                  </w:r>
                </w:p>
              </w:tc>
            </w:tr>
            <w:tr w:rsidR="009F6EC1" w:rsidRPr="009F6EC1" w:rsidTr="00E95519">
              <w:trPr>
                <w:trHeight w:val="42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95519" w:rsidRPr="009F6EC1" w:rsidRDefault="00E95519" w:rsidP="00121264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1.</w:t>
                  </w:r>
                </w:p>
              </w:tc>
              <w:tc>
                <w:tcPr>
                  <w:tcW w:w="1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95519" w:rsidRPr="009F6EC1" w:rsidRDefault="00E95519" w:rsidP="00121264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Projekta izpildē iesaistītās institūcijas</w:t>
                  </w:r>
                </w:p>
              </w:tc>
              <w:tc>
                <w:tcPr>
                  <w:tcW w:w="2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95519" w:rsidRPr="009F6EC1" w:rsidRDefault="00E95519" w:rsidP="00121264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Finanšu un kapitāla tirgus komisija</w:t>
                  </w:r>
                  <w:r w:rsidR="00844CF2" w:rsidRPr="009F6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95519" w:rsidRPr="009F6EC1" w:rsidRDefault="00E95519" w:rsidP="00121264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</w:p>
              </w:tc>
            </w:tr>
            <w:tr w:rsidR="009F6EC1" w:rsidRPr="009F6EC1" w:rsidTr="00E95519">
              <w:trPr>
                <w:trHeight w:val="45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95519" w:rsidRPr="009F6EC1" w:rsidRDefault="00E95519" w:rsidP="00121264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2.</w:t>
                  </w:r>
                </w:p>
              </w:tc>
              <w:tc>
                <w:tcPr>
                  <w:tcW w:w="1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95519" w:rsidRPr="009F6EC1" w:rsidRDefault="00E95519" w:rsidP="00121264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Projekta izpildes ietekme uz pārvaldes funkcijām un institucionālo struktūru.</w:t>
                  </w:r>
                </w:p>
                <w:p w:rsidR="00E95519" w:rsidRPr="009F6EC1" w:rsidRDefault="00E95519" w:rsidP="00121264">
                  <w:pPr>
                    <w:keepNext/>
                    <w:keepLines/>
                    <w:widowControl w:val="0"/>
                    <w:spacing w:before="100" w:beforeAutospacing="1" w:after="100" w:afterAutospacing="1" w:line="2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Jaunu institūciju izveide, esošu institūciju likvidācija vai reorganizācija, to ietekme uz institūcijas cilvēkresursiem</w:t>
                  </w:r>
                </w:p>
              </w:tc>
              <w:tc>
                <w:tcPr>
                  <w:tcW w:w="2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95519" w:rsidRPr="009F6EC1" w:rsidRDefault="00E95519" w:rsidP="00121264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>Projekts šo jomu neskar</w:t>
                  </w:r>
                  <w:r w:rsidR="00844CF2" w:rsidRPr="009F6EC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>.</w:t>
                  </w:r>
                </w:p>
                <w:p w:rsidR="00E95519" w:rsidRPr="009F6EC1" w:rsidRDefault="00E95519" w:rsidP="00121264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95519" w:rsidRPr="009F6EC1" w:rsidRDefault="00E95519" w:rsidP="00121264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</w:p>
              </w:tc>
            </w:tr>
            <w:tr w:rsidR="009F6EC1" w:rsidRPr="009F6EC1" w:rsidTr="00E95519">
              <w:trPr>
                <w:trHeight w:val="39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95519" w:rsidRPr="009F6EC1" w:rsidRDefault="00E95519" w:rsidP="00121264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3.</w:t>
                  </w:r>
                </w:p>
              </w:tc>
              <w:tc>
                <w:tcPr>
                  <w:tcW w:w="1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95519" w:rsidRPr="009F6EC1" w:rsidRDefault="00E95519" w:rsidP="00121264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Cita informācija</w:t>
                  </w:r>
                </w:p>
              </w:tc>
              <w:tc>
                <w:tcPr>
                  <w:tcW w:w="2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95519" w:rsidRPr="009F6EC1" w:rsidRDefault="00E95519" w:rsidP="00121264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Nav</w:t>
                  </w:r>
                  <w:r w:rsidR="00844CF2" w:rsidRPr="009F6E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.</w:t>
                  </w:r>
                </w:p>
              </w:tc>
            </w:tr>
          </w:tbl>
          <w:p w:rsidR="006C72FC" w:rsidRPr="009F6EC1" w:rsidRDefault="006C72FC" w:rsidP="00E95519">
            <w:pPr>
              <w:keepNext/>
              <w:keepLines/>
              <w:widowControl w:val="0"/>
              <w:spacing w:before="100" w:beforeAutospacing="1" w:after="100" w:afterAutospacing="1" w:line="265" w:lineRule="atLeast"/>
              <w:ind w:firstLine="27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1946F7" w:rsidRPr="009F6EC1" w:rsidRDefault="001946F7" w:rsidP="001946F7">
      <w:pPr>
        <w:pStyle w:val="naisf"/>
        <w:tabs>
          <w:tab w:val="left" w:pos="5760"/>
        </w:tabs>
        <w:spacing w:before="0" w:after="0"/>
        <w:ind w:firstLine="0"/>
        <w:rPr>
          <w:i/>
          <w:sz w:val="28"/>
          <w:szCs w:val="28"/>
        </w:rPr>
      </w:pPr>
    </w:p>
    <w:tbl>
      <w:tblPr>
        <w:tblW w:w="10395" w:type="dxa"/>
        <w:tblInd w:w="-176" w:type="dxa"/>
        <w:tblLook w:val="04A0" w:firstRow="1" w:lastRow="0" w:firstColumn="1" w:lastColumn="0" w:noHBand="0" w:noVBand="1"/>
      </w:tblPr>
      <w:tblGrid>
        <w:gridCol w:w="4157"/>
        <w:gridCol w:w="6238"/>
      </w:tblGrid>
      <w:tr w:rsidR="009F6EC1" w:rsidRPr="009F6EC1" w:rsidTr="0067373D">
        <w:trPr>
          <w:trHeight w:val="252"/>
        </w:trPr>
        <w:tc>
          <w:tcPr>
            <w:tcW w:w="4157" w:type="dxa"/>
          </w:tcPr>
          <w:p w:rsidR="000E7945" w:rsidRPr="009F6EC1" w:rsidRDefault="000E7945" w:rsidP="0067373D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F6EC1">
              <w:rPr>
                <w:sz w:val="28"/>
                <w:szCs w:val="28"/>
              </w:rPr>
              <w:t>Finanšu ministrs</w:t>
            </w:r>
          </w:p>
        </w:tc>
        <w:tc>
          <w:tcPr>
            <w:tcW w:w="6238" w:type="dxa"/>
          </w:tcPr>
          <w:p w:rsidR="000E7945" w:rsidRPr="009F6EC1" w:rsidRDefault="000E7945" w:rsidP="0067373D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F6EC1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9F6EC1">
              <w:rPr>
                <w:sz w:val="28"/>
                <w:szCs w:val="28"/>
              </w:rPr>
              <w:t>J.Reirs</w:t>
            </w:r>
            <w:proofErr w:type="spellEnd"/>
          </w:p>
          <w:p w:rsidR="000E7945" w:rsidRPr="009F6EC1" w:rsidRDefault="000E7945" w:rsidP="0067373D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F6EC1" w:rsidRPr="009F6EC1" w:rsidTr="0067373D">
        <w:trPr>
          <w:trHeight w:val="264"/>
        </w:trPr>
        <w:tc>
          <w:tcPr>
            <w:tcW w:w="4157" w:type="dxa"/>
          </w:tcPr>
          <w:p w:rsidR="000E7945" w:rsidRPr="009F6EC1" w:rsidRDefault="000E7945" w:rsidP="0067373D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F6EC1">
              <w:rPr>
                <w:sz w:val="28"/>
                <w:szCs w:val="28"/>
              </w:rPr>
              <w:t>Vīza:</w:t>
            </w:r>
          </w:p>
          <w:p w:rsidR="000E7945" w:rsidRPr="009F6EC1" w:rsidRDefault="000E7945" w:rsidP="0067373D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F6EC1">
              <w:rPr>
                <w:sz w:val="28"/>
                <w:szCs w:val="28"/>
              </w:rPr>
              <w:t xml:space="preserve">Valsts sekretāres </w:t>
            </w:r>
            <w:proofErr w:type="spellStart"/>
            <w:r w:rsidRPr="009F6EC1">
              <w:rPr>
                <w:sz w:val="28"/>
                <w:szCs w:val="28"/>
              </w:rPr>
              <w:t>p.i</w:t>
            </w:r>
            <w:proofErr w:type="spellEnd"/>
            <w:r w:rsidRPr="009F6EC1">
              <w:rPr>
                <w:sz w:val="28"/>
                <w:szCs w:val="28"/>
              </w:rPr>
              <w:t>.</w:t>
            </w:r>
          </w:p>
          <w:p w:rsidR="000E7945" w:rsidRPr="009F6EC1" w:rsidRDefault="000E7945" w:rsidP="0067373D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238" w:type="dxa"/>
          </w:tcPr>
          <w:p w:rsidR="000E7945" w:rsidRPr="009F6EC1" w:rsidRDefault="000E7945" w:rsidP="0067373D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E7945" w:rsidRPr="009F6EC1" w:rsidRDefault="000E7945" w:rsidP="0067373D">
            <w:pPr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9F6EC1">
              <w:rPr>
                <w:rFonts w:ascii="Times New Roman" w:hAnsi="Times New Roman"/>
                <w:sz w:val="28"/>
                <w:szCs w:val="28"/>
                <w:lang w:eastAsia="lv-LV"/>
              </w:rPr>
              <w:t>I.Braunfelde</w:t>
            </w:r>
            <w:proofErr w:type="spellEnd"/>
          </w:p>
        </w:tc>
      </w:tr>
    </w:tbl>
    <w:p w:rsidR="000E7945" w:rsidRPr="009F6EC1" w:rsidRDefault="000E7945" w:rsidP="009270C8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2055BD" w:rsidRPr="009F6EC1" w:rsidRDefault="000E7945" w:rsidP="002055B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EC1">
        <w:rPr>
          <w:rFonts w:ascii="Times New Roman" w:hAnsi="Times New Roman" w:cs="Times New Roman"/>
          <w:sz w:val="20"/>
          <w:szCs w:val="20"/>
        </w:rPr>
        <w:t xml:space="preserve">11.12.2014.  </w:t>
      </w:r>
      <w:r w:rsidR="009270C8" w:rsidRPr="009F6EC1">
        <w:rPr>
          <w:rFonts w:ascii="Times New Roman" w:hAnsi="Times New Roman" w:cs="Times New Roman"/>
          <w:sz w:val="20"/>
          <w:szCs w:val="20"/>
        </w:rPr>
        <w:t>11:34</w:t>
      </w:r>
    </w:p>
    <w:p w:rsidR="002055BD" w:rsidRPr="009F6EC1" w:rsidRDefault="00EE7F92" w:rsidP="002055B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EC1">
        <w:rPr>
          <w:rFonts w:ascii="Times New Roman" w:hAnsi="Times New Roman" w:cs="Times New Roman"/>
          <w:sz w:val="20"/>
          <w:szCs w:val="20"/>
        </w:rPr>
        <w:t>8</w:t>
      </w:r>
      <w:r w:rsidR="00730D93">
        <w:rPr>
          <w:rFonts w:ascii="Times New Roman" w:hAnsi="Times New Roman" w:cs="Times New Roman"/>
          <w:sz w:val="20"/>
          <w:szCs w:val="20"/>
        </w:rPr>
        <w:t>77</w:t>
      </w:r>
    </w:p>
    <w:p w:rsidR="000E7945" w:rsidRPr="009F6EC1" w:rsidRDefault="000E7945" w:rsidP="002055B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F6EC1">
        <w:rPr>
          <w:rFonts w:ascii="Times New Roman" w:hAnsi="Times New Roman" w:cs="Times New Roman"/>
          <w:sz w:val="20"/>
          <w:szCs w:val="20"/>
        </w:rPr>
        <w:t>L.</w:t>
      </w:r>
      <w:r w:rsidR="002055BD" w:rsidRPr="009F6EC1">
        <w:rPr>
          <w:rFonts w:ascii="Times New Roman" w:hAnsi="Times New Roman" w:cs="Times New Roman"/>
          <w:sz w:val="20"/>
          <w:szCs w:val="20"/>
        </w:rPr>
        <w:t>Tiltiņa</w:t>
      </w:r>
      <w:proofErr w:type="spellEnd"/>
      <w:r w:rsidRPr="009F6EC1">
        <w:rPr>
          <w:rFonts w:ascii="Times New Roman" w:hAnsi="Times New Roman" w:cs="Times New Roman"/>
          <w:sz w:val="20"/>
          <w:szCs w:val="20"/>
        </w:rPr>
        <w:t>, 67083857</w:t>
      </w:r>
    </w:p>
    <w:p w:rsidR="002055BD" w:rsidRPr="009F6EC1" w:rsidRDefault="00C44364" w:rsidP="002055B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2055BD" w:rsidRPr="009F6EC1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Laura.Tiltina@fm.gov.lv</w:t>
        </w:r>
      </w:hyperlink>
      <w:r w:rsidR="002055BD" w:rsidRPr="009F6E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945" w:rsidRPr="009F6EC1" w:rsidRDefault="000E7945" w:rsidP="000E794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6EC1">
        <w:rPr>
          <w:rFonts w:ascii="Times New Roman" w:hAnsi="Times New Roman" w:cs="Times New Roman"/>
          <w:i/>
          <w:sz w:val="20"/>
          <w:szCs w:val="20"/>
        </w:rPr>
        <w:t xml:space="preserve">Finanšu ministrijas Finanšu tirgus politikas departamenta </w:t>
      </w:r>
    </w:p>
    <w:p w:rsidR="000E7945" w:rsidRPr="009F6EC1" w:rsidRDefault="000E7945" w:rsidP="000E794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6EC1">
        <w:rPr>
          <w:rFonts w:ascii="Times New Roman" w:hAnsi="Times New Roman" w:cs="Times New Roman"/>
          <w:i/>
          <w:sz w:val="20"/>
          <w:szCs w:val="20"/>
        </w:rPr>
        <w:t xml:space="preserve">Finanšu sektora pārvaldības nodaļas juriskonsulte </w:t>
      </w:r>
    </w:p>
    <w:p w:rsidR="00A043CF" w:rsidRPr="009F6EC1" w:rsidRDefault="00A043CF" w:rsidP="002055BD">
      <w:pPr>
        <w:spacing w:after="0" w:line="240" w:lineRule="auto"/>
        <w:rPr>
          <w:i/>
        </w:rPr>
      </w:pPr>
    </w:p>
    <w:sectPr w:rsidR="00A043CF" w:rsidRPr="009F6EC1" w:rsidSect="00CE0E86">
      <w:footerReference w:type="default" r:id="rId10"/>
      <w:pgSz w:w="11906" w:h="16838"/>
      <w:pgMar w:top="993" w:right="1800" w:bottom="1440" w:left="1800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364" w:rsidRDefault="00C44364" w:rsidP="0002444C">
      <w:pPr>
        <w:spacing w:after="0" w:line="240" w:lineRule="auto"/>
      </w:pPr>
      <w:r>
        <w:separator/>
      </w:r>
    </w:p>
  </w:endnote>
  <w:endnote w:type="continuationSeparator" w:id="0">
    <w:p w:rsidR="00C44364" w:rsidRDefault="00C44364" w:rsidP="0002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F2" w:rsidRPr="009F6EC1" w:rsidRDefault="005A4AF2" w:rsidP="005A4AF2">
    <w:pPr>
      <w:pStyle w:val="Footer"/>
      <w:jc w:val="both"/>
      <w:rPr>
        <w:sz w:val="18"/>
        <w:szCs w:val="18"/>
      </w:rPr>
    </w:pPr>
    <w:r w:rsidRPr="009F6EC1">
      <w:rPr>
        <w:rFonts w:ascii="Times New Roman" w:hAnsi="Times New Roman" w:cs="Times New Roman"/>
        <w:bCs/>
        <w:sz w:val="18"/>
        <w:szCs w:val="18"/>
      </w:rPr>
      <w:t>FMAnot_111214_FKTKL_BRRD; Likumprojekta</w:t>
    </w:r>
    <w:r w:rsidRPr="009F6EC1">
      <w:rPr>
        <w:rFonts w:ascii="Times New Roman" w:hAnsi="Times New Roman" w:cs="Times New Roman"/>
        <w:sz w:val="18"/>
        <w:szCs w:val="18"/>
      </w:rPr>
      <w:t xml:space="preserve"> </w:t>
    </w:r>
    <w:r w:rsidRPr="009F6EC1">
      <w:rPr>
        <w:rFonts w:ascii="Times New Roman" w:hAnsi="Times New Roman" w:cs="Times New Roman"/>
        <w:bCs/>
        <w:sz w:val="18"/>
        <w:szCs w:val="18"/>
      </w:rPr>
      <w:t>"</w:t>
    </w:r>
    <w:r w:rsidRPr="009F6EC1">
      <w:rPr>
        <w:rFonts w:ascii="Times New Roman" w:eastAsia="Calibri" w:hAnsi="Times New Roman" w:cs="Times New Roman"/>
        <w:sz w:val="18"/>
        <w:szCs w:val="18"/>
      </w:rPr>
      <w:t>Grozījums Finanšu un kapitāla tirgus komisijas likumā</w:t>
    </w:r>
    <w:r w:rsidRPr="009F6EC1">
      <w:rPr>
        <w:rFonts w:ascii="Times New Roman" w:hAnsi="Times New Roman" w:cs="Times New Roman"/>
        <w:bCs/>
        <w:sz w:val="18"/>
        <w:szCs w:val="18"/>
      </w:rPr>
      <w:t>" sākotnējās ietekmes novērtējuma ziņojums</w:t>
    </w:r>
    <w:r w:rsidRPr="009F6EC1">
      <w:rPr>
        <w:rFonts w:ascii="Times New Roman" w:hAnsi="Times New Roman" w:cs="Times New Roman"/>
        <w:sz w:val="18"/>
        <w:szCs w:val="18"/>
      </w:rPr>
      <w:t xml:space="preserve"> </w:t>
    </w:r>
    <w:r w:rsidRPr="009F6EC1">
      <w:rPr>
        <w:rFonts w:ascii="Times New Roman" w:hAnsi="Times New Roman" w:cs="Times New Roman"/>
        <w:bCs/>
        <w:sz w:val="18"/>
        <w:szCs w:val="18"/>
      </w:rPr>
      <w:t>(anotācija)</w:t>
    </w:r>
  </w:p>
  <w:sdt>
    <w:sdtPr>
      <w:id w:val="1961991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AF2" w:rsidRPr="009F6EC1" w:rsidRDefault="005A4AF2">
        <w:pPr>
          <w:pStyle w:val="Footer"/>
          <w:jc w:val="right"/>
        </w:pPr>
        <w:r w:rsidRPr="009F6EC1">
          <w:fldChar w:fldCharType="begin"/>
        </w:r>
        <w:r w:rsidRPr="009F6EC1">
          <w:instrText xml:space="preserve"> PAGE   \* MERGEFORMAT </w:instrText>
        </w:r>
        <w:r w:rsidRPr="009F6EC1">
          <w:fldChar w:fldCharType="separate"/>
        </w:r>
        <w:r w:rsidR="00973E49">
          <w:rPr>
            <w:noProof/>
          </w:rPr>
          <w:t>1</w:t>
        </w:r>
        <w:r w:rsidRPr="009F6EC1">
          <w:rPr>
            <w:noProof/>
          </w:rPr>
          <w:fldChar w:fldCharType="end"/>
        </w:r>
      </w:p>
    </w:sdtContent>
  </w:sdt>
  <w:p w:rsidR="008F0FC4" w:rsidRPr="009F6EC1" w:rsidRDefault="008F0F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364" w:rsidRDefault="00C44364" w:rsidP="0002444C">
      <w:pPr>
        <w:spacing w:after="0" w:line="240" w:lineRule="auto"/>
      </w:pPr>
      <w:r>
        <w:separator/>
      </w:r>
    </w:p>
  </w:footnote>
  <w:footnote w:type="continuationSeparator" w:id="0">
    <w:p w:rsidR="00C44364" w:rsidRDefault="00C44364" w:rsidP="00024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63CE"/>
    <w:multiLevelType w:val="hybridMultilevel"/>
    <w:tmpl w:val="31423F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F9C"/>
    <w:multiLevelType w:val="hybridMultilevel"/>
    <w:tmpl w:val="C1FA18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A00CE"/>
    <w:multiLevelType w:val="hybridMultilevel"/>
    <w:tmpl w:val="BA68B54A"/>
    <w:lvl w:ilvl="0" w:tplc="07E2E1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C7428"/>
    <w:multiLevelType w:val="hybridMultilevel"/>
    <w:tmpl w:val="936C1E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FC"/>
    <w:rsid w:val="00001B8F"/>
    <w:rsid w:val="00003017"/>
    <w:rsid w:val="00006BB8"/>
    <w:rsid w:val="0002444C"/>
    <w:rsid w:val="00031F12"/>
    <w:rsid w:val="0009293F"/>
    <w:rsid w:val="000A5490"/>
    <w:rsid w:val="000E185A"/>
    <w:rsid w:val="000E7945"/>
    <w:rsid w:val="000F58D5"/>
    <w:rsid w:val="001843D5"/>
    <w:rsid w:val="001946F7"/>
    <w:rsid w:val="001D0E86"/>
    <w:rsid w:val="001E132F"/>
    <w:rsid w:val="001F77AD"/>
    <w:rsid w:val="002055BD"/>
    <w:rsid w:val="00223629"/>
    <w:rsid w:val="002509DD"/>
    <w:rsid w:val="00290FFD"/>
    <w:rsid w:val="002A7C76"/>
    <w:rsid w:val="002E2658"/>
    <w:rsid w:val="002E4C8F"/>
    <w:rsid w:val="002E5373"/>
    <w:rsid w:val="002E78CE"/>
    <w:rsid w:val="00327A47"/>
    <w:rsid w:val="00331411"/>
    <w:rsid w:val="00352E6B"/>
    <w:rsid w:val="0038169D"/>
    <w:rsid w:val="003872BB"/>
    <w:rsid w:val="003B3DA2"/>
    <w:rsid w:val="003D77D5"/>
    <w:rsid w:val="003E0C88"/>
    <w:rsid w:val="00415376"/>
    <w:rsid w:val="00421DA4"/>
    <w:rsid w:val="0042267A"/>
    <w:rsid w:val="00427CAB"/>
    <w:rsid w:val="00436C2A"/>
    <w:rsid w:val="00481D13"/>
    <w:rsid w:val="00495FE4"/>
    <w:rsid w:val="004D44AF"/>
    <w:rsid w:val="00516BE5"/>
    <w:rsid w:val="00531A0E"/>
    <w:rsid w:val="0056209C"/>
    <w:rsid w:val="00565205"/>
    <w:rsid w:val="0057202A"/>
    <w:rsid w:val="005872F0"/>
    <w:rsid w:val="005A4AF2"/>
    <w:rsid w:val="005B7957"/>
    <w:rsid w:val="005C3208"/>
    <w:rsid w:val="005D2E6F"/>
    <w:rsid w:val="005E06C7"/>
    <w:rsid w:val="005E38E0"/>
    <w:rsid w:val="00622874"/>
    <w:rsid w:val="00631CB7"/>
    <w:rsid w:val="00632BE1"/>
    <w:rsid w:val="00636E5D"/>
    <w:rsid w:val="00677948"/>
    <w:rsid w:val="00686FB1"/>
    <w:rsid w:val="006C72FC"/>
    <w:rsid w:val="006F2F35"/>
    <w:rsid w:val="00707BB6"/>
    <w:rsid w:val="0071443F"/>
    <w:rsid w:val="00730D93"/>
    <w:rsid w:val="007425BA"/>
    <w:rsid w:val="00770F8C"/>
    <w:rsid w:val="0078592F"/>
    <w:rsid w:val="007C4950"/>
    <w:rsid w:val="007D2E85"/>
    <w:rsid w:val="007D3329"/>
    <w:rsid w:val="007F4B04"/>
    <w:rsid w:val="00844CF2"/>
    <w:rsid w:val="0084512C"/>
    <w:rsid w:val="00863753"/>
    <w:rsid w:val="00863898"/>
    <w:rsid w:val="008A01F1"/>
    <w:rsid w:val="008E4585"/>
    <w:rsid w:val="008F0FC4"/>
    <w:rsid w:val="009270C8"/>
    <w:rsid w:val="00942018"/>
    <w:rsid w:val="009727F1"/>
    <w:rsid w:val="00973E49"/>
    <w:rsid w:val="009A71FF"/>
    <w:rsid w:val="009B5536"/>
    <w:rsid w:val="009F6EC1"/>
    <w:rsid w:val="00A043CF"/>
    <w:rsid w:val="00A17EBA"/>
    <w:rsid w:val="00A276BB"/>
    <w:rsid w:val="00A46C2F"/>
    <w:rsid w:val="00A8253C"/>
    <w:rsid w:val="00A85D3C"/>
    <w:rsid w:val="00A959B0"/>
    <w:rsid w:val="00AC3597"/>
    <w:rsid w:val="00AE2F61"/>
    <w:rsid w:val="00B606B5"/>
    <w:rsid w:val="00B66460"/>
    <w:rsid w:val="00B71F23"/>
    <w:rsid w:val="00B75596"/>
    <w:rsid w:val="00B7649C"/>
    <w:rsid w:val="00B83803"/>
    <w:rsid w:val="00B84B8A"/>
    <w:rsid w:val="00BB34E4"/>
    <w:rsid w:val="00BC1F4F"/>
    <w:rsid w:val="00BD5BCE"/>
    <w:rsid w:val="00BF2750"/>
    <w:rsid w:val="00C44364"/>
    <w:rsid w:val="00C44520"/>
    <w:rsid w:val="00C572F3"/>
    <w:rsid w:val="00C60AD6"/>
    <w:rsid w:val="00C6329F"/>
    <w:rsid w:val="00CB6BB0"/>
    <w:rsid w:val="00CD6FC6"/>
    <w:rsid w:val="00CE0E86"/>
    <w:rsid w:val="00D05D1B"/>
    <w:rsid w:val="00D23D67"/>
    <w:rsid w:val="00D5661D"/>
    <w:rsid w:val="00D743DA"/>
    <w:rsid w:val="00D91BBE"/>
    <w:rsid w:val="00DA205D"/>
    <w:rsid w:val="00DB00C7"/>
    <w:rsid w:val="00DB080D"/>
    <w:rsid w:val="00DD5D2B"/>
    <w:rsid w:val="00DE1CB8"/>
    <w:rsid w:val="00E14249"/>
    <w:rsid w:val="00E245D7"/>
    <w:rsid w:val="00E911C5"/>
    <w:rsid w:val="00E95519"/>
    <w:rsid w:val="00EA30B4"/>
    <w:rsid w:val="00EE7F92"/>
    <w:rsid w:val="00EF2A43"/>
    <w:rsid w:val="00F438AD"/>
    <w:rsid w:val="00F7498B"/>
    <w:rsid w:val="00F92FC7"/>
    <w:rsid w:val="00FB55C7"/>
    <w:rsid w:val="00FF0855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497D8-9B06-4485-BBAA-9D3B385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6C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C72FC"/>
  </w:style>
  <w:style w:type="character" w:styleId="Hyperlink">
    <w:name w:val="Hyperlink"/>
    <w:basedOn w:val="DefaultParagraphFont"/>
    <w:uiPriority w:val="99"/>
    <w:unhideWhenUsed/>
    <w:rsid w:val="006C72FC"/>
    <w:rPr>
      <w:color w:val="0000FF"/>
      <w:u w:val="single"/>
    </w:rPr>
  </w:style>
  <w:style w:type="paragraph" w:customStyle="1" w:styleId="tvhtml">
    <w:name w:val="tv_html"/>
    <w:basedOn w:val="Normal"/>
    <w:rsid w:val="006C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244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4C"/>
  </w:style>
  <w:style w:type="paragraph" w:styleId="Footer">
    <w:name w:val="footer"/>
    <w:basedOn w:val="Normal"/>
    <w:link w:val="FooterChar"/>
    <w:uiPriority w:val="99"/>
    <w:unhideWhenUsed/>
    <w:rsid w:val="000244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44C"/>
  </w:style>
  <w:style w:type="paragraph" w:customStyle="1" w:styleId="default">
    <w:name w:val="default"/>
    <w:basedOn w:val="Normal"/>
    <w:rsid w:val="007F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7F4B04"/>
  </w:style>
  <w:style w:type="character" w:styleId="Strong">
    <w:name w:val="Strong"/>
    <w:basedOn w:val="DefaultParagraphFont"/>
    <w:uiPriority w:val="22"/>
    <w:qFormat/>
    <w:rsid w:val="007F4B04"/>
    <w:rPr>
      <w:b/>
      <w:bCs/>
    </w:rPr>
  </w:style>
  <w:style w:type="paragraph" w:styleId="NormalWeb">
    <w:name w:val="Normal (Web)"/>
    <w:basedOn w:val="Normal"/>
    <w:uiPriority w:val="99"/>
    <w:unhideWhenUsed/>
    <w:rsid w:val="0086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37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638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1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1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0E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4201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1424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58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65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2013L0036:LV: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xUriServ/LexUriServ.do?uri=CELEX:32013L0036:LV: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ura.Tiltina@f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4707</Words>
  <Characters>2683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"Grozījums Finanšu un kapitāla tirgus komisijas likumā" sākotnējās ietekmes novērtējuma ziņojums (anotācija)</dc:title>
  <dc:subject>Anotācija</dc:subject>
  <dc:creator>Laura Tiltiņa</dc:creator>
  <dc:description>67083857
Laura.Tiltina@fm.gov.lv </dc:description>
  <cp:lastModifiedBy>Liene Strēlniece</cp:lastModifiedBy>
  <cp:revision>6</cp:revision>
  <cp:lastPrinted>2014-12-11T12:38:00Z</cp:lastPrinted>
  <dcterms:created xsi:type="dcterms:W3CDTF">2014-12-11T12:29:00Z</dcterms:created>
  <dcterms:modified xsi:type="dcterms:W3CDTF">2014-12-15T08:52:00Z</dcterms:modified>
</cp:coreProperties>
</file>