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3863A" w14:textId="1C6A6586" w:rsidR="00D175E9" w:rsidRPr="00D175E9" w:rsidRDefault="007D1A10" w:rsidP="00D175E9">
      <w:pPr>
        <w:pStyle w:val="naislab"/>
        <w:jc w:val="center"/>
        <w:rPr>
          <w:b/>
          <w:sz w:val="28"/>
          <w:szCs w:val="28"/>
        </w:rPr>
      </w:pPr>
      <w:r w:rsidRPr="006F4081">
        <w:rPr>
          <w:b/>
          <w:sz w:val="28"/>
          <w:szCs w:val="28"/>
        </w:rPr>
        <w:t>Minist</w:t>
      </w:r>
      <w:r>
        <w:rPr>
          <w:b/>
          <w:sz w:val="28"/>
          <w:szCs w:val="28"/>
        </w:rPr>
        <w:t xml:space="preserve">ru kabineta noteikumu projekta </w:t>
      </w:r>
      <w:r w:rsidR="001335E3">
        <w:rPr>
          <w:b/>
          <w:sz w:val="28"/>
          <w:szCs w:val="28"/>
        </w:rPr>
        <w:t>“</w:t>
      </w:r>
      <w:r w:rsidRPr="00682D3B">
        <w:rPr>
          <w:b/>
          <w:sz w:val="28"/>
          <w:szCs w:val="28"/>
        </w:rPr>
        <w:t xml:space="preserve">Noteikumi par </w:t>
      </w:r>
      <w:proofErr w:type="spellStart"/>
      <w:r w:rsidRPr="00682D3B">
        <w:rPr>
          <w:b/>
          <w:sz w:val="28"/>
          <w:szCs w:val="28"/>
        </w:rPr>
        <w:t>mikrouzņēmumu</w:t>
      </w:r>
      <w:proofErr w:type="spellEnd"/>
      <w:r w:rsidRPr="00682D3B">
        <w:rPr>
          <w:b/>
          <w:sz w:val="28"/>
          <w:szCs w:val="28"/>
        </w:rPr>
        <w:t xml:space="preserve"> nodokļa deklarāciju un tās aizpildīšanas kārtību</w:t>
      </w:r>
      <w:r>
        <w:rPr>
          <w:b/>
          <w:sz w:val="28"/>
          <w:szCs w:val="28"/>
        </w:rPr>
        <w:t>”</w:t>
      </w:r>
      <w:r w:rsidRPr="006F4081">
        <w:rPr>
          <w:b/>
          <w:sz w:val="28"/>
          <w:szCs w:val="28"/>
        </w:rPr>
        <w:t xml:space="preserve"> sākotnējās ietekmes novērtējuma ziņojums (anotācija)</w:t>
      </w:r>
    </w:p>
    <w:tbl>
      <w:tblPr>
        <w:tblpPr w:leftFromText="180" w:rightFromText="180" w:vertAnchor="text" w:horzAnchor="margin" w:tblpXSpec="center" w:tblpY="149"/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885"/>
        <w:gridCol w:w="5912"/>
      </w:tblGrid>
      <w:tr w:rsidR="00D175E9" w:rsidRPr="00DD49B6" w14:paraId="7B3AC363" w14:textId="77777777" w:rsidTr="0089091C">
        <w:trPr>
          <w:trHeight w:val="419"/>
        </w:trPr>
        <w:tc>
          <w:tcPr>
            <w:tcW w:w="5000" w:type="pct"/>
            <w:gridSpan w:val="3"/>
            <w:vAlign w:val="center"/>
          </w:tcPr>
          <w:p w14:paraId="74E11DA2" w14:textId="77777777" w:rsidR="00D175E9" w:rsidRPr="00DD49B6" w:rsidRDefault="00D175E9" w:rsidP="0089091C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rPr>
                <w:b w:val="0"/>
              </w:rPr>
              <w:t>I. Tiesību akta projekta izstrādes nepieciešamība</w:t>
            </w:r>
          </w:p>
        </w:tc>
      </w:tr>
      <w:tr w:rsidR="00D175E9" w:rsidRPr="00DD49B6" w14:paraId="527EA910" w14:textId="77777777" w:rsidTr="0089091C">
        <w:trPr>
          <w:trHeight w:val="415"/>
        </w:trPr>
        <w:tc>
          <w:tcPr>
            <w:tcW w:w="365" w:type="pct"/>
          </w:tcPr>
          <w:p w14:paraId="1866B0C4" w14:textId="77777777" w:rsidR="00D175E9" w:rsidRPr="00DD49B6" w:rsidRDefault="00D175E9" w:rsidP="0089091C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520" w:type="pct"/>
          </w:tcPr>
          <w:p w14:paraId="36981629" w14:textId="77777777" w:rsidR="00D175E9" w:rsidRPr="00DD49B6" w:rsidRDefault="00D175E9" w:rsidP="0089091C">
            <w:pPr>
              <w:pStyle w:val="naiskr"/>
              <w:spacing w:before="0" w:after="0"/>
              <w:ind w:left="57" w:right="57"/>
            </w:pPr>
            <w:r w:rsidRPr="00DD49B6">
              <w:t>Pamatojums</w:t>
            </w:r>
          </w:p>
        </w:tc>
        <w:tc>
          <w:tcPr>
            <w:tcW w:w="3115" w:type="pct"/>
          </w:tcPr>
          <w:p w14:paraId="45D06227" w14:textId="0BF397A1" w:rsidR="00D175E9" w:rsidRPr="00731DFC" w:rsidRDefault="0089091C" w:rsidP="00AE3D7B">
            <w:pPr>
              <w:jc w:val="both"/>
              <w:rPr>
                <w:lang w:eastAsia="en-US"/>
              </w:rPr>
            </w:pPr>
            <w:r w:rsidRPr="00731DFC">
              <w:t xml:space="preserve">2013.gada </w:t>
            </w:r>
            <w:r w:rsidR="00272BC5" w:rsidRPr="00731DFC">
              <w:t>6</w:t>
            </w:r>
            <w:r w:rsidRPr="00731DFC">
              <w:t>.novembra l</w:t>
            </w:r>
            <w:r w:rsidRPr="00731DFC">
              <w:rPr>
                <w:lang w:eastAsia="en-US"/>
              </w:rPr>
              <w:t xml:space="preserve">ikums </w:t>
            </w:r>
            <w:r w:rsidR="001335E3">
              <w:rPr>
                <w:lang w:eastAsia="en-US"/>
              </w:rPr>
              <w:t>“</w:t>
            </w:r>
            <w:r w:rsidRPr="00731DFC">
              <w:rPr>
                <w:lang w:eastAsia="en-US"/>
              </w:rPr>
              <w:t xml:space="preserve">Grozījumi </w:t>
            </w:r>
            <w:proofErr w:type="spellStart"/>
            <w:r w:rsidRPr="00731DFC">
              <w:rPr>
                <w:lang w:eastAsia="en-US"/>
              </w:rPr>
              <w:t>Mikrouzņēmumu</w:t>
            </w:r>
            <w:proofErr w:type="spellEnd"/>
            <w:r w:rsidRPr="00731DFC">
              <w:rPr>
                <w:lang w:eastAsia="en-US"/>
              </w:rPr>
              <w:t xml:space="preserve"> nodokļ</w:t>
            </w:r>
            <w:r w:rsidR="001335E3">
              <w:rPr>
                <w:lang w:eastAsia="en-US"/>
              </w:rPr>
              <w:t>a</w:t>
            </w:r>
            <w:r w:rsidRPr="00731DFC">
              <w:rPr>
                <w:lang w:eastAsia="en-US"/>
              </w:rPr>
              <w:t xml:space="preserve"> likumā”.</w:t>
            </w:r>
          </w:p>
          <w:p w14:paraId="378145F7" w14:textId="520834EB" w:rsidR="002653DD" w:rsidRDefault="002653DD" w:rsidP="00E81F8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Saskaņā ar Ministru prezidenta 2012.gada 26.novembra rīkojuma Nr.555 (prot.Nr.65 27§) </w:t>
            </w:r>
            <w:r w:rsidR="001335E3">
              <w:rPr>
                <w:rFonts w:eastAsia="Calibri"/>
                <w:lang w:eastAsia="en-US"/>
              </w:rPr>
              <w:t>“</w:t>
            </w:r>
            <w:r>
              <w:rPr>
                <w:rFonts w:eastAsia="Calibri"/>
                <w:lang w:eastAsia="en-US"/>
              </w:rPr>
              <w:t xml:space="preserve">Par Koncepciju par mazo uzņēmumu nodokļa maksāšanas režīmu konsolidāciju un vienkāršošanu” 5.1.apakšpunktu, kas paredz Finanšu ministrijai izstrādāt un finanšu ministram sešu mēnešu laikā pēc likumprojekta </w:t>
            </w:r>
            <w:r w:rsidR="001335E3">
              <w:rPr>
                <w:rFonts w:eastAsia="Calibri"/>
                <w:lang w:eastAsia="en-US"/>
              </w:rPr>
              <w:t>“</w:t>
            </w:r>
            <w:r>
              <w:rPr>
                <w:rFonts w:eastAsia="Calibri"/>
                <w:lang w:eastAsia="en-US"/>
              </w:rPr>
              <w:t xml:space="preserve">Grozījumi </w:t>
            </w:r>
            <w:proofErr w:type="spellStart"/>
            <w:r>
              <w:rPr>
                <w:rFonts w:eastAsia="Calibri"/>
                <w:lang w:eastAsia="en-US"/>
              </w:rPr>
              <w:t>Mikrouzņēmumu</w:t>
            </w:r>
            <w:proofErr w:type="spellEnd"/>
            <w:r>
              <w:rPr>
                <w:rFonts w:eastAsia="Calibri"/>
                <w:lang w:eastAsia="en-US"/>
              </w:rPr>
              <w:t xml:space="preserve"> nodokļ</w:t>
            </w:r>
            <w:r w:rsidR="001335E3">
              <w:rPr>
                <w:rFonts w:eastAsia="Calibri"/>
                <w:lang w:eastAsia="en-US"/>
              </w:rPr>
              <w:t>a</w:t>
            </w:r>
            <w:r>
              <w:rPr>
                <w:rFonts w:eastAsia="Calibri"/>
                <w:lang w:eastAsia="en-US"/>
              </w:rPr>
              <w:t xml:space="preserve"> likumā” spēkā stāšanās noteiktā kārtībā iesniegt Ministru kabinetā noteikumu projektu par grozījumiem Ministru kabineta 2010.gada 31.augusta noteikumos Nr.819 </w:t>
            </w:r>
            <w:r w:rsidR="001335E3">
              <w:rPr>
                <w:rFonts w:eastAsia="Calibri"/>
                <w:lang w:eastAsia="en-US"/>
              </w:rPr>
              <w:t>“</w:t>
            </w:r>
            <w:r>
              <w:rPr>
                <w:rFonts w:eastAsia="Calibri"/>
                <w:lang w:eastAsia="en-US"/>
              </w:rPr>
              <w:t xml:space="preserve">Noteikumi par </w:t>
            </w:r>
            <w:proofErr w:type="spellStart"/>
            <w:r>
              <w:rPr>
                <w:rFonts w:eastAsia="Calibri"/>
                <w:lang w:eastAsia="en-US"/>
              </w:rPr>
              <w:t>mikrouzņēmumu</w:t>
            </w:r>
            <w:proofErr w:type="spellEnd"/>
            <w:r>
              <w:rPr>
                <w:rFonts w:eastAsia="Calibri"/>
                <w:lang w:eastAsia="en-US"/>
              </w:rPr>
              <w:t xml:space="preserve"> nodokļa</w:t>
            </w:r>
            <w:r w:rsidR="00D434C3">
              <w:rPr>
                <w:rFonts w:eastAsia="Calibri"/>
                <w:lang w:eastAsia="en-US"/>
              </w:rPr>
              <w:t xml:space="preserve"> deklarāciju un tās aizpildīšanas kārtību</w:t>
            </w:r>
            <w:r>
              <w:rPr>
                <w:rFonts w:eastAsia="Calibri"/>
                <w:lang w:eastAsia="en-US"/>
              </w:rPr>
              <w:t>”</w:t>
            </w:r>
          </w:p>
          <w:p w14:paraId="0396FD43" w14:textId="0167C014" w:rsidR="00731DFC" w:rsidRPr="00DD49B6" w:rsidRDefault="00731DFC" w:rsidP="003F6056">
            <w:pPr>
              <w:jc w:val="both"/>
              <w:rPr>
                <w:shd w:val="clear" w:color="auto" w:fill="FFFFFF"/>
              </w:rPr>
            </w:pPr>
          </w:p>
        </w:tc>
      </w:tr>
      <w:tr w:rsidR="00D175E9" w:rsidRPr="00DD49B6" w14:paraId="77148E2D" w14:textId="77777777" w:rsidTr="0089091C">
        <w:trPr>
          <w:trHeight w:val="472"/>
        </w:trPr>
        <w:tc>
          <w:tcPr>
            <w:tcW w:w="365" w:type="pct"/>
          </w:tcPr>
          <w:p w14:paraId="6028ADB7" w14:textId="77777777" w:rsidR="00D175E9" w:rsidRPr="00DD49B6" w:rsidRDefault="00D175E9" w:rsidP="0089091C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520" w:type="pct"/>
          </w:tcPr>
          <w:p w14:paraId="139D3CB2" w14:textId="77777777" w:rsidR="00D175E9" w:rsidRPr="00DD49B6" w:rsidRDefault="00D175E9" w:rsidP="0089091C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DD49B6">
              <w:t>Pašreizējā situācija un problēmas, kuru risināšanai tiesību akta projekts izstrādāts, tiesiskā regulējuma mērķis un būtība</w:t>
            </w:r>
          </w:p>
        </w:tc>
        <w:tc>
          <w:tcPr>
            <w:tcW w:w="3115" w:type="pct"/>
          </w:tcPr>
          <w:p w14:paraId="122E2BC5" w14:textId="565BFAFF" w:rsidR="0089091C" w:rsidRPr="0089091C" w:rsidRDefault="0089091C" w:rsidP="00AE3D7B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  <w:r w:rsidRPr="0089091C">
              <w:t xml:space="preserve">Saskaņā ar 2013.gada </w:t>
            </w:r>
            <w:r w:rsidR="00272BC5">
              <w:t>6</w:t>
            </w:r>
            <w:r w:rsidRPr="0089091C">
              <w:t xml:space="preserve">.novembrī pieņemto likumu </w:t>
            </w:r>
            <w:r w:rsidR="001335E3">
              <w:t>“</w:t>
            </w:r>
            <w:r w:rsidRPr="0089091C">
              <w:t xml:space="preserve">Grozījumi </w:t>
            </w:r>
            <w:proofErr w:type="spellStart"/>
            <w:r w:rsidRPr="0089091C">
              <w:t>Mikrouzņēmumu</w:t>
            </w:r>
            <w:proofErr w:type="spellEnd"/>
            <w:r w:rsidRPr="0089091C">
              <w:t xml:space="preserve"> nodokļa likumā”, ir noteikts jauns regulējums </w:t>
            </w:r>
            <w:proofErr w:type="spellStart"/>
            <w:r w:rsidRPr="0089091C">
              <w:rPr>
                <w:iCs/>
              </w:rPr>
              <w:t>mikrouzņēmumu</w:t>
            </w:r>
            <w:proofErr w:type="spellEnd"/>
            <w:r w:rsidRPr="0089091C">
              <w:rPr>
                <w:iCs/>
              </w:rPr>
              <w:t xml:space="preserve"> nodokļa likmes piemērošanai</w:t>
            </w:r>
            <w:r w:rsidRPr="0089091C">
              <w:t xml:space="preserve"> </w:t>
            </w:r>
            <w:r w:rsidRPr="0089091C">
              <w:rPr>
                <w:iCs/>
              </w:rPr>
              <w:t xml:space="preserve">gadījumos, ja </w:t>
            </w:r>
            <w:proofErr w:type="spellStart"/>
            <w:r w:rsidRPr="0089091C">
              <w:rPr>
                <w:iCs/>
              </w:rPr>
              <w:t>mikrouzņēmumu</w:t>
            </w:r>
            <w:proofErr w:type="spellEnd"/>
            <w:r w:rsidRPr="0089091C">
              <w:rPr>
                <w:iCs/>
              </w:rPr>
              <w:t xml:space="preserve"> nodokļa maksātājam taksācijas perioda laikā, precizējot kādu no iepriekšējo taksācijas periodu </w:t>
            </w:r>
            <w:proofErr w:type="spellStart"/>
            <w:r w:rsidRPr="0089091C">
              <w:rPr>
                <w:iCs/>
              </w:rPr>
              <w:t>mikrouzņēmumu</w:t>
            </w:r>
            <w:proofErr w:type="spellEnd"/>
            <w:r w:rsidRPr="0089091C">
              <w:rPr>
                <w:iCs/>
              </w:rPr>
              <w:t xml:space="preserve"> nodokļa ceturkšņa deklarācijām vai iesniedzot </w:t>
            </w:r>
            <w:proofErr w:type="spellStart"/>
            <w:r w:rsidRPr="0089091C">
              <w:rPr>
                <w:iCs/>
              </w:rPr>
              <w:t>mikrouzņēmumu</w:t>
            </w:r>
            <w:proofErr w:type="spellEnd"/>
            <w:r w:rsidRPr="0089091C">
              <w:rPr>
                <w:iCs/>
              </w:rPr>
              <w:t xml:space="preserve"> nodokļa deklarāciju ar nokavējumu,</w:t>
            </w:r>
            <w:r w:rsidRPr="0089091C">
              <w:rPr>
                <w:b/>
                <w:iCs/>
              </w:rPr>
              <w:t xml:space="preserve"> </w:t>
            </w:r>
            <w:r w:rsidRPr="0089091C">
              <w:rPr>
                <w:iCs/>
              </w:rPr>
              <w:t xml:space="preserve">tiek konstatēts, ka nav izpildīts kāds no likumā noteiktajiem ierobežojumiem, kas dod tiesības </w:t>
            </w:r>
            <w:r w:rsidR="008E792D">
              <w:rPr>
                <w:iCs/>
              </w:rPr>
              <w:t>saglabāt</w:t>
            </w:r>
            <w:r w:rsidRPr="0089091C">
              <w:rPr>
                <w:iCs/>
              </w:rPr>
              <w:t xml:space="preserve"> </w:t>
            </w:r>
            <w:proofErr w:type="spellStart"/>
            <w:r w:rsidRPr="0089091C">
              <w:rPr>
                <w:iCs/>
              </w:rPr>
              <w:t>mikrouzņēmumu</w:t>
            </w:r>
            <w:proofErr w:type="spellEnd"/>
            <w:r w:rsidRPr="0089091C">
              <w:rPr>
                <w:iCs/>
              </w:rPr>
              <w:t xml:space="preserve"> nodok</w:t>
            </w:r>
            <w:r w:rsidR="008E792D">
              <w:rPr>
                <w:iCs/>
              </w:rPr>
              <w:t>ļa maksātāja statusu pēctaksācijas gadā</w:t>
            </w:r>
            <w:r w:rsidRPr="0089091C">
              <w:rPr>
                <w:iCs/>
              </w:rPr>
              <w:t xml:space="preserve">. </w:t>
            </w:r>
          </w:p>
          <w:p w14:paraId="1051D366" w14:textId="0D60948F" w:rsidR="0089091C" w:rsidRPr="0089091C" w:rsidRDefault="0089091C" w:rsidP="00AE3D7B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  <w:r w:rsidRPr="0089091C">
              <w:rPr>
                <w:iCs/>
              </w:rPr>
              <w:t>Ir noteikts</w:t>
            </w:r>
            <w:r w:rsidR="00215F77">
              <w:rPr>
                <w:iCs/>
              </w:rPr>
              <w:t xml:space="preserve"> </w:t>
            </w:r>
            <w:r w:rsidR="00215F77" w:rsidRPr="00215F77">
              <w:rPr>
                <w:iCs/>
              </w:rPr>
              <w:t xml:space="preserve">minimālais </w:t>
            </w:r>
            <w:proofErr w:type="spellStart"/>
            <w:r w:rsidRPr="0089091C">
              <w:rPr>
                <w:iCs/>
              </w:rPr>
              <w:t>mikrouzņēmumu</w:t>
            </w:r>
            <w:proofErr w:type="spellEnd"/>
            <w:r w:rsidRPr="0089091C">
              <w:rPr>
                <w:iCs/>
              </w:rPr>
              <w:t xml:space="preserve"> nodokļa maksājums tiem </w:t>
            </w:r>
            <w:proofErr w:type="spellStart"/>
            <w:r w:rsidRPr="0089091C">
              <w:rPr>
                <w:iCs/>
              </w:rPr>
              <w:t>mikrouzņēmumiem</w:t>
            </w:r>
            <w:proofErr w:type="spellEnd"/>
            <w:r w:rsidRPr="0089091C">
              <w:rPr>
                <w:iCs/>
              </w:rPr>
              <w:t xml:space="preserve">, kuriem </w:t>
            </w:r>
            <w:r w:rsidR="00272BC5">
              <w:rPr>
                <w:iCs/>
              </w:rPr>
              <w:t xml:space="preserve">taksācijas gadā </w:t>
            </w:r>
            <w:r w:rsidRPr="0089091C">
              <w:rPr>
                <w:iCs/>
              </w:rPr>
              <w:t xml:space="preserve">nav bijis apgrozījums vai aprēķinātā </w:t>
            </w:r>
            <w:proofErr w:type="spellStart"/>
            <w:r w:rsidRPr="0089091C">
              <w:rPr>
                <w:iCs/>
              </w:rPr>
              <w:t>mikrouzņēmumu</w:t>
            </w:r>
            <w:proofErr w:type="spellEnd"/>
            <w:r w:rsidRPr="0089091C">
              <w:rPr>
                <w:iCs/>
              </w:rPr>
              <w:t xml:space="preserve"> nodokļa summa </w:t>
            </w:r>
            <w:r w:rsidR="00547039">
              <w:rPr>
                <w:iCs/>
              </w:rPr>
              <w:t>ir mazāka par</w:t>
            </w:r>
            <w:r w:rsidR="00547039" w:rsidRPr="0089091C">
              <w:rPr>
                <w:iCs/>
              </w:rPr>
              <w:t xml:space="preserve"> </w:t>
            </w:r>
            <w:r w:rsidRPr="0089091C">
              <w:rPr>
                <w:iCs/>
              </w:rPr>
              <w:t>50</w:t>
            </w:r>
            <w:r w:rsidR="00FA79D0">
              <w:rPr>
                <w:iCs/>
              </w:rPr>
              <w:t> </w:t>
            </w:r>
            <w:proofErr w:type="spellStart"/>
            <w:r w:rsidRPr="0089091C">
              <w:rPr>
                <w:i/>
                <w:iCs/>
              </w:rPr>
              <w:t>euro</w:t>
            </w:r>
            <w:proofErr w:type="spellEnd"/>
            <w:r w:rsidRPr="0089091C">
              <w:rPr>
                <w:iCs/>
              </w:rPr>
              <w:t xml:space="preserve">. </w:t>
            </w:r>
          </w:p>
          <w:p w14:paraId="2E27B7B0" w14:textId="19060105" w:rsidR="0089091C" w:rsidRPr="0089091C" w:rsidRDefault="0089091C" w:rsidP="00AE3D7B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  <w:proofErr w:type="spellStart"/>
            <w:r w:rsidRPr="0089091C">
              <w:rPr>
                <w:iCs/>
              </w:rPr>
              <w:t>Mikrouzņēmumu</w:t>
            </w:r>
            <w:proofErr w:type="spellEnd"/>
            <w:r w:rsidRPr="0089091C">
              <w:rPr>
                <w:iCs/>
              </w:rPr>
              <w:t xml:space="preserve"> nodokļa likumā noteikti kritēriji, kad nodokļa maksātājam ir tiesības izvēlēties</w:t>
            </w:r>
            <w:r w:rsidR="008E5717">
              <w:rPr>
                <w:iCs/>
              </w:rPr>
              <w:t>:</w:t>
            </w:r>
            <w:r w:rsidRPr="0089091C">
              <w:rPr>
                <w:iCs/>
              </w:rPr>
              <w:t xml:space="preserve"> nepiemērot</w:t>
            </w:r>
            <w:r w:rsidR="008E5717">
              <w:rPr>
                <w:iCs/>
              </w:rPr>
              <w:br/>
            </w:r>
            <w:r w:rsidRPr="0089091C">
              <w:rPr>
                <w:iCs/>
              </w:rPr>
              <w:t>20</w:t>
            </w:r>
            <w:r w:rsidR="008E5717">
              <w:rPr>
                <w:iCs/>
              </w:rPr>
              <w:t xml:space="preserve"> procentu </w:t>
            </w:r>
            <w:r w:rsidRPr="0089091C">
              <w:rPr>
                <w:iCs/>
              </w:rPr>
              <w:t xml:space="preserve">nodokļa papildlikmi, ja ir pārsniegts </w:t>
            </w:r>
            <w:proofErr w:type="spellStart"/>
            <w:r w:rsidRPr="0089091C">
              <w:rPr>
                <w:iCs/>
              </w:rPr>
              <w:t>mikrouzņēmuma</w:t>
            </w:r>
            <w:proofErr w:type="spellEnd"/>
            <w:r w:rsidRPr="0089091C">
              <w:rPr>
                <w:iCs/>
              </w:rPr>
              <w:t xml:space="preserve"> apgrozījuma</w:t>
            </w:r>
            <w:r w:rsidR="007C51DF">
              <w:rPr>
                <w:iCs/>
              </w:rPr>
              <w:t xml:space="preserve"> ierobežojums</w:t>
            </w:r>
            <w:r w:rsidR="00FF3321">
              <w:rPr>
                <w:iCs/>
              </w:rPr>
              <w:t>,</w:t>
            </w:r>
            <w:r w:rsidRPr="0089091C">
              <w:rPr>
                <w:iCs/>
              </w:rPr>
              <w:t xml:space="preserve"> vai </w:t>
            </w:r>
            <w:r w:rsidR="00FF3321">
              <w:rPr>
                <w:iCs/>
              </w:rPr>
              <w:t xml:space="preserve">nepiemērot noteiktajai pamatlikmei papildus </w:t>
            </w:r>
            <w:r w:rsidR="008E5717">
              <w:rPr>
                <w:iCs/>
              </w:rPr>
              <w:t>divus</w:t>
            </w:r>
            <w:r w:rsidR="00FF3321">
              <w:rPr>
                <w:iCs/>
              </w:rPr>
              <w:t xml:space="preserve"> procenta punktus par katru papildus nodarbināto darbinieku, ja ir pārsniegts </w:t>
            </w:r>
            <w:r w:rsidRPr="0089091C">
              <w:rPr>
                <w:iCs/>
              </w:rPr>
              <w:t xml:space="preserve">darbinieku skaita ierobežojums. </w:t>
            </w:r>
          </w:p>
          <w:p w14:paraId="44BEA74A" w14:textId="5BA978A7" w:rsidR="0089091C" w:rsidRDefault="0089091C" w:rsidP="00AE3D7B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  <w:r w:rsidRPr="0089091C">
              <w:rPr>
                <w:iCs/>
              </w:rPr>
              <w:t xml:space="preserve">Ministru kabineta 2010.gada 31.augusta noteikumos Nr.819 </w:t>
            </w:r>
            <w:r w:rsidR="008E5717">
              <w:rPr>
                <w:iCs/>
              </w:rPr>
              <w:t>“</w:t>
            </w:r>
            <w:r w:rsidRPr="0089091C">
              <w:rPr>
                <w:iCs/>
              </w:rPr>
              <w:t xml:space="preserve">Noteikumi par </w:t>
            </w:r>
            <w:proofErr w:type="spellStart"/>
            <w:r w:rsidRPr="0089091C">
              <w:rPr>
                <w:iCs/>
              </w:rPr>
              <w:t>mikrouzņēmumu</w:t>
            </w:r>
            <w:proofErr w:type="spellEnd"/>
            <w:r w:rsidRPr="0089091C">
              <w:rPr>
                <w:iCs/>
              </w:rPr>
              <w:t xml:space="preserve"> nodokļa deklarāciju un tās aizpildīšanas kārtību” nav noteikta kārtība, kādā aizpilda </w:t>
            </w:r>
            <w:proofErr w:type="spellStart"/>
            <w:r w:rsidRPr="0089091C">
              <w:rPr>
                <w:iCs/>
              </w:rPr>
              <w:t>mikrouzņēmumu</w:t>
            </w:r>
            <w:proofErr w:type="spellEnd"/>
            <w:r w:rsidRPr="0089091C">
              <w:rPr>
                <w:iCs/>
              </w:rPr>
              <w:t xml:space="preserve"> nodokļa deklarāciju gadījumos, kad ir piemērojama 20</w:t>
            </w:r>
            <w:r w:rsidR="008E5717">
              <w:rPr>
                <w:iCs/>
              </w:rPr>
              <w:t xml:space="preserve"> procentu</w:t>
            </w:r>
            <w:r w:rsidRPr="0089091C">
              <w:rPr>
                <w:iCs/>
              </w:rPr>
              <w:t xml:space="preserve"> </w:t>
            </w:r>
            <w:r w:rsidR="00215F77" w:rsidRPr="00215F77">
              <w:rPr>
                <w:iCs/>
              </w:rPr>
              <w:t xml:space="preserve">likme uz </w:t>
            </w:r>
            <w:proofErr w:type="spellStart"/>
            <w:r w:rsidR="00215F77" w:rsidRPr="00215F77">
              <w:rPr>
                <w:iCs/>
              </w:rPr>
              <w:t>mikrouzņēmumu</w:t>
            </w:r>
            <w:proofErr w:type="spellEnd"/>
            <w:r w:rsidR="00215F77" w:rsidRPr="00215F77">
              <w:rPr>
                <w:iCs/>
              </w:rPr>
              <w:t xml:space="preserve"> attiecināmai personālsabiedrības peļņas daļai</w:t>
            </w:r>
            <w:r w:rsidRPr="0089091C">
              <w:rPr>
                <w:iCs/>
              </w:rPr>
              <w:t xml:space="preserve"> gadījumos, kad precizē iepriekšējo taksācijas periodu deklarāciju, un deklarācijas aizpildīšana, kad maksājams minimālais 50 </w:t>
            </w:r>
            <w:proofErr w:type="spellStart"/>
            <w:r w:rsidRPr="0089091C">
              <w:rPr>
                <w:i/>
                <w:iCs/>
              </w:rPr>
              <w:t>euro</w:t>
            </w:r>
            <w:proofErr w:type="spellEnd"/>
            <w:r w:rsidRPr="0089091C">
              <w:rPr>
                <w:iCs/>
              </w:rPr>
              <w:t xml:space="preserve"> nodoklis, kā arī </w:t>
            </w:r>
            <w:proofErr w:type="spellStart"/>
            <w:r w:rsidRPr="0089091C">
              <w:rPr>
                <w:iCs/>
              </w:rPr>
              <w:t>mikrouzņēmumu</w:t>
            </w:r>
            <w:proofErr w:type="spellEnd"/>
            <w:r w:rsidRPr="0089091C">
              <w:rPr>
                <w:iCs/>
              </w:rPr>
              <w:t xml:space="preserve"> deklarācijas aizpildīšanas </w:t>
            </w:r>
            <w:r w:rsidRPr="0089091C">
              <w:rPr>
                <w:iCs/>
              </w:rPr>
              <w:lastRenderedPageBreak/>
              <w:t xml:space="preserve">kārtība, ja </w:t>
            </w:r>
            <w:proofErr w:type="spellStart"/>
            <w:r w:rsidRPr="0089091C">
              <w:rPr>
                <w:iCs/>
              </w:rPr>
              <w:t>mikrouzņēmums</w:t>
            </w:r>
            <w:proofErr w:type="spellEnd"/>
            <w:r w:rsidRPr="0089091C">
              <w:rPr>
                <w:iCs/>
              </w:rPr>
              <w:t xml:space="preserve"> izmanto iespēju nemaksāt</w:t>
            </w:r>
            <w:r w:rsidR="008E5717">
              <w:rPr>
                <w:iCs/>
              </w:rPr>
              <w:br/>
            </w:r>
            <w:r w:rsidRPr="0089091C">
              <w:rPr>
                <w:iCs/>
              </w:rPr>
              <w:t>20</w:t>
            </w:r>
            <w:r w:rsidR="008E5717">
              <w:rPr>
                <w:iCs/>
              </w:rPr>
              <w:t xml:space="preserve"> procentu</w:t>
            </w:r>
            <w:r w:rsidRPr="0089091C">
              <w:rPr>
                <w:iCs/>
              </w:rPr>
              <w:t xml:space="preserve"> papildlikmi gadījumos, kad pārsniegts </w:t>
            </w:r>
            <w:proofErr w:type="spellStart"/>
            <w:r w:rsidRPr="0089091C">
              <w:rPr>
                <w:iCs/>
              </w:rPr>
              <w:t>mikrouzņēmuma</w:t>
            </w:r>
            <w:proofErr w:type="spellEnd"/>
            <w:r w:rsidRPr="0089091C">
              <w:rPr>
                <w:iCs/>
              </w:rPr>
              <w:t xml:space="preserve"> apgrozījuma</w:t>
            </w:r>
            <w:r w:rsidR="00A9513F">
              <w:rPr>
                <w:iCs/>
              </w:rPr>
              <w:t xml:space="preserve"> ierobežojums</w:t>
            </w:r>
            <w:r w:rsidR="00FF3321">
              <w:rPr>
                <w:iCs/>
              </w:rPr>
              <w:t>, vai izmanto iespēju</w:t>
            </w:r>
            <w:r w:rsidR="00FF3321" w:rsidRPr="0089091C">
              <w:rPr>
                <w:iCs/>
              </w:rPr>
              <w:t xml:space="preserve"> </w:t>
            </w:r>
            <w:r w:rsidR="00FF3321">
              <w:rPr>
                <w:iCs/>
              </w:rPr>
              <w:t xml:space="preserve">nepiemērot papildus noteiktajai pamatlikmei </w:t>
            </w:r>
            <w:r w:rsidR="008E5717">
              <w:rPr>
                <w:iCs/>
              </w:rPr>
              <w:t xml:space="preserve">divus </w:t>
            </w:r>
            <w:r w:rsidR="00FF3321">
              <w:rPr>
                <w:iCs/>
              </w:rPr>
              <w:t xml:space="preserve"> procenta punktus par katru papildus nodarbināto darbinieku, ja ir pārsniegts </w:t>
            </w:r>
            <w:r w:rsidR="00FF3321" w:rsidRPr="0089091C">
              <w:rPr>
                <w:iCs/>
              </w:rPr>
              <w:t>darbinieku skaita ierobežojums</w:t>
            </w:r>
            <w:r w:rsidRPr="0089091C">
              <w:rPr>
                <w:iCs/>
              </w:rPr>
              <w:t>.</w:t>
            </w:r>
          </w:p>
          <w:p w14:paraId="61249F3E" w14:textId="0F868D91" w:rsidR="00D175E9" w:rsidRDefault="00CA3A25" w:rsidP="00AE3D7B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Tādējādi n</w:t>
            </w:r>
            <w:r w:rsidR="0089091C" w:rsidRPr="0089091C">
              <w:rPr>
                <w:b w:val="0"/>
                <w:iCs/>
                <w:sz w:val="24"/>
                <w:szCs w:val="24"/>
              </w:rPr>
              <w:t xml:space="preserve">epieciešami grozījumi </w:t>
            </w:r>
            <w:proofErr w:type="spellStart"/>
            <w:r w:rsidR="0089091C" w:rsidRPr="0089091C">
              <w:rPr>
                <w:b w:val="0"/>
                <w:iCs/>
                <w:sz w:val="24"/>
                <w:szCs w:val="24"/>
              </w:rPr>
              <w:t>mikrouzņēmumu</w:t>
            </w:r>
            <w:proofErr w:type="spellEnd"/>
            <w:r w:rsidR="0089091C" w:rsidRPr="0089091C">
              <w:rPr>
                <w:b w:val="0"/>
                <w:iCs/>
                <w:sz w:val="24"/>
                <w:szCs w:val="24"/>
              </w:rPr>
              <w:t xml:space="preserve"> nodokļa deklarācijas veidlapā</w:t>
            </w:r>
            <w:r w:rsidR="00215F77">
              <w:rPr>
                <w:b w:val="0"/>
                <w:iCs/>
                <w:sz w:val="24"/>
                <w:szCs w:val="24"/>
              </w:rPr>
              <w:t xml:space="preserve"> </w:t>
            </w:r>
            <w:r w:rsidR="00215F77" w:rsidRPr="00215F77">
              <w:rPr>
                <w:b w:val="0"/>
                <w:iCs/>
                <w:sz w:val="24"/>
                <w:szCs w:val="24"/>
              </w:rPr>
              <w:t>un tās aizpildīšanas kārtībā</w:t>
            </w:r>
            <w:r w:rsidR="0089091C" w:rsidRPr="0089091C">
              <w:rPr>
                <w:b w:val="0"/>
                <w:iCs/>
                <w:sz w:val="24"/>
                <w:szCs w:val="24"/>
              </w:rPr>
              <w:t>.</w:t>
            </w:r>
          </w:p>
          <w:p w14:paraId="577264B7" w14:textId="3E7443EA" w:rsidR="00194D8E" w:rsidRPr="002653DD" w:rsidRDefault="002653DD" w:rsidP="00AE3D7B">
            <w:pPr>
              <w:pStyle w:val="NormalWeb"/>
              <w:spacing w:before="0" w:beforeAutospacing="0" w:after="0" w:afterAutospacing="0"/>
              <w:jc w:val="both"/>
              <w:rPr>
                <w:iCs/>
              </w:rPr>
            </w:pPr>
            <w:r>
              <w:t>Ministru kabineta 2009.gada 3.februāra noteikumu Nr.108 “</w:t>
            </w:r>
            <w:r>
              <w:rPr>
                <w:bCs/>
              </w:rPr>
              <w:t>Normatīvo aktu projektu sagatavošanas noteikumi</w:t>
            </w:r>
            <w:r>
              <w:t xml:space="preserve">” 140.punktā noteikts, ka grozījumu noteikumu projektu nesagatavo, ja tā normu apjoms pārsniedz pusi no spēkā esošo noteikumu normu apjoma. Šādā gadījumā sagatavo jaunu noteikumu projektu. </w:t>
            </w:r>
            <w:r w:rsidR="00194D8E">
              <w:rPr>
                <w:iCs/>
              </w:rPr>
              <w:t xml:space="preserve">Ņemot vērā, ka nepieciešamo grozījumu apjoms </w:t>
            </w:r>
            <w:r w:rsidR="00194D8E" w:rsidRPr="00CF737C">
              <w:rPr>
                <w:iCs/>
              </w:rPr>
              <w:t>pārsniegtu pusi no s</w:t>
            </w:r>
            <w:r w:rsidR="00194D8E">
              <w:rPr>
                <w:iCs/>
              </w:rPr>
              <w:t>pēkā esošo</w:t>
            </w:r>
            <w:r w:rsidR="00194D8E">
              <w:t xml:space="preserve"> </w:t>
            </w:r>
            <w:r w:rsidR="00194D8E" w:rsidRPr="00194D8E">
              <w:rPr>
                <w:iCs/>
              </w:rPr>
              <w:t>Ministru kabineta 2010.gada 31.augusta noteikum</w:t>
            </w:r>
            <w:r w:rsidR="00194D8E">
              <w:rPr>
                <w:iCs/>
              </w:rPr>
              <w:t>u</w:t>
            </w:r>
            <w:r w:rsidR="00194D8E" w:rsidRPr="00194D8E">
              <w:rPr>
                <w:iCs/>
              </w:rPr>
              <w:t xml:space="preserve"> Nr.819 </w:t>
            </w:r>
            <w:r w:rsidR="008E5717">
              <w:rPr>
                <w:iCs/>
              </w:rPr>
              <w:t>“</w:t>
            </w:r>
            <w:r w:rsidR="00194D8E" w:rsidRPr="00194D8E">
              <w:rPr>
                <w:iCs/>
              </w:rPr>
              <w:t xml:space="preserve">Noteikumi </w:t>
            </w:r>
            <w:r w:rsidR="00194D8E" w:rsidRPr="002653DD">
              <w:rPr>
                <w:iCs/>
              </w:rPr>
              <w:t xml:space="preserve">par </w:t>
            </w:r>
            <w:proofErr w:type="spellStart"/>
            <w:r w:rsidR="00194D8E" w:rsidRPr="002653DD">
              <w:rPr>
                <w:iCs/>
              </w:rPr>
              <w:t>mikrouzņēmumu</w:t>
            </w:r>
            <w:proofErr w:type="spellEnd"/>
            <w:r w:rsidR="00194D8E" w:rsidRPr="002653DD">
              <w:rPr>
                <w:iCs/>
              </w:rPr>
              <w:t xml:space="preserve"> nodokļa deklarāciju un tās aizpildīšanas kārtību” </w:t>
            </w:r>
            <w:r w:rsidR="00194D8E" w:rsidRPr="006057E1">
              <w:rPr>
                <w:iCs/>
              </w:rPr>
              <w:t>normu apjoma, sagatavots jaun</w:t>
            </w:r>
            <w:r w:rsidR="00194D8E" w:rsidRPr="002653DD">
              <w:rPr>
                <w:iCs/>
              </w:rPr>
              <w:t xml:space="preserve">s </w:t>
            </w:r>
            <w:r w:rsidRPr="002653DD">
              <w:rPr>
                <w:iCs/>
              </w:rPr>
              <w:t>Ministru</w:t>
            </w:r>
            <w:r w:rsidR="001D18D4">
              <w:rPr>
                <w:iCs/>
              </w:rPr>
              <w:t xml:space="preserve"> kabineta</w:t>
            </w:r>
            <w:r w:rsidRPr="002653DD">
              <w:rPr>
                <w:iCs/>
              </w:rPr>
              <w:t xml:space="preserve"> </w:t>
            </w:r>
            <w:r w:rsidR="00194D8E" w:rsidRPr="002653DD">
              <w:rPr>
                <w:iCs/>
              </w:rPr>
              <w:t>noteikumu projekts</w:t>
            </w:r>
            <w:r w:rsidRPr="002653DD">
              <w:rPr>
                <w:iCs/>
              </w:rPr>
              <w:t xml:space="preserve"> </w:t>
            </w:r>
            <w:r w:rsidR="008E5717">
              <w:t>“</w:t>
            </w:r>
            <w:r w:rsidRPr="002653DD">
              <w:t xml:space="preserve">Noteikumi par </w:t>
            </w:r>
            <w:proofErr w:type="spellStart"/>
            <w:r w:rsidRPr="002653DD">
              <w:t>mikrouzņēmumu</w:t>
            </w:r>
            <w:proofErr w:type="spellEnd"/>
            <w:r w:rsidRPr="002653DD">
              <w:t xml:space="preserve"> nodokļa deklarāciju un tās aizpildīšanas kārtību”</w:t>
            </w:r>
            <w:r w:rsidR="00194D8E" w:rsidRPr="002653DD">
              <w:rPr>
                <w:iCs/>
              </w:rPr>
              <w:t>.</w:t>
            </w:r>
          </w:p>
          <w:p w14:paraId="54FDF3CD" w14:textId="38B898C2" w:rsidR="002300CB" w:rsidRDefault="002300CB" w:rsidP="00AE3D7B">
            <w:pPr>
              <w:jc w:val="both"/>
            </w:pPr>
            <w:r w:rsidRPr="00D92FB0">
              <w:t>Noteikumu projekta mērķis ir</w:t>
            </w:r>
            <w:r>
              <w:t xml:space="preserve"> noteikt</w:t>
            </w:r>
            <w:r w:rsidRPr="00D92FB0">
              <w:t xml:space="preserve"> </w:t>
            </w:r>
            <w:proofErr w:type="spellStart"/>
            <w:r w:rsidRPr="007C0002">
              <w:rPr>
                <w:bCs/>
              </w:rPr>
              <w:t>mikrouzņēmumu</w:t>
            </w:r>
            <w:proofErr w:type="spellEnd"/>
            <w:r w:rsidRPr="007C0002">
              <w:rPr>
                <w:bCs/>
              </w:rPr>
              <w:t xml:space="preserve"> nodokļa deklarācijas aizpildīšanas kārtību</w:t>
            </w:r>
            <w:r>
              <w:t>:</w:t>
            </w:r>
          </w:p>
          <w:p w14:paraId="2D7ED6FE" w14:textId="3F2F5858" w:rsidR="002300CB" w:rsidRDefault="002300CB" w:rsidP="008E5717">
            <w:pPr>
              <w:jc w:val="both"/>
              <w:rPr>
                <w:szCs w:val="28"/>
              </w:rPr>
            </w:pPr>
            <w:r>
              <w:t xml:space="preserve">1) </w:t>
            </w:r>
            <w:r>
              <w:rPr>
                <w:bCs/>
              </w:rPr>
              <w:t xml:space="preserve">atbilstoši </w:t>
            </w:r>
            <w:proofErr w:type="spellStart"/>
            <w:r>
              <w:rPr>
                <w:bCs/>
              </w:rPr>
              <w:t>Mikrouzņēmumu</w:t>
            </w:r>
            <w:proofErr w:type="spellEnd"/>
            <w:r>
              <w:rPr>
                <w:bCs/>
              </w:rPr>
              <w:t xml:space="preserve"> nodokļa likuma 6.panta 2</w:t>
            </w:r>
            <w:r>
              <w:rPr>
                <w:szCs w:val="28"/>
              </w:rPr>
              <w:t>.</w:t>
            </w:r>
            <w:r w:rsidRPr="0024124F"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>daļ</w:t>
            </w:r>
            <w:r w:rsidR="00866E4D">
              <w:rPr>
                <w:szCs w:val="28"/>
              </w:rPr>
              <w:t>ā</w:t>
            </w:r>
            <w:r w:rsidRPr="00A4459A">
              <w:t xml:space="preserve"> vai </w:t>
            </w:r>
            <w:r>
              <w:rPr>
                <w:szCs w:val="28"/>
              </w:rPr>
              <w:t>3.</w:t>
            </w:r>
            <w:r w:rsidRPr="0024124F"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>daļā noteiktajam gadījumos, kad netiek piemērota papildlikme 20</w:t>
            </w:r>
            <w:r w:rsidR="008E5717">
              <w:rPr>
                <w:szCs w:val="28"/>
              </w:rPr>
              <w:t xml:space="preserve"> procenti</w:t>
            </w:r>
            <w:r w:rsidR="00FF3321">
              <w:rPr>
                <w:iCs/>
              </w:rPr>
              <w:t xml:space="preserve"> vai papildus pamatlikmei netiek</w:t>
            </w:r>
            <w:r w:rsidR="00FF3321" w:rsidRPr="0089091C">
              <w:rPr>
                <w:iCs/>
              </w:rPr>
              <w:t xml:space="preserve"> </w:t>
            </w:r>
            <w:r w:rsidR="00FF3321">
              <w:rPr>
                <w:iCs/>
              </w:rPr>
              <w:t xml:space="preserve">piemēroti </w:t>
            </w:r>
            <w:r w:rsidR="008E5717">
              <w:rPr>
                <w:iCs/>
              </w:rPr>
              <w:t>divi</w:t>
            </w:r>
            <w:r w:rsidR="00FF3321">
              <w:rPr>
                <w:iCs/>
              </w:rPr>
              <w:t xml:space="preserve"> procenta punkti par katru papildus nodarbināto darbinieku</w:t>
            </w:r>
            <w:r>
              <w:rPr>
                <w:szCs w:val="28"/>
              </w:rPr>
              <w:t>, izdarot atzīmi deklarācijas veidlapā;</w:t>
            </w:r>
          </w:p>
          <w:p w14:paraId="760A87BE" w14:textId="1260FDE7" w:rsidR="002300CB" w:rsidRPr="00A4459A" w:rsidRDefault="002300CB" w:rsidP="008E5717">
            <w:pPr>
              <w:jc w:val="both"/>
            </w:pPr>
            <w:r>
              <w:rPr>
                <w:szCs w:val="28"/>
              </w:rPr>
              <w:t>2)</w:t>
            </w:r>
            <w:r w:rsidRPr="00E76EB0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215F77" w:rsidRPr="00215F77">
              <w:rPr>
                <w:iCs/>
                <w:szCs w:val="28"/>
              </w:rPr>
              <w:t xml:space="preserve">ja </w:t>
            </w:r>
            <w:proofErr w:type="spellStart"/>
            <w:r w:rsidR="00215F77" w:rsidRPr="00215F77">
              <w:rPr>
                <w:iCs/>
                <w:szCs w:val="28"/>
              </w:rPr>
              <w:t>mikrouzņēmums</w:t>
            </w:r>
            <w:proofErr w:type="spellEnd"/>
            <w:r w:rsidR="00215F77" w:rsidRPr="00215F77">
              <w:rPr>
                <w:iCs/>
                <w:szCs w:val="28"/>
              </w:rPr>
              <w:t xml:space="preserve"> ir saņēmis personālsabiedrības peļņas daļu</w:t>
            </w:r>
            <w:r>
              <w:rPr>
                <w:iCs/>
                <w:szCs w:val="28"/>
              </w:rPr>
              <w:t>;</w:t>
            </w:r>
          </w:p>
          <w:p w14:paraId="0D066A14" w14:textId="77777777" w:rsidR="002300CB" w:rsidRDefault="002300CB" w:rsidP="008E5717">
            <w:pPr>
              <w:jc w:val="both"/>
            </w:pPr>
            <w:r>
              <w:t>3)</w:t>
            </w:r>
            <w:r>
              <w:rPr>
                <w:bCs/>
              </w:rPr>
              <w:t xml:space="preserve"> atbilstoši </w:t>
            </w:r>
            <w:proofErr w:type="spellStart"/>
            <w:r>
              <w:rPr>
                <w:bCs/>
              </w:rPr>
              <w:t>Mikrouzņēmumu</w:t>
            </w:r>
            <w:proofErr w:type="spellEnd"/>
            <w:r>
              <w:rPr>
                <w:bCs/>
              </w:rPr>
              <w:t xml:space="preserve"> nodokļa likuma 6.panta septītajā daļā noteiktajam, tas ir</w:t>
            </w:r>
            <w:r w:rsidRPr="007C0002">
              <w:rPr>
                <w:bCs/>
              </w:rPr>
              <w:t xml:space="preserve"> gadījumā, </w:t>
            </w:r>
            <w:r w:rsidRPr="00D92FB0">
              <w:t xml:space="preserve">kad </w:t>
            </w:r>
            <w:proofErr w:type="spellStart"/>
            <w:r w:rsidRPr="00D92FB0">
              <w:t>mikrouzņēmumu</w:t>
            </w:r>
            <w:proofErr w:type="spellEnd"/>
            <w:r w:rsidRPr="00D92FB0">
              <w:t xml:space="preserve"> nodokļa maksātāja statuss ir ticis saglabāts nepamatoti un to konstatē brīdī, kad tiek iesniegta </w:t>
            </w:r>
            <w:proofErr w:type="spellStart"/>
            <w:r w:rsidRPr="00D92FB0">
              <w:t>mikrouzņēmumu</w:t>
            </w:r>
            <w:proofErr w:type="spellEnd"/>
            <w:r w:rsidRPr="00D92FB0">
              <w:t xml:space="preserve"> nodokļa deklarācija ar kavējumu vai precizēta kāda no iepriekšējo taksācijas periodu deklarācijām</w:t>
            </w:r>
            <w:r>
              <w:t>.</w:t>
            </w:r>
          </w:p>
          <w:p w14:paraId="4A204407" w14:textId="77777777" w:rsidR="002300CB" w:rsidRDefault="002300CB" w:rsidP="008E5717">
            <w:pPr>
              <w:jc w:val="both"/>
              <w:rPr>
                <w:i/>
                <w:iCs/>
                <w:color w:val="000000"/>
                <w:u w:val="single"/>
              </w:rPr>
            </w:pPr>
            <w:r>
              <w:rPr>
                <w:i/>
                <w:iCs/>
                <w:color w:val="000000"/>
                <w:u w:val="single"/>
              </w:rPr>
              <w:t>Piemēri:</w:t>
            </w:r>
          </w:p>
          <w:p w14:paraId="52DE9450" w14:textId="4AC4B048" w:rsidR="002300CB" w:rsidRPr="002300CB" w:rsidRDefault="002300CB" w:rsidP="00AE3D7B">
            <w:pPr>
              <w:pStyle w:val="ListParagraph"/>
              <w:numPr>
                <w:ilvl w:val="0"/>
                <w:numId w:val="5"/>
              </w:numPr>
              <w:ind w:left="0" w:firstLine="0"/>
              <w:jc w:val="both"/>
              <w:rPr>
                <w:i/>
                <w:iCs/>
                <w:color w:val="000000"/>
              </w:rPr>
            </w:pP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maksātājs par 2011.gadu ir iesniedzis </w:t>
            </w: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deklarāciju par I ceturksni ar apgrozījumu 10 000 latu, par II ceturksni – 25 000 latu, par III ceturksni – 15 000 latu, par</w:t>
            </w:r>
            <w:r w:rsidR="008E5717">
              <w:rPr>
                <w:i/>
                <w:iCs/>
                <w:color w:val="000000"/>
              </w:rPr>
              <w:br/>
            </w:r>
            <w:r w:rsidRPr="002300CB">
              <w:rPr>
                <w:i/>
                <w:iCs/>
                <w:color w:val="000000"/>
              </w:rPr>
              <w:t xml:space="preserve">IV ceturksni – 15 000 latu, kopā apgrozījums 2011.gadā bija 65 000 latu. </w:t>
            </w: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maksātājs 2013.gada maijā precizē </w:t>
            </w: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deklarāciju par 2011.gada III ceturksni un precizētajā deklarācijā norāda, ka III ceturksnī apgrozījums ir 23 000 latu. Tādējādi </w:t>
            </w: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maksātāja apgrozījums 2011.gadā, kas tiek konstatēts 2013.gadā, bija 73 000 latu. Tādējādi </w:t>
            </w: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maksātāja statusu bija jāzaudē ar 2012.gadu. Tā kā neatbilstība apgrozījuma kritērijam ir konstatēt</w:t>
            </w:r>
            <w:r w:rsidR="008E5717">
              <w:rPr>
                <w:i/>
                <w:iCs/>
                <w:color w:val="000000"/>
              </w:rPr>
              <w:t>a</w:t>
            </w:r>
            <w:r w:rsidRPr="002300CB">
              <w:rPr>
                <w:i/>
                <w:iCs/>
                <w:color w:val="000000"/>
              </w:rPr>
              <w:t xml:space="preserve"> tikai 2013.gadā, </w:t>
            </w: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</w:t>
            </w:r>
            <w:r w:rsidRPr="002300CB">
              <w:rPr>
                <w:i/>
                <w:iCs/>
                <w:color w:val="000000"/>
              </w:rPr>
              <w:lastRenderedPageBreak/>
              <w:t xml:space="preserve">maksātāja statuss tiek zaudēts ar 2014.gadu, taču par periodu, kurā </w:t>
            </w: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maksātāja statuss ir nepamatoti saglabāts, ir jāprecizē </w:t>
            </w: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deklarācijas par 2012</w:t>
            </w:r>
            <w:r w:rsidR="008A7464">
              <w:rPr>
                <w:i/>
                <w:iCs/>
                <w:color w:val="000000"/>
              </w:rPr>
              <w:t>.</w:t>
            </w:r>
            <w:r w:rsidR="008E5717">
              <w:rPr>
                <w:i/>
                <w:iCs/>
                <w:color w:val="000000"/>
              </w:rPr>
              <w:t xml:space="preserve"> un </w:t>
            </w:r>
            <w:r w:rsidRPr="002300CB">
              <w:rPr>
                <w:i/>
                <w:iCs/>
                <w:color w:val="000000"/>
              </w:rPr>
              <w:t xml:space="preserve">2013.gadu, kurās apgrozījumam </w:t>
            </w:r>
            <w:r w:rsidR="008E5717">
              <w:rPr>
                <w:i/>
                <w:iCs/>
                <w:color w:val="000000"/>
              </w:rPr>
              <w:t>deviņu procentu</w:t>
            </w:r>
            <w:r w:rsidRPr="002300CB">
              <w:rPr>
                <w:i/>
                <w:iCs/>
                <w:color w:val="000000"/>
              </w:rPr>
              <w:t xml:space="preserve"> likmes vietā jāpiemēro likme 20</w:t>
            </w:r>
            <w:r w:rsidR="006464A1">
              <w:rPr>
                <w:i/>
                <w:iCs/>
                <w:color w:val="000000"/>
              </w:rPr>
              <w:t xml:space="preserve"> procenti.</w:t>
            </w:r>
            <w:r w:rsidRPr="002300CB">
              <w:rPr>
                <w:i/>
                <w:iCs/>
                <w:color w:val="000000"/>
              </w:rPr>
              <w:t xml:space="preserve"> </w:t>
            </w:r>
          </w:p>
          <w:p w14:paraId="3FEC9DC0" w14:textId="603D774E" w:rsidR="002300CB" w:rsidRPr="002300CB" w:rsidRDefault="002300CB" w:rsidP="00AE3D7B">
            <w:pPr>
              <w:pStyle w:val="ListParagraph"/>
              <w:numPr>
                <w:ilvl w:val="0"/>
                <w:numId w:val="7"/>
              </w:numPr>
              <w:ind w:left="0" w:firstLine="0"/>
              <w:jc w:val="both"/>
              <w:rPr>
                <w:i/>
                <w:iCs/>
                <w:color w:val="000000"/>
              </w:rPr>
            </w:pP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maksātājs 2013.gada maijā precizē </w:t>
            </w: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deklarāciju par 2011.gada III ceturksni, precizētajā deklarācijā norādot, ka 2011.gada III ceturksnī darbinieku skaits bija </w:t>
            </w:r>
            <w:r w:rsidR="008A7464">
              <w:rPr>
                <w:i/>
                <w:iCs/>
                <w:color w:val="000000"/>
              </w:rPr>
              <w:t>septiņi</w:t>
            </w:r>
            <w:r w:rsidRPr="002300CB">
              <w:rPr>
                <w:i/>
                <w:iCs/>
                <w:color w:val="000000"/>
              </w:rPr>
              <w:t xml:space="preserve"> nevis </w:t>
            </w:r>
            <w:r w:rsidR="008A7464">
              <w:rPr>
                <w:i/>
                <w:iCs/>
                <w:color w:val="000000"/>
              </w:rPr>
              <w:t>pieci</w:t>
            </w:r>
            <w:r w:rsidRPr="002300CB">
              <w:rPr>
                <w:i/>
                <w:iCs/>
                <w:color w:val="000000"/>
              </w:rPr>
              <w:t xml:space="preserve">, kā norādīts sākotnēji iesniegtajā </w:t>
            </w: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deklarācijā par 2011.gada III ceturksni. Tādējādi, ja </w:t>
            </w: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ma</w:t>
            </w:r>
            <w:r>
              <w:rPr>
                <w:i/>
                <w:iCs/>
                <w:color w:val="000000"/>
              </w:rPr>
              <w:t>ksātājs sākotnēji 2011.gada III </w:t>
            </w:r>
            <w:r w:rsidRPr="002300CB">
              <w:rPr>
                <w:i/>
                <w:iCs/>
                <w:color w:val="000000"/>
              </w:rPr>
              <w:t xml:space="preserve">ceturkšņa deklarācijā būtu norādījis </w:t>
            </w:r>
            <w:r w:rsidR="008A7464">
              <w:rPr>
                <w:i/>
                <w:iCs/>
                <w:color w:val="000000"/>
              </w:rPr>
              <w:t>septiņus</w:t>
            </w:r>
            <w:r w:rsidRPr="002300CB">
              <w:rPr>
                <w:i/>
                <w:iCs/>
                <w:color w:val="000000"/>
              </w:rPr>
              <w:t xml:space="preserve"> darbiniekus, tas ar 2012.gada 1.janvāri zaudētu </w:t>
            </w: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maksātāja statusu un maksātu nodokļus vispārējā kārtībā. Tā kā neatbilstība likumā noteiktajam kritērijam attiecībā uz darbinieku skaitu ir konstatēt</w:t>
            </w:r>
            <w:r w:rsidR="008A7464">
              <w:rPr>
                <w:i/>
                <w:iCs/>
                <w:color w:val="000000"/>
              </w:rPr>
              <w:t>a</w:t>
            </w:r>
            <w:r w:rsidRPr="002300CB">
              <w:rPr>
                <w:i/>
                <w:iCs/>
                <w:color w:val="000000"/>
              </w:rPr>
              <w:t xml:space="preserve"> tikai 2013.gadā,  </w:t>
            </w: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maksātāja statuss tiek zaudēts ar 2014.gadu. Precizējot </w:t>
            </w: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deklarāciju par 2011.gada III ceturksni, </w:t>
            </w:r>
            <w:r w:rsidR="008A7464">
              <w:rPr>
                <w:i/>
                <w:iCs/>
                <w:color w:val="000000"/>
              </w:rPr>
              <w:t>deviņu procentu</w:t>
            </w:r>
            <w:r w:rsidRPr="002300CB">
              <w:rPr>
                <w:i/>
                <w:iCs/>
                <w:color w:val="000000"/>
              </w:rPr>
              <w:t xml:space="preserve"> nodokļa likmei pieskaita divus procenta punktus par katru papildus nodarbināto darbinieku (2x2%, attiecīgi 13%), taču par periodu, kurā </w:t>
            </w:r>
            <w:proofErr w:type="spellStart"/>
            <w:r w:rsidRPr="002300CB">
              <w:rPr>
                <w:i/>
                <w:iCs/>
                <w:color w:val="000000"/>
              </w:rPr>
              <w:t>mikrouzņēmumu</w:t>
            </w:r>
            <w:proofErr w:type="spellEnd"/>
            <w:r w:rsidRPr="002300CB">
              <w:rPr>
                <w:i/>
                <w:iCs/>
                <w:color w:val="000000"/>
              </w:rPr>
              <w:t xml:space="preserve"> nodokļa maksātāja statuss ir nepamatoti saglabāts, ir jāprecizē deklarācijas par 2012.</w:t>
            </w:r>
            <w:r w:rsidR="008A7464">
              <w:rPr>
                <w:i/>
                <w:iCs/>
                <w:color w:val="000000"/>
              </w:rPr>
              <w:t xml:space="preserve"> un </w:t>
            </w:r>
            <w:r w:rsidRPr="002300CB">
              <w:rPr>
                <w:i/>
                <w:iCs/>
                <w:color w:val="000000"/>
              </w:rPr>
              <w:t xml:space="preserve">2013.gadu, kurās apgrozījumam </w:t>
            </w:r>
            <w:r w:rsidR="008A7464">
              <w:rPr>
                <w:i/>
                <w:iCs/>
                <w:color w:val="000000"/>
              </w:rPr>
              <w:t xml:space="preserve"> deviņu procentu</w:t>
            </w:r>
            <w:r w:rsidRPr="002300CB">
              <w:rPr>
                <w:i/>
                <w:iCs/>
                <w:color w:val="000000"/>
              </w:rPr>
              <w:t xml:space="preserve"> likmes vietā jāpiemēro likme 20</w:t>
            </w:r>
            <w:r w:rsidR="008A7464">
              <w:rPr>
                <w:i/>
                <w:iCs/>
                <w:color w:val="000000"/>
              </w:rPr>
              <w:t xml:space="preserve"> procenti.</w:t>
            </w:r>
          </w:p>
          <w:p w14:paraId="736C9CAC" w14:textId="77777777" w:rsidR="002300CB" w:rsidRPr="002300CB" w:rsidRDefault="002300CB" w:rsidP="008E5717">
            <w:pPr>
              <w:jc w:val="both"/>
              <w:rPr>
                <w:sz w:val="10"/>
              </w:rPr>
            </w:pPr>
          </w:p>
          <w:p w14:paraId="28C36F18" w14:textId="1E0BC94A" w:rsidR="002300CB" w:rsidRPr="002A4560" w:rsidRDefault="002300CB" w:rsidP="008E5717">
            <w:pPr>
              <w:jc w:val="both"/>
              <w:rPr>
                <w:iCs/>
                <w:color w:val="000000" w:themeColor="text1"/>
              </w:rPr>
            </w:pPr>
            <w:r>
              <w:t xml:space="preserve">4) gadījumos, kad </w:t>
            </w:r>
            <w:proofErr w:type="spellStart"/>
            <w:r w:rsidRPr="00CF5BDC">
              <w:rPr>
                <w:iCs/>
              </w:rPr>
              <w:t>mikrouzņ</w:t>
            </w:r>
            <w:r>
              <w:rPr>
                <w:iCs/>
              </w:rPr>
              <w:t>ēmumam</w:t>
            </w:r>
            <w:proofErr w:type="spellEnd"/>
            <w:r w:rsidRPr="00CF5BDC">
              <w:rPr>
                <w:iCs/>
              </w:rPr>
              <w:t xml:space="preserve"> </w:t>
            </w:r>
            <w:r w:rsidR="00547039" w:rsidRPr="002A4560">
              <w:rPr>
                <w:iCs/>
                <w:color w:val="000000" w:themeColor="text1"/>
              </w:rPr>
              <w:t xml:space="preserve">taksācijas gadā </w:t>
            </w:r>
            <w:r w:rsidRPr="002A4560">
              <w:rPr>
                <w:iCs/>
                <w:color w:val="000000" w:themeColor="text1"/>
              </w:rPr>
              <w:t xml:space="preserve">nav bijis apgrozījums vai aprēķinātā </w:t>
            </w:r>
            <w:proofErr w:type="spellStart"/>
            <w:r w:rsidRPr="002A4560">
              <w:rPr>
                <w:iCs/>
                <w:color w:val="000000" w:themeColor="text1"/>
              </w:rPr>
              <w:t>mikrouzņēmumu</w:t>
            </w:r>
            <w:proofErr w:type="spellEnd"/>
            <w:r w:rsidRPr="002A4560">
              <w:rPr>
                <w:iCs/>
                <w:color w:val="000000" w:themeColor="text1"/>
              </w:rPr>
              <w:t xml:space="preserve"> nodokļa summa </w:t>
            </w:r>
            <w:r w:rsidR="00547039" w:rsidRPr="002A4560">
              <w:rPr>
                <w:iCs/>
                <w:color w:val="000000" w:themeColor="text1"/>
              </w:rPr>
              <w:t xml:space="preserve">ir mazāka par </w:t>
            </w:r>
            <w:r w:rsidRPr="002A4560">
              <w:rPr>
                <w:iCs/>
                <w:color w:val="000000" w:themeColor="text1"/>
              </w:rPr>
              <w:t xml:space="preserve">50 </w:t>
            </w:r>
            <w:proofErr w:type="spellStart"/>
            <w:r w:rsidRPr="002A4560">
              <w:rPr>
                <w:i/>
                <w:iCs/>
                <w:color w:val="000000" w:themeColor="text1"/>
              </w:rPr>
              <w:t>euro</w:t>
            </w:r>
            <w:proofErr w:type="spellEnd"/>
            <w:r w:rsidRPr="002A4560">
              <w:rPr>
                <w:iCs/>
                <w:color w:val="000000" w:themeColor="text1"/>
              </w:rPr>
              <w:t>.</w:t>
            </w:r>
          </w:p>
          <w:p w14:paraId="35BEBEAE" w14:textId="77777777" w:rsidR="002300CB" w:rsidRPr="000B0122" w:rsidRDefault="002300CB" w:rsidP="00AE3D7B">
            <w:pPr>
              <w:pStyle w:val="Heading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Cs/>
                <w:sz w:val="24"/>
                <w:szCs w:val="24"/>
              </w:rPr>
            </w:pPr>
            <w:r w:rsidRPr="002A4560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Papildināt </w:t>
            </w:r>
            <w:proofErr w:type="spellStart"/>
            <w:r w:rsidRPr="002A4560">
              <w:rPr>
                <w:b w:val="0"/>
                <w:iCs/>
                <w:color w:val="000000" w:themeColor="text1"/>
                <w:sz w:val="24"/>
                <w:szCs w:val="24"/>
              </w:rPr>
              <w:t>mikrouzņēmumu</w:t>
            </w:r>
            <w:proofErr w:type="spellEnd"/>
            <w:r w:rsidRPr="002A4560">
              <w:rPr>
                <w:b w:val="0"/>
                <w:iCs/>
                <w:color w:val="000000" w:themeColor="text1"/>
                <w:sz w:val="24"/>
                <w:szCs w:val="24"/>
              </w:rPr>
              <w:t xml:space="preserve"> nodokļa deklarācijas veidlapu ar vietām, kur izdara atzīmes, piemērojot </w:t>
            </w:r>
            <w:r w:rsidRPr="002300CB">
              <w:rPr>
                <w:b w:val="0"/>
                <w:iCs/>
                <w:sz w:val="24"/>
                <w:szCs w:val="24"/>
              </w:rPr>
              <w:t xml:space="preserve">attiecīgo </w:t>
            </w:r>
            <w:proofErr w:type="spellStart"/>
            <w:r w:rsidRPr="002300CB">
              <w:rPr>
                <w:b w:val="0"/>
                <w:iCs/>
                <w:sz w:val="24"/>
                <w:szCs w:val="24"/>
              </w:rPr>
              <w:t>Mikrouzņēmumu</w:t>
            </w:r>
            <w:proofErr w:type="spellEnd"/>
            <w:r w:rsidRPr="002300CB">
              <w:rPr>
                <w:b w:val="0"/>
                <w:iCs/>
                <w:sz w:val="24"/>
                <w:szCs w:val="24"/>
              </w:rPr>
              <w:t xml:space="preserve"> </w:t>
            </w:r>
            <w:r w:rsidR="004215C1" w:rsidRPr="002300CB">
              <w:rPr>
                <w:b w:val="0"/>
                <w:iCs/>
                <w:sz w:val="24"/>
                <w:szCs w:val="24"/>
              </w:rPr>
              <w:t>nod</w:t>
            </w:r>
            <w:r w:rsidR="004215C1">
              <w:rPr>
                <w:b w:val="0"/>
                <w:iCs/>
                <w:sz w:val="24"/>
                <w:szCs w:val="24"/>
              </w:rPr>
              <w:t>o</w:t>
            </w:r>
            <w:r w:rsidR="004215C1" w:rsidRPr="002300CB">
              <w:rPr>
                <w:b w:val="0"/>
                <w:iCs/>
                <w:sz w:val="24"/>
                <w:szCs w:val="24"/>
              </w:rPr>
              <w:t xml:space="preserve">kļa </w:t>
            </w:r>
            <w:r w:rsidRPr="002300CB">
              <w:rPr>
                <w:b w:val="0"/>
                <w:iCs/>
                <w:sz w:val="24"/>
                <w:szCs w:val="24"/>
              </w:rPr>
              <w:t xml:space="preserve">likuma normu, kā arī precizēt </w:t>
            </w:r>
            <w:r w:rsidRPr="000B0122">
              <w:rPr>
                <w:b w:val="0"/>
                <w:iCs/>
                <w:sz w:val="24"/>
                <w:szCs w:val="24"/>
              </w:rPr>
              <w:t>deklarācijas rindu nosaukumus ar paskaidrojumiem.</w:t>
            </w:r>
          </w:p>
          <w:p w14:paraId="5BD9A2FC" w14:textId="524C38DF" w:rsidR="000B0122" w:rsidRPr="00862CAA" w:rsidRDefault="000B0122" w:rsidP="008E5717">
            <w:pPr>
              <w:pStyle w:val="NoSpacing"/>
              <w:jc w:val="both"/>
              <w:rPr>
                <w:iCs/>
                <w:sz w:val="24"/>
                <w:szCs w:val="24"/>
                <w:lang w:val="lv-LV"/>
              </w:rPr>
            </w:pPr>
            <w:r w:rsidRPr="000B0122">
              <w:rPr>
                <w:sz w:val="24"/>
                <w:szCs w:val="24"/>
                <w:lang w:val="lv-LV" w:eastAsia="lv-LV"/>
              </w:rPr>
              <w:t xml:space="preserve">Ar </w:t>
            </w:r>
            <w:r>
              <w:rPr>
                <w:sz w:val="24"/>
                <w:szCs w:val="24"/>
                <w:lang w:val="lv-LV" w:eastAsia="lv-LV"/>
              </w:rPr>
              <w:t>Ministru kabineta n</w:t>
            </w:r>
            <w:r w:rsidRPr="000B0122">
              <w:rPr>
                <w:sz w:val="24"/>
                <w:szCs w:val="24"/>
                <w:lang w:val="lv-LV" w:eastAsia="lv-LV"/>
              </w:rPr>
              <w:t xml:space="preserve">oteikumu projekta spēkā stāšanos spēku zaudēs </w:t>
            </w:r>
            <w:r w:rsidRPr="000B0122">
              <w:rPr>
                <w:iCs/>
                <w:sz w:val="24"/>
                <w:szCs w:val="24"/>
                <w:lang w:val="lv-LV"/>
              </w:rPr>
              <w:t>Ministru kabineta 2010.gada 31.augusta noteikum</w:t>
            </w:r>
            <w:r w:rsidR="00B236FA">
              <w:rPr>
                <w:iCs/>
                <w:sz w:val="24"/>
                <w:szCs w:val="24"/>
                <w:lang w:val="lv-LV"/>
              </w:rPr>
              <w:t>i</w:t>
            </w:r>
            <w:r w:rsidRPr="000B0122">
              <w:rPr>
                <w:iCs/>
                <w:sz w:val="24"/>
                <w:szCs w:val="24"/>
                <w:lang w:val="lv-LV"/>
              </w:rPr>
              <w:t xml:space="preserve"> Nr.819 </w:t>
            </w:r>
            <w:r w:rsidR="008A7464">
              <w:rPr>
                <w:iCs/>
                <w:sz w:val="24"/>
                <w:szCs w:val="24"/>
                <w:lang w:val="lv-LV"/>
              </w:rPr>
              <w:t>“</w:t>
            </w:r>
            <w:r w:rsidRPr="000B0122">
              <w:rPr>
                <w:iCs/>
                <w:sz w:val="24"/>
                <w:szCs w:val="24"/>
                <w:lang w:val="lv-LV"/>
              </w:rPr>
              <w:t xml:space="preserve">Noteikumi par </w:t>
            </w:r>
            <w:proofErr w:type="spellStart"/>
            <w:r w:rsidRPr="000B0122">
              <w:rPr>
                <w:iCs/>
                <w:sz w:val="24"/>
                <w:szCs w:val="24"/>
                <w:lang w:val="lv-LV"/>
              </w:rPr>
              <w:t>mikrouzņēmumu</w:t>
            </w:r>
            <w:proofErr w:type="spellEnd"/>
            <w:r w:rsidRPr="000B0122">
              <w:rPr>
                <w:iCs/>
                <w:sz w:val="24"/>
                <w:szCs w:val="24"/>
                <w:lang w:val="lv-LV"/>
              </w:rPr>
              <w:t xml:space="preserve"> nodokļa deklarāciju un tās aizpildīšanas kārtību”</w:t>
            </w:r>
          </w:p>
          <w:p w14:paraId="6C89A1E4" w14:textId="2A72D680" w:rsidR="000B0122" w:rsidRPr="00862CAA" w:rsidRDefault="000B0122" w:rsidP="000B0122">
            <w:pPr>
              <w:pStyle w:val="NoSpacing"/>
              <w:jc w:val="both"/>
              <w:rPr>
                <w:b/>
                <w:sz w:val="24"/>
                <w:szCs w:val="24"/>
                <w:lang w:val="lv-LV"/>
              </w:rPr>
            </w:pPr>
          </w:p>
        </w:tc>
      </w:tr>
      <w:tr w:rsidR="00D175E9" w:rsidRPr="00DD49B6" w14:paraId="72E9815E" w14:textId="77777777" w:rsidTr="0089091C">
        <w:trPr>
          <w:trHeight w:val="476"/>
        </w:trPr>
        <w:tc>
          <w:tcPr>
            <w:tcW w:w="365" w:type="pct"/>
          </w:tcPr>
          <w:p w14:paraId="6A9F5958" w14:textId="77777777" w:rsidR="00D175E9" w:rsidRPr="00DD49B6" w:rsidRDefault="00D175E9" w:rsidP="0089091C">
            <w:pPr>
              <w:pStyle w:val="naiskr"/>
              <w:spacing w:before="0" w:after="0"/>
              <w:ind w:left="57" w:right="57"/>
              <w:jc w:val="center"/>
            </w:pPr>
            <w:r w:rsidRPr="00DD49B6">
              <w:lastRenderedPageBreak/>
              <w:t>3.</w:t>
            </w:r>
          </w:p>
        </w:tc>
        <w:tc>
          <w:tcPr>
            <w:tcW w:w="1520" w:type="pct"/>
          </w:tcPr>
          <w:p w14:paraId="7E336EB0" w14:textId="77777777" w:rsidR="00D175E9" w:rsidRPr="00DD49B6" w:rsidRDefault="00D175E9" w:rsidP="0089091C">
            <w:pPr>
              <w:pStyle w:val="naiskr"/>
              <w:spacing w:before="0" w:after="0"/>
              <w:ind w:left="57" w:right="57"/>
            </w:pPr>
            <w:r w:rsidRPr="00DD49B6">
              <w:t>Projekta izstrādē iesaistītās institūcijas</w:t>
            </w:r>
          </w:p>
        </w:tc>
        <w:tc>
          <w:tcPr>
            <w:tcW w:w="3115" w:type="pct"/>
          </w:tcPr>
          <w:p w14:paraId="162A6175" w14:textId="77777777" w:rsidR="00D175E9" w:rsidRPr="00DD49B6" w:rsidRDefault="0089091C" w:rsidP="0089091C">
            <w:pPr>
              <w:ind w:left="57" w:right="57"/>
              <w:rPr>
                <w:b/>
              </w:rPr>
            </w:pPr>
            <w:r w:rsidRPr="0089091C">
              <w:t>Valsts ieņēmumu dienests</w:t>
            </w:r>
          </w:p>
        </w:tc>
      </w:tr>
      <w:tr w:rsidR="00D175E9" w:rsidRPr="00DD49B6" w14:paraId="486834BA" w14:textId="77777777" w:rsidTr="0089091C">
        <w:tc>
          <w:tcPr>
            <w:tcW w:w="365" w:type="pct"/>
          </w:tcPr>
          <w:p w14:paraId="0314F860" w14:textId="77777777" w:rsidR="00D175E9" w:rsidRPr="00DD49B6" w:rsidRDefault="00D175E9" w:rsidP="0089091C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520" w:type="pct"/>
          </w:tcPr>
          <w:p w14:paraId="56892CDA" w14:textId="77777777" w:rsidR="00D175E9" w:rsidRPr="00DD49B6" w:rsidRDefault="00D175E9" w:rsidP="0089091C">
            <w:pPr>
              <w:pStyle w:val="naiskr"/>
              <w:spacing w:before="0" w:after="0"/>
              <w:ind w:left="57" w:right="57"/>
            </w:pPr>
            <w:r w:rsidRPr="00DD49B6">
              <w:t>Cita informācija</w:t>
            </w:r>
          </w:p>
        </w:tc>
        <w:tc>
          <w:tcPr>
            <w:tcW w:w="3115" w:type="pct"/>
          </w:tcPr>
          <w:p w14:paraId="678A86F4" w14:textId="77777777" w:rsidR="00D175E9" w:rsidRPr="00DD49B6" w:rsidRDefault="00D175E9" w:rsidP="0089091C">
            <w:pPr>
              <w:pStyle w:val="naiskr"/>
              <w:spacing w:before="0" w:after="0"/>
              <w:ind w:left="57" w:right="57"/>
            </w:pPr>
            <w:r w:rsidRPr="00DD49B6">
              <w:t>Nav</w:t>
            </w:r>
          </w:p>
        </w:tc>
      </w:tr>
    </w:tbl>
    <w:p w14:paraId="60BBA799" w14:textId="77777777" w:rsidR="00D175E9" w:rsidRPr="00DD49B6" w:rsidRDefault="00D175E9" w:rsidP="00D175E9"/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D175E9" w:rsidRPr="00DD49B6" w14:paraId="36E6F23A" w14:textId="77777777" w:rsidTr="0089091C">
        <w:trPr>
          <w:trHeight w:val="556"/>
        </w:trPr>
        <w:tc>
          <w:tcPr>
            <w:tcW w:w="9503" w:type="dxa"/>
            <w:gridSpan w:val="3"/>
            <w:vAlign w:val="center"/>
          </w:tcPr>
          <w:p w14:paraId="1A19853B" w14:textId="04E62F22" w:rsidR="00D175E9" w:rsidRPr="00DD49B6" w:rsidRDefault="00D175E9" w:rsidP="0089091C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rPr>
                <w:b w:val="0"/>
              </w:rPr>
              <w:t>II. Tiesību akta projekta ietekme uz sabiedrību, tautsaimniecības attīstību</w:t>
            </w:r>
            <w:r w:rsidR="008A7464">
              <w:rPr>
                <w:b w:val="0"/>
              </w:rPr>
              <w:t xml:space="preserve"> </w:t>
            </w:r>
          </w:p>
          <w:p w14:paraId="6018EA72" w14:textId="77777777" w:rsidR="00D175E9" w:rsidRPr="00DD49B6" w:rsidRDefault="00D175E9" w:rsidP="0089091C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rPr>
                <w:b w:val="0"/>
              </w:rPr>
              <w:t>un administratīvo slogu</w:t>
            </w:r>
          </w:p>
        </w:tc>
      </w:tr>
      <w:tr w:rsidR="00D175E9" w:rsidRPr="00DD49B6" w14:paraId="72B46FF6" w14:textId="77777777" w:rsidTr="0089091C">
        <w:trPr>
          <w:trHeight w:val="467"/>
        </w:trPr>
        <w:tc>
          <w:tcPr>
            <w:tcW w:w="431" w:type="dxa"/>
          </w:tcPr>
          <w:p w14:paraId="54E77A9A" w14:textId="77777777" w:rsidR="00D175E9" w:rsidRPr="00DD49B6" w:rsidRDefault="00D175E9" w:rsidP="0089091C">
            <w:pPr>
              <w:pStyle w:val="naiskr"/>
              <w:spacing w:before="0" w:after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2976" w:type="dxa"/>
          </w:tcPr>
          <w:p w14:paraId="4F57567D" w14:textId="77777777" w:rsidR="00D175E9" w:rsidRPr="00DD49B6" w:rsidRDefault="00D175E9" w:rsidP="0089091C">
            <w:pPr>
              <w:pStyle w:val="naiskr"/>
              <w:spacing w:before="0" w:after="0"/>
              <w:ind w:left="57" w:right="57"/>
            </w:pPr>
            <w:r w:rsidRPr="00DD49B6">
              <w:t xml:space="preserve">Sabiedrības </w:t>
            </w:r>
            <w:proofErr w:type="spellStart"/>
            <w:r w:rsidRPr="00DD49B6">
              <w:t>mērķgrupas</w:t>
            </w:r>
            <w:proofErr w:type="spellEnd"/>
            <w:r w:rsidRPr="00DD49B6">
              <w:t>, kuras tiesiskais regulējums ietekmē vai varētu ietekmēt</w:t>
            </w:r>
          </w:p>
        </w:tc>
        <w:tc>
          <w:tcPr>
            <w:tcW w:w="6096" w:type="dxa"/>
          </w:tcPr>
          <w:p w14:paraId="14BB5B90" w14:textId="512EA551" w:rsidR="00D175E9" w:rsidRPr="00DD49B6" w:rsidRDefault="0089091C" w:rsidP="008A7464">
            <w:pPr>
              <w:shd w:val="clear" w:color="auto" w:fill="FFFFFF"/>
              <w:ind w:left="57" w:right="57"/>
            </w:pPr>
            <w:bookmarkStart w:id="0" w:name="p21"/>
            <w:bookmarkEnd w:id="0"/>
            <w:proofErr w:type="spellStart"/>
            <w:r>
              <w:t>Mikrouzņēmumu</w:t>
            </w:r>
            <w:proofErr w:type="spellEnd"/>
            <w:r>
              <w:t xml:space="preserve"> nodokļa maksātāji</w:t>
            </w:r>
            <w:r w:rsidR="00C44B05">
              <w:t xml:space="preserve"> </w:t>
            </w:r>
          </w:p>
        </w:tc>
      </w:tr>
      <w:tr w:rsidR="00D175E9" w:rsidRPr="00DD49B6" w14:paraId="1261EF87" w14:textId="77777777" w:rsidTr="0089091C">
        <w:trPr>
          <w:trHeight w:val="523"/>
        </w:trPr>
        <w:tc>
          <w:tcPr>
            <w:tcW w:w="431" w:type="dxa"/>
          </w:tcPr>
          <w:p w14:paraId="0F38299B" w14:textId="77777777" w:rsidR="00D175E9" w:rsidRPr="00DD49B6" w:rsidRDefault="00D175E9" w:rsidP="0089091C">
            <w:pPr>
              <w:pStyle w:val="naiskr"/>
              <w:spacing w:before="0" w:after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2976" w:type="dxa"/>
          </w:tcPr>
          <w:p w14:paraId="78A0CEE3" w14:textId="77777777" w:rsidR="00D175E9" w:rsidRPr="00DD49B6" w:rsidRDefault="00D175E9" w:rsidP="0089091C">
            <w:pPr>
              <w:pStyle w:val="naiskr"/>
              <w:spacing w:before="0" w:after="0"/>
              <w:ind w:left="57" w:right="57"/>
            </w:pPr>
            <w:r w:rsidRPr="00DD49B6">
              <w:t>Tiesiskā regulējuma ietekme uz tautsaimniecību un administratīvo slogu</w:t>
            </w:r>
          </w:p>
        </w:tc>
        <w:tc>
          <w:tcPr>
            <w:tcW w:w="6096" w:type="dxa"/>
          </w:tcPr>
          <w:p w14:paraId="34ECB953" w14:textId="77777777" w:rsidR="00693296" w:rsidRDefault="00693296" w:rsidP="00840284">
            <w:pPr>
              <w:shd w:val="clear" w:color="auto" w:fill="FFFFFF"/>
              <w:ind w:left="57" w:right="57"/>
              <w:jc w:val="both"/>
            </w:pPr>
            <w:r>
              <w:t xml:space="preserve">Noteikumu projekts aizstāj Ministru kabineta  2010.gada 31.augusta noteikumus Nr.819 „Noteikumi par </w:t>
            </w:r>
            <w:proofErr w:type="spellStart"/>
            <w:r>
              <w:t>mikrouzņēmumu</w:t>
            </w:r>
            <w:proofErr w:type="spellEnd"/>
            <w:r>
              <w:t xml:space="preserve"> nodokļa deklarāciju un tās aizpildīšanas </w:t>
            </w:r>
            <w:r>
              <w:lastRenderedPageBreak/>
              <w:t xml:space="preserve">kārtību”. Līdz ar to </w:t>
            </w:r>
            <w:proofErr w:type="spellStart"/>
            <w:r>
              <w:t>mikrouzņēmumu</w:t>
            </w:r>
            <w:proofErr w:type="spellEnd"/>
            <w:r>
              <w:t xml:space="preserve"> nodokļa deklarācijas aizpildīšana papildu administratīvo slogu nerada. </w:t>
            </w:r>
          </w:p>
          <w:p w14:paraId="4C2DC16A" w14:textId="788E77CC" w:rsidR="00A15DA6" w:rsidRPr="00DD49B6" w:rsidRDefault="00693296" w:rsidP="00840284">
            <w:pPr>
              <w:shd w:val="clear" w:color="auto" w:fill="FFFFFF"/>
              <w:ind w:left="57" w:right="57"/>
              <w:jc w:val="both"/>
            </w:pPr>
            <w:r>
              <w:t xml:space="preserve">Veikts izmaksu aprēķins, kas ir nepieciešams  </w:t>
            </w:r>
            <w:proofErr w:type="spellStart"/>
            <w:r>
              <w:t>mikrouzņēmumu</w:t>
            </w:r>
            <w:proofErr w:type="spellEnd"/>
            <w:r>
              <w:t xml:space="preserve"> nodokļa deklarācijas aizpildīšanai.</w:t>
            </w:r>
          </w:p>
        </w:tc>
      </w:tr>
      <w:tr w:rsidR="00D175E9" w:rsidRPr="00DD49B6" w14:paraId="5A429494" w14:textId="77777777" w:rsidTr="0089091C">
        <w:trPr>
          <w:trHeight w:val="523"/>
        </w:trPr>
        <w:tc>
          <w:tcPr>
            <w:tcW w:w="431" w:type="dxa"/>
          </w:tcPr>
          <w:p w14:paraId="522ED6B9" w14:textId="71A097B6" w:rsidR="00D175E9" w:rsidRPr="00DD49B6" w:rsidRDefault="00D175E9" w:rsidP="0089091C">
            <w:pPr>
              <w:pStyle w:val="naiskr"/>
              <w:spacing w:before="0" w:after="0"/>
              <w:ind w:left="57" w:right="57"/>
              <w:jc w:val="both"/>
            </w:pPr>
            <w:r w:rsidRPr="00DD49B6">
              <w:lastRenderedPageBreak/>
              <w:t>3.</w:t>
            </w:r>
          </w:p>
        </w:tc>
        <w:tc>
          <w:tcPr>
            <w:tcW w:w="2976" w:type="dxa"/>
          </w:tcPr>
          <w:p w14:paraId="69F05863" w14:textId="77777777" w:rsidR="00D175E9" w:rsidRPr="00DD49B6" w:rsidRDefault="00D175E9" w:rsidP="0089091C">
            <w:pPr>
              <w:pStyle w:val="naiskr"/>
              <w:spacing w:before="0" w:after="0"/>
              <w:ind w:left="57" w:right="57"/>
            </w:pPr>
            <w:r w:rsidRPr="00DD49B6">
              <w:t>Administratīvo izmaksu monetārs novērtējums</w:t>
            </w:r>
          </w:p>
        </w:tc>
        <w:tc>
          <w:tcPr>
            <w:tcW w:w="6096" w:type="dxa"/>
          </w:tcPr>
          <w:p w14:paraId="4A17B7D0" w14:textId="77777777" w:rsidR="008D5C2E" w:rsidRDefault="008D5C2E" w:rsidP="00840284">
            <w:pPr>
              <w:shd w:val="clear" w:color="auto" w:fill="FFFFFF"/>
              <w:ind w:left="57" w:right="57"/>
              <w:jc w:val="both"/>
            </w:pPr>
            <w:r>
              <w:t>I</w:t>
            </w:r>
            <w:r w:rsidRPr="00F177AA">
              <w:t>nformācijas sniegšanas pienākuma radītās izmaksas jeb administratīvās izmaksas</w:t>
            </w:r>
            <w:r>
              <w:t xml:space="preserve"> (C) – 43379,86  </w:t>
            </w:r>
            <w:proofErr w:type="spellStart"/>
            <w:r w:rsidRPr="00357053">
              <w:rPr>
                <w:i/>
              </w:rPr>
              <w:t>euro</w:t>
            </w:r>
            <w:proofErr w:type="spellEnd"/>
          </w:p>
          <w:p w14:paraId="0AF3722B" w14:textId="77777777" w:rsidR="008D5C2E" w:rsidRDefault="008D5C2E" w:rsidP="00840284">
            <w:pPr>
              <w:shd w:val="clear" w:color="auto" w:fill="FFFFFF"/>
              <w:ind w:left="57" w:right="57"/>
              <w:jc w:val="both"/>
            </w:pPr>
            <w:r w:rsidRPr="00F177AA">
              <w:t>C = (f x l) x (n x b)</w:t>
            </w:r>
          </w:p>
          <w:p w14:paraId="386F99AA" w14:textId="77777777" w:rsidR="008D5C2E" w:rsidRDefault="008D5C2E" w:rsidP="00840284">
            <w:pPr>
              <w:shd w:val="clear" w:color="auto" w:fill="FFFFFF"/>
              <w:ind w:left="57" w:right="57"/>
              <w:jc w:val="both"/>
            </w:pPr>
            <w:r>
              <w:t>C = (2,89 x 0,116666667) x (32 165 x 4)</w:t>
            </w:r>
          </w:p>
          <w:p w14:paraId="2C66D185" w14:textId="77777777" w:rsidR="008D5C2E" w:rsidRDefault="008D5C2E" w:rsidP="00840284">
            <w:pPr>
              <w:shd w:val="clear" w:color="auto" w:fill="FFFFFF"/>
              <w:ind w:left="57" w:right="57"/>
              <w:jc w:val="both"/>
            </w:pPr>
            <w:r>
              <w:t>C = 43379,86</w:t>
            </w:r>
          </w:p>
          <w:p w14:paraId="7F80AF15" w14:textId="77777777" w:rsidR="008D5C2E" w:rsidRDefault="008D5C2E" w:rsidP="00840284">
            <w:pPr>
              <w:shd w:val="clear" w:color="auto" w:fill="FFFFFF"/>
              <w:ind w:left="57" w:right="57"/>
              <w:jc w:val="both"/>
            </w:pPr>
            <w:r>
              <w:t xml:space="preserve">kur </w:t>
            </w:r>
          </w:p>
          <w:p w14:paraId="06C9BBAF" w14:textId="6512C629" w:rsidR="008D5C2E" w:rsidRDefault="008D5C2E" w:rsidP="00840284">
            <w:pPr>
              <w:shd w:val="clear" w:color="auto" w:fill="FFFFFF"/>
              <w:ind w:left="57" w:right="57"/>
              <w:jc w:val="both"/>
            </w:pPr>
            <w:r>
              <w:t>2,89 –</w:t>
            </w:r>
            <w:r w:rsidR="00847951">
              <w:t xml:space="preserve"> </w:t>
            </w:r>
            <w:r>
              <w:t xml:space="preserve">stundas samaksas likme </w:t>
            </w:r>
            <w:proofErr w:type="spellStart"/>
            <w:r>
              <w:t>mikrouzņēmuma</w:t>
            </w:r>
            <w:proofErr w:type="spellEnd"/>
            <w:r>
              <w:t xml:space="preserve"> darbiniekam, kura aprēķināta, izmantojot Valsts ieņēmumu dienesta rīcībā esošo informāciju par </w:t>
            </w:r>
            <w:proofErr w:type="spellStart"/>
            <w:r>
              <w:t>mikrouzņēmumu</w:t>
            </w:r>
            <w:proofErr w:type="spellEnd"/>
            <w:r>
              <w:t xml:space="preserve"> darbinieku vidējo darba samaksu</w:t>
            </w:r>
            <w:r w:rsidR="00281614">
              <w:t xml:space="preserve"> 2013.gadā</w:t>
            </w:r>
            <w:r>
              <w:t>, pieņemot, ka vidēji mēnesī ir 21  astoņu stundu darba</w:t>
            </w:r>
            <w:r w:rsidR="00281614">
              <w:t xml:space="preserve"> diena</w:t>
            </w:r>
            <w:r>
              <w:t>;</w:t>
            </w:r>
          </w:p>
          <w:p w14:paraId="0431D037" w14:textId="77777777" w:rsidR="008D5C2E" w:rsidRDefault="008D5C2E" w:rsidP="00840284">
            <w:pPr>
              <w:shd w:val="clear" w:color="auto" w:fill="FFFFFF"/>
              <w:ind w:left="57" w:right="57"/>
              <w:jc w:val="both"/>
            </w:pPr>
            <w:r>
              <w:t>0,116666667 – deklarācijas aizpildīšanai vidējais patērētais laiks (7 minūtes) izteikts kā daļskaitlis;</w:t>
            </w:r>
          </w:p>
          <w:p w14:paraId="060D84D5" w14:textId="77777777" w:rsidR="008D5C2E" w:rsidRDefault="008D5C2E" w:rsidP="00840284">
            <w:pPr>
              <w:shd w:val="clear" w:color="auto" w:fill="FFFFFF"/>
              <w:ind w:left="57" w:right="57"/>
              <w:jc w:val="both"/>
            </w:pPr>
            <w:r>
              <w:t xml:space="preserve">32 165 – </w:t>
            </w:r>
            <w:proofErr w:type="spellStart"/>
            <w:r>
              <w:t>mikrouzņēmuma</w:t>
            </w:r>
            <w:proofErr w:type="spellEnd"/>
            <w:r>
              <w:t xml:space="preserve"> nodokļa maksātāju skaits uz 2014.gada 1.janvāri;</w:t>
            </w:r>
          </w:p>
          <w:p w14:paraId="447BBE5B" w14:textId="4FAD915B" w:rsidR="00D175E9" w:rsidRPr="00DD49B6" w:rsidRDefault="008D5C2E" w:rsidP="00840284">
            <w:pPr>
              <w:shd w:val="clear" w:color="auto" w:fill="FFFFFF"/>
              <w:ind w:left="57" w:right="57"/>
              <w:jc w:val="both"/>
            </w:pPr>
            <w:r>
              <w:t xml:space="preserve">4 – </w:t>
            </w:r>
            <w:proofErr w:type="spellStart"/>
            <w:r>
              <w:t>mikrouzņēmumu</w:t>
            </w:r>
            <w:proofErr w:type="spellEnd"/>
            <w:r>
              <w:t xml:space="preserve"> nodokļa deklarācijas sniegšanas skaits gadā.</w:t>
            </w:r>
          </w:p>
        </w:tc>
      </w:tr>
      <w:tr w:rsidR="00D175E9" w:rsidRPr="00DD49B6" w14:paraId="0F52418F" w14:textId="77777777" w:rsidTr="0089091C">
        <w:trPr>
          <w:trHeight w:val="357"/>
        </w:trPr>
        <w:tc>
          <w:tcPr>
            <w:tcW w:w="431" w:type="dxa"/>
          </w:tcPr>
          <w:p w14:paraId="474AE4B5" w14:textId="77777777" w:rsidR="00D175E9" w:rsidRPr="00DD49B6" w:rsidRDefault="00D175E9" w:rsidP="0089091C">
            <w:pPr>
              <w:pStyle w:val="naiskr"/>
              <w:spacing w:before="0" w:after="0"/>
              <w:ind w:left="57" w:right="57"/>
              <w:jc w:val="both"/>
            </w:pPr>
            <w:r w:rsidRPr="00DD49B6">
              <w:t>4.</w:t>
            </w:r>
          </w:p>
        </w:tc>
        <w:tc>
          <w:tcPr>
            <w:tcW w:w="2976" w:type="dxa"/>
          </w:tcPr>
          <w:p w14:paraId="1F34BFA9" w14:textId="77777777" w:rsidR="00D175E9" w:rsidRPr="00DD49B6" w:rsidRDefault="00D175E9" w:rsidP="0089091C">
            <w:pPr>
              <w:pStyle w:val="naiskr"/>
              <w:spacing w:before="0" w:after="0"/>
              <w:ind w:left="57" w:right="57"/>
            </w:pPr>
            <w:r w:rsidRPr="00DD49B6">
              <w:t>Cita informācija</w:t>
            </w:r>
          </w:p>
        </w:tc>
        <w:tc>
          <w:tcPr>
            <w:tcW w:w="6096" w:type="dxa"/>
          </w:tcPr>
          <w:p w14:paraId="45A969F2" w14:textId="77777777" w:rsidR="00D175E9" w:rsidRPr="00DD49B6" w:rsidRDefault="00D175E9" w:rsidP="00CE5203">
            <w:pPr>
              <w:shd w:val="clear" w:color="auto" w:fill="FFFFFF"/>
              <w:ind w:left="57" w:right="57"/>
            </w:pPr>
            <w:r w:rsidRPr="00DD49B6">
              <w:t>Nav</w:t>
            </w:r>
          </w:p>
        </w:tc>
      </w:tr>
    </w:tbl>
    <w:p w14:paraId="61A9B9DA" w14:textId="77777777" w:rsidR="00D175E9" w:rsidRPr="00DD49B6" w:rsidRDefault="00D175E9" w:rsidP="00D175E9"/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1276"/>
        <w:gridCol w:w="1543"/>
        <w:gridCol w:w="1150"/>
        <w:gridCol w:w="1195"/>
        <w:gridCol w:w="1150"/>
      </w:tblGrid>
      <w:tr w:rsidR="00D175E9" w:rsidRPr="00DD49B6" w14:paraId="433D4E20" w14:textId="77777777" w:rsidTr="0089091C">
        <w:trPr>
          <w:trHeight w:val="361"/>
          <w:jc w:val="center"/>
        </w:trPr>
        <w:tc>
          <w:tcPr>
            <w:tcW w:w="9513" w:type="dxa"/>
            <w:gridSpan w:val="6"/>
            <w:vAlign w:val="center"/>
          </w:tcPr>
          <w:p w14:paraId="474BD529" w14:textId="77777777" w:rsidR="00D175E9" w:rsidRPr="00DD49B6" w:rsidRDefault="00D175E9" w:rsidP="0089091C">
            <w:pPr>
              <w:pStyle w:val="naisnod"/>
              <w:spacing w:before="0" w:after="0"/>
              <w:rPr>
                <w:b w:val="0"/>
                <w:i/>
              </w:rPr>
            </w:pPr>
            <w:r w:rsidRPr="00DD49B6">
              <w:br w:type="page"/>
            </w:r>
            <w:r w:rsidRPr="00DD49B6">
              <w:rPr>
                <w:b w:val="0"/>
              </w:rPr>
              <w:t>III. Tiesību akta projekta ietekme uz valsts budžetu un pašvaldību budžetiem</w:t>
            </w:r>
          </w:p>
        </w:tc>
      </w:tr>
      <w:tr w:rsidR="00D175E9" w:rsidRPr="00DD49B6" w14:paraId="16CE6779" w14:textId="77777777" w:rsidTr="0089091C">
        <w:trPr>
          <w:jc w:val="center"/>
        </w:trPr>
        <w:tc>
          <w:tcPr>
            <w:tcW w:w="3199" w:type="dxa"/>
            <w:vMerge w:val="restart"/>
            <w:vAlign w:val="center"/>
          </w:tcPr>
          <w:p w14:paraId="21EAFF5D" w14:textId="77777777" w:rsidR="00D175E9" w:rsidRPr="00DD49B6" w:rsidRDefault="00D175E9" w:rsidP="0089091C">
            <w:pPr>
              <w:pStyle w:val="naisf"/>
              <w:spacing w:before="0" w:after="0"/>
              <w:jc w:val="center"/>
              <w:rPr>
                <w:b/>
              </w:rPr>
            </w:pPr>
            <w:r w:rsidRPr="00DD49B6">
              <w:rPr>
                <w:b/>
              </w:rPr>
              <w:t>Rādītāji</w:t>
            </w:r>
          </w:p>
        </w:tc>
        <w:tc>
          <w:tcPr>
            <w:tcW w:w="2819" w:type="dxa"/>
            <w:gridSpan w:val="2"/>
            <w:vMerge w:val="restart"/>
            <w:vAlign w:val="center"/>
          </w:tcPr>
          <w:p w14:paraId="4F534F2D" w14:textId="77777777" w:rsidR="00D175E9" w:rsidRPr="00DD49B6" w:rsidRDefault="00D175E9" w:rsidP="0089091C">
            <w:pPr>
              <w:pStyle w:val="naisf"/>
              <w:spacing w:before="0" w:after="0"/>
              <w:jc w:val="center"/>
              <w:rPr>
                <w:b/>
              </w:rPr>
            </w:pPr>
            <w:r w:rsidRPr="00DD49B6">
              <w:rPr>
                <w:b/>
              </w:rPr>
              <w:t>n-tais gads</w:t>
            </w:r>
          </w:p>
        </w:tc>
        <w:tc>
          <w:tcPr>
            <w:tcW w:w="3495" w:type="dxa"/>
            <w:gridSpan w:val="3"/>
            <w:vAlign w:val="center"/>
          </w:tcPr>
          <w:p w14:paraId="4A115A9F" w14:textId="77777777" w:rsidR="00D175E9" w:rsidRPr="00DD49B6" w:rsidRDefault="00D175E9" w:rsidP="0089091C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DD49B6">
              <w:t>Turpmākie trīs gadi (</w:t>
            </w:r>
            <w:proofErr w:type="spellStart"/>
            <w:r w:rsidRPr="00470087">
              <w:rPr>
                <w:i/>
              </w:rPr>
              <w:t>euro</w:t>
            </w:r>
            <w:proofErr w:type="spellEnd"/>
            <w:r w:rsidRPr="00DD49B6">
              <w:t>)</w:t>
            </w:r>
          </w:p>
        </w:tc>
      </w:tr>
      <w:tr w:rsidR="00D175E9" w:rsidRPr="00DD49B6" w14:paraId="722C4E80" w14:textId="77777777" w:rsidTr="0089091C">
        <w:trPr>
          <w:jc w:val="center"/>
        </w:trPr>
        <w:tc>
          <w:tcPr>
            <w:tcW w:w="3199" w:type="dxa"/>
            <w:vMerge/>
            <w:vAlign w:val="center"/>
          </w:tcPr>
          <w:p w14:paraId="07643B0B" w14:textId="77777777" w:rsidR="00D175E9" w:rsidRPr="00DD49B6" w:rsidRDefault="00D175E9" w:rsidP="0089091C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819" w:type="dxa"/>
            <w:gridSpan w:val="2"/>
            <w:vMerge/>
            <w:vAlign w:val="center"/>
          </w:tcPr>
          <w:p w14:paraId="2B39BD4F" w14:textId="77777777" w:rsidR="00D175E9" w:rsidRPr="00DD49B6" w:rsidRDefault="00D175E9" w:rsidP="0089091C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150" w:type="dxa"/>
            <w:vAlign w:val="center"/>
          </w:tcPr>
          <w:p w14:paraId="61204EE6" w14:textId="77777777" w:rsidR="00D175E9" w:rsidRPr="00DD49B6" w:rsidRDefault="00D175E9" w:rsidP="0089091C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DD49B6">
              <w:rPr>
                <w:b/>
                <w:bCs/>
              </w:rPr>
              <w:t>n+1</w:t>
            </w:r>
          </w:p>
        </w:tc>
        <w:tc>
          <w:tcPr>
            <w:tcW w:w="1195" w:type="dxa"/>
            <w:vAlign w:val="center"/>
          </w:tcPr>
          <w:p w14:paraId="2F7FA72C" w14:textId="77777777" w:rsidR="00D175E9" w:rsidRPr="00DD49B6" w:rsidRDefault="00D175E9" w:rsidP="0089091C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DD49B6">
              <w:rPr>
                <w:b/>
                <w:bCs/>
              </w:rPr>
              <w:t>n+2</w:t>
            </w:r>
          </w:p>
        </w:tc>
        <w:tc>
          <w:tcPr>
            <w:tcW w:w="1150" w:type="dxa"/>
            <w:vAlign w:val="center"/>
          </w:tcPr>
          <w:p w14:paraId="4F3CFFC0" w14:textId="77777777" w:rsidR="00D175E9" w:rsidRPr="00DD49B6" w:rsidRDefault="00D175E9" w:rsidP="0089091C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DD49B6">
              <w:rPr>
                <w:b/>
                <w:bCs/>
              </w:rPr>
              <w:t>n+3</w:t>
            </w:r>
          </w:p>
        </w:tc>
      </w:tr>
      <w:tr w:rsidR="00D175E9" w:rsidRPr="00DD49B6" w14:paraId="41C6A637" w14:textId="77777777" w:rsidTr="00AE3D7B">
        <w:trPr>
          <w:jc w:val="center"/>
        </w:trPr>
        <w:tc>
          <w:tcPr>
            <w:tcW w:w="3199" w:type="dxa"/>
            <w:vMerge/>
            <w:vAlign w:val="center"/>
          </w:tcPr>
          <w:p w14:paraId="28CC77F7" w14:textId="77777777" w:rsidR="00D175E9" w:rsidRPr="00DD49B6" w:rsidRDefault="00D175E9" w:rsidP="0089091C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14:paraId="4723151F" w14:textId="0588FA42" w:rsidR="00D175E9" w:rsidRPr="00DD49B6" w:rsidRDefault="005B7BA0" w:rsidP="00AE3D7B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  <w:r>
              <w:t>S</w:t>
            </w:r>
            <w:r w:rsidR="00D175E9" w:rsidRPr="00DD49B6">
              <w:t>askaņā ar valsts budžetu kārtējam gadam</w:t>
            </w:r>
          </w:p>
        </w:tc>
        <w:tc>
          <w:tcPr>
            <w:tcW w:w="1543" w:type="dxa"/>
            <w:vAlign w:val="center"/>
          </w:tcPr>
          <w:p w14:paraId="27EE30A9" w14:textId="72F563AE" w:rsidR="00D175E9" w:rsidRPr="00DD49B6" w:rsidRDefault="005B7BA0" w:rsidP="00AE3D7B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  <w:r>
              <w:t>I</w:t>
            </w:r>
            <w:r w:rsidR="00D175E9" w:rsidRPr="00DD49B6">
              <w:t>zmaiņas kārtējā gadā, salīdzinot ar budžetu kārtējam gadam</w:t>
            </w:r>
          </w:p>
        </w:tc>
        <w:tc>
          <w:tcPr>
            <w:tcW w:w="1150" w:type="dxa"/>
            <w:vAlign w:val="center"/>
          </w:tcPr>
          <w:p w14:paraId="77CD9A88" w14:textId="4AFE02C5" w:rsidR="00D175E9" w:rsidRPr="00DD49B6" w:rsidRDefault="005B7BA0" w:rsidP="00AE3D7B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  <w:r>
              <w:t>I</w:t>
            </w:r>
            <w:r w:rsidR="00D175E9" w:rsidRPr="00DD49B6">
              <w:t>zmaiņas, salīdzinot ar kārtējo (n) gadu</w:t>
            </w:r>
          </w:p>
        </w:tc>
        <w:tc>
          <w:tcPr>
            <w:tcW w:w="1195" w:type="dxa"/>
            <w:vAlign w:val="center"/>
          </w:tcPr>
          <w:p w14:paraId="25AE5D20" w14:textId="0DBD2373" w:rsidR="00D175E9" w:rsidRPr="00DD49B6" w:rsidRDefault="005B7BA0" w:rsidP="00AE3D7B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  <w:r>
              <w:t>I</w:t>
            </w:r>
            <w:r w:rsidR="00D175E9" w:rsidRPr="00DD49B6">
              <w:t>zmaiņas, salīdzinot ar kārtējo (n) gadu</w:t>
            </w:r>
          </w:p>
        </w:tc>
        <w:tc>
          <w:tcPr>
            <w:tcW w:w="1150" w:type="dxa"/>
            <w:vAlign w:val="center"/>
          </w:tcPr>
          <w:p w14:paraId="2D376912" w14:textId="2C05AB20" w:rsidR="00D175E9" w:rsidRPr="00DD49B6" w:rsidRDefault="005B7BA0" w:rsidP="00AE3D7B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  <w:r>
              <w:t>I</w:t>
            </w:r>
            <w:r w:rsidR="00D175E9" w:rsidRPr="00DD49B6">
              <w:t>zmaiņas, salīdzinot ar kārtējo (n) gadu</w:t>
            </w:r>
          </w:p>
        </w:tc>
      </w:tr>
      <w:tr w:rsidR="00D175E9" w:rsidRPr="00DD49B6" w14:paraId="195A03D3" w14:textId="77777777" w:rsidTr="0089091C">
        <w:trPr>
          <w:jc w:val="center"/>
        </w:trPr>
        <w:tc>
          <w:tcPr>
            <w:tcW w:w="3199" w:type="dxa"/>
            <w:vAlign w:val="center"/>
          </w:tcPr>
          <w:p w14:paraId="7CE35B2D" w14:textId="77777777" w:rsidR="00D175E9" w:rsidRPr="00DD49B6" w:rsidRDefault="00D175E9" w:rsidP="0089091C">
            <w:pPr>
              <w:pStyle w:val="naisf"/>
              <w:spacing w:before="0" w:after="0"/>
              <w:jc w:val="center"/>
              <w:rPr>
                <w:bCs/>
              </w:rPr>
            </w:pPr>
            <w:r w:rsidRPr="00DD49B6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14:paraId="392DCD53" w14:textId="77777777" w:rsidR="00D175E9" w:rsidRPr="00DD49B6" w:rsidRDefault="00D175E9" w:rsidP="0089091C">
            <w:pPr>
              <w:pStyle w:val="naisf"/>
              <w:spacing w:before="0" w:after="0"/>
              <w:jc w:val="center"/>
              <w:rPr>
                <w:bCs/>
              </w:rPr>
            </w:pPr>
            <w:r w:rsidRPr="00DD49B6">
              <w:rPr>
                <w:bCs/>
              </w:rPr>
              <w:t>2</w:t>
            </w:r>
          </w:p>
        </w:tc>
        <w:tc>
          <w:tcPr>
            <w:tcW w:w="1543" w:type="dxa"/>
            <w:vAlign w:val="center"/>
          </w:tcPr>
          <w:p w14:paraId="2D2ACC49" w14:textId="77777777" w:rsidR="00D175E9" w:rsidRPr="00DD49B6" w:rsidRDefault="00D175E9" w:rsidP="0089091C">
            <w:pPr>
              <w:pStyle w:val="naisf"/>
              <w:spacing w:before="0" w:after="0"/>
              <w:jc w:val="center"/>
              <w:rPr>
                <w:bCs/>
              </w:rPr>
            </w:pPr>
            <w:r w:rsidRPr="00DD49B6">
              <w:rPr>
                <w:bCs/>
              </w:rPr>
              <w:t>3</w:t>
            </w:r>
          </w:p>
        </w:tc>
        <w:tc>
          <w:tcPr>
            <w:tcW w:w="1150" w:type="dxa"/>
            <w:vAlign w:val="center"/>
          </w:tcPr>
          <w:p w14:paraId="5DEBCBE8" w14:textId="77777777" w:rsidR="00D175E9" w:rsidRPr="00DD49B6" w:rsidRDefault="00D175E9" w:rsidP="0089091C">
            <w:pPr>
              <w:pStyle w:val="naisf"/>
              <w:spacing w:before="0" w:after="0"/>
              <w:jc w:val="center"/>
              <w:rPr>
                <w:bCs/>
              </w:rPr>
            </w:pPr>
            <w:r w:rsidRPr="00DD49B6">
              <w:rPr>
                <w:bCs/>
              </w:rPr>
              <w:t>4</w:t>
            </w:r>
          </w:p>
        </w:tc>
        <w:tc>
          <w:tcPr>
            <w:tcW w:w="1195" w:type="dxa"/>
            <w:vAlign w:val="center"/>
          </w:tcPr>
          <w:p w14:paraId="39FA76BF" w14:textId="77777777" w:rsidR="00D175E9" w:rsidRPr="00DD49B6" w:rsidRDefault="00D175E9" w:rsidP="0089091C">
            <w:pPr>
              <w:pStyle w:val="naisf"/>
              <w:spacing w:before="0" w:after="0"/>
              <w:jc w:val="center"/>
              <w:rPr>
                <w:bCs/>
              </w:rPr>
            </w:pPr>
            <w:r w:rsidRPr="00DD49B6">
              <w:rPr>
                <w:bCs/>
              </w:rPr>
              <w:t>5</w:t>
            </w:r>
          </w:p>
        </w:tc>
        <w:tc>
          <w:tcPr>
            <w:tcW w:w="1150" w:type="dxa"/>
            <w:vAlign w:val="center"/>
          </w:tcPr>
          <w:p w14:paraId="58AA53B4" w14:textId="77777777" w:rsidR="00D175E9" w:rsidRPr="00DD49B6" w:rsidRDefault="00D175E9" w:rsidP="0089091C">
            <w:pPr>
              <w:pStyle w:val="naisf"/>
              <w:spacing w:before="0" w:after="0"/>
              <w:jc w:val="center"/>
              <w:rPr>
                <w:bCs/>
              </w:rPr>
            </w:pPr>
            <w:r w:rsidRPr="00DD49B6">
              <w:rPr>
                <w:bCs/>
              </w:rPr>
              <w:t>6</w:t>
            </w:r>
          </w:p>
        </w:tc>
      </w:tr>
      <w:tr w:rsidR="00D175E9" w:rsidRPr="00DD49B6" w14:paraId="4AE05F67" w14:textId="77777777" w:rsidTr="00AE3D7B">
        <w:trPr>
          <w:jc w:val="center"/>
        </w:trPr>
        <w:tc>
          <w:tcPr>
            <w:tcW w:w="3199" w:type="dxa"/>
          </w:tcPr>
          <w:p w14:paraId="2D516A8E" w14:textId="77777777" w:rsidR="00D175E9" w:rsidRPr="00DD49B6" w:rsidRDefault="00D175E9" w:rsidP="00AE3D7B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DD49B6">
              <w:t>1. Budžeta ieņēmumi:</w:t>
            </w:r>
          </w:p>
        </w:tc>
        <w:tc>
          <w:tcPr>
            <w:tcW w:w="1276" w:type="dxa"/>
            <w:vAlign w:val="center"/>
          </w:tcPr>
          <w:p w14:paraId="27718634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543" w:type="dxa"/>
            <w:vAlign w:val="center"/>
          </w:tcPr>
          <w:p w14:paraId="493650B5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43C30519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vAlign w:val="center"/>
          </w:tcPr>
          <w:p w14:paraId="2BA765A7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4FF37BC7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D175E9" w:rsidRPr="00DD49B6" w14:paraId="7740F603" w14:textId="77777777" w:rsidTr="00AE3D7B">
        <w:trPr>
          <w:jc w:val="center"/>
        </w:trPr>
        <w:tc>
          <w:tcPr>
            <w:tcW w:w="3199" w:type="dxa"/>
          </w:tcPr>
          <w:p w14:paraId="1CB8D1A8" w14:textId="77777777" w:rsidR="00D175E9" w:rsidRPr="00DD49B6" w:rsidRDefault="00D175E9" w:rsidP="00AE3D7B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DD49B6">
              <w:t>1.1. valsts pamatbudžets, tai skaitā ieņēmumi no maksas pakalpojumiem un citi pašu ieņēmumi</w:t>
            </w:r>
          </w:p>
        </w:tc>
        <w:tc>
          <w:tcPr>
            <w:tcW w:w="1276" w:type="dxa"/>
            <w:vAlign w:val="center"/>
          </w:tcPr>
          <w:p w14:paraId="794FC855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543" w:type="dxa"/>
            <w:vAlign w:val="center"/>
          </w:tcPr>
          <w:p w14:paraId="04C56ED3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25395791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vAlign w:val="center"/>
          </w:tcPr>
          <w:p w14:paraId="23E11105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0C56C144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D175E9" w:rsidRPr="00DD49B6" w14:paraId="3EE9158B" w14:textId="77777777" w:rsidTr="00AE3D7B">
        <w:trPr>
          <w:jc w:val="center"/>
        </w:trPr>
        <w:tc>
          <w:tcPr>
            <w:tcW w:w="3199" w:type="dxa"/>
          </w:tcPr>
          <w:p w14:paraId="122AC6A8" w14:textId="77777777" w:rsidR="00D175E9" w:rsidRPr="00DD49B6" w:rsidRDefault="00D175E9" w:rsidP="00AE3D7B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DD49B6">
              <w:t>1.2. valsts speciālais budžets</w:t>
            </w:r>
          </w:p>
        </w:tc>
        <w:tc>
          <w:tcPr>
            <w:tcW w:w="1276" w:type="dxa"/>
            <w:vAlign w:val="center"/>
          </w:tcPr>
          <w:p w14:paraId="0E13CE5C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543" w:type="dxa"/>
            <w:vAlign w:val="center"/>
          </w:tcPr>
          <w:p w14:paraId="28E06329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4348D72A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vAlign w:val="center"/>
          </w:tcPr>
          <w:p w14:paraId="5C7333BB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4A948618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D175E9" w:rsidRPr="00DD49B6" w14:paraId="089BAE72" w14:textId="77777777" w:rsidTr="00AE3D7B">
        <w:trPr>
          <w:jc w:val="center"/>
        </w:trPr>
        <w:tc>
          <w:tcPr>
            <w:tcW w:w="3199" w:type="dxa"/>
          </w:tcPr>
          <w:p w14:paraId="0EEC52A3" w14:textId="77777777" w:rsidR="00D175E9" w:rsidRPr="00DD49B6" w:rsidRDefault="00D175E9" w:rsidP="00AE3D7B">
            <w:pPr>
              <w:pStyle w:val="naisf"/>
              <w:spacing w:before="0" w:after="0"/>
              <w:ind w:firstLine="0"/>
              <w:jc w:val="left"/>
              <w:rPr>
                <w:i/>
              </w:rPr>
            </w:pPr>
            <w:r w:rsidRPr="00DD49B6">
              <w:t>1.3. pašvaldību budžets</w:t>
            </w:r>
          </w:p>
        </w:tc>
        <w:tc>
          <w:tcPr>
            <w:tcW w:w="1276" w:type="dxa"/>
            <w:vAlign w:val="center"/>
          </w:tcPr>
          <w:p w14:paraId="1B2AE23A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543" w:type="dxa"/>
            <w:vAlign w:val="center"/>
          </w:tcPr>
          <w:p w14:paraId="57358896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3BC5C134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vAlign w:val="center"/>
          </w:tcPr>
          <w:p w14:paraId="2C91B225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6C6C0F81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D175E9" w:rsidRPr="00DD49B6" w14:paraId="73A56608" w14:textId="77777777" w:rsidTr="00AE3D7B">
        <w:trPr>
          <w:jc w:val="center"/>
        </w:trPr>
        <w:tc>
          <w:tcPr>
            <w:tcW w:w="3199" w:type="dxa"/>
          </w:tcPr>
          <w:p w14:paraId="577FF227" w14:textId="77777777" w:rsidR="00D175E9" w:rsidRPr="00DD49B6" w:rsidRDefault="00D175E9" w:rsidP="005B7BA0">
            <w:r w:rsidRPr="00DD49B6">
              <w:t>2. Budžeta izdevumi:</w:t>
            </w:r>
          </w:p>
        </w:tc>
        <w:tc>
          <w:tcPr>
            <w:tcW w:w="1276" w:type="dxa"/>
            <w:vAlign w:val="center"/>
          </w:tcPr>
          <w:p w14:paraId="6279987C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543" w:type="dxa"/>
            <w:vAlign w:val="center"/>
          </w:tcPr>
          <w:p w14:paraId="6DDBB079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200E1396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vAlign w:val="center"/>
          </w:tcPr>
          <w:p w14:paraId="57121E42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6D1FAFBA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D175E9" w:rsidRPr="00DD49B6" w14:paraId="5749298B" w14:textId="77777777" w:rsidTr="00AE3D7B">
        <w:trPr>
          <w:jc w:val="center"/>
        </w:trPr>
        <w:tc>
          <w:tcPr>
            <w:tcW w:w="3199" w:type="dxa"/>
          </w:tcPr>
          <w:p w14:paraId="2B483DAA" w14:textId="77777777" w:rsidR="00D175E9" w:rsidRPr="00DD49B6" w:rsidRDefault="00D175E9" w:rsidP="005B7BA0">
            <w:r w:rsidRPr="00DD49B6">
              <w:t>2.1. valsts pamatbudžets</w:t>
            </w:r>
          </w:p>
        </w:tc>
        <w:tc>
          <w:tcPr>
            <w:tcW w:w="1276" w:type="dxa"/>
            <w:vAlign w:val="center"/>
          </w:tcPr>
          <w:p w14:paraId="0D7266DF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543" w:type="dxa"/>
            <w:vAlign w:val="center"/>
          </w:tcPr>
          <w:p w14:paraId="78E130C1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721861B5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vAlign w:val="center"/>
          </w:tcPr>
          <w:p w14:paraId="2C6957DD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605C7D8B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D175E9" w:rsidRPr="00DD49B6" w14:paraId="4203C5C6" w14:textId="77777777" w:rsidTr="00AE3D7B">
        <w:trPr>
          <w:jc w:val="center"/>
        </w:trPr>
        <w:tc>
          <w:tcPr>
            <w:tcW w:w="3199" w:type="dxa"/>
          </w:tcPr>
          <w:p w14:paraId="2CCB907D" w14:textId="77777777" w:rsidR="00D175E9" w:rsidRPr="00DD49B6" w:rsidRDefault="00D175E9" w:rsidP="005B7BA0">
            <w:r w:rsidRPr="00DD49B6">
              <w:t>2.2. valsts speciālais budžets</w:t>
            </w:r>
          </w:p>
        </w:tc>
        <w:tc>
          <w:tcPr>
            <w:tcW w:w="1276" w:type="dxa"/>
            <w:vAlign w:val="center"/>
          </w:tcPr>
          <w:p w14:paraId="1872E0D5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543" w:type="dxa"/>
            <w:vAlign w:val="center"/>
          </w:tcPr>
          <w:p w14:paraId="0A28018E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3BD06493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vAlign w:val="center"/>
          </w:tcPr>
          <w:p w14:paraId="44AF39E3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114C952E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D175E9" w:rsidRPr="00DD49B6" w14:paraId="74ADA96C" w14:textId="77777777" w:rsidTr="00AE3D7B">
        <w:trPr>
          <w:jc w:val="center"/>
        </w:trPr>
        <w:tc>
          <w:tcPr>
            <w:tcW w:w="3199" w:type="dxa"/>
          </w:tcPr>
          <w:p w14:paraId="25C72262" w14:textId="77777777" w:rsidR="00D175E9" w:rsidRPr="00DD49B6" w:rsidRDefault="00D175E9" w:rsidP="005B7BA0">
            <w:r w:rsidRPr="00DD49B6">
              <w:t xml:space="preserve">2.3. pašvaldību budžets </w:t>
            </w:r>
          </w:p>
        </w:tc>
        <w:tc>
          <w:tcPr>
            <w:tcW w:w="1276" w:type="dxa"/>
            <w:vAlign w:val="center"/>
          </w:tcPr>
          <w:p w14:paraId="637EE131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543" w:type="dxa"/>
            <w:vAlign w:val="center"/>
          </w:tcPr>
          <w:p w14:paraId="1591FB9B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1C6E24E1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vAlign w:val="center"/>
          </w:tcPr>
          <w:p w14:paraId="48898EB9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603537E1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CE5203" w:rsidRPr="00DD49B6" w14:paraId="11CE1DBE" w14:textId="77777777" w:rsidTr="00AE3D7B">
        <w:trPr>
          <w:jc w:val="center"/>
        </w:trPr>
        <w:tc>
          <w:tcPr>
            <w:tcW w:w="3199" w:type="dxa"/>
          </w:tcPr>
          <w:p w14:paraId="454989A6" w14:textId="77777777" w:rsidR="00CE5203" w:rsidRPr="00DD49B6" w:rsidRDefault="00CE5203" w:rsidP="005B7BA0">
            <w:r w:rsidRPr="00DD49B6">
              <w:t>3. Finansiālā ietekme: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2710F" w14:textId="77777777" w:rsidR="00CE5203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543" w:type="dxa"/>
            <w:vAlign w:val="center"/>
          </w:tcPr>
          <w:p w14:paraId="7728186C" w14:textId="77777777" w:rsidR="00CE5203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583DEE7B" w14:textId="77777777" w:rsidR="00CE5203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vAlign w:val="center"/>
          </w:tcPr>
          <w:p w14:paraId="5AF2B947" w14:textId="77777777" w:rsidR="00CE5203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2CBAB568" w14:textId="77777777" w:rsidR="00CE5203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D175E9" w:rsidRPr="00DD49B6" w14:paraId="53ED02E7" w14:textId="77777777" w:rsidTr="00AE3D7B">
        <w:trPr>
          <w:jc w:val="center"/>
        </w:trPr>
        <w:tc>
          <w:tcPr>
            <w:tcW w:w="3199" w:type="dxa"/>
          </w:tcPr>
          <w:p w14:paraId="2B57B606" w14:textId="77777777" w:rsidR="00D175E9" w:rsidRPr="00DD49B6" w:rsidRDefault="00D175E9" w:rsidP="005B7BA0">
            <w:r w:rsidRPr="00DD49B6">
              <w:t>3.1. valsts pamatbudžets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EE044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i/>
              </w:rPr>
            </w:pPr>
            <w:r w:rsidRPr="00BC13A4">
              <w:t>0</w:t>
            </w:r>
          </w:p>
        </w:tc>
        <w:tc>
          <w:tcPr>
            <w:tcW w:w="1543" w:type="dxa"/>
            <w:vAlign w:val="center"/>
          </w:tcPr>
          <w:p w14:paraId="0D1E739D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6445F885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vAlign w:val="center"/>
          </w:tcPr>
          <w:p w14:paraId="6B5BDFC7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3EA4D0DA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D175E9" w:rsidRPr="00DD49B6" w14:paraId="668F36C0" w14:textId="77777777" w:rsidTr="00AE3D7B">
        <w:trPr>
          <w:jc w:val="center"/>
        </w:trPr>
        <w:tc>
          <w:tcPr>
            <w:tcW w:w="3199" w:type="dxa"/>
          </w:tcPr>
          <w:p w14:paraId="46952B3D" w14:textId="77777777" w:rsidR="00D175E9" w:rsidRPr="00DD49B6" w:rsidRDefault="00D175E9" w:rsidP="005B7BA0">
            <w:r w:rsidRPr="00DD49B6">
              <w:t>3.2. speciālais budžets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A89C66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i/>
              </w:rPr>
            </w:pPr>
            <w:r w:rsidRPr="00BC13A4">
              <w:t>0</w:t>
            </w:r>
          </w:p>
        </w:tc>
        <w:tc>
          <w:tcPr>
            <w:tcW w:w="1543" w:type="dxa"/>
            <w:vAlign w:val="center"/>
          </w:tcPr>
          <w:p w14:paraId="5684DBB5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41ED82C0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vAlign w:val="center"/>
          </w:tcPr>
          <w:p w14:paraId="4FBDCAFA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3F20C0BF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D175E9" w:rsidRPr="00DD49B6" w14:paraId="30537AB4" w14:textId="77777777" w:rsidTr="00AE3D7B">
        <w:trPr>
          <w:jc w:val="center"/>
        </w:trPr>
        <w:tc>
          <w:tcPr>
            <w:tcW w:w="3199" w:type="dxa"/>
          </w:tcPr>
          <w:p w14:paraId="1F345C03" w14:textId="77777777" w:rsidR="00D175E9" w:rsidRPr="00DD49B6" w:rsidRDefault="00D175E9" w:rsidP="005B7BA0">
            <w:r w:rsidRPr="00DD49B6">
              <w:t xml:space="preserve">3.3. pašvaldību budžets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BAA706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i/>
              </w:rPr>
            </w:pPr>
            <w:r w:rsidRPr="00BC13A4">
              <w:t>0</w:t>
            </w:r>
          </w:p>
        </w:tc>
        <w:tc>
          <w:tcPr>
            <w:tcW w:w="1543" w:type="dxa"/>
            <w:vAlign w:val="center"/>
          </w:tcPr>
          <w:p w14:paraId="31A6530B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54CC99DF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vAlign w:val="center"/>
          </w:tcPr>
          <w:p w14:paraId="4837E7CA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23C3F9D1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D175E9" w:rsidRPr="00DD49B6" w14:paraId="72537449" w14:textId="77777777" w:rsidTr="00AE3D7B">
        <w:trPr>
          <w:jc w:val="center"/>
        </w:trPr>
        <w:tc>
          <w:tcPr>
            <w:tcW w:w="3199" w:type="dxa"/>
            <w:vMerge w:val="restart"/>
          </w:tcPr>
          <w:p w14:paraId="0D971293" w14:textId="6161F5CD" w:rsidR="00D175E9" w:rsidRPr="00DD49B6" w:rsidRDefault="00D175E9" w:rsidP="005B7BA0">
            <w:r w:rsidRPr="00DD49B6">
              <w:t xml:space="preserve">4. Finanšu līdzekļi papildu izdevumu finansēšanai </w:t>
            </w:r>
            <w:r w:rsidRPr="00DD49B6">
              <w:lastRenderedPageBreak/>
              <w:t xml:space="preserve">(kompensējošu izdevumu samazinājumu norāda ar </w:t>
            </w:r>
            <w:r w:rsidR="005B7BA0">
              <w:t>“</w:t>
            </w:r>
            <w:r w:rsidRPr="00DD49B6">
              <w:t>+</w:t>
            </w:r>
            <w:r w:rsidR="005B7BA0">
              <w:t>”</w:t>
            </w:r>
            <w:r w:rsidRPr="00DD49B6">
              <w:t xml:space="preserve"> zīmi)</w:t>
            </w:r>
          </w:p>
        </w:tc>
        <w:tc>
          <w:tcPr>
            <w:tcW w:w="1276" w:type="dxa"/>
            <w:vMerge w:val="restart"/>
            <w:vAlign w:val="center"/>
          </w:tcPr>
          <w:p w14:paraId="77B05A4E" w14:textId="77777777" w:rsidR="00D175E9" w:rsidRPr="00DD49B6" w:rsidRDefault="00D175E9" w:rsidP="005B7BA0">
            <w:pPr>
              <w:pStyle w:val="naisf"/>
              <w:spacing w:before="0" w:after="0"/>
              <w:jc w:val="center"/>
              <w:rPr>
                <w:i/>
              </w:rPr>
            </w:pPr>
            <w:r w:rsidRPr="00DD49B6">
              <w:lastRenderedPageBreak/>
              <w:t>X</w:t>
            </w:r>
          </w:p>
        </w:tc>
        <w:tc>
          <w:tcPr>
            <w:tcW w:w="1543" w:type="dxa"/>
            <w:vAlign w:val="center"/>
          </w:tcPr>
          <w:p w14:paraId="4385586C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6D9E0B43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vAlign w:val="center"/>
          </w:tcPr>
          <w:p w14:paraId="6322F5FC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4F43AD12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D175E9" w:rsidRPr="00DD49B6" w14:paraId="52261BF7" w14:textId="77777777" w:rsidTr="00AE3D7B">
        <w:trPr>
          <w:jc w:val="center"/>
        </w:trPr>
        <w:tc>
          <w:tcPr>
            <w:tcW w:w="3199" w:type="dxa"/>
            <w:vMerge/>
          </w:tcPr>
          <w:p w14:paraId="06A1122E" w14:textId="77777777" w:rsidR="00D175E9" w:rsidRPr="00DD49B6" w:rsidRDefault="00D175E9"/>
        </w:tc>
        <w:tc>
          <w:tcPr>
            <w:tcW w:w="1276" w:type="dxa"/>
            <w:vMerge/>
            <w:vAlign w:val="center"/>
          </w:tcPr>
          <w:p w14:paraId="6C431359" w14:textId="77777777" w:rsidR="00D175E9" w:rsidRPr="00DD49B6" w:rsidRDefault="00D175E9">
            <w:pPr>
              <w:pStyle w:val="naisf"/>
              <w:spacing w:before="0" w:after="0"/>
              <w:jc w:val="center"/>
              <w:rPr>
                <w:i/>
              </w:rPr>
            </w:pPr>
          </w:p>
        </w:tc>
        <w:tc>
          <w:tcPr>
            <w:tcW w:w="1543" w:type="dxa"/>
            <w:vAlign w:val="center"/>
          </w:tcPr>
          <w:p w14:paraId="644A36B7" w14:textId="77777777" w:rsidR="00D175E9" w:rsidRPr="00DD49B6" w:rsidRDefault="00D175E9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150" w:type="dxa"/>
            <w:vAlign w:val="center"/>
          </w:tcPr>
          <w:p w14:paraId="0E21EE37" w14:textId="77777777" w:rsidR="00D175E9" w:rsidRPr="00DD49B6" w:rsidRDefault="00D175E9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195" w:type="dxa"/>
            <w:vAlign w:val="center"/>
          </w:tcPr>
          <w:p w14:paraId="46BC5E64" w14:textId="77777777" w:rsidR="00D175E9" w:rsidRPr="00DD49B6" w:rsidRDefault="00D175E9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150" w:type="dxa"/>
            <w:vAlign w:val="center"/>
          </w:tcPr>
          <w:p w14:paraId="437DF4D3" w14:textId="77777777" w:rsidR="00D175E9" w:rsidRPr="00DD49B6" w:rsidRDefault="00D175E9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</w:tr>
      <w:tr w:rsidR="00D175E9" w:rsidRPr="00DD49B6" w14:paraId="39708B27" w14:textId="77777777" w:rsidTr="00AE3D7B">
        <w:trPr>
          <w:jc w:val="center"/>
        </w:trPr>
        <w:tc>
          <w:tcPr>
            <w:tcW w:w="3199" w:type="dxa"/>
            <w:vMerge/>
          </w:tcPr>
          <w:p w14:paraId="1B0BC05A" w14:textId="77777777" w:rsidR="00D175E9" w:rsidRPr="00DD49B6" w:rsidRDefault="00D175E9"/>
        </w:tc>
        <w:tc>
          <w:tcPr>
            <w:tcW w:w="1276" w:type="dxa"/>
            <w:vMerge/>
            <w:vAlign w:val="center"/>
          </w:tcPr>
          <w:p w14:paraId="2CDF0C92" w14:textId="77777777" w:rsidR="00D175E9" w:rsidRPr="00DD49B6" w:rsidRDefault="00D175E9">
            <w:pPr>
              <w:pStyle w:val="naisf"/>
              <w:spacing w:before="0" w:after="0"/>
              <w:jc w:val="center"/>
              <w:rPr>
                <w:i/>
              </w:rPr>
            </w:pPr>
          </w:p>
        </w:tc>
        <w:tc>
          <w:tcPr>
            <w:tcW w:w="1543" w:type="dxa"/>
            <w:vAlign w:val="center"/>
          </w:tcPr>
          <w:p w14:paraId="03F208A5" w14:textId="77777777" w:rsidR="00D175E9" w:rsidRPr="00DD49B6" w:rsidRDefault="00D175E9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150" w:type="dxa"/>
            <w:vAlign w:val="center"/>
          </w:tcPr>
          <w:p w14:paraId="77425FFB" w14:textId="77777777" w:rsidR="00D175E9" w:rsidRPr="00DD49B6" w:rsidRDefault="00D175E9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195" w:type="dxa"/>
            <w:vAlign w:val="center"/>
          </w:tcPr>
          <w:p w14:paraId="4869094F" w14:textId="77777777" w:rsidR="00D175E9" w:rsidRPr="00DD49B6" w:rsidRDefault="00D175E9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1150" w:type="dxa"/>
            <w:vAlign w:val="center"/>
          </w:tcPr>
          <w:p w14:paraId="0096EF8C" w14:textId="77777777" w:rsidR="00D175E9" w:rsidRPr="00DD49B6" w:rsidRDefault="00D175E9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</w:p>
        </w:tc>
      </w:tr>
      <w:tr w:rsidR="00D175E9" w:rsidRPr="00DD49B6" w14:paraId="673D8CE3" w14:textId="77777777" w:rsidTr="00AE3D7B">
        <w:trPr>
          <w:jc w:val="center"/>
        </w:trPr>
        <w:tc>
          <w:tcPr>
            <w:tcW w:w="3199" w:type="dxa"/>
          </w:tcPr>
          <w:p w14:paraId="2D9720FA" w14:textId="77777777" w:rsidR="00D175E9" w:rsidRPr="00DD49B6" w:rsidRDefault="00D175E9" w:rsidP="005B7BA0">
            <w:r w:rsidRPr="00DD49B6">
              <w:lastRenderedPageBreak/>
              <w:t>5. Precizēta finansiālā ietekme:</w:t>
            </w:r>
          </w:p>
        </w:tc>
        <w:tc>
          <w:tcPr>
            <w:tcW w:w="1276" w:type="dxa"/>
            <w:vMerge w:val="restart"/>
            <w:vAlign w:val="center"/>
          </w:tcPr>
          <w:p w14:paraId="19D8D28A" w14:textId="77777777" w:rsidR="00D175E9" w:rsidRPr="00DD49B6" w:rsidRDefault="00D175E9" w:rsidP="005B7BA0">
            <w:pPr>
              <w:pStyle w:val="naisf"/>
              <w:spacing w:before="0" w:after="0"/>
              <w:jc w:val="center"/>
              <w:rPr>
                <w:i/>
              </w:rPr>
            </w:pPr>
            <w:r w:rsidRPr="00DD49B6">
              <w:t>X</w:t>
            </w:r>
          </w:p>
        </w:tc>
        <w:tc>
          <w:tcPr>
            <w:tcW w:w="1543" w:type="dxa"/>
            <w:vAlign w:val="center"/>
          </w:tcPr>
          <w:p w14:paraId="2E11C90F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7B5AFE84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vAlign w:val="center"/>
          </w:tcPr>
          <w:p w14:paraId="6CE30563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5C52957C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D175E9" w:rsidRPr="00DD49B6" w14:paraId="6371031A" w14:textId="77777777" w:rsidTr="00AE3D7B">
        <w:trPr>
          <w:jc w:val="center"/>
        </w:trPr>
        <w:tc>
          <w:tcPr>
            <w:tcW w:w="3199" w:type="dxa"/>
          </w:tcPr>
          <w:p w14:paraId="3F52CE4F" w14:textId="77777777" w:rsidR="00D175E9" w:rsidRPr="00DD49B6" w:rsidRDefault="00D175E9" w:rsidP="005B7BA0">
            <w:r w:rsidRPr="00DD49B6">
              <w:t>5.1. valsts pamatbudžets</w:t>
            </w:r>
          </w:p>
        </w:tc>
        <w:tc>
          <w:tcPr>
            <w:tcW w:w="1276" w:type="dxa"/>
            <w:vMerge/>
            <w:vAlign w:val="center"/>
          </w:tcPr>
          <w:p w14:paraId="66C1917A" w14:textId="77777777" w:rsidR="00D175E9" w:rsidRPr="00DD49B6" w:rsidRDefault="00D175E9">
            <w:pPr>
              <w:pStyle w:val="naisf"/>
              <w:spacing w:before="0" w:after="0"/>
              <w:jc w:val="center"/>
              <w:rPr>
                <w:i/>
              </w:rPr>
            </w:pPr>
          </w:p>
        </w:tc>
        <w:tc>
          <w:tcPr>
            <w:tcW w:w="1543" w:type="dxa"/>
            <w:vAlign w:val="center"/>
          </w:tcPr>
          <w:p w14:paraId="2AF6DAED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5B397543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vAlign w:val="center"/>
          </w:tcPr>
          <w:p w14:paraId="465469E6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2F6F7F3D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D175E9" w:rsidRPr="00DD49B6" w14:paraId="71174044" w14:textId="77777777" w:rsidTr="00AE3D7B">
        <w:trPr>
          <w:jc w:val="center"/>
        </w:trPr>
        <w:tc>
          <w:tcPr>
            <w:tcW w:w="3199" w:type="dxa"/>
          </w:tcPr>
          <w:p w14:paraId="0190E247" w14:textId="77777777" w:rsidR="00D175E9" w:rsidRPr="00DD49B6" w:rsidRDefault="00D175E9" w:rsidP="005B7BA0">
            <w:r w:rsidRPr="00DD49B6">
              <w:t>5.2. speciālais budžets</w:t>
            </w:r>
          </w:p>
        </w:tc>
        <w:tc>
          <w:tcPr>
            <w:tcW w:w="1276" w:type="dxa"/>
            <w:vMerge/>
            <w:vAlign w:val="center"/>
          </w:tcPr>
          <w:p w14:paraId="2E456B80" w14:textId="77777777" w:rsidR="00D175E9" w:rsidRPr="00DD49B6" w:rsidRDefault="00D175E9">
            <w:pPr>
              <w:pStyle w:val="naisf"/>
              <w:spacing w:before="0" w:after="0"/>
              <w:jc w:val="center"/>
              <w:rPr>
                <w:i/>
              </w:rPr>
            </w:pPr>
          </w:p>
        </w:tc>
        <w:tc>
          <w:tcPr>
            <w:tcW w:w="1543" w:type="dxa"/>
            <w:vAlign w:val="center"/>
          </w:tcPr>
          <w:p w14:paraId="3839DFB3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1F479EF9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vAlign w:val="center"/>
          </w:tcPr>
          <w:p w14:paraId="19AA7673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vAlign w:val="center"/>
          </w:tcPr>
          <w:p w14:paraId="3B8ED1E6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D175E9" w:rsidRPr="00DD49B6" w14:paraId="49879CAD" w14:textId="77777777" w:rsidTr="00AE3D7B">
        <w:trPr>
          <w:jc w:val="center"/>
        </w:trPr>
        <w:tc>
          <w:tcPr>
            <w:tcW w:w="3199" w:type="dxa"/>
          </w:tcPr>
          <w:p w14:paraId="24095722" w14:textId="77777777" w:rsidR="00D175E9" w:rsidRPr="00DD49B6" w:rsidRDefault="00D175E9" w:rsidP="005B7BA0">
            <w:r w:rsidRPr="00DD49B6">
              <w:t xml:space="preserve">5.3. pašvaldību budžets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5607285" w14:textId="77777777" w:rsidR="00D175E9" w:rsidRPr="00DD49B6" w:rsidRDefault="00D175E9">
            <w:pPr>
              <w:pStyle w:val="naisf"/>
              <w:spacing w:before="0" w:after="0"/>
              <w:jc w:val="center"/>
              <w:rPr>
                <w:i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30161084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59845445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44A1BD5F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0BEACB58" w14:textId="77777777" w:rsidR="00D175E9" w:rsidRPr="00DD49B6" w:rsidRDefault="00CE5203" w:rsidP="00AE3D7B">
            <w:pPr>
              <w:pStyle w:val="naisf"/>
              <w:spacing w:before="0" w:after="0"/>
              <w:jc w:val="center"/>
              <w:rPr>
                <w:b/>
                <w:i/>
              </w:rPr>
            </w:pPr>
            <w:r w:rsidRPr="00BC13A4">
              <w:t>0</w:t>
            </w:r>
          </w:p>
        </w:tc>
      </w:tr>
      <w:tr w:rsidR="00CE5203" w:rsidRPr="00DD49B6" w14:paraId="7ABE5836" w14:textId="77777777" w:rsidTr="009052B1">
        <w:trPr>
          <w:jc w:val="center"/>
        </w:trPr>
        <w:tc>
          <w:tcPr>
            <w:tcW w:w="3199" w:type="dxa"/>
          </w:tcPr>
          <w:p w14:paraId="72926B0B" w14:textId="77777777" w:rsidR="00CE5203" w:rsidRPr="00DD49B6" w:rsidRDefault="00CE5203" w:rsidP="005B7BA0">
            <w:r w:rsidRPr="00DD49B6">
              <w:t>6. Detalizēts ieņēmumu un izdevumu aprēķins (ja nepie</w:t>
            </w:r>
            <w:r>
              <w:softHyphen/>
            </w:r>
            <w:r w:rsidRPr="00DD49B6">
              <w:t>ciešams, detalizētu ieņēmumu un izdevumu aprēķinu var pie</w:t>
            </w:r>
            <w:r>
              <w:softHyphen/>
            </w:r>
            <w:r w:rsidRPr="00DD49B6">
              <w:t>vienot anotācijas pielikumā):</w:t>
            </w:r>
          </w:p>
        </w:tc>
        <w:tc>
          <w:tcPr>
            <w:tcW w:w="6314" w:type="dxa"/>
            <w:gridSpan w:val="5"/>
            <w:vAlign w:val="center"/>
          </w:tcPr>
          <w:p w14:paraId="762168CC" w14:textId="77777777" w:rsidR="00CE5203" w:rsidRPr="00DD49B6" w:rsidRDefault="00CE5203" w:rsidP="0089091C">
            <w:pPr>
              <w:pStyle w:val="naisf"/>
              <w:spacing w:before="0" w:after="0"/>
              <w:rPr>
                <w:b/>
                <w:i/>
              </w:rPr>
            </w:pPr>
          </w:p>
        </w:tc>
      </w:tr>
      <w:tr w:rsidR="00CE5203" w:rsidRPr="00DD49B6" w14:paraId="34540353" w14:textId="77777777" w:rsidTr="009052B1">
        <w:trPr>
          <w:jc w:val="center"/>
        </w:trPr>
        <w:tc>
          <w:tcPr>
            <w:tcW w:w="3199" w:type="dxa"/>
          </w:tcPr>
          <w:p w14:paraId="734B046D" w14:textId="77777777" w:rsidR="00CE5203" w:rsidRPr="00DD49B6" w:rsidRDefault="00CE5203" w:rsidP="005B7BA0">
            <w:r w:rsidRPr="00DD49B6">
              <w:t>6.1. detalizēts ieņēmumu aprēķins</w:t>
            </w:r>
          </w:p>
        </w:tc>
        <w:tc>
          <w:tcPr>
            <w:tcW w:w="6314" w:type="dxa"/>
            <w:gridSpan w:val="5"/>
          </w:tcPr>
          <w:p w14:paraId="1FF5D0B2" w14:textId="77777777" w:rsidR="00CE5203" w:rsidRPr="00DD49B6" w:rsidRDefault="00CE5203" w:rsidP="0089091C">
            <w:pPr>
              <w:pStyle w:val="naisf"/>
              <w:spacing w:before="0" w:after="0"/>
              <w:rPr>
                <w:b/>
                <w:i/>
              </w:rPr>
            </w:pPr>
          </w:p>
        </w:tc>
      </w:tr>
      <w:tr w:rsidR="00696E84" w:rsidRPr="00DD49B6" w14:paraId="6DAE24FE" w14:textId="77777777" w:rsidTr="00CE5203">
        <w:trPr>
          <w:jc w:val="center"/>
        </w:trPr>
        <w:tc>
          <w:tcPr>
            <w:tcW w:w="3199" w:type="dxa"/>
          </w:tcPr>
          <w:p w14:paraId="161045A5" w14:textId="77777777" w:rsidR="00696E84" w:rsidRPr="00DD49B6" w:rsidRDefault="00696E84" w:rsidP="005B7BA0">
            <w:r w:rsidRPr="00DD49B6">
              <w:t>6.2. detalizēts izdevumu aprēķins</w:t>
            </w:r>
          </w:p>
        </w:tc>
        <w:tc>
          <w:tcPr>
            <w:tcW w:w="6314" w:type="dxa"/>
            <w:gridSpan w:val="5"/>
            <w:tcBorders>
              <w:bottom w:val="single" w:sz="4" w:space="0" w:color="auto"/>
            </w:tcBorders>
          </w:tcPr>
          <w:p w14:paraId="094C9127" w14:textId="77777777" w:rsidR="00696E84" w:rsidRPr="004943A0" w:rsidRDefault="00696E84" w:rsidP="00736BAB">
            <w:pPr>
              <w:rPr>
                <w:b/>
              </w:rPr>
            </w:pPr>
            <w:r w:rsidRPr="004943A0">
              <w:rPr>
                <w:b/>
              </w:rPr>
              <w:t>VID IS izmaiņu veikšanai nepieciešamais finansējums:</w:t>
            </w:r>
          </w:p>
          <w:tbl>
            <w:tblPr>
              <w:tblW w:w="552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3"/>
              <w:gridCol w:w="1368"/>
            </w:tblGrid>
            <w:tr w:rsidR="005F63DD" w14:paraId="2D87D791" w14:textId="77777777" w:rsidTr="005F63DD">
              <w:trPr>
                <w:trHeight w:val="600"/>
              </w:trPr>
              <w:tc>
                <w:tcPr>
                  <w:tcW w:w="415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0DAB6CC" w14:textId="42DEE607" w:rsidR="005F63DD" w:rsidRDefault="00696E84">
                  <w:pPr>
                    <w:rPr>
                      <w:rFonts w:ascii="Calibri" w:eastAsiaTheme="minorHAnsi" w:hAnsi="Calibri"/>
                      <w:sz w:val="20"/>
                      <w:szCs w:val="20"/>
                    </w:rPr>
                  </w:pPr>
                  <w:r w:rsidRPr="00BC13A4">
                    <w:t xml:space="preserve"> </w:t>
                  </w:r>
                  <w:r w:rsidR="005F63DD">
                    <w:rPr>
                      <w:sz w:val="20"/>
                      <w:szCs w:val="20"/>
                    </w:rPr>
                    <w:t>VID informācijas sistēma</w:t>
                  </w:r>
                </w:p>
              </w:tc>
              <w:tc>
                <w:tcPr>
                  <w:tcW w:w="13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1A3A1EC" w14:textId="77777777" w:rsidR="005F63DD" w:rsidRDefault="005F63DD">
                  <w:pPr>
                    <w:rPr>
                      <w:rFonts w:ascii="Calibri" w:eastAsiaTheme="minorHAns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Izmaksas, </w:t>
                  </w:r>
                  <w:proofErr w:type="spellStart"/>
                  <w:r>
                    <w:rPr>
                      <w:i/>
                      <w:iCs/>
                      <w:sz w:val="20"/>
                      <w:szCs w:val="20"/>
                    </w:rPr>
                    <w:t>euro</w:t>
                  </w:r>
                  <w:proofErr w:type="spellEnd"/>
                </w:p>
              </w:tc>
            </w:tr>
            <w:tr w:rsidR="005F63DD" w14:paraId="58D2BCF1" w14:textId="77777777" w:rsidTr="005F63DD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F65A0D4" w14:textId="77777777" w:rsidR="005F63DD" w:rsidRDefault="005F63DD">
                  <w:pPr>
                    <w:rPr>
                      <w:rFonts w:ascii="Calibri" w:eastAsiaTheme="minorHAns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Nodokļu informācijas sistēma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8D7C5FA" w14:textId="77777777" w:rsidR="005F63DD" w:rsidRDefault="005F63DD">
                  <w:pPr>
                    <w:jc w:val="right"/>
                    <w:rPr>
                      <w:rFonts w:ascii="Calibri" w:eastAsiaTheme="minorHAns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2 547</w:t>
                  </w:r>
                </w:p>
              </w:tc>
            </w:tr>
            <w:tr w:rsidR="005F63DD" w14:paraId="6CD1288B" w14:textId="77777777" w:rsidTr="005F63DD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7A76170" w14:textId="77777777" w:rsidR="005F63DD" w:rsidRDefault="005F63DD">
                  <w:pPr>
                    <w:rPr>
                      <w:rFonts w:ascii="Calibri" w:eastAsiaTheme="minorHAns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Elektroniskās deklarēšanas sistēma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B51D124" w14:textId="77777777" w:rsidR="005F63DD" w:rsidRDefault="005F63DD">
                  <w:pPr>
                    <w:jc w:val="right"/>
                    <w:rPr>
                      <w:rFonts w:ascii="Calibri" w:eastAsiaTheme="minorHAns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3 639 </w:t>
                  </w:r>
                </w:p>
              </w:tc>
            </w:tr>
            <w:tr w:rsidR="005F63DD" w14:paraId="02DC75F1" w14:textId="77777777" w:rsidTr="005F63DD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0D4DDD" w14:textId="77777777" w:rsidR="005F63DD" w:rsidRDefault="005F63DD">
                  <w:pPr>
                    <w:rPr>
                      <w:rFonts w:ascii="Calibri" w:eastAsiaTheme="minorHAns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 noliktavas sistēma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C70EA62" w14:textId="77777777" w:rsidR="005F63DD" w:rsidRDefault="005F63DD">
                  <w:pPr>
                    <w:jc w:val="right"/>
                    <w:rPr>
                      <w:rFonts w:ascii="Calibri" w:eastAsiaTheme="minorHAns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1 638</w:t>
                  </w:r>
                </w:p>
              </w:tc>
            </w:tr>
            <w:tr w:rsidR="005F63DD" w14:paraId="3901699E" w14:textId="77777777" w:rsidTr="005F63DD">
              <w:trPr>
                <w:trHeight w:val="300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EA544D6" w14:textId="77777777" w:rsidR="005F63DD" w:rsidRDefault="005F63DD">
                  <w:pPr>
                    <w:rPr>
                      <w:rFonts w:ascii="Calibri" w:eastAsiaTheme="minorHAns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Audita atbalsta informācijas sistēma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4EBEFB" w14:textId="77777777" w:rsidR="005F63DD" w:rsidRDefault="005F63DD">
                  <w:pPr>
                    <w:jc w:val="right"/>
                    <w:rPr>
                      <w:rFonts w:ascii="Calibri" w:eastAsiaTheme="minorHAns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2 651</w:t>
                  </w:r>
                </w:p>
              </w:tc>
            </w:tr>
            <w:tr w:rsidR="005F63DD" w14:paraId="1A9E3834" w14:textId="77777777" w:rsidTr="005F63DD">
              <w:trPr>
                <w:trHeight w:val="285"/>
              </w:trPr>
              <w:tc>
                <w:tcPr>
                  <w:tcW w:w="4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3DA25A" w14:textId="77777777" w:rsidR="005F63DD" w:rsidRDefault="005F63DD">
                  <w:pPr>
                    <w:rPr>
                      <w:rFonts w:ascii="Calibri" w:eastAsiaTheme="minorHAns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Kopā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8A02E8" w14:textId="77777777" w:rsidR="005F63DD" w:rsidRDefault="005F63DD">
                  <w:pPr>
                    <w:jc w:val="right"/>
                    <w:rPr>
                      <w:rFonts w:ascii="Calibri" w:eastAsiaTheme="minorHAns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10 475</w:t>
                  </w:r>
                </w:p>
              </w:tc>
            </w:tr>
          </w:tbl>
          <w:p w14:paraId="6D8DA2DF" w14:textId="4B3EDAEE" w:rsidR="00696E84" w:rsidRPr="00BC13A4" w:rsidRDefault="00696E84" w:rsidP="00736BAB"/>
        </w:tc>
      </w:tr>
      <w:tr w:rsidR="00696E84" w:rsidRPr="00DD49B6" w14:paraId="25172040" w14:textId="77777777" w:rsidTr="00CE5203">
        <w:trPr>
          <w:trHeight w:val="556"/>
          <w:jc w:val="center"/>
        </w:trPr>
        <w:tc>
          <w:tcPr>
            <w:tcW w:w="3199" w:type="dxa"/>
          </w:tcPr>
          <w:p w14:paraId="4CCE1856" w14:textId="77777777" w:rsidR="00696E84" w:rsidRPr="00DD49B6" w:rsidRDefault="00696E84" w:rsidP="0089091C">
            <w:r w:rsidRPr="00DD49B6">
              <w:t>7. Cita informācija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</w:tcBorders>
          </w:tcPr>
          <w:p w14:paraId="6EA5C4A2" w14:textId="4DDB09FA" w:rsidR="006E67B9" w:rsidRDefault="004943A0" w:rsidP="00AE3D7B">
            <w:pPr>
              <w:pStyle w:val="naisf"/>
              <w:tabs>
                <w:tab w:val="left" w:pos="4644"/>
              </w:tabs>
              <w:spacing w:before="0" w:after="0"/>
              <w:ind w:firstLine="0"/>
            </w:pPr>
            <w:r w:rsidRPr="004943A0">
              <w:t>Noteikumu projekta realizācijai V</w:t>
            </w:r>
            <w:r w:rsidR="005B7BA0">
              <w:t>alsts ieņēmumu dienesta</w:t>
            </w:r>
            <w:r w:rsidRPr="004943A0">
              <w:t xml:space="preserve"> </w:t>
            </w:r>
            <w:r w:rsidR="005B7BA0">
              <w:t>i</w:t>
            </w:r>
            <w:r w:rsidRPr="004943A0">
              <w:t>nformācijas sistēmās nepieciešam</w:t>
            </w:r>
            <w:r w:rsidR="006E67B9">
              <w:t>ais</w:t>
            </w:r>
            <w:r w:rsidRPr="004943A0">
              <w:t xml:space="preserve"> finansējums </w:t>
            </w:r>
            <w:r w:rsidR="005F63DD" w:rsidRPr="005F63DD">
              <w:rPr>
                <w:b/>
                <w:bCs/>
              </w:rPr>
              <w:t>10 475</w:t>
            </w:r>
            <w:r w:rsidR="005F63D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43A0">
              <w:rPr>
                <w:i/>
              </w:rPr>
              <w:t>euro</w:t>
            </w:r>
            <w:proofErr w:type="spellEnd"/>
            <w:r w:rsidRPr="004943A0">
              <w:t xml:space="preserve"> apmērā </w:t>
            </w:r>
            <w:r w:rsidR="006E67B9">
              <w:rPr>
                <w:bCs/>
              </w:rPr>
              <w:t>tiks rasts V</w:t>
            </w:r>
            <w:r w:rsidR="005B7BA0">
              <w:t>alsts ieņēmumu dienestam</w:t>
            </w:r>
            <w:r w:rsidR="005B7BA0" w:rsidRPr="004943A0">
              <w:t xml:space="preserve"> </w:t>
            </w:r>
            <w:r w:rsidR="006E67B9">
              <w:rPr>
                <w:bCs/>
              </w:rPr>
              <w:t xml:space="preserve">piešķirtā 2014.gada budžeta ietvaros un papildus finansējums netiks pieprasīts. </w:t>
            </w:r>
            <w:r w:rsidR="006E67B9">
              <w:t xml:space="preserve">Izmaksas tiks segtas no </w:t>
            </w:r>
            <w:r w:rsidR="005B7BA0">
              <w:t>Finanšu ministrijas</w:t>
            </w:r>
            <w:r w:rsidR="006E67B9">
              <w:t xml:space="preserve"> budžeta programmas 33.00.00 </w:t>
            </w:r>
            <w:r w:rsidR="005B7BA0">
              <w:t>“</w:t>
            </w:r>
            <w:r w:rsidR="006E67B9">
              <w:t>Valsts ieņēmumu un muitas politikas nodrošināšana”.</w:t>
            </w:r>
            <w:r w:rsidRPr="004943A0">
              <w:t xml:space="preserve"> </w:t>
            </w:r>
          </w:p>
          <w:p w14:paraId="3503BC39" w14:textId="671A9CA0" w:rsidR="00696E84" w:rsidRDefault="004943A0" w:rsidP="00AE3D7B">
            <w:pPr>
              <w:pStyle w:val="naisf"/>
              <w:tabs>
                <w:tab w:val="left" w:pos="4644"/>
              </w:tabs>
              <w:spacing w:before="0" w:after="0"/>
              <w:ind w:firstLine="0"/>
            </w:pPr>
            <w:r w:rsidRPr="004943A0">
              <w:t>Nepieciešamā finansējuma summā ir iekļauta nepieciešamo izmaiņu projektēšana un realizācija Nodokļu informācijas sistēmā, Elektroniskā</w:t>
            </w:r>
            <w:r w:rsidR="005B7BA0">
              <w:t>s</w:t>
            </w:r>
            <w:r w:rsidRPr="004943A0">
              <w:t xml:space="preserve"> deklarēšanas sistēmā un Datu noliktavas sistēmā</w:t>
            </w:r>
          </w:p>
          <w:p w14:paraId="19888305" w14:textId="0682C4E3" w:rsidR="006E67B9" w:rsidRPr="00DD49B6" w:rsidRDefault="006E67B9" w:rsidP="006E67B9">
            <w:pPr>
              <w:pStyle w:val="naisf"/>
              <w:tabs>
                <w:tab w:val="left" w:pos="4644"/>
              </w:tabs>
              <w:spacing w:before="0" w:after="0"/>
              <w:ind w:firstLine="0"/>
              <w:rPr>
                <w:b/>
                <w:i/>
              </w:rPr>
            </w:pPr>
          </w:p>
        </w:tc>
      </w:tr>
    </w:tbl>
    <w:p w14:paraId="033CEB08" w14:textId="77777777" w:rsidR="00D175E9" w:rsidRDefault="00D175E9" w:rsidP="00D175E9"/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862CAA" w:rsidRPr="00DD49B6" w14:paraId="4EB70EEE" w14:textId="77777777" w:rsidTr="00692032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14:paraId="7BC85021" w14:textId="262FCB92" w:rsidR="00862CAA" w:rsidRPr="00DD49B6" w:rsidRDefault="00862CAA" w:rsidP="00862CAA">
            <w:pPr>
              <w:pStyle w:val="naisnod"/>
              <w:ind w:left="57" w:right="57"/>
            </w:pPr>
            <w:r w:rsidRPr="00862CAA">
              <w:rPr>
                <w:b w:val="0"/>
              </w:rPr>
              <w:t>IV</w:t>
            </w:r>
            <w:r>
              <w:rPr>
                <w:b w:val="0"/>
              </w:rPr>
              <w:t>.</w:t>
            </w:r>
            <w:r w:rsidRPr="00862CAA">
              <w:rPr>
                <w:b w:val="0"/>
              </w:rPr>
              <w:t xml:space="preserve">  Tiesību akta projekta ietekme uz</w:t>
            </w:r>
            <w:r>
              <w:rPr>
                <w:b w:val="0"/>
              </w:rPr>
              <w:t xml:space="preserve"> </w:t>
            </w:r>
            <w:r w:rsidRPr="00862CAA">
              <w:rPr>
                <w:b w:val="0"/>
              </w:rPr>
              <w:t>spēkā esošo tiesību normu sistēmu</w:t>
            </w:r>
          </w:p>
        </w:tc>
      </w:tr>
      <w:tr w:rsidR="00862CAA" w:rsidRPr="00DD49B6" w14:paraId="665A24A2" w14:textId="77777777" w:rsidTr="00692032">
        <w:trPr>
          <w:trHeight w:val="427"/>
          <w:jc w:val="center"/>
        </w:trPr>
        <w:tc>
          <w:tcPr>
            <w:tcW w:w="437" w:type="dxa"/>
          </w:tcPr>
          <w:p w14:paraId="5FC48D8F" w14:textId="77777777" w:rsidR="00862CAA" w:rsidRPr="00AE3D7B" w:rsidRDefault="00862CAA" w:rsidP="00AE3D7B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AE3D7B">
              <w:rPr>
                <w:b w:val="0"/>
              </w:rPr>
              <w:t>1.</w:t>
            </w:r>
          </w:p>
        </w:tc>
        <w:tc>
          <w:tcPr>
            <w:tcW w:w="3615" w:type="dxa"/>
          </w:tcPr>
          <w:p w14:paraId="1277A3A2" w14:textId="1029BBB1" w:rsidR="00862CAA" w:rsidRPr="00DD49B6" w:rsidRDefault="00862CAA" w:rsidP="00AE3D7B">
            <w:pPr>
              <w:pStyle w:val="naisf"/>
              <w:spacing w:before="0" w:after="0"/>
              <w:ind w:left="57" w:right="57" w:firstLine="0"/>
              <w:jc w:val="left"/>
            </w:pPr>
            <w:r w:rsidRPr="00862CAA">
              <w:t>Nepieciešamie saistītie tiesību akta projekti</w:t>
            </w:r>
          </w:p>
        </w:tc>
        <w:tc>
          <w:tcPr>
            <w:tcW w:w="5466" w:type="dxa"/>
          </w:tcPr>
          <w:p w14:paraId="12CD3AEC" w14:textId="4D593586" w:rsidR="00862CAA" w:rsidRPr="00DD49B6" w:rsidRDefault="00862CAA" w:rsidP="00692032">
            <w:pPr>
              <w:shd w:val="clear" w:color="auto" w:fill="FFFFFF"/>
              <w:jc w:val="both"/>
            </w:pPr>
            <w:r w:rsidRPr="00075879">
              <w:t>Projekts šo jomu neskar</w:t>
            </w:r>
          </w:p>
        </w:tc>
      </w:tr>
      <w:tr w:rsidR="00862CAA" w:rsidRPr="00DD49B6" w14:paraId="54F52D38" w14:textId="77777777" w:rsidTr="00692032">
        <w:trPr>
          <w:trHeight w:val="463"/>
          <w:jc w:val="center"/>
        </w:trPr>
        <w:tc>
          <w:tcPr>
            <w:tcW w:w="437" w:type="dxa"/>
          </w:tcPr>
          <w:p w14:paraId="2B3C3DD5" w14:textId="77777777" w:rsidR="00862CAA" w:rsidRPr="00AE3D7B" w:rsidRDefault="00862CAA" w:rsidP="00AE3D7B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AE3D7B">
              <w:rPr>
                <w:b w:val="0"/>
              </w:rPr>
              <w:t>2.</w:t>
            </w:r>
          </w:p>
        </w:tc>
        <w:tc>
          <w:tcPr>
            <w:tcW w:w="3615" w:type="dxa"/>
          </w:tcPr>
          <w:p w14:paraId="0D9E0F83" w14:textId="4F567D33" w:rsidR="00862CAA" w:rsidRPr="00DD49B6" w:rsidRDefault="00862CAA" w:rsidP="00AE3D7B">
            <w:pPr>
              <w:pStyle w:val="naisf"/>
              <w:spacing w:before="0" w:after="0"/>
              <w:ind w:right="57" w:firstLine="0"/>
              <w:jc w:val="left"/>
            </w:pPr>
            <w:r>
              <w:t>Atbildīgā  institūcija</w:t>
            </w:r>
          </w:p>
        </w:tc>
        <w:tc>
          <w:tcPr>
            <w:tcW w:w="5466" w:type="dxa"/>
          </w:tcPr>
          <w:p w14:paraId="03C5C3CC" w14:textId="1FC13CE4" w:rsidR="00862CAA" w:rsidRPr="00DD49B6" w:rsidRDefault="00862CAA" w:rsidP="00692032">
            <w:pPr>
              <w:shd w:val="clear" w:color="auto" w:fill="FFFFFF"/>
              <w:jc w:val="both"/>
            </w:pPr>
            <w:r>
              <w:t>Finanšu ministrija</w:t>
            </w:r>
          </w:p>
        </w:tc>
      </w:tr>
      <w:tr w:rsidR="00862CAA" w:rsidRPr="00DD49B6" w14:paraId="482BC313" w14:textId="77777777" w:rsidTr="00692032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B74" w14:textId="77777777" w:rsidR="00862CAA" w:rsidRPr="00AE3D7B" w:rsidRDefault="00862CAA" w:rsidP="00AE3D7B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AE3D7B">
              <w:rPr>
                <w:b w:val="0"/>
              </w:rP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905F" w14:textId="77777777" w:rsidR="00862CAA" w:rsidRPr="00DD49B6" w:rsidRDefault="00862CAA" w:rsidP="00AE3D7B">
            <w:pPr>
              <w:pStyle w:val="naisf"/>
              <w:spacing w:before="0" w:after="0"/>
              <w:ind w:right="57" w:firstLine="0"/>
              <w:jc w:val="left"/>
            </w:pPr>
            <w:r w:rsidRPr="00DD49B6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878B" w14:textId="77777777" w:rsidR="00862CAA" w:rsidRPr="00DD49B6" w:rsidRDefault="00862CAA" w:rsidP="00AE3D7B">
            <w:pPr>
              <w:ind w:right="57"/>
              <w:jc w:val="both"/>
            </w:pPr>
            <w:r w:rsidRPr="00DD49B6">
              <w:t>Nav</w:t>
            </w:r>
          </w:p>
        </w:tc>
      </w:tr>
    </w:tbl>
    <w:p w14:paraId="51E7992D" w14:textId="77777777" w:rsidR="00862CAA" w:rsidRDefault="00862CAA" w:rsidP="004943A0">
      <w:pPr>
        <w:ind w:firstLine="720"/>
        <w:rPr>
          <w:sz w:val="28"/>
          <w:szCs w:val="28"/>
        </w:rPr>
      </w:pPr>
    </w:p>
    <w:p w14:paraId="531132B9" w14:textId="61397367" w:rsidR="004943A0" w:rsidRDefault="004943A0" w:rsidP="004943A0">
      <w:pPr>
        <w:ind w:firstLine="720"/>
        <w:rPr>
          <w:sz w:val="28"/>
          <w:szCs w:val="28"/>
        </w:rPr>
      </w:pPr>
      <w:r w:rsidRPr="00983706">
        <w:rPr>
          <w:sz w:val="28"/>
          <w:szCs w:val="28"/>
        </w:rPr>
        <w:t xml:space="preserve">Anotācijas V un VI sadaļa – </w:t>
      </w:r>
      <w:r w:rsidR="00B02BFC">
        <w:rPr>
          <w:sz w:val="28"/>
          <w:szCs w:val="28"/>
        </w:rPr>
        <w:t>projekts šīs jomas neskar</w:t>
      </w:r>
      <w:r w:rsidRPr="00983706">
        <w:rPr>
          <w:sz w:val="28"/>
          <w:szCs w:val="28"/>
        </w:rPr>
        <w:t>.</w:t>
      </w:r>
    </w:p>
    <w:p w14:paraId="5FE97E5B" w14:textId="1BA1423A" w:rsidR="00F01528" w:rsidRDefault="00F015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D3D27A" w14:textId="77777777" w:rsidR="00D175E9" w:rsidRPr="00DD49B6" w:rsidRDefault="00D175E9" w:rsidP="00D175E9"/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2555"/>
        <w:gridCol w:w="989"/>
        <w:gridCol w:w="4370"/>
        <w:gridCol w:w="1096"/>
      </w:tblGrid>
      <w:tr w:rsidR="00D175E9" w:rsidRPr="00DD49B6" w14:paraId="09B69C53" w14:textId="77777777" w:rsidTr="0089091C">
        <w:trPr>
          <w:trHeight w:val="381"/>
          <w:jc w:val="center"/>
        </w:trPr>
        <w:tc>
          <w:tcPr>
            <w:tcW w:w="9518" w:type="dxa"/>
            <w:gridSpan w:val="5"/>
            <w:vAlign w:val="center"/>
          </w:tcPr>
          <w:p w14:paraId="3A3E790C" w14:textId="77777777" w:rsidR="00D175E9" w:rsidRPr="00DD49B6" w:rsidRDefault="00D175E9" w:rsidP="0089091C">
            <w:pPr>
              <w:pStyle w:val="naisnod"/>
              <w:spacing w:before="0" w:after="0"/>
              <w:ind w:left="57" w:right="57"/>
            </w:pPr>
            <w:r w:rsidRPr="00DD49B6">
              <w:rPr>
                <w:b w:val="0"/>
              </w:rPr>
              <w:t>VII. Tiesību akta projekta izpildes nodrošināšana un tās ietekme uz institūcijām</w:t>
            </w:r>
          </w:p>
        </w:tc>
      </w:tr>
      <w:tr w:rsidR="00D175E9" w:rsidRPr="00DD49B6" w14:paraId="322726DF" w14:textId="77777777" w:rsidTr="00A16748">
        <w:trPr>
          <w:trHeight w:val="427"/>
          <w:jc w:val="center"/>
        </w:trPr>
        <w:tc>
          <w:tcPr>
            <w:tcW w:w="508" w:type="dxa"/>
          </w:tcPr>
          <w:p w14:paraId="3D97E343" w14:textId="77777777" w:rsidR="00D175E9" w:rsidRPr="00AE3D7B" w:rsidRDefault="00D175E9" w:rsidP="00AE3D7B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AE3D7B">
              <w:rPr>
                <w:b w:val="0"/>
              </w:rPr>
              <w:t>1.</w:t>
            </w:r>
          </w:p>
        </w:tc>
        <w:tc>
          <w:tcPr>
            <w:tcW w:w="3544" w:type="dxa"/>
            <w:gridSpan w:val="2"/>
          </w:tcPr>
          <w:p w14:paraId="06F64348" w14:textId="77777777" w:rsidR="00D175E9" w:rsidRPr="00DD49B6" w:rsidRDefault="00D175E9" w:rsidP="00AE3D7B">
            <w:pPr>
              <w:pStyle w:val="naisf"/>
              <w:spacing w:before="0" w:after="0"/>
              <w:ind w:left="57" w:right="57" w:firstLine="0"/>
            </w:pPr>
            <w:r w:rsidRPr="00DD49B6">
              <w:t>Projekta izpildē iesaistītās institūcijas</w:t>
            </w:r>
          </w:p>
        </w:tc>
        <w:tc>
          <w:tcPr>
            <w:tcW w:w="5466" w:type="dxa"/>
            <w:gridSpan w:val="2"/>
          </w:tcPr>
          <w:p w14:paraId="307FCEA4" w14:textId="77777777" w:rsidR="00D175E9" w:rsidRPr="00DD49B6" w:rsidRDefault="004943A0" w:rsidP="0089091C">
            <w:pPr>
              <w:shd w:val="clear" w:color="auto" w:fill="FFFFFF"/>
              <w:jc w:val="both"/>
            </w:pPr>
            <w:bookmarkStart w:id="1" w:name="p66"/>
            <w:bookmarkStart w:id="2" w:name="p67"/>
            <w:bookmarkStart w:id="3" w:name="p68"/>
            <w:bookmarkStart w:id="4" w:name="p69"/>
            <w:bookmarkEnd w:id="1"/>
            <w:bookmarkEnd w:id="2"/>
            <w:bookmarkEnd w:id="3"/>
            <w:bookmarkEnd w:id="4"/>
            <w:r w:rsidRPr="006C4098">
              <w:t>Normatīvā akta izpildi nodrošinās Valsts ieņēmumu dienests</w:t>
            </w:r>
          </w:p>
        </w:tc>
      </w:tr>
      <w:tr w:rsidR="00D175E9" w:rsidRPr="00DD49B6" w14:paraId="5EC33F94" w14:textId="77777777" w:rsidTr="00A16748">
        <w:trPr>
          <w:trHeight w:val="463"/>
          <w:jc w:val="center"/>
        </w:trPr>
        <w:tc>
          <w:tcPr>
            <w:tcW w:w="508" w:type="dxa"/>
          </w:tcPr>
          <w:p w14:paraId="230B02D1" w14:textId="77777777" w:rsidR="00D175E9" w:rsidRPr="00AE3D7B" w:rsidRDefault="00D175E9" w:rsidP="00AE3D7B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AE3D7B">
              <w:rPr>
                <w:b w:val="0"/>
              </w:rPr>
              <w:t>2.</w:t>
            </w:r>
          </w:p>
        </w:tc>
        <w:tc>
          <w:tcPr>
            <w:tcW w:w="3544" w:type="dxa"/>
            <w:gridSpan w:val="2"/>
          </w:tcPr>
          <w:p w14:paraId="7877E28A" w14:textId="05327C0E" w:rsidR="00D175E9" w:rsidRPr="00DD49B6" w:rsidRDefault="00D175E9" w:rsidP="00AE3D7B">
            <w:pPr>
              <w:pStyle w:val="naisf"/>
              <w:spacing w:before="0" w:after="0"/>
              <w:ind w:left="57" w:right="57" w:firstLine="0"/>
            </w:pPr>
            <w:r w:rsidRPr="00DD49B6">
              <w:t>Projekta izpildes iet</w:t>
            </w:r>
            <w:r>
              <w:t xml:space="preserve">ekme uz pārvaldes funkcijām un </w:t>
            </w:r>
            <w:r w:rsidRPr="00DD49B6">
              <w:t>institucionālo struktūru.</w:t>
            </w:r>
          </w:p>
          <w:p w14:paraId="2A3AC770" w14:textId="77777777" w:rsidR="00D175E9" w:rsidRPr="00DD49B6" w:rsidRDefault="00D175E9" w:rsidP="00AE3D7B">
            <w:pPr>
              <w:pStyle w:val="naisf"/>
              <w:spacing w:before="0" w:after="0"/>
              <w:ind w:left="57" w:right="57" w:firstLine="0"/>
            </w:pPr>
            <w:r w:rsidRPr="00DD49B6">
              <w:t>Jaunu institūciju izveide, esošu institūciju likvidācija vai reorga</w:t>
            </w:r>
            <w:r>
              <w:softHyphen/>
            </w:r>
            <w:r w:rsidRPr="00DD49B6">
              <w:t>nizācija, to ietekme uz institūcijas cilvēkresursiem.</w:t>
            </w:r>
          </w:p>
        </w:tc>
        <w:tc>
          <w:tcPr>
            <w:tcW w:w="5466" w:type="dxa"/>
            <w:gridSpan w:val="2"/>
          </w:tcPr>
          <w:p w14:paraId="2C01DE8B" w14:textId="77777777" w:rsidR="00D175E9" w:rsidRPr="00DD49B6" w:rsidRDefault="004943A0" w:rsidP="0089091C">
            <w:pPr>
              <w:shd w:val="clear" w:color="auto" w:fill="FFFFFF"/>
              <w:jc w:val="both"/>
            </w:pPr>
            <w:r w:rsidRPr="00075879">
              <w:t>Projekts šo jomu neskar</w:t>
            </w:r>
            <w:r w:rsidRPr="00DD49B6">
              <w:t xml:space="preserve"> </w:t>
            </w:r>
          </w:p>
        </w:tc>
      </w:tr>
      <w:tr w:rsidR="00D175E9" w:rsidRPr="00DD49B6" w14:paraId="2E71B9B3" w14:textId="77777777" w:rsidTr="00A16748">
        <w:trPr>
          <w:trHeight w:val="40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FCBE" w14:textId="77777777" w:rsidR="00D175E9" w:rsidRPr="00AE3D7B" w:rsidRDefault="00D175E9" w:rsidP="00AE3D7B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AE3D7B">
              <w:rPr>
                <w:b w:val="0"/>
              </w:rPr>
              <w:t>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EAF" w14:textId="77777777" w:rsidR="00D175E9" w:rsidRPr="00DD49B6" w:rsidRDefault="00D175E9" w:rsidP="00AE3D7B">
            <w:pPr>
              <w:pStyle w:val="naisf"/>
              <w:spacing w:before="0" w:after="0"/>
              <w:ind w:right="57" w:firstLine="0"/>
            </w:pPr>
            <w:r w:rsidRPr="00DD49B6">
              <w:t>Cita informācija</w:t>
            </w:r>
          </w:p>
        </w:tc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491D" w14:textId="77777777" w:rsidR="00D175E9" w:rsidRPr="00DD49B6" w:rsidRDefault="00D175E9" w:rsidP="004943A0">
            <w:pPr>
              <w:ind w:left="57" w:right="57"/>
              <w:jc w:val="both"/>
            </w:pPr>
            <w:r w:rsidRPr="00DD49B6">
              <w:t>Nav</w:t>
            </w:r>
          </w:p>
        </w:tc>
      </w:tr>
      <w:tr w:rsidR="00C0662A" w14:paraId="26EF52FB" w14:textId="77777777" w:rsidTr="005E569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96" w:type="dxa"/>
          <w:trHeight w:val="707"/>
        </w:trPr>
        <w:tc>
          <w:tcPr>
            <w:tcW w:w="3063" w:type="dxa"/>
            <w:gridSpan w:val="2"/>
          </w:tcPr>
          <w:p w14:paraId="200686C3" w14:textId="77777777" w:rsidR="00C0662A" w:rsidRDefault="00C0662A" w:rsidP="00975C2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9" w:type="dxa"/>
            <w:gridSpan w:val="2"/>
          </w:tcPr>
          <w:p w14:paraId="356CB883" w14:textId="77777777" w:rsidR="00C0662A" w:rsidRDefault="00C0662A" w:rsidP="00975C26">
            <w:pPr>
              <w:rPr>
                <w:sz w:val="28"/>
                <w:szCs w:val="28"/>
                <w:lang w:eastAsia="en-US"/>
              </w:rPr>
            </w:pPr>
          </w:p>
        </w:tc>
      </w:tr>
      <w:tr w:rsidR="00A16748" w:rsidRPr="00A16748" w14:paraId="36318653" w14:textId="77777777" w:rsidTr="005E569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96" w:type="dxa"/>
          <w:trHeight w:val="1134"/>
        </w:trPr>
        <w:tc>
          <w:tcPr>
            <w:tcW w:w="3063" w:type="dxa"/>
            <w:gridSpan w:val="2"/>
          </w:tcPr>
          <w:p w14:paraId="464F3569" w14:textId="77777777" w:rsidR="00C0662A" w:rsidRPr="00A16748" w:rsidRDefault="00C0662A" w:rsidP="00975C26">
            <w:pPr>
              <w:jc w:val="both"/>
              <w:rPr>
                <w:sz w:val="28"/>
                <w:szCs w:val="28"/>
              </w:rPr>
            </w:pPr>
            <w:r w:rsidRPr="00A16748">
              <w:rPr>
                <w:sz w:val="28"/>
                <w:szCs w:val="28"/>
              </w:rPr>
              <w:t>Finanšu ministrs</w:t>
            </w:r>
          </w:p>
          <w:p w14:paraId="67C0C8E5" w14:textId="77777777" w:rsidR="00C0662A" w:rsidRPr="00A16748" w:rsidRDefault="00C0662A" w:rsidP="00975C26">
            <w:pPr>
              <w:jc w:val="both"/>
              <w:rPr>
                <w:sz w:val="28"/>
                <w:szCs w:val="28"/>
              </w:rPr>
            </w:pPr>
          </w:p>
          <w:p w14:paraId="69E7EB88" w14:textId="77777777" w:rsidR="00C0662A" w:rsidRPr="00A16748" w:rsidRDefault="00C0662A" w:rsidP="00975C26">
            <w:pPr>
              <w:jc w:val="both"/>
              <w:rPr>
                <w:sz w:val="28"/>
                <w:szCs w:val="28"/>
              </w:rPr>
            </w:pPr>
          </w:p>
          <w:p w14:paraId="0143A14B" w14:textId="104B17A1" w:rsidR="00C0662A" w:rsidRPr="00A16748" w:rsidRDefault="00C0662A" w:rsidP="006E2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9" w:type="dxa"/>
            <w:gridSpan w:val="2"/>
          </w:tcPr>
          <w:p w14:paraId="1A8F6868" w14:textId="77777777" w:rsidR="00C0662A" w:rsidRPr="00A16748" w:rsidRDefault="00C0662A" w:rsidP="00975C26">
            <w:pPr>
              <w:jc w:val="right"/>
              <w:rPr>
                <w:sz w:val="28"/>
                <w:szCs w:val="28"/>
              </w:rPr>
            </w:pPr>
            <w:r w:rsidRPr="00A16748">
              <w:rPr>
                <w:sz w:val="28"/>
                <w:szCs w:val="28"/>
              </w:rPr>
              <w:t>A.Vilks</w:t>
            </w:r>
          </w:p>
          <w:p w14:paraId="0AA50D11" w14:textId="77777777" w:rsidR="00C0662A" w:rsidRPr="00A16748" w:rsidRDefault="00C0662A" w:rsidP="00975C26">
            <w:pPr>
              <w:jc w:val="right"/>
              <w:rPr>
                <w:sz w:val="28"/>
                <w:szCs w:val="28"/>
              </w:rPr>
            </w:pPr>
          </w:p>
          <w:p w14:paraId="78F2F564" w14:textId="77777777" w:rsidR="00C0662A" w:rsidRPr="00A16748" w:rsidRDefault="00C0662A" w:rsidP="00975C26">
            <w:pPr>
              <w:jc w:val="right"/>
              <w:rPr>
                <w:sz w:val="28"/>
                <w:szCs w:val="28"/>
              </w:rPr>
            </w:pPr>
          </w:p>
          <w:p w14:paraId="1BBCE5F8" w14:textId="5792166B" w:rsidR="00C0662A" w:rsidRPr="00A16748" w:rsidRDefault="00C0662A" w:rsidP="00975C26">
            <w:pPr>
              <w:jc w:val="right"/>
              <w:rPr>
                <w:sz w:val="28"/>
                <w:szCs w:val="28"/>
              </w:rPr>
            </w:pPr>
          </w:p>
          <w:p w14:paraId="38CF14DD" w14:textId="77777777" w:rsidR="00C0662A" w:rsidRPr="00A16748" w:rsidRDefault="00C0662A" w:rsidP="00975C26">
            <w:pPr>
              <w:jc w:val="right"/>
              <w:rPr>
                <w:sz w:val="28"/>
                <w:szCs w:val="28"/>
              </w:rPr>
            </w:pPr>
          </w:p>
          <w:p w14:paraId="7B603DD8" w14:textId="77777777" w:rsidR="00C0662A" w:rsidRPr="00A16748" w:rsidRDefault="00C0662A" w:rsidP="00975C26">
            <w:pPr>
              <w:jc w:val="right"/>
              <w:rPr>
                <w:sz w:val="28"/>
                <w:szCs w:val="28"/>
              </w:rPr>
            </w:pPr>
          </w:p>
        </w:tc>
      </w:tr>
    </w:tbl>
    <w:p w14:paraId="24FAE590" w14:textId="77777777" w:rsidR="007D1A10" w:rsidRDefault="007D1A10" w:rsidP="007756FB">
      <w:pPr>
        <w:rPr>
          <w:sz w:val="18"/>
          <w:szCs w:val="18"/>
        </w:rPr>
      </w:pPr>
    </w:p>
    <w:p w14:paraId="48457CC2" w14:textId="77777777" w:rsidR="007D1A10" w:rsidRPr="00C0662A" w:rsidRDefault="007D1A10" w:rsidP="007756FB">
      <w:pPr>
        <w:rPr>
          <w:sz w:val="18"/>
          <w:szCs w:val="18"/>
        </w:rPr>
      </w:pPr>
    </w:p>
    <w:p w14:paraId="03E9EA84" w14:textId="26B34C2B" w:rsidR="00C97932" w:rsidRDefault="009D3F3D" w:rsidP="00D80B20">
      <w:r>
        <w:t>1</w:t>
      </w:r>
      <w:r w:rsidR="00A66233">
        <w:t>3</w:t>
      </w:r>
      <w:r w:rsidR="00C97932">
        <w:t>.</w:t>
      </w:r>
      <w:r w:rsidR="004215C1">
        <w:t>0</w:t>
      </w:r>
      <w:r w:rsidR="00A66233">
        <w:t>3</w:t>
      </w:r>
      <w:bookmarkStart w:id="5" w:name="_GoBack"/>
      <w:bookmarkEnd w:id="5"/>
      <w:r w:rsidR="00C97932">
        <w:t>.2014</w:t>
      </w:r>
      <w:r w:rsidR="005B7BA0">
        <w:t>.</w:t>
      </w:r>
      <w:r w:rsidR="00C97932">
        <w:t xml:space="preserve"> </w:t>
      </w:r>
      <w:r w:rsidR="00BB4594">
        <w:t>09</w:t>
      </w:r>
      <w:r w:rsidR="005B7BA0">
        <w:t>.</w:t>
      </w:r>
      <w:r w:rsidR="00F01528">
        <w:t>30</w:t>
      </w:r>
    </w:p>
    <w:p w14:paraId="6CC15A2E" w14:textId="56ABE30E" w:rsidR="00C97932" w:rsidRDefault="00A16748" w:rsidP="00D80B20">
      <w:r>
        <w:t>1496</w:t>
      </w:r>
    </w:p>
    <w:p w14:paraId="36CA13D6" w14:textId="77777777" w:rsidR="002A4560" w:rsidRDefault="002A4560" w:rsidP="00D80B20"/>
    <w:p w14:paraId="3B31024B" w14:textId="77777777" w:rsidR="007D1A10" w:rsidRPr="003D0CFE" w:rsidRDefault="007D1A10" w:rsidP="00D80B20">
      <w:r w:rsidRPr="003D0CFE">
        <w:t>Inese Riekstiņa</w:t>
      </w:r>
    </w:p>
    <w:p w14:paraId="7F1BBEBF" w14:textId="77777777" w:rsidR="007D1A10" w:rsidRPr="003D0CFE" w:rsidRDefault="007D1A10" w:rsidP="00D80B20">
      <w:r w:rsidRPr="003D0CFE">
        <w:t>67028829, fakss 67028816</w:t>
      </w:r>
    </w:p>
    <w:p w14:paraId="66719481" w14:textId="55CC0055" w:rsidR="007D1A10" w:rsidRPr="00D80B20" w:rsidRDefault="00F678BE" w:rsidP="00D80B20">
      <w:pPr>
        <w:rPr>
          <w:rStyle w:val="Hyperlink"/>
          <w:color w:val="auto"/>
          <w:sz w:val="18"/>
          <w:szCs w:val="18"/>
        </w:rPr>
      </w:pPr>
      <w:hyperlink r:id="rId9" w:history="1">
        <w:r w:rsidR="005A387A" w:rsidRPr="003D5F91">
          <w:rPr>
            <w:rStyle w:val="Hyperlink"/>
          </w:rPr>
          <w:t>Inese.Riekstina@vid.gov.lv</w:t>
        </w:r>
      </w:hyperlink>
    </w:p>
    <w:p w14:paraId="2E5B0CA1" w14:textId="77777777" w:rsidR="007D1A10" w:rsidRPr="007756FB" w:rsidRDefault="007D1A10" w:rsidP="00D80B20">
      <w:pPr>
        <w:rPr>
          <w:sz w:val="18"/>
          <w:szCs w:val="18"/>
        </w:rPr>
      </w:pPr>
    </w:p>
    <w:sectPr w:rsidR="007D1A10" w:rsidRPr="007756FB" w:rsidSect="00686CAE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304" w:right="1134" w:bottom="1134" w:left="1701" w:header="709" w:footer="18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10FF59" w15:done="0"/>
  <w15:commentEx w15:paraId="1620D532" w15:done="0"/>
  <w15:commentEx w15:paraId="049FAD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E65A6" w14:textId="77777777" w:rsidR="00F678BE" w:rsidRDefault="00F678BE">
      <w:r>
        <w:separator/>
      </w:r>
    </w:p>
  </w:endnote>
  <w:endnote w:type="continuationSeparator" w:id="0">
    <w:p w14:paraId="5A6ED278" w14:textId="77777777" w:rsidR="00F678BE" w:rsidRDefault="00F6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03EAD" w14:textId="209BB3BD" w:rsidR="0089091C" w:rsidRPr="00C0662A" w:rsidRDefault="0089091C" w:rsidP="00AE3D7B">
    <w:pPr>
      <w:pStyle w:val="Footer"/>
      <w:spacing w:after="240"/>
      <w:jc w:val="both"/>
      <w:rPr>
        <w:sz w:val="18"/>
        <w:szCs w:val="18"/>
      </w:rPr>
    </w:pPr>
    <w:r w:rsidRPr="0091278B">
      <w:rPr>
        <w:sz w:val="18"/>
        <w:szCs w:val="18"/>
      </w:rPr>
      <w:t>FMAnot_</w:t>
    </w:r>
    <w:r w:rsidR="007F5F81">
      <w:rPr>
        <w:sz w:val="18"/>
        <w:szCs w:val="18"/>
      </w:rPr>
      <w:t>1</w:t>
    </w:r>
    <w:r w:rsidR="00A16748">
      <w:rPr>
        <w:sz w:val="18"/>
        <w:szCs w:val="18"/>
      </w:rPr>
      <w:t>3</w:t>
    </w:r>
    <w:r w:rsidRPr="008774C5">
      <w:rPr>
        <w:sz w:val="18"/>
        <w:szCs w:val="18"/>
      </w:rPr>
      <w:t>0</w:t>
    </w:r>
    <w:r w:rsidR="00A16748">
      <w:rPr>
        <w:sz w:val="18"/>
        <w:szCs w:val="18"/>
      </w:rPr>
      <w:t>3</w:t>
    </w:r>
    <w:r w:rsidRPr="008774C5">
      <w:rPr>
        <w:sz w:val="18"/>
        <w:szCs w:val="18"/>
      </w:rPr>
      <w:t>14</w:t>
    </w:r>
    <w:r w:rsidRPr="00C0662A">
      <w:rPr>
        <w:sz w:val="18"/>
        <w:szCs w:val="18"/>
      </w:rPr>
      <w:t>_MK_</w:t>
    </w:r>
    <w:r w:rsidR="007F5F81">
      <w:rPr>
        <w:sz w:val="18"/>
        <w:szCs w:val="18"/>
      </w:rPr>
      <w:t>noteikumiem</w:t>
    </w:r>
    <w:r w:rsidRPr="00C0662A">
      <w:rPr>
        <w:sz w:val="18"/>
        <w:szCs w:val="18"/>
      </w:rPr>
      <w:t>; Ministru kabineta noteikumu projekt</w:t>
    </w:r>
    <w:r w:rsidR="00E81F89">
      <w:rPr>
        <w:sz w:val="18"/>
        <w:szCs w:val="18"/>
      </w:rPr>
      <w:t>a</w:t>
    </w:r>
    <w:r w:rsidRPr="00C0662A">
      <w:rPr>
        <w:sz w:val="18"/>
        <w:szCs w:val="18"/>
      </w:rPr>
      <w:t xml:space="preserve"> </w:t>
    </w:r>
    <w:r w:rsidR="00E81F89">
      <w:rPr>
        <w:sz w:val="18"/>
        <w:szCs w:val="18"/>
      </w:rPr>
      <w:t>“</w:t>
    </w:r>
    <w:r w:rsidRPr="00C0662A">
      <w:rPr>
        <w:sz w:val="18"/>
        <w:szCs w:val="18"/>
      </w:rPr>
      <w:t xml:space="preserve">Noteikumi par </w:t>
    </w:r>
    <w:proofErr w:type="spellStart"/>
    <w:r w:rsidRPr="00C0662A">
      <w:rPr>
        <w:sz w:val="18"/>
        <w:szCs w:val="18"/>
      </w:rPr>
      <w:t>mikrouzņēmumu</w:t>
    </w:r>
    <w:proofErr w:type="spellEnd"/>
    <w:r w:rsidRPr="00C0662A">
      <w:rPr>
        <w:sz w:val="18"/>
        <w:szCs w:val="18"/>
      </w:rPr>
      <w:t xml:space="preserve"> nodokļa deklarāciju</w:t>
    </w:r>
    <w:r w:rsidR="00C0662A" w:rsidRPr="00C0662A">
      <w:rPr>
        <w:sz w:val="18"/>
        <w:szCs w:val="18"/>
      </w:rPr>
      <w:t xml:space="preserve"> un tās aizpildīšanas kārtību”</w:t>
    </w:r>
    <w:r w:rsidRPr="00C0662A">
      <w:rPr>
        <w:sz w:val="18"/>
        <w:szCs w:val="18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1AEA4" w14:textId="2ACFD999" w:rsidR="0089091C" w:rsidRPr="00FB0C45" w:rsidRDefault="0089091C" w:rsidP="00AE3D7B">
    <w:pPr>
      <w:pStyle w:val="Footer"/>
      <w:spacing w:after="240"/>
      <w:jc w:val="both"/>
    </w:pPr>
    <w:r w:rsidRPr="00FB0C45">
      <w:rPr>
        <w:sz w:val="18"/>
        <w:szCs w:val="18"/>
      </w:rPr>
      <w:t>FMAnot_</w:t>
    </w:r>
    <w:r w:rsidR="007F5F81">
      <w:rPr>
        <w:sz w:val="18"/>
        <w:szCs w:val="18"/>
      </w:rPr>
      <w:t>1</w:t>
    </w:r>
    <w:r w:rsidR="00A16748">
      <w:rPr>
        <w:sz w:val="18"/>
        <w:szCs w:val="18"/>
      </w:rPr>
      <w:t>3</w:t>
    </w:r>
    <w:r>
      <w:rPr>
        <w:sz w:val="18"/>
        <w:szCs w:val="18"/>
      </w:rPr>
      <w:t>0</w:t>
    </w:r>
    <w:r w:rsidR="00A16748">
      <w:rPr>
        <w:sz w:val="18"/>
        <w:szCs w:val="18"/>
      </w:rPr>
      <w:t>3</w:t>
    </w:r>
    <w:r>
      <w:rPr>
        <w:sz w:val="18"/>
        <w:szCs w:val="18"/>
      </w:rPr>
      <w:t>14</w:t>
    </w:r>
    <w:r w:rsidRPr="00FB0C45">
      <w:rPr>
        <w:sz w:val="18"/>
        <w:szCs w:val="18"/>
      </w:rPr>
      <w:t>_MK_</w:t>
    </w:r>
    <w:r w:rsidR="007F5F81">
      <w:rPr>
        <w:sz w:val="18"/>
        <w:szCs w:val="18"/>
      </w:rPr>
      <w:t>noteikumiem</w:t>
    </w:r>
    <w:r w:rsidRPr="00FB0C45">
      <w:rPr>
        <w:sz w:val="18"/>
        <w:szCs w:val="18"/>
      </w:rPr>
      <w:t>; Ministru kabineta noteikumu projekt</w:t>
    </w:r>
    <w:r w:rsidR="00E81F89">
      <w:rPr>
        <w:sz w:val="18"/>
        <w:szCs w:val="18"/>
      </w:rPr>
      <w:t>a</w:t>
    </w:r>
    <w:r w:rsidRPr="00FB0C45">
      <w:rPr>
        <w:sz w:val="18"/>
        <w:szCs w:val="18"/>
      </w:rPr>
      <w:t xml:space="preserve"> </w:t>
    </w:r>
    <w:r w:rsidR="00E81F89">
      <w:rPr>
        <w:sz w:val="18"/>
        <w:szCs w:val="18"/>
      </w:rPr>
      <w:t>“</w:t>
    </w:r>
    <w:r w:rsidRPr="00FB0C45">
      <w:rPr>
        <w:sz w:val="18"/>
        <w:szCs w:val="18"/>
      </w:rPr>
      <w:t xml:space="preserve">Noteikumi par </w:t>
    </w:r>
    <w:proofErr w:type="spellStart"/>
    <w:r w:rsidRPr="00FB0C45">
      <w:rPr>
        <w:sz w:val="18"/>
        <w:szCs w:val="18"/>
      </w:rPr>
      <w:t>mikrouzņēmumu</w:t>
    </w:r>
    <w:proofErr w:type="spellEnd"/>
    <w:r w:rsidRPr="00FB0C45">
      <w:rPr>
        <w:sz w:val="18"/>
        <w:szCs w:val="18"/>
      </w:rPr>
      <w:t xml:space="preserve"> nodokļa deklarāciju un tās aizpildīšanas kārtību”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3F57C" w14:textId="77777777" w:rsidR="00F678BE" w:rsidRDefault="00F678BE">
      <w:r>
        <w:separator/>
      </w:r>
    </w:p>
  </w:footnote>
  <w:footnote w:type="continuationSeparator" w:id="0">
    <w:p w14:paraId="325892E5" w14:textId="77777777" w:rsidR="00F678BE" w:rsidRDefault="00F67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8DD34" w14:textId="77777777" w:rsidR="0089091C" w:rsidRDefault="0089091C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0AC92A" w14:textId="77777777" w:rsidR="0089091C" w:rsidRDefault="008909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7690D" w14:textId="77777777" w:rsidR="0089091C" w:rsidRDefault="0089091C" w:rsidP="00F43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6233">
      <w:rPr>
        <w:rStyle w:val="PageNumber"/>
        <w:noProof/>
      </w:rPr>
      <w:t>6</w:t>
    </w:r>
    <w:r>
      <w:rPr>
        <w:rStyle w:val="PageNumber"/>
      </w:rPr>
      <w:fldChar w:fldCharType="end"/>
    </w:r>
  </w:p>
  <w:p w14:paraId="0DC61561" w14:textId="77777777" w:rsidR="0089091C" w:rsidRPr="00C0662A" w:rsidRDefault="0089091C" w:rsidP="00C0662A">
    <w:pPr>
      <w:pStyle w:val="Footer"/>
      <w:spacing w:after="24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A83"/>
    <w:multiLevelType w:val="hybridMultilevel"/>
    <w:tmpl w:val="21620D9A"/>
    <w:lvl w:ilvl="0" w:tplc="A66CF7BA">
      <w:start w:val="1"/>
      <w:numFmt w:val="decimal"/>
      <w:lvlText w:val="%1)"/>
      <w:lvlJc w:val="left"/>
      <w:pPr>
        <w:ind w:left="795" w:hanging="43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F2453"/>
    <w:multiLevelType w:val="hybridMultilevel"/>
    <w:tmpl w:val="B25275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1484"/>
    <w:multiLevelType w:val="hybridMultilevel"/>
    <w:tmpl w:val="1E10A724"/>
    <w:lvl w:ilvl="0" w:tplc="1FBCE5EC">
      <w:start w:val="1"/>
      <w:numFmt w:val="decimal"/>
      <w:lvlText w:val="%1)"/>
      <w:lvlJc w:val="left"/>
      <w:pPr>
        <w:ind w:left="1561" w:hanging="9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3">
    <w:nsid w:val="3B2C3A4B"/>
    <w:multiLevelType w:val="hybridMultilevel"/>
    <w:tmpl w:val="D8C21B5A"/>
    <w:lvl w:ilvl="0" w:tplc="E8DCFC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15269E"/>
    <w:multiLevelType w:val="hybridMultilevel"/>
    <w:tmpl w:val="5E0686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03AF0"/>
    <w:multiLevelType w:val="hybridMultilevel"/>
    <w:tmpl w:val="08A4F5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B3391"/>
    <w:multiLevelType w:val="hybridMultilevel"/>
    <w:tmpl w:val="04F479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ldnere Vanda">
    <w15:presenceInfo w15:providerId="None" w15:userId="Zoldnere Va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4F"/>
    <w:rsid w:val="0002259A"/>
    <w:rsid w:val="00024D4A"/>
    <w:rsid w:val="00032C63"/>
    <w:rsid w:val="0004236D"/>
    <w:rsid w:val="000458B2"/>
    <w:rsid w:val="00055B0A"/>
    <w:rsid w:val="00055DB0"/>
    <w:rsid w:val="00060CF4"/>
    <w:rsid w:val="00062D2A"/>
    <w:rsid w:val="0006423B"/>
    <w:rsid w:val="00074692"/>
    <w:rsid w:val="00075879"/>
    <w:rsid w:val="000814F3"/>
    <w:rsid w:val="00081DAB"/>
    <w:rsid w:val="00093D0E"/>
    <w:rsid w:val="000A234E"/>
    <w:rsid w:val="000B0122"/>
    <w:rsid w:val="000B3304"/>
    <w:rsid w:val="000B6BEE"/>
    <w:rsid w:val="000C73F6"/>
    <w:rsid w:val="000D2967"/>
    <w:rsid w:val="000D6F83"/>
    <w:rsid w:val="000E06A4"/>
    <w:rsid w:val="000E2FFA"/>
    <w:rsid w:val="000F148C"/>
    <w:rsid w:val="000F3065"/>
    <w:rsid w:val="000F7CD5"/>
    <w:rsid w:val="001012AA"/>
    <w:rsid w:val="00101510"/>
    <w:rsid w:val="00106EF4"/>
    <w:rsid w:val="00107BD1"/>
    <w:rsid w:val="001166D1"/>
    <w:rsid w:val="001257DE"/>
    <w:rsid w:val="00131C57"/>
    <w:rsid w:val="0013216F"/>
    <w:rsid w:val="001335E3"/>
    <w:rsid w:val="00142AB7"/>
    <w:rsid w:val="00152D5E"/>
    <w:rsid w:val="0015730F"/>
    <w:rsid w:val="00163E72"/>
    <w:rsid w:val="00164AB4"/>
    <w:rsid w:val="00170AC9"/>
    <w:rsid w:val="00175D1C"/>
    <w:rsid w:val="00194D8E"/>
    <w:rsid w:val="00195A8F"/>
    <w:rsid w:val="00196D4F"/>
    <w:rsid w:val="001975C7"/>
    <w:rsid w:val="001A0D5C"/>
    <w:rsid w:val="001B2712"/>
    <w:rsid w:val="001B4056"/>
    <w:rsid w:val="001B6E27"/>
    <w:rsid w:val="001C7060"/>
    <w:rsid w:val="001D18D4"/>
    <w:rsid w:val="001D73D4"/>
    <w:rsid w:val="001F23CC"/>
    <w:rsid w:val="001F6FB1"/>
    <w:rsid w:val="00214233"/>
    <w:rsid w:val="00215F77"/>
    <w:rsid w:val="002268EF"/>
    <w:rsid w:val="002300CB"/>
    <w:rsid w:val="00231E45"/>
    <w:rsid w:val="0024124F"/>
    <w:rsid w:val="0024446B"/>
    <w:rsid w:val="00246D9C"/>
    <w:rsid w:val="00257B71"/>
    <w:rsid w:val="002641E8"/>
    <w:rsid w:val="002653DD"/>
    <w:rsid w:val="00267711"/>
    <w:rsid w:val="00271A80"/>
    <w:rsid w:val="00272BC5"/>
    <w:rsid w:val="0027384B"/>
    <w:rsid w:val="002779C1"/>
    <w:rsid w:val="00281614"/>
    <w:rsid w:val="002829BB"/>
    <w:rsid w:val="00294287"/>
    <w:rsid w:val="00294A3C"/>
    <w:rsid w:val="00296449"/>
    <w:rsid w:val="002A154B"/>
    <w:rsid w:val="002A4560"/>
    <w:rsid w:val="002A7E4F"/>
    <w:rsid w:val="002C2088"/>
    <w:rsid w:val="002C5BD5"/>
    <w:rsid w:val="002C6D1F"/>
    <w:rsid w:val="002D019E"/>
    <w:rsid w:val="002D7D23"/>
    <w:rsid w:val="002E1ABA"/>
    <w:rsid w:val="002E2189"/>
    <w:rsid w:val="002E257A"/>
    <w:rsid w:val="002F4B88"/>
    <w:rsid w:val="002F4C6B"/>
    <w:rsid w:val="0031278B"/>
    <w:rsid w:val="003131FF"/>
    <w:rsid w:val="00324570"/>
    <w:rsid w:val="00324A5D"/>
    <w:rsid w:val="00343F57"/>
    <w:rsid w:val="00352217"/>
    <w:rsid w:val="003536E5"/>
    <w:rsid w:val="003537C1"/>
    <w:rsid w:val="00357053"/>
    <w:rsid w:val="003638AB"/>
    <w:rsid w:val="0037109E"/>
    <w:rsid w:val="003804CD"/>
    <w:rsid w:val="00387B30"/>
    <w:rsid w:val="003916EE"/>
    <w:rsid w:val="00396B11"/>
    <w:rsid w:val="003A0C5F"/>
    <w:rsid w:val="003C642A"/>
    <w:rsid w:val="003D0712"/>
    <w:rsid w:val="003D0CFE"/>
    <w:rsid w:val="003D35D3"/>
    <w:rsid w:val="003D7C05"/>
    <w:rsid w:val="003E2CDF"/>
    <w:rsid w:val="003E659D"/>
    <w:rsid w:val="003F5B66"/>
    <w:rsid w:val="003F6056"/>
    <w:rsid w:val="00403090"/>
    <w:rsid w:val="00403704"/>
    <w:rsid w:val="0041643B"/>
    <w:rsid w:val="00420086"/>
    <w:rsid w:val="004204CB"/>
    <w:rsid w:val="004215C1"/>
    <w:rsid w:val="004271EC"/>
    <w:rsid w:val="00432F00"/>
    <w:rsid w:val="004402AD"/>
    <w:rsid w:val="00440873"/>
    <w:rsid w:val="00460694"/>
    <w:rsid w:val="00462036"/>
    <w:rsid w:val="004634B3"/>
    <w:rsid w:val="00474685"/>
    <w:rsid w:val="004800A1"/>
    <w:rsid w:val="004810A7"/>
    <w:rsid w:val="00482DEA"/>
    <w:rsid w:val="00483499"/>
    <w:rsid w:val="004933D4"/>
    <w:rsid w:val="00493932"/>
    <w:rsid w:val="004943A0"/>
    <w:rsid w:val="004969A9"/>
    <w:rsid w:val="004A79ED"/>
    <w:rsid w:val="004B19EE"/>
    <w:rsid w:val="004D42EC"/>
    <w:rsid w:val="004D76A5"/>
    <w:rsid w:val="004E4573"/>
    <w:rsid w:val="004E6076"/>
    <w:rsid w:val="004E683A"/>
    <w:rsid w:val="004F1B4F"/>
    <w:rsid w:val="004F1C83"/>
    <w:rsid w:val="004F56AF"/>
    <w:rsid w:val="004F7B81"/>
    <w:rsid w:val="005021DE"/>
    <w:rsid w:val="005103BA"/>
    <w:rsid w:val="00517046"/>
    <w:rsid w:val="005354F9"/>
    <w:rsid w:val="005373F8"/>
    <w:rsid w:val="00541893"/>
    <w:rsid w:val="00547039"/>
    <w:rsid w:val="005524C9"/>
    <w:rsid w:val="0055289C"/>
    <w:rsid w:val="00556C36"/>
    <w:rsid w:val="005571CE"/>
    <w:rsid w:val="0057002D"/>
    <w:rsid w:val="00570C0F"/>
    <w:rsid w:val="0058785A"/>
    <w:rsid w:val="005A020D"/>
    <w:rsid w:val="005A387A"/>
    <w:rsid w:val="005B7BA0"/>
    <w:rsid w:val="005C1EEC"/>
    <w:rsid w:val="005C49BE"/>
    <w:rsid w:val="005C5803"/>
    <w:rsid w:val="005C584D"/>
    <w:rsid w:val="005C5A73"/>
    <w:rsid w:val="005C7E95"/>
    <w:rsid w:val="005E569C"/>
    <w:rsid w:val="005E72E7"/>
    <w:rsid w:val="005F1981"/>
    <w:rsid w:val="005F63DD"/>
    <w:rsid w:val="006057E1"/>
    <w:rsid w:val="0061103D"/>
    <w:rsid w:val="0061237A"/>
    <w:rsid w:val="00613CCC"/>
    <w:rsid w:val="00621AD7"/>
    <w:rsid w:val="00630A87"/>
    <w:rsid w:val="00643EAB"/>
    <w:rsid w:val="006464A1"/>
    <w:rsid w:val="00652498"/>
    <w:rsid w:val="00657D42"/>
    <w:rsid w:val="00660223"/>
    <w:rsid w:val="006608FB"/>
    <w:rsid w:val="00666B6A"/>
    <w:rsid w:val="00682D3B"/>
    <w:rsid w:val="00684766"/>
    <w:rsid w:val="006855E7"/>
    <w:rsid w:val="00686CAE"/>
    <w:rsid w:val="006924F7"/>
    <w:rsid w:val="00693296"/>
    <w:rsid w:val="00693CB0"/>
    <w:rsid w:val="00694740"/>
    <w:rsid w:val="00696E84"/>
    <w:rsid w:val="006A7A60"/>
    <w:rsid w:val="006B1B31"/>
    <w:rsid w:val="006B1B83"/>
    <w:rsid w:val="006B5AEE"/>
    <w:rsid w:val="006C4098"/>
    <w:rsid w:val="006C7023"/>
    <w:rsid w:val="006D7DD0"/>
    <w:rsid w:val="006E2EFF"/>
    <w:rsid w:val="006E67B9"/>
    <w:rsid w:val="006F4081"/>
    <w:rsid w:val="00702067"/>
    <w:rsid w:val="007118F7"/>
    <w:rsid w:val="00714D1B"/>
    <w:rsid w:val="00725FDC"/>
    <w:rsid w:val="00731DFC"/>
    <w:rsid w:val="00735EF4"/>
    <w:rsid w:val="007401FE"/>
    <w:rsid w:val="00743410"/>
    <w:rsid w:val="0076494E"/>
    <w:rsid w:val="00764F14"/>
    <w:rsid w:val="00774CA6"/>
    <w:rsid w:val="007756FB"/>
    <w:rsid w:val="00781075"/>
    <w:rsid w:val="0078381A"/>
    <w:rsid w:val="00785F87"/>
    <w:rsid w:val="00794101"/>
    <w:rsid w:val="007961CD"/>
    <w:rsid w:val="007A07C5"/>
    <w:rsid w:val="007B0D47"/>
    <w:rsid w:val="007C0002"/>
    <w:rsid w:val="007C3E28"/>
    <w:rsid w:val="007C51DF"/>
    <w:rsid w:val="007D1A10"/>
    <w:rsid w:val="007E7AF1"/>
    <w:rsid w:val="007F5F81"/>
    <w:rsid w:val="008017E8"/>
    <w:rsid w:val="00804750"/>
    <w:rsid w:val="008105C4"/>
    <w:rsid w:val="00810BAF"/>
    <w:rsid w:val="008203B4"/>
    <w:rsid w:val="008210C7"/>
    <w:rsid w:val="00822CC1"/>
    <w:rsid w:val="008270B3"/>
    <w:rsid w:val="00827512"/>
    <w:rsid w:val="008313CA"/>
    <w:rsid w:val="00834390"/>
    <w:rsid w:val="00836BAA"/>
    <w:rsid w:val="00840284"/>
    <w:rsid w:val="008437A6"/>
    <w:rsid w:val="008441C4"/>
    <w:rsid w:val="00847951"/>
    <w:rsid w:val="00862020"/>
    <w:rsid w:val="00862CAA"/>
    <w:rsid w:val="0086438E"/>
    <w:rsid w:val="00864BA4"/>
    <w:rsid w:val="00866E4D"/>
    <w:rsid w:val="0087388F"/>
    <w:rsid w:val="008774C5"/>
    <w:rsid w:val="00887539"/>
    <w:rsid w:val="0089091C"/>
    <w:rsid w:val="00891C3B"/>
    <w:rsid w:val="008961E6"/>
    <w:rsid w:val="008A31FB"/>
    <w:rsid w:val="008A7464"/>
    <w:rsid w:val="008D09E5"/>
    <w:rsid w:val="008D2889"/>
    <w:rsid w:val="008D2983"/>
    <w:rsid w:val="008D3CDC"/>
    <w:rsid w:val="008D5C2E"/>
    <w:rsid w:val="008E2D18"/>
    <w:rsid w:val="008E5717"/>
    <w:rsid w:val="008E792D"/>
    <w:rsid w:val="008F618C"/>
    <w:rsid w:val="008F7DF2"/>
    <w:rsid w:val="00906DD8"/>
    <w:rsid w:val="0091278B"/>
    <w:rsid w:val="00924E45"/>
    <w:rsid w:val="00927EC1"/>
    <w:rsid w:val="00934026"/>
    <w:rsid w:val="00943CD8"/>
    <w:rsid w:val="009525A0"/>
    <w:rsid w:val="00953BB7"/>
    <w:rsid w:val="00954D03"/>
    <w:rsid w:val="00977DD4"/>
    <w:rsid w:val="00981B9B"/>
    <w:rsid w:val="00983706"/>
    <w:rsid w:val="00990ED9"/>
    <w:rsid w:val="009920E0"/>
    <w:rsid w:val="00994A1A"/>
    <w:rsid w:val="009A0F50"/>
    <w:rsid w:val="009A1F3D"/>
    <w:rsid w:val="009B0FD6"/>
    <w:rsid w:val="009C0664"/>
    <w:rsid w:val="009C6D55"/>
    <w:rsid w:val="009D3F3D"/>
    <w:rsid w:val="009D4290"/>
    <w:rsid w:val="009D4DAE"/>
    <w:rsid w:val="009F1159"/>
    <w:rsid w:val="009F2EC3"/>
    <w:rsid w:val="009F693E"/>
    <w:rsid w:val="00A00266"/>
    <w:rsid w:val="00A009FE"/>
    <w:rsid w:val="00A0308B"/>
    <w:rsid w:val="00A0541D"/>
    <w:rsid w:val="00A119B1"/>
    <w:rsid w:val="00A15DA6"/>
    <w:rsid w:val="00A16748"/>
    <w:rsid w:val="00A24013"/>
    <w:rsid w:val="00A3208E"/>
    <w:rsid w:val="00A34424"/>
    <w:rsid w:val="00A4459A"/>
    <w:rsid w:val="00A44C40"/>
    <w:rsid w:val="00A54408"/>
    <w:rsid w:val="00A57B9F"/>
    <w:rsid w:val="00A62D1F"/>
    <w:rsid w:val="00A643E2"/>
    <w:rsid w:val="00A66233"/>
    <w:rsid w:val="00A70A89"/>
    <w:rsid w:val="00A77DC1"/>
    <w:rsid w:val="00A909D4"/>
    <w:rsid w:val="00A9513F"/>
    <w:rsid w:val="00A97BF7"/>
    <w:rsid w:val="00AB01EB"/>
    <w:rsid w:val="00AB25B1"/>
    <w:rsid w:val="00AB4549"/>
    <w:rsid w:val="00AB57C7"/>
    <w:rsid w:val="00AD1C9F"/>
    <w:rsid w:val="00AD45E2"/>
    <w:rsid w:val="00AD4B36"/>
    <w:rsid w:val="00AD6A12"/>
    <w:rsid w:val="00AE3D7B"/>
    <w:rsid w:val="00AE3F15"/>
    <w:rsid w:val="00AE4E30"/>
    <w:rsid w:val="00AF6BB4"/>
    <w:rsid w:val="00B02BFC"/>
    <w:rsid w:val="00B1728A"/>
    <w:rsid w:val="00B236FA"/>
    <w:rsid w:val="00B32A57"/>
    <w:rsid w:val="00B35925"/>
    <w:rsid w:val="00B406B7"/>
    <w:rsid w:val="00B47AB8"/>
    <w:rsid w:val="00B50153"/>
    <w:rsid w:val="00B51FDE"/>
    <w:rsid w:val="00B62252"/>
    <w:rsid w:val="00B66512"/>
    <w:rsid w:val="00B71218"/>
    <w:rsid w:val="00B7396A"/>
    <w:rsid w:val="00B741D1"/>
    <w:rsid w:val="00B7606A"/>
    <w:rsid w:val="00B85AE4"/>
    <w:rsid w:val="00B86095"/>
    <w:rsid w:val="00B94BFC"/>
    <w:rsid w:val="00BA7295"/>
    <w:rsid w:val="00BA79D6"/>
    <w:rsid w:val="00BB060F"/>
    <w:rsid w:val="00BB4594"/>
    <w:rsid w:val="00BC13A4"/>
    <w:rsid w:val="00BC1D26"/>
    <w:rsid w:val="00BC2110"/>
    <w:rsid w:val="00BD2E79"/>
    <w:rsid w:val="00C0662A"/>
    <w:rsid w:val="00C154F6"/>
    <w:rsid w:val="00C1653F"/>
    <w:rsid w:val="00C207AB"/>
    <w:rsid w:val="00C21036"/>
    <w:rsid w:val="00C44B05"/>
    <w:rsid w:val="00C451F1"/>
    <w:rsid w:val="00C52494"/>
    <w:rsid w:val="00C55FB9"/>
    <w:rsid w:val="00C61924"/>
    <w:rsid w:val="00C74583"/>
    <w:rsid w:val="00C77A11"/>
    <w:rsid w:val="00C837B1"/>
    <w:rsid w:val="00C86AC2"/>
    <w:rsid w:val="00C97932"/>
    <w:rsid w:val="00CA23A1"/>
    <w:rsid w:val="00CA3A25"/>
    <w:rsid w:val="00CA3FFA"/>
    <w:rsid w:val="00CB09FA"/>
    <w:rsid w:val="00CB3C74"/>
    <w:rsid w:val="00CB7B71"/>
    <w:rsid w:val="00CE2005"/>
    <w:rsid w:val="00CE5203"/>
    <w:rsid w:val="00CE6188"/>
    <w:rsid w:val="00CF01E4"/>
    <w:rsid w:val="00CF2DDB"/>
    <w:rsid w:val="00CF5BDC"/>
    <w:rsid w:val="00CF737C"/>
    <w:rsid w:val="00D02168"/>
    <w:rsid w:val="00D175E9"/>
    <w:rsid w:val="00D22CE1"/>
    <w:rsid w:val="00D238CD"/>
    <w:rsid w:val="00D26D28"/>
    <w:rsid w:val="00D3032B"/>
    <w:rsid w:val="00D36D69"/>
    <w:rsid w:val="00D434C3"/>
    <w:rsid w:val="00D564B1"/>
    <w:rsid w:val="00D60652"/>
    <w:rsid w:val="00D64583"/>
    <w:rsid w:val="00D722A3"/>
    <w:rsid w:val="00D744B6"/>
    <w:rsid w:val="00D80B20"/>
    <w:rsid w:val="00D874C6"/>
    <w:rsid w:val="00D91E04"/>
    <w:rsid w:val="00D92FB0"/>
    <w:rsid w:val="00D94FDC"/>
    <w:rsid w:val="00DA236D"/>
    <w:rsid w:val="00DB0B72"/>
    <w:rsid w:val="00DE0625"/>
    <w:rsid w:val="00DE3821"/>
    <w:rsid w:val="00DE3D90"/>
    <w:rsid w:val="00DE521C"/>
    <w:rsid w:val="00DF3CBC"/>
    <w:rsid w:val="00E00069"/>
    <w:rsid w:val="00E005E6"/>
    <w:rsid w:val="00E07878"/>
    <w:rsid w:val="00E11110"/>
    <w:rsid w:val="00E11457"/>
    <w:rsid w:val="00E158EC"/>
    <w:rsid w:val="00E20AE9"/>
    <w:rsid w:val="00E22BB2"/>
    <w:rsid w:val="00E250EB"/>
    <w:rsid w:val="00E30105"/>
    <w:rsid w:val="00E316DA"/>
    <w:rsid w:val="00E51879"/>
    <w:rsid w:val="00E60D8F"/>
    <w:rsid w:val="00E63872"/>
    <w:rsid w:val="00E74D8B"/>
    <w:rsid w:val="00E76EB0"/>
    <w:rsid w:val="00E81F89"/>
    <w:rsid w:val="00E82843"/>
    <w:rsid w:val="00E82CCB"/>
    <w:rsid w:val="00E90A57"/>
    <w:rsid w:val="00E961D5"/>
    <w:rsid w:val="00EA1287"/>
    <w:rsid w:val="00EA527E"/>
    <w:rsid w:val="00EA5FA1"/>
    <w:rsid w:val="00EB050E"/>
    <w:rsid w:val="00EB077C"/>
    <w:rsid w:val="00EB1818"/>
    <w:rsid w:val="00EF0B31"/>
    <w:rsid w:val="00EF3EBE"/>
    <w:rsid w:val="00EF53DF"/>
    <w:rsid w:val="00F01528"/>
    <w:rsid w:val="00F0480D"/>
    <w:rsid w:val="00F06673"/>
    <w:rsid w:val="00F1055D"/>
    <w:rsid w:val="00F13243"/>
    <w:rsid w:val="00F177AA"/>
    <w:rsid w:val="00F24904"/>
    <w:rsid w:val="00F34E2D"/>
    <w:rsid w:val="00F40D44"/>
    <w:rsid w:val="00F420C0"/>
    <w:rsid w:val="00F43911"/>
    <w:rsid w:val="00F47011"/>
    <w:rsid w:val="00F50E37"/>
    <w:rsid w:val="00F50F65"/>
    <w:rsid w:val="00F65706"/>
    <w:rsid w:val="00F678BE"/>
    <w:rsid w:val="00F81DAE"/>
    <w:rsid w:val="00F90E6F"/>
    <w:rsid w:val="00F9296D"/>
    <w:rsid w:val="00F95E61"/>
    <w:rsid w:val="00FA728C"/>
    <w:rsid w:val="00FA79D0"/>
    <w:rsid w:val="00FB0C45"/>
    <w:rsid w:val="00FB1395"/>
    <w:rsid w:val="00FB4488"/>
    <w:rsid w:val="00FB4789"/>
    <w:rsid w:val="00FB5DDA"/>
    <w:rsid w:val="00FC42A1"/>
    <w:rsid w:val="00FD0B0A"/>
    <w:rsid w:val="00FD13B6"/>
    <w:rsid w:val="00FD2229"/>
    <w:rsid w:val="00FD4443"/>
    <w:rsid w:val="00FD6F89"/>
    <w:rsid w:val="00FE6B83"/>
    <w:rsid w:val="00FE779F"/>
    <w:rsid w:val="00FF2D35"/>
    <w:rsid w:val="00FF3321"/>
    <w:rsid w:val="00FF593A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64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4F"/>
    <w:rPr>
      <w:rFonts w:eastAsia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D175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1B4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F1B4F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4F1B4F"/>
    <w:rPr>
      <w:rFonts w:cs="Times New Roman"/>
    </w:rPr>
  </w:style>
  <w:style w:type="paragraph" w:customStyle="1" w:styleId="naisf">
    <w:name w:val="naisf"/>
    <w:basedOn w:val="Normal"/>
    <w:rsid w:val="004F1B4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F1B4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4F1B4F"/>
    <w:pPr>
      <w:spacing w:before="75" w:after="75"/>
      <w:jc w:val="right"/>
    </w:pPr>
  </w:style>
  <w:style w:type="paragraph" w:customStyle="1" w:styleId="naiskr">
    <w:name w:val="naiskr"/>
    <w:basedOn w:val="Normal"/>
    <w:rsid w:val="004F1B4F"/>
    <w:pPr>
      <w:spacing w:before="75" w:after="75"/>
    </w:pPr>
  </w:style>
  <w:style w:type="paragraph" w:customStyle="1" w:styleId="naisc">
    <w:name w:val="naisc"/>
    <w:basedOn w:val="Normal"/>
    <w:uiPriority w:val="99"/>
    <w:rsid w:val="004F1B4F"/>
    <w:pPr>
      <w:spacing w:before="75" w:after="75"/>
      <w:jc w:val="center"/>
    </w:pPr>
  </w:style>
  <w:style w:type="character" w:customStyle="1" w:styleId="apple-style-span">
    <w:name w:val="apple-style-span"/>
    <w:uiPriority w:val="99"/>
    <w:rsid w:val="004F1B4F"/>
    <w:rPr>
      <w:rFonts w:cs="Times New Roman"/>
    </w:rPr>
  </w:style>
  <w:style w:type="paragraph" w:styleId="NormalWeb">
    <w:name w:val="Normal (Web)"/>
    <w:basedOn w:val="Normal"/>
    <w:uiPriority w:val="99"/>
    <w:rsid w:val="004F1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F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1B4F"/>
    <w:rPr>
      <w:rFonts w:ascii="Tahoma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994A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94A1A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7756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6FB"/>
    <w:pPr>
      <w:ind w:left="720"/>
      <w:contextualSpacing/>
    </w:pPr>
  </w:style>
  <w:style w:type="character" w:styleId="CommentReference">
    <w:name w:val="annotation reference"/>
    <w:uiPriority w:val="99"/>
    <w:semiHidden/>
    <w:rsid w:val="000758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58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75879"/>
    <w:rPr>
      <w:rFonts w:eastAsia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locked/>
    <w:rsid w:val="00FD222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175E9"/>
    <w:rPr>
      <w:rFonts w:eastAsia="Times New Roman"/>
      <w:b/>
      <w:bCs/>
      <w:sz w:val="27"/>
      <w:szCs w:val="2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BC5"/>
    <w:rPr>
      <w:rFonts w:eastAsia="Times New Roman" w:cs="Times New Roman"/>
      <w:b/>
      <w:bCs/>
      <w:sz w:val="20"/>
      <w:szCs w:val="20"/>
      <w:lang w:eastAsia="lv-LV"/>
    </w:rPr>
  </w:style>
  <w:style w:type="paragraph" w:styleId="NoSpacing">
    <w:name w:val="No Spacing"/>
    <w:uiPriority w:val="1"/>
    <w:qFormat/>
    <w:rsid w:val="002653DD"/>
    <w:rPr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4F"/>
    <w:rPr>
      <w:rFonts w:eastAsia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D175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1B4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F1B4F"/>
    <w:rPr>
      <w:rFonts w:eastAsia="Times New Roman" w:cs="Times New Roman"/>
      <w:sz w:val="24"/>
      <w:szCs w:val="24"/>
      <w:lang w:eastAsia="lv-LV"/>
    </w:rPr>
  </w:style>
  <w:style w:type="character" w:styleId="PageNumber">
    <w:name w:val="page number"/>
    <w:uiPriority w:val="99"/>
    <w:rsid w:val="004F1B4F"/>
    <w:rPr>
      <w:rFonts w:cs="Times New Roman"/>
    </w:rPr>
  </w:style>
  <w:style w:type="paragraph" w:customStyle="1" w:styleId="naisf">
    <w:name w:val="naisf"/>
    <w:basedOn w:val="Normal"/>
    <w:rsid w:val="004F1B4F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F1B4F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uiPriority w:val="99"/>
    <w:rsid w:val="004F1B4F"/>
    <w:pPr>
      <w:spacing w:before="75" w:after="75"/>
      <w:jc w:val="right"/>
    </w:pPr>
  </w:style>
  <w:style w:type="paragraph" w:customStyle="1" w:styleId="naiskr">
    <w:name w:val="naiskr"/>
    <w:basedOn w:val="Normal"/>
    <w:rsid w:val="004F1B4F"/>
    <w:pPr>
      <w:spacing w:before="75" w:after="75"/>
    </w:pPr>
  </w:style>
  <w:style w:type="paragraph" w:customStyle="1" w:styleId="naisc">
    <w:name w:val="naisc"/>
    <w:basedOn w:val="Normal"/>
    <w:uiPriority w:val="99"/>
    <w:rsid w:val="004F1B4F"/>
    <w:pPr>
      <w:spacing w:before="75" w:after="75"/>
      <w:jc w:val="center"/>
    </w:pPr>
  </w:style>
  <w:style w:type="character" w:customStyle="1" w:styleId="apple-style-span">
    <w:name w:val="apple-style-span"/>
    <w:uiPriority w:val="99"/>
    <w:rsid w:val="004F1B4F"/>
    <w:rPr>
      <w:rFonts w:cs="Times New Roman"/>
    </w:rPr>
  </w:style>
  <w:style w:type="paragraph" w:styleId="NormalWeb">
    <w:name w:val="Normal (Web)"/>
    <w:basedOn w:val="Normal"/>
    <w:uiPriority w:val="99"/>
    <w:rsid w:val="004F1B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F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1B4F"/>
    <w:rPr>
      <w:rFonts w:ascii="Tahoma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rsid w:val="00994A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94A1A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7756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6FB"/>
    <w:pPr>
      <w:ind w:left="720"/>
      <w:contextualSpacing/>
    </w:pPr>
  </w:style>
  <w:style w:type="character" w:styleId="CommentReference">
    <w:name w:val="annotation reference"/>
    <w:uiPriority w:val="99"/>
    <w:semiHidden/>
    <w:rsid w:val="000758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58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75879"/>
    <w:rPr>
      <w:rFonts w:eastAsia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59"/>
    <w:locked/>
    <w:rsid w:val="00FD222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175E9"/>
    <w:rPr>
      <w:rFonts w:eastAsia="Times New Roman"/>
      <w:b/>
      <w:bCs/>
      <w:sz w:val="27"/>
      <w:szCs w:val="2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BC5"/>
    <w:rPr>
      <w:rFonts w:eastAsia="Times New Roman" w:cs="Times New Roman"/>
      <w:b/>
      <w:bCs/>
      <w:sz w:val="20"/>
      <w:szCs w:val="20"/>
      <w:lang w:eastAsia="lv-LV"/>
    </w:rPr>
  </w:style>
  <w:style w:type="paragraph" w:styleId="NoSpacing">
    <w:name w:val="No Spacing"/>
    <w:uiPriority w:val="1"/>
    <w:qFormat/>
    <w:rsid w:val="002653DD"/>
    <w:rPr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Inese.Riekstina@vid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EB7C-66E4-4AC9-A449-5A8E09CE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7537</Words>
  <Characters>4297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mikrouzņēmumu nodokļa deklarāciju un tās aizpildīšanas kārtību” sākotnējās ietekmes novērtējuma ziņojums (anotācija)</vt:lpstr>
    </vt:vector>
  </TitlesOfParts>
  <Company>Valsts ieņēmumu dienests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mikrouzņēmumu nodokļa deklarāciju un tās aizpildīšanas kārtību” sākotnējās ietekmes novērtējuma ziņojums (anotācija)</dc:title>
  <dc:subject>anotācija</dc:subject>
  <dc:creator>Inese Riekstiņa</dc:creator>
  <dc:description>Inese.Riekstina@vid.gov.lv_x000d_
67028829</dc:description>
  <cp:lastModifiedBy>Inese Riekstiņa</cp:lastModifiedBy>
  <cp:revision>8</cp:revision>
  <cp:lastPrinted>2013-02-13T11:06:00Z</cp:lastPrinted>
  <dcterms:created xsi:type="dcterms:W3CDTF">2014-03-11T09:41:00Z</dcterms:created>
  <dcterms:modified xsi:type="dcterms:W3CDTF">2014-03-13T07:27:00Z</dcterms:modified>
</cp:coreProperties>
</file>