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DB3" w:rsidRPr="000F5EDB" w:rsidRDefault="000A3DB3" w:rsidP="000A3DB3">
      <w:pPr>
        <w:pStyle w:val="NormalWeb"/>
        <w:spacing w:before="0" w:beforeAutospacing="0" w:after="0" w:afterAutospacing="0"/>
        <w:jc w:val="center"/>
        <w:rPr>
          <w:sz w:val="28"/>
          <w:szCs w:val="28"/>
        </w:rPr>
      </w:pPr>
      <w:bookmarkStart w:id="0" w:name="_GoBack"/>
      <w:bookmarkEnd w:id="0"/>
      <w:r w:rsidRPr="000F5EDB">
        <w:rPr>
          <w:b/>
          <w:bCs/>
          <w:sz w:val="28"/>
          <w:szCs w:val="28"/>
        </w:rPr>
        <w:t>Rīkojuma projekta „</w:t>
      </w:r>
      <w:r w:rsidRPr="00B50250">
        <w:rPr>
          <w:b/>
          <w:sz w:val="28"/>
          <w:szCs w:val="28"/>
        </w:rPr>
        <w:t>Par finanšu līdzekļu piešķiršanu</w:t>
      </w:r>
      <w:r w:rsidR="00A87976">
        <w:rPr>
          <w:b/>
          <w:sz w:val="28"/>
          <w:szCs w:val="28"/>
        </w:rPr>
        <w:t xml:space="preserve"> no valsts budžeta programmas “Līdzekļi neparedzētiem gadījumiem</w:t>
      </w:r>
      <w:r w:rsidRPr="000F5EDB">
        <w:rPr>
          <w:b/>
          <w:bCs/>
          <w:sz w:val="28"/>
          <w:szCs w:val="28"/>
        </w:rPr>
        <w:t>”</w:t>
      </w:r>
      <w:r w:rsidR="00A87976">
        <w:rPr>
          <w:b/>
          <w:bCs/>
          <w:sz w:val="28"/>
          <w:szCs w:val="28"/>
        </w:rPr>
        <w:t>”</w:t>
      </w:r>
      <w:r w:rsidRPr="000F5EDB">
        <w:rPr>
          <w:b/>
          <w:bCs/>
          <w:sz w:val="28"/>
          <w:szCs w:val="28"/>
        </w:rPr>
        <w:t xml:space="preserve"> sākotnējās ietekmes novērtējuma </w:t>
      </w:r>
      <w:smartTag w:uri="schemas-tilde-lv/tildestengine" w:element="veidnes">
        <w:smartTagPr>
          <w:attr w:name="id" w:val="-1"/>
          <w:attr w:name="baseform" w:val="ziņojums"/>
          <w:attr w:name="text" w:val="ziņojums"/>
        </w:smartTagPr>
        <w:r w:rsidRPr="000F5EDB">
          <w:rPr>
            <w:b/>
            <w:bCs/>
            <w:sz w:val="28"/>
            <w:szCs w:val="28"/>
          </w:rPr>
          <w:t>ziņojums</w:t>
        </w:r>
      </w:smartTag>
      <w:r w:rsidRPr="000F5EDB">
        <w:rPr>
          <w:b/>
          <w:bCs/>
          <w:sz w:val="28"/>
          <w:szCs w:val="28"/>
        </w:rPr>
        <w:t xml:space="preserve"> (anotācija)</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
        <w:gridCol w:w="2892"/>
        <w:gridCol w:w="5928"/>
      </w:tblGrid>
      <w:tr w:rsidR="000A3DB3" w:rsidRPr="006807F6" w:rsidTr="002C7A18">
        <w:trPr>
          <w:trHeight w:val="419"/>
        </w:trPr>
        <w:tc>
          <w:tcPr>
            <w:tcW w:w="5000" w:type="pct"/>
            <w:gridSpan w:val="3"/>
            <w:vAlign w:val="center"/>
          </w:tcPr>
          <w:p w:rsidR="000A3DB3" w:rsidRPr="006807F6" w:rsidRDefault="000A3DB3" w:rsidP="002C7A18">
            <w:pPr>
              <w:pStyle w:val="naisnod"/>
              <w:spacing w:before="0" w:beforeAutospacing="0" w:after="0" w:afterAutospacing="0"/>
              <w:ind w:left="57" w:right="57"/>
              <w:jc w:val="center"/>
              <w:rPr>
                <w:b/>
                <w:sz w:val="26"/>
                <w:szCs w:val="26"/>
              </w:rPr>
            </w:pPr>
            <w:r w:rsidRPr="006807F6">
              <w:rPr>
                <w:b/>
                <w:sz w:val="26"/>
                <w:szCs w:val="26"/>
              </w:rPr>
              <w:t>I. Tiesību akta projekta izstrādes nepieciešamība</w:t>
            </w:r>
          </w:p>
        </w:tc>
      </w:tr>
      <w:tr w:rsidR="000A3DB3" w:rsidRPr="006807F6" w:rsidTr="00A41EC7">
        <w:trPr>
          <w:trHeight w:val="400"/>
        </w:trPr>
        <w:tc>
          <w:tcPr>
            <w:tcW w:w="227" w:type="pct"/>
          </w:tcPr>
          <w:p w:rsidR="000A3DB3" w:rsidRPr="006807F6" w:rsidRDefault="000A3DB3" w:rsidP="002C7A18">
            <w:pPr>
              <w:pStyle w:val="naiskr"/>
              <w:spacing w:before="0" w:beforeAutospacing="0" w:after="0" w:afterAutospacing="0"/>
              <w:ind w:left="57" w:right="57"/>
              <w:jc w:val="center"/>
              <w:rPr>
                <w:sz w:val="26"/>
                <w:szCs w:val="26"/>
              </w:rPr>
            </w:pPr>
            <w:r w:rsidRPr="006807F6">
              <w:rPr>
                <w:sz w:val="26"/>
                <w:szCs w:val="26"/>
              </w:rPr>
              <w:t>1.</w:t>
            </w:r>
          </w:p>
        </w:tc>
        <w:tc>
          <w:tcPr>
            <w:tcW w:w="1565" w:type="pct"/>
          </w:tcPr>
          <w:p w:rsidR="000A3DB3" w:rsidRPr="006807F6" w:rsidRDefault="000A3DB3" w:rsidP="00A41EC7">
            <w:pPr>
              <w:pStyle w:val="naiskr"/>
              <w:spacing w:before="0" w:beforeAutospacing="0" w:after="0" w:afterAutospacing="0"/>
              <w:ind w:left="57" w:right="57"/>
              <w:rPr>
                <w:sz w:val="26"/>
                <w:szCs w:val="26"/>
              </w:rPr>
            </w:pPr>
            <w:r w:rsidRPr="006807F6">
              <w:rPr>
                <w:sz w:val="26"/>
                <w:szCs w:val="26"/>
              </w:rPr>
              <w:t>Pamatojums</w:t>
            </w:r>
          </w:p>
        </w:tc>
        <w:tc>
          <w:tcPr>
            <w:tcW w:w="3207" w:type="pct"/>
          </w:tcPr>
          <w:p w:rsidR="000A3DB3" w:rsidRPr="006807F6" w:rsidRDefault="00A41EC7" w:rsidP="00A41EC7">
            <w:pPr>
              <w:pStyle w:val="Heading3"/>
              <w:shd w:val="clear" w:color="auto" w:fill="FFFFFF"/>
              <w:spacing w:before="0" w:beforeAutospacing="0" w:after="0" w:afterAutospacing="0"/>
              <w:ind w:right="57" w:firstLine="386"/>
              <w:jc w:val="both"/>
              <w:rPr>
                <w:b w:val="0"/>
                <w:sz w:val="26"/>
                <w:szCs w:val="26"/>
              </w:rPr>
            </w:pPr>
            <w:r w:rsidRPr="006807F6">
              <w:rPr>
                <w:b w:val="0"/>
                <w:sz w:val="26"/>
                <w:szCs w:val="26"/>
              </w:rPr>
              <w:t>Nav attiecināms</w:t>
            </w:r>
          </w:p>
        </w:tc>
      </w:tr>
      <w:tr w:rsidR="000A3DB3" w:rsidRPr="006807F6" w:rsidTr="002C7A18">
        <w:trPr>
          <w:trHeight w:val="472"/>
        </w:trPr>
        <w:tc>
          <w:tcPr>
            <w:tcW w:w="227" w:type="pct"/>
          </w:tcPr>
          <w:p w:rsidR="000A3DB3" w:rsidRPr="006807F6" w:rsidRDefault="000A3DB3" w:rsidP="002C7A18">
            <w:pPr>
              <w:pStyle w:val="naiskr"/>
              <w:spacing w:before="0" w:beforeAutospacing="0" w:after="0" w:afterAutospacing="0"/>
              <w:ind w:left="57" w:right="57"/>
              <w:jc w:val="center"/>
              <w:rPr>
                <w:sz w:val="26"/>
                <w:szCs w:val="26"/>
              </w:rPr>
            </w:pPr>
            <w:r w:rsidRPr="006807F6">
              <w:rPr>
                <w:sz w:val="26"/>
                <w:szCs w:val="26"/>
              </w:rPr>
              <w:t>2.</w:t>
            </w:r>
          </w:p>
          <w:p w:rsidR="000A3DB3" w:rsidRPr="006807F6" w:rsidRDefault="000A3DB3" w:rsidP="002C7A18">
            <w:pPr>
              <w:rPr>
                <w:rFonts w:ascii="Times New Roman" w:hAnsi="Times New Roman" w:cs="Times New Roman"/>
                <w:sz w:val="26"/>
                <w:szCs w:val="26"/>
                <w:lang w:eastAsia="lv-LV"/>
              </w:rPr>
            </w:pPr>
          </w:p>
          <w:p w:rsidR="000A3DB3" w:rsidRPr="006807F6" w:rsidRDefault="000A3DB3" w:rsidP="002C7A18">
            <w:pPr>
              <w:rPr>
                <w:rFonts w:ascii="Times New Roman" w:hAnsi="Times New Roman" w:cs="Times New Roman"/>
                <w:sz w:val="26"/>
                <w:szCs w:val="26"/>
                <w:lang w:eastAsia="lv-LV"/>
              </w:rPr>
            </w:pPr>
          </w:p>
          <w:p w:rsidR="000A3DB3" w:rsidRPr="006807F6" w:rsidRDefault="000A3DB3" w:rsidP="002C7A18">
            <w:pPr>
              <w:rPr>
                <w:rFonts w:ascii="Times New Roman" w:hAnsi="Times New Roman" w:cs="Times New Roman"/>
                <w:sz w:val="26"/>
                <w:szCs w:val="26"/>
                <w:lang w:eastAsia="lv-LV"/>
              </w:rPr>
            </w:pPr>
          </w:p>
          <w:p w:rsidR="000A3DB3" w:rsidRPr="006807F6" w:rsidRDefault="000A3DB3" w:rsidP="002C7A18">
            <w:pPr>
              <w:rPr>
                <w:rFonts w:ascii="Times New Roman" w:hAnsi="Times New Roman" w:cs="Times New Roman"/>
                <w:sz w:val="26"/>
                <w:szCs w:val="26"/>
                <w:lang w:eastAsia="lv-LV"/>
              </w:rPr>
            </w:pPr>
          </w:p>
          <w:p w:rsidR="000A3DB3" w:rsidRPr="006807F6" w:rsidRDefault="000A3DB3" w:rsidP="002C7A18">
            <w:pPr>
              <w:rPr>
                <w:rFonts w:ascii="Times New Roman" w:hAnsi="Times New Roman" w:cs="Times New Roman"/>
                <w:sz w:val="26"/>
                <w:szCs w:val="26"/>
                <w:lang w:eastAsia="lv-LV"/>
              </w:rPr>
            </w:pPr>
          </w:p>
          <w:p w:rsidR="000A3DB3" w:rsidRPr="006807F6" w:rsidRDefault="000A3DB3" w:rsidP="002C7A18">
            <w:pPr>
              <w:rPr>
                <w:rFonts w:ascii="Times New Roman" w:hAnsi="Times New Roman" w:cs="Times New Roman"/>
                <w:sz w:val="26"/>
                <w:szCs w:val="26"/>
                <w:lang w:eastAsia="lv-LV"/>
              </w:rPr>
            </w:pPr>
          </w:p>
          <w:p w:rsidR="000A3DB3" w:rsidRPr="006807F6" w:rsidRDefault="000A3DB3" w:rsidP="002C7A18">
            <w:pPr>
              <w:rPr>
                <w:rFonts w:ascii="Times New Roman" w:hAnsi="Times New Roman" w:cs="Times New Roman"/>
                <w:sz w:val="26"/>
                <w:szCs w:val="26"/>
                <w:lang w:eastAsia="lv-LV"/>
              </w:rPr>
            </w:pPr>
          </w:p>
        </w:tc>
        <w:tc>
          <w:tcPr>
            <w:tcW w:w="1565" w:type="pct"/>
          </w:tcPr>
          <w:p w:rsidR="000A3DB3" w:rsidRPr="006807F6" w:rsidRDefault="000A3DB3" w:rsidP="002C7A18">
            <w:pPr>
              <w:pStyle w:val="naiskr"/>
              <w:tabs>
                <w:tab w:val="left" w:pos="170"/>
              </w:tabs>
              <w:spacing w:before="0" w:beforeAutospacing="0" w:after="0" w:afterAutospacing="0"/>
              <w:ind w:left="57" w:right="57"/>
              <w:rPr>
                <w:sz w:val="26"/>
                <w:szCs w:val="26"/>
              </w:rPr>
            </w:pPr>
            <w:r w:rsidRPr="006807F6">
              <w:rPr>
                <w:sz w:val="26"/>
                <w:szCs w:val="26"/>
              </w:rPr>
              <w:t>Pašreizējā situācija un problēmas, kuru risināšanai tiesību akta projekts izstrādāts, tiesiskā regulējuma mērķis un būtība</w:t>
            </w:r>
          </w:p>
          <w:p w:rsidR="000A3DB3" w:rsidRPr="006807F6" w:rsidRDefault="000A3DB3" w:rsidP="002C7A18">
            <w:pPr>
              <w:jc w:val="center"/>
              <w:rPr>
                <w:rFonts w:ascii="Times New Roman" w:hAnsi="Times New Roman" w:cs="Times New Roman"/>
                <w:sz w:val="26"/>
                <w:szCs w:val="26"/>
                <w:lang w:eastAsia="lv-LV"/>
              </w:rPr>
            </w:pPr>
          </w:p>
          <w:p w:rsidR="000A3DB3" w:rsidRPr="006807F6" w:rsidRDefault="000A3DB3" w:rsidP="002C7A18">
            <w:pPr>
              <w:rPr>
                <w:rFonts w:ascii="Times New Roman" w:hAnsi="Times New Roman" w:cs="Times New Roman"/>
                <w:sz w:val="26"/>
                <w:szCs w:val="26"/>
                <w:lang w:eastAsia="lv-LV"/>
              </w:rPr>
            </w:pPr>
          </w:p>
          <w:p w:rsidR="000A3DB3" w:rsidRPr="006807F6" w:rsidRDefault="000A3DB3" w:rsidP="00A41EC7">
            <w:pPr>
              <w:rPr>
                <w:rFonts w:ascii="Times New Roman" w:hAnsi="Times New Roman" w:cs="Times New Roman"/>
                <w:sz w:val="26"/>
                <w:szCs w:val="26"/>
                <w:lang w:eastAsia="lv-LV"/>
              </w:rPr>
            </w:pPr>
          </w:p>
        </w:tc>
        <w:tc>
          <w:tcPr>
            <w:tcW w:w="3207" w:type="pct"/>
          </w:tcPr>
          <w:p w:rsidR="00A41EC7" w:rsidRPr="006807F6" w:rsidRDefault="00A41EC7" w:rsidP="00A41EC7">
            <w:pPr>
              <w:spacing w:line="240" w:lineRule="auto"/>
              <w:ind w:firstLine="386"/>
              <w:contextualSpacing/>
              <w:jc w:val="both"/>
              <w:rPr>
                <w:rFonts w:ascii="Times New Roman" w:hAnsi="Times New Roman" w:cs="Times New Roman"/>
                <w:color w:val="000000"/>
                <w:sz w:val="26"/>
                <w:szCs w:val="26"/>
              </w:rPr>
            </w:pPr>
            <w:r w:rsidRPr="006807F6">
              <w:rPr>
                <w:rFonts w:ascii="Times New Roman" w:hAnsi="Times New Roman" w:cs="Times New Roman"/>
                <w:color w:val="000000"/>
                <w:sz w:val="26"/>
                <w:szCs w:val="26"/>
              </w:rPr>
              <w:t>2014.gada 7.martā stājās spēkā grozījumi Saeimas vēlēšanu likumā, kas paredz Saeimas vēlēšanās ieviest papildu balsošanas veidu – balss nodošanu glabāšanā.</w:t>
            </w:r>
          </w:p>
          <w:p w:rsidR="00A41EC7" w:rsidRPr="006807F6" w:rsidRDefault="00A41EC7" w:rsidP="00A41EC7">
            <w:pPr>
              <w:spacing w:line="240" w:lineRule="auto"/>
              <w:ind w:firstLine="386"/>
              <w:contextualSpacing/>
              <w:jc w:val="both"/>
              <w:rPr>
                <w:rFonts w:ascii="Times New Roman" w:hAnsi="Times New Roman" w:cs="Times New Roman"/>
                <w:sz w:val="26"/>
                <w:szCs w:val="26"/>
              </w:rPr>
            </w:pPr>
            <w:r w:rsidRPr="006807F6">
              <w:rPr>
                <w:rFonts w:ascii="Times New Roman" w:hAnsi="Times New Roman" w:cs="Times New Roman"/>
                <w:sz w:val="26"/>
                <w:szCs w:val="26"/>
              </w:rPr>
              <w:t>Šī papildu balsošanas iespēja paredz, ka pilsētās un novados, kuros ir vismaz 7500 vēlētāju, iekārtojami vēlēšanu iecirkņi, kuros vēlētāji var nodot balsi glabāšanā trīs dienas pirms vēlēšanu dienas. Pašvaldībās, kurās ir vairāk nekā 20 000 balsstiesīgo, vēlēšanu iecirkņus, kur var nodot balsi glabāšanā, iekārto ar tādu aprēķinu, lai uz pilniem 20 000 balsstiesīgo būtu viens šāds iecirknis. No Saeimas vēlēšanu likuma izriet, ka iespēju nodot balsi depozītā drīkst izmantot jebkurš vēlētājs, kuram nebūs iespēju nobalsot vēlēšanu dienā. Piemēram, tie ir vēlētāji, kuri vēlēšanu dienā dosies ceļojumā vai komandējumā uz ārvalstīm vai vēlēšanu dienā atradīsies darbā.</w:t>
            </w:r>
          </w:p>
          <w:p w:rsidR="00A41EC7" w:rsidRPr="006807F6" w:rsidRDefault="00A41EC7" w:rsidP="00A41EC7">
            <w:pPr>
              <w:spacing w:line="240" w:lineRule="auto"/>
              <w:ind w:firstLine="386"/>
              <w:contextualSpacing/>
              <w:jc w:val="both"/>
              <w:rPr>
                <w:rFonts w:ascii="Times New Roman" w:hAnsi="Times New Roman" w:cs="Times New Roman"/>
                <w:sz w:val="26"/>
                <w:szCs w:val="26"/>
              </w:rPr>
            </w:pPr>
            <w:r w:rsidRPr="006807F6">
              <w:rPr>
                <w:rFonts w:ascii="Times New Roman" w:hAnsi="Times New Roman" w:cs="Times New Roman"/>
                <w:sz w:val="26"/>
                <w:szCs w:val="26"/>
              </w:rPr>
              <w:t>Lai nodrošinātu balss nodošanu glabāšanā 2014. gada Saeimas vēlēšanā</w:t>
            </w:r>
            <w:r w:rsidR="00A87976" w:rsidRPr="006807F6">
              <w:rPr>
                <w:rFonts w:ascii="Times New Roman" w:hAnsi="Times New Roman" w:cs="Times New Roman"/>
                <w:sz w:val="26"/>
                <w:szCs w:val="26"/>
              </w:rPr>
              <w:t xml:space="preserve">s, </w:t>
            </w:r>
            <w:r w:rsidR="00680841" w:rsidRPr="006807F6">
              <w:rPr>
                <w:rFonts w:ascii="Times New Roman" w:hAnsi="Times New Roman" w:cs="Times New Roman"/>
                <w:sz w:val="26"/>
                <w:szCs w:val="26"/>
              </w:rPr>
              <w:t xml:space="preserve">Centrālajai vēlēšanu komisijai </w:t>
            </w:r>
            <w:r w:rsidRPr="006807F6">
              <w:rPr>
                <w:rFonts w:ascii="Times New Roman" w:hAnsi="Times New Roman" w:cs="Times New Roman"/>
                <w:sz w:val="26"/>
                <w:szCs w:val="26"/>
              </w:rPr>
              <w:t xml:space="preserve">nepieciešams </w:t>
            </w:r>
            <w:r w:rsidR="00A87976" w:rsidRPr="006807F6">
              <w:rPr>
                <w:rFonts w:ascii="Times New Roman" w:hAnsi="Times New Roman" w:cs="Times New Roman"/>
                <w:sz w:val="26"/>
                <w:szCs w:val="26"/>
              </w:rPr>
              <w:t xml:space="preserve">papildu </w:t>
            </w:r>
            <w:r w:rsidRPr="006807F6">
              <w:rPr>
                <w:rFonts w:ascii="Times New Roman" w:hAnsi="Times New Roman" w:cs="Times New Roman"/>
                <w:sz w:val="26"/>
                <w:szCs w:val="26"/>
              </w:rPr>
              <w:t xml:space="preserve">finansējums </w:t>
            </w:r>
            <w:r w:rsidRPr="006807F6">
              <w:rPr>
                <w:rFonts w:ascii="Times New Roman" w:hAnsi="Times New Roman" w:cs="Times New Roman"/>
                <w:b/>
                <w:bCs/>
                <w:sz w:val="26"/>
                <w:szCs w:val="26"/>
              </w:rPr>
              <w:t xml:space="preserve">72 522 </w:t>
            </w:r>
            <w:r w:rsidRPr="006807F6">
              <w:rPr>
                <w:rFonts w:ascii="Times New Roman" w:hAnsi="Times New Roman" w:cs="Times New Roman"/>
                <w:b/>
                <w:bCs/>
                <w:i/>
                <w:sz w:val="26"/>
                <w:szCs w:val="26"/>
              </w:rPr>
              <w:t>euro</w:t>
            </w:r>
            <w:r w:rsidRPr="006807F6">
              <w:rPr>
                <w:rFonts w:ascii="Times New Roman" w:hAnsi="Times New Roman" w:cs="Times New Roman"/>
                <w:b/>
                <w:bCs/>
                <w:sz w:val="26"/>
                <w:szCs w:val="26"/>
              </w:rPr>
              <w:t xml:space="preserve"> </w:t>
            </w:r>
            <w:r w:rsidRPr="006807F6">
              <w:rPr>
                <w:rFonts w:ascii="Times New Roman" w:hAnsi="Times New Roman" w:cs="Times New Roman"/>
                <w:sz w:val="26"/>
                <w:szCs w:val="26"/>
              </w:rPr>
              <w:t>apmērā, tajā skaitā:</w:t>
            </w:r>
          </w:p>
          <w:p w:rsidR="00A41EC7" w:rsidRPr="006807F6" w:rsidRDefault="00A41EC7" w:rsidP="00A41EC7">
            <w:pPr>
              <w:pStyle w:val="ListParagraph"/>
              <w:numPr>
                <w:ilvl w:val="0"/>
                <w:numId w:val="4"/>
              </w:numPr>
              <w:spacing w:line="240" w:lineRule="auto"/>
              <w:ind w:left="522" w:hanging="142"/>
              <w:jc w:val="both"/>
              <w:rPr>
                <w:rFonts w:ascii="Times New Roman" w:hAnsi="Times New Roman"/>
                <w:sz w:val="26"/>
                <w:szCs w:val="26"/>
              </w:rPr>
            </w:pPr>
            <w:r w:rsidRPr="006807F6">
              <w:rPr>
                <w:rFonts w:ascii="Times New Roman" w:hAnsi="Times New Roman"/>
                <w:sz w:val="26"/>
                <w:szCs w:val="26"/>
              </w:rPr>
              <w:t xml:space="preserve">26 294 </w:t>
            </w:r>
            <w:r w:rsidRPr="006807F6">
              <w:rPr>
                <w:rFonts w:ascii="Times New Roman" w:hAnsi="Times New Roman"/>
                <w:i/>
                <w:sz w:val="26"/>
                <w:szCs w:val="26"/>
              </w:rPr>
              <w:t>euro</w:t>
            </w:r>
            <w:r w:rsidRPr="006807F6">
              <w:rPr>
                <w:rFonts w:ascii="Times New Roman" w:hAnsi="Times New Roman"/>
                <w:sz w:val="26"/>
                <w:szCs w:val="26"/>
              </w:rPr>
              <w:t xml:space="preserve"> darba samaksai vēlēšanu komisijām 61 vēlēšanu iecirknī;</w:t>
            </w:r>
          </w:p>
          <w:p w:rsidR="00A41EC7" w:rsidRPr="006807F6" w:rsidRDefault="00A41EC7" w:rsidP="00A41EC7">
            <w:pPr>
              <w:pStyle w:val="ListParagraph"/>
              <w:numPr>
                <w:ilvl w:val="0"/>
                <w:numId w:val="4"/>
              </w:numPr>
              <w:spacing w:line="240" w:lineRule="auto"/>
              <w:ind w:left="522" w:hanging="142"/>
              <w:jc w:val="both"/>
              <w:rPr>
                <w:rFonts w:ascii="Times New Roman" w:hAnsi="Times New Roman"/>
                <w:sz w:val="26"/>
                <w:szCs w:val="26"/>
              </w:rPr>
            </w:pPr>
            <w:r w:rsidRPr="006807F6">
              <w:rPr>
                <w:rFonts w:ascii="Times New Roman" w:hAnsi="Times New Roman"/>
                <w:sz w:val="26"/>
                <w:szCs w:val="26"/>
              </w:rPr>
              <w:t xml:space="preserve">16 756 </w:t>
            </w:r>
            <w:r w:rsidRPr="006807F6">
              <w:rPr>
                <w:rFonts w:ascii="Times New Roman" w:hAnsi="Times New Roman"/>
                <w:i/>
                <w:sz w:val="26"/>
                <w:szCs w:val="26"/>
              </w:rPr>
              <w:t>euro</w:t>
            </w:r>
            <w:r w:rsidRPr="006807F6">
              <w:rPr>
                <w:rFonts w:ascii="Times New Roman" w:hAnsi="Times New Roman"/>
                <w:sz w:val="26"/>
                <w:szCs w:val="26"/>
              </w:rPr>
              <w:t xml:space="preserve"> darba samaksai 39 pašvaldību </w:t>
            </w:r>
            <w:r w:rsidR="00BC6A5C">
              <w:rPr>
                <w:rFonts w:ascii="Times New Roman" w:hAnsi="Times New Roman"/>
                <w:sz w:val="26"/>
                <w:szCs w:val="26"/>
              </w:rPr>
              <w:t>vēlēšanu komisijām</w:t>
            </w:r>
            <w:r w:rsidR="006807F6">
              <w:rPr>
                <w:rFonts w:ascii="Times New Roman" w:hAnsi="Times New Roman"/>
                <w:sz w:val="26"/>
                <w:szCs w:val="26"/>
              </w:rPr>
              <w:t>;</w:t>
            </w:r>
          </w:p>
          <w:p w:rsidR="00A41EC7" w:rsidRPr="006807F6" w:rsidRDefault="00A41EC7" w:rsidP="00A41EC7">
            <w:pPr>
              <w:pStyle w:val="ListParagraph"/>
              <w:numPr>
                <w:ilvl w:val="0"/>
                <w:numId w:val="4"/>
              </w:numPr>
              <w:spacing w:line="240" w:lineRule="auto"/>
              <w:ind w:left="522" w:hanging="142"/>
              <w:jc w:val="both"/>
              <w:rPr>
                <w:rFonts w:ascii="Times New Roman" w:hAnsi="Times New Roman"/>
                <w:sz w:val="26"/>
                <w:szCs w:val="26"/>
              </w:rPr>
            </w:pPr>
            <w:r w:rsidRPr="006807F6">
              <w:rPr>
                <w:rFonts w:ascii="Times New Roman" w:hAnsi="Times New Roman"/>
                <w:sz w:val="26"/>
                <w:szCs w:val="26"/>
              </w:rPr>
              <w:t xml:space="preserve">10 500 </w:t>
            </w:r>
            <w:r w:rsidRPr="006807F6">
              <w:rPr>
                <w:rFonts w:ascii="Times New Roman" w:hAnsi="Times New Roman"/>
                <w:i/>
                <w:sz w:val="26"/>
                <w:szCs w:val="26"/>
              </w:rPr>
              <w:t>euro</w:t>
            </w:r>
            <w:r w:rsidRPr="006807F6">
              <w:rPr>
                <w:rFonts w:ascii="Times New Roman" w:hAnsi="Times New Roman"/>
                <w:sz w:val="26"/>
                <w:szCs w:val="26"/>
              </w:rPr>
              <w:t xml:space="preserve"> reģistrācijas aplokšņu iegādei;</w:t>
            </w:r>
          </w:p>
          <w:p w:rsidR="00680841" w:rsidRPr="006807F6" w:rsidRDefault="00A41EC7" w:rsidP="006807F6">
            <w:pPr>
              <w:pStyle w:val="ListParagraph"/>
              <w:numPr>
                <w:ilvl w:val="0"/>
                <w:numId w:val="4"/>
              </w:numPr>
              <w:spacing w:line="240" w:lineRule="auto"/>
              <w:ind w:left="522" w:hanging="142"/>
              <w:jc w:val="both"/>
              <w:rPr>
                <w:rFonts w:ascii="Times New Roman" w:hAnsi="Times New Roman"/>
                <w:sz w:val="26"/>
                <w:szCs w:val="26"/>
              </w:rPr>
            </w:pPr>
            <w:r w:rsidRPr="006807F6">
              <w:rPr>
                <w:rFonts w:ascii="Times New Roman" w:hAnsi="Times New Roman"/>
                <w:sz w:val="26"/>
                <w:szCs w:val="26"/>
              </w:rPr>
              <w:t xml:space="preserve">18 972 </w:t>
            </w:r>
            <w:r w:rsidRPr="006807F6">
              <w:rPr>
                <w:rFonts w:ascii="Times New Roman" w:hAnsi="Times New Roman"/>
                <w:i/>
                <w:sz w:val="26"/>
                <w:szCs w:val="26"/>
              </w:rPr>
              <w:t>euro</w:t>
            </w:r>
            <w:r w:rsidRPr="006807F6">
              <w:rPr>
                <w:rFonts w:ascii="Times New Roman" w:hAnsi="Times New Roman"/>
                <w:sz w:val="26"/>
                <w:szCs w:val="26"/>
              </w:rPr>
              <w:t xml:space="preserve"> pasākumiem, lai informētu vēlētājus par iespēju</w:t>
            </w:r>
            <w:r w:rsidR="00BC6A5C">
              <w:rPr>
                <w:rFonts w:ascii="Times New Roman" w:hAnsi="Times New Roman"/>
                <w:sz w:val="26"/>
                <w:szCs w:val="26"/>
              </w:rPr>
              <w:t xml:space="preserve"> nodot balsi glabāšanā</w:t>
            </w:r>
            <w:r w:rsidRPr="006807F6">
              <w:rPr>
                <w:rFonts w:ascii="Times New Roman" w:hAnsi="Times New Roman"/>
                <w:sz w:val="26"/>
                <w:szCs w:val="26"/>
              </w:rPr>
              <w:t>.</w:t>
            </w:r>
          </w:p>
          <w:p w:rsidR="00680841" w:rsidRPr="006807F6" w:rsidRDefault="00680841" w:rsidP="00680841">
            <w:pPr>
              <w:pStyle w:val="ListParagraph"/>
              <w:spacing w:line="240" w:lineRule="auto"/>
              <w:ind w:left="0" w:firstLine="380"/>
              <w:jc w:val="both"/>
              <w:rPr>
                <w:rFonts w:ascii="Times New Roman" w:hAnsi="Times New Roman"/>
                <w:b/>
                <w:bCs/>
                <w:sz w:val="26"/>
                <w:szCs w:val="26"/>
              </w:rPr>
            </w:pPr>
            <w:r w:rsidRPr="00BC6A5C">
              <w:rPr>
                <w:rFonts w:ascii="Times New Roman" w:hAnsi="Times New Roman"/>
                <w:color w:val="000000"/>
                <w:sz w:val="26"/>
                <w:szCs w:val="26"/>
              </w:rPr>
              <w:t xml:space="preserve">2014.gada </w:t>
            </w:r>
            <w:r w:rsidR="00BC6A5C" w:rsidRPr="00BC6A5C">
              <w:rPr>
                <w:rFonts w:ascii="Times New Roman" w:hAnsi="Times New Roman"/>
                <w:color w:val="000000"/>
                <w:sz w:val="26"/>
                <w:szCs w:val="26"/>
              </w:rPr>
              <w:t>18.jūlijā izsludināti</w:t>
            </w:r>
            <w:r w:rsidRPr="00BC6A5C">
              <w:rPr>
                <w:rFonts w:ascii="Times New Roman" w:hAnsi="Times New Roman"/>
                <w:color w:val="000000"/>
                <w:sz w:val="26"/>
                <w:szCs w:val="26"/>
              </w:rPr>
              <w:t xml:space="preserve"> grozījumi Saeimas vēlēšanu likumā, kas paredz </w:t>
            </w:r>
            <w:r w:rsidR="00A41EC7" w:rsidRPr="00BC6A5C">
              <w:rPr>
                <w:rFonts w:ascii="Times New Roman" w:hAnsi="Times New Roman"/>
                <w:sz w:val="26"/>
                <w:szCs w:val="26"/>
              </w:rPr>
              <w:t>vēlētāju apliecību izgatavošanu perso</w:t>
            </w:r>
            <w:r w:rsidRPr="00BC6A5C">
              <w:rPr>
                <w:rFonts w:ascii="Times New Roman" w:hAnsi="Times New Roman"/>
                <w:sz w:val="26"/>
                <w:szCs w:val="26"/>
              </w:rPr>
              <w:t xml:space="preserve">nām, kurām 2014.gada Saeimas vēlēšanās būs derīga personas apliecība, bet nebūs derīgas pilsoņa </w:t>
            </w:r>
            <w:r w:rsidR="00A41EC7" w:rsidRPr="00BC6A5C">
              <w:rPr>
                <w:rFonts w:ascii="Times New Roman" w:hAnsi="Times New Roman"/>
                <w:sz w:val="26"/>
                <w:szCs w:val="26"/>
              </w:rPr>
              <w:t>pases</w:t>
            </w:r>
            <w:r w:rsidRPr="00BC6A5C">
              <w:rPr>
                <w:rFonts w:ascii="Times New Roman" w:hAnsi="Times New Roman"/>
                <w:sz w:val="26"/>
                <w:szCs w:val="26"/>
              </w:rPr>
              <w:t>. Attiecīgi  Centrālajai vēlēšanu komisijai 30 000 vēlētāju apliecību izgatavošanai papildu nepieciešami</w:t>
            </w:r>
            <w:r w:rsidR="00A41EC7" w:rsidRPr="00BC6A5C">
              <w:rPr>
                <w:rFonts w:ascii="Times New Roman" w:hAnsi="Times New Roman"/>
                <w:sz w:val="26"/>
                <w:szCs w:val="26"/>
              </w:rPr>
              <w:t xml:space="preserve"> </w:t>
            </w:r>
            <w:r w:rsidR="00A41EC7" w:rsidRPr="00BC6A5C">
              <w:rPr>
                <w:rFonts w:ascii="Times New Roman" w:hAnsi="Times New Roman"/>
                <w:b/>
                <w:bCs/>
                <w:sz w:val="26"/>
                <w:szCs w:val="26"/>
              </w:rPr>
              <w:t>5</w:t>
            </w:r>
            <w:r w:rsidRPr="00BC6A5C">
              <w:rPr>
                <w:rFonts w:ascii="Times New Roman" w:hAnsi="Times New Roman"/>
                <w:b/>
                <w:bCs/>
                <w:sz w:val="26"/>
                <w:szCs w:val="26"/>
              </w:rPr>
              <w:t> </w:t>
            </w:r>
            <w:r w:rsidR="00A41EC7" w:rsidRPr="00BC6A5C">
              <w:rPr>
                <w:rFonts w:ascii="Times New Roman" w:hAnsi="Times New Roman"/>
                <w:b/>
                <w:bCs/>
                <w:sz w:val="26"/>
                <w:szCs w:val="26"/>
              </w:rPr>
              <w:t>808</w:t>
            </w:r>
            <w:r w:rsidRPr="00BC6A5C">
              <w:rPr>
                <w:rFonts w:ascii="Times New Roman" w:hAnsi="Times New Roman"/>
                <w:b/>
                <w:bCs/>
                <w:sz w:val="26"/>
                <w:szCs w:val="26"/>
              </w:rPr>
              <w:t xml:space="preserve"> </w:t>
            </w:r>
            <w:r w:rsidRPr="00BC6A5C">
              <w:rPr>
                <w:rFonts w:ascii="Times New Roman" w:hAnsi="Times New Roman"/>
                <w:b/>
                <w:bCs/>
                <w:i/>
                <w:sz w:val="26"/>
                <w:szCs w:val="26"/>
              </w:rPr>
              <w:t>euro</w:t>
            </w:r>
            <w:r w:rsidR="00A41EC7" w:rsidRPr="00BC6A5C">
              <w:rPr>
                <w:rFonts w:ascii="Times New Roman" w:hAnsi="Times New Roman"/>
                <w:b/>
                <w:bCs/>
                <w:sz w:val="26"/>
                <w:szCs w:val="26"/>
              </w:rPr>
              <w:t>.</w:t>
            </w:r>
          </w:p>
          <w:p w:rsidR="00A41EC7" w:rsidRPr="006807F6" w:rsidRDefault="00B27D1E" w:rsidP="00B27D1E">
            <w:pPr>
              <w:pStyle w:val="ListParagraph"/>
              <w:spacing w:line="240" w:lineRule="auto"/>
              <w:ind w:left="0" w:firstLine="380"/>
              <w:jc w:val="both"/>
              <w:rPr>
                <w:rFonts w:ascii="Times New Roman" w:hAnsi="Times New Roman"/>
                <w:sz w:val="26"/>
                <w:szCs w:val="26"/>
              </w:rPr>
            </w:pPr>
            <w:r>
              <w:rPr>
                <w:rFonts w:ascii="Times New Roman" w:hAnsi="Times New Roman"/>
                <w:sz w:val="26"/>
                <w:szCs w:val="26"/>
              </w:rPr>
              <w:t>Lai izpildītu</w:t>
            </w:r>
            <w:r w:rsidR="00A41EC7" w:rsidRPr="006807F6">
              <w:rPr>
                <w:rFonts w:ascii="Times New Roman" w:hAnsi="Times New Roman"/>
                <w:sz w:val="26"/>
                <w:szCs w:val="26"/>
              </w:rPr>
              <w:t xml:space="preserve"> Saeimas vēlēšanu </w:t>
            </w:r>
            <w:r w:rsidR="00680841" w:rsidRPr="006807F6">
              <w:rPr>
                <w:rFonts w:ascii="Times New Roman" w:hAnsi="Times New Roman"/>
                <w:sz w:val="26"/>
                <w:szCs w:val="26"/>
              </w:rPr>
              <w:t>l</w:t>
            </w:r>
            <w:r w:rsidR="00A87976" w:rsidRPr="006807F6">
              <w:rPr>
                <w:rFonts w:ascii="Times New Roman" w:hAnsi="Times New Roman"/>
                <w:sz w:val="26"/>
                <w:szCs w:val="26"/>
              </w:rPr>
              <w:t>ikumā</w:t>
            </w:r>
            <w:r>
              <w:rPr>
                <w:rFonts w:ascii="Times New Roman" w:hAnsi="Times New Roman"/>
                <w:sz w:val="26"/>
                <w:szCs w:val="26"/>
              </w:rPr>
              <w:t xml:space="preserve"> paredzēto, </w:t>
            </w:r>
            <w:r w:rsidR="00A87976" w:rsidRPr="006807F6">
              <w:rPr>
                <w:rFonts w:ascii="Times New Roman" w:hAnsi="Times New Roman"/>
                <w:sz w:val="26"/>
                <w:szCs w:val="26"/>
              </w:rPr>
              <w:t xml:space="preserve">2014.gadā </w:t>
            </w:r>
            <w:r w:rsidR="00A41EC7" w:rsidRPr="006807F6">
              <w:rPr>
                <w:rFonts w:ascii="Times New Roman" w:hAnsi="Times New Roman"/>
                <w:sz w:val="26"/>
                <w:szCs w:val="26"/>
              </w:rPr>
              <w:t xml:space="preserve">Centrālajai vēlēšanu komisijai </w:t>
            </w:r>
            <w:r w:rsidR="00A87976" w:rsidRPr="006807F6">
              <w:rPr>
                <w:rFonts w:ascii="Times New Roman" w:hAnsi="Times New Roman"/>
                <w:sz w:val="26"/>
                <w:szCs w:val="26"/>
              </w:rPr>
              <w:t xml:space="preserve">kopā </w:t>
            </w:r>
            <w:r w:rsidR="00A41EC7" w:rsidRPr="006807F6">
              <w:rPr>
                <w:rFonts w:ascii="Times New Roman" w:hAnsi="Times New Roman"/>
                <w:sz w:val="26"/>
                <w:szCs w:val="26"/>
              </w:rPr>
              <w:t xml:space="preserve">nepieciešams papildu finansējums </w:t>
            </w:r>
            <w:r w:rsidR="00A41EC7" w:rsidRPr="006807F6">
              <w:rPr>
                <w:rFonts w:ascii="Times New Roman" w:hAnsi="Times New Roman"/>
                <w:b/>
                <w:bCs/>
                <w:sz w:val="26"/>
                <w:szCs w:val="26"/>
              </w:rPr>
              <w:t xml:space="preserve">78 330 </w:t>
            </w:r>
            <w:r w:rsidR="00A41EC7" w:rsidRPr="006807F6">
              <w:rPr>
                <w:rFonts w:ascii="Times New Roman" w:hAnsi="Times New Roman"/>
                <w:b/>
                <w:bCs/>
                <w:i/>
                <w:sz w:val="26"/>
                <w:szCs w:val="26"/>
              </w:rPr>
              <w:t>euro</w:t>
            </w:r>
            <w:r w:rsidR="00A41EC7" w:rsidRPr="006807F6">
              <w:rPr>
                <w:rFonts w:ascii="Times New Roman" w:hAnsi="Times New Roman"/>
                <w:b/>
                <w:bCs/>
                <w:sz w:val="26"/>
                <w:szCs w:val="26"/>
              </w:rPr>
              <w:t xml:space="preserve"> </w:t>
            </w:r>
            <w:r w:rsidR="00A41EC7" w:rsidRPr="006807F6">
              <w:rPr>
                <w:rFonts w:ascii="Times New Roman" w:hAnsi="Times New Roman"/>
                <w:sz w:val="26"/>
                <w:szCs w:val="26"/>
              </w:rPr>
              <w:t>apmērā.</w:t>
            </w:r>
          </w:p>
        </w:tc>
      </w:tr>
      <w:tr w:rsidR="000A3DB3" w:rsidRPr="006807F6" w:rsidTr="002C7A18">
        <w:trPr>
          <w:trHeight w:val="476"/>
        </w:trPr>
        <w:tc>
          <w:tcPr>
            <w:tcW w:w="227" w:type="pct"/>
          </w:tcPr>
          <w:p w:rsidR="000A3DB3" w:rsidRPr="006807F6" w:rsidRDefault="000A3DB3" w:rsidP="002C7A18">
            <w:pPr>
              <w:pStyle w:val="naiskr"/>
              <w:spacing w:before="0" w:beforeAutospacing="0" w:after="0" w:afterAutospacing="0"/>
              <w:ind w:left="57" w:right="57"/>
              <w:jc w:val="center"/>
              <w:rPr>
                <w:sz w:val="26"/>
                <w:szCs w:val="26"/>
              </w:rPr>
            </w:pPr>
            <w:r w:rsidRPr="006807F6">
              <w:rPr>
                <w:sz w:val="26"/>
                <w:szCs w:val="26"/>
              </w:rPr>
              <w:t>3.</w:t>
            </w:r>
          </w:p>
        </w:tc>
        <w:tc>
          <w:tcPr>
            <w:tcW w:w="1565" w:type="pct"/>
          </w:tcPr>
          <w:p w:rsidR="000A3DB3" w:rsidRPr="006807F6" w:rsidRDefault="000A3DB3" w:rsidP="002C7A18">
            <w:pPr>
              <w:pStyle w:val="naiskr"/>
              <w:spacing w:before="0" w:beforeAutospacing="0" w:after="0" w:afterAutospacing="0"/>
              <w:ind w:left="57" w:right="57"/>
              <w:rPr>
                <w:sz w:val="26"/>
                <w:szCs w:val="26"/>
              </w:rPr>
            </w:pPr>
            <w:r w:rsidRPr="006807F6">
              <w:rPr>
                <w:sz w:val="26"/>
                <w:szCs w:val="26"/>
              </w:rPr>
              <w:t>Projekta izstrādē iesaistītās institūcijas</w:t>
            </w:r>
          </w:p>
        </w:tc>
        <w:tc>
          <w:tcPr>
            <w:tcW w:w="3207" w:type="pct"/>
          </w:tcPr>
          <w:p w:rsidR="000A3DB3" w:rsidRPr="006807F6" w:rsidRDefault="00680841" w:rsidP="00680841">
            <w:pPr>
              <w:spacing w:after="0" w:line="240" w:lineRule="auto"/>
              <w:ind w:left="57" w:right="57"/>
              <w:rPr>
                <w:rFonts w:ascii="Times New Roman" w:hAnsi="Times New Roman" w:cs="Times New Roman"/>
                <w:b/>
                <w:sz w:val="26"/>
                <w:szCs w:val="26"/>
              </w:rPr>
            </w:pPr>
            <w:r w:rsidRPr="006807F6">
              <w:rPr>
                <w:rFonts w:ascii="Times New Roman" w:hAnsi="Times New Roman" w:cs="Times New Roman"/>
                <w:bCs/>
                <w:color w:val="000000"/>
                <w:sz w:val="26"/>
                <w:szCs w:val="26"/>
              </w:rPr>
              <w:t>Centrālā vēlēšanu komisija, Finanšu ministrija.</w:t>
            </w:r>
          </w:p>
        </w:tc>
      </w:tr>
      <w:tr w:rsidR="000A3DB3" w:rsidRPr="006807F6" w:rsidTr="002C7A18">
        <w:tc>
          <w:tcPr>
            <w:tcW w:w="227" w:type="pct"/>
          </w:tcPr>
          <w:p w:rsidR="000A3DB3" w:rsidRPr="006807F6" w:rsidRDefault="000A3DB3" w:rsidP="002C7A18">
            <w:pPr>
              <w:pStyle w:val="naiskr"/>
              <w:spacing w:before="0" w:beforeAutospacing="0" w:after="0" w:afterAutospacing="0"/>
              <w:ind w:left="57" w:right="57"/>
              <w:jc w:val="center"/>
              <w:rPr>
                <w:sz w:val="26"/>
                <w:szCs w:val="26"/>
              </w:rPr>
            </w:pPr>
            <w:r w:rsidRPr="006807F6">
              <w:rPr>
                <w:sz w:val="26"/>
                <w:szCs w:val="26"/>
              </w:rPr>
              <w:t>4.</w:t>
            </w:r>
          </w:p>
        </w:tc>
        <w:tc>
          <w:tcPr>
            <w:tcW w:w="1565" w:type="pct"/>
          </w:tcPr>
          <w:p w:rsidR="000A3DB3" w:rsidRPr="006807F6" w:rsidRDefault="000A3DB3" w:rsidP="002C7A18">
            <w:pPr>
              <w:pStyle w:val="naiskr"/>
              <w:spacing w:before="0" w:beforeAutospacing="0" w:after="0" w:afterAutospacing="0"/>
              <w:ind w:left="57" w:right="57"/>
              <w:rPr>
                <w:sz w:val="26"/>
                <w:szCs w:val="26"/>
              </w:rPr>
            </w:pPr>
            <w:r w:rsidRPr="006807F6">
              <w:rPr>
                <w:sz w:val="26"/>
                <w:szCs w:val="26"/>
              </w:rPr>
              <w:t>Cita informācija</w:t>
            </w:r>
          </w:p>
        </w:tc>
        <w:tc>
          <w:tcPr>
            <w:tcW w:w="3207" w:type="pct"/>
          </w:tcPr>
          <w:p w:rsidR="000A3DB3" w:rsidRPr="006807F6" w:rsidRDefault="000A3DB3" w:rsidP="002C7A18">
            <w:pPr>
              <w:pStyle w:val="naiskr"/>
              <w:spacing w:before="0" w:beforeAutospacing="0" w:after="0" w:afterAutospacing="0"/>
              <w:ind w:left="57" w:right="57"/>
              <w:rPr>
                <w:sz w:val="26"/>
                <w:szCs w:val="26"/>
              </w:rPr>
            </w:pPr>
            <w:r w:rsidRPr="006807F6">
              <w:rPr>
                <w:sz w:val="26"/>
                <w:szCs w:val="26"/>
              </w:rPr>
              <w:t>Nav.</w:t>
            </w:r>
          </w:p>
        </w:tc>
      </w:tr>
    </w:tbl>
    <w:p w:rsidR="000A3DB3" w:rsidRDefault="000A3DB3" w:rsidP="000A3DB3">
      <w:pPr>
        <w:spacing w:after="0" w:line="240" w:lineRule="auto"/>
        <w:rPr>
          <w:rFonts w:ascii="Times New Roman" w:hAnsi="Times New Roman" w:cs="Times New Roman"/>
          <w:sz w:val="26"/>
          <w:szCs w:val="26"/>
        </w:rPr>
      </w:pPr>
    </w:p>
    <w:p w:rsidR="00BC6A5C" w:rsidRPr="006807F6" w:rsidRDefault="00BC6A5C" w:rsidP="000A3DB3">
      <w:pPr>
        <w:spacing w:after="0" w:line="240" w:lineRule="auto"/>
        <w:rPr>
          <w:rFonts w:ascii="Times New Roman" w:hAnsi="Times New Roman" w:cs="Times New Roman"/>
          <w:sz w:val="26"/>
          <w:szCs w:val="26"/>
        </w:rPr>
      </w:pP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1258"/>
        <w:gridCol w:w="1280"/>
        <w:gridCol w:w="1227"/>
        <w:gridCol w:w="1227"/>
        <w:gridCol w:w="1227"/>
      </w:tblGrid>
      <w:tr w:rsidR="000A3DB3" w:rsidRPr="006807F6" w:rsidTr="00A87976">
        <w:trPr>
          <w:trHeight w:val="361"/>
          <w:jc w:val="center"/>
        </w:trPr>
        <w:tc>
          <w:tcPr>
            <w:tcW w:w="9257" w:type="dxa"/>
            <w:gridSpan w:val="6"/>
            <w:vAlign w:val="center"/>
          </w:tcPr>
          <w:p w:rsidR="000A3DB3" w:rsidRPr="006807F6" w:rsidRDefault="000A3DB3" w:rsidP="002C7A18">
            <w:pPr>
              <w:pStyle w:val="naisnod"/>
              <w:spacing w:before="0" w:beforeAutospacing="0" w:after="0" w:afterAutospacing="0"/>
              <w:jc w:val="center"/>
              <w:rPr>
                <w:b/>
                <w:i/>
                <w:sz w:val="26"/>
                <w:szCs w:val="26"/>
              </w:rPr>
            </w:pPr>
            <w:r w:rsidRPr="006807F6">
              <w:rPr>
                <w:sz w:val="26"/>
                <w:szCs w:val="26"/>
              </w:rPr>
              <w:br w:type="page"/>
            </w:r>
            <w:r w:rsidRPr="006807F6">
              <w:rPr>
                <w:b/>
                <w:sz w:val="26"/>
                <w:szCs w:val="26"/>
              </w:rPr>
              <w:t>III. Tiesību akta projekta ietekme uz valsts budžetu un pašvaldību budžetiem</w:t>
            </w:r>
          </w:p>
        </w:tc>
      </w:tr>
      <w:tr w:rsidR="000A3DB3" w:rsidRPr="006807F6" w:rsidTr="00A87976">
        <w:trPr>
          <w:jc w:val="center"/>
        </w:trPr>
        <w:tc>
          <w:tcPr>
            <w:tcW w:w="3199" w:type="dxa"/>
            <w:vMerge w:val="restart"/>
            <w:vAlign w:val="center"/>
          </w:tcPr>
          <w:p w:rsidR="000A3DB3" w:rsidRPr="006807F6" w:rsidRDefault="000A3DB3" w:rsidP="002C7A18">
            <w:pPr>
              <w:pStyle w:val="naisf"/>
              <w:spacing w:before="0" w:beforeAutospacing="0" w:after="0" w:afterAutospacing="0"/>
              <w:jc w:val="center"/>
              <w:rPr>
                <w:b/>
                <w:sz w:val="26"/>
                <w:szCs w:val="26"/>
              </w:rPr>
            </w:pPr>
            <w:r w:rsidRPr="006807F6">
              <w:rPr>
                <w:b/>
                <w:sz w:val="26"/>
                <w:szCs w:val="26"/>
              </w:rPr>
              <w:t>Rādītāji</w:t>
            </w:r>
          </w:p>
        </w:tc>
        <w:tc>
          <w:tcPr>
            <w:tcW w:w="2563" w:type="dxa"/>
            <w:gridSpan w:val="2"/>
            <w:vMerge w:val="restart"/>
            <w:vAlign w:val="center"/>
          </w:tcPr>
          <w:p w:rsidR="000A3DB3" w:rsidRPr="006807F6" w:rsidRDefault="000A3DB3" w:rsidP="002C7A18">
            <w:pPr>
              <w:pStyle w:val="naisf"/>
              <w:spacing w:before="0" w:beforeAutospacing="0" w:after="0" w:afterAutospacing="0"/>
              <w:jc w:val="center"/>
              <w:rPr>
                <w:b/>
                <w:sz w:val="26"/>
                <w:szCs w:val="26"/>
              </w:rPr>
            </w:pPr>
            <w:r w:rsidRPr="006807F6">
              <w:rPr>
                <w:b/>
                <w:sz w:val="26"/>
                <w:szCs w:val="26"/>
              </w:rPr>
              <w:t>2014</w:t>
            </w:r>
          </w:p>
        </w:tc>
        <w:tc>
          <w:tcPr>
            <w:tcW w:w="3495" w:type="dxa"/>
            <w:gridSpan w:val="3"/>
            <w:vAlign w:val="center"/>
          </w:tcPr>
          <w:p w:rsidR="000A3DB3" w:rsidRPr="006807F6" w:rsidRDefault="000A3DB3" w:rsidP="002C7A18">
            <w:pPr>
              <w:pStyle w:val="naisf"/>
              <w:spacing w:before="0" w:beforeAutospacing="0" w:after="0" w:afterAutospacing="0"/>
              <w:jc w:val="center"/>
              <w:rPr>
                <w:b/>
                <w:i/>
                <w:sz w:val="26"/>
                <w:szCs w:val="26"/>
              </w:rPr>
            </w:pPr>
            <w:r w:rsidRPr="006807F6">
              <w:rPr>
                <w:sz w:val="26"/>
                <w:szCs w:val="26"/>
              </w:rPr>
              <w:t>Turpmākie trīs gadi (</w:t>
            </w:r>
            <w:r w:rsidRPr="006807F6">
              <w:rPr>
                <w:i/>
                <w:sz w:val="26"/>
                <w:szCs w:val="26"/>
              </w:rPr>
              <w:t>euro</w:t>
            </w:r>
            <w:r w:rsidRPr="006807F6">
              <w:rPr>
                <w:sz w:val="26"/>
                <w:szCs w:val="26"/>
              </w:rPr>
              <w:t>)</w:t>
            </w:r>
          </w:p>
        </w:tc>
      </w:tr>
      <w:tr w:rsidR="000A3DB3" w:rsidRPr="006807F6" w:rsidTr="00A87976">
        <w:trPr>
          <w:jc w:val="center"/>
        </w:trPr>
        <w:tc>
          <w:tcPr>
            <w:tcW w:w="3199" w:type="dxa"/>
            <w:vMerge/>
            <w:vAlign w:val="center"/>
          </w:tcPr>
          <w:p w:rsidR="000A3DB3" w:rsidRPr="006807F6" w:rsidRDefault="000A3DB3" w:rsidP="002C7A18">
            <w:pPr>
              <w:pStyle w:val="naisf"/>
              <w:spacing w:before="0" w:beforeAutospacing="0" w:after="0" w:afterAutospacing="0"/>
              <w:jc w:val="center"/>
              <w:rPr>
                <w:b/>
                <w:i/>
                <w:sz w:val="26"/>
                <w:szCs w:val="26"/>
              </w:rPr>
            </w:pPr>
          </w:p>
        </w:tc>
        <w:tc>
          <w:tcPr>
            <w:tcW w:w="2563" w:type="dxa"/>
            <w:gridSpan w:val="2"/>
            <w:vMerge/>
            <w:vAlign w:val="center"/>
          </w:tcPr>
          <w:p w:rsidR="000A3DB3" w:rsidRPr="006807F6" w:rsidRDefault="000A3DB3" w:rsidP="002C7A18">
            <w:pPr>
              <w:pStyle w:val="naisf"/>
              <w:spacing w:before="0" w:beforeAutospacing="0" w:after="0" w:afterAutospacing="0"/>
              <w:jc w:val="center"/>
              <w:rPr>
                <w:b/>
                <w:i/>
                <w:sz w:val="26"/>
                <w:szCs w:val="26"/>
              </w:rPr>
            </w:pPr>
          </w:p>
        </w:tc>
        <w:tc>
          <w:tcPr>
            <w:tcW w:w="1150" w:type="dxa"/>
            <w:vAlign w:val="center"/>
          </w:tcPr>
          <w:p w:rsidR="000A3DB3" w:rsidRPr="006807F6" w:rsidRDefault="000A3DB3" w:rsidP="002C7A18">
            <w:pPr>
              <w:pStyle w:val="naisf"/>
              <w:spacing w:before="0" w:beforeAutospacing="0" w:after="0" w:afterAutospacing="0"/>
              <w:jc w:val="center"/>
              <w:rPr>
                <w:b/>
                <w:i/>
                <w:sz w:val="26"/>
                <w:szCs w:val="26"/>
              </w:rPr>
            </w:pPr>
            <w:r w:rsidRPr="006807F6">
              <w:rPr>
                <w:b/>
                <w:bCs/>
                <w:sz w:val="26"/>
                <w:szCs w:val="26"/>
              </w:rPr>
              <w:t>2015</w:t>
            </w:r>
          </w:p>
        </w:tc>
        <w:tc>
          <w:tcPr>
            <w:tcW w:w="1195" w:type="dxa"/>
            <w:vAlign w:val="center"/>
          </w:tcPr>
          <w:p w:rsidR="000A3DB3" w:rsidRPr="006807F6" w:rsidRDefault="000A3DB3" w:rsidP="002C7A18">
            <w:pPr>
              <w:pStyle w:val="naisf"/>
              <w:spacing w:before="0" w:beforeAutospacing="0" w:after="0" w:afterAutospacing="0"/>
              <w:jc w:val="center"/>
              <w:rPr>
                <w:b/>
                <w:i/>
                <w:sz w:val="26"/>
                <w:szCs w:val="26"/>
              </w:rPr>
            </w:pPr>
            <w:r w:rsidRPr="006807F6">
              <w:rPr>
                <w:b/>
                <w:bCs/>
                <w:sz w:val="26"/>
                <w:szCs w:val="26"/>
              </w:rPr>
              <w:t>2016</w:t>
            </w:r>
          </w:p>
        </w:tc>
        <w:tc>
          <w:tcPr>
            <w:tcW w:w="1150" w:type="dxa"/>
            <w:vAlign w:val="center"/>
          </w:tcPr>
          <w:p w:rsidR="000A3DB3" w:rsidRPr="006807F6" w:rsidRDefault="000A3DB3" w:rsidP="002C7A18">
            <w:pPr>
              <w:pStyle w:val="naisf"/>
              <w:spacing w:before="0" w:beforeAutospacing="0" w:after="0" w:afterAutospacing="0"/>
              <w:jc w:val="center"/>
              <w:rPr>
                <w:b/>
                <w:i/>
                <w:sz w:val="26"/>
                <w:szCs w:val="26"/>
              </w:rPr>
            </w:pPr>
            <w:r w:rsidRPr="006807F6">
              <w:rPr>
                <w:b/>
                <w:bCs/>
                <w:sz w:val="26"/>
                <w:szCs w:val="26"/>
              </w:rPr>
              <w:t>2017</w:t>
            </w:r>
          </w:p>
        </w:tc>
      </w:tr>
      <w:tr w:rsidR="000A3DB3" w:rsidRPr="006807F6" w:rsidTr="00A87976">
        <w:trPr>
          <w:jc w:val="center"/>
        </w:trPr>
        <w:tc>
          <w:tcPr>
            <w:tcW w:w="3199" w:type="dxa"/>
            <w:vMerge/>
            <w:vAlign w:val="center"/>
          </w:tcPr>
          <w:p w:rsidR="000A3DB3" w:rsidRPr="006807F6" w:rsidRDefault="000A3DB3" w:rsidP="002C7A18">
            <w:pPr>
              <w:pStyle w:val="naisf"/>
              <w:spacing w:before="0" w:beforeAutospacing="0" w:after="0" w:afterAutospacing="0"/>
              <w:jc w:val="center"/>
              <w:rPr>
                <w:b/>
                <w:i/>
                <w:sz w:val="26"/>
                <w:szCs w:val="26"/>
              </w:rPr>
            </w:pPr>
          </w:p>
        </w:tc>
        <w:tc>
          <w:tcPr>
            <w:tcW w:w="1276" w:type="dxa"/>
            <w:vAlign w:val="center"/>
          </w:tcPr>
          <w:p w:rsidR="000A3DB3" w:rsidRPr="006807F6" w:rsidRDefault="000A3DB3" w:rsidP="002C7A18">
            <w:pPr>
              <w:pStyle w:val="naisf"/>
              <w:spacing w:before="0" w:beforeAutospacing="0" w:after="0" w:afterAutospacing="0"/>
              <w:jc w:val="center"/>
              <w:rPr>
                <w:b/>
                <w:i/>
                <w:sz w:val="26"/>
                <w:szCs w:val="26"/>
              </w:rPr>
            </w:pPr>
            <w:r w:rsidRPr="006807F6">
              <w:rPr>
                <w:sz w:val="26"/>
                <w:szCs w:val="26"/>
              </w:rPr>
              <w:t>saskaņā ar valsts budžetu kārtējam gadam</w:t>
            </w:r>
          </w:p>
        </w:tc>
        <w:tc>
          <w:tcPr>
            <w:tcW w:w="1287" w:type="dxa"/>
            <w:vAlign w:val="center"/>
          </w:tcPr>
          <w:p w:rsidR="000A3DB3" w:rsidRPr="006807F6" w:rsidRDefault="000A3DB3" w:rsidP="002C7A18">
            <w:pPr>
              <w:pStyle w:val="naisf"/>
              <w:spacing w:before="0" w:beforeAutospacing="0" w:after="0" w:afterAutospacing="0"/>
              <w:jc w:val="center"/>
              <w:rPr>
                <w:b/>
                <w:i/>
                <w:sz w:val="26"/>
                <w:szCs w:val="26"/>
              </w:rPr>
            </w:pPr>
            <w:r w:rsidRPr="006807F6">
              <w:rPr>
                <w:sz w:val="26"/>
                <w:szCs w:val="26"/>
              </w:rPr>
              <w:t>izmaiņas kārtējā gadā, salīdzinot ar budžetu kārtējam gadam</w:t>
            </w:r>
          </w:p>
        </w:tc>
        <w:tc>
          <w:tcPr>
            <w:tcW w:w="1150" w:type="dxa"/>
            <w:vAlign w:val="center"/>
          </w:tcPr>
          <w:p w:rsidR="000A3DB3" w:rsidRPr="006807F6" w:rsidRDefault="000A3DB3" w:rsidP="002C7A18">
            <w:pPr>
              <w:pStyle w:val="naisf"/>
              <w:spacing w:before="0" w:beforeAutospacing="0" w:after="0" w:afterAutospacing="0"/>
              <w:jc w:val="center"/>
              <w:rPr>
                <w:b/>
                <w:i/>
                <w:sz w:val="26"/>
                <w:szCs w:val="26"/>
              </w:rPr>
            </w:pPr>
            <w:r w:rsidRPr="006807F6">
              <w:rPr>
                <w:sz w:val="26"/>
                <w:szCs w:val="26"/>
              </w:rPr>
              <w:t>izmaiņas, salīdzinot ar kārtējo (n) gadu</w:t>
            </w:r>
          </w:p>
        </w:tc>
        <w:tc>
          <w:tcPr>
            <w:tcW w:w="1195" w:type="dxa"/>
            <w:vAlign w:val="center"/>
          </w:tcPr>
          <w:p w:rsidR="000A3DB3" w:rsidRPr="006807F6" w:rsidRDefault="000A3DB3" w:rsidP="002C7A18">
            <w:pPr>
              <w:pStyle w:val="naisf"/>
              <w:spacing w:before="0" w:beforeAutospacing="0" w:after="0" w:afterAutospacing="0"/>
              <w:jc w:val="center"/>
              <w:rPr>
                <w:b/>
                <w:i/>
                <w:sz w:val="26"/>
                <w:szCs w:val="26"/>
              </w:rPr>
            </w:pPr>
            <w:r w:rsidRPr="006807F6">
              <w:rPr>
                <w:sz w:val="26"/>
                <w:szCs w:val="26"/>
              </w:rPr>
              <w:t>izmaiņas, salīdzinot ar kārtējo (n) gadu</w:t>
            </w:r>
          </w:p>
        </w:tc>
        <w:tc>
          <w:tcPr>
            <w:tcW w:w="1150" w:type="dxa"/>
            <w:vAlign w:val="center"/>
          </w:tcPr>
          <w:p w:rsidR="000A3DB3" w:rsidRPr="006807F6" w:rsidRDefault="000A3DB3" w:rsidP="002C7A18">
            <w:pPr>
              <w:pStyle w:val="naisf"/>
              <w:spacing w:before="0" w:beforeAutospacing="0" w:after="0" w:afterAutospacing="0"/>
              <w:jc w:val="center"/>
              <w:rPr>
                <w:b/>
                <w:i/>
                <w:sz w:val="26"/>
                <w:szCs w:val="26"/>
              </w:rPr>
            </w:pPr>
            <w:r w:rsidRPr="006807F6">
              <w:rPr>
                <w:sz w:val="26"/>
                <w:szCs w:val="26"/>
              </w:rPr>
              <w:t>izmaiņas, salīdzinot ar kārtējo (n) gadu</w:t>
            </w:r>
          </w:p>
        </w:tc>
      </w:tr>
      <w:tr w:rsidR="000A3DB3" w:rsidRPr="006807F6" w:rsidTr="00A87976">
        <w:trPr>
          <w:jc w:val="center"/>
        </w:trPr>
        <w:tc>
          <w:tcPr>
            <w:tcW w:w="3199" w:type="dxa"/>
            <w:vAlign w:val="center"/>
          </w:tcPr>
          <w:p w:rsidR="000A3DB3" w:rsidRPr="006807F6" w:rsidRDefault="000A3DB3" w:rsidP="002C7A18">
            <w:pPr>
              <w:pStyle w:val="naisf"/>
              <w:spacing w:before="0" w:beforeAutospacing="0" w:after="0" w:afterAutospacing="0"/>
              <w:jc w:val="center"/>
              <w:rPr>
                <w:bCs/>
                <w:sz w:val="26"/>
                <w:szCs w:val="26"/>
              </w:rPr>
            </w:pPr>
            <w:r w:rsidRPr="006807F6">
              <w:rPr>
                <w:bCs/>
                <w:sz w:val="26"/>
                <w:szCs w:val="26"/>
              </w:rPr>
              <w:t>1</w:t>
            </w:r>
          </w:p>
        </w:tc>
        <w:tc>
          <w:tcPr>
            <w:tcW w:w="1276" w:type="dxa"/>
            <w:vAlign w:val="center"/>
          </w:tcPr>
          <w:p w:rsidR="000A3DB3" w:rsidRPr="006807F6" w:rsidRDefault="000A3DB3" w:rsidP="002C7A18">
            <w:pPr>
              <w:pStyle w:val="naisf"/>
              <w:spacing w:before="0" w:beforeAutospacing="0" w:after="0" w:afterAutospacing="0"/>
              <w:jc w:val="center"/>
              <w:rPr>
                <w:bCs/>
                <w:sz w:val="26"/>
                <w:szCs w:val="26"/>
              </w:rPr>
            </w:pPr>
            <w:r w:rsidRPr="006807F6">
              <w:rPr>
                <w:bCs/>
                <w:sz w:val="26"/>
                <w:szCs w:val="26"/>
              </w:rPr>
              <w:t>2</w:t>
            </w:r>
          </w:p>
        </w:tc>
        <w:tc>
          <w:tcPr>
            <w:tcW w:w="1287" w:type="dxa"/>
            <w:vAlign w:val="center"/>
          </w:tcPr>
          <w:p w:rsidR="000A3DB3" w:rsidRPr="006807F6" w:rsidRDefault="000A3DB3" w:rsidP="002C7A18">
            <w:pPr>
              <w:pStyle w:val="naisf"/>
              <w:spacing w:before="0" w:beforeAutospacing="0" w:after="0" w:afterAutospacing="0"/>
              <w:jc w:val="center"/>
              <w:rPr>
                <w:bCs/>
                <w:sz w:val="26"/>
                <w:szCs w:val="26"/>
              </w:rPr>
            </w:pPr>
            <w:r w:rsidRPr="006807F6">
              <w:rPr>
                <w:bCs/>
                <w:sz w:val="26"/>
                <w:szCs w:val="26"/>
              </w:rPr>
              <w:t>3</w:t>
            </w:r>
          </w:p>
        </w:tc>
        <w:tc>
          <w:tcPr>
            <w:tcW w:w="1150" w:type="dxa"/>
            <w:vAlign w:val="center"/>
          </w:tcPr>
          <w:p w:rsidR="000A3DB3" w:rsidRPr="006807F6" w:rsidRDefault="000A3DB3" w:rsidP="002C7A18">
            <w:pPr>
              <w:pStyle w:val="naisf"/>
              <w:spacing w:before="0" w:beforeAutospacing="0" w:after="0" w:afterAutospacing="0"/>
              <w:jc w:val="center"/>
              <w:rPr>
                <w:bCs/>
                <w:sz w:val="26"/>
                <w:szCs w:val="26"/>
              </w:rPr>
            </w:pPr>
            <w:r w:rsidRPr="006807F6">
              <w:rPr>
                <w:bCs/>
                <w:sz w:val="26"/>
                <w:szCs w:val="26"/>
              </w:rPr>
              <w:t>4</w:t>
            </w:r>
          </w:p>
        </w:tc>
        <w:tc>
          <w:tcPr>
            <w:tcW w:w="1195" w:type="dxa"/>
            <w:vAlign w:val="center"/>
          </w:tcPr>
          <w:p w:rsidR="000A3DB3" w:rsidRPr="006807F6" w:rsidRDefault="000A3DB3" w:rsidP="002C7A18">
            <w:pPr>
              <w:pStyle w:val="naisf"/>
              <w:spacing w:before="0" w:beforeAutospacing="0" w:after="0" w:afterAutospacing="0"/>
              <w:jc w:val="center"/>
              <w:rPr>
                <w:bCs/>
                <w:sz w:val="26"/>
                <w:szCs w:val="26"/>
              </w:rPr>
            </w:pPr>
            <w:r w:rsidRPr="006807F6">
              <w:rPr>
                <w:bCs/>
                <w:sz w:val="26"/>
                <w:szCs w:val="26"/>
              </w:rPr>
              <w:t>5</w:t>
            </w:r>
          </w:p>
        </w:tc>
        <w:tc>
          <w:tcPr>
            <w:tcW w:w="1150" w:type="dxa"/>
            <w:vAlign w:val="center"/>
          </w:tcPr>
          <w:p w:rsidR="000A3DB3" w:rsidRPr="006807F6" w:rsidRDefault="000A3DB3" w:rsidP="002C7A18">
            <w:pPr>
              <w:pStyle w:val="naisf"/>
              <w:spacing w:before="0" w:beforeAutospacing="0" w:after="0" w:afterAutospacing="0"/>
              <w:jc w:val="center"/>
              <w:rPr>
                <w:bCs/>
                <w:sz w:val="26"/>
                <w:szCs w:val="26"/>
              </w:rPr>
            </w:pPr>
            <w:r w:rsidRPr="006807F6">
              <w:rPr>
                <w:bCs/>
                <w:sz w:val="26"/>
                <w:szCs w:val="26"/>
              </w:rPr>
              <w:t>6</w:t>
            </w:r>
          </w:p>
        </w:tc>
      </w:tr>
      <w:tr w:rsidR="000A3DB3" w:rsidRPr="006807F6" w:rsidTr="00A87976">
        <w:trPr>
          <w:jc w:val="center"/>
        </w:trPr>
        <w:tc>
          <w:tcPr>
            <w:tcW w:w="3199" w:type="dxa"/>
          </w:tcPr>
          <w:p w:rsidR="000A3DB3" w:rsidRPr="006807F6" w:rsidRDefault="000A3DB3" w:rsidP="002C7A18">
            <w:pPr>
              <w:pStyle w:val="naisf"/>
              <w:spacing w:before="0" w:beforeAutospacing="0" w:after="0" w:afterAutospacing="0"/>
              <w:rPr>
                <w:i/>
                <w:sz w:val="26"/>
                <w:szCs w:val="26"/>
              </w:rPr>
            </w:pPr>
            <w:r w:rsidRPr="006807F6">
              <w:rPr>
                <w:sz w:val="26"/>
                <w:szCs w:val="26"/>
              </w:rPr>
              <w:t>1. Budžeta ieņēmumi:</w:t>
            </w:r>
          </w:p>
        </w:tc>
        <w:tc>
          <w:tcPr>
            <w:tcW w:w="1276" w:type="dxa"/>
          </w:tcPr>
          <w:p w:rsidR="000A3DB3" w:rsidRPr="006807F6" w:rsidRDefault="000A3DB3" w:rsidP="002C7A18">
            <w:pPr>
              <w:pStyle w:val="naisf"/>
              <w:spacing w:before="0" w:beforeAutospacing="0" w:after="0" w:afterAutospacing="0"/>
              <w:jc w:val="center"/>
              <w:rPr>
                <w:sz w:val="26"/>
                <w:szCs w:val="26"/>
              </w:rPr>
            </w:pPr>
          </w:p>
        </w:tc>
        <w:tc>
          <w:tcPr>
            <w:tcW w:w="1287"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95"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r>
      <w:tr w:rsidR="000A3DB3" w:rsidRPr="006807F6" w:rsidTr="00A87976">
        <w:trPr>
          <w:jc w:val="center"/>
        </w:trPr>
        <w:tc>
          <w:tcPr>
            <w:tcW w:w="3199" w:type="dxa"/>
          </w:tcPr>
          <w:p w:rsidR="000A3DB3" w:rsidRPr="006807F6" w:rsidRDefault="000A3DB3" w:rsidP="002C7A18">
            <w:pPr>
              <w:pStyle w:val="naisf"/>
              <w:spacing w:before="0" w:beforeAutospacing="0" w:after="0" w:afterAutospacing="0"/>
              <w:rPr>
                <w:i/>
                <w:sz w:val="26"/>
                <w:szCs w:val="26"/>
              </w:rPr>
            </w:pPr>
            <w:r w:rsidRPr="006807F6">
              <w:rPr>
                <w:sz w:val="26"/>
                <w:szCs w:val="26"/>
              </w:rPr>
              <w:t>1.1. valsts pamatbudžets, tai skaitā ieņēmumi no maksas pakalpojumiem un citi pašu ieņēmumi</w:t>
            </w:r>
          </w:p>
        </w:tc>
        <w:tc>
          <w:tcPr>
            <w:tcW w:w="1276" w:type="dxa"/>
          </w:tcPr>
          <w:p w:rsidR="000A3DB3" w:rsidRPr="006807F6" w:rsidRDefault="000A3DB3" w:rsidP="002C7A18">
            <w:pPr>
              <w:pStyle w:val="naisf"/>
              <w:spacing w:before="0" w:beforeAutospacing="0" w:after="0" w:afterAutospacing="0"/>
              <w:jc w:val="center"/>
              <w:rPr>
                <w:sz w:val="26"/>
                <w:szCs w:val="26"/>
              </w:rPr>
            </w:pPr>
          </w:p>
        </w:tc>
        <w:tc>
          <w:tcPr>
            <w:tcW w:w="1287"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95"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r>
      <w:tr w:rsidR="000A3DB3" w:rsidRPr="006807F6" w:rsidTr="00A87976">
        <w:trPr>
          <w:jc w:val="center"/>
        </w:trPr>
        <w:tc>
          <w:tcPr>
            <w:tcW w:w="3199" w:type="dxa"/>
          </w:tcPr>
          <w:p w:rsidR="000A3DB3" w:rsidRPr="006807F6" w:rsidRDefault="000A3DB3" w:rsidP="002C7A18">
            <w:pPr>
              <w:pStyle w:val="naisf"/>
              <w:spacing w:before="0" w:beforeAutospacing="0" w:after="0" w:afterAutospacing="0"/>
              <w:rPr>
                <w:i/>
                <w:sz w:val="26"/>
                <w:szCs w:val="26"/>
              </w:rPr>
            </w:pPr>
            <w:r w:rsidRPr="006807F6">
              <w:rPr>
                <w:sz w:val="26"/>
                <w:szCs w:val="26"/>
              </w:rPr>
              <w:t>1.2. valsts speciālais budžets</w:t>
            </w:r>
          </w:p>
        </w:tc>
        <w:tc>
          <w:tcPr>
            <w:tcW w:w="1276"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287"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95"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r>
      <w:tr w:rsidR="000A3DB3" w:rsidRPr="006807F6" w:rsidTr="00A87976">
        <w:trPr>
          <w:jc w:val="center"/>
        </w:trPr>
        <w:tc>
          <w:tcPr>
            <w:tcW w:w="3199" w:type="dxa"/>
          </w:tcPr>
          <w:p w:rsidR="000A3DB3" w:rsidRPr="006807F6" w:rsidRDefault="000A3DB3" w:rsidP="002C7A18">
            <w:pPr>
              <w:pStyle w:val="naisf"/>
              <w:spacing w:before="0" w:beforeAutospacing="0" w:after="0" w:afterAutospacing="0"/>
              <w:rPr>
                <w:i/>
                <w:sz w:val="26"/>
                <w:szCs w:val="26"/>
              </w:rPr>
            </w:pPr>
            <w:r w:rsidRPr="006807F6">
              <w:rPr>
                <w:sz w:val="26"/>
                <w:szCs w:val="26"/>
              </w:rPr>
              <w:t>1.3. pašvaldību budžets</w:t>
            </w:r>
          </w:p>
        </w:tc>
        <w:tc>
          <w:tcPr>
            <w:tcW w:w="1276"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287"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95"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r>
      <w:tr w:rsidR="000A3DB3" w:rsidRPr="006807F6" w:rsidTr="00A87976">
        <w:trPr>
          <w:jc w:val="center"/>
        </w:trPr>
        <w:tc>
          <w:tcPr>
            <w:tcW w:w="3199" w:type="dxa"/>
          </w:tcPr>
          <w:p w:rsidR="000A3DB3" w:rsidRPr="006807F6" w:rsidRDefault="000A3DB3"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t>2. Budžeta izdevumi:</w:t>
            </w:r>
          </w:p>
        </w:tc>
        <w:tc>
          <w:tcPr>
            <w:tcW w:w="1276" w:type="dxa"/>
          </w:tcPr>
          <w:p w:rsidR="000A3DB3" w:rsidRPr="006807F6" w:rsidRDefault="000A3DB3" w:rsidP="002C7A18">
            <w:pPr>
              <w:pStyle w:val="naisf"/>
              <w:spacing w:before="0" w:beforeAutospacing="0" w:after="0" w:afterAutospacing="0"/>
              <w:jc w:val="center"/>
              <w:rPr>
                <w:sz w:val="26"/>
                <w:szCs w:val="26"/>
              </w:rPr>
            </w:pPr>
          </w:p>
        </w:tc>
        <w:tc>
          <w:tcPr>
            <w:tcW w:w="1287" w:type="dxa"/>
          </w:tcPr>
          <w:p w:rsidR="000A3DB3" w:rsidRPr="006807F6" w:rsidRDefault="00680841" w:rsidP="002C7A18">
            <w:pPr>
              <w:pStyle w:val="naisf"/>
              <w:spacing w:before="0" w:beforeAutospacing="0" w:after="0" w:afterAutospacing="0"/>
              <w:jc w:val="center"/>
              <w:rPr>
                <w:sz w:val="26"/>
                <w:szCs w:val="26"/>
              </w:rPr>
            </w:pPr>
            <w:r w:rsidRPr="006807F6">
              <w:rPr>
                <w:sz w:val="26"/>
                <w:szCs w:val="26"/>
              </w:rPr>
              <w:t>78 330</w:t>
            </w:r>
          </w:p>
        </w:tc>
        <w:tc>
          <w:tcPr>
            <w:tcW w:w="1150" w:type="dxa"/>
          </w:tcPr>
          <w:p w:rsidR="000A3DB3" w:rsidRPr="006807F6" w:rsidRDefault="000A3DB3" w:rsidP="002C7A18">
            <w:pPr>
              <w:pStyle w:val="naisf"/>
              <w:spacing w:before="0" w:beforeAutospacing="0" w:after="0" w:afterAutospacing="0"/>
              <w:jc w:val="center"/>
              <w:rPr>
                <w:sz w:val="26"/>
                <w:szCs w:val="26"/>
              </w:rPr>
            </w:pPr>
          </w:p>
        </w:tc>
        <w:tc>
          <w:tcPr>
            <w:tcW w:w="1195" w:type="dxa"/>
          </w:tcPr>
          <w:p w:rsidR="000A3DB3" w:rsidRPr="006807F6" w:rsidRDefault="000A3DB3" w:rsidP="002C7A18">
            <w:pPr>
              <w:pStyle w:val="naisf"/>
              <w:spacing w:before="0" w:beforeAutospacing="0" w:after="0" w:afterAutospacing="0"/>
              <w:jc w:val="center"/>
              <w:rPr>
                <w:sz w:val="26"/>
                <w:szCs w:val="26"/>
              </w:rPr>
            </w:pPr>
          </w:p>
        </w:tc>
        <w:tc>
          <w:tcPr>
            <w:tcW w:w="1150" w:type="dxa"/>
          </w:tcPr>
          <w:p w:rsidR="000A3DB3" w:rsidRPr="006807F6" w:rsidRDefault="000A3DB3" w:rsidP="002C7A18">
            <w:pPr>
              <w:pStyle w:val="naisf"/>
              <w:spacing w:before="0" w:beforeAutospacing="0" w:after="0" w:afterAutospacing="0"/>
              <w:jc w:val="center"/>
              <w:rPr>
                <w:sz w:val="26"/>
                <w:szCs w:val="26"/>
              </w:rPr>
            </w:pPr>
          </w:p>
        </w:tc>
      </w:tr>
      <w:tr w:rsidR="000A3DB3" w:rsidRPr="006807F6" w:rsidTr="00A87976">
        <w:trPr>
          <w:jc w:val="center"/>
        </w:trPr>
        <w:tc>
          <w:tcPr>
            <w:tcW w:w="3199" w:type="dxa"/>
          </w:tcPr>
          <w:p w:rsidR="000A3DB3" w:rsidRPr="006807F6" w:rsidRDefault="000A3DB3"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t>2.1. valsts pamatbudžets</w:t>
            </w:r>
          </w:p>
        </w:tc>
        <w:tc>
          <w:tcPr>
            <w:tcW w:w="1276" w:type="dxa"/>
          </w:tcPr>
          <w:p w:rsidR="000A3DB3" w:rsidRPr="006807F6" w:rsidRDefault="000A3DB3" w:rsidP="002C7A18">
            <w:pPr>
              <w:pStyle w:val="naisf"/>
              <w:spacing w:before="0" w:beforeAutospacing="0" w:after="0" w:afterAutospacing="0"/>
              <w:jc w:val="center"/>
              <w:rPr>
                <w:sz w:val="26"/>
                <w:szCs w:val="26"/>
              </w:rPr>
            </w:pPr>
          </w:p>
        </w:tc>
        <w:tc>
          <w:tcPr>
            <w:tcW w:w="1287" w:type="dxa"/>
          </w:tcPr>
          <w:p w:rsidR="000A3DB3" w:rsidRPr="006807F6" w:rsidRDefault="00680841" w:rsidP="002C7A18">
            <w:pPr>
              <w:pStyle w:val="naisf"/>
              <w:spacing w:before="0" w:beforeAutospacing="0" w:after="0" w:afterAutospacing="0"/>
              <w:jc w:val="center"/>
              <w:rPr>
                <w:sz w:val="26"/>
                <w:szCs w:val="26"/>
              </w:rPr>
            </w:pPr>
            <w:r w:rsidRPr="006807F6">
              <w:rPr>
                <w:sz w:val="26"/>
                <w:szCs w:val="26"/>
              </w:rPr>
              <w:t>78 330</w:t>
            </w:r>
          </w:p>
        </w:tc>
        <w:tc>
          <w:tcPr>
            <w:tcW w:w="1150" w:type="dxa"/>
          </w:tcPr>
          <w:p w:rsidR="000A3DB3" w:rsidRPr="006807F6" w:rsidRDefault="000A3DB3" w:rsidP="002C7A18">
            <w:pPr>
              <w:pStyle w:val="naisf"/>
              <w:spacing w:before="0" w:beforeAutospacing="0" w:after="0" w:afterAutospacing="0"/>
              <w:jc w:val="center"/>
              <w:rPr>
                <w:sz w:val="26"/>
                <w:szCs w:val="26"/>
              </w:rPr>
            </w:pPr>
          </w:p>
        </w:tc>
        <w:tc>
          <w:tcPr>
            <w:tcW w:w="1195" w:type="dxa"/>
          </w:tcPr>
          <w:p w:rsidR="000A3DB3" w:rsidRPr="006807F6" w:rsidRDefault="000A3DB3" w:rsidP="002C7A18">
            <w:pPr>
              <w:pStyle w:val="naisf"/>
              <w:spacing w:before="0" w:beforeAutospacing="0" w:after="0" w:afterAutospacing="0"/>
              <w:jc w:val="center"/>
              <w:rPr>
                <w:sz w:val="26"/>
                <w:szCs w:val="26"/>
              </w:rPr>
            </w:pPr>
          </w:p>
        </w:tc>
        <w:tc>
          <w:tcPr>
            <w:tcW w:w="1150" w:type="dxa"/>
          </w:tcPr>
          <w:p w:rsidR="000A3DB3" w:rsidRPr="006807F6" w:rsidRDefault="000A3DB3" w:rsidP="002C7A18">
            <w:pPr>
              <w:pStyle w:val="naisf"/>
              <w:spacing w:before="0" w:beforeAutospacing="0" w:after="0" w:afterAutospacing="0"/>
              <w:jc w:val="center"/>
              <w:rPr>
                <w:sz w:val="26"/>
                <w:szCs w:val="26"/>
              </w:rPr>
            </w:pPr>
          </w:p>
        </w:tc>
      </w:tr>
      <w:tr w:rsidR="000A3DB3" w:rsidRPr="006807F6" w:rsidTr="00A87976">
        <w:trPr>
          <w:jc w:val="center"/>
        </w:trPr>
        <w:tc>
          <w:tcPr>
            <w:tcW w:w="3199" w:type="dxa"/>
          </w:tcPr>
          <w:p w:rsidR="000A3DB3" w:rsidRPr="006807F6" w:rsidRDefault="000A3DB3"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t>2.2. valsts speciālais budžets</w:t>
            </w:r>
          </w:p>
        </w:tc>
        <w:tc>
          <w:tcPr>
            <w:tcW w:w="1276"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287"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95"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r>
      <w:tr w:rsidR="000A3DB3" w:rsidRPr="006807F6" w:rsidTr="00A87976">
        <w:trPr>
          <w:jc w:val="center"/>
        </w:trPr>
        <w:tc>
          <w:tcPr>
            <w:tcW w:w="3199" w:type="dxa"/>
          </w:tcPr>
          <w:p w:rsidR="000A3DB3" w:rsidRPr="006807F6" w:rsidRDefault="000A3DB3"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t xml:space="preserve">2.3. pašvaldību budžets </w:t>
            </w:r>
          </w:p>
        </w:tc>
        <w:tc>
          <w:tcPr>
            <w:tcW w:w="1276"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287"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95"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r>
      <w:tr w:rsidR="000A3DB3" w:rsidRPr="006807F6" w:rsidTr="00A87976">
        <w:trPr>
          <w:jc w:val="center"/>
        </w:trPr>
        <w:tc>
          <w:tcPr>
            <w:tcW w:w="3199" w:type="dxa"/>
          </w:tcPr>
          <w:p w:rsidR="000A3DB3" w:rsidRPr="006807F6" w:rsidRDefault="000A3DB3"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t>3. Finansiālā ietekme:</w:t>
            </w:r>
          </w:p>
        </w:tc>
        <w:tc>
          <w:tcPr>
            <w:tcW w:w="1276" w:type="dxa"/>
            <w:shd w:val="clear" w:color="auto" w:fill="auto"/>
            <w:vAlign w:val="center"/>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287" w:type="dxa"/>
          </w:tcPr>
          <w:p w:rsidR="000A3DB3" w:rsidRPr="006807F6" w:rsidRDefault="000A3DB3" w:rsidP="00680841">
            <w:pPr>
              <w:pStyle w:val="naisf"/>
              <w:spacing w:before="0" w:beforeAutospacing="0" w:after="0" w:afterAutospacing="0"/>
              <w:jc w:val="center"/>
              <w:rPr>
                <w:sz w:val="26"/>
                <w:szCs w:val="26"/>
              </w:rPr>
            </w:pPr>
            <w:r w:rsidRPr="006807F6">
              <w:rPr>
                <w:sz w:val="26"/>
                <w:szCs w:val="26"/>
              </w:rPr>
              <w:t>-</w:t>
            </w:r>
            <w:r w:rsidR="00680841" w:rsidRPr="006807F6">
              <w:rPr>
                <w:sz w:val="26"/>
                <w:szCs w:val="26"/>
              </w:rPr>
              <w:t>78 330</w:t>
            </w:r>
          </w:p>
        </w:tc>
        <w:tc>
          <w:tcPr>
            <w:tcW w:w="1150" w:type="dxa"/>
          </w:tcPr>
          <w:p w:rsidR="000A3DB3" w:rsidRPr="006807F6" w:rsidRDefault="000A3DB3" w:rsidP="002C7A18">
            <w:pPr>
              <w:spacing w:after="0" w:line="240" w:lineRule="auto"/>
              <w:rPr>
                <w:rFonts w:ascii="Times New Roman" w:hAnsi="Times New Roman" w:cs="Times New Roman"/>
                <w:sz w:val="26"/>
                <w:szCs w:val="26"/>
              </w:rPr>
            </w:pPr>
          </w:p>
        </w:tc>
        <w:tc>
          <w:tcPr>
            <w:tcW w:w="1195" w:type="dxa"/>
          </w:tcPr>
          <w:p w:rsidR="000A3DB3" w:rsidRPr="006807F6" w:rsidRDefault="000A3DB3" w:rsidP="002C7A18">
            <w:pPr>
              <w:spacing w:after="0" w:line="240" w:lineRule="auto"/>
              <w:rPr>
                <w:rFonts w:ascii="Times New Roman" w:hAnsi="Times New Roman" w:cs="Times New Roman"/>
                <w:sz w:val="26"/>
                <w:szCs w:val="26"/>
              </w:rPr>
            </w:pPr>
          </w:p>
        </w:tc>
        <w:tc>
          <w:tcPr>
            <w:tcW w:w="1150" w:type="dxa"/>
          </w:tcPr>
          <w:p w:rsidR="000A3DB3" w:rsidRPr="006807F6" w:rsidRDefault="000A3DB3" w:rsidP="002C7A18">
            <w:pPr>
              <w:spacing w:after="0" w:line="240" w:lineRule="auto"/>
              <w:rPr>
                <w:rFonts w:ascii="Times New Roman" w:hAnsi="Times New Roman" w:cs="Times New Roman"/>
                <w:sz w:val="26"/>
                <w:szCs w:val="26"/>
              </w:rPr>
            </w:pPr>
          </w:p>
        </w:tc>
      </w:tr>
      <w:tr w:rsidR="000A3DB3" w:rsidRPr="006807F6" w:rsidTr="00A87976">
        <w:trPr>
          <w:jc w:val="center"/>
        </w:trPr>
        <w:tc>
          <w:tcPr>
            <w:tcW w:w="3199" w:type="dxa"/>
          </w:tcPr>
          <w:p w:rsidR="000A3DB3" w:rsidRPr="006807F6" w:rsidRDefault="000A3DB3"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t>3.1. valsts pamatbudžets</w:t>
            </w:r>
          </w:p>
        </w:tc>
        <w:tc>
          <w:tcPr>
            <w:tcW w:w="1276" w:type="dxa"/>
            <w:shd w:val="clear" w:color="auto" w:fill="auto"/>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287" w:type="dxa"/>
          </w:tcPr>
          <w:p w:rsidR="000A3DB3" w:rsidRPr="006807F6" w:rsidRDefault="000A3DB3" w:rsidP="00680841">
            <w:pPr>
              <w:pStyle w:val="naisf"/>
              <w:spacing w:before="0" w:beforeAutospacing="0" w:after="0" w:afterAutospacing="0"/>
              <w:jc w:val="center"/>
              <w:rPr>
                <w:sz w:val="26"/>
                <w:szCs w:val="26"/>
              </w:rPr>
            </w:pPr>
            <w:r w:rsidRPr="006807F6">
              <w:rPr>
                <w:sz w:val="26"/>
                <w:szCs w:val="26"/>
              </w:rPr>
              <w:t>-</w:t>
            </w:r>
            <w:r w:rsidR="00680841" w:rsidRPr="006807F6">
              <w:rPr>
                <w:sz w:val="26"/>
                <w:szCs w:val="26"/>
              </w:rPr>
              <w:t>78 330</w:t>
            </w:r>
          </w:p>
        </w:tc>
        <w:tc>
          <w:tcPr>
            <w:tcW w:w="1150" w:type="dxa"/>
          </w:tcPr>
          <w:p w:rsidR="000A3DB3" w:rsidRPr="006807F6" w:rsidRDefault="000A3DB3" w:rsidP="002C7A18">
            <w:pPr>
              <w:spacing w:after="0" w:line="240" w:lineRule="auto"/>
              <w:rPr>
                <w:rFonts w:ascii="Times New Roman" w:hAnsi="Times New Roman" w:cs="Times New Roman"/>
                <w:sz w:val="26"/>
                <w:szCs w:val="26"/>
              </w:rPr>
            </w:pPr>
          </w:p>
        </w:tc>
        <w:tc>
          <w:tcPr>
            <w:tcW w:w="1195" w:type="dxa"/>
          </w:tcPr>
          <w:p w:rsidR="000A3DB3" w:rsidRPr="006807F6" w:rsidRDefault="000A3DB3" w:rsidP="002C7A18">
            <w:pPr>
              <w:spacing w:after="0" w:line="240" w:lineRule="auto"/>
              <w:rPr>
                <w:rFonts w:ascii="Times New Roman" w:hAnsi="Times New Roman" w:cs="Times New Roman"/>
                <w:sz w:val="26"/>
                <w:szCs w:val="26"/>
              </w:rPr>
            </w:pPr>
          </w:p>
        </w:tc>
        <w:tc>
          <w:tcPr>
            <w:tcW w:w="1150" w:type="dxa"/>
          </w:tcPr>
          <w:p w:rsidR="000A3DB3" w:rsidRPr="006807F6" w:rsidRDefault="000A3DB3" w:rsidP="002C7A18">
            <w:pPr>
              <w:spacing w:after="0" w:line="240" w:lineRule="auto"/>
              <w:rPr>
                <w:rFonts w:ascii="Times New Roman" w:hAnsi="Times New Roman" w:cs="Times New Roman"/>
                <w:sz w:val="26"/>
                <w:szCs w:val="26"/>
              </w:rPr>
            </w:pPr>
          </w:p>
        </w:tc>
      </w:tr>
      <w:tr w:rsidR="000A3DB3" w:rsidRPr="006807F6" w:rsidTr="00A87976">
        <w:trPr>
          <w:jc w:val="center"/>
        </w:trPr>
        <w:tc>
          <w:tcPr>
            <w:tcW w:w="3199" w:type="dxa"/>
          </w:tcPr>
          <w:p w:rsidR="000A3DB3" w:rsidRPr="006807F6" w:rsidRDefault="000A3DB3"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t>3.2. speciālais budžets</w:t>
            </w:r>
          </w:p>
        </w:tc>
        <w:tc>
          <w:tcPr>
            <w:tcW w:w="1276" w:type="dxa"/>
            <w:shd w:val="clear" w:color="auto" w:fill="auto"/>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287"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95"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r>
      <w:tr w:rsidR="000A3DB3" w:rsidRPr="006807F6" w:rsidTr="00A87976">
        <w:trPr>
          <w:jc w:val="center"/>
        </w:trPr>
        <w:tc>
          <w:tcPr>
            <w:tcW w:w="3199" w:type="dxa"/>
          </w:tcPr>
          <w:p w:rsidR="000A3DB3" w:rsidRPr="006807F6" w:rsidRDefault="000A3DB3"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t xml:space="preserve">3.3. pašvaldību budžets </w:t>
            </w:r>
          </w:p>
        </w:tc>
        <w:tc>
          <w:tcPr>
            <w:tcW w:w="1276" w:type="dxa"/>
            <w:shd w:val="clear" w:color="auto" w:fill="auto"/>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287"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95"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r>
      <w:tr w:rsidR="000A3DB3" w:rsidRPr="006807F6" w:rsidTr="00A87976">
        <w:trPr>
          <w:jc w:val="center"/>
        </w:trPr>
        <w:tc>
          <w:tcPr>
            <w:tcW w:w="3199" w:type="dxa"/>
            <w:vMerge w:val="restart"/>
          </w:tcPr>
          <w:p w:rsidR="000A3DB3" w:rsidRPr="006807F6" w:rsidRDefault="000A3DB3"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t>4. Finanšu līdzekļi papildu izdevumu finansēšanai (kompensējošu izdevumu samazinājumu norāda ar "+" zīmi)</w:t>
            </w:r>
          </w:p>
        </w:tc>
        <w:tc>
          <w:tcPr>
            <w:tcW w:w="1276" w:type="dxa"/>
            <w:vMerge w:val="restart"/>
          </w:tcPr>
          <w:p w:rsidR="000A3DB3" w:rsidRPr="006807F6" w:rsidRDefault="000A3DB3" w:rsidP="002C7A18">
            <w:pPr>
              <w:pStyle w:val="naisf"/>
              <w:spacing w:before="0" w:beforeAutospacing="0" w:after="0" w:afterAutospacing="0"/>
              <w:jc w:val="center"/>
              <w:rPr>
                <w:i/>
                <w:sz w:val="26"/>
                <w:szCs w:val="26"/>
              </w:rPr>
            </w:pPr>
            <w:r w:rsidRPr="006807F6">
              <w:rPr>
                <w:sz w:val="26"/>
                <w:szCs w:val="26"/>
              </w:rPr>
              <w:t>X</w:t>
            </w:r>
          </w:p>
        </w:tc>
        <w:tc>
          <w:tcPr>
            <w:tcW w:w="1287" w:type="dxa"/>
          </w:tcPr>
          <w:p w:rsidR="000A3DB3" w:rsidRPr="006807F6" w:rsidRDefault="000A3DB3" w:rsidP="002C7A18">
            <w:pPr>
              <w:pStyle w:val="naisf"/>
              <w:spacing w:before="0" w:beforeAutospacing="0" w:after="0" w:afterAutospacing="0"/>
              <w:jc w:val="center"/>
              <w:rPr>
                <w:sz w:val="26"/>
                <w:szCs w:val="26"/>
              </w:rPr>
            </w:pP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95"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r>
      <w:tr w:rsidR="000A3DB3" w:rsidRPr="006807F6" w:rsidTr="00A87976">
        <w:trPr>
          <w:jc w:val="center"/>
        </w:trPr>
        <w:tc>
          <w:tcPr>
            <w:tcW w:w="3199" w:type="dxa"/>
            <w:vMerge/>
          </w:tcPr>
          <w:p w:rsidR="000A3DB3" w:rsidRPr="006807F6" w:rsidRDefault="000A3DB3" w:rsidP="002C7A18">
            <w:pPr>
              <w:spacing w:after="0" w:line="240" w:lineRule="auto"/>
              <w:rPr>
                <w:rFonts w:ascii="Times New Roman" w:hAnsi="Times New Roman" w:cs="Times New Roman"/>
                <w:sz w:val="26"/>
                <w:szCs w:val="26"/>
              </w:rPr>
            </w:pPr>
          </w:p>
        </w:tc>
        <w:tc>
          <w:tcPr>
            <w:tcW w:w="1276" w:type="dxa"/>
            <w:vMerge/>
          </w:tcPr>
          <w:p w:rsidR="000A3DB3" w:rsidRPr="006807F6" w:rsidRDefault="000A3DB3" w:rsidP="002C7A18">
            <w:pPr>
              <w:pStyle w:val="naisf"/>
              <w:spacing w:before="0" w:beforeAutospacing="0" w:after="0" w:afterAutospacing="0"/>
              <w:jc w:val="center"/>
              <w:rPr>
                <w:i/>
                <w:sz w:val="26"/>
                <w:szCs w:val="26"/>
              </w:rPr>
            </w:pPr>
          </w:p>
        </w:tc>
        <w:tc>
          <w:tcPr>
            <w:tcW w:w="1287" w:type="dxa"/>
          </w:tcPr>
          <w:p w:rsidR="000A3DB3" w:rsidRPr="006807F6" w:rsidRDefault="000A3DB3" w:rsidP="002C7A18">
            <w:pPr>
              <w:pStyle w:val="naisf"/>
              <w:spacing w:before="0" w:beforeAutospacing="0" w:after="0" w:afterAutospacing="0"/>
              <w:jc w:val="center"/>
              <w:rPr>
                <w:sz w:val="26"/>
                <w:szCs w:val="26"/>
              </w:rPr>
            </w:pP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95"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r>
      <w:tr w:rsidR="000A3DB3" w:rsidRPr="006807F6" w:rsidTr="00A87976">
        <w:trPr>
          <w:jc w:val="center"/>
        </w:trPr>
        <w:tc>
          <w:tcPr>
            <w:tcW w:w="3199" w:type="dxa"/>
            <w:vMerge/>
          </w:tcPr>
          <w:p w:rsidR="000A3DB3" w:rsidRPr="006807F6" w:rsidRDefault="000A3DB3" w:rsidP="002C7A18">
            <w:pPr>
              <w:spacing w:after="0" w:line="240" w:lineRule="auto"/>
              <w:rPr>
                <w:rFonts w:ascii="Times New Roman" w:hAnsi="Times New Roman" w:cs="Times New Roman"/>
                <w:sz w:val="26"/>
                <w:szCs w:val="26"/>
              </w:rPr>
            </w:pPr>
          </w:p>
        </w:tc>
        <w:tc>
          <w:tcPr>
            <w:tcW w:w="1276" w:type="dxa"/>
            <w:vMerge/>
          </w:tcPr>
          <w:p w:rsidR="000A3DB3" w:rsidRPr="006807F6" w:rsidRDefault="000A3DB3" w:rsidP="002C7A18">
            <w:pPr>
              <w:pStyle w:val="naisf"/>
              <w:spacing w:before="0" w:beforeAutospacing="0" w:after="0" w:afterAutospacing="0"/>
              <w:jc w:val="center"/>
              <w:rPr>
                <w:i/>
                <w:sz w:val="26"/>
                <w:szCs w:val="26"/>
              </w:rPr>
            </w:pPr>
          </w:p>
        </w:tc>
        <w:tc>
          <w:tcPr>
            <w:tcW w:w="1287" w:type="dxa"/>
          </w:tcPr>
          <w:p w:rsidR="000A3DB3" w:rsidRPr="006807F6" w:rsidRDefault="00680841" w:rsidP="002C7A18">
            <w:pPr>
              <w:pStyle w:val="naisf"/>
              <w:spacing w:before="0" w:beforeAutospacing="0" w:after="0" w:afterAutospacing="0"/>
              <w:jc w:val="center"/>
              <w:rPr>
                <w:sz w:val="26"/>
                <w:szCs w:val="26"/>
              </w:rPr>
            </w:pPr>
            <w:r w:rsidRPr="006807F6">
              <w:rPr>
                <w:sz w:val="26"/>
                <w:szCs w:val="26"/>
              </w:rPr>
              <w:t>78 330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95"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r>
      <w:tr w:rsidR="000A3DB3" w:rsidRPr="006807F6" w:rsidTr="00A87976">
        <w:trPr>
          <w:jc w:val="center"/>
        </w:trPr>
        <w:tc>
          <w:tcPr>
            <w:tcW w:w="3199" w:type="dxa"/>
          </w:tcPr>
          <w:p w:rsidR="000A3DB3" w:rsidRPr="006807F6" w:rsidRDefault="000A3DB3"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t>5. Precizēta finansiālā ietekme:</w:t>
            </w:r>
          </w:p>
        </w:tc>
        <w:tc>
          <w:tcPr>
            <w:tcW w:w="1276" w:type="dxa"/>
            <w:vMerge w:val="restart"/>
          </w:tcPr>
          <w:p w:rsidR="000A3DB3" w:rsidRPr="006807F6" w:rsidRDefault="000A3DB3" w:rsidP="002C7A18">
            <w:pPr>
              <w:pStyle w:val="naisf"/>
              <w:spacing w:before="0" w:beforeAutospacing="0" w:after="0" w:afterAutospacing="0"/>
              <w:jc w:val="center"/>
              <w:rPr>
                <w:i/>
                <w:sz w:val="26"/>
                <w:szCs w:val="26"/>
              </w:rPr>
            </w:pPr>
            <w:r w:rsidRPr="006807F6">
              <w:rPr>
                <w:sz w:val="26"/>
                <w:szCs w:val="26"/>
              </w:rPr>
              <w:t>X</w:t>
            </w:r>
          </w:p>
        </w:tc>
        <w:tc>
          <w:tcPr>
            <w:tcW w:w="1287"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p>
        </w:tc>
        <w:tc>
          <w:tcPr>
            <w:tcW w:w="1195" w:type="dxa"/>
          </w:tcPr>
          <w:p w:rsidR="000A3DB3" w:rsidRPr="006807F6" w:rsidRDefault="000A3DB3" w:rsidP="002C7A18">
            <w:pPr>
              <w:pStyle w:val="naisf"/>
              <w:spacing w:before="0" w:beforeAutospacing="0" w:after="0" w:afterAutospacing="0"/>
              <w:jc w:val="center"/>
              <w:rPr>
                <w:sz w:val="26"/>
                <w:szCs w:val="26"/>
              </w:rPr>
            </w:pPr>
          </w:p>
        </w:tc>
        <w:tc>
          <w:tcPr>
            <w:tcW w:w="1150" w:type="dxa"/>
          </w:tcPr>
          <w:p w:rsidR="000A3DB3" w:rsidRPr="006807F6" w:rsidRDefault="000A3DB3" w:rsidP="002C7A18">
            <w:pPr>
              <w:pStyle w:val="naisf"/>
              <w:spacing w:before="0" w:beforeAutospacing="0" w:after="0" w:afterAutospacing="0"/>
              <w:jc w:val="center"/>
              <w:rPr>
                <w:sz w:val="26"/>
                <w:szCs w:val="26"/>
              </w:rPr>
            </w:pPr>
          </w:p>
        </w:tc>
      </w:tr>
      <w:tr w:rsidR="000A3DB3" w:rsidRPr="006807F6" w:rsidTr="00A87976">
        <w:trPr>
          <w:jc w:val="center"/>
        </w:trPr>
        <w:tc>
          <w:tcPr>
            <w:tcW w:w="3199" w:type="dxa"/>
          </w:tcPr>
          <w:p w:rsidR="000A3DB3" w:rsidRPr="006807F6" w:rsidRDefault="000A3DB3"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t>5.1. valsts pamatbudžets</w:t>
            </w:r>
          </w:p>
        </w:tc>
        <w:tc>
          <w:tcPr>
            <w:tcW w:w="1276" w:type="dxa"/>
            <w:vMerge/>
            <w:vAlign w:val="center"/>
          </w:tcPr>
          <w:p w:rsidR="000A3DB3" w:rsidRPr="006807F6" w:rsidRDefault="000A3DB3" w:rsidP="002C7A18">
            <w:pPr>
              <w:pStyle w:val="naisf"/>
              <w:spacing w:before="0" w:beforeAutospacing="0" w:after="0" w:afterAutospacing="0"/>
              <w:jc w:val="center"/>
              <w:rPr>
                <w:i/>
                <w:sz w:val="26"/>
                <w:szCs w:val="26"/>
              </w:rPr>
            </w:pPr>
          </w:p>
        </w:tc>
        <w:tc>
          <w:tcPr>
            <w:tcW w:w="1287"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95"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r>
      <w:tr w:rsidR="000A3DB3" w:rsidRPr="006807F6" w:rsidTr="00A87976">
        <w:trPr>
          <w:jc w:val="center"/>
        </w:trPr>
        <w:tc>
          <w:tcPr>
            <w:tcW w:w="3199" w:type="dxa"/>
          </w:tcPr>
          <w:p w:rsidR="000A3DB3" w:rsidRPr="006807F6" w:rsidRDefault="000A3DB3"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t>5.2. speciālais budžets</w:t>
            </w:r>
          </w:p>
        </w:tc>
        <w:tc>
          <w:tcPr>
            <w:tcW w:w="1276" w:type="dxa"/>
            <w:vMerge/>
            <w:vAlign w:val="center"/>
          </w:tcPr>
          <w:p w:rsidR="000A3DB3" w:rsidRPr="006807F6" w:rsidRDefault="000A3DB3" w:rsidP="002C7A18">
            <w:pPr>
              <w:pStyle w:val="naisf"/>
              <w:spacing w:before="0" w:beforeAutospacing="0" w:after="0" w:afterAutospacing="0"/>
              <w:jc w:val="center"/>
              <w:rPr>
                <w:i/>
                <w:sz w:val="26"/>
                <w:szCs w:val="26"/>
              </w:rPr>
            </w:pPr>
          </w:p>
        </w:tc>
        <w:tc>
          <w:tcPr>
            <w:tcW w:w="1287"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95"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r>
      <w:tr w:rsidR="000A3DB3" w:rsidRPr="006807F6" w:rsidTr="00A87976">
        <w:trPr>
          <w:jc w:val="center"/>
        </w:trPr>
        <w:tc>
          <w:tcPr>
            <w:tcW w:w="3199" w:type="dxa"/>
          </w:tcPr>
          <w:p w:rsidR="000A3DB3" w:rsidRPr="006807F6" w:rsidRDefault="000A3DB3"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t xml:space="preserve">5.3. pašvaldību budžets </w:t>
            </w:r>
          </w:p>
        </w:tc>
        <w:tc>
          <w:tcPr>
            <w:tcW w:w="1276" w:type="dxa"/>
            <w:vMerge/>
            <w:vAlign w:val="center"/>
          </w:tcPr>
          <w:p w:rsidR="000A3DB3" w:rsidRPr="006807F6" w:rsidRDefault="000A3DB3" w:rsidP="002C7A18">
            <w:pPr>
              <w:pStyle w:val="naisf"/>
              <w:spacing w:before="0" w:beforeAutospacing="0" w:after="0" w:afterAutospacing="0"/>
              <w:jc w:val="center"/>
              <w:rPr>
                <w:i/>
                <w:sz w:val="26"/>
                <w:szCs w:val="26"/>
              </w:rPr>
            </w:pPr>
          </w:p>
        </w:tc>
        <w:tc>
          <w:tcPr>
            <w:tcW w:w="1287"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95"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c>
          <w:tcPr>
            <w:tcW w:w="1150" w:type="dxa"/>
          </w:tcPr>
          <w:p w:rsidR="000A3DB3" w:rsidRPr="006807F6" w:rsidRDefault="000A3DB3" w:rsidP="002C7A18">
            <w:pPr>
              <w:pStyle w:val="naisf"/>
              <w:spacing w:before="0" w:beforeAutospacing="0" w:after="0" w:afterAutospacing="0"/>
              <w:jc w:val="center"/>
              <w:rPr>
                <w:sz w:val="26"/>
                <w:szCs w:val="26"/>
              </w:rPr>
            </w:pPr>
            <w:r w:rsidRPr="006807F6">
              <w:rPr>
                <w:sz w:val="26"/>
                <w:szCs w:val="26"/>
              </w:rPr>
              <w:t>0</w:t>
            </w:r>
          </w:p>
        </w:tc>
      </w:tr>
      <w:tr w:rsidR="000A3DB3" w:rsidRPr="006807F6" w:rsidTr="00A87976">
        <w:trPr>
          <w:trHeight w:val="1571"/>
          <w:jc w:val="center"/>
        </w:trPr>
        <w:tc>
          <w:tcPr>
            <w:tcW w:w="3199" w:type="dxa"/>
          </w:tcPr>
          <w:p w:rsidR="000A3DB3" w:rsidRPr="006807F6" w:rsidRDefault="000A3DB3"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lastRenderedPageBreak/>
              <w:t>6. Detalizēts ieņēmumu un izdevumu aprēķins (ja nepie</w:t>
            </w:r>
            <w:r w:rsidRPr="006807F6">
              <w:rPr>
                <w:rFonts w:ascii="Times New Roman" w:hAnsi="Times New Roman" w:cs="Times New Roman"/>
                <w:sz w:val="26"/>
                <w:szCs w:val="26"/>
              </w:rPr>
              <w:softHyphen/>
              <w:t>ciešams, detalizētu ieņēmumu un izdevumu aprēķinu var pie</w:t>
            </w:r>
            <w:r w:rsidRPr="006807F6">
              <w:rPr>
                <w:rFonts w:ascii="Times New Roman" w:hAnsi="Times New Roman" w:cs="Times New Roman"/>
                <w:sz w:val="26"/>
                <w:szCs w:val="26"/>
              </w:rPr>
              <w:softHyphen/>
              <w:t>vienot anotācijas pielikumā):</w:t>
            </w:r>
          </w:p>
        </w:tc>
        <w:tc>
          <w:tcPr>
            <w:tcW w:w="6058" w:type="dxa"/>
            <w:gridSpan w:val="5"/>
            <w:vMerge w:val="restart"/>
            <w:vAlign w:val="center"/>
          </w:tcPr>
          <w:p w:rsidR="000A3DB3" w:rsidRPr="006807F6" w:rsidRDefault="00A87976" w:rsidP="00A87976">
            <w:pPr>
              <w:spacing w:after="0" w:line="240" w:lineRule="auto"/>
              <w:jc w:val="both"/>
              <w:rPr>
                <w:rFonts w:ascii="Times New Roman" w:hAnsi="Times New Roman" w:cs="Times New Roman"/>
                <w:color w:val="000000"/>
                <w:sz w:val="26"/>
                <w:szCs w:val="26"/>
              </w:rPr>
            </w:pPr>
            <w:r w:rsidRPr="006807F6">
              <w:rPr>
                <w:rFonts w:ascii="Times New Roman" w:hAnsi="Times New Roman" w:cs="Times New Roman"/>
                <w:color w:val="000000"/>
                <w:sz w:val="26"/>
                <w:szCs w:val="26"/>
              </w:rPr>
              <w:t>Skatīties pielikumā.</w:t>
            </w:r>
          </w:p>
        </w:tc>
      </w:tr>
      <w:tr w:rsidR="000A3DB3" w:rsidRPr="006807F6" w:rsidTr="00A87976">
        <w:trPr>
          <w:jc w:val="center"/>
        </w:trPr>
        <w:tc>
          <w:tcPr>
            <w:tcW w:w="3199" w:type="dxa"/>
          </w:tcPr>
          <w:p w:rsidR="000A3DB3" w:rsidRPr="006807F6" w:rsidRDefault="000A3DB3"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t>6.1. detalizēts ieņēmumu aprēķins</w:t>
            </w:r>
          </w:p>
        </w:tc>
        <w:tc>
          <w:tcPr>
            <w:tcW w:w="6058" w:type="dxa"/>
            <w:gridSpan w:val="5"/>
            <w:vMerge/>
          </w:tcPr>
          <w:p w:rsidR="000A3DB3" w:rsidRPr="006807F6" w:rsidRDefault="000A3DB3" w:rsidP="002C7A18">
            <w:pPr>
              <w:pStyle w:val="naisf"/>
              <w:spacing w:before="0" w:beforeAutospacing="0" w:after="0" w:afterAutospacing="0"/>
              <w:rPr>
                <w:b/>
                <w:i/>
                <w:sz w:val="26"/>
                <w:szCs w:val="26"/>
              </w:rPr>
            </w:pPr>
          </w:p>
        </w:tc>
      </w:tr>
      <w:tr w:rsidR="000A3DB3" w:rsidRPr="006807F6" w:rsidTr="00A87976">
        <w:trPr>
          <w:jc w:val="center"/>
        </w:trPr>
        <w:tc>
          <w:tcPr>
            <w:tcW w:w="3199" w:type="dxa"/>
          </w:tcPr>
          <w:p w:rsidR="000A3DB3" w:rsidRPr="006807F6" w:rsidRDefault="000A3DB3"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t>6.2. detalizēts izdevumu aprēķins</w:t>
            </w:r>
          </w:p>
        </w:tc>
        <w:tc>
          <w:tcPr>
            <w:tcW w:w="6058" w:type="dxa"/>
            <w:gridSpan w:val="5"/>
            <w:vMerge/>
          </w:tcPr>
          <w:p w:rsidR="000A3DB3" w:rsidRPr="006807F6" w:rsidRDefault="000A3DB3" w:rsidP="002C7A18">
            <w:pPr>
              <w:pStyle w:val="naisf"/>
              <w:spacing w:before="0" w:beforeAutospacing="0" w:after="0" w:afterAutospacing="0"/>
              <w:rPr>
                <w:b/>
                <w:i/>
                <w:sz w:val="26"/>
                <w:szCs w:val="26"/>
              </w:rPr>
            </w:pPr>
          </w:p>
        </w:tc>
      </w:tr>
      <w:tr w:rsidR="00680841" w:rsidRPr="006807F6" w:rsidTr="00A87976">
        <w:trPr>
          <w:jc w:val="center"/>
        </w:trPr>
        <w:tc>
          <w:tcPr>
            <w:tcW w:w="3199" w:type="dxa"/>
          </w:tcPr>
          <w:p w:rsidR="00680841" w:rsidRPr="006807F6" w:rsidRDefault="00680841" w:rsidP="002C7A18">
            <w:pPr>
              <w:spacing w:after="0" w:line="240" w:lineRule="auto"/>
              <w:rPr>
                <w:rFonts w:ascii="Times New Roman" w:hAnsi="Times New Roman" w:cs="Times New Roman"/>
                <w:sz w:val="26"/>
                <w:szCs w:val="26"/>
              </w:rPr>
            </w:pPr>
            <w:r w:rsidRPr="006807F6">
              <w:rPr>
                <w:rFonts w:ascii="Times New Roman" w:hAnsi="Times New Roman" w:cs="Times New Roman"/>
                <w:sz w:val="26"/>
                <w:szCs w:val="26"/>
              </w:rPr>
              <w:t>7. Cita informācija</w:t>
            </w:r>
          </w:p>
        </w:tc>
        <w:tc>
          <w:tcPr>
            <w:tcW w:w="6058" w:type="dxa"/>
            <w:gridSpan w:val="5"/>
          </w:tcPr>
          <w:p w:rsidR="00680841" w:rsidRPr="006807F6" w:rsidRDefault="00680841" w:rsidP="002C7A18">
            <w:pPr>
              <w:pStyle w:val="naisf"/>
              <w:spacing w:before="0" w:beforeAutospacing="0" w:after="0" w:afterAutospacing="0"/>
              <w:rPr>
                <w:b/>
                <w:i/>
                <w:sz w:val="26"/>
                <w:szCs w:val="26"/>
              </w:rPr>
            </w:pPr>
            <w:r w:rsidRPr="006807F6">
              <w:rPr>
                <w:sz w:val="26"/>
                <w:szCs w:val="26"/>
              </w:rPr>
              <w:t>Izdevumus sedz no valsts budžeta programmas 02.00.00 „Līdzekļi neparedzētiem gadījumiem”.</w:t>
            </w:r>
          </w:p>
        </w:tc>
      </w:tr>
    </w:tbl>
    <w:p w:rsidR="000A3DB3" w:rsidRPr="006807F6" w:rsidRDefault="000A3DB3" w:rsidP="000A3DB3">
      <w:pPr>
        <w:pStyle w:val="naisf"/>
        <w:spacing w:before="0" w:beforeAutospacing="0" w:after="0" w:afterAutospacing="0"/>
        <w:rPr>
          <w:sz w:val="26"/>
          <w:szCs w:val="26"/>
        </w:rPr>
      </w:pPr>
    </w:p>
    <w:p w:rsidR="00A87976" w:rsidRPr="006807F6" w:rsidRDefault="00A87976" w:rsidP="000A3DB3">
      <w:pPr>
        <w:pStyle w:val="naisf"/>
        <w:spacing w:before="0" w:beforeAutospacing="0" w:after="0" w:afterAutospacing="0"/>
        <w:rPr>
          <w:sz w:val="26"/>
          <w:szCs w:val="26"/>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244"/>
      </w:tblGrid>
      <w:tr w:rsidR="00A87976" w:rsidRPr="006807F6" w:rsidTr="00973C96">
        <w:trPr>
          <w:trHeight w:val="381"/>
          <w:jc w:val="center"/>
        </w:trPr>
        <w:tc>
          <w:tcPr>
            <w:tcW w:w="9296" w:type="dxa"/>
            <w:gridSpan w:val="3"/>
            <w:vAlign w:val="center"/>
          </w:tcPr>
          <w:p w:rsidR="00A87976" w:rsidRPr="006807F6" w:rsidRDefault="00A87976" w:rsidP="00973C96">
            <w:pPr>
              <w:pStyle w:val="naisnod"/>
              <w:spacing w:before="0" w:beforeAutospacing="0" w:after="0" w:afterAutospacing="0"/>
              <w:ind w:left="57" w:right="57"/>
              <w:jc w:val="center"/>
              <w:rPr>
                <w:sz w:val="26"/>
                <w:szCs w:val="26"/>
              </w:rPr>
            </w:pPr>
            <w:r w:rsidRPr="006807F6">
              <w:rPr>
                <w:b/>
                <w:sz w:val="26"/>
                <w:szCs w:val="26"/>
              </w:rPr>
              <w:t>VII. Tiesību akta projekta izpildes nodrošināšana un tās ietekme uz institūcijām</w:t>
            </w:r>
          </w:p>
        </w:tc>
      </w:tr>
      <w:tr w:rsidR="00A87976" w:rsidRPr="006807F6" w:rsidTr="00973C96">
        <w:trPr>
          <w:trHeight w:val="427"/>
          <w:jc w:val="center"/>
        </w:trPr>
        <w:tc>
          <w:tcPr>
            <w:tcW w:w="437" w:type="dxa"/>
          </w:tcPr>
          <w:p w:rsidR="00A87976" w:rsidRPr="006807F6" w:rsidRDefault="00A87976" w:rsidP="00973C96">
            <w:pPr>
              <w:pStyle w:val="naisnod"/>
              <w:spacing w:before="0" w:beforeAutospacing="0" w:after="0" w:afterAutospacing="0"/>
              <w:ind w:left="57" w:right="57"/>
              <w:jc w:val="both"/>
              <w:rPr>
                <w:sz w:val="26"/>
                <w:szCs w:val="26"/>
              </w:rPr>
            </w:pPr>
            <w:r w:rsidRPr="006807F6">
              <w:rPr>
                <w:sz w:val="26"/>
                <w:szCs w:val="26"/>
              </w:rPr>
              <w:t>1.</w:t>
            </w:r>
          </w:p>
        </w:tc>
        <w:tc>
          <w:tcPr>
            <w:tcW w:w="3615" w:type="dxa"/>
          </w:tcPr>
          <w:p w:rsidR="00A87976" w:rsidRPr="006807F6" w:rsidRDefault="00A87976" w:rsidP="00973C96">
            <w:pPr>
              <w:pStyle w:val="naisf"/>
              <w:spacing w:before="0" w:beforeAutospacing="0" w:after="0" w:afterAutospacing="0"/>
              <w:ind w:left="57" w:right="57"/>
              <w:rPr>
                <w:sz w:val="26"/>
                <w:szCs w:val="26"/>
              </w:rPr>
            </w:pPr>
            <w:r w:rsidRPr="006807F6">
              <w:rPr>
                <w:sz w:val="26"/>
                <w:szCs w:val="26"/>
              </w:rPr>
              <w:t>Projekta izpildē iesaistītās institūcijas</w:t>
            </w:r>
          </w:p>
        </w:tc>
        <w:tc>
          <w:tcPr>
            <w:tcW w:w="5244" w:type="dxa"/>
          </w:tcPr>
          <w:p w:rsidR="00A87976" w:rsidRPr="006807F6" w:rsidRDefault="00A87976" w:rsidP="00973C96">
            <w:pPr>
              <w:shd w:val="clear" w:color="auto" w:fill="FFFFFF"/>
              <w:spacing w:after="0" w:line="240" w:lineRule="auto"/>
              <w:jc w:val="both"/>
              <w:rPr>
                <w:rFonts w:ascii="Times New Roman" w:hAnsi="Times New Roman" w:cs="Times New Roman"/>
                <w:sz w:val="26"/>
                <w:szCs w:val="26"/>
                <w:lang w:eastAsia="lv-LV"/>
              </w:rPr>
            </w:pPr>
            <w:r w:rsidRPr="006807F6">
              <w:rPr>
                <w:rFonts w:ascii="Times New Roman" w:hAnsi="Times New Roman" w:cs="Times New Roman"/>
                <w:bCs/>
                <w:color w:val="000000"/>
                <w:sz w:val="26"/>
                <w:szCs w:val="26"/>
              </w:rPr>
              <w:t>Centrālā vēlēšanu komisija, Finanšu ministrija.</w:t>
            </w:r>
          </w:p>
        </w:tc>
      </w:tr>
      <w:tr w:rsidR="00A87976" w:rsidRPr="006807F6" w:rsidTr="00973C96">
        <w:trPr>
          <w:trHeight w:val="463"/>
          <w:jc w:val="center"/>
        </w:trPr>
        <w:tc>
          <w:tcPr>
            <w:tcW w:w="437" w:type="dxa"/>
          </w:tcPr>
          <w:p w:rsidR="00A87976" w:rsidRPr="006807F6" w:rsidRDefault="00A87976" w:rsidP="00973C96">
            <w:pPr>
              <w:pStyle w:val="naisnod"/>
              <w:spacing w:before="0" w:beforeAutospacing="0" w:after="0" w:afterAutospacing="0"/>
              <w:ind w:left="57" w:right="57"/>
              <w:jc w:val="both"/>
              <w:rPr>
                <w:sz w:val="26"/>
                <w:szCs w:val="26"/>
              </w:rPr>
            </w:pPr>
            <w:r w:rsidRPr="006807F6">
              <w:rPr>
                <w:sz w:val="26"/>
                <w:szCs w:val="26"/>
              </w:rPr>
              <w:t>2.</w:t>
            </w:r>
          </w:p>
        </w:tc>
        <w:tc>
          <w:tcPr>
            <w:tcW w:w="3615" w:type="dxa"/>
          </w:tcPr>
          <w:p w:rsidR="00A87976" w:rsidRPr="006807F6" w:rsidRDefault="00A87976" w:rsidP="00973C96">
            <w:pPr>
              <w:pStyle w:val="naisf"/>
              <w:spacing w:before="0" w:beforeAutospacing="0" w:after="0" w:afterAutospacing="0"/>
              <w:ind w:left="57" w:right="57"/>
              <w:rPr>
                <w:sz w:val="26"/>
                <w:szCs w:val="26"/>
              </w:rPr>
            </w:pPr>
            <w:r w:rsidRPr="006807F6">
              <w:rPr>
                <w:sz w:val="26"/>
                <w:szCs w:val="26"/>
              </w:rPr>
              <w:t>Projekta izpildes ietekme uz pār</w:t>
            </w:r>
            <w:r w:rsidRPr="006807F6">
              <w:rPr>
                <w:sz w:val="26"/>
                <w:szCs w:val="26"/>
              </w:rPr>
              <w:softHyphen/>
              <w:t>valdes funkcijām un institucionālo struktūru.</w:t>
            </w:r>
          </w:p>
          <w:p w:rsidR="00A87976" w:rsidRPr="006807F6" w:rsidRDefault="00A87976" w:rsidP="00973C96">
            <w:pPr>
              <w:pStyle w:val="naisf"/>
              <w:spacing w:before="0" w:beforeAutospacing="0" w:after="0" w:afterAutospacing="0"/>
              <w:ind w:left="57" w:right="57"/>
              <w:rPr>
                <w:sz w:val="26"/>
                <w:szCs w:val="26"/>
              </w:rPr>
            </w:pPr>
            <w:r w:rsidRPr="006807F6">
              <w:rPr>
                <w:sz w:val="26"/>
                <w:szCs w:val="26"/>
              </w:rPr>
              <w:t>Jaunu institūciju izveide, esošu institūciju likvidācija vai reorga</w:t>
            </w:r>
            <w:r w:rsidRPr="006807F6">
              <w:rPr>
                <w:sz w:val="26"/>
                <w:szCs w:val="26"/>
              </w:rPr>
              <w:softHyphen/>
              <w:t>nizācija, to ietekme uz institūcijas cilvēkresursiem.</w:t>
            </w:r>
          </w:p>
        </w:tc>
        <w:tc>
          <w:tcPr>
            <w:tcW w:w="5244" w:type="dxa"/>
          </w:tcPr>
          <w:p w:rsidR="00A87976" w:rsidRPr="006807F6" w:rsidRDefault="00A87976" w:rsidP="00973C96">
            <w:pPr>
              <w:shd w:val="clear" w:color="auto" w:fill="FFFFFF"/>
              <w:spacing w:after="0" w:line="240" w:lineRule="auto"/>
              <w:jc w:val="both"/>
              <w:rPr>
                <w:rFonts w:ascii="Times New Roman" w:hAnsi="Times New Roman" w:cs="Times New Roman"/>
                <w:sz w:val="26"/>
                <w:szCs w:val="26"/>
                <w:lang w:eastAsia="lv-LV"/>
              </w:rPr>
            </w:pPr>
            <w:r w:rsidRPr="006807F6">
              <w:rPr>
                <w:rFonts w:ascii="Times New Roman" w:hAnsi="Times New Roman" w:cs="Times New Roman"/>
                <w:sz w:val="26"/>
                <w:szCs w:val="26"/>
              </w:rPr>
              <w:t>Projekts šo jomu neskar.</w:t>
            </w:r>
          </w:p>
          <w:p w:rsidR="00A87976" w:rsidRPr="006807F6" w:rsidRDefault="00A87976" w:rsidP="00973C96">
            <w:pPr>
              <w:shd w:val="clear" w:color="auto" w:fill="FFFFFF"/>
              <w:spacing w:after="0" w:line="240" w:lineRule="auto"/>
              <w:jc w:val="both"/>
              <w:rPr>
                <w:rFonts w:ascii="Times New Roman" w:hAnsi="Times New Roman" w:cs="Times New Roman"/>
                <w:sz w:val="26"/>
                <w:szCs w:val="26"/>
                <w:lang w:eastAsia="lv-LV"/>
              </w:rPr>
            </w:pPr>
          </w:p>
        </w:tc>
      </w:tr>
      <w:tr w:rsidR="00A87976" w:rsidRPr="006807F6" w:rsidTr="00973C96">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A87976" w:rsidRPr="006807F6" w:rsidRDefault="00A87976" w:rsidP="00973C96">
            <w:pPr>
              <w:pStyle w:val="naisnod"/>
              <w:spacing w:before="0" w:beforeAutospacing="0" w:after="0" w:afterAutospacing="0"/>
              <w:ind w:left="57" w:right="57"/>
              <w:jc w:val="both"/>
              <w:rPr>
                <w:sz w:val="26"/>
                <w:szCs w:val="26"/>
              </w:rPr>
            </w:pPr>
            <w:r w:rsidRPr="006807F6">
              <w:rPr>
                <w:sz w:val="26"/>
                <w:szCs w:val="26"/>
              </w:rPr>
              <w:t>3.</w:t>
            </w:r>
          </w:p>
        </w:tc>
        <w:tc>
          <w:tcPr>
            <w:tcW w:w="3615" w:type="dxa"/>
            <w:tcBorders>
              <w:top w:val="single" w:sz="4" w:space="0" w:color="auto"/>
              <w:left w:val="single" w:sz="4" w:space="0" w:color="auto"/>
              <w:bottom w:val="single" w:sz="4" w:space="0" w:color="auto"/>
              <w:right w:val="single" w:sz="4" w:space="0" w:color="auto"/>
            </w:tcBorders>
          </w:tcPr>
          <w:p w:rsidR="00A87976" w:rsidRPr="006807F6" w:rsidRDefault="00A87976" w:rsidP="00973C96">
            <w:pPr>
              <w:pStyle w:val="naisf"/>
              <w:spacing w:before="0" w:beforeAutospacing="0" w:after="0" w:afterAutospacing="0"/>
              <w:ind w:left="57" w:right="57"/>
              <w:rPr>
                <w:sz w:val="26"/>
                <w:szCs w:val="26"/>
              </w:rPr>
            </w:pPr>
            <w:r w:rsidRPr="006807F6">
              <w:rPr>
                <w:sz w:val="26"/>
                <w:szCs w:val="26"/>
              </w:rPr>
              <w:t>Cita informācija</w:t>
            </w:r>
          </w:p>
        </w:tc>
        <w:tc>
          <w:tcPr>
            <w:tcW w:w="5244" w:type="dxa"/>
            <w:tcBorders>
              <w:top w:val="single" w:sz="4" w:space="0" w:color="auto"/>
              <w:left w:val="single" w:sz="4" w:space="0" w:color="auto"/>
              <w:bottom w:val="single" w:sz="4" w:space="0" w:color="auto"/>
              <w:right w:val="single" w:sz="4" w:space="0" w:color="auto"/>
            </w:tcBorders>
          </w:tcPr>
          <w:p w:rsidR="00A87976" w:rsidRPr="006807F6" w:rsidRDefault="00A87976" w:rsidP="00973C96">
            <w:pPr>
              <w:spacing w:after="0" w:line="240" w:lineRule="auto"/>
              <w:ind w:left="57" w:right="57"/>
              <w:jc w:val="both"/>
              <w:rPr>
                <w:rFonts w:ascii="Times New Roman" w:hAnsi="Times New Roman" w:cs="Times New Roman"/>
                <w:sz w:val="26"/>
                <w:szCs w:val="26"/>
                <w:lang w:eastAsia="lv-LV"/>
              </w:rPr>
            </w:pPr>
            <w:r w:rsidRPr="006807F6">
              <w:rPr>
                <w:rFonts w:ascii="Times New Roman" w:hAnsi="Times New Roman" w:cs="Times New Roman"/>
                <w:sz w:val="26"/>
                <w:szCs w:val="26"/>
              </w:rPr>
              <w:t>Nav.</w:t>
            </w:r>
          </w:p>
        </w:tc>
      </w:tr>
    </w:tbl>
    <w:p w:rsidR="00A87976" w:rsidRPr="006807F6" w:rsidRDefault="00A87976" w:rsidP="000A3DB3">
      <w:pPr>
        <w:pStyle w:val="naisf"/>
        <w:spacing w:before="0" w:beforeAutospacing="0" w:after="0" w:afterAutospacing="0"/>
        <w:rPr>
          <w:sz w:val="26"/>
          <w:szCs w:val="26"/>
        </w:rPr>
      </w:pPr>
    </w:p>
    <w:p w:rsidR="00A87976" w:rsidRPr="006807F6" w:rsidRDefault="00A87976" w:rsidP="000A3DB3">
      <w:pPr>
        <w:pStyle w:val="naisf"/>
        <w:spacing w:before="0" w:beforeAutospacing="0" w:after="0" w:afterAutospacing="0"/>
        <w:rPr>
          <w:sz w:val="26"/>
          <w:szCs w:val="26"/>
        </w:rPr>
      </w:pPr>
    </w:p>
    <w:p w:rsidR="000A3DB3" w:rsidRPr="00584E72" w:rsidRDefault="000A3DB3" w:rsidP="000A3DB3">
      <w:pPr>
        <w:pStyle w:val="naisf"/>
        <w:spacing w:before="0" w:beforeAutospacing="0" w:after="0" w:afterAutospacing="0"/>
        <w:rPr>
          <w:i/>
          <w:sz w:val="26"/>
          <w:szCs w:val="26"/>
        </w:rPr>
      </w:pPr>
      <w:r w:rsidRPr="00584E72">
        <w:rPr>
          <w:i/>
          <w:sz w:val="26"/>
          <w:szCs w:val="26"/>
        </w:rPr>
        <w:t xml:space="preserve">Anotācijas II, IV, V, </w:t>
      </w:r>
      <w:r w:rsidRPr="00584E72">
        <w:rPr>
          <w:bCs/>
          <w:i/>
          <w:sz w:val="26"/>
          <w:szCs w:val="26"/>
        </w:rPr>
        <w:t xml:space="preserve">VI </w:t>
      </w:r>
      <w:r w:rsidRPr="00584E72">
        <w:rPr>
          <w:i/>
          <w:sz w:val="26"/>
          <w:szCs w:val="26"/>
        </w:rPr>
        <w:t>sadaļa – projekts šīs jomas neskar.</w:t>
      </w:r>
    </w:p>
    <w:p w:rsidR="000A3DB3" w:rsidRPr="006807F6" w:rsidRDefault="000A3DB3" w:rsidP="000A3DB3">
      <w:pPr>
        <w:spacing w:after="0" w:line="240" w:lineRule="auto"/>
        <w:ind w:left="283" w:firstLine="437"/>
        <w:rPr>
          <w:rFonts w:ascii="Times New Roman" w:hAnsi="Times New Roman" w:cs="Times New Roman"/>
          <w:sz w:val="26"/>
          <w:szCs w:val="26"/>
        </w:rPr>
      </w:pPr>
    </w:p>
    <w:p w:rsidR="000A3DB3" w:rsidRPr="006807F6" w:rsidRDefault="000A3DB3" w:rsidP="000A3DB3">
      <w:pPr>
        <w:spacing w:after="0" w:line="240" w:lineRule="auto"/>
        <w:ind w:left="283" w:firstLine="437"/>
        <w:rPr>
          <w:rFonts w:ascii="Times New Roman" w:hAnsi="Times New Roman" w:cs="Times New Roman"/>
          <w:sz w:val="26"/>
          <w:szCs w:val="26"/>
        </w:rPr>
      </w:pPr>
    </w:p>
    <w:p w:rsidR="000A3DB3" w:rsidRPr="006807F6" w:rsidRDefault="000A3DB3" w:rsidP="000A3DB3">
      <w:pPr>
        <w:spacing w:after="0" w:line="240" w:lineRule="auto"/>
        <w:ind w:left="283" w:firstLine="437"/>
        <w:rPr>
          <w:rFonts w:ascii="Times New Roman" w:hAnsi="Times New Roman" w:cs="Times New Roman"/>
          <w:sz w:val="26"/>
          <w:szCs w:val="26"/>
        </w:rPr>
      </w:pPr>
    </w:p>
    <w:p w:rsidR="000A3DB3" w:rsidRPr="006807F6" w:rsidRDefault="00680841" w:rsidP="000A3DB3">
      <w:pPr>
        <w:pStyle w:val="naisf"/>
        <w:spacing w:before="0" w:beforeAutospacing="0" w:after="0" w:afterAutospacing="0"/>
        <w:ind w:left="57" w:right="57"/>
        <w:rPr>
          <w:sz w:val="26"/>
          <w:szCs w:val="26"/>
        </w:rPr>
      </w:pPr>
      <w:r w:rsidRPr="006807F6">
        <w:rPr>
          <w:sz w:val="26"/>
          <w:szCs w:val="26"/>
        </w:rPr>
        <w:t>Finanšu</w:t>
      </w:r>
      <w:r w:rsidR="000A3DB3" w:rsidRPr="006807F6">
        <w:rPr>
          <w:sz w:val="26"/>
          <w:szCs w:val="26"/>
        </w:rPr>
        <w:t xml:space="preserve"> ministrs</w:t>
      </w:r>
      <w:r w:rsidR="000A3DB3" w:rsidRPr="006807F6">
        <w:rPr>
          <w:sz w:val="26"/>
          <w:szCs w:val="26"/>
        </w:rPr>
        <w:tab/>
        <w:t xml:space="preserve">                                                                    </w:t>
      </w:r>
      <w:r w:rsidR="00075FA5" w:rsidRPr="006807F6">
        <w:rPr>
          <w:sz w:val="26"/>
          <w:szCs w:val="26"/>
        </w:rPr>
        <w:t xml:space="preserve">             </w:t>
      </w:r>
      <w:r w:rsidR="000A3DB3" w:rsidRPr="006807F6">
        <w:rPr>
          <w:sz w:val="26"/>
          <w:szCs w:val="26"/>
        </w:rPr>
        <w:t xml:space="preserve">   </w:t>
      </w:r>
      <w:r w:rsidRPr="006807F6">
        <w:rPr>
          <w:sz w:val="26"/>
          <w:szCs w:val="26"/>
        </w:rPr>
        <w:t>A.Vilks</w:t>
      </w:r>
      <w:r w:rsidR="000A3DB3" w:rsidRPr="006807F6">
        <w:rPr>
          <w:sz w:val="26"/>
          <w:szCs w:val="26"/>
        </w:rPr>
        <w:tab/>
      </w:r>
      <w:r w:rsidR="000A3DB3" w:rsidRPr="006807F6">
        <w:rPr>
          <w:sz w:val="26"/>
          <w:szCs w:val="26"/>
        </w:rPr>
        <w:tab/>
      </w:r>
    </w:p>
    <w:p w:rsidR="000A3DB3" w:rsidRDefault="000A3DB3" w:rsidP="000A3DB3">
      <w:pPr>
        <w:pStyle w:val="naisf"/>
        <w:spacing w:before="0" w:beforeAutospacing="0" w:after="0" w:afterAutospacing="0"/>
        <w:ind w:left="57" w:right="57"/>
      </w:pPr>
    </w:p>
    <w:p w:rsidR="00A87976" w:rsidRDefault="00A87976"/>
    <w:p w:rsidR="00A87976" w:rsidRPr="00BC3FCD" w:rsidRDefault="00A87976" w:rsidP="00A87976">
      <w:pPr>
        <w:pStyle w:val="BodyText"/>
        <w:jc w:val="both"/>
        <w:rPr>
          <w:sz w:val="24"/>
        </w:rPr>
      </w:pPr>
    </w:p>
    <w:p w:rsidR="00A87976" w:rsidRPr="00BC3FCD" w:rsidRDefault="00012450" w:rsidP="00A87976">
      <w:pPr>
        <w:pStyle w:val="BodyText"/>
        <w:jc w:val="both"/>
        <w:rPr>
          <w:sz w:val="20"/>
          <w:szCs w:val="20"/>
        </w:rPr>
      </w:pPr>
      <w:r w:rsidRPr="00012450">
        <w:rPr>
          <w:sz w:val="20"/>
          <w:szCs w:val="20"/>
        </w:rPr>
        <w:t>18</w:t>
      </w:r>
      <w:r w:rsidR="00A87976" w:rsidRPr="00012450">
        <w:rPr>
          <w:sz w:val="20"/>
          <w:szCs w:val="20"/>
        </w:rPr>
        <w:t>.</w:t>
      </w:r>
      <w:r>
        <w:rPr>
          <w:sz w:val="20"/>
          <w:szCs w:val="20"/>
        </w:rPr>
        <w:t>07.2014. 14:1</w:t>
      </w:r>
      <w:r w:rsidR="00A87976" w:rsidRPr="00BC3FCD">
        <w:rPr>
          <w:sz w:val="20"/>
          <w:szCs w:val="20"/>
        </w:rPr>
        <w:t>0</w:t>
      </w:r>
    </w:p>
    <w:p w:rsidR="00A87976" w:rsidRPr="00BC3FCD" w:rsidRDefault="00BC6A5C" w:rsidP="00A87976">
      <w:pPr>
        <w:pStyle w:val="BodyText"/>
        <w:jc w:val="both"/>
        <w:rPr>
          <w:sz w:val="20"/>
          <w:szCs w:val="20"/>
        </w:rPr>
      </w:pPr>
      <w:r>
        <w:rPr>
          <w:sz w:val="20"/>
          <w:szCs w:val="20"/>
        </w:rPr>
        <w:t>605</w:t>
      </w:r>
    </w:p>
    <w:p w:rsidR="00A87976" w:rsidRPr="00BC3FCD" w:rsidRDefault="00A87976" w:rsidP="00A87976">
      <w:pPr>
        <w:pStyle w:val="BodyText"/>
        <w:jc w:val="both"/>
        <w:rPr>
          <w:sz w:val="20"/>
          <w:szCs w:val="20"/>
        </w:rPr>
      </w:pPr>
      <w:r>
        <w:rPr>
          <w:sz w:val="20"/>
          <w:szCs w:val="20"/>
        </w:rPr>
        <w:t>E.</w:t>
      </w:r>
      <w:r w:rsidRPr="00BC3FCD">
        <w:rPr>
          <w:sz w:val="20"/>
          <w:szCs w:val="20"/>
        </w:rPr>
        <w:t xml:space="preserve">Kobzeva </w:t>
      </w:r>
    </w:p>
    <w:p w:rsidR="00A87976" w:rsidRPr="00626BC3" w:rsidRDefault="00A87976" w:rsidP="00A87976">
      <w:pPr>
        <w:pStyle w:val="BodyText"/>
        <w:jc w:val="both"/>
        <w:rPr>
          <w:sz w:val="20"/>
          <w:szCs w:val="20"/>
        </w:rPr>
      </w:pPr>
      <w:r>
        <w:rPr>
          <w:sz w:val="20"/>
          <w:szCs w:val="20"/>
        </w:rPr>
        <w:t>6</w:t>
      </w:r>
      <w:r w:rsidRPr="00BC3FCD">
        <w:rPr>
          <w:sz w:val="20"/>
          <w:szCs w:val="20"/>
        </w:rPr>
        <w:t xml:space="preserve">7083885; </w:t>
      </w:r>
      <w:hyperlink r:id="rId7" w:history="1">
        <w:r w:rsidRPr="00BC3FCD">
          <w:rPr>
            <w:rStyle w:val="Hyperlink"/>
            <w:sz w:val="20"/>
            <w:szCs w:val="20"/>
          </w:rPr>
          <w:t>Elina.Kobzeva@fm.gov.lv</w:t>
        </w:r>
      </w:hyperlink>
    </w:p>
    <w:p w:rsidR="00075FA5" w:rsidRPr="00075FA5" w:rsidRDefault="00075FA5" w:rsidP="00075FA5"/>
    <w:p w:rsidR="00A87976" w:rsidRPr="00075FA5" w:rsidRDefault="00075FA5" w:rsidP="00075FA5">
      <w:pPr>
        <w:tabs>
          <w:tab w:val="left" w:pos="5415"/>
        </w:tabs>
      </w:pPr>
      <w:r>
        <w:tab/>
      </w:r>
    </w:p>
    <w:sectPr w:rsidR="00A87976" w:rsidRPr="00075FA5" w:rsidSect="00075FA5">
      <w:headerReference w:type="default" r:id="rId8"/>
      <w:footerReference w:type="default" r:id="rId9"/>
      <w:footerReference w:type="first" r:id="rId10"/>
      <w:pgSz w:w="11906" w:h="16838"/>
      <w:pgMar w:top="993"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74F" w:rsidRDefault="00FA074F" w:rsidP="00A87976">
      <w:pPr>
        <w:spacing w:after="0" w:line="240" w:lineRule="auto"/>
      </w:pPr>
      <w:r>
        <w:separator/>
      </w:r>
    </w:p>
  </w:endnote>
  <w:endnote w:type="continuationSeparator" w:id="0">
    <w:p w:rsidR="00FA074F" w:rsidRDefault="00FA074F" w:rsidP="00A8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976" w:rsidRPr="00A87976" w:rsidRDefault="00A87976" w:rsidP="00A87976">
    <w:pPr>
      <w:pStyle w:val="NormalWeb"/>
      <w:spacing w:before="0" w:beforeAutospacing="0" w:after="0" w:afterAutospacing="0"/>
      <w:jc w:val="both"/>
      <w:rPr>
        <w:sz w:val="20"/>
        <w:szCs w:val="20"/>
      </w:rPr>
    </w:pPr>
    <w:r w:rsidRPr="00A87976">
      <w:rPr>
        <w:sz w:val="20"/>
        <w:szCs w:val="20"/>
      </w:rPr>
      <w:t>FMAnot_</w:t>
    </w:r>
    <w:r w:rsidR="00012450" w:rsidRPr="00012450">
      <w:rPr>
        <w:sz w:val="20"/>
        <w:szCs w:val="20"/>
      </w:rPr>
      <w:t>18</w:t>
    </w:r>
    <w:r w:rsidRPr="00012450">
      <w:rPr>
        <w:sz w:val="20"/>
        <w:szCs w:val="20"/>
      </w:rPr>
      <w:t>0</w:t>
    </w:r>
    <w:r w:rsidRPr="00A87976">
      <w:rPr>
        <w:sz w:val="20"/>
        <w:szCs w:val="20"/>
      </w:rPr>
      <w:t xml:space="preserve">714; Ministru kabineta rīkojuma projekta </w:t>
    </w:r>
    <w:r w:rsidRPr="00A87976">
      <w:rPr>
        <w:bCs/>
        <w:sz w:val="20"/>
        <w:szCs w:val="20"/>
      </w:rPr>
      <w:t>„</w:t>
    </w:r>
    <w:r w:rsidRPr="00A87976">
      <w:rPr>
        <w:sz w:val="20"/>
        <w:szCs w:val="20"/>
      </w:rPr>
      <w:t>Par finanšu līdzekļu piešķiršanu no valsts budžeta programmas “Līdzekļi neparedzētiem gadījumiem</w:t>
    </w:r>
    <w:r w:rsidRPr="00A87976">
      <w:rPr>
        <w:bCs/>
        <w:sz w:val="20"/>
        <w:szCs w:val="20"/>
      </w:rPr>
      <w:t xml:space="preserve">”” sākotnējās ietekmes novērtējuma </w:t>
    </w:r>
    <w:smartTag w:uri="schemas-tilde-lv/tildestengine" w:element="veidnes">
      <w:smartTagPr>
        <w:attr w:name="id" w:val="-1"/>
        <w:attr w:name="baseform" w:val="ziņojums"/>
        <w:attr w:name="text" w:val="ziņojums"/>
      </w:smartTagPr>
      <w:r w:rsidRPr="00A87976">
        <w:rPr>
          <w:bCs/>
          <w:sz w:val="20"/>
          <w:szCs w:val="20"/>
        </w:rPr>
        <w:t>ziņojums</w:t>
      </w:r>
    </w:smartTag>
    <w:r w:rsidRPr="00A87976">
      <w:rPr>
        <w:bCs/>
        <w:sz w:val="20"/>
        <w:szCs w:val="20"/>
      </w:rPr>
      <w:t xml:space="preserve"> (anotācija)</w:t>
    </w:r>
  </w:p>
  <w:p w:rsidR="00A87976" w:rsidRDefault="00A87976">
    <w:pPr>
      <w:pStyle w:val="Footer"/>
    </w:pPr>
  </w:p>
  <w:p w:rsidR="00A87976" w:rsidRDefault="00A87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D1E" w:rsidRPr="00A87976" w:rsidRDefault="00B27D1E" w:rsidP="00B27D1E">
    <w:pPr>
      <w:pStyle w:val="NormalWeb"/>
      <w:spacing w:before="0" w:beforeAutospacing="0" w:after="0" w:afterAutospacing="0"/>
      <w:jc w:val="both"/>
      <w:rPr>
        <w:sz w:val="20"/>
        <w:szCs w:val="20"/>
      </w:rPr>
    </w:pPr>
    <w:r w:rsidRPr="00A87976">
      <w:rPr>
        <w:sz w:val="20"/>
        <w:szCs w:val="20"/>
      </w:rPr>
      <w:t>FMAnot_</w:t>
    </w:r>
    <w:r w:rsidRPr="00012450">
      <w:rPr>
        <w:sz w:val="20"/>
        <w:szCs w:val="20"/>
      </w:rPr>
      <w:t>180</w:t>
    </w:r>
    <w:r w:rsidRPr="00A87976">
      <w:rPr>
        <w:sz w:val="20"/>
        <w:szCs w:val="20"/>
      </w:rPr>
      <w:t xml:space="preserve">714; Ministru kabineta rīkojuma projekta </w:t>
    </w:r>
    <w:r w:rsidRPr="00A87976">
      <w:rPr>
        <w:bCs/>
        <w:sz w:val="20"/>
        <w:szCs w:val="20"/>
      </w:rPr>
      <w:t>„</w:t>
    </w:r>
    <w:r w:rsidRPr="00A87976">
      <w:rPr>
        <w:sz w:val="20"/>
        <w:szCs w:val="20"/>
      </w:rPr>
      <w:t>Par finanšu līdzekļu piešķiršanu no valsts budžeta programmas “Līdzekļi neparedzētiem gadījumiem</w:t>
    </w:r>
    <w:r w:rsidRPr="00A87976">
      <w:rPr>
        <w:bCs/>
        <w:sz w:val="20"/>
        <w:szCs w:val="20"/>
      </w:rPr>
      <w:t xml:space="preserve">”” sākotnējās ietekmes novērtējuma </w:t>
    </w:r>
    <w:smartTag w:uri="schemas-tilde-lv/tildestengine" w:element="veidnes">
      <w:smartTagPr>
        <w:attr w:name="id" w:val="-1"/>
        <w:attr w:name="baseform" w:val="ziņojums"/>
        <w:attr w:name="text" w:val="ziņojums"/>
      </w:smartTagPr>
      <w:r w:rsidRPr="00A87976">
        <w:rPr>
          <w:bCs/>
          <w:sz w:val="20"/>
          <w:szCs w:val="20"/>
        </w:rPr>
        <w:t>ziņojums</w:t>
      </w:r>
    </w:smartTag>
    <w:r w:rsidRPr="00A87976">
      <w:rPr>
        <w:bCs/>
        <w:sz w:val="20"/>
        <w:szCs w:val="20"/>
      </w:rPr>
      <w:t xml:space="preserve"> (anotācija)</w:t>
    </w:r>
  </w:p>
  <w:p w:rsidR="006807F6" w:rsidRDefault="006807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74F" w:rsidRDefault="00FA074F" w:rsidP="00A87976">
      <w:pPr>
        <w:spacing w:after="0" w:line="240" w:lineRule="auto"/>
      </w:pPr>
      <w:r>
        <w:separator/>
      </w:r>
    </w:p>
  </w:footnote>
  <w:footnote w:type="continuationSeparator" w:id="0">
    <w:p w:rsidR="00FA074F" w:rsidRDefault="00FA074F" w:rsidP="00A87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854662"/>
      <w:docPartObj>
        <w:docPartGallery w:val="Page Numbers (Top of Page)"/>
        <w:docPartUnique/>
      </w:docPartObj>
    </w:sdtPr>
    <w:sdtEndPr>
      <w:rPr>
        <w:rFonts w:ascii="Times New Roman" w:hAnsi="Times New Roman" w:cs="Times New Roman"/>
        <w:noProof/>
      </w:rPr>
    </w:sdtEndPr>
    <w:sdtContent>
      <w:p w:rsidR="00075FA5" w:rsidRPr="006807F6" w:rsidRDefault="00075FA5">
        <w:pPr>
          <w:pStyle w:val="Header"/>
          <w:jc w:val="center"/>
          <w:rPr>
            <w:rFonts w:ascii="Times New Roman" w:hAnsi="Times New Roman" w:cs="Times New Roman"/>
          </w:rPr>
        </w:pPr>
        <w:r w:rsidRPr="006807F6">
          <w:rPr>
            <w:rFonts w:ascii="Times New Roman" w:hAnsi="Times New Roman" w:cs="Times New Roman"/>
          </w:rPr>
          <w:fldChar w:fldCharType="begin"/>
        </w:r>
        <w:r w:rsidRPr="006807F6">
          <w:rPr>
            <w:rFonts w:ascii="Times New Roman" w:hAnsi="Times New Roman" w:cs="Times New Roman"/>
          </w:rPr>
          <w:instrText xml:space="preserve"> PAGE   \* MERGEFORMAT </w:instrText>
        </w:r>
        <w:r w:rsidRPr="006807F6">
          <w:rPr>
            <w:rFonts w:ascii="Times New Roman" w:hAnsi="Times New Roman" w:cs="Times New Roman"/>
          </w:rPr>
          <w:fldChar w:fldCharType="separate"/>
        </w:r>
        <w:r w:rsidR="004278BA">
          <w:rPr>
            <w:rFonts w:ascii="Times New Roman" w:hAnsi="Times New Roman" w:cs="Times New Roman"/>
            <w:noProof/>
          </w:rPr>
          <w:t>2</w:t>
        </w:r>
        <w:r w:rsidRPr="006807F6">
          <w:rPr>
            <w:rFonts w:ascii="Times New Roman" w:hAnsi="Times New Roman" w:cs="Times New Roman"/>
            <w:noProof/>
          </w:rPr>
          <w:fldChar w:fldCharType="end"/>
        </w:r>
      </w:p>
    </w:sdtContent>
  </w:sdt>
  <w:p w:rsidR="00075FA5" w:rsidRDefault="00075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52C50A5C"/>
    <w:multiLevelType w:val="hybridMultilevel"/>
    <w:tmpl w:val="27D685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75F915B1"/>
    <w:multiLevelType w:val="hybridMultilevel"/>
    <w:tmpl w:val="9AA89E58"/>
    <w:lvl w:ilvl="0" w:tplc="FDE6EF3C">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C773432"/>
    <w:multiLevelType w:val="hybridMultilevel"/>
    <w:tmpl w:val="CEFAF702"/>
    <w:lvl w:ilvl="0" w:tplc="84F299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B3"/>
    <w:rsid w:val="00012450"/>
    <w:rsid w:val="00026C97"/>
    <w:rsid w:val="00075FA5"/>
    <w:rsid w:val="000A3DB3"/>
    <w:rsid w:val="000C4BDE"/>
    <w:rsid w:val="000E618F"/>
    <w:rsid w:val="002F2BB9"/>
    <w:rsid w:val="003A69D7"/>
    <w:rsid w:val="004278BA"/>
    <w:rsid w:val="00584E72"/>
    <w:rsid w:val="006807F6"/>
    <w:rsid w:val="00680841"/>
    <w:rsid w:val="00A41EC7"/>
    <w:rsid w:val="00A87976"/>
    <w:rsid w:val="00B27D1E"/>
    <w:rsid w:val="00BC6A5C"/>
    <w:rsid w:val="00E3593E"/>
    <w:rsid w:val="00FA07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F6A3E1C-9053-4F76-AF2B-A5EE112CE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B3"/>
    <w:pPr>
      <w:spacing w:after="200" w:line="276" w:lineRule="auto"/>
    </w:pPr>
  </w:style>
  <w:style w:type="paragraph" w:styleId="Heading3">
    <w:name w:val="heading 3"/>
    <w:basedOn w:val="Normal"/>
    <w:link w:val="Heading3Char"/>
    <w:uiPriority w:val="9"/>
    <w:qFormat/>
    <w:rsid w:val="000A3DB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3DB3"/>
    <w:rPr>
      <w:rFonts w:ascii="Times New Roman" w:eastAsia="Times New Roman" w:hAnsi="Times New Roman" w:cs="Times New Roman"/>
      <w:b/>
      <w:bCs/>
      <w:sz w:val="27"/>
      <w:szCs w:val="27"/>
      <w:lang w:eastAsia="lv-LV"/>
    </w:rPr>
  </w:style>
  <w:style w:type="paragraph" w:customStyle="1" w:styleId="naisf">
    <w:name w:val="naisf"/>
    <w:basedOn w:val="Normal"/>
    <w:rsid w:val="000A3D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0A3D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0A3D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rsid w:val="000A3D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A3DB3"/>
    <w:pPr>
      <w:ind w:left="720"/>
      <w:contextualSpacing/>
    </w:pPr>
    <w:rPr>
      <w:rFonts w:ascii="Calibri" w:eastAsia="Calibri" w:hAnsi="Calibri" w:cs="Times New Roman"/>
    </w:rPr>
  </w:style>
  <w:style w:type="character" w:styleId="Emphasis">
    <w:name w:val="Emphasis"/>
    <w:basedOn w:val="DefaultParagraphFont"/>
    <w:qFormat/>
    <w:rsid w:val="000A3DB3"/>
    <w:rPr>
      <w:b/>
      <w:bCs/>
      <w:i w:val="0"/>
      <w:iCs w:val="0"/>
    </w:rPr>
  </w:style>
  <w:style w:type="paragraph" w:styleId="BodyText">
    <w:name w:val="Body Text"/>
    <w:basedOn w:val="Normal"/>
    <w:link w:val="BodyTextChar"/>
    <w:rsid w:val="00A87976"/>
    <w:pPr>
      <w:spacing w:after="0" w:line="240" w:lineRule="auto"/>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A87976"/>
    <w:rPr>
      <w:rFonts w:ascii="Times New Roman" w:eastAsia="Times New Roman" w:hAnsi="Times New Roman" w:cs="Times New Roman"/>
      <w:sz w:val="28"/>
      <w:szCs w:val="24"/>
    </w:rPr>
  </w:style>
  <w:style w:type="character" w:styleId="Hyperlink">
    <w:name w:val="Hyperlink"/>
    <w:rsid w:val="00A87976"/>
    <w:rPr>
      <w:color w:val="0000FF"/>
      <w:u w:val="single"/>
    </w:rPr>
  </w:style>
  <w:style w:type="paragraph" w:styleId="Header">
    <w:name w:val="header"/>
    <w:basedOn w:val="Normal"/>
    <w:link w:val="HeaderChar"/>
    <w:uiPriority w:val="99"/>
    <w:unhideWhenUsed/>
    <w:rsid w:val="00A879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7976"/>
  </w:style>
  <w:style w:type="paragraph" w:styleId="Footer">
    <w:name w:val="footer"/>
    <w:basedOn w:val="Normal"/>
    <w:link w:val="FooterChar"/>
    <w:uiPriority w:val="99"/>
    <w:unhideWhenUsed/>
    <w:rsid w:val="00A879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7976"/>
  </w:style>
  <w:style w:type="paragraph" w:styleId="BalloonText">
    <w:name w:val="Balloon Text"/>
    <w:basedOn w:val="Normal"/>
    <w:link w:val="BalloonTextChar"/>
    <w:uiPriority w:val="99"/>
    <w:semiHidden/>
    <w:unhideWhenUsed/>
    <w:rsid w:val="00E35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na.Kobzeva@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2861</Words>
  <Characters>1631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Rīkojuma projekta „Par finanšu līdzekļu piešķiršanu no valsts budžeta programmas “Līdzekļi neparedzētiem gadījumiem”” sākotnējās ietekmes novērtējuma ziņojums (anotācija)</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projekta „Par finanšu līdzekļu piešķiršanu no valsts budžeta programmas “Līdzekļi neparedzētiem gadījumiem”” sākotnējās ietekmes novērtējuma ziņojums (anotācija)</dc:title>
  <dc:subject>Anotācija</dc:subject>
  <dc:creator>Elīna Kobzeva</dc:creator>
  <cp:keywords/>
  <dc:description>Elina.Kobzeva@fm.gov.lv
Tālr.67083885</dc:description>
  <cp:lastModifiedBy>Windows User</cp:lastModifiedBy>
  <cp:revision>2</cp:revision>
  <cp:lastPrinted>2014-07-18T12:03:00Z</cp:lastPrinted>
  <dcterms:created xsi:type="dcterms:W3CDTF">2014-07-23T09:44:00Z</dcterms:created>
  <dcterms:modified xsi:type="dcterms:W3CDTF">2014-07-23T09:44:00Z</dcterms:modified>
</cp:coreProperties>
</file>