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B" w:rsidRPr="000225D5" w:rsidRDefault="002913D0" w:rsidP="007756FB">
      <w:pPr>
        <w:pStyle w:val="naislab"/>
        <w:jc w:val="center"/>
        <w:rPr>
          <w:b/>
        </w:rPr>
      </w:pPr>
      <w:r w:rsidRPr="000225D5">
        <w:rPr>
          <w:b/>
        </w:rPr>
        <w:t>Likum</w:t>
      </w:r>
      <w:r w:rsidR="007756FB" w:rsidRPr="000225D5">
        <w:rPr>
          <w:b/>
        </w:rPr>
        <w:t xml:space="preserve">projekta „Grozījumi </w:t>
      </w:r>
      <w:r w:rsidRPr="000225D5">
        <w:rPr>
          <w:b/>
        </w:rPr>
        <w:t>likumā „Par nodokļiem un nodevām</w:t>
      </w:r>
      <w:r w:rsidR="007756FB" w:rsidRPr="000225D5">
        <w:rPr>
          <w:b/>
        </w:rPr>
        <w:t>”” sākotnējās ietekmes novērtējuma ziņojums (anotācija)</w:t>
      </w:r>
    </w:p>
    <w:p w:rsidR="008961E6" w:rsidRPr="000225D5" w:rsidRDefault="008961E6" w:rsidP="00032C63">
      <w:pPr>
        <w:spacing w:line="270" w:lineRule="atLeast"/>
        <w:jc w:val="both"/>
        <w:rPr>
          <w:rStyle w:val="apple-style-sp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528"/>
      </w:tblGrid>
      <w:tr w:rsidR="000225D5" w:rsidRPr="000225D5" w:rsidTr="00743410">
        <w:trPr>
          <w:trHeight w:val="427"/>
        </w:trPr>
        <w:tc>
          <w:tcPr>
            <w:tcW w:w="9322" w:type="dxa"/>
            <w:gridSpan w:val="3"/>
            <w:hideMark/>
          </w:tcPr>
          <w:p w:rsidR="00032C63" w:rsidRPr="000225D5" w:rsidRDefault="00032C63" w:rsidP="00032C63">
            <w:pPr>
              <w:numPr>
                <w:ilvl w:val="0"/>
                <w:numId w:val="1"/>
              </w:numPr>
              <w:jc w:val="center"/>
              <w:rPr>
                <w:b/>
                <w:bCs/>
              </w:rPr>
            </w:pPr>
            <w:r w:rsidRPr="000225D5">
              <w:rPr>
                <w:b/>
                <w:bCs/>
              </w:rPr>
              <w:t>Tiesību akta projekta izstrādes nepieciešamība</w:t>
            </w:r>
          </w:p>
        </w:tc>
      </w:tr>
      <w:tr w:rsidR="000225D5" w:rsidRPr="000225D5" w:rsidTr="00880387">
        <w:tc>
          <w:tcPr>
            <w:tcW w:w="496" w:type="dxa"/>
            <w:hideMark/>
          </w:tcPr>
          <w:p w:rsidR="00032C63" w:rsidRPr="000225D5" w:rsidRDefault="00032C63" w:rsidP="00032C63">
            <w:r w:rsidRPr="000225D5">
              <w:t>1.</w:t>
            </w:r>
          </w:p>
        </w:tc>
        <w:tc>
          <w:tcPr>
            <w:tcW w:w="3298" w:type="dxa"/>
            <w:hideMark/>
          </w:tcPr>
          <w:p w:rsidR="00032C63" w:rsidRPr="000225D5" w:rsidRDefault="00032C63" w:rsidP="00032C63">
            <w:r w:rsidRPr="000225D5">
              <w:t>Pamatojums</w:t>
            </w:r>
          </w:p>
        </w:tc>
        <w:tc>
          <w:tcPr>
            <w:tcW w:w="5528" w:type="dxa"/>
            <w:hideMark/>
          </w:tcPr>
          <w:p w:rsidR="00032C63" w:rsidRPr="000225D5" w:rsidRDefault="00F43A58" w:rsidP="00774CA6">
            <w:pPr>
              <w:jc w:val="both"/>
            </w:pPr>
            <w:r>
              <w:t xml:space="preserve">Ministru kabineta 2014.gada 12.augusta sēdes protokollēmuma </w:t>
            </w:r>
            <w:r w:rsidRPr="00D4020D">
              <w:t>Nr.43</w:t>
            </w:r>
            <w:r w:rsidR="000B0A57" w:rsidRPr="00D4020D">
              <w:t>,</w:t>
            </w:r>
            <w:r w:rsidRPr="00D4020D">
              <w:t xml:space="preserve"> 59§</w:t>
            </w:r>
            <w:r>
              <w:t xml:space="preserve"> 5.1.apakšpunktā dotais uzdevums. </w:t>
            </w:r>
          </w:p>
        </w:tc>
      </w:tr>
      <w:tr w:rsidR="000225D5" w:rsidRPr="000225D5" w:rsidTr="00880387">
        <w:tc>
          <w:tcPr>
            <w:tcW w:w="496" w:type="dxa"/>
            <w:hideMark/>
          </w:tcPr>
          <w:p w:rsidR="00032C63" w:rsidRPr="000225D5" w:rsidRDefault="00032C63" w:rsidP="00032C63">
            <w:r w:rsidRPr="000225D5">
              <w:t>2.</w:t>
            </w:r>
          </w:p>
        </w:tc>
        <w:tc>
          <w:tcPr>
            <w:tcW w:w="3298" w:type="dxa"/>
            <w:hideMark/>
          </w:tcPr>
          <w:p w:rsidR="00032C63" w:rsidRPr="000225D5" w:rsidRDefault="003169F1" w:rsidP="003169F1">
            <w:pPr>
              <w:jc w:val="both"/>
            </w:pPr>
            <w:r w:rsidRPr="000225D5">
              <w:t>Pašreizējā situācija un problēmas, kuru risināšanai tiesību akta projekts izstrādāts, tiesiskā regulējuma mērķis un būtība</w:t>
            </w:r>
          </w:p>
        </w:tc>
        <w:tc>
          <w:tcPr>
            <w:tcW w:w="5528" w:type="dxa"/>
            <w:hideMark/>
          </w:tcPr>
          <w:p w:rsidR="00AD1EAE" w:rsidRDefault="00353D75" w:rsidP="00C944E6">
            <w:pPr>
              <w:jc w:val="both"/>
            </w:pPr>
            <w:r w:rsidRPr="000225D5">
              <w:t xml:space="preserve">Lai veicinātu labprātīgu nodokļu nomaksu un papildinātu regulējumu, </w:t>
            </w:r>
            <w:r w:rsidR="00F1451A">
              <w:t>lai</w:t>
            </w:r>
            <w:r w:rsidRPr="000225D5">
              <w:t xml:space="preserve"> finansiālās grūtībās nonākošie komersanti </w:t>
            </w:r>
            <w:r w:rsidR="00F1451A" w:rsidRPr="000225D5">
              <w:t>varē</w:t>
            </w:r>
            <w:r w:rsidR="00F1451A">
              <w:t>tu</w:t>
            </w:r>
            <w:r w:rsidR="00F1451A" w:rsidRPr="000225D5">
              <w:t xml:space="preserve"> </w:t>
            </w:r>
            <w:r w:rsidRPr="000225D5">
              <w:t xml:space="preserve">stabilizēt savu maksātspēju, paredzēts </w:t>
            </w:r>
            <w:r w:rsidR="00621E39" w:rsidRPr="000225D5">
              <w:t>pagarināt likuma „Par nodokļiem un nodevām” 24.panta pirmās daļas 3.punktā noteikto termi</w:t>
            </w:r>
            <w:r w:rsidR="00AD1EAE" w:rsidRPr="000225D5">
              <w:t>ņa pagarinājumu</w:t>
            </w:r>
            <w:r w:rsidR="00621E39" w:rsidRPr="000225D5">
              <w:t xml:space="preserve"> nodokļu (revīzijas) auditā papildus noteikto maksājumu nomaksa</w:t>
            </w:r>
            <w:r w:rsidR="00AD1EAE" w:rsidRPr="000225D5">
              <w:t>i</w:t>
            </w:r>
            <w:r w:rsidR="00621E39" w:rsidRPr="000225D5">
              <w:t xml:space="preserve"> līdz pieciem gadiem</w:t>
            </w:r>
            <w:r w:rsidRPr="000225D5">
              <w:t>.</w:t>
            </w:r>
            <w:r w:rsidR="00095671">
              <w:t xml:space="preserve"> </w:t>
            </w:r>
          </w:p>
          <w:p w:rsidR="00AC192F" w:rsidRDefault="00AC192F" w:rsidP="00AC192F">
            <w:pPr>
              <w:tabs>
                <w:tab w:val="left" w:pos="1134"/>
              </w:tabs>
              <w:jc w:val="both"/>
            </w:pPr>
          </w:p>
          <w:p w:rsidR="00F43A58" w:rsidRDefault="00F43A58" w:rsidP="00F43A58">
            <w:pPr>
              <w:jc w:val="both"/>
              <w:rPr>
                <w:szCs w:val="28"/>
              </w:rPr>
            </w:pPr>
            <w:r w:rsidRPr="00FD0838">
              <w:rPr>
                <w:szCs w:val="28"/>
              </w:rPr>
              <w:t xml:space="preserve">Lai </w:t>
            </w:r>
            <w:r>
              <w:rPr>
                <w:szCs w:val="28"/>
              </w:rPr>
              <w:t xml:space="preserve">īpaši atbalstītu tos nodokļu maksātājus, kas nonāca finansiālajās grūtībās saistībā ar Krievijas noteiktajiem ierobežojumiem Latvijas lauksaimniecības produkcijas importam </w:t>
            </w:r>
            <w:r w:rsidRPr="00FD0838">
              <w:rPr>
                <w:szCs w:val="28"/>
              </w:rPr>
              <w:t xml:space="preserve">būtu </w:t>
            </w:r>
            <w:r>
              <w:rPr>
                <w:szCs w:val="28"/>
              </w:rPr>
              <w:t>nepieciešams noteikt regulējumu nodokļu maksājumu termiņa pagarinājumu piešķiršanai, kas ļautu</w:t>
            </w:r>
            <w:r w:rsidRPr="00FD0838">
              <w:rPr>
                <w:szCs w:val="28"/>
              </w:rPr>
              <w:t xml:space="preserve"> nodokļu maksāt</w:t>
            </w:r>
            <w:r w:rsidR="00B75DCF">
              <w:rPr>
                <w:szCs w:val="28"/>
              </w:rPr>
              <w:t xml:space="preserve">ājiem, kuru sankcijām pakļauto </w:t>
            </w:r>
            <w:r w:rsidRPr="00FD0838">
              <w:rPr>
                <w:szCs w:val="28"/>
              </w:rPr>
              <w:t>eksporta</w:t>
            </w:r>
            <w:r w:rsidR="00B75DCF">
              <w:rPr>
                <w:szCs w:val="28"/>
              </w:rPr>
              <w:t xml:space="preserve"> darījumu īpatsvars uz Krieviju</w:t>
            </w:r>
            <w:r w:rsidRPr="00FD0838">
              <w:rPr>
                <w:szCs w:val="28"/>
              </w:rPr>
              <w:t xml:space="preserve"> ir lielāks par 10% no kopējā realizācijas apjoma, </w:t>
            </w:r>
            <w:r>
              <w:rPr>
                <w:szCs w:val="28"/>
              </w:rPr>
              <w:t xml:space="preserve">saņemt termiņa pagarinājumu līdz pieciem gadiem. Turklāt </w:t>
            </w:r>
            <w:r w:rsidRPr="00FD0838">
              <w:rPr>
                <w:szCs w:val="28"/>
              </w:rPr>
              <w:t>šāds pats kritērijs būtu piemērojams arī citiem nodokļu maksātājiem, kuru darbība ir saistīta ar sankcijām pakļauto preču eksportu un ražošanu (lauksaimniecība, transports, loģistika un nodokļu maksātāji, kas savu produkciju realizē citās ES valstīs eksportam uz Krieviju), piemēram, kā pierādījums tam būtu attiecīgu piegāžu un pakalpoju</w:t>
            </w:r>
            <w:r>
              <w:rPr>
                <w:szCs w:val="28"/>
              </w:rPr>
              <w:t xml:space="preserve">mu sniegšanas līgumu laušana. </w:t>
            </w:r>
          </w:p>
          <w:p w:rsidR="00F6234D" w:rsidRDefault="00F6234D" w:rsidP="00F43A58">
            <w:pPr>
              <w:jc w:val="both"/>
              <w:rPr>
                <w:szCs w:val="28"/>
              </w:rPr>
            </w:pPr>
          </w:p>
          <w:p w:rsidR="00F6234D" w:rsidRPr="00FD0838" w:rsidRDefault="00F6234D" w:rsidP="00F43A58">
            <w:pPr>
              <w:jc w:val="both"/>
              <w:rPr>
                <w:szCs w:val="28"/>
              </w:rPr>
            </w:pPr>
            <w:r>
              <w:rPr>
                <w:szCs w:val="28"/>
              </w:rPr>
              <w:t xml:space="preserve">Ņemot vērā ierobežotu skaitu nodokļu maksātāju, kuri varēs kvalificēties īpašai nodokļu maksājumu termiņa pagarinājumu piešķiršanas kārtībai, tiek precizēts vispārējais regulējums, kas paredz ierobežojumu  termiņa pagarinājuma piešķiršanu līdz vienam gadam </w:t>
            </w:r>
            <w:r w:rsidRPr="000E3F69">
              <w:rPr>
                <w:szCs w:val="28"/>
              </w:rPr>
              <w:t>(ierobežojums ir četras reizes vienā nodokļu veidā), nosakot ierobežojumu seš</w:t>
            </w:r>
            <w:r w:rsidR="000E3F69" w:rsidRPr="009856B7">
              <w:rPr>
                <w:szCs w:val="28"/>
              </w:rPr>
              <w:t>a</w:t>
            </w:r>
            <w:r w:rsidRPr="000E3F69">
              <w:rPr>
                <w:szCs w:val="28"/>
              </w:rPr>
              <w:t>s</w:t>
            </w:r>
            <w:r>
              <w:rPr>
                <w:szCs w:val="28"/>
              </w:rPr>
              <w:t xml:space="preserve"> reizes vienā nodokļu veidā. </w:t>
            </w:r>
          </w:p>
          <w:p w:rsidR="00AC192F" w:rsidRDefault="00AC192F" w:rsidP="00AC192F">
            <w:pPr>
              <w:tabs>
                <w:tab w:val="left" w:pos="1134"/>
              </w:tabs>
              <w:jc w:val="both"/>
            </w:pPr>
          </w:p>
          <w:p w:rsidR="00AC192F" w:rsidRDefault="00AC192F" w:rsidP="00AC192F">
            <w:pPr>
              <w:tabs>
                <w:tab w:val="left" w:pos="1134"/>
              </w:tabs>
              <w:jc w:val="both"/>
            </w:pPr>
            <w:r w:rsidRPr="000225D5">
              <w:t>Lai palīdzētu finansiālajās grūtībās nonākušajiem komersantiem, likumprojektā ir iekļauts regulējums, kas paredz iespēju nodokļu maksātājam sadalīt termiņos līdz trīs gadiem nokavēto</w:t>
            </w:r>
            <w:r w:rsidR="00F6234D">
              <w:t>s</w:t>
            </w:r>
            <w:r w:rsidRPr="000225D5">
              <w:t xml:space="preserve"> nodokļu maksājumu</w:t>
            </w:r>
            <w:r w:rsidR="00F6234D">
              <w:t>s piedziņas procesa ietvaros</w:t>
            </w:r>
            <w:r w:rsidRPr="000225D5">
              <w:t xml:space="preserve">. Nokavējuma nauda šajā gadījumā tiek aprēķināta pilnā apmērā, pamatojoties uz likuma „Par nodokļiem un nodevām” 29.panta otro daļu. </w:t>
            </w:r>
          </w:p>
          <w:p w:rsidR="00AC192F" w:rsidRDefault="00AC192F" w:rsidP="00AC192F">
            <w:pPr>
              <w:tabs>
                <w:tab w:val="left" w:pos="1134"/>
              </w:tabs>
              <w:jc w:val="both"/>
            </w:pPr>
          </w:p>
          <w:p w:rsidR="00AE27B2" w:rsidRPr="000225D5" w:rsidRDefault="00AC192F" w:rsidP="00C944E6">
            <w:pPr>
              <w:tabs>
                <w:tab w:val="left" w:pos="1134"/>
              </w:tabs>
              <w:jc w:val="both"/>
            </w:pPr>
            <w:r w:rsidRPr="000225D5">
              <w:lastRenderedPageBreak/>
              <w:t xml:space="preserve">Ņemot vērā to, ka likuma „Par </w:t>
            </w:r>
            <w:r>
              <w:t>n</w:t>
            </w:r>
            <w:r w:rsidRPr="000225D5">
              <w:t xml:space="preserve">odokļiem un nodevām” 24.panta pirmās daļas 3.punkts ir precizēts un ir paredzēta iespēja sadalīt audita rezultātā papildu noteiktos maksājumus līdz pieciem gadiem, lai efektīvāk iedarbinātu </w:t>
            </w:r>
            <w:r w:rsidR="00F1451A">
              <w:t xml:space="preserve">minētā </w:t>
            </w:r>
            <w:r w:rsidRPr="000225D5">
              <w:t xml:space="preserve">likuma 41.pantā paredzēto iespēju vienoties ar nodokļu maksātāju, likumprojektā ir iekļauts regulējums, kas paredz vienošanās līguma ietvaros veikt papildu noteiktos maksājumus viena gada laikā. </w:t>
            </w:r>
            <w:r w:rsidR="00F43A58">
              <w:t>Turklāt ir nepieciešams noteikt iespēju vienoties par papildus uzrēķināto maksājumu samazināšanu ne tikai revīzijas</w:t>
            </w:r>
            <w:r w:rsidR="00F1451A">
              <w:t xml:space="preserve"> </w:t>
            </w:r>
            <w:r w:rsidR="00F43A58">
              <w:t xml:space="preserve">(audita) ietvaros, bet arī datu atbilstības pārbaudes rezultātā. </w:t>
            </w:r>
            <w:r w:rsidR="0078188D">
              <w:t xml:space="preserve">Regulējums ir vērsts uz labprātīgās nodokļu nomaksas veicināšanu, ierobežojot iespēju nepildīt nodokļu saistības, kas savukārt ilgtermiņā var uzlabot nodokļu maksātāju maksātspēju un novērsīs iespējamo zaudējumu rašanos nodokļu maksātājam.  </w:t>
            </w:r>
          </w:p>
        </w:tc>
      </w:tr>
      <w:tr w:rsidR="000225D5" w:rsidRPr="000225D5" w:rsidTr="00880387">
        <w:tc>
          <w:tcPr>
            <w:tcW w:w="496" w:type="dxa"/>
            <w:hideMark/>
          </w:tcPr>
          <w:p w:rsidR="00032C63" w:rsidRPr="000225D5" w:rsidRDefault="00431C1A" w:rsidP="00032C63">
            <w:r w:rsidRPr="000225D5">
              <w:lastRenderedPageBreak/>
              <w:t>3.</w:t>
            </w:r>
          </w:p>
        </w:tc>
        <w:tc>
          <w:tcPr>
            <w:tcW w:w="3298" w:type="dxa"/>
            <w:hideMark/>
          </w:tcPr>
          <w:p w:rsidR="00032C63" w:rsidRPr="000225D5" w:rsidRDefault="00431C1A" w:rsidP="00032C63">
            <w:r w:rsidRPr="000225D5">
              <w:t>Projekta izstrādē iesaistītās institūcijas</w:t>
            </w:r>
          </w:p>
        </w:tc>
        <w:tc>
          <w:tcPr>
            <w:tcW w:w="5528" w:type="dxa"/>
            <w:hideMark/>
          </w:tcPr>
          <w:p w:rsidR="00032C63" w:rsidRPr="0078188D" w:rsidRDefault="0060078A" w:rsidP="008D6F5F">
            <w:pPr>
              <w:jc w:val="both"/>
              <w:rPr>
                <w:bCs/>
              </w:rPr>
            </w:pPr>
            <w:r w:rsidRPr="0078188D">
              <w:t xml:space="preserve">Finanšu ministrija, </w:t>
            </w:r>
            <w:r w:rsidR="0078188D" w:rsidRPr="0078188D">
              <w:rPr>
                <w:bCs/>
              </w:rPr>
              <w:t>Latvijas Darba devēju konfederācija, Latvijas Pašvaldību savienība, Latvijas Brīvo arodbiedrību savienība, Latvijas Tirdzniecības un rūpniecības kamera, Autopārvadātāju asociācija</w:t>
            </w:r>
            <w:r w:rsidR="0078188D">
              <w:rPr>
                <w:bCs/>
              </w:rPr>
              <w:t>.</w:t>
            </w:r>
          </w:p>
        </w:tc>
      </w:tr>
      <w:tr w:rsidR="000225D5" w:rsidRPr="000225D5" w:rsidTr="00880387">
        <w:tc>
          <w:tcPr>
            <w:tcW w:w="496" w:type="dxa"/>
            <w:hideMark/>
          </w:tcPr>
          <w:p w:rsidR="00032C63" w:rsidRPr="000225D5" w:rsidRDefault="00431C1A" w:rsidP="00032C63">
            <w:r w:rsidRPr="000225D5">
              <w:t>4.</w:t>
            </w:r>
          </w:p>
        </w:tc>
        <w:tc>
          <w:tcPr>
            <w:tcW w:w="3298" w:type="dxa"/>
            <w:hideMark/>
          </w:tcPr>
          <w:p w:rsidR="00032C63" w:rsidRPr="000225D5" w:rsidRDefault="00032C63" w:rsidP="00032C63">
            <w:r w:rsidRPr="000225D5">
              <w:t>Cita informācija</w:t>
            </w:r>
          </w:p>
        </w:tc>
        <w:tc>
          <w:tcPr>
            <w:tcW w:w="5528" w:type="dxa"/>
            <w:hideMark/>
          </w:tcPr>
          <w:p w:rsidR="00032C63" w:rsidRPr="000225D5" w:rsidRDefault="00FF4A22" w:rsidP="0060078A">
            <w:pPr>
              <w:jc w:val="both"/>
            </w:pPr>
            <w:r w:rsidRPr="000225D5">
              <w:t xml:space="preserve"> </w:t>
            </w:r>
            <w:r w:rsidR="000B0A57" w:rsidRPr="00D4020D">
              <w:t>Nav</w:t>
            </w:r>
          </w:p>
        </w:tc>
      </w:tr>
    </w:tbl>
    <w:p w:rsidR="00032C63" w:rsidRPr="000225D5"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3264"/>
        <w:gridCol w:w="5386"/>
      </w:tblGrid>
      <w:tr w:rsidR="000225D5" w:rsidRPr="000225D5"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0225D5" w:rsidRDefault="00032C63" w:rsidP="00032C63">
            <w:pPr>
              <w:pStyle w:val="NormalWeb"/>
              <w:jc w:val="center"/>
              <w:rPr>
                <w:b/>
                <w:bCs/>
              </w:rPr>
            </w:pPr>
            <w:r w:rsidRPr="000225D5">
              <w:rPr>
                <w:b/>
                <w:bCs/>
              </w:rPr>
              <w:t>II. Tiesību akta projekta ietekme uz sabiedrību</w:t>
            </w:r>
            <w:r w:rsidR="00431C1A" w:rsidRPr="000225D5">
              <w:rPr>
                <w:b/>
                <w:bCs/>
              </w:rPr>
              <w:t>, tautsaimniecības attīstību un administratīvo slogu</w:t>
            </w:r>
          </w:p>
        </w:tc>
      </w:tr>
      <w:tr w:rsidR="000225D5" w:rsidRPr="000225D5" w:rsidTr="009553B5">
        <w:tc>
          <w:tcPr>
            <w:tcW w:w="378" w:type="pct"/>
            <w:tcBorders>
              <w:top w:val="outset" w:sz="6" w:space="0" w:color="000000"/>
              <w:left w:val="outset" w:sz="6" w:space="0" w:color="000000"/>
              <w:bottom w:val="outset" w:sz="6" w:space="0" w:color="000000"/>
              <w:right w:val="outset" w:sz="6" w:space="0" w:color="000000"/>
            </w:tcBorders>
          </w:tcPr>
          <w:p w:rsidR="00032C63" w:rsidRPr="000225D5" w:rsidRDefault="00032C63" w:rsidP="00032C63">
            <w:pPr>
              <w:pStyle w:val="NormalWeb"/>
            </w:pPr>
            <w:r w:rsidRPr="000225D5">
              <w:t>1.</w:t>
            </w:r>
          </w:p>
        </w:tc>
        <w:tc>
          <w:tcPr>
            <w:tcW w:w="1744" w:type="pct"/>
            <w:tcBorders>
              <w:top w:val="outset" w:sz="6" w:space="0" w:color="000000"/>
              <w:left w:val="outset" w:sz="6" w:space="0" w:color="000000"/>
              <w:bottom w:val="outset" w:sz="6" w:space="0" w:color="000000"/>
              <w:right w:val="outset" w:sz="6" w:space="0" w:color="000000"/>
            </w:tcBorders>
          </w:tcPr>
          <w:p w:rsidR="00032C63" w:rsidRPr="000225D5" w:rsidRDefault="00032C63" w:rsidP="00431C1A">
            <w:pPr>
              <w:pStyle w:val="NormalWeb"/>
            </w:pPr>
            <w:r w:rsidRPr="000225D5">
              <w:t>Sabiedrības mērķgrupa</w:t>
            </w:r>
            <w:r w:rsidR="00431C1A" w:rsidRPr="000225D5">
              <w:t>s,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rsidR="004E4573" w:rsidRPr="000225D5" w:rsidRDefault="007444DF" w:rsidP="009856B7">
            <w:pPr>
              <w:pStyle w:val="NormalWeb"/>
              <w:spacing w:before="0" w:beforeAutospacing="0" w:after="0" w:afterAutospacing="0"/>
              <w:jc w:val="both"/>
            </w:pPr>
            <w:r w:rsidRPr="000225D5">
              <w:t>Likumprojekta tiesiskais regulējums attiecināms gan uz nodokļu administrāciju, t.i., V</w:t>
            </w:r>
            <w:r w:rsidR="00F1451A">
              <w:t>alsts ieņēmumu dienestu</w:t>
            </w:r>
            <w:r w:rsidRPr="000225D5">
              <w:t xml:space="preserve">, gan arī </w:t>
            </w:r>
            <w:r w:rsidR="00395E39">
              <w:t>tiem nodokļu maksātājiem</w:t>
            </w:r>
            <w:r w:rsidR="009856B7">
              <w:t>, kas ir nonākuši finansiālajās grūtībās un grib, sadarbojoties ar nodokļu administrāciju, atjaunot maksātspēju</w:t>
            </w:r>
            <w:r w:rsidR="00395E39">
              <w:t xml:space="preserve">. </w:t>
            </w:r>
          </w:p>
        </w:tc>
      </w:tr>
      <w:tr w:rsidR="000225D5" w:rsidRPr="000225D5" w:rsidTr="009553B5">
        <w:tc>
          <w:tcPr>
            <w:tcW w:w="378" w:type="pct"/>
            <w:tcBorders>
              <w:top w:val="outset" w:sz="6" w:space="0" w:color="000000"/>
              <w:left w:val="outset" w:sz="6" w:space="0" w:color="000000"/>
              <w:bottom w:val="outset" w:sz="6" w:space="0" w:color="000000"/>
              <w:right w:val="outset" w:sz="6" w:space="0" w:color="000000"/>
            </w:tcBorders>
          </w:tcPr>
          <w:p w:rsidR="00032C63" w:rsidRPr="000225D5" w:rsidRDefault="00032C63" w:rsidP="00032C63">
            <w:pPr>
              <w:pStyle w:val="NormalWeb"/>
            </w:pPr>
            <w:r w:rsidRPr="000225D5">
              <w:t>2.</w:t>
            </w:r>
          </w:p>
        </w:tc>
        <w:tc>
          <w:tcPr>
            <w:tcW w:w="1744" w:type="pct"/>
            <w:tcBorders>
              <w:top w:val="outset" w:sz="6" w:space="0" w:color="000000"/>
              <w:left w:val="outset" w:sz="6" w:space="0" w:color="000000"/>
              <w:bottom w:val="outset" w:sz="6" w:space="0" w:color="000000"/>
              <w:right w:val="outset" w:sz="6" w:space="0" w:color="000000"/>
            </w:tcBorders>
          </w:tcPr>
          <w:p w:rsidR="00032C63" w:rsidRPr="000225D5" w:rsidRDefault="00431C1A" w:rsidP="00431C1A">
            <w:pPr>
              <w:pStyle w:val="NormalWeb"/>
              <w:jc w:val="both"/>
            </w:pPr>
            <w:r w:rsidRPr="000225D5">
              <w:t>Tiesiskā regulējuma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rsidR="0078188D" w:rsidRPr="000225D5" w:rsidRDefault="0078188D" w:rsidP="00697780">
            <w:pPr>
              <w:pStyle w:val="NormalWeb"/>
              <w:jc w:val="both"/>
            </w:pPr>
            <w:r>
              <w:t xml:space="preserve">Sabiedrības grupām un institūcijām projekta tiesiskais regulējums nemaina tiesības un pienākumus, kā arī  veicamās darbības.   </w:t>
            </w:r>
          </w:p>
        </w:tc>
      </w:tr>
      <w:tr w:rsidR="000225D5" w:rsidRPr="000225D5" w:rsidTr="009553B5">
        <w:tc>
          <w:tcPr>
            <w:tcW w:w="378" w:type="pct"/>
            <w:tcBorders>
              <w:top w:val="outset" w:sz="6" w:space="0" w:color="000000"/>
              <w:left w:val="outset" w:sz="6" w:space="0" w:color="000000"/>
              <w:bottom w:val="outset" w:sz="6" w:space="0" w:color="000000"/>
              <w:right w:val="outset" w:sz="6" w:space="0" w:color="000000"/>
            </w:tcBorders>
          </w:tcPr>
          <w:p w:rsidR="00032C63" w:rsidRPr="000225D5" w:rsidRDefault="00032C63" w:rsidP="00032C63">
            <w:pPr>
              <w:pStyle w:val="NormalWeb"/>
            </w:pPr>
            <w:r w:rsidRPr="000225D5">
              <w:t>3.</w:t>
            </w:r>
          </w:p>
        </w:tc>
        <w:tc>
          <w:tcPr>
            <w:tcW w:w="1744" w:type="pct"/>
            <w:tcBorders>
              <w:top w:val="outset" w:sz="6" w:space="0" w:color="000000"/>
              <w:left w:val="outset" w:sz="6" w:space="0" w:color="000000"/>
              <w:bottom w:val="outset" w:sz="6" w:space="0" w:color="000000"/>
              <w:right w:val="outset" w:sz="6" w:space="0" w:color="000000"/>
            </w:tcBorders>
          </w:tcPr>
          <w:p w:rsidR="00032C63" w:rsidRPr="000225D5" w:rsidRDefault="00431C1A" w:rsidP="00032C63">
            <w:pPr>
              <w:pStyle w:val="NormalWeb"/>
            </w:pPr>
            <w:r w:rsidRPr="000225D5">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rsidR="00032C63" w:rsidRPr="000225D5" w:rsidRDefault="00295D20" w:rsidP="00032C63">
            <w:pPr>
              <w:pStyle w:val="NormalWeb"/>
              <w:spacing w:before="0" w:beforeAutospacing="0" w:after="0" w:afterAutospacing="0"/>
              <w:jc w:val="both"/>
            </w:pPr>
            <w:r>
              <w:t>Saskaņā ar II sadaļas 2.punktā minēto nav nepieciešams veikt monetāro novērtējumu.</w:t>
            </w:r>
            <w:r w:rsidR="007756FB" w:rsidRPr="000225D5">
              <w:t xml:space="preserve"> </w:t>
            </w:r>
          </w:p>
        </w:tc>
      </w:tr>
      <w:tr w:rsidR="000225D5" w:rsidRPr="000225D5" w:rsidTr="009553B5">
        <w:tc>
          <w:tcPr>
            <w:tcW w:w="378" w:type="pct"/>
            <w:tcBorders>
              <w:top w:val="outset" w:sz="6" w:space="0" w:color="000000"/>
              <w:left w:val="outset" w:sz="6" w:space="0" w:color="000000"/>
              <w:bottom w:val="outset" w:sz="6" w:space="0" w:color="000000"/>
              <w:right w:val="outset" w:sz="6" w:space="0" w:color="000000"/>
            </w:tcBorders>
          </w:tcPr>
          <w:p w:rsidR="00032C63" w:rsidRPr="000225D5" w:rsidRDefault="00431C1A" w:rsidP="00032C63">
            <w:pPr>
              <w:pStyle w:val="NormalWeb"/>
            </w:pPr>
            <w:r w:rsidRPr="000225D5">
              <w:t>4</w:t>
            </w:r>
            <w:r w:rsidR="00032C63" w:rsidRPr="000225D5">
              <w:t>.</w:t>
            </w:r>
          </w:p>
        </w:tc>
        <w:tc>
          <w:tcPr>
            <w:tcW w:w="1744" w:type="pct"/>
            <w:tcBorders>
              <w:top w:val="outset" w:sz="6" w:space="0" w:color="000000"/>
              <w:left w:val="outset" w:sz="6" w:space="0" w:color="000000"/>
              <w:bottom w:val="outset" w:sz="6" w:space="0" w:color="000000"/>
              <w:right w:val="outset" w:sz="6" w:space="0" w:color="000000"/>
            </w:tcBorders>
          </w:tcPr>
          <w:p w:rsidR="00032C63" w:rsidRPr="000225D5" w:rsidRDefault="00032C63" w:rsidP="00032C63">
            <w:pPr>
              <w:pStyle w:val="NormalWeb"/>
            </w:pPr>
            <w:r w:rsidRPr="000225D5">
              <w:t>Cita informācija</w:t>
            </w:r>
          </w:p>
        </w:tc>
        <w:tc>
          <w:tcPr>
            <w:tcW w:w="2879" w:type="pct"/>
            <w:tcBorders>
              <w:top w:val="outset" w:sz="6" w:space="0" w:color="000000"/>
              <w:left w:val="outset" w:sz="6" w:space="0" w:color="000000"/>
              <w:bottom w:val="outset" w:sz="6" w:space="0" w:color="000000"/>
              <w:right w:val="outset" w:sz="6" w:space="0" w:color="000000"/>
            </w:tcBorders>
          </w:tcPr>
          <w:p w:rsidR="00032C63" w:rsidRPr="000225D5" w:rsidRDefault="00032C63" w:rsidP="00032C63">
            <w:pPr>
              <w:pStyle w:val="NormalWeb"/>
            </w:pPr>
            <w:r w:rsidRPr="000225D5">
              <w:t>Nav</w:t>
            </w:r>
          </w:p>
        </w:tc>
      </w:tr>
    </w:tbl>
    <w:p w:rsidR="00032C63" w:rsidRPr="000225D5" w:rsidRDefault="00032C63"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545"/>
        <w:gridCol w:w="994"/>
        <w:gridCol w:w="1230"/>
        <w:gridCol w:w="1183"/>
        <w:gridCol w:w="1115"/>
        <w:gridCol w:w="1291"/>
      </w:tblGrid>
      <w:tr w:rsidR="000225D5" w:rsidRPr="000225D5" w:rsidTr="00FF735C">
        <w:tc>
          <w:tcPr>
            <w:tcW w:w="5000" w:type="pct"/>
            <w:gridSpan w:val="6"/>
            <w:tcBorders>
              <w:top w:val="single" w:sz="4" w:space="0" w:color="auto"/>
              <w:left w:val="single" w:sz="4" w:space="0" w:color="auto"/>
              <w:bottom w:val="single" w:sz="4" w:space="0" w:color="auto"/>
              <w:right w:val="single" w:sz="4" w:space="0" w:color="auto"/>
            </w:tcBorders>
          </w:tcPr>
          <w:p w:rsidR="00A119B1" w:rsidRPr="000225D5" w:rsidRDefault="00A119B1" w:rsidP="00A119B1">
            <w:pPr>
              <w:jc w:val="center"/>
            </w:pPr>
            <w:r w:rsidRPr="000225D5">
              <w:br w:type="page"/>
            </w:r>
          </w:p>
          <w:p w:rsidR="00A119B1" w:rsidRPr="000225D5" w:rsidRDefault="00A119B1" w:rsidP="00A119B1">
            <w:pPr>
              <w:jc w:val="center"/>
              <w:rPr>
                <w:b/>
                <w:i/>
              </w:rPr>
            </w:pPr>
            <w:r w:rsidRPr="000225D5">
              <w:rPr>
                <w:b/>
                <w:bCs/>
              </w:rPr>
              <w:t>III. Tiesību akta projekta ietekme uz valsts budžetu un pašvaldību budžetiem</w:t>
            </w:r>
          </w:p>
        </w:tc>
      </w:tr>
      <w:tr w:rsidR="000225D5" w:rsidRPr="000225D5" w:rsidTr="00C35D53">
        <w:tc>
          <w:tcPr>
            <w:tcW w:w="3082" w:type="pct"/>
            <w:gridSpan w:val="3"/>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i/>
              </w:rPr>
            </w:pPr>
          </w:p>
        </w:tc>
        <w:tc>
          <w:tcPr>
            <w:tcW w:w="1918" w:type="pct"/>
            <w:gridSpan w:val="3"/>
            <w:tcBorders>
              <w:top w:val="single" w:sz="4" w:space="0" w:color="auto"/>
              <w:left w:val="single" w:sz="4" w:space="0" w:color="auto"/>
              <w:bottom w:val="single" w:sz="4" w:space="0" w:color="auto"/>
              <w:right w:val="single" w:sz="4" w:space="0" w:color="auto"/>
            </w:tcBorders>
          </w:tcPr>
          <w:p w:rsidR="00A119B1" w:rsidRPr="000225D5" w:rsidRDefault="00A119B1" w:rsidP="00F52F64">
            <w:pPr>
              <w:jc w:val="center"/>
            </w:pPr>
            <w:r w:rsidRPr="000225D5">
              <w:t>(</w:t>
            </w:r>
            <w:r w:rsidR="00F52F64" w:rsidRPr="000225D5">
              <w:rPr>
                <w:i/>
              </w:rPr>
              <w:t>euro</w:t>
            </w:r>
            <w:r w:rsidRPr="000225D5">
              <w:t>)</w:t>
            </w:r>
          </w:p>
        </w:tc>
      </w:tr>
      <w:tr w:rsidR="000225D5" w:rsidRPr="000225D5" w:rsidTr="00C35D53">
        <w:tc>
          <w:tcPr>
            <w:tcW w:w="1894" w:type="pct"/>
            <w:vMerge w:val="restart"/>
            <w:tcBorders>
              <w:top w:val="single" w:sz="4" w:space="0" w:color="auto"/>
              <w:left w:val="single" w:sz="4" w:space="0" w:color="auto"/>
              <w:bottom w:val="single" w:sz="12" w:space="0" w:color="auto"/>
              <w:right w:val="single" w:sz="4" w:space="0" w:color="auto"/>
            </w:tcBorders>
            <w:vAlign w:val="bottom"/>
          </w:tcPr>
          <w:p w:rsidR="00A119B1" w:rsidRPr="000225D5" w:rsidRDefault="00A119B1" w:rsidP="00A119B1">
            <w:pPr>
              <w:pStyle w:val="naisf"/>
              <w:spacing w:before="0" w:after="0"/>
              <w:jc w:val="center"/>
            </w:pPr>
            <w:r w:rsidRPr="000225D5">
              <w:t>Rādītāji</w:t>
            </w:r>
          </w:p>
          <w:p w:rsidR="00A119B1" w:rsidRPr="000225D5" w:rsidRDefault="00A119B1" w:rsidP="00A119B1">
            <w:pPr>
              <w:pStyle w:val="naisf"/>
              <w:spacing w:before="0" w:after="0"/>
              <w:jc w:val="center"/>
              <w:rPr>
                <w:b/>
              </w:rPr>
            </w:pPr>
          </w:p>
        </w:tc>
        <w:tc>
          <w:tcPr>
            <w:tcW w:w="1188" w:type="pct"/>
            <w:gridSpan w:val="2"/>
            <w:vMerge w:val="restart"/>
            <w:tcBorders>
              <w:top w:val="single" w:sz="4" w:space="0" w:color="auto"/>
              <w:left w:val="single" w:sz="4" w:space="0" w:color="auto"/>
              <w:bottom w:val="single" w:sz="4" w:space="0" w:color="auto"/>
              <w:right w:val="single" w:sz="4" w:space="0" w:color="auto"/>
            </w:tcBorders>
            <w:vAlign w:val="bottom"/>
          </w:tcPr>
          <w:p w:rsidR="00A119B1" w:rsidRPr="000225D5" w:rsidRDefault="00973DC5" w:rsidP="00D757C2">
            <w:pPr>
              <w:pStyle w:val="naisf"/>
              <w:spacing w:before="0" w:after="0"/>
              <w:jc w:val="center"/>
            </w:pPr>
            <w:r w:rsidRPr="000225D5">
              <w:t>201</w:t>
            </w:r>
            <w:r w:rsidR="00D757C2">
              <w:t>4</w:t>
            </w:r>
          </w:p>
        </w:tc>
        <w:tc>
          <w:tcPr>
            <w:tcW w:w="1918" w:type="pct"/>
            <w:gridSpan w:val="3"/>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rPr>
                <w:i/>
              </w:rPr>
            </w:pPr>
            <w:r w:rsidRPr="000225D5">
              <w:t>Turpmākie trīs gadi</w:t>
            </w:r>
          </w:p>
        </w:tc>
      </w:tr>
      <w:tr w:rsidR="000225D5" w:rsidRPr="000225D5" w:rsidTr="00C35D53">
        <w:tc>
          <w:tcPr>
            <w:tcW w:w="1894" w:type="pct"/>
            <w:vMerge/>
            <w:tcBorders>
              <w:top w:val="single" w:sz="12" w:space="0" w:color="auto"/>
              <w:left w:val="single" w:sz="4" w:space="0" w:color="auto"/>
              <w:bottom w:val="single" w:sz="12" w:space="0" w:color="auto"/>
              <w:right w:val="single" w:sz="4" w:space="0" w:color="auto"/>
            </w:tcBorders>
          </w:tcPr>
          <w:p w:rsidR="00A119B1" w:rsidRPr="000225D5" w:rsidRDefault="00A119B1" w:rsidP="00A119B1">
            <w:pPr>
              <w:pStyle w:val="naisf"/>
              <w:spacing w:before="0" w:after="0"/>
              <w:ind w:firstLine="0"/>
              <w:rPr>
                <w:b/>
                <w:i/>
              </w:rPr>
            </w:pPr>
          </w:p>
        </w:tc>
        <w:tc>
          <w:tcPr>
            <w:tcW w:w="1188" w:type="pct"/>
            <w:gridSpan w:val="2"/>
            <w:vMerge/>
            <w:tcBorders>
              <w:top w:val="single" w:sz="12"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i/>
              </w:rPr>
            </w:pPr>
          </w:p>
        </w:tc>
        <w:tc>
          <w:tcPr>
            <w:tcW w:w="632" w:type="pct"/>
            <w:tcBorders>
              <w:top w:val="single" w:sz="4" w:space="0" w:color="auto"/>
              <w:left w:val="single" w:sz="4" w:space="0" w:color="auto"/>
              <w:bottom w:val="single" w:sz="4" w:space="0" w:color="auto"/>
              <w:right w:val="single" w:sz="4" w:space="0" w:color="auto"/>
            </w:tcBorders>
          </w:tcPr>
          <w:p w:rsidR="00A119B1" w:rsidRPr="000225D5" w:rsidRDefault="00973DC5" w:rsidP="00D757C2">
            <w:pPr>
              <w:pStyle w:val="naisf"/>
              <w:spacing w:before="0" w:after="0"/>
              <w:ind w:firstLine="0"/>
              <w:jc w:val="center"/>
              <w:rPr>
                <w:i/>
              </w:rPr>
            </w:pPr>
            <w:r w:rsidRPr="000225D5">
              <w:rPr>
                <w:bCs/>
              </w:rPr>
              <w:t>201</w:t>
            </w:r>
            <w:r w:rsidR="00D757C2">
              <w:rPr>
                <w:bCs/>
              </w:rPr>
              <w:t>5</w:t>
            </w:r>
          </w:p>
        </w:tc>
        <w:tc>
          <w:tcPr>
            <w:tcW w:w="596" w:type="pct"/>
            <w:tcBorders>
              <w:top w:val="single" w:sz="4" w:space="0" w:color="auto"/>
              <w:left w:val="single" w:sz="4" w:space="0" w:color="auto"/>
              <w:bottom w:val="single" w:sz="4" w:space="0" w:color="auto"/>
              <w:right w:val="single" w:sz="4" w:space="0" w:color="auto"/>
            </w:tcBorders>
          </w:tcPr>
          <w:p w:rsidR="00A119B1" w:rsidRPr="000225D5" w:rsidRDefault="00973DC5" w:rsidP="00D757C2">
            <w:pPr>
              <w:pStyle w:val="naisf"/>
              <w:spacing w:before="0" w:after="0"/>
              <w:ind w:firstLine="0"/>
              <w:jc w:val="center"/>
              <w:rPr>
                <w:i/>
              </w:rPr>
            </w:pPr>
            <w:r w:rsidRPr="000225D5">
              <w:rPr>
                <w:bCs/>
              </w:rPr>
              <w:t>201</w:t>
            </w:r>
            <w:r w:rsidR="00D757C2">
              <w:rPr>
                <w:bCs/>
              </w:rPr>
              <w:t>6</w:t>
            </w:r>
          </w:p>
        </w:tc>
        <w:tc>
          <w:tcPr>
            <w:tcW w:w="690" w:type="pct"/>
            <w:tcBorders>
              <w:top w:val="single" w:sz="4" w:space="0" w:color="auto"/>
              <w:left w:val="single" w:sz="4" w:space="0" w:color="auto"/>
              <w:bottom w:val="single" w:sz="4" w:space="0" w:color="auto"/>
              <w:right w:val="single" w:sz="4" w:space="0" w:color="auto"/>
            </w:tcBorders>
          </w:tcPr>
          <w:p w:rsidR="00A119B1" w:rsidRPr="000225D5" w:rsidRDefault="00973DC5" w:rsidP="00D757C2">
            <w:pPr>
              <w:pStyle w:val="naisf"/>
              <w:spacing w:before="0" w:after="0"/>
              <w:ind w:firstLine="0"/>
              <w:jc w:val="center"/>
              <w:rPr>
                <w:i/>
              </w:rPr>
            </w:pPr>
            <w:r w:rsidRPr="000225D5">
              <w:rPr>
                <w:bCs/>
              </w:rPr>
              <w:t>201</w:t>
            </w:r>
            <w:r w:rsidR="00D757C2">
              <w:rPr>
                <w:bCs/>
              </w:rPr>
              <w:t>7</w:t>
            </w:r>
          </w:p>
        </w:tc>
      </w:tr>
      <w:tr w:rsidR="000225D5" w:rsidRPr="000225D5" w:rsidTr="00C35D53">
        <w:tc>
          <w:tcPr>
            <w:tcW w:w="1894" w:type="pct"/>
            <w:vMerge/>
            <w:tcBorders>
              <w:top w:val="single" w:sz="12"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i/>
              </w:rPr>
            </w:pPr>
          </w:p>
        </w:tc>
        <w:tc>
          <w:tcPr>
            <w:tcW w:w="531" w:type="pct"/>
            <w:tcBorders>
              <w:top w:val="single" w:sz="4" w:space="0" w:color="auto"/>
              <w:left w:val="single" w:sz="4" w:space="0" w:color="auto"/>
              <w:bottom w:val="single" w:sz="4" w:space="0" w:color="auto"/>
              <w:right w:val="single" w:sz="4" w:space="0" w:color="auto"/>
            </w:tcBorders>
            <w:vAlign w:val="bottom"/>
          </w:tcPr>
          <w:p w:rsidR="00A119B1" w:rsidRPr="000225D5" w:rsidRDefault="00A119B1" w:rsidP="00A119B1">
            <w:pPr>
              <w:pStyle w:val="naisf"/>
              <w:spacing w:before="0" w:after="0"/>
              <w:ind w:firstLine="0"/>
              <w:jc w:val="center"/>
            </w:pPr>
            <w:r w:rsidRPr="000225D5">
              <w:t>Saskaņā ar valsts budžetu kārtējam gadam</w:t>
            </w:r>
          </w:p>
          <w:p w:rsidR="00A119B1" w:rsidRPr="000225D5" w:rsidRDefault="00A119B1" w:rsidP="00A119B1">
            <w:pPr>
              <w:pStyle w:val="naisf"/>
              <w:spacing w:before="0" w:after="0"/>
              <w:ind w:firstLine="0"/>
              <w:jc w:val="center"/>
              <w:rPr>
                <w:b/>
                <w:i/>
              </w:rPr>
            </w:pPr>
          </w:p>
        </w:tc>
        <w:tc>
          <w:tcPr>
            <w:tcW w:w="657" w:type="pct"/>
            <w:tcBorders>
              <w:top w:val="single" w:sz="4" w:space="0" w:color="auto"/>
              <w:left w:val="single" w:sz="4" w:space="0" w:color="auto"/>
              <w:bottom w:val="single" w:sz="4" w:space="0" w:color="auto"/>
              <w:right w:val="single" w:sz="4" w:space="0" w:color="auto"/>
            </w:tcBorders>
            <w:vAlign w:val="bottom"/>
          </w:tcPr>
          <w:p w:rsidR="00A119B1" w:rsidRPr="000225D5" w:rsidRDefault="00A119B1" w:rsidP="00A119B1">
            <w:pPr>
              <w:pStyle w:val="naisf"/>
              <w:spacing w:before="0" w:after="0"/>
              <w:ind w:firstLine="0"/>
              <w:jc w:val="center"/>
            </w:pPr>
            <w:r w:rsidRPr="000225D5">
              <w:t>Izmaiņas kārtējā gadā salīdzinot ar budžetu kārtējam gadam</w:t>
            </w:r>
          </w:p>
          <w:p w:rsidR="00A119B1" w:rsidRPr="000225D5" w:rsidRDefault="00A119B1" w:rsidP="00A119B1">
            <w:pPr>
              <w:pStyle w:val="naisf"/>
              <w:spacing w:before="0" w:after="0"/>
              <w:ind w:firstLine="0"/>
              <w:jc w:val="center"/>
              <w:rPr>
                <w:b/>
                <w:i/>
              </w:rPr>
            </w:pPr>
          </w:p>
        </w:tc>
        <w:tc>
          <w:tcPr>
            <w:tcW w:w="632" w:type="pct"/>
            <w:tcBorders>
              <w:top w:val="single" w:sz="4" w:space="0" w:color="auto"/>
              <w:left w:val="single" w:sz="4" w:space="0" w:color="auto"/>
              <w:bottom w:val="single" w:sz="4" w:space="0" w:color="auto"/>
              <w:right w:val="single" w:sz="4" w:space="0" w:color="auto"/>
            </w:tcBorders>
            <w:vAlign w:val="bottom"/>
          </w:tcPr>
          <w:p w:rsidR="00A119B1" w:rsidRPr="000225D5" w:rsidRDefault="00A119B1" w:rsidP="00A119B1">
            <w:pPr>
              <w:pStyle w:val="naisf"/>
              <w:spacing w:before="0" w:after="0"/>
              <w:ind w:firstLine="0"/>
              <w:jc w:val="center"/>
            </w:pPr>
            <w:r w:rsidRPr="000225D5">
              <w:t>Izmaiņas salīdzinot ar kārtējo (n) gadu</w:t>
            </w:r>
          </w:p>
          <w:p w:rsidR="00A119B1" w:rsidRPr="000225D5" w:rsidRDefault="00A119B1" w:rsidP="00A119B1">
            <w:pPr>
              <w:pStyle w:val="naisf"/>
              <w:spacing w:before="0" w:after="0"/>
              <w:ind w:firstLine="0"/>
              <w:jc w:val="center"/>
              <w:rPr>
                <w:b/>
                <w:i/>
              </w:rPr>
            </w:pPr>
          </w:p>
        </w:tc>
        <w:tc>
          <w:tcPr>
            <w:tcW w:w="596" w:type="pct"/>
            <w:tcBorders>
              <w:top w:val="single" w:sz="4" w:space="0" w:color="auto"/>
              <w:left w:val="single" w:sz="4" w:space="0" w:color="auto"/>
              <w:bottom w:val="single" w:sz="4" w:space="0" w:color="auto"/>
              <w:right w:val="single" w:sz="4" w:space="0" w:color="auto"/>
            </w:tcBorders>
            <w:vAlign w:val="bottom"/>
          </w:tcPr>
          <w:p w:rsidR="00A119B1" w:rsidRPr="000225D5" w:rsidRDefault="00A119B1" w:rsidP="00A119B1">
            <w:pPr>
              <w:pStyle w:val="naisf"/>
              <w:spacing w:before="0" w:after="0"/>
              <w:ind w:firstLine="0"/>
              <w:jc w:val="center"/>
            </w:pPr>
            <w:r w:rsidRPr="000225D5">
              <w:t>Izmaiņas salīdzinot ar kārtējo (n) gadu</w:t>
            </w:r>
          </w:p>
          <w:p w:rsidR="00A119B1" w:rsidRPr="000225D5" w:rsidRDefault="00A119B1" w:rsidP="00A119B1">
            <w:pPr>
              <w:pStyle w:val="naisf"/>
              <w:spacing w:before="0" w:after="0"/>
              <w:ind w:firstLine="0"/>
              <w:jc w:val="center"/>
              <w:rPr>
                <w:b/>
                <w:i/>
              </w:rPr>
            </w:pPr>
          </w:p>
        </w:tc>
        <w:tc>
          <w:tcPr>
            <w:tcW w:w="690" w:type="pct"/>
            <w:tcBorders>
              <w:top w:val="single" w:sz="4" w:space="0" w:color="auto"/>
              <w:left w:val="single" w:sz="4" w:space="0" w:color="auto"/>
              <w:bottom w:val="single" w:sz="4" w:space="0" w:color="auto"/>
              <w:right w:val="single" w:sz="4" w:space="0" w:color="auto"/>
            </w:tcBorders>
            <w:vAlign w:val="bottom"/>
          </w:tcPr>
          <w:p w:rsidR="00A119B1" w:rsidRPr="000225D5" w:rsidRDefault="00A119B1" w:rsidP="00A119B1">
            <w:pPr>
              <w:pStyle w:val="naisf"/>
              <w:spacing w:before="0" w:after="0"/>
              <w:ind w:firstLine="0"/>
              <w:jc w:val="center"/>
            </w:pPr>
            <w:r w:rsidRPr="000225D5">
              <w:t>Izmaiņas salīdzinot ar kārtējo (n) gadu</w:t>
            </w:r>
          </w:p>
          <w:p w:rsidR="00A119B1" w:rsidRPr="000225D5" w:rsidRDefault="00A119B1" w:rsidP="00A119B1">
            <w:pPr>
              <w:pStyle w:val="naisf"/>
              <w:spacing w:before="0" w:after="0"/>
              <w:ind w:firstLine="0"/>
              <w:jc w:val="center"/>
              <w:rPr>
                <w:b/>
                <w:i/>
              </w:rPr>
            </w:pPr>
          </w:p>
        </w:tc>
      </w:tr>
      <w:tr w:rsidR="000225D5" w:rsidRPr="000225D5" w:rsidTr="00C35D53">
        <w:tc>
          <w:tcPr>
            <w:tcW w:w="1894"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1</w:t>
            </w:r>
          </w:p>
        </w:tc>
        <w:tc>
          <w:tcPr>
            <w:tcW w:w="531"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2</w:t>
            </w:r>
          </w:p>
        </w:tc>
        <w:tc>
          <w:tcPr>
            <w:tcW w:w="657"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3</w:t>
            </w:r>
          </w:p>
        </w:tc>
        <w:tc>
          <w:tcPr>
            <w:tcW w:w="632"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4</w:t>
            </w:r>
          </w:p>
        </w:tc>
        <w:tc>
          <w:tcPr>
            <w:tcW w:w="596"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5</w:t>
            </w:r>
          </w:p>
        </w:tc>
        <w:tc>
          <w:tcPr>
            <w:tcW w:w="690" w:type="pct"/>
            <w:tcBorders>
              <w:top w:val="single" w:sz="4" w:space="0" w:color="auto"/>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6</w:t>
            </w:r>
          </w:p>
        </w:tc>
      </w:tr>
      <w:tr w:rsidR="000225D5" w:rsidRPr="000225D5" w:rsidTr="00C35D53">
        <w:tc>
          <w:tcPr>
            <w:tcW w:w="1894"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rPr>
                <w:i/>
              </w:rPr>
            </w:pPr>
            <w:r w:rsidRPr="000225D5">
              <w:lastRenderedPageBreak/>
              <w:t>1. Budžeta ieņēmumi:</w:t>
            </w:r>
          </w:p>
        </w:tc>
        <w:tc>
          <w:tcPr>
            <w:tcW w:w="531" w:type="pct"/>
            <w:tcBorders>
              <w:top w:val="single" w:sz="4" w:space="0" w:color="auto"/>
              <w:left w:val="single" w:sz="4" w:space="0" w:color="auto"/>
              <w:bottom w:val="nil"/>
              <w:right w:val="single" w:sz="4" w:space="0" w:color="auto"/>
            </w:tcBorders>
          </w:tcPr>
          <w:p w:rsidR="00A119B1" w:rsidRPr="000225D5" w:rsidRDefault="00D757C2" w:rsidP="00F52F64">
            <w:pPr>
              <w:pStyle w:val="naisf"/>
              <w:spacing w:before="0" w:after="0"/>
              <w:ind w:firstLine="0"/>
              <w:jc w:val="center"/>
            </w:pPr>
            <w:r>
              <w:t>0</w:t>
            </w:r>
          </w:p>
        </w:tc>
        <w:tc>
          <w:tcPr>
            <w:tcW w:w="657" w:type="pct"/>
            <w:tcBorders>
              <w:top w:val="single" w:sz="4" w:space="0" w:color="auto"/>
              <w:left w:val="single" w:sz="4" w:space="0" w:color="auto"/>
              <w:bottom w:val="nil"/>
              <w:right w:val="single" w:sz="4" w:space="0" w:color="auto"/>
            </w:tcBorders>
          </w:tcPr>
          <w:p w:rsidR="00A119B1" w:rsidRPr="000225D5" w:rsidRDefault="00395E39" w:rsidP="00A119B1">
            <w:pPr>
              <w:pStyle w:val="naisf"/>
              <w:spacing w:before="0" w:after="0"/>
              <w:ind w:firstLine="0"/>
              <w:jc w:val="center"/>
            </w:pPr>
            <w:r>
              <w:t>0</w:t>
            </w:r>
          </w:p>
        </w:tc>
        <w:tc>
          <w:tcPr>
            <w:tcW w:w="632"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r>
      <w:tr w:rsidR="000225D5" w:rsidRPr="000225D5" w:rsidTr="00C35D53">
        <w:tc>
          <w:tcPr>
            <w:tcW w:w="1894" w:type="pct"/>
            <w:tcBorders>
              <w:top w:val="single" w:sz="4" w:space="0" w:color="auto"/>
              <w:left w:val="single" w:sz="4" w:space="0" w:color="auto"/>
              <w:bottom w:val="nil"/>
              <w:right w:val="single" w:sz="4" w:space="0" w:color="auto"/>
            </w:tcBorders>
          </w:tcPr>
          <w:p w:rsidR="00C733FB" w:rsidRPr="000225D5" w:rsidRDefault="00C733FB" w:rsidP="00134C95">
            <w:pPr>
              <w:pStyle w:val="naisf"/>
              <w:spacing w:before="0" w:after="0"/>
              <w:ind w:firstLine="176"/>
            </w:pPr>
            <w:r w:rsidRPr="000225D5">
              <w:t>1.1. valsts pamatbudžets, tai skaitā ieņēmumi no maksas pakalpojumiem un citi pašu ieņēmumi;</w:t>
            </w:r>
          </w:p>
          <w:p w:rsidR="00C733FB" w:rsidRPr="000225D5" w:rsidRDefault="00C733FB" w:rsidP="00134C95">
            <w:pPr>
              <w:pStyle w:val="naisf"/>
              <w:spacing w:before="0" w:after="0"/>
              <w:ind w:firstLine="34"/>
            </w:pPr>
            <w:r w:rsidRPr="000225D5">
              <w:t>1.2. valsts speciālais budžets;</w:t>
            </w:r>
          </w:p>
        </w:tc>
        <w:tc>
          <w:tcPr>
            <w:tcW w:w="531"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r>
      <w:tr w:rsidR="000225D5" w:rsidRPr="000225D5" w:rsidTr="00C35D53">
        <w:tc>
          <w:tcPr>
            <w:tcW w:w="1894" w:type="pct"/>
            <w:tcBorders>
              <w:top w:val="single" w:sz="4" w:space="0" w:color="auto"/>
              <w:left w:val="single" w:sz="4" w:space="0" w:color="auto"/>
              <w:bottom w:val="nil"/>
              <w:right w:val="single" w:sz="4" w:space="0" w:color="auto"/>
            </w:tcBorders>
          </w:tcPr>
          <w:p w:rsidR="00C733FB" w:rsidRPr="000225D5" w:rsidRDefault="00C733FB" w:rsidP="00C733FB">
            <w:pPr>
              <w:pStyle w:val="naisf"/>
            </w:pPr>
            <w:r w:rsidRPr="000225D5">
              <w:t>1.3. pašvaldību budžets</w:t>
            </w:r>
          </w:p>
        </w:tc>
        <w:tc>
          <w:tcPr>
            <w:tcW w:w="531"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r>
      <w:tr w:rsidR="000225D5" w:rsidRPr="000225D5" w:rsidTr="00C35D53">
        <w:tc>
          <w:tcPr>
            <w:tcW w:w="1894" w:type="pct"/>
            <w:tcBorders>
              <w:top w:val="single" w:sz="4" w:space="0" w:color="auto"/>
              <w:left w:val="single" w:sz="4" w:space="0" w:color="auto"/>
              <w:bottom w:val="nil"/>
              <w:right w:val="single" w:sz="4" w:space="0" w:color="auto"/>
            </w:tcBorders>
          </w:tcPr>
          <w:p w:rsidR="00A119B1" w:rsidRPr="000225D5" w:rsidRDefault="00A119B1" w:rsidP="00A119B1">
            <w:pPr>
              <w:jc w:val="both"/>
            </w:pPr>
            <w:r w:rsidRPr="000225D5">
              <w:t>2. Budžeta izdevumi:</w:t>
            </w:r>
          </w:p>
        </w:tc>
        <w:tc>
          <w:tcPr>
            <w:tcW w:w="531"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57"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32"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r>
      <w:tr w:rsidR="000225D5" w:rsidRPr="000225D5" w:rsidTr="00C35D53">
        <w:tc>
          <w:tcPr>
            <w:tcW w:w="1894" w:type="pct"/>
            <w:tcBorders>
              <w:top w:val="single" w:sz="4" w:space="0" w:color="auto"/>
              <w:left w:val="single" w:sz="4" w:space="0" w:color="auto"/>
              <w:bottom w:val="nil"/>
              <w:right w:val="single" w:sz="4" w:space="0" w:color="auto"/>
            </w:tcBorders>
          </w:tcPr>
          <w:p w:rsidR="00C733FB" w:rsidRPr="000225D5" w:rsidRDefault="00C733FB" w:rsidP="00A119B1">
            <w:pPr>
              <w:jc w:val="both"/>
            </w:pPr>
          </w:p>
        </w:tc>
        <w:tc>
          <w:tcPr>
            <w:tcW w:w="531"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57"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32"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596"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c>
          <w:tcPr>
            <w:tcW w:w="690" w:type="pct"/>
            <w:tcBorders>
              <w:top w:val="single" w:sz="4" w:space="0" w:color="auto"/>
              <w:left w:val="single" w:sz="4" w:space="0" w:color="auto"/>
              <w:bottom w:val="nil"/>
              <w:right w:val="single" w:sz="4" w:space="0" w:color="auto"/>
            </w:tcBorders>
          </w:tcPr>
          <w:p w:rsidR="00C733FB" w:rsidRPr="000225D5" w:rsidRDefault="00C733FB" w:rsidP="00A119B1">
            <w:pPr>
              <w:pStyle w:val="naisf"/>
              <w:spacing w:before="0" w:after="0"/>
              <w:ind w:firstLine="0"/>
              <w:jc w:val="center"/>
            </w:pPr>
          </w:p>
        </w:tc>
      </w:tr>
      <w:tr w:rsidR="000225D5" w:rsidRPr="000225D5" w:rsidTr="00C35D53">
        <w:tc>
          <w:tcPr>
            <w:tcW w:w="1894" w:type="pct"/>
            <w:tcBorders>
              <w:top w:val="nil"/>
              <w:left w:val="single" w:sz="4" w:space="0" w:color="auto"/>
              <w:bottom w:val="nil"/>
              <w:right w:val="single" w:sz="4" w:space="0" w:color="auto"/>
            </w:tcBorders>
          </w:tcPr>
          <w:p w:rsidR="00A119B1" w:rsidRPr="000225D5" w:rsidRDefault="00A119B1" w:rsidP="00A119B1">
            <w:pPr>
              <w:jc w:val="both"/>
            </w:pPr>
            <w:r w:rsidRPr="000225D5">
              <w:t>2.1. valsts pamatbudžets;</w:t>
            </w:r>
          </w:p>
        </w:tc>
        <w:tc>
          <w:tcPr>
            <w:tcW w:w="531"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r>
      <w:tr w:rsidR="000225D5" w:rsidRPr="000225D5" w:rsidTr="00C35D53">
        <w:tc>
          <w:tcPr>
            <w:tcW w:w="1894" w:type="pct"/>
            <w:tcBorders>
              <w:top w:val="nil"/>
              <w:left w:val="single" w:sz="4" w:space="0" w:color="auto"/>
              <w:bottom w:val="nil"/>
              <w:right w:val="single" w:sz="4" w:space="0" w:color="auto"/>
            </w:tcBorders>
          </w:tcPr>
          <w:p w:rsidR="00A119B1" w:rsidRPr="000225D5" w:rsidRDefault="00A119B1" w:rsidP="00A119B1">
            <w:pPr>
              <w:jc w:val="both"/>
            </w:pPr>
            <w:r w:rsidRPr="000225D5">
              <w:t>2.2.valsts speciālais budžets;</w:t>
            </w:r>
          </w:p>
        </w:tc>
        <w:tc>
          <w:tcPr>
            <w:tcW w:w="531"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r>
      <w:tr w:rsidR="000225D5" w:rsidRPr="000225D5" w:rsidTr="00C35D53">
        <w:tc>
          <w:tcPr>
            <w:tcW w:w="1894" w:type="pct"/>
            <w:tcBorders>
              <w:top w:val="nil"/>
              <w:left w:val="single" w:sz="4" w:space="0" w:color="auto"/>
              <w:bottom w:val="single" w:sz="4" w:space="0" w:color="auto"/>
              <w:right w:val="single" w:sz="4" w:space="0" w:color="auto"/>
            </w:tcBorders>
          </w:tcPr>
          <w:p w:rsidR="00A119B1" w:rsidRPr="000225D5" w:rsidRDefault="00A119B1" w:rsidP="00A119B1">
            <w:pPr>
              <w:jc w:val="both"/>
            </w:pPr>
            <w:r w:rsidRPr="000225D5">
              <w:t xml:space="preserve">2.3. pašvaldību budžets </w:t>
            </w:r>
          </w:p>
        </w:tc>
        <w:tc>
          <w:tcPr>
            <w:tcW w:w="531"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pPr>
          </w:p>
        </w:tc>
        <w:tc>
          <w:tcPr>
            <w:tcW w:w="657"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pPr>
          </w:p>
        </w:tc>
        <w:tc>
          <w:tcPr>
            <w:tcW w:w="632"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pPr>
          </w:p>
        </w:tc>
        <w:tc>
          <w:tcPr>
            <w:tcW w:w="596"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pPr>
          </w:p>
        </w:tc>
        <w:tc>
          <w:tcPr>
            <w:tcW w:w="690"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pPr>
          </w:p>
        </w:tc>
      </w:tr>
      <w:tr w:rsidR="000225D5" w:rsidRPr="000225D5" w:rsidTr="00C35D53">
        <w:tc>
          <w:tcPr>
            <w:tcW w:w="1894" w:type="pct"/>
            <w:tcBorders>
              <w:top w:val="single" w:sz="4" w:space="0" w:color="auto"/>
              <w:left w:val="single" w:sz="4" w:space="0" w:color="auto"/>
              <w:bottom w:val="nil"/>
              <w:right w:val="single" w:sz="4" w:space="0" w:color="auto"/>
            </w:tcBorders>
          </w:tcPr>
          <w:p w:rsidR="00A119B1" w:rsidRPr="000225D5" w:rsidRDefault="00A119B1" w:rsidP="00A119B1">
            <w:pPr>
              <w:jc w:val="both"/>
            </w:pPr>
            <w:r w:rsidRPr="000225D5">
              <w:t>3. Finansiālā ietekme:</w:t>
            </w:r>
          </w:p>
        </w:tc>
        <w:tc>
          <w:tcPr>
            <w:tcW w:w="531" w:type="pct"/>
            <w:tcBorders>
              <w:top w:val="single" w:sz="4" w:space="0" w:color="auto"/>
              <w:left w:val="single" w:sz="4" w:space="0" w:color="auto"/>
              <w:right w:val="single" w:sz="4" w:space="0" w:color="auto"/>
            </w:tcBorders>
            <w:shd w:val="clear" w:color="auto" w:fill="auto"/>
            <w:vAlign w:val="center"/>
          </w:tcPr>
          <w:p w:rsidR="00A119B1" w:rsidRPr="000225D5" w:rsidRDefault="00A119B1" w:rsidP="00A119B1">
            <w:pPr>
              <w:pStyle w:val="naisf"/>
              <w:spacing w:before="0" w:after="0"/>
              <w:ind w:firstLine="0"/>
              <w:jc w:val="center"/>
            </w:pPr>
            <w:r w:rsidRPr="000225D5">
              <w:t>0</w:t>
            </w:r>
          </w:p>
        </w:tc>
        <w:tc>
          <w:tcPr>
            <w:tcW w:w="657"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32"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596"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center"/>
            </w:pPr>
            <w:r w:rsidRPr="000225D5">
              <w:t>0</w:t>
            </w:r>
          </w:p>
        </w:tc>
      </w:tr>
      <w:tr w:rsidR="000225D5" w:rsidRPr="000225D5" w:rsidTr="00C35D53">
        <w:tc>
          <w:tcPr>
            <w:tcW w:w="1894" w:type="pct"/>
            <w:tcBorders>
              <w:top w:val="nil"/>
              <w:left w:val="single" w:sz="4" w:space="0" w:color="auto"/>
              <w:bottom w:val="nil"/>
              <w:right w:val="single" w:sz="4" w:space="0" w:color="auto"/>
            </w:tcBorders>
          </w:tcPr>
          <w:p w:rsidR="00A119B1" w:rsidRPr="000225D5" w:rsidRDefault="00A119B1" w:rsidP="00A119B1">
            <w:pPr>
              <w:jc w:val="both"/>
            </w:pPr>
            <w:r w:rsidRPr="000225D5">
              <w:t>3.1. valsts pamatbudžets;</w:t>
            </w:r>
          </w:p>
        </w:tc>
        <w:tc>
          <w:tcPr>
            <w:tcW w:w="531" w:type="pct"/>
            <w:tcBorders>
              <w:left w:val="single" w:sz="4" w:space="0" w:color="auto"/>
              <w:right w:val="single" w:sz="4" w:space="0" w:color="auto"/>
            </w:tcBorders>
            <w:shd w:val="clear" w:color="auto" w:fill="auto"/>
          </w:tcPr>
          <w:p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r>
      <w:tr w:rsidR="000225D5" w:rsidRPr="000225D5" w:rsidTr="00C35D53">
        <w:tc>
          <w:tcPr>
            <w:tcW w:w="1894" w:type="pct"/>
            <w:tcBorders>
              <w:top w:val="nil"/>
              <w:left w:val="single" w:sz="4" w:space="0" w:color="auto"/>
              <w:bottom w:val="nil"/>
              <w:right w:val="single" w:sz="4" w:space="0" w:color="auto"/>
            </w:tcBorders>
          </w:tcPr>
          <w:p w:rsidR="00A119B1" w:rsidRPr="000225D5" w:rsidRDefault="00A119B1" w:rsidP="00A119B1">
            <w:pPr>
              <w:jc w:val="both"/>
            </w:pPr>
            <w:r w:rsidRPr="000225D5">
              <w:t>3.2. speciālais budžets;</w:t>
            </w:r>
          </w:p>
        </w:tc>
        <w:tc>
          <w:tcPr>
            <w:tcW w:w="531" w:type="pct"/>
            <w:tcBorders>
              <w:left w:val="single" w:sz="4" w:space="0" w:color="auto"/>
              <w:bottom w:val="nil"/>
              <w:right w:val="single" w:sz="4" w:space="0" w:color="auto"/>
            </w:tcBorders>
            <w:shd w:val="clear" w:color="auto" w:fill="auto"/>
          </w:tcPr>
          <w:p w:rsidR="00A119B1" w:rsidRPr="000225D5" w:rsidRDefault="00A119B1" w:rsidP="00A119B1">
            <w:pPr>
              <w:pStyle w:val="naisf"/>
              <w:spacing w:before="0" w:after="0"/>
              <w:ind w:firstLine="0"/>
            </w:pPr>
          </w:p>
        </w:tc>
        <w:tc>
          <w:tcPr>
            <w:tcW w:w="657"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32"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596"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c>
          <w:tcPr>
            <w:tcW w:w="690"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pPr>
          </w:p>
        </w:tc>
      </w:tr>
      <w:tr w:rsidR="000225D5" w:rsidRPr="000225D5" w:rsidTr="00C35D53">
        <w:tc>
          <w:tcPr>
            <w:tcW w:w="1894" w:type="pct"/>
            <w:tcBorders>
              <w:top w:val="nil"/>
              <w:left w:val="single" w:sz="4" w:space="0" w:color="auto"/>
              <w:bottom w:val="single" w:sz="4" w:space="0" w:color="auto"/>
              <w:right w:val="single" w:sz="4" w:space="0" w:color="auto"/>
            </w:tcBorders>
          </w:tcPr>
          <w:p w:rsidR="00A119B1" w:rsidRPr="000225D5" w:rsidRDefault="00A119B1" w:rsidP="00A119B1">
            <w:pPr>
              <w:jc w:val="both"/>
              <w:rPr>
                <w:i/>
              </w:rPr>
            </w:pPr>
            <w:r w:rsidRPr="000225D5">
              <w:rPr>
                <w:i/>
              </w:rPr>
              <w:t>3.3</w:t>
            </w:r>
            <w:r w:rsidRPr="000225D5">
              <w:t>. pašvaldību budžets</w:t>
            </w:r>
            <w:r w:rsidRPr="000225D5">
              <w:rPr>
                <w:i/>
              </w:rPr>
              <w:t xml:space="preserve"> </w:t>
            </w:r>
          </w:p>
        </w:tc>
        <w:tc>
          <w:tcPr>
            <w:tcW w:w="531" w:type="pct"/>
            <w:tcBorders>
              <w:top w:val="nil"/>
              <w:left w:val="single" w:sz="4" w:space="0" w:color="auto"/>
              <w:bottom w:val="single" w:sz="4" w:space="0" w:color="auto"/>
              <w:right w:val="single" w:sz="4" w:space="0" w:color="auto"/>
            </w:tcBorders>
            <w:shd w:val="clear" w:color="auto" w:fill="auto"/>
          </w:tcPr>
          <w:p w:rsidR="00A119B1" w:rsidRPr="000225D5" w:rsidRDefault="00A119B1" w:rsidP="00A119B1">
            <w:pPr>
              <w:pStyle w:val="naisf"/>
              <w:spacing w:before="0" w:after="0"/>
              <w:ind w:firstLine="0"/>
            </w:pPr>
          </w:p>
        </w:tc>
        <w:tc>
          <w:tcPr>
            <w:tcW w:w="657"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rPr>
            </w:pPr>
          </w:p>
        </w:tc>
        <w:tc>
          <w:tcPr>
            <w:tcW w:w="632"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rPr>
            </w:pPr>
          </w:p>
        </w:tc>
        <w:tc>
          <w:tcPr>
            <w:tcW w:w="596"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rPr>
            </w:pPr>
          </w:p>
        </w:tc>
        <w:tc>
          <w:tcPr>
            <w:tcW w:w="690"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rPr>
                <w:b/>
              </w:rPr>
            </w:pPr>
          </w:p>
        </w:tc>
      </w:tr>
      <w:tr w:rsidR="000225D5" w:rsidRPr="000225D5" w:rsidTr="00C35D53">
        <w:tc>
          <w:tcPr>
            <w:tcW w:w="1894" w:type="pct"/>
            <w:vMerge w:val="restart"/>
            <w:tcBorders>
              <w:top w:val="single" w:sz="4" w:space="0" w:color="auto"/>
              <w:left w:val="single" w:sz="4" w:space="0" w:color="auto"/>
              <w:bottom w:val="single" w:sz="4" w:space="0" w:color="auto"/>
              <w:right w:val="single" w:sz="4" w:space="0" w:color="auto"/>
            </w:tcBorders>
          </w:tcPr>
          <w:p w:rsidR="00A119B1" w:rsidRPr="000225D5" w:rsidRDefault="00A119B1" w:rsidP="00A119B1">
            <w:r w:rsidRPr="000225D5">
              <w:t>4. Finanšu līdzekļi papildu izdevumu finansēšanai (kompensējošu izdevumu samazinājumu norāda ar "+" zīmi)</w:t>
            </w:r>
          </w:p>
        </w:tc>
        <w:tc>
          <w:tcPr>
            <w:tcW w:w="531" w:type="pct"/>
            <w:vMerge w:val="restart"/>
            <w:tcBorders>
              <w:top w:val="single" w:sz="4" w:space="0" w:color="auto"/>
              <w:left w:val="single" w:sz="4" w:space="0" w:color="auto"/>
              <w:bottom w:val="single" w:sz="4" w:space="0" w:color="auto"/>
              <w:right w:val="single" w:sz="4" w:space="0" w:color="auto"/>
            </w:tcBorders>
            <w:vAlign w:val="center"/>
          </w:tcPr>
          <w:p w:rsidR="00A119B1" w:rsidRPr="000225D5" w:rsidRDefault="00A119B1" w:rsidP="00A119B1">
            <w:pPr>
              <w:pStyle w:val="naisf"/>
              <w:spacing w:before="0" w:after="0"/>
              <w:ind w:firstLine="0"/>
              <w:jc w:val="center"/>
            </w:pPr>
            <w:r w:rsidRPr="000225D5">
              <w:t>X</w:t>
            </w:r>
          </w:p>
        </w:tc>
        <w:tc>
          <w:tcPr>
            <w:tcW w:w="657"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c>
          <w:tcPr>
            <w:tcW w:w="632"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left"/>
            </w:pPr>
          </w:p>
        </w:tc>
        <w:tc>
          <w:tcPr>
            <w:tcW w:w="596"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c>
          <w:tcPr>
            <w:tcW w:w="690" w:type="pct"/>
            <w:tcBorders>
              <w:top w:val="single" w:sz="4" w:space="0" w:color="auto"/>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r>
      <w:tr w:rsidR="000225D5" w:rsidRPr="000225D5" w:rsidTr="00C35D53">
        <w:tc>
          <w:tcPr>
            <w:tcW w:w="1894" w:type="pct"/>
            <w:vMerge/>
            <w:tcBorders>
              <w:top w:val="nil"/>
              <w:left w:val="single" w:sz="4" w:space="0" w:color="auto"/>
              <w:bottom w:val="single" w:sz="4" w:space="0" w:color="auto"/>
              <w:right w:val="single" w:sz="4" w:space="0" w:color="auto"/>
            </w:tcBorders>
          </w:tcPr>
          <w:p w:rsidR="00A119B1" w:rsidRPr="000225D5" w:rsidRDefault="00A119B1" w:rsidP="00A119B1"/>
        </w:tc>
        <w:tc>
          <w:tcPr>
            <w:tcW w:w="531" w:type="pct"/>
            <w:vMerge/>
            <w:tcBorders>
              <w:top w:val="nil"/>
              <w:left w:val="single" w:sz="4" w:space="0" w:color="auto"/>
              <w:bottom w:val="single" w:sz="4" w:space="0" w:color="auto"/>
              <w:right w:val="single" w:sz="4" w:space="0" w:color="auto"/>
            </w:tcBorders>
            <w:vAlign w:val="center"/>
          </w:tcPr>
          <w:p w:rsidR="00A119B1" w:rsidRPr="000225D5" w:rsidRDefault="00A119B1" w:rsidP="00A119B1">
            <w:pPr>
              <w:pStyle w:val="naisf"/>
              <w:spacing w:before="0" w:after="0"/>
              <w:ind w:firstLine="0"/>
              <w:jc w:val="center"/>
            </w:pPr>
          </w:p>
        </w:tc>
        <w:tc>
          <w:tcPr>
            <w:tcW w:w="657"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c>
          <w:tcPr>
            <w:tcW w:w="632"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c>
          <w:tcPr>
            <w:tcW w:w="596"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c>
          <w:tcPr>
            <w:tcW w:w="690" w:type="pct"/>
            <w:tcBorders>
              <w:top w:val="nil"/>
              <w:left w:val="single" w:sz="4" w:space="0" w:color="auto"/>
              <w:bottom w:val="nil"/>
              <w:right w:val="single" w:sz="4" w:space="0" w:color="auto"/>
            </w:tcBorders>
          </w:tcPr>
          <w:p w:rsidR="00A119B1" w:rsidRPr="000225D5" w:rsidRDefault="00A119B1" w:rsidP="00A119B1">
            <w:pPr>
              <w:pStyle w:val="naisf"/>
              <w:spacing w:before="0" w:after="0"/>
              <w:ind w:firstLine="0"/>
              <w:jc w:val="left"/>
              <w:rPr>
                <w:b/>
              </w:rPr>
            </w:pPr>
          </w:p>
        </w:tc>
      </w:tr>
      <w:tr w:rsidR="000225D5" w:rsidRPr="000225D5" w:rsidTr="00C35D53">
        <w:tc>
          <w:tcPr>
            <w:tcW w:w="1894" w:type="pct"/>
            <w:vMerge/>
            <w:tcBorders>
              <w:top w:val="nil"/>
              <w:left w:val="single" w:sz="4" w:space="0" w:color="auto"/>
              <w:bottom w:val="single" w:sz="4" w:space="0" w:color="auto"/>
              <w:right w:val="single" w:sz="4" w:space="0" w:color="auto"/>
            </w:tcBorders>
          </w:tcPr>
          <w:p w:rsidR="00A119B1" w:rsidRPr="000225D5" w:rsidRDefault="00A119B1" w:rsidP="00A119B1"/>
        </w:tc>
        <w:tc>
          <w:tcPr>
            <w:tcW w:w="531" w:type="pct"/>
            <w:vMerge/>
            <w:tcBorders>
              <w:top w:val="nil"/>
              <w:left w:val="single" w:sz="4" w:space="0" w:color="auto"/>
              <w:bottom w:val="single" w:sz="4" w:space="0" w:color="auto"/>
              <w:right w:val="single" w:sz="4" w:space="0" w:color="auto"/>
            </w:tcBorders>
            <w:vAlign w:val="center"/>
          </w:tcPr>
          <w:p w:rsidR="00A119B1" w:rsidRPr="000225D5" w:rsidRDefault="00A119B1" w:rsidP="00A119B1">
            <w:pPr>
              <w:pStyle w:val="naisf"/>
              <w:spacing w:before="0" w:after="0"/>
              <w:ind w:firstLine="0"/>
              <w:jc w:val="center"/>
            </w:pPr>
          </w:p>
        </w:tc>
        <w:tc>
          <w:tcPr>
            <w:tcW w:w="657"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0</w:t>
            </w:r>
          </w:p>
        </w:tc>
        <w:tc>
          <w:tcPr>
            <w:tcW w:w="632"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0</w:t>
            </w:r>
          </w:p>
        </w:tc>
        <w:tc>
          <w:tcPr>
            <w:tcW w:w="596"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0</w:t>
            </w:r>
          </w:p>
        </w:tc>
        <w:tc>
          <w:tcPr>
            <w:tcW w:w="690" w:type="pct"/>
            <w:tcBorders>
              <w:top w:val="nil"/>
              <w:left w:val="single" w:sz="4" w:space="0" w:color="auto"/>
              <w:bottom w:val="single" w:sz="4" w:space="0" w:color="auto"/>
              <w:right w:val="single" w:sz="4" w:space="0" w:color="auto"/>
            </w:tcBorders>
          </w:tcPr>
          <w:p w:rsidR="00A119B1" w:rsidRPr="000225D5" w:rsidRDefault="00A119B1" w:rsidP="00A119B1">
            <w:pPr>
              <w:pStyle w:val="naisf"/>
              <w:spacing w:before="0" w:after="0"/>
              <w:ind w:firstLine="0"/>
              <w:jc w:val="center"/>
            </w:pPr>
            <w:r w:rsidRPr="000225D5">
              <w:t>0</w:t>
            </w:r>
          </w:p>
        </w:tc>
      </w:tr>
      <w:tr w:rsidR="000225D5" w:rsidRPr="000225D5" w:rsidTr="00F52F64">
        <w:tc>
          <w:tcPr>
            <w:tcW w:w="1894" w:type="pct"/>
            <w:tcBorders>
              <w:top w:val="single" w:sz="4" w:space="0" w:color="auto"/>
              <w:left w:val="single" w:sz="4" w:space="0" w:color="auto"/>
              <w:bottom w:val="nil"/>
              <w:right w:val="single" w:sz="4" w:space="0" w:color="auto"/>
            </w:tcBorders>
          </w:tcPr>
          <w:p w:rsidR="00C35D53" w:rsidRPr="000225D5" w:rsidRDefault="00C35D53" w:rsidP="00C35D53">
            <w:pPr>
              <w:jc w:val="both"/>
            </w:pPr>
            <w:r w:rsidRPr="000225D5">
              <w:t>5. Precizēta finansiālā ietekme:</w:t>
            </w:r>
          </w:p>
        </w:tc>
        <w:tc>
          <w:tcPr>
            <w:tcW w:w="531" w:type="pct"/>
            <w:vMerge w:val="restart"/>
            <w:tcBorders>
              <w:top w:val="single" w:sz="4" w:space="0" w:color="auto"/>
              <w:left w:val="single" w:sz="4" w:space="0" w:color="auto"/>
              <w:bottom w:val="single" w:sz="4" w:space="0" w:color="auto"/>
              <w:right w:val="single" w:sz="4" w:space="0" w:color="auto"/>
            </w:tcBorders>
          </w:tcPr>
          <w:p w:rsidR="00C35D53" w:rsidRPr="000225D5" w:rsidRDefault="00D757C2" w:rsidP="00F52F64">
            <w:pPr>
              <w:pStyle w:val="naisf"/>
              <w:spacing w:before="0" w:after="0"/>
              <w:ind w:firstLine="0"/>
              <w:jc w:val="center"/>
            </w:pPr>
            <w:r>
              <w:t>0</w:t>
            </w:r>
          </w:p>
        </w:tc>
        <w:tc>
          <w:tcPr>
            <w:tcW w:w="657" w:type="pct"/>
            <w:tcBorders>
              <w:top w:val="single" w:sz="4" w:space="0" w:color="auto"/>
              <w:left w:val="single" w:sz="4" w:space="0" w:color="auto"/>
              <w:bottom w:val="nil"/>
              <w:right w:val="single" w:sz="4" w:space="0" w:color="auto"/>
            </w:tcBorders>
          </w:tcPr>
          <w:p w:rsidR="00C35D53" w:rsidRPr="000225D5" w:rsidRDefault="00395E39" w:rsidP="00C35D53">
            <w:pPr>
              <w:pStyle w:val="naisf"/>
              <w:spacing w:before="0" w:after="0"/>
              <w:ind w:firstLine="0"/>
              <w:jc w:val="center"/>
            </w:pPr>
            <w:r>
              <w:t>0</w:t>
            </w:r>
          </w:p>
        </w:tc>
        <w:tc>
          <w:tcPr>
            <w:tcW w:w="632" w:type="pct"/>
            <w:tcBorders>
              <w:top w:val="single" w:sz="4" w:space="0" w:color="auto"/>
              <w:left w:val="single" w:sz="4" w:space="0" w:color="auto"/>
              <w:bottom w:val="nil"/>
              <w:right w:val="single" w:sz="4" w:space="0" w:color="auto"/>
            </w:tcBorders>
          </w:tcPr>
          <w:p w:rsidR="00C35D53" w:rsidRPr="000225D5" w:rsidRDefault="00C35D53" w:rsidP="00C35D53">
            <w:pPr>
              <w:pStyle w:val="naisf"/>
              <w:spacing w:before="0" w:after="0"/>
              <w:ind w:firstLine="0"/>
              <w:jc w:val="center"/>
              <w:rPr>
                <w:highlight w:val="yellow"/>
              </w:rPr>
            </w:pPr>
            <w:r w:rsidRPr="000225D5">
              <w:t>0</w:t>
            </w:r>
          </w:p>
        </w:tc>
        <w:tc>
          <w:tcPr>
            <w:tcW w:w="596" w:type="pct"/>
            <w:tcBorders>
              <w:top w:val="single" w:sz="4" w:space="0" w:color="auto"/>
              <w:left w:val="single" w:sz="4" w:space="0" w:color="auto"/>
              <w:bottom w:val="nil"/>
              <w:right w:val="single" w:sz="4" w:space="0" w:color="auto"/>
            </w:tcBorders>
          </w:tcPr>
          <w:p w:rsidR="00C35D53" w:rsidRPr="000225D5" w:rsidRDefault="00C35D53" w:rsidP="00C35D53">
            <w:pPr>
              <w:pStyle w:val="naisf"/>
              <w:spacing w:before="0" w:after="0"/>
              <w:ind w:firstLine="0"/>
              <w:jc w:val="center"/>
            </w:pPr>
            <w:r w:rsidRPr="000225D5">
              <w:t>0</w:t>
            </w:r>
          </w:p>
        </w:tc>
        <w:tc>
          <w:tcPr>
            <w:tcW w:w="690" w:type="pct"/>
            <w:tcBorders>
              <w:top w:val="single" w:sz="4" w:space="0" w:color="auto"/>
              <w:left w:val="single" w:sz="4" w:space="0" w:color="auto"/>
              <w:bottom w:val="nil"/>
              <w:right w:val="single" w:sz="4" w:space="0" w:color="auto"/>
            </w:tcBorders>
          </w:tcPr>
          <w:p w:rsidR="00C35D53" w:rsidRPr="000225D5" w:rsidRDefault="00C35D53" w:rsidP="00C35D53">
            <w:pPr>
              <w:pStyle w:val="naisf"/>
              <w:spacing w:before="0" w:after="0"/>
              <w:ind w:firstLine="0"/>
              <w:jc w:val="center"/>
            </w:pPr>
            <w:r w:rsidRPr="000225D5">
              <w:t>0</w:t>
            </w:r>
          </w:p>
        </w:tc>
      </w:tr>
      <w:tr w:rsidR="000225D5" w:rsidRPr="000225D5" w:rsidTr="00C35D53">
        <w:tc>
          <w:tcPr>
            <w:tcW w:w="1894" w:type="pct"/>
            <w:tcBorders>
              <w:top w:val="nil"/>
              <w:left w:val="single" w:sz="4" w:space="0" w:color="auto"/>
              <w:bottom w:val="nil"/>
              <w:right w:val="single" w:sz="4" w:space="0" w:color="auto"/>
            </w:tcBorders>
          </w:tcPr>
          <w:p w:rsidR="00C35D53" w:rsidRPr="000225D5" w:rsidRDefault="00C35D53" w:rsidP="00C35D53">
            <w:pPr>
              <w:jc w:val="both"/>
            </w:pPr>
            <w:r w:rsidRPr="000225D5">
              <w:t>5.1. valsts pamatbudžets;</w:t>
            </w:r>
          </w:p>
        </w:tc>
        <w:tc>
          <w:tcPr>
            <w:tcW w:w="531" w:type="pct"/>
            <w:vMerge/>
            <w:tcBorders>
              <w:top w:val="nil"/>
              <w:left w:val="single" w:sz="4" w:space="0" w:color="auto"/>
              <w:bottom w:val="single" w:sz="4" w:space="0" w:color="auto"/>
              <w:right w:val="single" w:sz="4" w:space="0" w:color="auto"/>
            </w:tcBorders>
            <w:vAlign w:val="center"/>
          </w:tcPr>
          <w:p w:rsidR="00C35D53" w:rsidRPr="000225D5" w:rsidRDefault="00C35D53" w:rsidP="00C35D53">
            <w:pPr>
              <w:pStyle w:val="naisf"/>
              <w:spacing w:before="0" w:after="0"/>
              <w:ind w:firstLine="0"/>
              <w:jc w:val="center"/>
            </w:pPr>
          </w:p>
        </w:tc>
        <w:tc>
          <w:tcPr>
            <w:tcW w:w="657"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632"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596"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690"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r>
      <w:tr w:rsidR="000225D5" w:rsidRPr="000225D5" w:rsidTr="00C35D53">
        <w:tc>
          <w:tcPr>
            <w:tcW w:w="1894" w:type="pct"/>
            <w:tcBorders>
              <w:top w:val="nil"/>
              <w:left w:val="single" w:sz="4" w:space="0" w:color="auto"/>
              <w:bottom w:val="nil"/>
              <w:right w:val="single" w:sz="4" w:space="0" w:color="auto"/>
            </w:tcBorders>
          </w:tcPr>
          <w:p w:rsidR="00C35D53" w:rsidRPr="000225D5" w:rsidRDefault="00C35D53" w:rsidP="00C35D53">
            <w:pPr>
              <w:jc w:val="both"/>
            </w:pPr>
            <w:r w:rsidRPr="000225D5">
              <w:t>5.2. speciālais budžets;</w:t>
            </w:r>
          </w:p>
        </w:tc>
        <w:tc>
          <w:tcPr>
            <w:tcW w:w="531" w:type="pct"/>
            <w:vMerge/>
            <w:tcBorders>
              <w:top w:val="nil"/>
              <w:left w:val="single" w:sz="4" w:space="0" w:color="auto"/>
              <w:bottom w:val="single" w:sz="4" w:space="0" w:color="auto"/>
              <w:right w:val="single" w:sz="4" w:space="0" w:color="auto"/>
            </w:tcBorders>
            <w:vAlign w:val="center"/>
          </w:tcPr>
          <w:p w:rsidR="00C35D53" w:rsidRPr="000225D5" w:rsidRDefault="00C35D53" w:rsidP="00C35D53">
            <w:pPr>
              <w:pStyle w:val="naisf"/>
              <w:spacing w:before="0" w:after="0"/>
              <w:ind w:firstLine="0"/>
              <w:jc w:val="center"/>
            </w:pPr>
          </w:p>
        </w:tc>
        <w:tc>
          <w:tcPr>
            <w:tcW w:w="657"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632"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596"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c>
          <w:tcPr>
            <w:tcW w:w="690" w:type="pct"/>
            <w:tcBorders>
              <w:top w:val="nil"/>
              <w:left w:val="single" w:sz="4" w:space="0" w:color="auto"/>
              <w:bottom w:val="nil"/>
              <w:right w:val="single" w:sz="4" w:space="0" w:color="auto"/>
            </w:tcBorders>
          </w:tcPr>
          <w:p w:rsidR="00C35D53" w:rsidRPr="000225D5" w:rsidRDefault="00C35D53" w:rsidP="00C35D53">
            <w:pPr>
              <w:pStyle w:val="naisf"/>
              <w:spacing w:before="0" w:after="0"/>
              <w:ind w:firstLine="0"/>
            </w:pPr>
          </w:p>
        </w:tc>
      </w:tr>
      <w:tr w:rsidR="000225D5" w:rsidRPr="000225D5" w:rsidTr="00C35D53">
        <w:tc>
          <w:tcPr>
            <w:tcW w:w="1894" w:type="pct"/>
            <w:tcBorders>
              <w:top w:val="nil"/>
              <w:left w:val="single" w:sz="4" w:space="0" w:color="auto"/>
              <w:bottom w:val="single" w:sz="4" w:space="0" w:color="auto"/>
              <w:right w:val="single" w:sz="4" w:space="0" w:color="auto"/>
            </w:tcBorders>
          </w:tcPr>
          <w:p w:rsidR="00C35D53" w:rsidRPr="000225D5" w:rsidRDefault="00C35D53" w:rsidP="00C35D53">
            <w:pPr>
              <w:jc w:val="both"/>
            </w:pPr>
            <w:r w:rsidRPr="000225D5">
              <w:t xml:space="preserve">5.3. pašvaldību budžets </w:t>
            </w:r>
          </w:p>
        </w:tc>
        <w:tc>
          <w:tcPr>
            <w:tcW w:w="531" w:type="pct"/>
            <w:vMerge/>
            <w:tcBorders>
              <w:top w:val="nil"/>
              <w:left w:val="single" w:sz="4" w:space="0" w:color="auto"/>
              <w:bottom w:val="single" w:sz="4" w:space="0" w:color="auto"/>
              <w:right w:val="single" w:sz="4" w:space="0" w:color="auto"/>
            </w:tcBorders>
            <w:vAlign w:val="center"/>
          </w:tcPr>
          <w:p w:rsidR="00C35D53" w:rsidRPr="000225D5" w:rsidRDefault="00C35D53" w:rsidP="00C35D53">
            <w:pPr>
              <w:pStyle w:val="naisf"/>
              <w:spacing w:before="0" w:after="0"/>
              <w:ind w:firstLine="0"/>
              <w:jc w:val="center"/>
            </w:pPr>
          </w:p>
        </w:tc>
        <w:tc>
          <w:tcPr>
            <w:tcW w:w="657" w:type="pct"/>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c>
          <w:tcPr>
            <w:tcW w:w="632" w:type="pct"/>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c>
          <w:tcPr>
            <w:tcW w:w="596" w:type="pct"/>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c>
          <w:tcPr>
            <w:tcW w:w="690" w:type="pct"/>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r>
      <w:tr w:rsidR="000225D5" w:rsidRPr="000225D5" w:rsidTr="00FF735C">
        <w:tc>
          <w:tcPr>
            <w:tcW w:w="1894" w:type="pct"/>
            <w:tcBorders>
              <w:top w:val="single" w:sz="4" w:space="0" w:color="auto"/>
              <w:left w:val="single" w:sz="4" w:space="0" w:color="auto"/>
              <w:bottom w:val="nil"/>
              <w:right w:val="single" w:sz="4" w:space="0" w:color="auto"/>
            </w:tcBorders>
          </w:tcPr>
          <w:p w:rsidR="00C35D53" w:rsidRPr="000225D5" w:rsidRDefault="00C35D53" w:rsidP="00C35D53">
            <w:pPr>
              <w:jc w:val="both"/>
            </w:pPr>
            <w:r w:rsidRPr="000225D5">
              <w:t>6. Detalizēts ieņēmumu un izdevumu aprēķins (ja nepieciešams, detalizētu ieņēmumu un izdevumu aprēķinu var pievienot anotācijas pielikumā):</w:t>
            </w:r>
          </w:p>
        </w:tc>
        <w:tc>
          <w:tcPr>
            <w:tcW w:w="3106" w:type="pct"/>
            <w:gridSpan w:val="5"/>
            <w:vMerge w:val="restart"/>
            <w:tcBorders>
              <w:top w:val="single" w:sz="4" w:space="0" w:color="auto"/>
              <w:left w:val="single" w:sz="4" w:space="0" w:color="auto"/>
              <w:bottom w:val="single" w:sz="4" w:space="0" w:color="auto"/>
              <w:right w:val="single" w:sz="4" w:space="0" w:color="auto"/>
            </w:tcBorders>
            <w:vAlign w:val="center"/>
          </w:tcPr>
          <w:p w:rsidR="00C35D53" w:rsidRPr="000225D5" w:rsidRDefault="00C35D53" w:rsidP="00395E39">
            <w:pPr>
              <w:jc w:val="both"/>
            </w:pPr>
          </w:p>
        </w:tc>
      </w:tr>
      <w:tr w:rsidR="000225D5" w:rsidRPr="000225D5" w:rsidTr="00FF735C">
        <w:tc>
          <w:tcPr>
            <w:tcW w:w="1894" w:type="pct"/>
            <w:tcBorders>
              <w:top w:val="nil"/>
              <w:left w:val="single" w:sz="4" w:space="0" w:color="auto"/>
              <w:bottom w:val="nil"/>
              <w:right w:val="single" w:sz="4" w:space="0" w:color="auto"/>
            </w:tcBorders>
          </w:tcPr>
          <w:p w:rsidR="00C35D53" w:rsidRPr="000225D5" w:rsidRDefault="00C35D53" w:rsidP="00C35D53">
            <w:pPr>
              <w:jc w:val="both"/>
            </w:pPr>
            <w:r w:rsidRPr="000225D5">
              <w:t>6.1. Detalizēts ieņēmumu aprēķins;</w:t>
            </w:r>
          </w:p>
        </w:tc>
        <w:tc>
          <w:tcPr>
            <w:tcW w:w="3106" w:type="pct"/>
            <w:gridSpan w:val="5"/>
            <w:vMerge/>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r>
      <w:tr w:rsidR="000225D5" w:rsidRPr="000225D5" w:rsidTr="00FF735C">
        <w:tc>
          <w:tcPr>
            <w:tcW w:w="1894" w:type="pct"/>
            <w:tcBorders>
              <w:top w:val="nil"/>
              <w:left w:val="single" w:sz="4" w:space="0" w:color="auto"/>
              <w:bottom w:val="single" w:sz="4" w:space="0" w:color="auto"/>
              <w:right w:val="single" w:sz="4" w:space="0" w:color="auto"/>
            </w:tcBorders>
          </w:tcPr>
          <w:p w:rsidR="00C35D53" w:rsidRPr="000225D5" w:rsidRDefault="00C35D53" w:rsidP="00C35D53">
            <w:pPr>
              <w:jc w:val="both"/>
            </w:pPr>
            <w:r w:rsidRPr="000225D5">
              <w:t>6.2. Detalizēts izdevumu aprēķins</w:t>
            </w:r>
          </w:p>
        </w:tc>
        <w:tc>
          <w:tcPr>
            <w:tcW w:w="3106" w:type="pct"/>
            <w:gridSpan w:val="5"/>
            <w:vMerge/>
            <w:tcBorders>
              <w:top w:val="nil"/>
              <w:left w:val="single" w:sz="4" w:space="0" w:color="auto"/>
              <w:bottom w:val="single" w:sz="4" w:space="0" w:color="auto"/>
              <w:right w:val="single" w:sz="4" w:space="0" w:color="auto"/>
            </w:tcBorders>
          </w:tcPr>
          <w:p w:rsidR="00C35D53" w:rsidRPr="000225D5" w:rsidRDefault="00C35D53" w:rsidP="00C35D53">
            <w:pPr>
              <w:pStyle w:val="naisf"/>
              <w:spacing w:before="0" w:after="0"/>
              <w:ind w:firstLine="0"/>
              <w:rPr>
                <w:b/>
              </w:rPr>
            </w:pPr>
          </w:p>
        </w:tc>
      </w:tr>
      <w:tr w:rsidR="000225D5" w:rsidRPr="000225D5" w:rsidTr="00FF735C">
        <w:tc>
          <w:tcPr>
            <w:tcW w:w="1894" w:type="pct"/>
            <w:tcBorders>
              <w:top w:val="single" w:sz="4" w:space="0" w:color="auto"/>
              <w:left w:val="single" w:sz="4" w:space="0" w:color="auto"/>
              <w:bottom w:val="single" w:sz="4" w:space="0" w:color="auto"/>
              <w:right w:val="single" w:sz="4" w:space="0" w:color="auto"/>
            </w:tcBorders>
            <w:vAlign w:val="center"/>
          </w:tcPr>
          <w:p w:rsidR="00C35D53" w:rsidRPr="000225D5" w:rsidRDefault="00C35D53" w:rsidP="00C35D53">
            <w:r w:rsidRPr="000225D5">
              <w:t>7. Cita informācija</w:t>
            </w:r>
          </w:p>
        </w:tc>
        <w:tc>
          <w:tcPr>
            <w:tcW w:w="3106" w:type="pct"/>
            <w:gridSpan w:val="5"/>
            <w:tcBorders>
              <w:top w:val="single" w:sz="4" w:space="0" w:color="auto"/>
              <w:left w:val="single" w:sz="4" w:space="0" w:color="auto"/>
              <w:bottom w:val="single" w:sz="4" w:space="0" w:color="auto"/>
              <w:right w:val="single" w:sz="4" w:space="0" w:color="auto"/>
            </w:tcBorders>
          </w:tcPr>
          <w:p w:rsidR="00C35D53" w:rsidRDefault="009856B7" w:rsidP="009856B7">
            <w:pPr>
              <w:jc w:val="both"/>
              <w:rPr>
                <w:bCs/>
              </w:rPr>
            </w:pPr>
            <w:r>
              <w:rPr>
                <w:bCs/>
              </w:rPr>
              <w:t>Ietekme uz budžetu nav nosakāma, bet ilgtermiņa  perspektīvā, uzlabojoties nodokļu maksātāju maksātspējai, sagaidāms pozitīvs efekts.</w:t>
            </w:r>
          </w:p>
          <w:p w:rsidR="00D4020D" w:rsidRDefault="00D4020D" w:rsidP="00D4020D">
            <w:pPr>
              <w:jc w:val="both"/>
              <w:rPr>
                <w:bCs/>
              </w:rPr>
            </w:pPr>
            <w:r>
              <w:rPr>
                <w:bCs/>
              </w:rPr>
              <w:t>Ietekme uz budžetu nav nosakāma, bet ilgtermiņa  perspektīvā, uzlabojoties nodokļu maksātāju maksātspējai, sagaidāms pozitīvs efekts.</w:t>
            </w:r>
          </w:p>
          <w:p w:rsidR="00D4020D" w:rsidRPr="000225D5" w:rsidRDefault="00D4020D" w:rsidP="00D4020D">
            <w:pPr>
              <w:jc w:val="both"/>
              <w:rPr>
                <w:bCs/>
              </w:rPr>
            </w:pPr>
            <w:r w:rsidRPr="00404665">
              <w:rPr>
                <w:bCs/>
              </w:rPr>
              <w:t xml:space="preserve">Nepieciešamais finansējums </w:t>
            </w:r>
            <w:r>
              <w:t>8 810</w:t>
            </w:r>
            <w:r w:rsidRPr="00404665">
              <w:rPr>
                <w:bCs/>
              </w:rPr>
              <w:t xml:space="preserve"> EUR apmērā, lai veiktu minētās izmaiņas </w:t>
            </w:r>
            <w:r w:rsidRPr="00404665">
              <w:t>Valsts ieņēmumu dienesta</w:t>
            </w:r>
            <w:r w:rsidRPr="00404665">
              <w:rPr>
                <w:bCs/>
              </w:rPr>
              <w:t xml:space="preserve"> </w:t>
            </w:r>
            <w:r>
              <w:rPr>
                <w:bCs/>
              </w:rPr>
              <w:t>informācijas sistēmā</w:t>
            </w:r>
            <w:r w:rsidRPr="00404665">
              <w:rPr>
                <w:bCs/>
              </w:rPr>
              <w:t xml:space="preserve">, tiks nodrošināts </w:t>
            </w:r>
            <w:r w:rsidRPr="00404665">
              <w:t>Valsts ieņēmumu dienesta</w:t>
            </w:r>
            <w:r w:rsidRPr="00404665">
              <w:rPr>
                <w:bCs/>
              </w:rPr>
              <w:t xml:space="preserve">m piešķirtā budžeta ietvaros un papildu finansējums netiks pieprasīts. </w:t>
            </w:r>
            <w:r w:rsidRPr="00404665">
              <w:t>Izmaksas tiks segtas no FM budžeta programmas 33.00.00 „Valsts ieņēmumu un muitas politikas nodrošināšana”.</w:t>
            </w:r>
          </w:p>
        </w:tc>
      </w:tr>
    </w:tbl>
    <w:p w:rsidR="00032C63" w:rsidRPr="000225D5" w:rsidRDefault="00032C63"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5"/>
        <w:gridCol w:w="2839"/>
        <w:gridCol w:w="5813"/>
      </w:tblGrid>
      <w:tr w:rsidR="000225D5" w:rsidRPr="000225D5" w:rsidTr="007A6B20">
        <w:tc>
          <w:tcPr>
            <w:tcW w:w="5000" w:type="pct"/>
            <w:gridSpan w:val="3"/>
            <w:tcBorders>
              <w:top w:val="single" w:sz="6" w:space="0" w:color="auto"/>
              <w:left w:val="single" w:sz="6" w:space="0" w:color="auto"/>
              <w:bottom w:val="single" w:sz="6" w:space="0" w:color="auto"/>
              <w:right w:val="single" w:sz="6" w:space="0" w:color="auto"/>
            </w:tcBorders>
            <w:hideMark/>
          </w:tcPr>
          <w:p w:rsidR="00032C63" w:rsidRPr="000225D5" w:rsidRDefault="00032C63" w:rsidP="00032C63">
            <w:pPr>
              <w:spacing w:before="100" w:beforeAutospacing="1" w:after="100" w:afterAutospacing="1"/>
              <w:jc w:val="center"/>
              <w:rPr>
                <w:b/>
                <w:bCs/>
              </w:rPr>
            </w:pPr>
            <w:r w:rsidRPr="000225D5">
              <w:rPr>
                <w:b/>
                <w:bCs/>
              </w:rPr>
              <w:t>IV. Tiesību akta projekta ietekme uz spēkā esošo tiesību normu sistēmu</w:t>
            </w:r>
          </w:p>
        </w:tc>
      </w:tr>
      <w:tr w:rsidR="000225D5" w:rsidRPr="000225D5" w:rsidTr="00365AF2">
        <w:tc>
          <w:tcPr>
            <w:tcW w:w="377" w:type="pct"/>
            <w:tcBorders>
              <w:top w:val="single" w:sz="6" w:space="0" w:color="auto"/>
              <w:left w:val="single" w:sz="6" w:space="0" w:color="auto"/>
              <w:bottom w:val="single" w:sz="6" w:space="0" w:color="auto"/>
              <w:right w:val="single" w:sz="4" w:space="0" w:color="auto"/>
            </w:tcBorders>
          </w:tcPr>
          <w:p w:rsidR="008D06E4" w:rsidRPr="000225D5" w:rsidRDefault="008D06E4" w:rsidP="00032C63">
            <w:pPr>
              <w:spacing w:before="100" w:beforeAutospacing="1" w:after="100" w:afterAutospacing="1"/>
              <w:jc w:val="center"/>
              <w:rPr>
                <w:bCs/>
              </w:rPr>
            </w:pPr>
            <w:r w:rsidRPr="000225D5">
              <w:rPr>
                <w:bCs/>
              </w:rPr>
              <w:t>1.</w:t>
            </w:r>
          </w:p>
        </w:tc>
        <w:tc>
          <w:tcPr>
            <w:tcW w:w="1517" w:type="pct"/>
            <w:tcBorders>
              <w:top w:val="single" w:sz="6" w:space="0" w:color="auto"/>
              <w:left w:val="single" w:sz="4" w:space="0" w:color="auto"/>
              <w:bottom w:val="single" w:sz="6" w:space="0" w:color="auto"/>
              <w:right w:val="single" w:sz="4" w:space="0" w:color="auto"/>
            </w:tcBorders>
          </w:tcPr>
          <w:p w:rsidR="008D06E4" w:rsidRPr="000225D5" w:rsidRDefault="008D06E4" w:rsidP="008D06E4">
            <w:pPr>
              <w:spacing w:before="100" w:beforeAutospacing="1" w:after="100" w:afterAutospacing="1"/>
              <w:jc w:val="both"/>
              <w:rPr>
                <w:bCs/>
              </w:rPr>
            </w:pPr>
            <w:r w:rsidRPr="000225D5">
              <w:rPr>
                <w:bCs/>
              </w:rPr>
              <w:t>Nepieciešamie saistītie tiesību aktu projekti</w:t>
            </w:r>
          </w:p>
        </w:tc>
        <w:tc>
          <w:tcPr>
            <w:tcW w:w="3106" w:type="pct"/>
            <w:tcBorders>
              <w:top w:val="single" w:sz="6" w:space="0" w:color="auto"/>
              <w:left w:val="single" w:sz="4" w:space="0" w:color="auto"/>
              <w:bottom w:val="single" w:sz="6" w:space="0" w:color="auto"/>
              <w:right w:val="single" w:sz="6" w:space="0" w:color="auto"/>
            </w:tcBorders>
          </w:tcPr>
          <w:p w:rsidR="00DE10CE" w:rsidRPr="000225D5" w:rsidRDefault="00DE10CE" w:rsidP="00805F33">
            <w:pPr>
              <w:pStyle w:val="ListParagraph"/>
              <w:autoSpaceDE w:val="0"/>
              <w:autoSpaceDN w:val="0"/>
              <w:adjustRightInd w:val="0"/>
              <w:ind w:left="34"/>
              <w:contextualSpacing w:val="0"/>
              <w:jc w:val="both"/>
            </w:pPr>
            <w:r w:rsidRPr="000225D5">
              <w:t xml:space="preserve">Likumprojekts Ministru kabinetā un Saeimā ir </w:t>
            </w:r>
            <w:r w:rsidR="00805F33">
              <w:t xml:space="preserve">izskatāms vienlaicīgi ar </w:t>
            </w:r>
            <w:r w:rsidR="00864CA8">
              <w:t>l</w:t>
            </w:r>
            <w:r w:rsidRPr="000225D5">
              <w:t xml:space="preserve">ikumprojektu „Grozījumi likumā „Par Valsts ieņēmumu dienestu””, kas nosaka tiesības VID </w:t>
            </w:r>
            <w:r w:rsidRPr="000225D5">
              <w:lastRenderedPageBreak/>
              <w:t>ģenerāldirektoram un viņa vietniekam, VID ģenerāldirektora pilnvarotajiem un struktūrvienību vadītājiem un viņu vietniekiem nodokļu administrēšanā pieņemt lēmumu par kapitālsabiedrības nokavēto nodokļu maksājumu atlīdzināšanu</w:t>
            </w:r>
            <w:r>
              <w:t>, kā arī lēmumu</w:t>
            </w:r>
            <w:r w:rsidRPr="00A31C9C">
              <w:t xml:space="preserve"> par nokavēto nodokļu maksājumu labprātīgu izpildi</w:t>
            </w:r>
            <w:r w:rsidRPr="000225D5">
              <w:t>.</w:t>
            </w:r>
          </w:p>
          <w:p w:rsidR="002716A4" w:rsidRPr="000225D5" w:rsidRDefault="00716016" w:rsidP="00E96CD9">
            <w:pPr>
              <w:jc w:val="both"/>
            </w:pPr>
            <w:r w:rsidRPr="009856B7">
              <w:t xml:space="preserve">Nepieciešams veikt grozījumu Ministru kabineta 2000.gada 18.aprīļa noteikumos Nr.149 „Kārtība, kādā kārtējie nodokļu maksājumi un nokavētie nodokļu maksājumi tiek ieskaitīti budžetā” (turpmāk MK 2000.gada 18.aprīļa noteikumi Nr.149). Nepieciešams papildināt MK 2000.gada 18.aprīļa noteikumus Nr.149 ar punktu, kas nosaka, ka nodokļu maksājumus, attiecībā uz kuriem ir noslēgts vienošanās līgums saskaņā ar likuma „Par nodokļiem un nodevām” 41.pantu, ja nodokļu maksātājs ir norādījis nodokļu administrācijas lēmumā noteikto maksājuma identifikatoru maksājuma rīkojuma mērķa laukā par to, ka maksājums tiek veikts vienošanās līguma ietvaros, ņemot vērā maksāšanas termiņu, ieskaita attiecīgā maksājuma segšanai, nepiemērojot šo noteikumu 3.punktā noteikto secību. </w:t>
            </w:r>
          </w:p>
        </w:tc>
      </w:tr>
      <w:tr w:rsidR="000225D5" w:rsidRPr="000225D5" w:rsidTr="00BC24BC">
        <w:tc>
          <w:tcPr>
            <w:tcW w:w="377" w:type="pct"/>
            <w:tcBorders>
              <w:top w:val="single" w:sz="6" w:space="0" w:color="auto"/>
              <w:left w:val="single" w:sz="6" w:space="0" w:color="auto"/>
              <w:bottom w:val="single" w:sz="6" w:space="0" w:color="auto"/>
              <w:right w:val="single" w:sz="4" w:space="0" w:color="auto"/>
            </w:tcBorders>
          </w:tcPr>
          <w:p w:rsidR="008D06E4" w:rsidRPr="000225D5" w:rsidRDefault="0085794A" w:rsidP="00AA1306">
            <w:pPr>
              <w:spacing w:before="100" w:beforeAutospacing="1" w:after="100" w:afterAutospacing="1"/>
              <w:jc w:val="center"/>
              <w:rPr>
                <w:bCs/>
              </w:rPr>
            </w:pPr>
            <w:r w:rsidRPr="000225D5">
              <w:rPr>
                <w:bCs/>
              </w:rPr>
              <w:lastRenderedPageBreak/>
              <w:t>2.</w:t>
            </w:r>
          </w:p>
        </w:tc>
        <w:tc>
          <w:tcPr>
            <w:tcW w:w="1517" w:type="pct"/>
            <w:tcBorders>
              <w:top w:val="single" w:sz="6" w:space="0" w:color="auto"/>
              <w:left w:val="single" w:sz="4" w:space="0" w:color="auto"/>
              <w:bottom w:val="single" w:sz="6" w:space="0" w:color="auto"/>
              <w:right w:val="single" w:sz="4" w:space="0" w:color="auto"/>
            </w:tcBorders>
          </w:tcPr>
          <w:p w:rsidR="008D06E4" w:rsidRPr="000225D5" w:rsidRDefault="0085794A" w:rsidP="008D06E4">
            <w:pPr>
              <w:spacing w:before="100" w:beforeAutospacing="1" w:after="100" w:afterAutospacing="1"/>
              <w:jc w:val="center"/>
              <w:rPr>
                <w:bCs/>
              </w:rPr>
            </w:pPr>
            <w:r w:rsidRPr="000225D5">
              <w:rPr>
                <w:bCs/>
              </w:rPr>
              <w:t>Atbildīgā institūcija</w:t>
            </w:r>
          </w:p>
        </w:tc>
        <w:tc>
          <w:tcPr>
            <w:tcW w:w="3106" w:type="pct"/>
            <w:tcBorders>
              <w:top w:val="single" w:sz="6" w:space="0" w:color="auto"/>
              <w:left w:val="single" w:sz="4" w:space="0" w:color="auto"/>
              <w:bottom w:val="single" w:sz="6" w:space="0" w:color="auto"/>
              <w:right w:val="single" w:sz="6" w:space="0" w:color="auto"/>
            </w:tcBorders>
          </w:tcPr>
          <w:p w:rsidR="008D06E4" w:rsidRPr="00D4020D" w:rsidRDefault="0085794A" w:rsidP="00D4020D">
            <w:pPr>
              <w:spacing w:before="100" w:beforeAutospacing="1" w:after="100" w:afterAutospacing="1"/>
              <w:rPr>
                <w:b/>
                <w:bCs/>
              </w:rPr>
            </w:pPr>
            <w:r w:rsidRPr="00D4020D">
              <w:t>Finanšu ministrija</w:t>
            </w:r>
          </w:p>
        </w:tc>
      </w:tr>
      <w:tr w:rsidR="000225D5" w:rsidRPr="000225D5" w:rsidTr="00365AF2">
        <w:tc>
          <w:tcPr>
            <w:tcW w:w="377" w:type="pct"/>
            <w:tcBorders>
              <w:top w:val="single" w:sz="6" w:space="0" w:color="auto"/>
              <w:left w:val="single" w:sz="6" w:space="0" w:color="auto"/>
              <w:bottom w:val="outset" w:sz="6" w:space="0" w:color="000000"/>
              <w:right w:val="single" w:sz="4" w:space="0" w:color="auto"/>
            </w:tcBorders>
          </w:tcPr>
          <w:p w:rsidR="00BC24BC" w:rsidRPr="000225D5" w:rsidRDefault="00BC24BC" w:rsidP="00AA1306">
            <w:pPr>
              <w:spacing w:before="100" w:beforeAutospacing="1" w:after="100" w:afterAutospacing="1"/>
              <w:jc w:val="center"/>
              <w:rPr>
                <w:bCs/>
              </w:rPr>
            </w:pPr>
            <w:r w:rsidRPr="000225D5">
              <w:rPr>
                <w:bCs/>
              </w:rPr>
              <w:t>3.</w:t>
            </w:r>
          </w:p>
        </w:tc>
        <w:tc>
          <w:tcPr>
            <w:tcW w:w="1517" w:type="pct"/>
            <w:tcBorders>
              <w:top w:val="single" w:sz="6" w:space="0" w:color="auto"/>
              <w:left w:val="single" w:sz="4" w:space="0" w:color="auto"/>
              <w:bottom w:val="outset" w:sz="6" w:space="0" w:color="000000"/>
              <w:right w:val="single" w:sz="4" w:space="0" w:color="auto"/>
            </w:tcBorders>
          </w:tcPr>
          <w:p w:rsidR="00BC24BC" w:rsidRPr="000225D5" w:rsidRDefault="00BC24BC" w:rsidP="008D06E4">
            <w:pPr>
              <w:spacing w:before="100" w:beforeAutospacing="1" w:after="100" w:afterAutospacing="1"/>
              <w:jc w:val="center"/>
              <w:rPr>
                <w:bCs/>
              </w:rPr>
            </w:pPr>
            <w:r w:rsidRPr="000225D5">
              <w:rPr>
                <w:bCs/>
              </w:rPr>
              <w:t>Cita informācija</w:t>
            </w:r>
          </w:p>
        </w:tc>
        <w:tc>
          <w:tcPr>
            <w:tcW w:w="3106" w:type="pct"/>
            <w:tcBorders>
              <w:top w:val="single" w:sz="6" w:space="0" w:color="auto"/>
              <w:left w:val="single" w:sz="4" w:space="0" w:color="auto"/>
              <w:bottom w:val="outset" w:sz="6" w:space="0" w:color="000000"/>
              <w:right w:val="single" w:sz="6" w:space="0" w:color="auto"/>
            </w:tcBorders>
          </w:tcPr>
          <w:p w:rsidR="00BC24BC" w:rsidRPr="00D4020D" w:rsidRDefault="00BC24BC" w:rsidP="00D4020D">
            <w:pPr>
              <w:spacing w:before="100" w:beforeAutospacing="1" w:after="100" w:afterAutospacing="1"/>
            </w:pPr>
            <w:r w:rsidRPr="00D4020D">
              <w:t>Nav</w:t>
            </w:r>
          </w:p>
        </w:tc>
      </w:tr>
    </w:tbl>
    <w:p w:rsidR="00C944E6" w:rsidRPr="000225D5" w:rsidRDefault="00C944E6"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0225D5" w:rsidTr="00032C63">
        <w:tc>
          <w:tcPr>
            <w:tcW w:w="5000" w:type="pct"/>
            <w:tcBorders>
              <w:top w:val="single" w:sz="6" w:space="0" w:color="auto"/>
              <w:left w:val="single" w:sz="6" w:space="0" w:color="auto"/>
              <w:bottom w:val="outset" w:sz="6" w:space="0" w:color="000000"/>
              <w:right w:val="single" w:sz="6" w:space="0" w:color="auto"/>
            </w:tcBorders>
            <w:hideMark/>
          </w:tcPr>
          <w:p w:rsidR="00032C63" w:rsidRPr="000225D5" w:rsidRDefault="00032C63" w:rsidP="00032C63">
            <w:pPr>
              <w:spacing w:before="100" w:beforeAutospacing="1" w:after="100" w:afterAutospacing="1"/>
              <w:jc w:val="center"/>
              <w:rPr>
                <w:b/>
                <w:bCs/>
              </w:rPr>
            </w:pPr>
            <w:r w:rsidRPr="000225D5">
              <w:rPr>
                <w:b/>
                <w:bCs/>
              </w:rPr>
              <w:t>V. Tiesību akta projekta atbilstība Latvijas Republikas starptautiskajām saistībām</w:t>
            </w:r>
          </w:p>
        </w:tc>
      </w:tr>
      <w:tr w:rsidR="000225D5" w:rsidRPr="000225D5" w:rsidTr="00032C63">
        <w:tc>
          <w:tcPr>
            <w:tcW w:w="5000" w:type="pct"/>
            <w:tcBorders>
              <w:top w:val="outset" w:sz="6" w:space="0" w:color="000000"/>
              <w:left w:val="outset" w:sz="6" w:space="0" w:color="000000"/>
              <w:bottom w:val="outset" w:sz="6" w:space="0" w:color="000000"/>
              <w:right w:val="outset" w:sz="6" w:space="0" w:color="000000"/>
            </w:tcBorders>
          </w:tcPr>
          <w:p w:rsidR="00032C63" w:rsidRPr="000225D5" w:rsidRDefault="007756FB" w:rsidP="00032C63">
            <w:pPr>
              <w:spacing w:before="100" w:beforeAutospacing="1" w:after="100" w:afterAutospacing="1"/>
              <w:jc w:val="center"/>
            </w:pPr>
            <w:r w:rsidRPr="000225D5">
              <w:t>Projekts šo jomu neskar</w:t>
            </w:r>
          </w:p>
        </w:tc>
      </w:tr>
    </w:tbl>
    <w:p w:rsidR="00032C63" w:rsidRPr="000225D5" w:rsidRDefault="00032C63"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7"/>
      </w:tblGrid>
      <w:tr w:rsidR="000225D5" w:rsidRPr="000225D5" w:rsidTr="00032C63">
        <w:tc>
          <w:tcPr>
            <w:tcW w:w="5000" w:type="pct"/>
            <w:tcBorders>
              <w:top w:val="outset" w:sz="6" w:space="0" w:color="000000"/>
              <w:left w:val="outset" w:sz="6" w:space="0" w:color="000000"/>
              <w:bottom w:val="outset" w:sz="6" w:space="0" w:color="000000"/>
              <w:right w:val="outset" w:sz="6" w:space="0" w:color="000000"/>
            </w:tcBorders>
            <w:hideMark/>
          </w:tcPr>
          <w:p w:rsidR="00032C63" w:rsidRPr="000225D5" w:rsidRDefault="00032C63" w:rsidP="007A6B20">
            <w:pPr>
              <w:spacing w:before="100" w:beforeAutospacing="1" w:after="100" w:afterAutospacing="1"/>
              <w:jc w:val="center"/>
              <w:rPr>
                <w:b/>
                <w:bCs/>
              </w:rPr>
            </w:pPr>
            <w:r w:rsidRPr="000225D5">
              <w:rPr>
                <w:b/>
                <w:bCs/>
              </w:rPr>
              <w:t xml:space="preserve">VI. Sabiedrības līdzdalība un </w:t>
            </w:r>
            <w:r w:rsidR="007A6B20" w:rsidRPr="000225D5">
              <w:rPr>
                <w:b/>
                <w:bCs/>
              </w:rPr>
              <w:t>komunikācijas aktivitātes</w:t>
            </w:r>
          </w:p>
        </w:tc>
      </w:tr>
      <w:tr w:rsidR="000225D5" w:rsidRPr="008E74A8" w:rsidTr="00032C63">
        <w:tc>
          <w:tcPr>
            <w:tcW w:w="5000" w:type="pct"/>
            <w:tcBorders>
              <w:top w:val="outset" w:sz="6" w:space="0" w:color="000000"/>
              <w:left w:val="outset" w:sz="6" w:space="0" w:color="000000"/>
              <w:bottom w:val="outset" w:sz="6" w:space="0" w:color="000000"/>
              <w:right w:val="outset" w:sz="6" w:space="0" w:color="000000"/>
            </w:tcBorders>
          </w:tcPr>
          <w:p w:rsidR="00395E39" w:rsidRPr="008E74A8" w:rsidRDefault="0078188D" w:rsidP="00D4020D">
            <w:pPr>
              <w:spacing w:before="100" w:beforeAutospacing="1" w:after="100" w:afterAutospacing="1"/>
              <w:jc w:val="center"/>
              <w:rPr>
                <w:b/>
                <w:bCs/>
              </w:rPr>
            </w:pPr>
            <w:r>
              <w:t>Projekts šo jomu neskar</w:t>
            </w:r>
          </w:p>
        </w:tc>
      </w:tr>
    </w:tbl>
    <w:p w:rsidR="00032C63" w:rsidRPr="000225D5" w:rsidRDefault="00032C63" w:rsidP="00032C63"/>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4"/>
        <w:gridCol w:w="550"/>
        <w:gridCol w:w="3223"/>
        <w:gridCol w:w="932"/>
        <w:gridCol w:w="3692"/>
        <w:gridCol w:w="846"/>
      </w:tblGrid>
      <w:tr w:rsidR="000225D5" w:rsidRPr="000225D5" w:rsidTr="00F1451A">
        <w:trPr>
          <w:gridBefore w:val="1"/>
          <w:wBefore w:w="61" w:type="pct"/>
        </w:trPr>
        <w:tc>
          <w:tcPr>
            <w:tcW w:w="4939" w:type="pct"/>
            <w:gridSpan w:val="5"/>
            <w:tcBorders>
              <w:top w:val="outset" w:sz="6" w:space="0" w:color="000000"/>
              <w:left w:val="outset" w:sz="6" w:space="0" w:color="000000"/>
              <w:bottom w:val="outset" w:sz="6" w:space="0" w:color="000000"/>
              <w:right w:val="outset" w:sz="6" w:space="0" w:color="000000"/>
            </w:tcBorders>
            <w:hideMark/>
          </w:tcPr>
          <w:p w:rsidR="00032C63" w:rsidRPr="000225D5" w:rsidRDefault="00032C63" w:rsidP="00032C63">
            <w:pPr>
              <w:spacing w:before="100" w:beforeAutospacing="1" w:after="100" w:afterAutospacing="1"/>
              <w:jc w:val="center"/>
              <w:rPr>
                <w:b/>
                <w:bCs/>
              </w:rPr>
            </w:pPr>
            <w:r w:rsidRPr="000225D5">
              <w:rPr>
                <w:b/>
                <w:bCs/>
              </w:rPr>
              <w:t>VII. Tiesību akta projekta izpildes nodrošināšana un tās ietekme uz institūcijām</w:t>
            </w:r>
          </w:p>
        </w:tc>
      </w:tr>
      <w:tr w:rsidR="000225D5" w:rsidRPr="000225D5" w:rsidTr="00C944E6">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0225D5" w:rsidRDefault="00032C63" w:rsidP="00032C63">
            <w:pPr>
              <w:spacing w:before="100" w:beforeAutospacing="1" w:after="100" w:afterAutospacing="1"/>
              <w:jc w:val="center"/>
            </w:pPr>
            <w:r w:rsidRPr="000225D5">
              <w:t>1.</w:t>
            </w:r>
          </w:p>
        </w:tc>
        <w:tc>
          <w:tcPr>
            <w:tcW w:w="2220" w:type="pct"/>
            <w:gridSpan w:val="2"/>
            <w:tcBorders>
              <w:top w:val="outset" w:sz="6" w:space="0" w:color="000000"/>
              <w:left w:val="single" w:sz="4" w:space="0" w:color="auto"/>
              <w:bottom w:val="outset" w:sz="6" w:space="0" w:color="000000"/>
              <w:right w:val="single" w:sz="4" w:space="0" w:color="auto"/>
            </w:tcBorders>
          </w:tcPr>
          <w:p w:rsidR="00032C63" w:rsidRPr="000225D5" w:rsidRDefault="00032C63" w:rsidP="00032C63">
            <w:pPr>
              <w:spacing w:before="100" w:beforeAutospacing="1" w:after="100" w:afterAutospacing="1"/>
            </w:pPr>
            <w:r w:rsidRPr="000225D5">
              <w:t>Projekta izpildē iesaistītās institūcijas</w:t>
            </w:r>
          </w:p>
        </w:tc>
        <w:tc>
          <w:tcPr>
            <w:tcW w:w="2425" w:type="pct"/>
            <w:gridSpan w:val="2"/>
            <w:tcBorders>
              <w:top w:val="outset" w:sz="6" w:space="0" w:color="000000"/>
              <w:left w:val="single" w:sz="4" w:space="0" w:color="auto"/>
              <w:bottom w:val="outset" w:sz="6" w:space="0" w:color="000000"/>
              <w:right w:val="outset" w:sz="6" w:space="0" w:color="000000"/>
            </w:tcBorders>
          </w:tcPr>
          <w:p w:rsidR="00032C63" w:rsidRPr="000225D5" w:rsidRDefault="00032C63" w:rsidP="00F1451A">
            <w:pPr>
              <w:spacing w:before="100" w:beforeAutospacing="1" w:after="100" w:afterAutospacing="1"/>
              <w:jc w:val="both"/>
            </w:pPr>
            <w:r w:rsidRPr="000225D5">
              <w:t xml:space="preserve">Normatīvā akta izpildi nodrošinās </w:t>
            </w:r>
            <w:r w:rsidR="00E6688C" w:rsidRPr="000225D5">
              <w:t>V</w:t>
            </w:r>
            <w:r w:rsidR="00F1451A">
              <w:t>alsts ieņēmumu dienests</w:t>
            </w:r>
            <w:r w:rsidR="00BF2451" w:rsidRPr="000225D5">
              <w:t xml:space="preserve"> savu funkciju ietvaros</w:t>
            </w:r>
          </w:p>
        </w:tc>
      </w:tr>
      <w:tr w:rsidR="000225D5" w:rsidRPr="000225D5" w:rsidTr="00C944E6">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0225D5" w:rsidRDefault="00032C63" w:rsidP="00032C63">
            <w:pPr>
              <w:spacing w:before="100" w:beforeAutospacing="1" w:after="100" w:afterAutospacing="1"/>
              <w:jc w:val="center"/>
            </w:pPr>
            <w:r w:rsidRPr="000225D5">
              <w:t>2.</w:t>
            </w:r>
          </w:p>
        </w:tc>
        <w:tc>
          <w:tcPr>
            <w:tcW w:w="2220" w:type="pct"/>
            <w:gridSpan w:val="2"/>
            <w:tcBorders>
              <w:top w:val="outset" w:sz="6" w:space="0" w:color="000000"/>
              <w:left w:val="single" w:sz="4" w:space="0" w:color="auto"/>
              <w:bottom w:val="outset" w:sz="6" w:space="0" w:color="000000"/>
              <w:right w:val="single" w:sz="4" w:space="0" w:color="auto"/>
            </w:tcBorders>
          </w:tcPr>
          <w:p w:rsidR="00032C63" w:rsidRPr="000225D5" w:rsidRDefault="00FF735C" w:rsidP="000C52A7">
            <w:pPr>
              <w:jc w:val="both"/>
            </w:pPr>
            <w:r w:rsidRPr="000225D5">
              <w:t>Projekta izpildes ietekme uz pārvaldes funkcijām un institucionālo struktūru.</w:t>
            </w:r>
            <w:r w:rsidR="000C52A7" w:rsidRPr="000225D5">
              <w:t xml:space="preserve"> </w:t>
            </w:r>
            <w:r w:rsidRPr="000225D5">
              <w:t>Jaunu institūciju izveide, esošo institūciju likvidācija vai reorganizācija, to ietekme uz institūcijas cilvēkresursiem</w:t>
            </w:r>
          </w:p>
        </w:tc>
        <w:tc>
          <w:tcPr>
            <w:tcW w:w="2425" w:type="pct"/>
            <w:gridSpan w:val="2"/>
            <w:tcBorders>
              <w:top w:val="outset" w:sz="6" w:space="0" w:color="000000"/>
              <w:left w:val="single" w:sz="4" w:space="0" w:color="auto"/>
              <w:bottom w:val="outset" w:sz="6" w:space="0" w:color="000000"/>
              <w:right w:val="outset" w:sz="6" w:space="0" w:color="000000"/>
            </w:tcBorders>
          </w:tcPr>
          <w:p w:rsidR="00032C63" w:rsidRPr="000225D5" w:rsidRDefault="007756FB" w:rsidP="00093490">
            <w:pPr>
              <w:spacing w:before="100" w:beforeAutospacing="1" w:after="100" w:afterAutospacing="1"/>
              <w:jc w:val="both"/>
            </w:pPr>
            <w:r w:rsidRPr="000225D5">
              <w:t>Projekt</w:t>
            </w:r>
            <w:r w:rsidR="00093490" w:rsidRPr="000225D5">
              <w:t>a izpilde neietekmēs valsts pārvaldes funkcijas</w:t>
            </w:r>
          </w:p>
        </w:tc>
      </w:tr>
      <w:tr w:rsidR="000225D5" w:rsidRPr="000225D5" w:rsidTr="00C944E6">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0225D5" w:rsidRDefault="00032C63" w:rsidP="00032C63">
            <w:pPr>
              <w:spacing w:before="100" w:beforeAutospacing="1" w:after="100" w:afterAutospacing="1"/>
              <w:jc w:val="center"/>
            </w:pPr>
            <w:r w:rsidRPr="000225D5">
              <w:t>3.</w:t>
            </w:r>
          </w:p>
        </w:tc>
        <w:tc>
          <w:tcPr>
            <w:tcW w:w="2220" w:type="pct"/>
            <w:gridSpan w:val="2"/>
            <w:tcBorders>
              <w:top w:val="outset" w:sz="6" w:space="0" w:color="000000"/>
              <w:left w:val="single" w:sz="4" w:space="0" w:color="auto"/>
              <w:bottom w:val="outset" w:sz="6" w:space="0" w:color="000000"/>
              <w:right w:val="single" w:sz="4" w:space="0" w:color="auto"/>
            </w:tcBorders>
          </w:tcPr>
          <w:p w:rsidR="00032C63" w:rsidRPr="000225D5" w:rsidRDefault="00FF735C" w:rsidP="00FF735C">
            <w:pPr>
              <w:jc w:val="both"/>
            </w:pPr>
            <w:r w:rsidRPr="000225D5">
              <w:t>Cita informācija</w:t>
            </w:r>
          </w:p>
        </w:tc>
        <w:tc>
          <w:tcPr>
            <w:tcW w:w="2425" w:type="pct"/>
            <w:gridSpan w:val="2"/>
            <w:tcBorders>
              <w:top w:val="outset" w:sz="6" w:space="0" w:color="000000"/>
              <w:left w:val="single" w:sz="4" w:space="0" w:color="auto"/>
              <w:bottom w:val="outset" w:sz="6" w:space="0" w:color="000000"/>
              <w:right w:val="outset" w:sz="6" w:space="0" w:color="000000"/>
            </w:tcBorders>
          </w:tcPr>
          <w:p w:rsidR="00032C63" w:rsidRPr="000225D5" w:rsidRDefault="00FF735C" w:rsidP="00032C63">
            <w:pPr>
              <w:spacing w:before="100" w:beforeAutospacing="1" w:after="100" w:afterAutospacing="1"/>
              <w:jc w:val="both"/>
            </w:pPr>
            <w:r w:rsidRPr="000225D5">
              <w:t>Nav</w:t>
            </w:r>
          </w:p>
        </w:tc>
      </w:tr>
      <w:tr w:rsidR="00C944E6" w:rsidRPr="000225D5" w:rsidTr="00D66041">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1134"/>
        </w:trPr>
        <w:tc>
          <w:tcPr>
            <w:tcW w:w="2077" w:type="pct"/>
            <w:gridSpan w:val="3"/>
          </w:tcPr>
          <w:p w:rsidR="00C944E6" w:rsidRDefault="00C944E6" w:rsidP="00D66041">
            <w:pPr>
              <w:jc w:val="both"/>
            </w:pPr>
          </w:p>
          <w:p w:rsidR="00C944E6" w:rsidRPr="000225D5" w:rsidRDefault="00C944E6" w:rsidP="00D66041">
            <w:pPr>
              <w:jc w:val="both"/>
            </w:pPr>
            <w:r w:rsidRPr="000225D5">
              <w:t>Finanšu ministrs</w:t>
            </w:r>
          </w:p>
        </w:tc>
        <w:tc>
          <w:tcPr>
            <w:tcW w:w="2471" w:type="pct"/>
            <w:gridSpan w:val="2"/>
          </w:tcPr>
          <w:p w:rsidR="00C944E6" w:rsidRPr="000225D5" w:rsidRDefault="00C944E6" w:rsidP="00D66041"/>
          <w:p w:rsidR="00D965DA" w:rsidRPr="000225D5" w:rsidRDefault="00D965DA" w:rsidP="00D965DA">
            <w:pPr>
              <w:jc w:val="right"/>
            </w:pPr>
            <w:r w:rsidRPr="000225D5">
              <w:t>A.Vilks</w:t>
            </w:r>
          </w:p>
          <w:p w:rsidR="00C944E6" w:rsidRPr="000225D5" w:rsidRDefault="00C944E6" w:rsidP="00D66041">
            <w:pPr>
              <w:jc w:val="right"/>
            </w:pPr>
          </w:p>
          <w:p w:rsidR="00C944E6" w:rsidRPr="000225D5" w:rsidRDefault="00C944E6" w:rsidP="00D66041">
            <w:pPr>
              <w:jc w:val="right"/>
            </w:pPr>
          </w:p>
        </w:tc>
      </w:tr>
      <w:tr w:rsidR="000225D5" w:rsidRPr="000225D5" w:rsidTr="00F1451A">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3"/>
          </w:tcPr>
          <w:p w:rsidR="00C944E6" w:rsidRPr="00C944E6" w:rsidRDefault="00C944E6" w:rsidP="00C944E6">
            <w:pPr>
              <w:rPr>
                <w:sz w:val="18"/>
                <w:szCs w:val="18"/>
              </w:rPr>
            </w:pPr>
            <w:r w:rsidRPr="00C944E6">
              <w:rPr>
                <w:sz w:val="18"/>
                <w:szCs w:val="18"/>
              </w:rPr>
              <w:fldChar w:fldCharType="begin"/>
            </w:r>
            <w:r w:rsidRPr="00C944E6">
              <w:rPr>
                <w:sz w:val="18"/>
                <w:szCs w:val="18"/>
              </w:rPr>
              <w:instrText xml:space="preserve"> DATE  \@ "yyyy.MM.dd. H:mm"  \* MERGEFORMAT </w:instrText>
            </w:r>
            <w:r w:rsidRPr="00C944E6">
              <w:rPr>
                <w:sz w:val="18"/>
                <w:szCs w:val="18"/>
              </w:rPr>
              <w:fldChar w:fldCharType="separate"/>
            </w:r>
            <w:r w:rsidR="00D965DA">
              <w:rPr>
                <w:noProof/>
                <w:sz w:val="18"/>
                <w:szCs w:val="18"/>
              </w:rPr>
              <w:t>2014.08.22. 11:48</w:t>
            </w:r>
            <w:r w:rsidRPr="00C944E6">
              <w:rPr>
                <w:sz w:val="18"/>
                <w:szCs w:val="18"/>
              </w:rPr>
              <w:fldChar w:fldCharType="end"/>
            </w:r>
          </w:p>
          <w:p w:rsidR="00C944E6" w:rsidRPr="00C944E6" w:rsidRDefault="00C944E6" w:rsidP="00C944E6">
            <w:pPr>
              <w:rPr>
                <w:sz w:val="18"/>
                <w:szCs w:val="18"/>
              </w:rPr>
            </w:pPr>
            <w:r w:rsidRPr="00C944E6">
              <w:rPr>
                <w:sz w:val="18"/>
                <w:szCs w:val="18"/>
              </w:rPr>
              <w:fldChar w:fldCharType="begin"/>
            </w:r>
            <w:r w:rsidRPr="00C944E6">
              <w:rPr>
                <w:sz w:val="18"/>
                <w:szCs w:val="18"/>
              </w:rPr>
              <w:instrText xml:space="preserve"> NUMWORDS  </w:instrText>
            </w:r>
            <w:r w:rsidRPr="00C944E6">
              <w:rPr>
                <w:sz w:val="18"/>
                <w:szCs w:val="18"/>
              </w:rPr>
              <w:fldChar w:fldCharType="separate"/>
            </w:r>
            <w:r>
              <w:rPr>
                <w:noProof/>
                <w:sz w:val="18"/>
                <w:szCs w:val="18"/>
              </w:rPr>
              <w:t>1043</w:t>
            </w:r>
            <w:r w:rsidRPr="00C944E6">
              <w:rPr>
                <w:sz w:val="18"/>
                <w:szCs w:val="18"/>
              </w:rPr>
              <w:fldChar w:fldCharType="end"/>
            </w:r>
          </w:p>
          <w:p w:rsidR="00C944E6" w:rsidRPr="00C944E6" w:rsidRDefault="00C944E6" w:rsidP="00C944E6">
            <w:pPr>
              <w:rPr>
                <w:sz w:val="18"/>
                <w:szCs w:val="18"/>
              </w:rPr>
            </w:pPr>
            <w:r w:rsidRPr="00C944E6">
              <w:rPr>
                <w:sz w:val="18"/>
                <w:szCs w:val="18"/>
              </w:rPr>
              <w:t>Tatjana Trenko</w:t>
            </w:r>
          </w:p>
          <w:p w:rsidR="00C944E6" w:rsidRPr="00C944E6" w:rsidRDefault="00C944E6" w:rsidP="00C944E6">
            <w:pPr>
              <w:rPr>
                <w:sz w:val="18"/>
                <w:szCs w:val="18"/>
              </w:rPr>
            </w:pPr>
            <w:r w:rsidRPr="00C944E6">
              <w:rPr>
                <w:sz w:val="18"/>
                <w:szCs w:val="18"/>
              </w:rPr>
              <w:t xml:space="preserve">Finanšu ministrijas </w:t>
            </w:r>
          </w:p>
          <w:p w:rsidR="00C944E6" w:rsidRPr="00C944E6" w:rsidRDefault="00C944E6" w:rsidP="00C944E6">
            <w:pPr>
              <w:rPr>
                <w:sz w:val="18"/>
                <w:szCs w:val="18"/>
              </w:rPr>
            </w:pPr>
            <w:r w:rsidRPr="00C944E6">
              <w:rPr>
                <w:sz w:val="18"/>
                <w:szCs w:val="18"/>
              </w:rPr>
              <w:t>Nodokļu administrēšanas un grāmatvedības politikas departamenta</w:t>
            </w:r>
          </w:p>
          <w:p w:rsidR="00C944E6" w:rsidRPr="00C944E6" w:rsidRDefault="00C944E6" w:rsidP="00C944E6">
            <w:pPr>
              <w:rPr>
                <w:sz w:val="18"/>
                <w:szCs w:val="18"/>
              </w:rPr>
            </w:pPr>
            <w:r w:rsidRPr="00C944E6">
              <w:rPr>
                <w:sz w:val="18"/>
                <w:szCs w:val="18"/>
              </w:rPr>
              <w:t>Nodokļu administrēšanas politikas nodaļas vadītāja</w:t>
            </w:r>
          </w:p>
          <w:p w:rsidR="00032C63" w:rsidRPr="00C944E6" w:rsidRDefault="00C944E6" w:rsidP="00C944E6">
            <w:pPr>
              <w:rPr>
                <w:sz w:val="18"/>
                <w:szCs w:val="18"/>
              </w:rPr>
            </w:pPr>
            <w:r w:rsidRPr="00C944E6">
              <w:rPr>
                <w:sz w:val="18"/>
                <w:szCs w:val="18"/>
              </w:rPr>
              <w:t xml:space="preserve">Tālr.  67083983, </w:t>
            </w:r>
            <w:hyperlink r:id="rId8" w:history="1">
              <w:r w:rsidRPr="00C944E6">
                <w:rPr>
                  <w:sz w:val="18"/>
                  <w:szCs w:val="18"/>
                  <w:u w:val="single"/>
                </w:rPr>
                <w:t>Tatjana.Trenko@fm.gov.lv</w:t>
              </w:r>
            </w:hyperlink>
            <w:r w:rsidRPr="00C944E6">
              <w:rPr>
                <w:sz w:val="18"/>
                <w:szCs w:val="18"/>
                <w:u w:val="single"/>
              </w:rPr>
              <w:t xml:space="preserve"> </w:t>
            </w:r>
          </w:p>
        </w:tc>
        <w:tc>
          <w:tcPr>
            <w:tcW w:w="2471" w:type="pct"/>
            <w:gridSpan w:val="2"/>
          </w:tcPr>
          <w:p w:rsidR="00032C63" w:rsidRPr="00C944E6" w:rsidRDefault="00032C63" w:rsidP="00032C63">
            <w:pPr>
              <w:rPr>
                <w:sz w:val="18"/>
                <w:szCs w:val="18"/>
                <w:lang w:eastAsia="en-US"/>
              </w:rPr>
            </w:pPr>
          </w:p>
        </w:tc>
      </w:tr>
    </w:tbl>
    <w:p w:rsidR="00C944E6" w:rsidRPr="00E96CD9" w:rsidRDefault="00C944E6" w:rsidP="00C944E6">
      <w:pPr>
        <w:rPr>
          <w:sz w:val="20"/>
          <w:szCs w:val="20"/>
        </w:rPr>
      </w:pPr>
      <w:bookmarkStart w:id="0" w:name="_GoBack"/>
      <w:bookmarkEnd w:id="0"/>
    </w:p>
    <w:sectPr w:rsidR="00C944E6" w:rsidRPr="00E96CD9" w:rsidSect="00E96CD9">
      <w:headerReference w:type="even" r:id="rId9"/>
      <w:headerReference w:type="default" r:id="rId10"/>
      <w:footerReference w:type="default" r:id="rId11"/>
      <w:footerReference w:type="first" r:id="rId12"/>
      <w:pgSz w:w="11906" w:h="16838" w:code="9"/>
      <w:pgMar w:top="709" w:right="1134" w:bottom="851"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18" w:rsidRDefault="006E4F18">
      <w:r>
        <w:separator/>
      </w:r>
    </w:p>
  </w:endnote>
  <w:endnote w:type="continuationSeparator" w:id="0">
    <w:p w:rsidR="006E4F18" w:rsidRDefault="006E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Pr="00BF2451" w:rsidRDefault="00BF2451" w:rsidP="00BF2451">
    <w:pPr>
      <w:pStyle w:val="naislab"/>
      <w:jc w:val="both"/>
      <w:rPr>
        <w:sz w:val="20"/>
        <w:szCs w:val="20"/>
      </w:rPr>
    </w:pPr>
    <w:r w:rsidRPr="0091278B">
      <w:rPr>
        <w:sz w:val="18"/>
        <w:szCs w:val="18"/>
      </w:rPr>
      <w:t>FMAnot_</w:t>
    </w:r>
    <w:r w:rsidR="0096318A">
      <w:rPr>
        <w:sz w:val="18"/>
        <w:szCs w:val="18"/>
      </w:rPr>
      <w:t>1908</w:t>
    </w:r>
    <w:r>
      <w:rPr>
        <w:sz w:val="18"/>
        <w:szCs w:val="18"/>
      </w:rPr>
      <w:t>14_NNL</w:t>
    </w:r>
    <w:r w:rsidRPr="0091278B">
      <w:rPr>
        <w:sz w:val="18"/>
        <w:szCs w:val="18"/>
      </w:rPr>
      <w:t xml:space="preserve">; </w:t>
    </w:r>
    <w:r>
      <w:rPr>
        <w:sz w:val="20"/>
        <w:szCs w:val="20"/>
      </w:rPr>
      <w:t>Likum</w:t>
    </w:r>
    <w:r w:rsidRPr="007756FB">
      <w:rPr>
        <w:sz w:val="20"/>
        <w:szCs w:val="20"/>
      </w:rPr>
      <w:t xml:space="preserve">projekta „Grozījumi </w:t>
    </w:r>
    <w:r>
      <w:rPr>
        <w:sz w:val="20"/>
        <w:szCs w:val="20"/>
      </w:rPr>
      <w:t>likumā „Par nodokļiem un nodevām</w:t>
    </w:r>
    <w:r w:rsidRPr="007756FB">
      <w:rPr>
        <w:sz w:val="20"/>
        <w:szCs w:val="20"/>
      </w:rPr>
      <w:t>”” 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1" w:rsidRPr="00657D42" w:rsidRDefault="003169F1" w:rsidP="003169F1">
    <w:pPr>
      <w:pStyle w:val="naislab"/>
      <w:jc w:val="both"/>
      <w:rPr>
        <w:sz w:val="20"/>
        <w:szCs w:val="20"/>
      </w:rPr>
    </w:pPr>
    <w:r w:rsidRPr="0091278B">
      <w:rPr>
        <w:sz w:val="18"/>
        <w:szCs w:val="18"/>
      </w:rPr>
      <w:t>FMAnot_</w:t>
    </w:r>
    <w:r w:rsidR="0096318A">
      <w:rPr>
        <w:sz w:val="18"/>
        <w:szCs w:val="18"/>
      </w:rPr>
      <w:t>1908</w:t>
    </w:r>
    <w:r w:rsidR="00350F82">
      <w:rPr>
        <w:sz w:val="18"/>
        <w:szCs w:val="18"/>
      </w:rPr>
      <w:t>14_NNL</w:t>
    </w:r>
    <w:r w:rsidRPr="0091278B">
      <w:rPr>
        <w:sz w:val="18"/>
        <w:szCs w:val="18"/>
      </w:rPr>
      <w:t xml:space="preserve">; </w:t>
    </w:r>
    <w:r>
      <w:rPr>
        <w:sz w:val="20"/>
        <w:szCs w:val="20"/>
      </w:rPr>
      <w:t>Likum</w:t>
    </w:r>
    <w:r w:rsidRPr="007756FB">
      <w:rPr>
        <w:sz w:val="20"/>
        <w:szCs w:val="20"/>
      </w:rPr>
      <w:t xml:space="preserve">projekta „Grozījumi </w:t>
    </w:r>
    <w:r>
      <w:rPr>
        <w:sz w:val="20"/>
        <w:szCs w:val="20"/>
      </w:rPr>
      <w:t>likumā „Par nodokļiem un nodevām</w:t>
    </w:r>
    <w:r w:rsidRPr="007756FB">
      <w:rPr>
        <w:sz w:val="20"/>
        <w:szCs w:val="20"/>
      </w:rPr>
      <w:t>”” sākotnējās ietekmes n</w:t>
    </w:r>
    <w:r>
      <w:rPr>
        <w:sz w:val="20"/>
        <w:szCs w:val="20"/>
      </w:rPr>
      <w:t>ovērtējuma ziņojums (anotācija)</w:t>
    </w:r>
  </w:p>
  <w:p w:rsidR="009D5827" w:rsidRPr="003169F1" w:rsidRDefault="009D5827" w:rsidP="0031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18" w:rsidRDefault="006E4F18">
      <w:r>
        <w:separator/>
      </w:r>
    </w:p>
  </w:footnote>
  <w:footnote w:type="continuationSeparator" w:id="0">
    <w:p w:rsidR="006E4F18" w:rsidRDefault="006E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DA">
      <w:rPr>
        <w:rStyle w:val="PageNumber"/>
        <w:noProof/>
      </w:rPr>
      <w:t>4</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157F46"/>
    <w:multiLevelType w:val="hybridMultilevel"/>
    <w:tmpl w:val="7EAE6E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C3A0132"/>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4"/>
  </w:num>
  <w:num w:numId="3">
    <w:abstractNumId w:val="8"/>
  </w:num>
  <w:num w:numId="4">
    <w:abstractNumId w:val="12"/>
  </w:num>
  <w:num w:numId="5">
    <w:abstractNumId w:val="6"/>
  </w:num>
  <w:num w:numId="6">
    <w:abstractNumId w:val="14"/>
  </w:num>
  <w:num w:numId="7">
    <w:abstractNumId w:val="1"/>
  </w:num>
  <w:num w:numId="8">
    <w:abstractNumId w:val="0"/>
  </w:num>
  <w:num w:numId="9">
    <w:abstractNumId w:val="13"/>
  </w:num>
  <w:num w:numId="10">
    <w:abstractNumId w:val="10"/>
  </w:num>
  <w:num w:numId="11">
    <w:abstractNumId w:val="3"/>
  </w:num>
  <w:num w:numId="12">
    <w:abstractNumId w:val="9"/>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2259A"/>
    <w:rsid w:val="000225D5"/>
    <w:rsid w:val="00024D4A"/>
    <w:rsid w:val="00032C63"/>
    <w:rsid w:val="00045E7D"/>
    <w:rsid w:val="000466BB"/>
    <w:rsid w:val="0006103D"/>
    <w:rsid w:val="00075879"/>
    <w:rsid w:val="00081DAB"/>
    <w:rsid w:val="00093490"/>
    <w:rsid w:val="00095671"/>
    <w:rsid w:val="000A3646"/>
    <w:rsid w:val="000B0A57"/>
    <w:rsid w:val="000B201B"/>
    <w:rsid w:val="000B3304"/>
    <w:rsid w:val="000B6BEE"/>
    <w:rsid w:val="000C52A7"/>
    <w:rsid w:val="000D4E09"/>
    <w:rsid w:val="000D6F23"/>
    <w:rsid w:val="000E06A4"/>
    <w:rsid w:val="000E0F37"/>
    <w:rsid w:val="000E3F69"/>
    <w:rsid w:val="000F148C"/>
    <w:rsid w:val="000F7CD5"/>
    <w:rsid w:val="001012AA"/>
    <w:rsid w:val="001166D1"/>
    <w:rsid w:val="00121706"/>
    <w:rsid w:val="0013216F"/>
    <w:rsid w:val="00134C95"/>
    <w:rsid w:val="00142AB7"/>
    <w:rsid w:val="00164AB4"/>
    <w:rsid w:val="00170AC9"/>
    <w:rsid w:val="0018771A"/>
    <w:rsid w:val="001A048B"/>
    <w:rsid w:val="001A0AE5"/>
    <w:rsid w:val="001A0D5C"/>
    <w:rsid w:val="001B4146"/>
    <w:rsid w:val="001B6E27"/>
    <w:rsid w:val="001C7060"/>
    <w:rsid w:val="001D73D4"/>
    <w:rsid w:val="001E7B85"/>
    <w:rsid w:val="001F23CC"/>
    <w:rsid w:val="00206F3A"/>
    <w:rsid w:val="0021058A"/>
    <w:rsid w:val="002268EF"/>
    <w:rsid w:val="00231E45"/>
    <w:rsid w:val="00232C65"/>
    <w:rsid w:val="00246D9C"/>
    <w:rsid w:val="00253E23"/>
    <w:rsid w:val="00267711"/>
    <w:rsid w:val="002716A4"/>
    <w:rsid w:val="00271A80"/>
    <w:rsid w:val="0027384B"/>
    <w:rsid w:val="002829BB"/>
    <w:rsid w:val="002913D0"/>
    <w:rsid w:val="00294287"/>
    <w:rsid w:val="00294A3C"/>
    <w:rsid w:val="00295D20"/>
    <w:rsid w:val="00296449"/>
    <w:rsid w:val="002B01EB"/>
    <w:rsid w:val="002B458F"/>
    <w:rsid w:val="002B7491"/>
    <w:rsid w:val="002C2088"/>
    <w:rsid w:val="002C7859"/>
    <w:rsid w:val="002D7D23"/>
    <w:rsid w:val="002E1C54"/>
    <w:rsid w:val="002F005C"/>
    <w:rsid w:val="002F033B"/>
    <w:rsid w:val="002F084F"/>
    <w:rsid w:val="002F4C6B"/>
    <w:rsid w:val="0031278B"/>
    <w:rsid w:val="003169F1"/>
    <w:rsid w:val="00324A5D"/>
    <w:rsid w:val="00341D41"/>
    <w:rsid w:val="00343F57"/>
    <w:rsid w:val="00344A45"/>
    <w:rsid w:val="00350F82"/>
    <w:rsid w:val="00352217"/>
    <w:rsid w:val="003537C1"/>
    <w:rsid w:val="00353D75"/>
    <w:rsid w:val="00365AF2"/>
    <w:rsid w:val="0037109E"/>
    <w:rsid w:val="00377B67"/>
    <w:rsid w:val="003804CD"/>
    <w:rsid w:val="00387B30"/>
    <w:rsid w:val="00395E39"/>
    <w:rsid w:val="003C2949"/>
    <w:rsid w:val="003C5A60"/>
    <w:rsid w:val="003C642A"/>
    <w:rsid w:val="003D35D3"/>
    <w:rsid w:val="003F5054"/>
    <w:rsid w:val="003F6A7A"/>
    <w:rsid w:val="004005ED"/>
    <w:rsid w:val="00400BC5"/>
    <w:rsid w:val="00431878"/>
    <w:rsid w:val="00431C1A"/>
    <w:rsid w:val="00435156"/>
    <w:rsid w:val="00436FB2"/>
    <w:rsid w:val="004402AD"/>
    <w:rsid w:val="004800A1"/>
    <w:rsid w:val="00480403"/>
    <w:rsid w:val="00483499"/>
    <w:rsid w:val="00486BDF"/>
    <w:rsid w:val="004933D4"/>
    <w:rsid w:val="00493932"/>
    <w:rsid w:val="00493B36"/>
    <w:rsid w:val="00495216"/>
    <w:rsid w:val="004969A9"/>
    <w:rsid w:val="004B1783"/>
    <w:rsid w:val="004B401A"/>
    <w:rsid w:val="004C4CEE"/>
    <w:rsid w:val="004C7E64"/>
    <w:rsid w:val="004D0967"/>
    <w:rsid w:val="004D0F9A"/>
    <w:rsid w:val="004D42EC"/>
    <w:rsid w:val="004E4573"/>
    <w:rsid w:val="004E683A"/>
    <w:rsid w:val="004F1B4F"/>
    <w:rsid w:val="004F56AF"/>
    <w:rsid w:val="004F7B81"/>
    <w:rsid w:val="005103BA"/>
    <w:rsid w:val="00535025"/>
    <w:rsid w:val="005524C9"/>
    <w:rsid w:val="00570629"/>
    <w:rsid w:val="005A020D"/>
    <w:rsid w:val="005A7A3D"/>
    <w:rsid w:val="005B3362"/>
    <w:rsid w:val="005E4124"/>
    <w:rsid w:val="005E4B46"/>
    <w:rsid w:val="0060078A"/>
    <w:rsid w:val="00604115"/>
    <w:rsid w:val="00621AD7"/>
    <w:rsid w:val="00621E39"/>
    <w:rsid w:val="00643EAB"/>
    <w:rsid w:val="00652339"/>
    <w:rsid w:val="006578B7"/>
    <w:rsid w:val="00657AE9"/>
    <w:rsid w:val="00657D42"/>
    <w:rsid w:val="0067240C"/>
    <w:rsid w:val="00673945"/>
    <w:rsid w:val="00684766"/>
    <w:rsid w:val="00690295"/>
    <w:rsid w:val="006924F7"/>
    <w:rsid w:val="00694740"/>
    <w:rsid w:val="00697780"/>
    <w:rsid w:val="006B1B31"/>
    <w:rsid w:val="006B7CA9"/>
    <w:rsid w:val="006C4C20"/>
    <w:rsid w:val="006E4F18"/>
    <w:rsid w:val="006E68D1"/>
    <w:rsid w:val="006F02EA"/>
    <w:rsid w:val="006F3FEE"/>
    <w:rsid w:val="00702067"/>
    <w:rsid w:val="00705178"/>
    <w:rsid w:val="007100E7"/>
    <w:rsid w:val="007118F7"/>
    <w:rsid w:val="00713669"/>
    <w:rsid w:val="00716016"/>
    <w:rsid w:val="00733D77"/>
    <w:rsid w:val="00735EF4"/>
    <w:rsid w:val="00743410"/>
    <w:rsid w:val="007444DF"/>
    <w:rsid w:val="0076494E"/>
    <w:rsid w:val="00774CA6"/>
    <w:rsid w:val="007756FB"/>
    <w:rsid w:val="0078188D"/>
    <w:rsid w:val="0078381A"/>
    <w:rsid w:val="00785F87"/>
    <w:rsid w:val="007961CD"/>
    <w:rsid w:val="007A6B20"/>
    <w:rsid w:val="007B342F"/>
    <w:rsid w:val="007D192A"/>
    <w:rsid w:val="007E7AF1"/>
    <w:rsid w:val="007F599B"/>
    <w:rsid w:val="00800783"/>
    <w:rsid w:val="008017E8"/>
    <w:rsid w:val="0080364A"/>
    <w:rsid w:val="00805F33"/>
    <w:rsid w:val="008203B4"/>
    <w:rsid w:val="00822CC1"/>
    <w:rsid w:val="00827512"/>
    <w:rsid w:val="008441C4"/>
    <w:rsid w:val="00855E24"/>
    <w:rsid w:val="0085794A"/>
    <w:rsid w:val="00864BA4"/>
    <w:rsid w:val="00864CA8"/>
    <w:rsid w:val="00880387"/>
    <w:rsid w:val="008923F1"/>
    <w:rsid w:val="008961E6"/>
    <w:rsid w:val="008B2749"/>
    <w:rsid w:val="008C0969"/>
    <w:rsid w:val="008D06E4"/>
    <w:rsid w:val="008D4CB3"/>
    <w:rsid w:val="008D6F5F"/>
    <w:rsid w:val="008E2D18"/>
    <w:rsid w:val="008E74A8"/>
    <w:rsid w:val="008F7DF2"/>
    <w:rsid w:val="009000C7"/>
    <w:rsid w:val="00906DD8"/>
    <w:rsid w:val="00910384"/>
    <w:rsid w:val="0091278B"/>
    <w:rsid w:val="00934026"/>
    <w:rsid w:val="009525A0"/>
    <w:rsid w:val="00954D03"/>
    <w:rsid w:val="009553B5"/>
    <w:rsid w:val="00956F17"/>
    <w:rsid w:val="00957F74"/>
    <w:rsid w:val="0096318A"/>
    <w:rsid w:val="009674B6"/>
    <w:rsid w:val="00973DC5"/>
    <w:rsid w:val="00977DD4"/>
    <w:rsid w:val="00981B9B"/>
    <w:rsid w:val="009856B7"/>
    <w:rsid w:val="00990ED9"/>
    <w:rsid w:val="009920E0"/>
    <w:rsid w:val="00994A1A"/>
    <w:rsid w:val="009A0DA3"/>
    <w:rsid w:val="009A1F3D"/>
    <w:rsid w:val="009A2C41"/>
    <w:rsid w:val="009B6EF5"/>
    <w:rsid w:val="009C17BC"/>
    <w:rsid w:val="009D5827"/>
    <w:rsid w:val="009F1159"/>
    <w:rsid w:val="009F2EC3"/>
    <w:rsid w:val="009F3101"/>
    <w:rsid w:val="009F5219"/>
    <w:rsid w:val="00A00266"/>
    <w:rsid w:val="00A1123B"/>
    <w:rsid w:val="00A119B1"/>
    <w:rsid w:val="00A13B6C"/>
    <w:rsid w:val="00A31C9C"/>
    <w:rsid w:val="00A3208E"/>
    <w:rsid w:val="00A3303E"/>
    <w:rsid w:val="00A421FA"/>
    <w:rsid w:val="00A44C40"/>
    <w:rsid w:val="00A54408"/>
    <w:rsid w:val="00A57731"/>
    <w:rsid w:val="00A643E2"/>
    <w:rsid w:val="00A70A89"/>
    <w:rsid w:val="00A7372C"/>
    <w:rsid w:val="00A81D1C"/>
    <w:rsid w:val="00A82B33"/>
    <w:rsid w:val="00A866B7"/>
    <w:rsid w:val="00A93837"/>
    <w:rsid w:val="00AA1306"/>
    <w:rsid w:val="00AB01EB"/>
    <w:rsid w:val="00AB25B1"/>
    <w:rsid w:val="00AB4549"/>
    <w:rsid w:val="00AB57C7"/>
    <w:rsid w:val="00AC192F"/>
    <w:rsid w:val="00AD1C9F"/>
    <w:rsid w:val="00AD1EAE"/>
    <w:rsid w:val="00AD45E2"/>
    <w:rsid w:val="00AE27B2"/>
    <w:rsid w:val="00AE3F15"/>
    <w:rsid w:val="00AE4E30"/>
    <w:rsid w:val="00AF104E"/>
    <w:rsid w:val="00AF62A0"/>
    <w:rsid w:val="00B10012"/>
    <w:rsid w:val="00B102E6"/>
    <w:rsid w:val="00B32A57"/>
    <w:rsid w:val="00B50153"/>
    <w:rsid w:val="00B52EEC"/>
    <w:rsid w:val="00B6584F"/>
    <w:rsid w:val="00B701BB"/>
    <w:rsid w:val="00B71218"/>
    <w:rsid w:val="00B75DCF"/>
    <w:rsid w:val="00B86095"/>
    <w:rsid w:val="00B94BFC"/>
    <w:rsid w:val="00BA7295"/>
    <w:rsid w:val="00BA79D6"/>
    <w:rsid w:val="00BB060F"/>
    <w:rsid w:val="00BB783A"/>
    <w:rsid w:val="00BC24BC"/>
    <w:rsid w:val="00BF2451"/>
    <w:rsid w:val="00C1653F"/>
    <w:rsid w:val="00C21036"/>
    <w:rsid w:val="00C27BDB"/>
    <w:rsid w:val="00C35D53"/>
    <w:rsid w:val="00C372FF"/>
    <w:rsid w:val="00C47067"/>
    <w:rsid w:val="00C53146"/>
    <w:rsid w:val="00C72E48"/>
    <w:rsid w:val="00C733FB"/>
    <w:rsid w:val="00C74583"/>
    <w:rsid w:val="00C80266"/>
    <w:rsid w:val="00C837B1"/>
    <w:rsid w:val="00C86AC2"/>
    <w:rsid w:val="00C944E6"/>
    <w:rsid w:val="00CA23A1"/>
    <w:rsid w:val="00CA3FFA"/>
    <w:rsid w:val="00CA7013"/>
    <w:rsid w:val="00CB3C74"/>
    <w:rsid w:val="00CC2DFB"/>
    <w:rsid w:val="00CF7A66"/>
    <w:rsid w:val="00D02168"/>
    <w:rsid w:val="00D26D28"/>
    <w:rsid w:val="00D3032B"/>
    <w:rsid w:val="00D36D69"/>
    <w:rsid w:val="00D4020D"/>
    <w:rsid w:val="00D47525"/>
    <w:rsid w:val="00D55D45"/>
    <w:rsid w:val="00D62F75"/>
    <w:rsid w:val="00D722A3"/>
    <w:rsid w:val="00D757C2"/>
    <w:rsid w:val="00D874C6"/>
    <w:rsid w:val="00D965DA"/>
    <w:rsid w:val="00D96652"/>
    <w:rsid w:val="00DA236D"/>
    <w:rsid w:val="00DD6A07"/>
    <w:rsid w:val="00DE03D1"/>
    <w:rsid w:val="00DE0625"/>
    <w:rsid w:val="00DE10CE"/>
    <w:rsid w:val="00DE1D08"/>
    <w:rsid w:val="00DE3D90"/>
    <w:rsid w:val="00E158EC"/>
    <w:rsid w:val="00E20C1A"/>
    <w:rsid w:val="00E316DA"/>
    <w:rsid w:val="00E42B82"/>
    <w:rsid w:val="00E44A3C"/>
    <w:rsid w:val="00E51879"/>
    <w:rsid w:val="00E56650"/>
    <w:rsid w:val="00E602CB"/>
    <w:rsid w:val="00E60D8F"/>
    <w:rsid w:val="00E63872"/>
    <w:rsid w:val="00E6688C"/>
    <w:rsid w:val="00E74D8B"/>
    <w:rsid w:val="00E96CD9"/>
    <w:rsid w:val="00EA1287"/>
    <w:rsid w:val="00EA5FA1"/>
    <w:rsid w:val="00EA7488"/>
    <w:rsid w:val="00EA7F8E"/>
    <w:rsid w:val="00EB1818"/>
    <w:rsid w:val="00ED1BFB"/>
    <w:rsid w:val="00EE12D0"/>
    <w:rsid w:val="00EE3210"/>
    <w:rsid w:val="00EE5E67"/>
    <w:rsid w:val="00EF0B31"/>
    <w:rsid w:val="00F02BE8"/>
    <w:rsid w:val="00F0480D"/>
    <w:rsid w:val="00F06673"/>
    <w:rsid w:val="00F114FB"/>
    <w:rsid w:val="00F12373"/>
    <w:rsid w:val="00F1451A"/>
    <w:rsid w:val="00F2425A"/>
    <w:rsid w:val="00F41E10"/>
    <w:rsid w:val="00F43911"/>
    <w:rsid w:val="00F43A58"/>
    <w:rsid w:val="00F50E37"/>
    <w:rsid w:val="00F52F64"/>
    <w:rsid w:val="00F53181"/>
    <w:rsid w:val="00F53203"/>
    <w:rsid w:val="00F6234D"/>
    <w:rsid w:val="00F65706"/>
    <w:rsid w:val="00F74B9D"/>
    <w:rsid w:val="00F811A1"/>
    <w:rsid w:val="00F95340"/>
    <w:rsid w:val="00FA6191"/>
    <w:rsid w:val="00FA728C"/>
    <w:rsid w:val="00FB003B"/>
    <w:rsid w:val="00FD0B0A"/>
    <w:rsid w:val="00FD13B6"/>
    <w:rsid w:val="00FD6F89"/>
    <w:rsid w:val="00FE779F"/>
    <w:rsid w:val="00FF2D3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401C5-E5AA-4344-9F1B-7985C1C9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186255619">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46731172">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5693647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9009-2D2C-4145-8E49-D3C94EE3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5517</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anotācija</vt:lpstr>
    </vt:vector>
  </TitlesOfParts>
  <Company>Finanšu ministrija</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Tatjana Trenko </dc:creator>
  <dc:description>Tatjana Trenko
67083983
Tatjana.Trenko@fm.gov.lv</dc:description>
  <cp:lastModifiedBy>Trenko Tatjana</cp:lastModifiedBy>
  <cp:revision>79</cp:revision>
  <cp:lastPrinted>2014-08-22T08:48:00Z</cp:lastPrinted>
  <dcterms:created xsi:type="dcterms:W3CDTF">2014-02-12T11:22:00Z</dcterms:created>
  <dcterms:modified xsi:type="dcterms:W3CDTF">2014-08-22T08:48:00Z</dcterms:modified>
</cp:coreProperties>
</file>