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20C3" w14:textId="77777777" w:rsidR="00E47C73" w:rsidRDefault="00E47C73" w:rsidP="00E47C73">
      <w:pPr>
        <w:pStyle w:val="naisf"/>
        <w:spacing w:before="0" w:beforeAutospacing="0" w:after="0" w:afterAutospacing="0"/>
        <w:jc w:val="center"/>
        <w:rPr>
          <w:rFonts w:eastAsiaTheme="minorHAnsi"/>
          <w:b/>
          <w:bCs/>
          <w:lang w:eastAsia="x-none"/>
        </w:rPr>
      </w:pPr>
      <w:r w:rsidRPr="00214707">
        <w:rPr>
          <w:rFonts w:eastAsiaTheme="minorHAnsi"/>
          <w:b/>
          <w:bCs/>
          <w:lang w:eastAsia="x-none"/>
        </w:rPr>
        <w:t>Likumprojekta „Grozījumi likumā „Par uzņēmumu ienākuma nodokli”” sākotnējās ietekmes novērtējuma ziņojums (anotācija)</w:t>
      </w:r>
    </w:p>
    <w:p w14:paraId="3EE4B9DF" w14:textId="77777777" w:rsidR="00E47C73" w:rsidRDefault="00E47C73" w:rsidP="00E47C73">
      <w:pPr>
        <w:pStyle w:val="naisf"/>
        <w:spacing w:before="0" w:beforeAutospacing="0" w:after="0" w:afterAutospacing="0"/>
        <w:jc w:val="center"/>
        <w:rPr>
          <w:rFonts w:eastAsiaTheme="minorHAnsi"/>
          <w:b/>
          <w:bCs/>
          <w:lang w:eastAsia="x-none"/>
        </w:rPr>
      </w:pPr>
    </w:p>
    <w:p w14:paraId="67BB828A" w14:textId="77777777" w:rsidR="00E47C73" w:rsidRPr="00214707" w:rsidRDefault="00E47C73" w:rsidP="00E47C73">
      <w:pPr>
        <w:pStyle w:val="naisf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402"/>
        <w:gridCol w:w="6648"/>
      </w:tblGrid>
      <w:tr w:rsidR="00E47C73" w:rsidRPr="00756214" w14:paraId="548B265B" w14:textId="77777777" w:rsidTr="00C9031C">
        <w:trPr>
          <w:trHeight w:val="419"/>
        </w:trPr>
        <w:tc>
          <w:tcPr>
            <w:tcW w:w="5000" w:type="pct"/>
            <w:gridSpan w:val="3"/>
            <w:vAlign w:val="center"/>
          </w:tcPr>
          <w:p w14:paraId="1F8BE2DE" w14:textId="77777777" w:rsidR="00E47C73" w:rsidRPr="00756214" w:rsidRDefault="00E47C73" w:rsidP="00C9031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756214">
              <w:rPr>
                <w:b/>
              </w:rPr>
              <w:t>I. Tiesību akta projekta izstrādes nepieciešamība</w:t>
            </w:r>
          </w:p>
        </w:tc>
      </w:tr>
      <w:tr w:rsidR="00E47C73" w:rsidRPr="00756214" w14:paraId="6BCF0052" w14:textId="77777777" w:rsidTr="00C9031C">
        <w:trPr>
          <w:trHeight w:val="415"/>
        </w:trPr>
        <w:tc>
          <w:tcPr>
            <w:tcW w:w="227" w:type="pct"/>
          </w:tcPr>
          <w:p w14:paraId="794B4460" w14:textId="77777777" w:rsidR="00E47C73" w:rsidRPr="00756214" w:rsidRDefault="00E47C73" w:rsidP="00C9031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756214">
              <w:t>1.</w:t>
            </w:r>
          </w:p>
        </w:tc>
        <w:tc>
          <w:tcPr>
            <w:tcW w:w="1267" w:type="pct"/>
          </w:tcPr>
          <w:p w14:paraId="578B167A" w14:textId="19B82894" w:rsidR="00856D7C" w:rsidRDefault="00E47C73" w:rsidP="00C9031C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756214">
              <w:t>Pamatojums</w:t>
            </w:r>
          </w:p>
          <w:p w14:paraId="48F97754" w14:textId="77777777" w:rsidR="00E47C73" w:rsidRPr="00856D7C" w:rsidRDefault="00E47C73" w:rsidP="00856D7C">
            <w:pPr>
              <w:rPr>
                <w:lang w:eastAsia="lv-LV"/>
              </w:rPr>
            </w:pPr>
          </w:p>
        </w:tc>
        <w:tc>
          <w:tcPr>
            <w:tcW w:w="3506" w:type="pct"/>
          </w:tcPr>
          <w:p w14:paraId="0DEA2D0D" w14:textId="17A38FF0" w:rsidR="00E47C73" w:rsidRPr="00024597" w:rsidRDefault="00F0135B" w:rsidP="005A3DE1">
            <w:pPr>
              <w:spacing w:after="0" w:line="240" w:lineRule="auto"/>
              <w:ind w:firstLine="42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24597">
              <w:rPr>
                <w:rFonts w:ascii="Times New Roman" w:hAnsi="Times New Roman" w:cs="Times New Roman"/>
                <w:sz w:val="24"/>
                <w:szCs w:val="24"/>
              </w:rPr>
              <w:t>Likumprojekts “Grozījumi likumā “Par uzņēmumu ienākuma nodokli”” (turpmāk – likumprojekts) izstrādāts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597">
              <w:rPr>
                <w:rFonts w:ascii="Times New Roman" w:hAnsi="Times New Roman" w:cs="Times New Roman"/>
                <w:sz w:val="24"/>
                <w:szCs w:val="24"/>
              </w:rPr>
              <w:t xml:space="preserve"> lai saskaņotu  likuma „</w:t>
            </w:r>
            <w:r w:rsidRPr="00024597">
              <w:rPr>
                <w:rFonts w:ascii="Times New Roman" w:hAnsi="Times New Roman" w:cs="Times New Roman"/>
                <w:bCs/>
                <w:sz w:val="24"/>
                <w:szCs w:val="24"/>
              </w:rPr>
              <w:t>Par uzņēmumu ienākuma nodokli” (turpmāk – likums)</w:t>
            </w:r>
            <w:r w:rsidRPr="00024597">
              <w:rPr>
                <w:rFonts w:ascii="Times New Roman" w:hAnsi="Times New Roman" w:cs="Times New Roman"/>
                <w:sz w:val="24"/>
                <w:szCs w:val="24"/>
              </w:rPr>
              <w:t xml:space="preserve">   normas  ar jauno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atbalsta </w:t>
            </w:r>
            <w:r w:rsidRPr="00024597">
              <w:rPr>
                <w:rFonts w:ascii="Times New Roman" w:hAnsi="Times New Roman" w:cs="Times New Roman"/>
                <w:sz w:val="24"/>
                <w:szCs w:val="24"/>
              </w:rPr>
              <w:t>regulējumu</w:t>
            </w:r>
            <w:r w:rsidRPr="00024597">
              <w:rPr>
                <w:rFonts w:ascii="Times New Roman" w:hAnsi="Times New Roman"/>
                <w:bCs/>
                <w:sz w:val="24"/>
                <w:szCs w:val="24"/>
              </w:rPr>
              <w:t xml:space="preserve"> Eiropas Komisijas 2014.g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ada 17.jūnija regulu</w:t>
            </w:r>
            <w:r w:rsidRPr="00024597">
              <w:rPr>
                <w:rFonts w:ascii="Times New Roman" w:hAnsi="Times New Roman"/>
                <w:bCs/>
                <w:sz w:val="24"/>
                <w:szCs w:val="24"/>
              </w:rPr>
              <w:t xml:space="preserve"> (ES) Nr.651/2014, ar ko noteiktas atbalsta kategorijas atzīst par saderīgām ar iekšējo tirgu, piemērojot Līguma 107. un 108.pantu (</w:t>
            </w:r>
            <w:r w:rsidR="005A3DE1" w:rsidRPr="00024597">
              <w:rPr>
                <w:rFonts w:ascii="Times New Roman" w:hAnsi="Times New Roman"/>
                <w:bCs/>
                <w:sz w:val="24"/>
                <w:szCs w:val="24"/>
              </w:rPr>
              <w:t xml:space="preserve">dokuments attiecas uz </w:t>
            </w:r>
            <w:r w:rsidR="005A3DE1" w:rsidRPr="00024597">
              <w:rPr>
                <w:rFonts w:ascii="Times New Roman" w:hAnsi="Times New Roman" w:cs="Times New Roman"/>
                <w:sz w:val="24"/>
                <w:szCs w:val="24"/>
              </w:rPr>
              <w:t>EEZ</w:t>
            </w:r>
            <w:r w:rsidR="005A3DE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5A3DE1">
              <w:rPr>
                <w:rFonts w:ascii="Times New Roman" w:hAnsi="Times New Roman"/>
                <w:bCs/>
                <w:sz w:val="24"/>
                <w:szCs w:val="24"/>
              </w:rPr>
              <w:t xml:space="preserve"> publicēts Eiropas Savienības Oficiālajā vēstnesī L187/1, 26.6.2014)</w:t>
            </w:r>
            <w:r w:rsidRPr="00024597">
              <w:rPr>
                <w:rFonts w:ascii="Times New Roman" w:hAnsi="Times New Roman"/>
                <w:bCs/>
                <w:sz w:val="24"/>
                <w:szCs w:val="24"/>
              </w:rPr>
              <w:t xml:space="preserve"> (turpmāk – Komisijas regula Nr.651/2014)</w:t>
            </w:r>
            <w:r w:rsidRPr="00024597">
              <w:rPr>
                <w:rFonts w:ascii="Times New Roman" w:hAnsi="Times New Roman" w:cs="Times New Roman"/>
                <w:sz w:val="24"/>
                <w:szCs w:val="24"/>
              </w:rPr>
              <w:t xml:space="preserve"> atbalstam sākotnējiem ieguldījumiem, t.i.,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atbalsts likuma ietvaros tiks sniegts saskaņā ar</w:t>
            </w:r>
            <w:r w:rsidRPr="00024597">
              <w:rPr>
                <w:rFonts w:ascii="Times New Roman" w:hAnsi="Times New Roman"/>
                <w:bCs/>
                <w:sz w:val="24"/>
                <w:szCs w:val="24"/>
              </w:rPr>
              <w:t xml:space="preserve"> Komisijas regula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024597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 w:rsidR="005A3D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III nodaļas 1.iedaļu – Reģionālais atbalsts</w:t>
            </w:r>
          </w:p>
        </w:tc>
      </w:tr>
      <w:tr w:rsidR="00E47C73" w:rsidRPr="00756214" w14:paraId="3B7E29A5" w14:textId="77777777" w:rsidTr="00C9031C">
        <w:trPr>
          <w:trHeight w:val="472"/>
        </w:trPr>
        <w:tc>
          <w:tcPr>
            <w:tcW w:w="227" w:type="pct"/>
          </w:tcPr>
          <w:p w14:paraId="7F4C3741" w14:textId="77777777" w:rsidR="00E47C73" w:rsidRPr="00756214" w:rsidRDefault="00E47C73" w:rsidP="00C9031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756214">
              <w:t>2.</w:t>
            </w:r>
          </w:p>
        </w:tc>
        <w:tc>
          <w:tcPr>
            <w:tcW w:w="1267" w:type="pct"/>
          </w:tcPr>
          <w:p w14:paraId="29F0C75A" w14:textId="77777777" w:rsidR="00E47C73" w:rsidRPr="00756214" w:rsidRDefault="00E47C73" w:rsidP="00C9031C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756214">
              <w:t>Pašreizējā situācija un problēmas, kuru risināšanai tiesību akta projekts izstrādāts, tiesiskā regulējuma mērķis un būtība</w:t>
            </w:r>
          </w:p>
        </w:tc>
        <w:tc>
          <w:tcPr>
            <w:tcW w:w="3506" w:type="pct"/>
          </w:tcPr>
          <w:p w14:paraId="151CA296" w14:textId="77777777" w:rsidR="00E47C73" w:rsidRPr="001F40F1" w:rsidRDefault="00E47C73" w:rsidP="00C9031C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0F1">
              <w:rPr>
                <w:rFonts w:ascii="Times New Roman" w:hAnsi="Times New Roman" w:cs="Times New Roman"/>
                <w:i/>
                <w:sz w:val="24"/>
                <w:szCs w:val="24"/>
              </w:rPr>
              <w:t>Nodokļa atlaide par atbalstāmo investīciju projekta ietvaros veiktajiem ieguldījum</w:t>
            </w:r>
          </w:p>
          <w:p w14:paraId="069614A2" w14:textId="77777777" w:rsidR="00E47C73" w:rsidRPr="00EA08A5" w:rsidRDefault="00E47C73" w:rsidP="00C9031C">
            <w:pPr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Ņemot vērā to,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2014.gada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30.jūnija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saskaņā ar valsts atbalsta regulējumu mainās nosacījumi atbalsta sniegšanai sākotnējiem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ilgtermiņa 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ieguldījumiem, grozījumi veicami, lai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arī pēc minētā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datuma nodokļ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maksātāji varētu saņemt uzņēmumu ienākuma nodokļa atlaidi par </w:t>
            </w:r>
            <w:r w:rsidRPr="00194B3C">
              <w:rPr>
                <w:rFonts w:ascii="Times New Roman" w:hAnsi="Times New Roman" w:cs="Times New Roman"/>
                <w:sz w:val="24"/>
                <w:szCs w:val="24"/>
              </w:rPr>
              <w:t xml:space="preserve"> atbalstāmo investīciju projekta ietvaros veiktajiem sākotnējiem ilgtermiņa </w:t>
            </w:r>
            <w:r w:rsidRPr="00870E6C">
              <w:rPr>
                <w:rFonts w:ascii="Times New Roman" w:hAnsi="Times New Roman" w:cs="Times New Roman"/>
                <w:sz w:val="24"/>
                <w:szCs w:val="24"/>
              </w:rPr>
              <w:t>ieguldījumiem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Komisijas regulas </w:t>
            </w:r>
            <w:r w:rsidRPr="008E3FD6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nosacījumiem</w:t>
            </w:r>
            <w:r w:rsidRPr="00870E6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Nodokļa atlaide </w:t>
            </w: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k piemērota sākotnējiem ilgtermiņa ieguldījumiem, kas veikti </w:t>
            </w:r>
            <w:r w:rsidRPr="005350CE">
              <w:rPr>
                <w:rFonts w:ascii="Times New Roman" w:hAnsi="Times New Roman" w:cs="Times New Roman"/>
                <w:sz w:val="24"/>
                <w:szCs w:val="24"/>
              </w:rPr>
              <w:t xml:space="preserve">materiālajos </w:t>
            </w:r>
            <w:r w:rsidRPr="00AB4707">
              <w:rPr>
                <w:rFonts w:ascii="Times New Roman" w:hAnsi="Times New Roman" w:cs="Times New Roman"/>
                <w:sz w:val="24"/>
                <w:szCs w:val="24"/>
              </w:rPr>
              <w:t>aktīvos</w:t>
            </w:r>
            <w:r w:rsidRPr="008D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saskaņā ar likuma 1.panta 27.daļu.</w:t>
            </w:r>
          </w:p>
          <w:p w14:paraId="46A250E9" w14:textId="77777777" w:rsidR="00E47C73" w:rsidRPr="00905273" w:rsidRDefault="00E47C73" w:rsidP="00C9031C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2014.gada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30.jūnijam likuma 17.</w:t>
            </w:r>
            <w:r w:rsidRPr="002825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pantā noteiktās nodokļa atlaides piemērošanas prasības noteica </w:t>
            </w: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2012.gada 24.janvāra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Nr.78 “</w:t>
            </w:r>
            <w:r w:rsidRPr="00756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Atbalstāmo investīciju projekta </w:t>
            </w:r>
            <w:r w:rsidRPr="00905273">
              <w:rPr>
                <w:rFonts w:ascii="Times New Roman" w:hAnsi="Times New Roman" w:cs="Times New Roman"/>
                <w:bCs/>
                <w:sz w:val="24"/>
                <w:szCs w:val="24"/>
              </w:rPr>
              <w:t>apstiprināšanas un īstenošanas kārtība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normas, kuras tika iekļautas likumprojektā un precizētas atbilstoši </w:t>
            </w:r>
            <w:r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  <w:r w:rsidRPr="00905273">
              <w:rPr>
                <w:rFonts w:ascii="Times New Roman" w:hAnsi="Times New Roman"/>
                <w:bCs/>
                <w:sz w:val="24"/>
                <w:szCs w:val="24"/>
              </w:rPr>
              <w:t xml:space="preserve"> Nr.651/2014 prasībām.</w:t>
            </w:r>
          </w:p>
          <w:p w14:paraId="5C06CE1D" w14:textId="18AE19E6" w:rsidR="00BE3576" w:rsidRPr="00905273" w:rsidRDefault="00490055" w:rsidP="00BE3576">
            <w:pPr>
              <w:pStyle w:val="CommentText"/>
              <w:spacing w:after="0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  <w:r w:rsidRPr="0090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Nr.651/2014 normas neparedz valsts atbalsta intensitāti 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sākotnējo ilgtermiņa ieguldījumu summas daļai, </w:t>
            </w:r>
            <w:r w:rsidRPr="0090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pārsniedz 100 miljonus </w:t>
            </w:r>
            <w:proofErr w:type="spellStart"/>
            <w:r w:rsidRPr="0090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905273">
              <w:rPr>
                <w:rFonts w:ascii="Times New Roman" w:hAnsi="Times New Roman" w:cs="Times New Roman"/>
                <w:bCs/>
                <w:sz w:val="24"/>
                <w:szCs w:val="24"/>
              </w:rPr>
              <w:t>. Savukārt</w:t>
            </w:r>
            <w:r w:rsidR="00BE3576" w:rsidRPr="0090527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0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 ņemot vērā </w:t>
            </w:r>
            <w:r w:rsidR="00A332BC"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Eiropas Komisijas </w:t>
            </w:r>
            <w:r w:rsidRPr="00905273">
              <w:rPr>
                <w:rFonts w:ascii="Times New Roman" w:hAnsi="Times New Roman" w:cs="Times New Roman"/>
                <w:sz w:val="24"/>
                <w:szCs w:val="24"/>
              </w:rPr>
              <w:t>Reģionālā atbalsta pamatnostādņu 2014-2020 nosacījumus</w:t>
            </w:r>
            <w:r w:rsidR="00A332BC"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 (2013/C 209/01)</w:t>
            </w:r>
            <w:r w:rsidR="00BE3576"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likumprojekts paredz, ka 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sākotnējo ilgtermiņa ieguldījumu summas daļai, </w:t>
            </w:r>
            <w:r w:rsidRPr="00905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pārsniedz 100 miljonus </w:t>
            </w:r>
            <w:proofErr w:type="spellStart"/>
            <w:r w:rsidRPr="009052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proofErr w:type="spellEnd"/>
            <w:r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 ietvaros ir iespējams piemērot 11,9% intensitāti, </w:t>
            </w:r>
            <w:r w:rsidR="00BE3576"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 ja atbalstāmo investīciju projekts </w:t>
            </w:r>
            <w:r w:rsidR="00E47C73"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Ministru kabineta lēmuma pieņemšanas, būs saskaņo</w:t>
            </w:r>
            <w:r w:rsidR="00BE3576"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ts</w:t>
            </w:r>
            <w:r w:rsidR="00E47C73"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Eiropas Komisiju (nepieciešamos dokumentus Eiropas Komisijai sagatavos un nosūtīs Ekonomikas ministrija). </w:t>
            </w:r>
          </w:p>
          <w:p w14:paraId="0C1E15B7" w14:textId="77777777" w:rsidR="00E47C73" w:rsidRPr="00BE3576" w:rsidRDefault="00E47C73" w:rsidP="00BE3576">
            <w:pPr>
              <w:pStyle w:val="CommentText"/>
              <w:spacing w:after="0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52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Redakcionāli </w:t>
            </w:r>
            <w:r w:rsidRPr="00EA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precizējumi</w:t>
            </w:r>
          </w:p>
          <w:p w14:paraId="7933C586" w14:textId="77777777" w:rsidR="00E47C73" w:rsidRDefault="00E47C73" w:rsidP="00BE3576">
            <w:pPr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04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Likumprojektā tiek veikts redakcionāls precizējums attiecībā uz nodokļa atvieglojumu par pētniecības un attīstības darbiem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A04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kuri 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saņemti no zinātniskajām institūcijām (likuma 6.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pirmā daļa). </w:t>
            </w:r>
            <w:r w:rsidR="00A1069C"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savas būtības nodokļa atvieglojumu uzņēmums var saņemt attiecībā uz veiktajiem izdevumiem. Minētais nosacījums tika atrunāts likumprojektā “Grozījumi likumā “Par uzņēmumu ienākuma </w:t>
            </w:r>
            <w:r w:rsidR="00A1069C"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nodokli”” (likuma 6.</w:t>
            </w:r>
            <w:r w:rsidR="00A1069C" w:rsidRPr="009052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  <w:r w:rsidR="00A1069C"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pirmās daļas redakcija) un netika mainīts arī tā izskatīšanas gaitā Saeimā. Līdz ar to, minētās normas būtība mainījās veicot tehniskus labojumus  likuma  pieņemšanas  procesā. 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tam, redakcionāls precizējums tiek veikts, lai nodrošinātu vienotu izpratni, ka likuma 6.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6</w:t>
            </w:r>
            <w:r w:rsidRPr="009052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panta normas ir attiecināmas arī uz veiktajiem pētniecības un attīstības darbiem pakalp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ojumu jomā (likuma 1.panta 29.daļa).</w:t>
            </w:r>
          </w:p>
          <w:p w14:paraId="522DA0C9" w14:textId="77777777" w:rsidR="00E47C73" w:rsidRPr="00A85187" w:rsidRDefault="00E47C73" w:rsidP="00C9031C">
            <w:pPr>
              <w:spacing w:after="0" w:line="240" w:lineRule="auto"/>
              <w:ind w:firstLine="42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CA04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</w:t>
            </w:r>
            <w:r w:rsidRPr="00CA04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iekļauta </w:t>
            </w:r>
            <w:r w:rsidRPr="000E24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precizējoša norma (</w:t>
            </w:r>
            <w:r w:rsidRPr="000E2428">
              <w:rPr>
                <w:rFonts w:ascii="Times New Roman" w:hAnsi="Times New Roman" w:cs="Times New Roman"/>
                <w:sz w:val="24"/>
                <w:szCs w:val="24"/>
              </w:rPr>
              <w:t>likuma 4.panta vienpadsmitās daļas 1.</w:t>
            </w:r>
            <w:r w:rsidRPr="000E24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0E2428">
              <w:rPr>
                <w:rFonts w:ascii="Times New Roman" w:hAnsi="Times New Roman" w:cs="Times New Roman"/>
                <w:sz w:val="24"/>
                <w:szCs w:val="24"/>
              </w:rPr>
              <w:t>punkts)</w:t>
            </w:r>
            <w:r w:rsidRPr="000E24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CA04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paredz nepiemērot 1,5 koeficientu (nepalielina ar saimniecisko darbību nesaistīto izdevumu apmēru)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sabiedrību</w:t>
            </w:r>
            <w:r w:rsidRPr="00CA04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veiktajiem ziedojumiem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dibinātājiem - </w:t>
            </w:r>
            <w:r w:rsidRPr="00CA04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CA04CE">
              <w:rPr>
                <w:rFonts w:ascii="Times New Roman" w:hAnsi="Times New Roman" w:cs="Times New Roman"/>
                <w:sz w:val="24"/>
                <w:szCs w:val="24"/>
              </w:rPr>
              <w:t>nvalīdu biedrīb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CA04CE">
              <w:rPr>
                <w:rFonts w:ascii="Times New Roman" w:hAnsi="Times New Roman" w:cs="Times New Roman"/>
                <w:sz w:val="24"/>
                <w:szCs w:val="24"/>
              </w:rPr>
              <w:t>, medicīniska rakstura, kā arī cit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CA04CE">
              <w:rPr>
                <w:rFonts w:ascii="Times New Roman" w:hAnsi="Times New Roman" w:cs="Times New Roman"/>
                <w:sz w:val="24"/>
                <w:szCs w:val="24"/>
              </w:rPr>
              <w:t xml:space="preserve"> labdarības fond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CA04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ja par šiem maksājumiem piemērota uzņēmumu ienākuma nodokļa atlaide saskaņā ar likuma 21.pantu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 Minēto koeficientu šīs kapitālsabiedrības nepiemēroja, ņemot vērā, ka likuma mērķis ir šo kapitālsabiedrību peļņu novirzīt labdarības organizācijām, kuras ir šo kapitālsabiedrību dibinātājas, piemērojot 100% nodokļa atlaidi.</w:t>
            </w:r>
          </w:p>
        </w:tc>
      </w:tr>
      <w:tr w:rsidR="00E47C73" w:rsidRPr="00756214" w14:paraId="648670E8" w14:textId="77777777" w:rsidTr="00C9031C">
        <w:trPr>
          <w:trHeight w:val="476"/>
        </w:trPr>
        <w:tc>
          <w:tcPr>
            <w:tcW w:w="227" w:type="pct"/>
          </w:tcPr>
          <w:p w14:paraId="7210649F" w14:textId="77777777" w:rsidR="00E47C73" w:rsidRPr="00756214" w:rsidRDefault="00E47C73" w:rsidP="00C9031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756214">
              <w:lastRenderedPageBreak/>
              <w:t>3.</w:t>
            </w:r>
          </w:p>
        </w:tc>
        <w:tc>
          <w:tcPr>
            <w:tcW w:w="1267" w:type="pct"/>
          </w:tcPr>
          <w:p w14:paraId="79F1251D" w14:textId="77777777" w:rsidR="00E47C73" w:rsidRPr="00756214" w:rsidRDefault="00E47C73" w:rsidP="00C9031C">
            <w:pPr>
              <w:pStyle w:val="naiskr"/>
              <w:spacing w:before="0" w:beforeAutospacing="0" w:after="0" w:afterAutospacing="0"/>
              <w:ind w:left="57" w:right="57"/>
            </w:pPr>
            <w:r w:rsidRPr="00756214">
              <w:t>Projekta izstrādē iesaistītās institūcijas</w:t>
            </w:r>
          </w:p>
        </w:tc>
        <w:tc>
          <w:tcPr>
            <w:tcW w:w="3506" w:type="pct"/>
          </w:tcPr>
          <w:p w14:paraId="3329C565" w14:textId="77777777" w:rsidR="00E47C73" w:rsidRPr="00756214" w:rsidRDefault="00E47C73" w:rsidP="00C9031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Projekts tika izstrādāts sadarbībā ar Ekonomikas ministriju.</w:t>
            </w:r>
          </w:p>
        </w:tc>
      </w:tr>
      <w:tr w:rsidR="00E47C73" w:rsidRPr="00756214" w14:paraId="261E33C6" w14:textId="77777777" w:rsidTr="00C9031C">
        <w:tc>
          <w:tcPr>
            <w:tcW w:w="227" w:type="pct"/>
          </w:tcPr>
          <w:p w14:paraId="14A65D7C" w14:textId="77777777" w:rsidR="00E47C73" w:rsidRPr="00756214" w:rsidRDefault="00E47C73" w:rsidP="00C9031C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756214">
              <w:t>4.</w:t>
            </w:r>
          </w:p>
        </w:tc>
        <w:tc>
          <w:tcPr>
            <w:tcW w:w="1267" w:type="pct"/>
          </w:tcPr>
          <w:p w14:paraId="4D5D126C" w14:textId="77777777" w:rsidR="00E47C73" w:rsidRPr="00756214" w:rsidRDefault="00E47C73" w:rsidP="00C9031C">
            <w:pPr>
              <w:pStyle w:val="naiskr"/>
              <w:spacing w:before="0" w:beforeAutospacing="0" w:after="0" w:afterAutospacing="0"/>
              <w:ind w:left="57" w:right="57"/>
            </w:pPr>
            <w:r w:rsidRPr="00756214">
              <w:t>Cita informācija</w:t>
            </w:r>
          </w:p>
        </w:tc>
        <w:tc>
          <w:tcPr>
            <w:tcW w:w="3506" w:type="pct"/>
          </w:tcPr>
          <w:p w14:paraId="069891CE" w14:textId="77777777" w:rsidR="00E47C73" w:rsidRPr="00756214" w:rsidRDefault="00E47C73" w:rsidP="00C9031C">
            <w:pPr>
              <w:pStyle w:val="naiskr"/>
              <w:spacing w:before="0" w:beforeAutospacing="0" w:after="0" w:afterAutospacing="0"/>
              <w:ind w:right="57"/>
            </w:pPr>
            <w:r w:rsidRPr="00756214">
              <w:t>Nav.</w:t>
            </w:r>
          </w:p>
        </w:tc>
      </w:tr>
    </w:tbl>
    <w:p w14:paraId="6FB505A6" w14:textId="77777777" w:rsidR="00E47C73" w:rsidRPr="00756214" w:rsidRDefault="00E47C73" w:rsidP="00E4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69"/>
        <w:gridCol w:w="6081"/>
      </w:tblGrid>
      <w:tr w:rsidR="00E47C73" w:rsidRPr="00756214" w14:paraId="2942B903" w14:textId="77777777" w:rsidTr="00C9031C">
        <w:trPr>
          <w:trHeight w:val="419"/>
        </w:trPr>
        <w:tc>
          <w:tcPr>
            <w:tcW w:w="5000" w:type="pct"/>
            <w:gridSpan w:val="3"/>
            <w:vAlign w:val="center"/>
          </w:tcPr>
          <w:p w14:paraId="0EA69F87" w14:textId="77777777" w:rsidR="00E47C73" w:rsidRPr="00756214" w:rsidRDefault="00E47C73" w:rsidP="00C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E47C73" w:rsidRPr="00756214" w14:paraId="272AC00D" w14:textId="77777777" w:rsidTr="00C9031C">
        <w:trPr>
          <w:trHeight w:val="415"/>
        </w:trPr>
        <w:tc>
          <w:tcPr>
            <w:tcW w:w="227" w:type="pct"/>
          </w:tcPr>
          <w:p w14:paraId="7FC0800D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6" w:type="pct"/>
          </w:tcPr>
          <w:p w14:paraId="16FD7C5E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207" w:type="pct"/>
          </w:tcPr>
          <w:p w14:paraId="1598EF8D" w14:textId="77777777" w:rsidR="00E47C73" w:rsidRPr="00756214" w:rsidRDefault="00E47C73" w:rsidP="00C90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Likumprojekts ietekmēs uzņēmumu ienākuma nodokļa maksātājus, kuri veic vai plāno veikt </w:t>
            </w:r>
            <w:r w:rsidRPr="00194B3C">
              <w:rPr>
                <w:rFonts w:ascii="Times New Roman" w:hAnsi="Times New Roman" w:cs="Times New Roman"/>
                <w:sz w:val="24"/>
                <w:szCs w:val="24"/>
              </w:rPr>
              <w:t xml:space="preserve"> atbalstāmo investīciju projekta ietvaros sākotnēj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194B3C">
              <w:rPr>
                <w:rFonts w:ascii="Times New Roman" w:hAnsi="Times New Roman" w:cs="Times New Roman"/>
                <w:sz w:val="24"/>
                <w:szCs w:val="24"/>
              </w:rPr>
              <w:t xml:space="preserve"> ilgtermiņa ieguldījum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us. </w:t>
            </w:r>
          </w:p>
        </w:tc>
      </w:tr>
      <w:tr w:rsidR="00E47C73" w:rsidRPr="00756214" w14:paraId="45B1A7C2" w14:textId="77777777" w:rsidTr="00C9031C">
        <w:trPr>
          <w:trHeight w:val="472"/>
        </w:trPr>
        <w:tc>
          <w:tcPr>
            <w:tcW w:w="227" w:type="pct"/>
          </w:tcPr>
          <w:p w14:paraId="2E1685AB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6" w:type="pct"/>
          </w:tcPr>
          <w:p w14:paraId="3112CDE2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7" w:type="pct"/>
          </w:tcPr>
          <w:p w14:paraId="39712BFF" w14:textId="77777777" w:rsidR="00E47C73" w:rsidRPr="00756214" w:rsidRDefault="00E47C73" w:rsidP="00C903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likuma 17.</w:t>
            </w:r>
            <w:r w:rsidRPr="00CE6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panta norma pēc būtības netiek mainīta, bet tikai precizēta atbilstoši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FD6">
              <w:rPr>
                <w:rFonts w:ascii="Times New Roman" w:hAnsi="Times New Roman"/>
                <w:bCs/>
                <w:sz w:val="24"/>
                <w:szCs w:val="24"/>
              </w:rPr>
              <w:t>Komisijas regul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ai</w:t>
            </w:r>
            <w:r w:rsidRPr="008E3FD6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tad ietekme uz tautsaimniecību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administratīvo slogu nemainās. Arī redakcionālie precizējumi likuma normām, kas attiecas uz pētniecības un attīstības izdevumu atvieglojumiem,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neradīs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ietekmi </w:t>
            </w: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uz tautsaimniecību un administratīvo slogu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Savukārt, ņemot vērā, ka likuma normai, attiecībā uz </w:t>
            </w:r>
            <w:r w:rsidRPr="00CA04C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CA04CE">
              <w:rPr>
                <w:rFonts w:ascii="Times New Roman" w:hAnsi="Times New Roman" w:cs="Times New Roman"/>
                <w:sz w:val="24"/>
                <w:szCs w:val="24"/>
              </w:rPr>
              <w:t>nvalīdu biedrīb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A04CE">
              <w:rPr>
                <w:rFonts w:ascii="Times New Roman" w:hAnsi="Times New Roman" w:cs="Times New Roman"/>
                <w:sz w:val="24"/>
                <w:szCs w:val="24"/>
              </w:rPr>
              <w:t>, medicīniska rakstura, kā arī cit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A04CE">
              <w:rPr>
                <w:rFonts w:ascii="Times New Roman" w:hAnsi="Times New Roman" w:cs="Times New Roman"/>
                <w:sz w:val="24"/>
                <w:szCs w:val="24"/>
              </w:rPr>
              <w:t xml:space="preserve"> labdarības fond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kapitālsabiedrībām, ir skaidrojošs raksturs, tad papildus administratīvo slogu un ietekmi uz tautsaimniecību tā neradīs.</w:t>
            </w:r>
          </w:p>
        </w:tc>
      </w:tr>
      <w:tr w:rsidR="00E47C73" w:rsidRPr="00756214" w14:paraId="7588004A" w14:textId="77777777" w:rsidTr="00C9031C">
        <w:trPr>
          <w:trHeight w:val="476"/>
        </w:trPr>
        <w:tc>
          <w:tcPr>
            <w:tcW w:w="227" w:type="pct"/>
          </w:tcPr>
          <w:p w14:paraId="4B7D9A50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6" w:type="pct"/>
          </w:tcPr>
          <w:p w14:paraId="2C95CAED" w14:textId="77777777" w:rsidR="00E47C73" w:rsidRPr="00756214" w:rsidRDefault="00E47C73" w:rsidP="00C90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7" w:type="pct"/>
          </w:tcPr>
          <w:p w14:paraId="0996B41A" w14:textId="77777777" w:rsidR="00E47C73" w:rsidRPr="00756214" w:rsidRDefault="00E47C73" w:rsidP="00C90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E47C73" w:rsidRPr="00756214" w14:paraId="172BE4BD" w14:textId="77777777" w:rsidTr="00C9031C">
        <w:tc>
          <w:tcPr>
            <w:tcW w:w="227" w:type="pct"/>
          </w:tcPr>
          <w:p w14:paraId="7D801595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6" w:type="pct"/>
          </w:tcPr>
          <w:p w14:paraId="35C8FB54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7" w:type="pct"/>
          </w:tcPr>
          <w:p w14:paraId="7A5E8547" w14:textId="77777777" w:rsidR="00E47C73" w:rsidRPr="00756214" w:rsidRDefault="00E47C73" w:rsidP="00C90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9F2E887" w14:textId="77777777" w:rsidR="00E47C73" w:rsidRPr="00756214" w:rsidRDefault="00E47C73" w:rsidP="00E47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F298E" w14:textId="77777777" w:rsidR="00E47C73" w:rsidRPr="00756214" w:rsidRDefault="00E47C73" w:rsidP="00E47C73">
      <w:pPr>
        <w:ind w:right="140"/>
        <w:contextualSpacing/>
        <w:rPr>
          <w:rFonts w:ascii="Times New Roman" w:hAnsi="Times New Roman" w:cs="Times New Roman"/>
          <w:sz w:val="24"/>
          <w:szCs w:val="24"/>
        </w:rPr>
      </w:pPr>
      <w:r w:rsidRPr="00756214">
        <w:rPr>
          <w:rFonts w:ascii="Times New Roman" w:hAnsi="Times New Roman" w:cs="Times New Roman"/>
          <w:sz w:val="24"/>
          <w:szCs w:val="24"/>
        </w:rPr>
        <w:t>Anotācijas III. sadaļa uz likumprojektu nav attiecināma.</w:t>
      </w:r>
    </w:p>
    <w:p w14:paraId="147A145D" w14:textId="77777777" w:rsidR="00E47C73" w:rsidRPr="00756214" w:rsidRDefault="00E47C73" w:rsidP="00E47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69"/>
        <w:gridCol w:w="6081"/>
      </w:tblGrid>
      <w:tr w:rsidR="00E47C73" w:rsidRPr="00756214" w14:paraId="0BDE011F" w14:textId="77777777" w:rsidTr="00C9031C">
        <w:trPr>
          <w:trHeight w:val="419"/>
        </w:trPr>
        <w:tc>
          <w:tcPr>
            <w:tcW w:w="5000" w:type="pct"/>
            <w:gridSpan w:val="3"/>
            <w:vAlign w:val="center"/>
          </w:tcPr>
          <w:p w14:paraId="2A6BFD37" w14:textId="77777777" w:rsidR="00E47C73" w:rsidRPr="00756214" w:rsidRDefault="00E47C73" w:rsidP="00C9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47C73" w:rsidRPr="00756214" w14:paraId="70AAD59E" w14:textId="77777777" w:rsidTr="00C9031C">
        <w:trPr>
          <w:trHeight w:val="415"/>
        </w:trPr>
        <w:tc>
          <w:tcPr>
            <w:tcW w:w="227" w:type="pct"/>
          </w:tcPr>
          <w:p w14:paraId="5EDDC971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6" w:type="pct"/>
          </w:tcPr>
          <w:p w14:paraId="7D85E351" w14:textId="77777777" w:rsidR="00E47C73" w:rsidRPr="00756214" w:rsidRDefault="00E47C73" w:rsidP="00C903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07" w:type="pct"/>
          </w:tcPr>
          <w:p w14:paraId="146E9084" w14:textId="77777777" w:rsidR="00E47C73" w:rsidRPr="00282572" w:rsidRDefault="00E47C73" w:rsidP="00C9031C">
            <w:pPr>
              <w:spacing w:after="0" w:line="240" w:lineRule="auto"/>
              <w:ind w:firstLine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nodrošinātu likuma normu piemērošanu attiecībā uz nodokļa atlaides piemērošanu par veiktajiem sākotnējiem ilgtermiņa ieguldījumiem </w:t>
            </w: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nepieciešams izstādāt grozījumus uz likuma pamata izdotajos Ministru kabineta 2012.gada </w:t>
            </w: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24.janvāra noteikumos Nr.78 “</w:t>
            </w:r>
            <w:r w:rsidRPr="00756214">
              <w:rPr>
                <w:rFonts w:ascii="Times New Roman" w:hAnsi="Times New Roman" w:cs="Times New Roman"/>
                <w:bCs/>
                <w:sz w:val="24"/>
                <w:szCs w:val="24"/>
              </w:rPr>
              <w:t>Atbalstāmo investīciju projekta apstiprināšanas un īstenošanas kārtība</w:t>
            </w: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papildus</w:t>
            </w:r>
            <w:r w:rsidRPr="00EA08A5">
              <w:rPr>
                <w:rFonts w:ascii="Times New Roman" w:hAnsi="Times New Roman" w:cs="Times New Roman"/>
                <w:sz w:val="24"/>
                <w:szCs w:val="24"/>
              </w:rPr>
              <w:t xml:space="preserve"> tiks iekļautas normas, kas paredzēs uzskaitīt dalīti to nozaru finanšu plūsmu, kuras nav atbalstāmas saskaņā ar  </w:t>
            </w:r>
            <w:r w:rsidRPr="00EA08A5">
              <w:rPr>
                <w:rFonts w:ascii="Times New Roman" w:hAnsi="Times New Roman"/>
                <w:bCs/>
                <w:sz w:val="24"/>
                <w:szCs w:val="24"/>
              </w:rPr>
              <w:t>Komisijas regulas Nr.651/2014 normām (ja nodokļa maksātājs saņem valsts atbalstu kādā no atbalstāmajām nozarēm), normas, kas paredzēs Valsts ieņēmum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EA08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dienestam </w:t>
            </w:r>
            <w:r w:rsidRPr="00EA08A5">
              <w:rPr>
                <w:rFonts w:ascii="Times New Roman" w:hAnsi="Times New Roman"/>
                <w:bCs/>
                <w:sz w:val="24"/>
                <w:szCs w:val="24"/>
              </w:rPr>
              <w:t>sniegt informāciju Ekonomikas ministrijai, par taksācijas periodā piemērotās nodokļa atlaides kopsummu, kārtību, kādā Ekonomikas ministrija sniedz nepieciešamo informāciju Eiropas Komisijai un dokumentu, kas attiecas uz piešķirto valsts atbalstu,  glabāšanas termiņu.</w:t>
            </w:r>
          </w:p>
        </w:tc>
      </w:tr>
      <w:tr w:rsidR="00E47C73" w:rsidRPr="00756214" w14:paraId="2A5CE378" w14:textId="77777777" w:rsidTr="00C9031C">
        <w:trPr>
          <w:trHeight w:val="472"/>
        </w:trPr>
        <w:tc>
          <w:tcPr>
            <w:tcW w:w="227" w:type="pct"/>
          </w:tcPr>
          <w:p w14:paraId="64D1FB0B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66" w:type="pct"/>
          </w:tcPr>
          <w:p w14:paraId="6698BD85" w14:textId="77777777" w:rsidR="00E47C73" w:rsidRPr="00756214" w:rsidRDefault="00E47C73" w:rsidP="00C903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07" w:type="pct"/>
          </w:tcPr>
          <w:p w14:paraId="0CAB8012" w14:textId="77777777" w:rsidR="00E47C73" w:rsidRPr="00756214" w:rsidRDefault="00E47C73" w:rsidP="00C903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ministrija.</w:t>
            </w:r>
          </w:p>
        </w:tc>
      </w:tr>
      <w:tr w:rsidR="00E47C73" w:rsidRPr="00756214" w14:paraId="57DB196B" w14:textId="77777777" w:rsidTr="00C9031C">
        <w:tc>
          <w:tcPr>
            <w:tcW w:w="227" w:type="pct"/>
          </w:tcPr>
          <w:p w14:paraId="488F3D86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6" w:type="pct"/>
          </w:tcPr>
          <w:p w14:paraId="3A3809BC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7" w:type="pct"/>
          </w:tcPr>
          <w:p w14:paraId="12DA32CA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B6AF3E4" w14:textId="77777777" w:rsidR="00E47C73" w:rsidRPr="00756214" w:rsidRDefault="00E47C73" w:rsidP="00E4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906"/>
        <w:gridCol w:w="6175"/>
      </w:tblGrid>
      <w:tr w:rsidR="00E47C73" w:rsidRPr="00756214" w14:paraId="2C75505A" w14:textId="77777777" w:rsidTr="00C9031C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211B3963" w14:textId="77777777" w:rsidR="00E47C73" w:rsidRPr="00756214" w:rsidRDefault="00E47C73" w:rsidP="00C9031C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i/>
              </w:rPr>
            </w:pPr>
            <w:r w:rsidRPr="00756214">
              <w:rPr>
                <w:b/>
              </w:rPr>
              <w:t>V. Tiesību akta projekta atbilstība Latvijas Republikas starptautiskajām saistībām</w:t>
            </w:r>
          </w:p>
        </w:tc>
      </w:tr>
      <w:tr w:rsidR="00E47C73" w:rsidRPr="00756214" w14:paraId="59083642" w14:textId="77777777" w:rsidTr="00C9031C">
        <w:trPr>
          <w:trHeight w:val="427"/>
          <w:jc w:val="center"/>
        </w:trPr>
        <w:tc>
          <w:tcPr>
            <w:tcW w:w="437" w:type="dxa"/>
          </w:tcPr>
          <w:p w14:paraId="2B9847D1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06" w:type="dxa"/>
          </w:tcPr>
          <w:p w14:paraId="0C07DC78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6175" w:type="dxa"/>
          </w:tcPr>
          <w:p w14:paraId="24A19C45" w14:textId="77777777" w:rsidR="00E47C73" w:rsidRDefault="00E47C73" w:rsidP="00C9031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Likumprojekts izstrādāts, lai ievērotu Komisijas regulas</w:t>
            </w:r>
            <w:r w:rsidRPr="008715EC">
              <w:rPr>
                <w:rFonts w:ascii="Times New Roman" w:hAnsi="Times New Roman"/>
                <w:bCs/>
                <w:sz w:val="24"/>
                <w:szCs w:val="24"/>
              </w:rPr>
              <w:t xml:space="preserve"> Nr.651/2014 </w:t>
            </w:r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normas.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Ekonomikas</w:t>
            </w:r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ministrija 20 darba dienu laikā pēc likumprojekta grozījumu pieņemšanas nosūtīs kopsavilkuma informāciju Eiropas Komisijai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Papildus tam Ekonomikas ministrija savā interneta mājaslapā publicē interneta saiti uz informācijas saturu, kas tika nosūtīta  Eiropas Komisijai. </w:t>
            </w:r>
          </w:p>
          <w:p w14:paraId="66F4D124" w14:textId="77777777" w:rsidR="00E47C73" w:rsidRPr="00756214" w:rsidRDefault="00E47C73" w:rsidP="00C9031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  <w:r w:rsidRPr="008E3FD6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normu</w:t>
            </w:r>
            <w:proofErr w:type="spellEnd"/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pras</w:t>
            </w:r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ības</w:t>
            </w:r>
            <w:proofErr w:type="spellEnd"/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ir piemērojamas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attiecībā uz atbalstāmo investīciju projektiem, par kuriem Ministru kabinets ir pieņēmis lēmumu sākot</w:t>
            </w:r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ar 2014.gada 1.jūliju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E47C73" w:rsidRPr="00756214" w14:paraId="273FCF7A" w14:textId="77777777" w:rsidTr="00C9031C">
        <w:trPr>
          <w:trHeight w:val="463"/>
          <w:jc w:val="center"/>
        </w:trPr>
        <w:tc>
          <w:tcPr>
            <w:tcW w:w="437" w:type="dxa"/>
          </w:tcPr>
          <w:p w14:paraId="2B165633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06" w:type="dxa"/>
          </w:tcPr>
          <w:p w14:paraId="12F59C4D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6175" w:type="dxa"/>
          </w:tcPr>
          <w:p w14:paraId="7379EB2B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47C73" w:rsidRPr="00756214" w14:paraId="304FDB99" w14:textId="77777777" w:rsidTr="00C9031C"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2BA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B761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DF7" w14:textId="77777777" w:rsidR="00E47C73" w:rsidRPr="00756214" w:rsidRDefault="00E47C73" w:rsidP="00C9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</w:tbl>
    <w:p w14:paraId="02A83F46" w14:textId="77777777" w:rsidR="00E47C73" w:rsidRPr="00756214" w:rsidRDefault="00E47C73" w:rsidP="00E47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Style w:val="TableGrid"/>
        <w:tblW w:w="9547" w:type="dxa"/>
        <w:tblInd w:w="-130" w:type="dxa"/>
        <w:tblLook w:val="04A0" w:firstRow="1" w:lastRow="0" w:firstColumn="1" w:lastColumn="0" w:noHBand="0" w:noVBand="1"/>
      </w:tblPr>
      <w:tblGrid>
        <w:gridCol w:w="2451"/>
        <w:gridCol w:w="2322"/>
        <w:gridCol w:w="2322"/>
        <w:gridCol w:w="2452"/>
      </w:tblGrid>
      <w:tr w:rsidR="00E47C73" w:rsidRPr="00756214" w14:paraId="2F645376" w14:textId="77777777" w:rsidTr="00C9031C">
        <w:tc>
          <w:tcPr>
            <w:tcW w:w="9547" w:type="dxa"/>
            <w:gridSpan w:val="4"/>
          </w:tcPr>
          <w:p w14:paraId="0B9006DF" w14:textId="77777777" w:rsidR="00E47C73" w:rsidRPr="00756214" w:rsidRDefault="00E47C73" w:rsidP="00C9031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1.tabula</w:t>
            </w:r>
            <w:r w:rsidRPr="0075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E47C73" w:rsidRPr="00756214" w14:paraId="4C6D4A97" w14:textId="77777777" w:rsidTr="00C9031C">
        <w:tc>
          <w:tcPr>
            <w:tcW w:w="2451" w:type="dxa"/>
          </w:tcPr>
          <w:p w14:paraId="36E2940D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096" w:type="dxa"/>
            <w:gridSpan w:val="3"/>
          </w:tcPr>
          <w:p w14:paraId="2D56782D" w14:textId="77777777" w:rsidR="00E47C73" w:rsidRDefault="00E47C73" w:rsidP="00C903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Komisijas regula</w:t>
            </w:r>
            <w:r w:rsidRPr="008715EC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94D100A" w14:textId="11783302" w:rsidR="00E47C73" w:rsidRPr="00905273" w:rsidRDefault="00E47C73" w:rsidP="009052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273">
              <w:rPr>
                <w:rFonts w:ascii="Times New Roman" w:hAnsi="Times New Roman" w:cs="Times New Roman"/>
                <w:sz w:val="24"/>
                <w:szCs w:val="24"/>
              </w:rPr>
              <w:t xml:space="preserve">Eiropas Komisijas Reģionālās atbalsta pamatnostādnes 2014. – 2020.gadam </w:t>
            </w:r>
            <w:r w:rsidR="00905273" w:rsidRPr="00905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(Eiropas Savienības Oficiālais Vēstnesis, 2013.gada 23.jūlijs, C 209/1)</w:t>
            </w:r>
            <w:r w:rsidR="00905273" w:rsidRPr="00905273">
              <w:rPr>
                <w:rFonts w:ascii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47C73" w:rsidRPr="00756214" w14:paraId="32ADBAAC" w14:textId="77777777" w:rsidTr="00C9031C">
        <w:tc>
          <w:tcPr>
            <w:tcW w:w="2451" w:type="dxa"/>
            <w:vAlign w:val="center"/>
          </w:tcPr>
          <w:p w14:paraId="17D35F78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22" w:type="dxa"/>
            <w:vAlign w:val="center"/>
          </w:tcPr>
          <w:p w14:paraId="2302458E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22" w:type="dxa"/>
            <w:vAlign w:val="center"/>
          </w:tcPr>
          <w:p w14:paraId="29330C97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2" w:type="dxa"/>
            <w:vAlign w:val="center"/>
          </w:tcPr>
          <w:p w14:paraId="2676B295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47C73" w:rsidRPr="00756214" w14:paraId="0029FF26" w14:textId="77777777" w:rsidTr="00C9031C">
        <w:tc>
          <w:tcPr>
            <w:tcW w:w="2451" w:type="dxa"/>
          </w:tcPr>
          <w:p w14:paraId="4DDF2955" w14:textId="77777777" w:rsidR="00E47C73" w:rsidRPr="00C62396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t xml:space="preserve">Attiecīgā ES tiesību akta panta numurs (uzskaitot katru tiesību akta vienību – pantu, </w:t>
            </w:r>
            <w:r w:rsidRPr="00C6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daļu, punktu, apakšpunktu)</w:t>
            </w:r>
          </w:p>
          <w:p w14:paraId="05417B59" w14:textId="77777777" w:rsidR="00E47C73" w:rsidRPr="00C62396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5B42A" w14:textId="77777777" w:rsidR="00E47C73" w:rsidRPr="00C62396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D7D76E5" w14:textId="77777777" w:rsidR="00E47C73" w:rsidRPr="00C62396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Projekta vienība, kas pārņem vai ievieš katru šīs tabulas A ailē minēto ES tiesību akta vienību, vai tiesību akts, kur </w:t>
            </w:r>
            <w:r w:rsidRPr="00C6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attiecīgā ES tiesību akta vienība pārņemta vai ieviesta</w:t>
            </w:r>
          </w:p>
        </w:tc>
        <w:tc>
          <w:tcPr>
            <w:tcW w:w="2322" w:type="dxa"/>
          </w:tcPr>
          <w:p w14:paraId="2146D52F" w14:textId="77777777" w:rsidR="00E47C73" w:rsidRPr="00C62396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Informācija par to, vai šīs tabulas A ailē minētās ES tiesību akta vienības tiek pārņemtas vai </w:t>
            </w:r>
            <w:r w:rsidRPr="00C6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ieviestas pilnībā vai daļēji. </w:t>
            </w:r>
          </w:p>
          <w:p w14:paraId="356D2313" w14:textId="77777777" w:rsidR="00E47C73" w:rsidRPr="00C62396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36E74FD1" w14:textId="77777777" w:rsidR="00E47C73" w:rsidRPr="00C62396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452" w:type="dxa"/>
          </w:tcPr>
          <w:p w14:paraId="62EDDC71" w14:textId="77777777" w:rsidR="00E47C73" w:rsidRPr="00C62396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Informācija par to, vai šīs tabulas B ailē minētās projekta vienības paredz stingrākas prasības nekā šīs tabulas A ailē </w:t>
            </w:r>
            <w:r w:rsidRPr="00C62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minētās ES tiesību akta vienības. </w:t>
            </w:r>
          </w:p>
          <w:p w14:paraId="5A2EBAE2" w14:textId="77777777" w:rsidR="00E47C73" w:rsidRPr="00C62396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t>Ja projekts satur stingrākas prasības nekā attiecīgais ES tiesību akts, norāda pamatojumu un samērīgumu.</w:t>
            </w:r>
          </w:p>
          <w:p w14:paraId="4DC45627" w14:textId="77777777" w:rsidR="00E47C73" w:rsidRPr="00C62396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6">
              <w:rPr>
                <w:rFonts w:ascii="Times New Roman" w:hAnsi="Times New Roman" w:cs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47C73" w:rsidRPr="00756214" w14:paraId="494CD4F7" w14:textId="77777777" w:rsidTr="00C9031C">
        <w:tc>
          <w:tcPr>
            <w:tcW w:w="2451" w:type="dxa"/>
          </w:tcPr>
          <w:p w14:paraId="662DF446" w14:textId="28BF6618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Komisijas regulas 1.panta </w:t>
            </w:r>
            <w:r w:rsidR="00F90E22">
              <w:rPr>
                <w:rFonts w:ascii="Times New Roman" w:hAnsi="Times New Roman" w:cs="Times New Roman"/>
                <w:sz w:val="24"/>
                <w:szCs w:val="24"/>
              </w:rPr>
              <w:t xml:space="preserve">2.punkta “c” un “d” apakšpunkts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.punkta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“c” 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apakšpunkts. </w:t>
            </w:r>
          </w:p>
        </w:tc>
        <w:tc>
          <w:tcPr>
            <w:tcW w:w="2322" w:type="dxa"/>
          </w:tcPr>
          <w:p w14:paraId="0C01065D" w14:textId="77777777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Likumprojekta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4.panta desmitā un vienpadsmitā daļa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 [likuma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sestās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 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un 3.punkta un 6.</w:t>
            </w:r>
            <w:r w:rsidRPr="00BE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daļas 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norma]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14:paraId="1E5DD2FD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Tiek ieviestas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1073E60A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C73" w:rsidRPr="00756214" w14:paraId="661E8E22" w14:textId="77777777" w:rsidTr="00C9031C">
        <w:tc>
          <w:tcPr>
            <w:tcW w:w="2451" w:type="dxa"/>
          </w:tcPr>
          <w:p w14:paraId="2392DE93" w14:textId="77777777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43.punkts.</w:t>
            </w:r>
          </w:p>
        </w:tc>
        <w:tc>
          <w:tcPr>
            <w:tcW w:w="2322" w:type="dxa"/>
          </w:tcPr>
          <w:p w14:paraId="547174E2" w14:textId="77777777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Likumprojekta 4. panta divpadsmitā daļa un 6.pants 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[likuma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panta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astotās daļas 7.punkta norma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F9DE6E2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Tiek ieviestas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07AF2B58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C73" w:rsidRPr="00756214" w14:paraId="09F33E8E" w14:textId="77777777" w:rsidTr="00C9031C">
        <w:tc>
          <w:tcPr>
            <w:tcW w:w="2451" w:type="dxa"/>
          </w:tcPr>
          <w:p w14:paraId="0CA97D7A" w14:textId="77777777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49.punkts.</w:t>
            </w:r>
          </w:p>
        </w:tc>
        <w:tc>
          <w:tcPr>
            <w:tcW w:w="2322" w:type="dxa"/>
          </w:tcPr>
          <w:p w14:paraId="5D3F6EC3" w14:textId="77777777" w:rsidR="00E47C73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Likumprojekta 4. panta sestā daļa 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[likuma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panta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4.punkts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65890694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Tiek ieviestas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54CE5081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C73" w:rsidRPr="00756214" w14:paraId="7724ABD4" w14:textId="77777777" w:rsidTr="00C9031C">
        <w:tc>
          <w:tcPr>
            <w:tcW w:w="2451" w:type="dxa"/>
          </w:tcPr>
          <w:p w14:paraId="53B39152" w14:textId="77777777" w:rsidR="00E47C73" w:rsidRPr="00B9302D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109">
              <w:rPr>
                <w:rFonts w:ascii="Times New Roman" w:hAnsi="Times New Roman" w:cs="Times New Roman"/>
                <w:sz w:val="24"/>
                <w:szCs w:val="24"/>
              </w:rPr>
              <w:t>Komisijas regulas 6.panta 2.punkts.</w:t>
            </w:r>
          </w:p>
        </w:tc>
        <w:tc>
          <w:tcPr>
            <w:tcW w:w="2322" w:type="dxa"/>
          </w:tcPr>
          <w:p w14:paraId="2ADAD86C" w14:textId="77777777" w:rsidR="00E47C73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109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3.panta piektā un devītā </w:t>
            </w:r>
            <w:r w:rsidRPr="00BB0109">
              <w:rPr>
                <w:rFonts w:ascii="Times New Roman" w:hAnsi="Times New Roman" w:cs="Times New Roman"/>
                <w:sz w:val="24"/>
                <w:szCs w:val="24"/>
              </w:rPr>
              <w:t>daļa [likuma 17.</w:t>
            </w:r>
            <w:r w:rsidRPr="00BB01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B0109">
              <w:rPr>
                <w:rFonts w:ascii="Times New Roman" w:hAnsi="Times New Roman" w:cs="Times New Roman"/>
                <w:sz w:val="24"/>
                <w:szCs w:val="24"/>
              </w:rPr>
              <w:t xml:space="preserve">panta ceturtās </w:t>
            </w:r>
            <w:r w:rsidRPr="00BB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 2.punkta  un 4.</w:t>
            </w:r>
            <w:r w:rsidRPr="00BB01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B0109">
              <w:rPr>
                <w:rFonts w:ascii="Times New Roman" w:hAnsi="Times New Roman" w:cs="Times New Roman"/>
                <w:sz w:val="24"/>
                <w:szCs w:val="24"/>
              </w:rPr>
              <w:t>daļas norma].</w:t>
            </w:r>
          </w:p>
        </w:tc>
        <w:tc>
          <w:tcPr>
            <w:tcW w:w="2322" w:type="dxa"/>
          </w:tcPr>
          <w:p w14:paraId="28AD74B6" w14:textId="77777777" w:rsidR="00E47C73" w:rsidRPr="00B9302D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Tiek ieviestas pilnībā.</w:t>
            </w:r>
          </w:p>
        </w:tc>
        <w:tc>
          <w:tcPr>
            <w:tcW w:w="2452" w:type="dxa"/>
          </w:tcPr>
          <w:p w14:paraId="21633CEA" w14:textId="77777777" w:rsidR="00E47C73" w:rsidRPr="00B9302D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109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E47C73" w:rsidRPr="00756214" w14:paraId="71B27CDA" w14:textId="77777777" w:rsidTr="00C9031C">
        <w:tc>
          <w:tcPr>
            <w:tcW w:w="2451" w:type="dxa"/>
          </w:tcPr>
          <w:p w14:paraId="54E0E784" w14:textId="77777777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Komisijas regulas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“d” punkts.</w:t>
            </w:r>
          </w:p>
        </w:tc>
        <w:tc>
          <w:tcPr>
            <w:tcW w:w="2322" w:type="dxa"/>
          </w:tcPr>
          <w:p w14:paraId="531E8466" w14:textId="77777777" w:rsidR="00E47C73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Likumprojekta 4. panta desmitā daļa 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[likuma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panta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sestās daļas 2.punkts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4CA27E7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Tiek ieviestas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6A69A381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C73" w:rsidRPr="00756214" w14:paraId="5D475EF0" w14:textId="77777777" w:rsidTr="00C9031C">
        <w:tc>
          <w:tcPr>
            <w:tcW w:w="2451" w:type="dxa"/>
          </w:tcPr>
          <w:p w14:paraId="676CB419" w14:textId="77777777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punkts.</w:t>
            </w:r>
          </w:p>
        </w:tc>
        <w:tc>
          <w:tcPr>
            <w:tcW w:w="2322" w:type="dxa"/>
          </w:tcPr>
          <w:p w14:paraId="50461B7E" w14:textId="77777777" w:rsidR="00E47C73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Likumprojekta 4. panta septītā daļa 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[likuma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panta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ceturtās daļas 4.</w:t>
            </w:r>
            <w:r w:rsidRPr="00102F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C9986A5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Tiek ieviestas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18CF2190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C73" w:rsidRPr="00756214" w14:paraId="4D90325C" w14:textId="77777777" w:rsidTr="00C9031C">
        <w:tc>
          <w:tcPr>
            <w:tcW w:w="2451" w:type="dxa"/>
          </w:tcPr>
          <w:p w14:paraId="1611FDEC" w14:textId="77777777" w:rsidR="00E47C73" w:rsidRPr="002137FC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 un 13. punkts.</w:t>
            </w:r>
          </w:p>
        </w:tc>
        <w:tc>
          <w:tcPr>
            <w:tcW w:w="2322" w:type="dxa"/>
          </w:tcPr>
          <w:p w14:paraId="4B470D51" w14:textId="77777777" w:rsidR="00E47C73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Likumprojekta 4. panta trešā un sestā daļa 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[likuma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135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panta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706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1.</w:t>
            </w:r>
            <w:r w:rsidRPr="00D852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daļas un ceturtās daļas 4.punkta norma</w:t>
            </w: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FD6BA4F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Tiek ieviestas pilnībā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</w:tcPr>
          <w:p w14:paraId="6BB65964" w14:textId="77777777" w:rsidR="00E47C73" w:rsidRPr="002137FC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FC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C73" w:rsidRPr="00756214" w14:paraId="7ABB6E33" w14:textId="77777777" w:rsidTr="00C9031C">
        <w:tc>
          <w:tcPr>
            <w:tcW w:w="2451" w:type="dxa"/>
          </w:tcPr>
          <w:p w14:paraId="2FE8D5F4" w14:textId="77777777" w:rsidR="00E47C73" w:rsidRPr="00156315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Komisijas regulas  2.panta 20.punkts un 4.panta 1.apunkts</w:t>
            </w:r>
          </w:p>
        </w:tc>
        <w:tc>
          <w:tcPr>
            <w:tcW w:w="2322" w:type="dxa"/>
          </w:tcPr>
          <w:p w14:paraId="1264C603" w14:textId="77777777" w:rsidR="00E47C73" w:rsidRPr="00156315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.panta pirmā daļa [likuma 17.</w:t>
            </w:r>
            <w:r w:rsidRPr="00156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panta pirmās daļas 2.punkta norma].</w:t>
            </w:r>
          </w:p>
        </w:tc>
        <w:tc>
          <w:tcPr>
            <w:tcW w:w="2322" w:type="dxa"/>
          </w:tcPr>
          <w:p w14:paraId="3F0D28CC" w14:textId="77777777" w:rsidR="00E47C73" w:rsidRPr="0015631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Tiek ieviestas pilnībā.</w:t>
            </w:r>
          </w:p>
        </w:tc>
        <w:tc>
          <w:tcPr>
            <w:tcW w:w="2452" w:type="dxa"/>
          </w:tcPr>
          <w:p w14:paraId="76E2ED6D" w14:textId="77777777" w:rsidR="00E47C73" w:rsidRPr="0015631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E47C73" w:rsidRPr="00756214" w14:paraId="4551252F" w14:textId="77777777" w:rsidTr="00C9031C">
        <w:tc>
          <w:tcPr>
            <w:tcW w:w="2451" w:type="dxa"/>
          </w:tcPr>
          <w:p w14:paraId="037F8142" w14:textId="77777777" w:rsidR="00E47C73" w:rsidRPr="00224700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Komisijas regulas 14.panta 12.punkts.</w:t>
            </w:r>
          </w:p>
        </w:tc>
        <w:tc>
          <w:tcPr>
            <w:tcW w:w="2322" w:type="dxa"/>
          </w:tcPr>
          <w:p w14:paraId="4D8E75A7" w14:textId="77777777" w:rsidR="00E47C73" w:rsidRPr="00224700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4.panta otrā </w:t>
            </w: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daļa [likuma 17.</w:t>
            </w:r>
            <w:r w:rsidRPr="00224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 xml:space="preserve"> daļas norma].</w:t>
            </w:r>
          </w:p>
        </w:tc>
        <w:tc>
          <w:tcPr>
            <w:tcW w:w="2322" w:type="dxa"/>
          </w:tcPr>
          <w:p w14:paraId="6D4455BE" w14:textId="77777777" w:rsidR="00E47C73" w:rsidRPr="00224700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Tiek ieviestas pilnībā.</w:t>
            </w:r>
          </w:p>
        </w:tc>
        <w:tc>
          <w:tcPr>
            <w:tcW w:w="2452" w:type="dxa"/>
          </w:tcPr>
          <w:p w14:paraId="719A3E33" w14:textId="77777777" w:rsidR="00E47C73" w:rsidRPr="00224700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224700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E47C73" w:rsidRPr="00756214" w14:paraId="440D586B" w14:textId="77777777" w:rsidTr="00C9031C">
        <w:tc>
          <w:tcPr>
            <w:tcW w:w="2451" w:type="dxa"/>
          </w:tcPr>
          <w:p w14:paraId="550C6340" w14:textId="77777777" w:rsidR="00E47C73" w:rsidRPr="00156315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Komisijas regulas  2.panta 20.punkts un 4.panta 1.punkta “a” apakšpunkts.</w:t>
            </w:r>
          </w:p>
        </w:tc>
        <w:tc>
          <w:tcPr>
            <w:tcW w:w="2322" w:type="dxa"/>
          </w:tcPr>
          <w:p w14:paraId="57486CA9" w14:textId="77777777" w:rsidR="00E47C73" w:rsidRPr="00156315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.panta trešā daļa [likuma 17.</w:t>
            </w:r>
            <w:r w:rsidRPr="00156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daļas norma].</w:t>
            </w:r>
          </w:p>
        </w:tc>
        <w:tc>
          <w:tcPr>
            <w:tcW w:w="2322" w:type="dxa"/>
          </w:tcPr>
          <w:p w14:paraId="107D6424" w14:textId="77777777" w:rsidR="00E47C73" w:rsidRPr="0015631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Tiek ieviestas pilnībā.</w:t>
            </w:r>
          </w:p>
        </w:tc>
        <w:tc>
          <w:tcPr>
            <w:tcW w:w="2452" w:type="dxa"/>
          </w:tcPr>
          <w:p w14:paraId="35777D44" w14:textId="77777777" w:rsidR="00E47C73" w:rsidRPr="0015631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E47C73" w:rsidRPr="00756214" w14:paraId="7EE388E7" w14:textId="77777777" w:rsidTr="00C9031C">
        <w:tc>
          <w:tcPr>
            <w:tcW w:w="2451" w:type="dxa"/>
          </w:tcPr>
          <w:p w14:paraId="4F05DBFC" w14:textId="77777777" w:rsidR="00E47C73" w:rsidRPr="008C5AA5" w:rsidRDefault="00E47C73" w:rsidP="00C9031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 xml:space="preserve">Komisijas regulas </w:t>
            </w:r>
          </w:p>
          <w:p w14:paraId="2ED52798" w14:textId="77777777" w:rsidR="00E47C73" w:rsidRPr="008C5AA5" w:rsidRDefault="00E47C73" w:rsidP="00C9031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>14.panta 13.punkts.</w:t>
            </w:r>
          </w:p>
        </w:tc>
        <w:tc>
          <w:tcPr>
            <w:tcW w:w="2322" w:type="dxa"/>
          </w:tcPr>
          <w:p w14:paraId="425CABEA" w14:textId="77777777" w:rsidR="00E47C73" w:rsidRPr="008C5AA5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4.panta trešā </w:t>
            </w: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>daļa [likuma 17.</w:t>
            </w:r>
            <w:r w:rsidRPr="008C5A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 xml:space="preserve"> daļas norma].</w:t>
            </w:r>
          </w:p>
        </w:tc>
        <w:tc>
          <w:tcPr>
            <w:tcW w:w="2322" w:type="dxa"/>
          </w:tcPr>
          <w:p w14:paraId="783C0499" w14:textId="77777777" w:rsidR="00E47C73" w:rsidRPr="008C5AA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>Tiek ieviestas pilnībā.</w:t>
            </w:r>
          </w:p>
        </w:tc>
        <w:tc>
          <w:tcPr>
            <w:tcW w:w="2452" w:type="dxa"/>
          </w:tcPr>
          <w:p w14:paraId="3189648F" w14:textId="77777777" w:rsidR="00E47C73" w:rsidRPr="008C5AA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A5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E47C73" w:rsidRPr="00756214" w14:paraId="59FCB4E2" w14:textId="77777777" w:rsidTr="00C9031C">
        <w:tc>
          <w:tcPr>
            <w:tcW w:w="2451" w:type="dxa"/>
          </w:tcPr>
          <w:p w14:paraId="7A0806A4" w14:textId="77777777" w:rsidR="00E47C73" w:rsidRPr="000070DE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DE">
              <w:rPr>
                <w:rFonts w:ascii="Times New Roman" w:hAnsi="Times New Roman" w:cs="Times New Roman"/>
                <w:sz w:val="24"/>
                <w:szCs w:val="24"/>
              </w:rPr>
              <w:t>Komisijas regulas  14.panta 14.punkts.</w:t>
            </w:r>
          </w:p>
        </w:tc>
        <w:tc>
          <w:tcPr>
            <w:tcW w:w="2322" w:type="dxa"/>
          </w:tcPr>
          <w:p w14:paraId="20F3C42E" w14:textId="77777777" w:rsidR="00E47C73" w:rsidRPr="000070DE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DE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4.panta ceturtā </w:t>
            </w:r>
            <w:r w:rsidRPr="000070DE">
              <w:rPr>
                <w:rFonts w:ascii="Times New Roman" w:hAnsi="Times New Roman" w:cs="Times New Roman"/>
                <w:sz w:val="24"/>
                <w:szCs w:val="24"/>
              </w:rPr>
              <w:t>daļa [likuma 17.</w:t>
            </w:r>
            <w:r w:rsidRPr="000070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70DE">
              <w:rPr>
                <w:rFonts w:ascii="Times New Roman" w:hAnsi="Times New Roman" w:cs="Times New Roman"/>
                <w:sz w:val="24"/>
                <w:szCs w:val="24"/>
              </w:rPr>
              <w:t>panta ceturtās daļas 1.</w:t>
            </w:r>
            <w:r w:rsidRPr="000070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70DE">
              <w:rPr>
                <w:rFonts w:ascii="Times New Roman" w:hAnsi="Times New Roman" w:cs="Times New Roman"/>
                <w:sz w:val="24"/>
                <w:szCs w:val="24"/>
              </w:rPr>
              <w:t>punkta norma].</w:t>
            </w:r>
          </w:p>
        </w:tc>
        <w:tc>
          <w:tcPr>
            <w:tcW w:w="2322" w:type="dxa"/>
          </w:tcPr>
          <w:p w14:paraId="42B9E344" w14:textId="77777777" w:rsidR="00E47C73" w:rsidRPr="000070DE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070DE">
              <w:rPr>
                <w:rFonts w:ascii="Times New Roman" w:hAnsi="Times New Roman" w:cs="Times New Roman"/>
                <w:sz w:val="24"/>
                <w:szCs w:val="24"/>
              </w:rPr>
              <w:t>Tiek ieviestas pilnībā.</w:t>
            </w:r>
          </w:p>
        </w:tc>
        <w:tc>
          <w:tcPr>
            <w:tcW w:w="2452" w:type="dxa"/>
          </w:tcPr>
          <w:p w14:paraId="70507746" w14:textId="77777777" w:rsidR="00E47C73" w:rsidRPr="000070DE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0070DE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E47C73" w:rsidRPr="00756214" w14:paraId="46B080E6" w14:textId="77777777" w:rsidTr="00C9031C">
        <w:tc>
          <w:tcPr>
            <w:tcW w:w="2451" w:type="dxa"/>
          </w:tcPr>
          <w:p w14:paraId="4EB43710" w14:textId="77777777" w:rsidR="00E47C73" w:rsidRPr="00156315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Komisijas regulas 6.panta 2.punkts</w:t>
            </w:r>
          </w:p>
        </w:tc>
        <w:tc>
          <w:tcPr>
            <w:tcW w:w="2322" w:type="dxa"/>
          </w:tcPr>
          <w:p w14:paraId="72B14F67" w14:textId="77777777" w:rsidR="00E47C73" w:rsidRPr="00156315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 xml:space="preserve">Likumprojekta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 xml:space="preserve">.panta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asto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 xml:space="preserve">tā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devī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tā daļa [likuma 17.</w:t>
            </w:r>
            <w:r w:rsidRPr="00156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 xml:space="preserve">panta ceturtās 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daļas 6.punkta un 4.</w:t>
            </w:r>
            <w:r w:rsidRPr="001563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daļas norma].</w:t>
            </w:r>
          </w:p>
        </w:tc>
        <w:tc>
          <w:tcPr>
            <w:tcW w:w="2322" w:type="dxa"/>
          </w:tcPr>
          <w:p w14:paraId="17402685" w14:textId="77777777" w:rsidR="00E47C73" w:rsidRPr="0015631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Tiek ieviestas pilnībā.</w:t>
            </w:r>
          </w:p>
        </w:tc>
        <w:tc>
          <w:tcPr>
            <w:tcW w:w="2452" w:type="dxa"/>
          </w:tcPr>
          <w:p w14:paraId="131278C9" w14:textId="77777777" w:rsidR="00E47C73" w:rsidRPr="00156315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15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635748" w:rsidRPr="00756214" w14:paraId="0DA5F59C" w14:textId="77777777" w:rsidTr="00C9031C">
        <w:tc>
          <w:tcPr>
            <w:tcW w:w="2451" w:type="dxa"/>
          </w:tcPr>
          <w:p w14:paraId="7C4DD523" w14:textId="271FD5B2" w:rsidR="00635748" w:rsidRPr="00722CAD" w:rsidRDefault="00635748" w:rsidP="00434B5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Eiropas Komisijas Reģionālās atbalsta pamatnostādnes 2014. – 2020.gadam (2013/C 209/01).</w:t>
            </w:r>
          </w:p>
        </w:tc>
        <w:tc>
          <w:tcPr>
            <w:tcW w:w="2322" w:type="dxa"/>
          </w:tcPr>
          <w:p w14:paraId="50F69AE5" w14:textId="508AF857" w:rsidR="00635748" w:rsidRPr="00722CAD" w:rsidRDefault="00635748" w:rsidP="0063574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D">
              <w:rPr>
                <w:rFonts w:ascii="Times New Roman" w:hAnsi="Times New Roman" w:cs="Times New Roman"/>
                <w:sz w:val="24"/>
                <w:szCs w:val="24"/>
              </w:rPr>
              <w:t xml:space="preserve">Likumprojekta 4.panta </w:t>
            </w:r>
            <w:r w:rsidR="007809EA" w:rsidRPr="00722CAD">
              <w:rPr>
                <w:rFonts w:ascii="Times New Roman" w:hAnsi="Times New Roman" w:cs="Times New Roman"/>
                <w:sz w:val="24"/>
                <w:szCs w:val="24"/>
              </w:rPr>
              <w:t>otrā daļa (likuma 17.</w:t>
            </w:r>
            <w:r w:rsidR="007809EA" w:rsidRPr="00722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809EA" w:rsidRPr="00722CAD">
              <w:rPr>
                <w:rFonts w:ascii="Times New Roman" w:hAnsi="Times New Roman" w:cs="Times New Roman"/>
                <w:sz w:val="24"/>
                <w:szCs w:val="24"/>
              </w:rPr>
              <w:t>panta 1.</w:t>
            </w:r>
            <w:r w:rsidR="007809EA" w:rsidRPr="00722C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809EA" w:rsidRPr="00722CAD">
              <w:rPr>
                <w:rFonts w:ascii="Times New Roman" w:hAnsi="Times New Roman" w:cs="Times New Roman"/>
                <w:sz w:val="24"/>
                <w:szCs w:val="24"/>
              </w:rPr>
              <w:t>daļas normas)</w:t>
            </w:r>
          </w:p>
        </w:tc>
        <w:tc>
          <w:tcPr>
            <w:tcW w:w="2322" w:type="dxa"/>
          </w:tcPr>
          <w:p w14:paraId="1FA134B6" w14:textId="7C411E3F" w:rsidR="00635748" w:rsidRPr="00722CAD" w:rsidRDefault="00635748" w:rsidP="00635748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D">
              <w:rPr>
                <w:rFonts w:ascii="Times New Roman" w:hAnsi="Times New Roman" w:cs="Times New Roman"/>
                <w:sz w:val="24"/>
                <w:szCs w:val="24"/>
              </w:rPr>
              <w:t>Tiek ieviestas pilnībā.</w:t>
            </w:r>
          </w:p>
        </w:tc>
        <w:tc>
          <w:tcPr>
            <w:tcW w:w="2452" w:type="dxa"/>
          </w:tcPr>
          <w:p w14:paraId="066FE4B7" w14:textId="69325D61" w:rsidR="00635748" w:rsidRPr="00722CAD" w:rsidRDefault="00635748" w:rsidP="00635748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22CAD">
              <w:rPr>
                <w:rFonts w:ascii="Times New Roman" w:hAnsi="Times New Roman" w:cs="Times New Roman"/>
                <w:sz w:val="24"/>
                <w:szCs w:val="24"/>
              </w:rPr>
              <w:t>Netiek ieviestas stingrākas prasības.</w:t>
            </w:r>
          </w:p>
        </w:tc>
      </w:tr>
      <w:tr w:rsidR="00E47C73" w:rsidRPr="00756214" w14:paraId="18804BD9" w14:textId="77777777" w:rsidTr="00C9031C">
        <w:tc>
          <w:tcPr>
            <w:tcW w:w="2451" w:type="dxa"/>
          </w:tcPr>
          <w:p w14:paraId="32CC0CD5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</w:t>
            </w: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Kādēļ?</w:t>
            </w:r>
          </w:p>
        </w:tc>
        <w:tc>
          <w:tcPr>
            <w:tcW w:w="7096" w:type="dxa"/>
            <w:gridSpan w:val="3"/>
          </w:tcPr>
          <w:p w14:paraId="591512D5" w14:textId="77777777" w:rsidR="00E47C73" w:rsidRPr="00BA6F73" w:rsidRDefault="00E47C73" w:rsidP="00C903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3">
              <w:rPr>
                <w:rFonts w:ascii="Times New Roman" w:hAnsi="Times New Roman" w:cs="Times New Roman"/>
                <w:sz w:val="24"/>
                <w:szCs w:val="24"/>
              </w:rPr>
              <w:t>Likumprojektā ir iekļautas prasības, kas izriet no Komisijas regulas</w:t>
            </w:r>
            <w:r w:rsidRPr="008715EC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6F73">
              <w:rPr>
                <w:rFonts w:ascii="Times New Roman" w:hAnsi="Times New Roman" w:cs="Times New Roman"/>
                <w:sz w:val="24"/>
                <w:szCs w:val="24"/>
              </w:rPr>
              <w:t xml:space="preserve">un kuras ir obligāti ievērojamas, lai piemērotu likumā noteikto uzņēmuma ienākuma nodokļa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atlaidi</w:t>
            </w:r>
            <w:r w:rsidRPr="00BA6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C73" w:rsidRPr="00756214" w14:paraId="59AEA7CF" w14:textId="77777777" w:rsidTr="00C9031C">
        <w:tc>
          <w:tcPr>
            <w:tcW w:w="2451" w:type="dxa"/>
          </w:tcPr>
          <w:p w14:paraId="0CEA8ED7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7096" w:type="dxa"/>
            <w:gridSpan w:val="3"/>
          </w:tcPr>
          <w:p w14:paraId="1D767AC4" w14:textId="77777777" w:rsidR="00E47C73" w:rsidRPr="000478DB" w:rsidRDefault="00E47C73" w:rsidP="00C9031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8DB">
              <w:rPr>
                <w:rFonts w:ascii="Times New Roman" w:hAnsi="Times New Roman" w:cs="Times New Roman"/>
                <w:sz w:val="24"/>
                <w:szCs w:val="24"/>
              </w:rPr>
              <w:t>Likumprojektā ievērotas Komisijas regulas</w:t>
            </w:r>
            <w:r w:rsidRPr="008715EC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8DB">
              <w:rPr>
                <w:rFonts w:ascii="Times New Roman" w:hAnsi="Times New Roman" w:cs="Times New Roman"/>
                <w:sz w:val="24"/>
                <w:szCs w:val="24"/>
              </w:rPr>
              <w:t xml:space="preserve">normas. </w:t>
            </w:r>
          </w:p>
          <w:p w14:paraId="65506E91" w14:textId="77777777" w:rsidR="00E47C73" w:rsidRPr="000478DB" w:rsidRDefault="00E47C73" w:rsidP="00C90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DB">
              <w:rPr>
                <w:rFonts w:ascii="Times New Roman" w:hAnsi="Times New Roman" w:cs="Times New Roman"/>
                <w:sz w:val="24"/>
                <w:szCs w:val="24"/>
              </w:rPr>
              <w:t>Saskaņa ar Komisijas regulas</w:t>
            </w:r>
            <w:r w:rsidRPr="008715EC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8DB">
              <w:rPr>
                <w:rFonts w:ascii="Times New Roman" w:hAnsi="Times New Roman" w:cs="Times New Roman"/>
                <w:sz w:val="24"/>
                <w:szCs w:val="24"/>
              </w:rPr>
              <w:t xml:space="preserve"> 3.pantu grozījumi ir atbrīvoti no paziņošanas Eiropas Komisijai, bet ir jāievēro Komisijas regulas</w:t>
            </w:r>
            <w:r w:rsidRPr="008715EC">
              <w:rPr>
                <w:rFonts w:ascii="Times New Roman" w:hAnsi="Times New Roman"/>
                <w:bCs/>
                <w:sz w:val="24"/>
                <w:szCs w:val="24"/>
              </w:rPr>
              <w:t xml:space="preserve"> Nr.651/2014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78DB">
              <w:rPr>
                <w:rFonts w:ascii="Times New Roman" w:hAnsi="Times New Roman" w:cs="Times New Roman"/>
                <w:sz w:val="24"/>
                <w:szCs w:val="24"/>
              </w:rPr>
              <w:t xml:space="preserve"> 9. un 11.pantā noteiktās prasības informācijas publiskošanai un kopsavilkuma informācijas nosūtīšanai Eiropas Komisijai.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Ekonomikas</w:t>
            </w:r>
            <w:r w:rsidRPr="000478DB">
              <w:rPr>
                <w:rFonts w:ascii="Times New Roman" w:hAnsi="Times New Roman" w:cs="Times New Roman"/>
                <w:sz w:val="24"/>
                <w:szCs w:val="24"/>
              </w:rPr>
              <w:t xml:space="preserve"> ministrija 20 darba dienu laikā pēc likumprojekta grozījumu pieņemšanas nosūtīs kopsavilkuma informāciju Eiropas Komisijai.</w:t>
            </w:r>
          </w:p>
        </w:tc>
      </w:tr>
      <w:tr w:rsidR="00E47C73" w:rsidRPr="00756214" w14:paraId="57278F75" w14:textId="77777777" w:rsidTr="00C9031C">
        <w:tc>
          <w:tcPr>
            <w:tcW w:w="2451" w:type="dxa"/>
          </w:tcPr>
          <w:p w14:paraId="1C68A910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7096" w:type="dxa"/>
            <w:gridSpan w:val="3"/>
          </w:tcPr>
          <w:p w14:paraId="762A7DC3" w14:textId="77777777" w:rsidR="00E47C73" w:rsidRPr="000478DB" w:rsidRDefault="00E47C73" w:rsidP="00C903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DB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E47C73" w:rsidRPr="00756214" w14:paraId="4F96317F" w14:textId="77777777" w:rsidTr="00C9031C">
        <w:tc>
          <w:tcPr>
            <w:tcW w:w="9547" w:type="dxa"/>
            <w:gridSpan w:val="4"/>
          </w:tcPr>
          <w:p w14:paraId="23B771D1" w14:textId="77777777" w:rsidR="00E47C73" w:rsidRPr="00756214" w:rsidRDefault="00E47C73" w:rsidP="00C9031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75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75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756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E47C73" w:rsidRPr="00756214" w14:paraId="7A1713C2" w14:textId="77777777" w:rsidTr="00C9031C">
        <w:tc>
          <w:tcPr>
            <w:tcW w:w="2451" w:type="dxa"/>
            <w:vAlign w:val="center"/>
          </w:tcPr>
          <w:p w14:paraId="4FF5B56B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Attiecīgā starptautiskā tiesību akta vai starptautiskas institūcijas vai organizācijas dokumenta (turpmāk – starptautiskais </w:t>
            </w: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dokuments) datums, numurs un nosaukums</w:t>
            </w:r>
          </w:p>
        </w:tc>
        <w:tc>
          <w:tcPr>
            <w:tcW w:w="7096" w:type="dxa"/>
            <w:gridSpan w:val="3"/>
          </w:tcPr>
          <w:p w14:paraId="203DB35F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E47C73" w:rsidRPr="00756214" w14:paraId="7EF365B4" w14:textId="77777777" w:rsidTr="00C9031C">
        <w:tc>
          <w:tcPr>
            <w:tcW w:w="2451" w:type="dxa"/>
            <w:vAlign w:val="center"/>
          </w:tcPr>
          <w:p w14:paraId="625DE7EB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2322" w:type="dxa"/>
            <w:vAlign w:val="center"/>
          </w:tcPr>
          <w:p w14:paraId="479718AF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22" w:type="dxa"/>
            <w:vAlign w:val="center"/>
          </w:tcPr>
          <w:p w14:paraId="0A9AC426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52" w:type="dxa"/>
            <w:vAlign w:val="center"/>
          </w:tcPr>
          <w:p w14:paraId="6E639FB9" w14:textId="77777777" w:rsidR="00E47C73" w:rsidRPr="00756214" w:rsidRDefault="00E47C73" w:rsidP="00C9031C">
            <w:pPr>
              <w:spacing w:before="100" w:beforeAutospacing="1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47C73" w:rsidRPr="00756214" w14:paraId="1F0C14D2" w14:textId="77777777" w:rsidTr="00C9031C">
        <w:tc>
          <w:tcPr>
            <w:tcW w:w="2451" w:type="dxa"/>
          </w:tcPr>
          <w:p w14:paraId="5A91A100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Starptautiskās saistības (pēc būtības), kas izriet no norādītā starptautiskā dokumenta. </w:t>
            </w:r>
          </w:p>
          <w:p w14:paraId="1FDA6B86" w14:textId="77777777" w:rsidR="00E47C73" w:rsidRPr="00756214" w:rsidRDefault="00E47C73" w:rsidP="00C9031C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2322" w:type="dxa"/>
          </w:tcPr>
          <w:p w14:paraId="195BA416" w14:textId="77777777" w:rsidR="00E47C73" w:rsidRPr="00605CB7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322" w:type="dxa"/>
          </w:tcPr>
          <w:p w14:paraId="6BB2A081" w14:textId="77777777" w:rsidR="00E47C73" w:rsidRPr="00605CB7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to, vai starptautiskās saistības, kas minētas šīs tabulas A ailē, tiek izpildītas pilnībā vai daļēji. </w:t>
            </w:r>
          </w:p>
          <w:p w14:paraId="3EC45DC3" w14:textId="77777777" w:rsidR="00E47C73" w:rsidRPr="00605CB7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0E4DE712" w14:textId="77777777" w:rsidR="00E47C73" w:rsidRPr="00605CB7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452" w:type="dxa"/>
          </w:tcPr>
          <w:p w14:paraId="5DA66039" w14:textId="77777777" w:rsidR="00E47C73" w:rsidRPr="00605CB7" w:rsidRDefault="00E47C73" w:rsidP="00C903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 xml:space="preserve">Starptautiskās saistības (pēc būtības), kas izriet no norādītā starptautiskā dokumenta. </w:t>
            </w:r>
          </w:p>
          <w:p w14:paraId="52C65DDF" w14:textId="77777777" w:rsidR="00E47C73" w:rsidRPr="00605CB7" w:rsidRDefault="00E47C73" w:rsidP="00C9031C">
            <w:pPr>
              <w:spacing w:before="100" w:beforeAutospacing="1" w:after="100" w:afterAutospacing="1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</w:tr>
      <w:tr w:rsidR="00E47C73" w:rsidRPr="00756214" w14:paraId="07032E21" w14:textId="77777777" w:rsidTr="00C9031C">
        <w:tc>
          <w:tcPr>
            <w:tcW w:w="2451" w:type="dxa"/>
          </w:tcPr>
          <w:p w14:paraId="2D8789D7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2322" w:type="dxa"/>
          </w:tcPr>
          <w:p w14:paraId="43BFD6DF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2322" w:type="dxa"/>
          </w:tcPr>
          <w:p w14:paraId="31A2F3B7" w14:textId="77777777" w:rsidR="00E47C73" w:rsidRPr="00756214" w:rsidRDefault="00E47C73" w:rsidP="00C9031C">
            <w:pPr>
              <w:spacing w:before="100" w:beforeAutospacing="1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  <w:tc>
          <w:tcPr>
            <w:tcW w:w="2452" w:type="dxa"/>
          </w:tcPr>
          <w:p w14:paraId="536C90FD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47C73" w:rsidRPr="00756214" w14:paraId="30D8E5BA" w14:textId="77777777" w:rsidTr="00C9031C">
        <w:tc>
          <w:tcPr>
            <w:tcW w:w="2451" w:type="dxa"/>
          </w:tcPr>
          <w:p w14:paraId="200D50E7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7096" w:type="dxa"/>
            <w:gridSpan w:val="3"/>
          </w:tcPr>
          <w:p w14:paraId="39E56823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47C73" w:rsidRPr="00756214" w14:paraId="5A742C5D" w14:textId="77777777" w:rsidTr="00C9031C">
        <w:tc>
          <w:tcPr>
            <w:tcW w:w="2451" w:type="dxa"/>
          </w:tcPr>
          <w:p w14:paraId="0BF1D056" w14:textId="77777777" w:rsidR="00E47C73" w:rsidRPr="00756214" w:rsidRDefault="00E47C73" w:rsidP="00C90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7096" w:type="dxa"/>
            <w:gridSpan w:val="3"/>
          </w:tcPr>
          <w:p w14:paraId="56D23CD2" w14:textId="77777777" w:rsidR="00E47C73" w:rsidRPr="00756214" w:rsidRDefault="00E47C73" w:rsidP="00C9031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214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35D6D117" w14:textId="77777777" w:rsidR="00E47C73" w:rsidRPr="00756214" w:rsidRDefault="00E47C73" w:rsidP="00E47C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D202903" w14:textId="77777777" w:rsidR="00E47C73" w:rsidRPr="00756214" w:rsidRDefault="00E47C73" w:rsidP="00E47C73">
      <w:pPr>
        <w:ind w:right="140"/>
        <w:contextualSpacing/>
        <w:rPr>
          <w:rFonts w:ascii="Times New Roman" w:hAnsi="Times New Roman" w:cs="Times New Roman"/>
          <w:sz w:val="24"/>
          <w:szCs w:val="24"/>
        </w:rPr>
      </w:pPr>
      <w:r w:rsidRPr="00756214">
        <w:rPr>
          <w:rFonts w:ascii="Times New Roman" w:hAnsi="Times New Roman" w:cs="Times New Roman"/>
          <w:sz w:val="24"/>
          <w:szCs w:val="24"/>
        </w:rPr>
        <w:t xml:space="preserve">Anotācijas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756214">
        <w:rPr>
          <w:rFonts w:ascii="Times New Roman" w:hAnsi="Times New Roman" w:cs="Times New Roman"/>
          <w:sz w:val="24"/>
          <w:szCs w:val="24"/>
        </w:rPr>
        <w:t>. sadaļa uz likumprojektu nav attiecināma.</w:t>
      </w:r>
    </w:p>
    <w:p w14:paraId="25D220C6" w14:textId="77777777" w:rsidR="00E47C73" w:rsidRPr="00756214" w:rsidRDefault="00E47C73" w:rsidP="00E4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2481"/>
        <w:gridCol w:w="6600"/>
      </w:tblGrid>
      <w:tr w:rsidR="00E47C73" w:rsidRPr="00756214" w14:paraId="784FBDC7" w14:textId="77777777" w:rsidTr="00C9031C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094006C1" w14:textId="77777777" w:rsidR="00E47C73" w:rsidRPr="00756214" w:rsidRDefault="00E47C73" w:rsidP="00C9031C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756214">
              <w:rPr>
                <w:b/>
              </w:rPr>
              <w:t>VII. Tiesību akta projekta izpildes nodrošināšana un tās ietekme uz institūcijām</w:t>
            </w:r>
          </w:p>
        </w:tc>
      </w:tr>
      <w:tr w:rsidR="00E47C73" w:rsidRPr="00756214" w14:paraId="1347CF03" w14:textId="77777777" w:rsidTr="00C9031C">
        <w:trPr>
          <w:trHeight w:val="427"/>
          <w:jc w:val="center"/>
        </w:trPr>
        <w:tc>
          <w:tcPr>
            <w:tcW w:w="437" w:type="dxa"/>
          </w:tcPr>
          <w:p w14:paraId="263066D1" w14:textId="77777777" w:rsidR="00E47C73" w:rsidRPr="00756214" w:rsidRDefault="00E47C73" w:rsidP="00C9031C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756214">
              <w:t>1.</w:t>
            </w:r>
          </w:p>
        </w:tc>
        <w:tc>
          <w:tcPr>
            <w:tcW w:w="2481" w:type="dxa"/>
          </w:tcPr>
          <w:p w14:paraId="29E52C94" w14:textId="77777777" w:rsidR="00E47C73" w:rsidRPr="00756214" w:rsidRDefault="00E47C73" w:rsidP="00C9031C">
            <w:pPr>
              <w:pStyle w:val="naisf"/>
              <w:spacing w:before="0" w:beforeAutospacing="0" w:after="0" w:afterAutospacing="0"/>
              <w:ind w:left="57" w:right="57"/>
              <w:jc w:val="both"/>
            </w:pPr>
            <w:r w:rsidRPr="00756214">
              <w:t>Projekta izpildē iesaistītās institūcijas</w:t>
            </w:r>
          </w:p>
        </w:tc>
        <w:tc>
          <w:tcPr>
            <w:tcW w:w="6600" w:type="dxa"/>
          </w:tcPr>
          <w:p w14:paraId="57EBFCA3" w14:textId="77777777" w:rsidR="00E47C73" w:rsidRPr="00756214" w:rsidRDefault="00E47C73" w:rsidP="00C903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ministrija.</w:t>
            </w:r>
          </w:p>
        </w:tc>
      </w:tr>
      <w:tr w:rsidR="00E47C73" w:rsidRPr="00756214" w14:paraId="1DC4500E" w14:textId="77777777" w:rsidTr="00C9031C">
        <w:trPr>
          <w:trHeight w:val="463"/>
          <w:jc w:val="center"/>
        </w:trPr>
        <w:tc>
          <w:tcPr>
            <w:tcW w:w="437" w:type="dxa"/>
          </w:tcPr>
          <w:p w14:paraId="44DD58BE" w14:textId="77777777" w:rsidR="00E47C73" w:rsidRPr="00756214" w:rsidRDefault="00E47C73" w:rsidP="00C9031C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756214">
              <w:lastRenderedPageBreak/>
              <w:t>2.</w:t>
            </w:r>
          </w:p>
        </w:tc>
        <w:tc>
          <w:tcPr>
            <w:tcW w:w="2481" w:type="dxa"/>
          </w:tcPr>
          <w:p w14:paraId="7AA242C4" w14:textId="77777777" w:rsidR="00E47C73" w:rsidRPr="00756214" w:rsidRDefault="00E47C73" w:rsidP="00C9031C">
            <w:pPr>
              <w:pStyle w:val="naisf"/>
              <w:spacing w:before="0" w:beforeAutospacing="0" w:after="0" w:afterAutospacing="0"/>
              <w:ind w:left="57" w:right="57"/>
              <w:jc w:val="both"/>
            </w:pPr>
            <w:r w:rsidRPr="00756214">
              <w:t>Projekta izpildes ietekme uz pār</w:t>
            </w:r>
            <w:r w:rsidRPr="00756214">
              <w:softHyphen/>
              <w:t>valdes funkcijām un institucionālo struktūru.</w:t>
            </w:r>
          </w:p>
          <w:p w14:paraId="3DE85FED" w14:textId="77777777" w:rsidR="00E47C73" w:rsidRPr="00756214" w:rsidRDefault="00E47C73" w:rsidP="00C9031C">
            <w:pPr>
              <w:pStyle w:val="naisf"/>
              <w:spacing w:before="0" w:beforeAutospacing="0" w:after="0" w:afterAutospacing="0"/>
              <w:ind w:left="57" w:right="57"/>
              <w:jc w:val="both"/>
            </w:pPr>
            <w:r w:rsidRPr="00756214">
              <w:t>Jaunu institūciju izveide, esošu institūciju likvidācija vai reorga</w:t>
            </w:r>
            <w:r w:rsidRPr="00756214">
              <w:softHyphen/>
              <w:t>nizācija, to ietekme uz institūcijas cilvēkresursiem</w:t>
            </w:r>
          </w:p>
        </w:tc>
        <w:tc>
          <w:tcPr>
            <w:tcW w:w="6600" w:type="dxa"/>
          </w:tcPr>
          <w:p w14:paraId="16B4D15B" w14:textId="77777777" w:rsidR="00E47C73" w:rsidRPr="00756214" w:rsidRDefault="00E47C73" w:rsidP="00C903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</w:pPr>
            <w:proofErr w:type="spellStart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Projekts</w:t>
            </w:r>
            <w:proofErr w:type="spellEnd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šo</w:t>
            </w:r>
            <w:proofErr w:type="spellEnd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jomu</w:t>
            </w:r>
            <w:proofErr w:type="spellEnd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neskar</w:t>
            </w:r>
            <w:proofErr w:type="spellEnd"/>
            <w:r w:rsidRPr="00756214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</w:p>
          <w:p w14:paraId="31D043C3" w14:textId="77777777" w:rsidR="00E47C73" w:rsidRPr="00756214" w:rsidRDefault="00E47C73" w:rsidP="00C903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</w:pPr>
          </w:p>
        </w:tc>
      </w:tr>
      <w:tr w:rsidR="00E47C73" w:rsidRPr="00756214" w14:paraId="7613DF8E" w14:textId="77777777" w:rsidTr="00C9031C">
        <w:trPr>
          <w:trHeight w:val="28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61E" w14:textId="77777777" w:rsidR="00E47C73" w:rsidRPr="00756214" w:rsidRDefault="00E47C73" w:rsidP="00C9031C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756214"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85E3" w14:textId="77777777" w:rsidR="00E47C73" w:rsidRPr="00756214" w:rsidRDefault="00E47C73" w:rsidP="00C9031C">
            <w:pPr>
              <w:pStyle w:val="naisf"/>
              <w:spacing w:before="0" w:beforeAutospacing="0" w:after="0" w:afterAutospacing="0"/>
              <w:ind w:left="57" w:right="57"/>
              <w:jc w:val="both"/>
            </w:pPr>
            <w:r w:rsidRPr="00756214">
              <w:t>Cita informācija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6A7" w14:textId="77777777" w:rsidR="00E47C73" w:rsidRPr="00756214" w:rsidRDefault="00E47C73" w:rsidP="00C9031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5621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3743116" w14:textId="77777777" w:rsidR="00E47C73" w:rsidRPr="00756214" w:rsidRDefault="00E47C73" w:rsidP="00E4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8C056A" w14:textId="77777777" w:rsidR="00E47C73" w:rsidRPr="00756214" w:rsidRDefault="00E47C73" w:rsidP="00E4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B8870D" w14:textId="77777777" w:rsidR="00E47C73" w:rsidRPr="002E7798" w:rsidRDefault="00E47C73" w:rsidP="00E47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</w:t>
      </w:r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2E7798">
        <w:rPr>
          <w:rFonts w:ascii="Times New Roman" w:eastAsia="Times New Roman" w:hAnsi="Times New Roman" w:cs="Times New Roman"/>
          <w:sz w:val="28"/>
          <w:szCs w:val="28"/>
          <w:lang w:eastAsia="lv-LV"/>
        </w:rPr>
        <w:t>A.Vilks</w:t>
      </w:r>
      <w:proofErr w:type="spellEnd"/>
    </w:p>
    <w:p w14:paraId="2321EBDF" w14:textId="77777777" w:rsidR="00E47C73" w:rsidRPr="00756214" w:rsidRDefault="00E47C73" w:rsidP="00E47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627DEF" w14:textId="77777777" w:rsidR="00E47C73" w:rsidRPr="00756214" w:rsidRDefault="00E47C73" w:rsidP="00E4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86354E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FB7D85C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2AF43842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761F18F6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673205DA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05176626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6DB66D22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0A85AD70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55B4D5F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AB40B61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8256839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E1C2055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78113D9C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875769E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D54696F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0A5D9F98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4C03CA5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1DE36926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38459D2A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61AB1D3C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7C8D83D9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C08221A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3F112C77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10E3B616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0ACD3034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7CBEF5EE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4EDB0C2" w14:textId="77777777" w:rsidR="00E47C73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6DA2E1B5" w14:textId="52761F5F" w:rsidR="00E47C73" w:rsidRPr="00CF725C" w:rsidRDefault="00423E7B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E47C73" w:rsidRPr="00CF725C">
        <w:rPr>
          <w:rFonts w:ascii="Times New Roman" w:hAnsi="Times New Roman" w:cs="Times New Roman"/>
          <w:sz w:val="20"/>
          <w:szCs w:val="20"/>
        </w:rPr>
        <w:t>.</w:t>
      </w:r>
      <w:r w:rsidR="00E306CD">
        <w:rPr>
          <w:rFonts w:ascii="Times New Roman" w:hAnsi="Times New Roman" w:cs="Times New Roman"/>
          <w:sz w:val="20"/>
          <w:szCs w:val="20"/>
        </w:rPr>
        <w:t>10</w:t>
      </w:r>
      <w:r w:rsidR="00E47C73" w:rsidRPr="00CF725C">
        <w:rPr>
          <w:rFonts w:ascii="Times New Roman" w:hAnsi="Times New Roman" w:cs="Times New Roman"/>
          <w:sz w:val="20"/>
          <w:szCs w:val="20"/>
        </w:rPr>
        <w:t>.2014.</w:t>
      </w:r>
    </w:p>
    <w:p w14:paraId="1CB9D7CA" w14:textId="77777777" w:rsidR="00E47C73" w:rsidRPr="00CF725C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CF725C">
        <w:rPr>
          <w:rFonts w:ascii="Times New Roman" w:hAnsi="Times New Roman" w:cs="Times New Roman"/>
          <w:sz w:val="20"/>
          <w:szCs w:val="20"/>
        </w:rPr>
        <w:fldChar w:fldCharType="begin"/>
      </w:r>
      <w:r w:rsidRPr="00CF725C">
        <w:rPr>
          <w:rFonts w:ascii="Times New Roman" w:hAnsi="Times New Roman" w:cs="Times New Roman"/>
          <w:sz w:val="20"/>
          <w:szCs w:val="20"/>
        </w:rPr>
        <w:instrText xml:space="preserve"> NUMWORDS  \* MERGEFORMAT </w:instrText>
      </w:r>
      <w:r w:rsidRPr="00CF725C">
        <w:rPr>
          <w:rFonts w:ascii="Times New Roman" w:hAnsi="Times New Roman" w:cs="Times New Roman"/>
          <w:sz w:val="20"/>
          <w:szCs w:val="20"/>
        </w:rPr>
        <w:fldChar w:fldCharType="separate"/>
      </w:r>
      <w:r w:rsidR="003251AF">
        <w:rPr>
          <w:rFonts w:ascii="Times New Roman" w:hAnsi="Times New Roman" w:cs="Times New Roman"/>
          <w:noProof/>
          <w:sz w:val="20"/>
          <w:szCs w:val="20"/>
        </w:rPr>
        <w:t>1807</w:t>
      </w:r>
      <w:r w:rsidRPr="00CF725C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0981DC0" w14:textId="77777777" w:rsidR="00E47C73" w:rsidRPr="00CF725C" w:rsidRDefault="00E47C73" w:rsidP="00E47C73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CF725C">
        <w:rPr>
          <w:rFonts w:ascii="Times New Roman" w:hAnsi="Times New Roman" w:cs="Times New Roman"/>
          <w:sz w:val="20"/>
          <w:szCs w:val="20"/>
        </w:rPr>
        <w:t>Mačivka, 67095630</w:t>
      </w:r>
    </w:p>
    <w:bookmarkStart w:id="0" w:name="_GoBack"/>
    <w:p w14:paraId="06BA1F87" w14:textId="77777777" w:rsidR="00E47C73" w:rsidRDefault="00B801F7" w:rsidP="00E47C73">
      <w:pPr>
        <w:pStyle w:val="Footer"/>
      </w:pPr>
      <w:r>
        <w:fldChar w:fldCharType="begin"/>
      </w:r>
      <w:r>
        <w:instrText xml:space="preserve"> HYPERLINK "mailto:Sandra.Macivka@fm.gov.lv" </w:instrText>
      </w:r>
      <w:r>
        <w:fldChar w:fldCharType="separate"/>
      </w:r>
      <w:r w:rsidR="00E47C73" w:rsidRPr="00CF725C">
        <w:rPr>
          <w:rStyle w:val="Hyperlink"/>
          <w:rFonts w:ascii="Times New Roman" w:hAnsi="Times New Roman" w:cs="Times New Roman"/>
          <w:sz w:val="20"/>
          <w:szCs w:val="20"/>
        </w:rPr>
        <w:t>Sandra.Macivka@fm.gov.lv</w:t>
      </w:r>
      <w:r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</w:p>
    <w:bookmarkEnd w:id="0"/>
    <w:p w14:paraId="2D582A2D" w14:textId="77777777" w:rsidR="00197C19" w:rsidRDefault="00197C19"/>
    <w:sectPr w:rsidR="00197C19" w:rsidSect="006F2C1C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4B1F5" w14:textId="77777777" w:rsidR="00B801F7" w:rsidRDefault="00B801F7" w:rsidP="006F2C1C">
      <w:pPr>
        <w:spacing w:after="0" w:line="240" w:lineRule="auto"/>
      </w:pPr>
      <w:r>
        <w:separator/>
      </w:r>
    </w:p>
  </w:endnote>
  <w:endnote w:type="continuationSeparator" w:id="0">
    <w:p w14:paraId="2CECC1AD" w14:textId="77777777" w:rsidR="00B801F7" w:rsidRDefault="00B801F7" w:rsidP="006F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4D54" w14:textId="77777777" w:rsidR="00BF62F3" w:rsidRPr="0034392D" w:rsidRDefault="00A1069C" w:rsidP="00BF62F3">
    <w:pPr>
      <w:pStyle w:val="Footer"/>
      <w:rPr>
        <w:rFonts w:ascii="Times New Roman" w:hAnsi="Times New Roman" w:cs="Times New Roman"/>
        <w:sz w:val="20"/>
        <w:szCs w:val="20"/>
      </w:rPr>
    </w:pPr>
    <w:r w:rsidRPr="0099561F">
      <w:rPr>
        <w:rFonts w:ascii="Times New Roman" w:hAnsi="Times New Roman" w:cs="Times New Roman"/>
        <w:sz w:val="20"/>
        <w:szCs w:val="20"/>
      </w:rPr>
      <w:fldChar w:fldCharType="begin"/>
    </w:r>
    <w:r w:rsidRPr="0099561F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9561F">
      <w:rPr>
        <w:rFonts w:ascii="Times New Roman" w:hAnsi="Times New Roman" w:cs="Times New Roman"/>
        <w:sz w:val="20"/>
        <w:szCs w:val="20"/>
      </w:rPr>
      <w:fldChar w:fldCharType="separate"/>
    </w:r>
    <w:r w:rsidR="003251AF">
      <w:rPr>
        <w:rFonts w:ascii="Times New Roman" w:hAnsi="Times New Roman" w:cs="Times New Roman"/>
        <w:noProof/>
        <w:sz w:val="20"/>
        <w:szCs w:val="20"/>
      </w:rPr>
      <w:t>FMAnot_201014_UIN</w:t>
    </w:r>
    <w:r w:rsidRPr="0099561F">
      <w:rPr>
        <w:rFonts w:ascii="Times New Roman" w:hAnsi="Times New Roman" w:cs="Times New Roman"/>
        <w:noProof/>
        <w:sz w:val="20"/>
        <w:szCs w:val="20"/>
      </w:rPr>
      <w:fldChar w:fldCharType="end"/>
    </w:r>
    <w:r w:rsidRPr="0034392D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Likum</w:t>
    </w:r>
    <w:r w:rsidRPr="0034392D">
      <w:rPr>
        <w:rFonts w:ascii="Times New Roman" w:hAnsi="Times New Roman" w:cs="Times New Roman"/>
        <w:sz w:val="20"/>
        <w:szCs w:val="20"/>
      </w:rPr>
      <w:t>projekta “</w:t>
    </w:r>
    <w:r>
      <w:rPr>
        <w:rFonts w:ascii="Times New Roman" w:hAnsi="Times New Roman" w:cs="Times New Roman"/>
        <w:sz w:val="20"/>
        <w:szCs w:val="20"/>
      </w:rPr>
      <w:t>Par uzņēmumu ienākuma nodokli”</w:t>
    </w:r>
    <w:r w:rsidRPr="0034392D">
      <w:rPr>
        <w:rFonts w:ascii="Times New Roman" w:hAnsi="Times New Roman" w:cs="Times New Roman"/>
        <w:sz w:val="20"/>
        <w:szCs w:val="20"/>
      </w:rPr>
      <w:t xml:space="preserve"> anotācija</w:t>
    </w:r>
  </w:p>
  <w:p w14:paraId="2E153E6C" w14:textId="77777777" w:rsidR="00BF6021" w:rsidRPr="00BF62F3" w:rsidRDefault="00B801F7" w:rsidP="00BF6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670F9" w14:textId="77777777" w:rsidR="00BF6021" w:rsidRPr="0034392D" w:rsidRDefault="00A1069C" w:rsidP="0034392D">
    <w:pPr>
      <w:pStyle w:val="Footer"/>
      <w:rPr>
        <w:rFonts w:ascii="Times New Roman" w:hAnsi="Times New Roman" w:cs="Times New Roman"/>
        <w:sz w:val="20"/>
        <w:szCs w:val="20"/>
      </w:rPr>
    </w:pPr>
    <w:r w:rsidRPr="0099561F">
      <w:rPr>
        <w:rFonts w:ascii="Times New Roman" w:hAnsi="Times New Roman" w:cs="Times New Roman"/>
        <w:sz w:val="20"/>
        <w:szCs w:val="20"/>
      </w:rPr>
      <w:fldChar w:fldCharType="begin"/>
    </w:r>
    <w:r w:rsidRPr="0099561F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9561F">
      <w:rPr>
        <w:rFonts w:ascii="Times New Roman" w:hAnsi="Times New Roman" w:cs="Times New Roman"/>
        <w:sz w:val="20"/>
        <w:szCs w:val="20"/>
      </w:rPr>
      <w:fldChar w:fldCharType="separate"/>
    </w:r>
    <w:r w:rsidR="003251AF">
      <w:rPr>
        <w:rFonts w:ascii="Times New Roman" w:hAnsi="Times New Roman" w:cs="Times New Roman"/>
        <w:noProof/>
        <w:sz w:val="20"/>
        <w:szCs w:val="20"/>
      </w:rPr>
      <w:t>FMAnot_201014_UIN</w:t>
    </w:r>
    <w:r w:rsidRPr="0099561F">
      <w:rPr>
        <w:rFonts w:ascii="Times New Roman" w:hAnsi="Times New Roman" w:cs="Times New Roman"/>
        <w:noProof/>
        <w:sz w:val="20"/>
        <w:szCs w:val="20"/>
      </w:rPr>
      <w:fldChar w:fldCharType="end"/>
    </w:r>
    <w:r w:rsidRPr="0034392D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Likum</w:t>
    </w:r>
    <w:r w:rsidRPr="0034392D">
      <w:rPr>
        <w:rFonts w:ascii="Times New Roman" w:hAnsi="Times New Roman" w:cs="Times New Roman"/>
        <w:sz w:val="20"/>
        <w:szCs w:val="20"/>
      </w:rPr>
      <w:t>projekta “</w:t>
    </w:r>
    <w:r>
      <w:rPr>
        <w:rFonts w:ascii="Times New Roman" w:hAnsi="Times New Roman" w:cs="Times New Roman"/>
        <w:sz w:val="20"/>
        <w:szCs w:val="20"/>
      </w:rPr>
      <w:t>Par uzņēmumu ienākuma nodokli”</w:t>
    </w:r>
    <w:r w:rsidRPr="0034392D">
      <w:rPr>
        <w:rFonts w:ascii="Times New Roman" w:hAnsi="Times New Roman" w:cs="Times New Roman"/>
        <w:sz w:val="20"/>
        <w:szCs w:val="20"/>
      </w:rPr>
      <w:t xml:space="preserve">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386B" w14:textId="77777777" w:rsidR="00B801F7" w:rsidRDefault="00B801F7" w:rsidP="006F2C1C">
      <w:pPr>
        <w:spacing w:after="0" w:line="240" w:lineRule="auto"/>
      </w:pPr>
      <w:r>
        <w:separator/>
      </w:r>
    </w:p>
  </w:footnote>
  <w:footnote w:type="continuationSeparator" w:id="0">
    <w:p w14:paraId="556F1108" w14:textId="77777777" w:rsidR="00B801F7" w:rsidRDefault="00B801F7" w:rsidP="006F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366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842577" w14:textId="77777777" w:rsidR="006F2C1C" w:rsidRDefault="006F2C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8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9DEBC4" w14:textId="77777777" w:rsidR="00051236" w:rsidRDefault="00B80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3"/>
    <w:rsid w:val="00005789"/>
    <w:rsid w:val="00024597"/>
    <w:rsid w:val="00093EBA"/>
    <w:rsid w:val="00197C19"/>
    <w:rsid w:val="001E75D3"/>
    <w:rsid w:val="003251AF"/>
    <w:rsid w:val="003B3DD9"/>
    <w:rsid w:val="00423E7B"/>
    <w:rsid w:val="00434B5B"/>
    <w:rsid w:val="0046388F"/>
    <w:rsid w:val="00490055"/>
    <w:rsid w:val="00492132"/>
    <w:rsid w:val="005A3DE1"/>
    <w:rsid w:val="00635748"/>
    <w:rsid w:val="00690229"/>
    <w:rsid w:val="006F2C1C"/>
    <w:rsid w:val="00722CAD"/>
    <w:rsid w:val="00752845"/>
    <w:rsid w:val="007809EA"/>
    <w:rsid w:val="0084729C"/>
    <w:rsid w:val="00856D7C"/>
    <w:rsid w:val="008E7C41"/>
    <w:rsid w:val="00905273"/>
    <w:rsid w:val="00A1069C"/>
    <w:rsid w:val="00A332BC"/>
    <w:rsid w:val="00B25043"/>
    <w:rsid w:val="00B801F7"/>
    <w:rsid w:val="00BE3576"/>
    <w:rsid w:val="00C72609"/>
    <w:rsid w:val="00E306CD"/>
    <w:rsid w:val="00E47C73"/>
    <w:rsid w:val="00F0135B"/>
    <w:rsid w:val="00F26C10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7A73"/>
  <w15:chartTrackingRefBased/>
  <w15:docId w15:val="{78649503-8548-4FBF-BCB2-CA607442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C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4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4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4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7C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73"/>
  </w:style>
  <w:style w:type="paragraph" w:styleId="Footer">
    <w:name w:val="footer"/>
    <w:basedOn w:val="Normal"/>
    <w:link w:val="FooterChar"/>
    <w:unhideWhenUsed/>
    <w:rsid w:val="00E47C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7C73"/>
  </w:style>
  <w:style w:type="table" w:styleId="TableGrid">
    <w:name w:val="Table Grid"/>
    <w:basedOn w:val="TableNormal"/>
    <w:uiPriority w:val="59"/>
    <w:rsid w:val="00E4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7C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5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5D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1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9517</Words>
  <Characters>5426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Grozījumi likumā "Par uzņēmumu ienākuma nodokli </dc:title>
  <dc:subject>Likumprojekts</dc:subject>
  <dc:creator>Sandra Mačivka</dc:creator>
  <cp:keywords/>
  <dc:description>Sandra.Macivka@fm.gov.lv</dc:description>
  <cp:lastModifiedBy>Gunta Puidīte</cp:lastModifiedBy>
  <cp:revision>27</cp:revision>
  <cp:lastPrinted>2014-10-14T11:23:00Z</cp:lastPrinted>
  <dcterms:created xsi:type="dcterms:W3CDTF">2014-09-12T05:47:00Z</dcterms:created>
  <dcterms:modified xsi:type="dcterms:W3CDTF">2014-10-24T12:14:00Z</dcterms:modified>
</cp:coreProperties>
</file>