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F2612" w14:textId="6B6B4908" w:rsidR="001F5390" w:rsidRPr="00EC190C" w:rsidRDefault="00186E20" w:rsidP="000534EB">
      <w:pPr>
        <w:spacing w:after="0" w:line="240" w:lineRule="auto"/>
        <w:jc w:val="center"/>
        <w:rPr>
          <w:rFonts w:ascii="Times New Roman" w:hAnsi="Times New Roman"/>
          <w:b/>
          <w:sz w:val="25"/>
          <w:szCs w:val="25"/>
          <w:lang w:val="lv-LV"/>
        </w:rPr>
      </w:pPr>
      <w:bookmarkStart w:id="0" w:name="_GoBack"/>
      <w:r w:rsidRPr="00EC190C">
        <w:rPr>
          <w:rFonts w:ascii="Times New Roman" w:hAnsi="Times New Roman"/>
          <w:b/>
          <w:sz w:val="25"/>
          <w:szCs w:val="25"/>
          <w:lang w:val="lv-LV"/>
        </w:rPr>
        <w:t xml:space="preserve">Ministru kabineta </w:t>
      </w:r>
      <w:r w:rsidR="000534EB" w:rsidRPr="00EC190C">
        <w:rPr>
          <w:rFonts w:ascii="Times New Roman" w:hAnsi="Times New Roman"/>
          <w:b/>
          <w:sz w:val="25"/>
          <w:szCs w:val="25"/>
          <w:lang w:val="lv-LV"/>
        </w:rPr>
        <w:t xml:space="preserve">noteikumu projekta </w:t>
      </w:r>
      <w:r w:rsidR="00D61F3A" w:rsidRPr="00EC190C">
        <w:rPr>
          <w:rFonts w:ascii="Times New Roman" w:hAnsi="Times New Roman"/>
          <w:b/>
          <w:sz w:val="25"/>
          <w:szCs w:val="25"/>
          <w:lang w:val="lv-LV"/>
        </w:rPr>
        <w:t>„</w:t>
      </w:r>
      <w:r w:rsidR="00E0275F" w:rsidRPr="00EC190C">
        <w:t xml:space="preserve"> </w:t>
      </w:r>
      <w:r w:rsidR="003A4806" w:rsidRPr="00EC190C">
        <w:rPr>
          <w:rFonts w:ascii="Times New Roman" w:hAnsi="Times New Roman"/>
          <w:b/>
          <w:sz w:val="25"/>
          <w:szCs w:val="25"/>
          <w:lang w:val="lv-LV"/>
        </w:rPr>
        <w:t>Grozījums</w:t>
      </w:r>
      <w:r w:rsidR="00E0275F" w:rsidRPr="00EC190C">
        <w:rPr>
          <w:rFonts w:ascii="Times New Roman" w:hAnsi="Times New Roman"/>
          <w:b/>
          <w:sz w:val="25"/>
          <w:szCs w:val="25"/>
          <w:lang w:val="lv-LV"/>
        </w:rPr>
        <w:t xml:space="preserve"> Ministru kabineta 2014.gada 10.novembra noteikumos Nr.700 “</w:t>
      </w:r>
      <w:r w:rsidR="000534EB" w:rsidRPr="00EC190C">
        <w:rPr>
          <w:rFonts w:ascii="Times New Roman" w:hAnsi="Times New Roman"/>
          <w:b/>
          <w:sz w:val="25"/>
          <w:szCs w:val="25"/>
          <w:lang w:val="lv-LV"/>
        </w:rPr>
        <w:t xml:space="preserve">Noteikumi par darbības programmas „Uzņēmējdarbība un inovācijas” papildinājuma 2.3.2.2.aktivitātes </w:t>
      </w:r>
      <w:r w:rsidR="00D61F3A" w:rsidRPr="00EC190C">
        <w:rPr>
          <w:rFonts w:ascii="Times New Roman" w:hAnsi="Times New Roman"/>
          <w:b/>
          <w:sz w:val="25"/>
          <w:szCs w:val="25"/>
          <w:lang w:val="lv-LV"/>
        </w:rPr>
        <w:t>„</w:t>
      </w:r>
      <w:r w:rsidR="000534EB" w:rsidRPr="00EC190C">
        <w:rPr>
          <w:rFonts w:ascii="Times New Roman" w:hAnsi="Times New Roman"/>
          <w:b/>
          <w:sz w:val="25"/>
          <w:szCs w:val="25"/>
          <w:lang w:val="lv-LV"/>
        </w:rPr>
        <w:t>Atbalsts ieguldījumiem mikro, maziem un vidējiem komersantiem” 2.3.2.2.3.apakšaktivitāti „Atbalsts ieguldījumiem infrastruktūrā uzņēmējdarbības attīstībai””</w:t>
      </w:r>
      <w:r w:rsidR="00E0275F" w:rsidRPr="00EC190C">
        <w:rPr>
          <w:rFonts w:ascii="Times New Roman" w:hAnsi="Times New Roman"/>
          <w:b/>
          <w:sz w:val="25"/>
          <w:szCs w:val="25"/>
          <w:lang w:val="lv-LV"/>
        </w:rPr>
        <w:t>”</w:t>
      </w:r>
      <w:r w:rsidR="00E222C4" w:rsidRPr="00EC190C">
        <w:rPr>
          <w:rFonts w:ascii="Times New Roman" w:hAnsi="Times New Roman"/>
          <w:b/>
          <w:sz w:val="25"/>
          <w:szCs w:val="25"/>
          <w:lang w:val="lv-LV"/>
        </w:rPr>
        <w:t xml:space="preserve"> sākotnējās ietekmes novērtējuma ziņojums (anotācija)</w:t>
      </w:r>
    </w:p>
    <w:bookmarkEnd w:id="0"/>
    <w:p w14:paraId="4494688A" w14:textId="77777777" w:rsidR="00E222C4" w:rsidRPr="00EC190C" w:rsidRDefault="00E222C4" w:rsidP="00E222C4">
      <w:pPr>
        <w:spacing w:after="0" w:line="240" w:lineRule="auto"/>
        <w:jc w:val="center"/>
        <w:rPr>
          <w:rFonts w:ascii="Times New Roman" w:hAnsi="Times New Roman"/>
          <w:b/>
          <w:sz w:val="25"/>
          <w:szCs w:val="25"/>
          <w:lang w:val="lv-LV"/>
        </w:rPr>
      </w:pPr>
    </w:p>
    <w:tbl>
      <w:tblPr>
        <w:tblStyle w:val="TableGrid"/>
        <w:tblW w:w="0" w:type="auto"/>
        <w:tblLayout w:type="fixed"/>
        <w:tblLook w:val="04A0" w:firstRow="1" w:lastRow="0" w:firstColumn="1" w:lastColumn="0" w:noHBand="0" w:noVBand="1"/>
      </w:tblPr>
      <w:tblGrid>
        <w:gridCol w:w="2567"/>
        <w:gridCol w:w="6613"/>
      </w:tblGrid>
      <w:tr w:rsidR="00D40CFC" w:rsidRPr="00EC190C" w14:paraId="72644D5E" w14:textId="77777777" w:rsidTr="00F66F09">
        <w:tc>
          <w:tcPr>
            <w:tcW w:w="9180" w:type="dxa"/>
            <w:gridSpan w:val="2"/>
            <w:hideMark/>
          </w:tcPr>
          <w:p w14:paraId="0C7B5479" w14:textId="77777777" w:rsidR="00D40CFC" w:rsidRPr="00EC190C" w:rsidRDefault="00137360" w:rsidP="00137360">
            <w:pPr>
              <w:jc w:val="center"/>
              <w:rPr>
                <w:rFonts w:ascii="Times New Roman" w:hAnsi="Times New Roman"/>
                <w:b/>
                <w:sz w:val="25"/>
                <w:szCs w:val="25"/>
                <w:lang w:val="lv-LV"/>
              </w:rPr>
            </w:pPr>
            <w:r w:rsidRPr="00EC190C">
              <w:rPr>
                <w:rFonts w:ascii="Times New Roman" w:hAnsi="Times New Roman"/>
                <w:b/>
                <w:sz w:val="25"/>
                <w:szCs w:val="25"/>
                <w:lang w:val="lv-LV"/>
              </w:rPr>
              <w:t xml:space="preserve">I. </w:t>
            </w:r>
            <w:r w:rsidR="00D40CFC" w:rsidRPr="00EC190C">
              <w:rPr>
                <w:rFonts w:ascii="Times New Roman" w:hAnsi="Times New Roman"/>
                <w:b/>
                <w:sz w:val="25"/>
                <w:szCs w:val="25"/>
                <w:lang w:val="lv-LV"/>
              </w:rPr>
              <w:t>Tiesību akta projekta izstrādes nepieciešamība</w:t>
            </w:r>
          </w:p>
        </w:tc>
      </w:tr>
      <w:tr w:rsidR="00D40CFC" w:rsidRPr="00EC190C" w14:paraId="4F8321FE" w14:textId="77777777" w:rsidTr="00F66F09">
        <w:tc>
          <w:tcPr>
            <w:tcW w:w="2567" w:type="dxa"/>
            <w:hideMark/>
          </w:tcPr>
          <w:p w14:paraId="0CF8FDD2" w14:textId="77777777" w:rsidR="00D40CFC" w:rsidRPr="00EC190C" w:rsidRDefault="00D40CFC" w:rsidP="00D40CFC">
            <w:pPr>
              <w:rPr>
                <w:rFonts w:ascii="Times New Roman" w:hAnsi="Times New Roman"/>
                <w:sz w:val="25"/>
                <w:szCs w:val="25"/>
                <w:lang w:val="lv-LV"/>
              </w:rPr>
            </w:pPr>
            <w:r w:rsidRPr="00EC190C">
              <w:rPr>
                <w:rFonts w:ascii="Times New Roman" w:hAnsi="Times New Roman"/>
                <w:sz w:val="25"/>
                <w:szCs w:val="25"/>
                <w:lang w:val="lv-LV"/>
              </w:rPr>
              <w:t>1. Pamatojums</w:t>
            </w:r>
          </w:p>
        </w:tc>
        <w:tc>
          <w:tcPr>
            <w:tcW w:w="6613" w:type="dxa"/>
            <w:hideMark/>
          </w:tcPr>
          <w:p w14:paraId="28EA03DD" w14:textId="37097173" w:rsidR="00DC2BD7" w:rsidRPr="00EC190C" w:rsidRDefault="00D304C4" w:rsidP="00EC5B90">
            <w:pPr>
              <w:spacing w:after="120"/>
              <w:jc w:val="both"/>
              <w:rPr>
                <w:rFonts w:ascii="Times New Roman" w:hAnsi="Times New Roman"/>
                <w:color w:val="000000"/>
                <w:sz w:val="25"/>
                <w:szCs w:val="25"/>
                <w:lang w:val="lv-LV"/>
              </w:rPr>
            </w:pPr>
            <w:r w:rsidRPr="00EC190C">
              <w:rPr>
                <w:rFonts w:ascii="Times New Roman" w:hAnsi="Times New Roman"/>
                <w:color w:val="000000"/>
                <w:sz w:val="25"/>
                <w:szCs w:val="25"/>
                <w:lang w:val="lv-LV"/>
              </w:rPr>
              <w:t xml:space="preserve">Ministru kabineta </w:t>
            </w:r>
            <w:r w:rsidR="003529AC" w:rsidRPr="00EC190C">
              <w:rPr>
                <w:rFonts w:ascii="Times New Roman" w:hAnsi="Times New Roman"/>
                <w:color w:val="000000"/>
                <w:sz w:val="25"/>
                <w:szCs w:val="25"/>
                <w:lang w:val="lv-LV"/>
              </w:rPr>
              <w:t xml:space="preserve">(turpmāk - MK) </w:t>
            </w:r>
            <w:r w:rsidRPr="00EC190C">
              <w:rPr>
                <w:rFonts w:ascii="Times New Roman" w:hAnsi="Times New Roman"/>
                <w:color w:val="000000"/>
                <w:sz w:val="25"/>
                <w:szCs w:val="25"/>
                <w:lang w:val="lv-LV"/>
              </w:rPr>
              <w:t>noteikumu projekts „Grozījum</w:t>
            </w:r>
            <w:r w:rsidR="003A4806" w:rsidRPr="00EC190C">
              <w:rPr>
                <w:rFonts w:ascii="Times New Roman" w:hAnsi="Times New Roman"/>
                <w:color w:val="000000"/>
                <w:sz w:val="25"/>
                <w:szCs w:val="25"/>
                <w:lang w:val="lv-LV"/>
              </w:rPr>
              <w:t>s</w:t>
            </w:r>
            <w:r w:rsidRPr="00EC190C">
              <w:rPr>
                <w:rFonts w:ascii="Times New Roman" w:hAnsi="Times New Roman"/>
                <w:color w:val="000000"/>
                <w:sz w:val="25"/>
                <w:szCs w:val="25"/>
                <w:lang w:val="lv-LV"/>
              </w:rPr>
              <w:t xml:space="preserve"> Ministru kabineta 2014.gada 10.novembra noteikumos Nr.700 “Noteikumi par darbības programmas “Uzņēmējdarbība un inovācijas” papildinājuma 2.3.2.2.aktivitātes “Atbalsts ieguldījumiem mikro, maziem un vidējiem komersantiem” 2.3.2.2.3.apakšaktivitāti “Atbalsts ieguldījumiem infrastruktūrā uzņēmējdarbības attīstībai””” </w:t>
            </w:r>
            <w:r w:rsidR="00186E20" w:rsidRPr="00EC190C">
              <w:rPr>
                <w:rFonts w:ascii="Times New Roman" w:hAnsi="Times New Roman"/>
                <w:color w:val="000000"/>
                <w:sz w:val="25"/>
                <w:szCs w:val="25"/>
                <w:lang w:val="lv-LV"/>
              </w:rPr>
              <w:t xml:space="preserve">(turpmāk – </w:t>
            </w:r>
            <w:r w:rsidR="00186E20" w:rsidRPr="00EC190C">
              <w:rPr>
                <w:rFonts w:ascii="Times New Roman" w:hAnsi="Times New Roman" w:cs="Times New Roman"/>
                <w:sz w:val="25"/>
                <w:szCs w:val="25"/>
                <w:lang w:val="lv-LV" w:eastAsia="lv-LV"/>
              </w:rPr>
              <w:t>MK</w:t>
            </w:r>
            <w:r w:rsidR="00186E20" w:rsidRPr="00EC190C">
              <w:rPr>
                <w:rFonts w:ascii="Times New Roman" w:hAnsi="Times New Roman"/>
                <w:sz w:val="25"/>
                <w:szCs w:val="25"/>
                <w:lang w:val="lv-LV"/>
              </w:rPr>
              <w:t xml:space="preserve"> noteikumu projekts) </w:t>
            </w:r>
            <w:r w:rsidRPr="00EC190C">
              <w:rPr>
                <w:rFonts w:ascii="Times New Roman" w:hAnsi="Times New Roman"/>
                <w:color w:val="000000"/>
                <w:sz w:val="25"/>
                <w:szCs w:val="25"/>
                <w:lang w:val="lv-LV"/>
              </w:rPr>
              <w:t xml:space="preserve">un tā sākotnējās ietekmes novērtējuma ziņojums (anotācija) </w:t>
            </w:r>
            <w:r w:rsidR="00A21034" w:rsidRPr="00EC190C">
              <w:rPr>
                <w:rFonts w:ascii="Times New Roman" w:hAnsi="Times New Roman"/>
                <w:color w:val="000000"/>
                <w:sz w:val="25"/>
                <w:szCs w:val="25"/>
                <w:lang w:val="lv-LV"/>
              </w:rPr>
              <w:t>sagatavots, pamatojoties uz Eiropas Savienības struktūrfondu un Kohēzijas fonda vadības likuma 18.panta 10.punktu.</w:t>
            </w:r>
          </w:p>
          <w:p w14:paraId="472E1FB4" w14:textId="1A1F82AA" w:rsidR="00DC2BD7" w:rsidRPr="00EC190C" w:rsidRDefault="00320334" w:rsidP="00F1276C">
            <w:pPr>
              <w:spacing w:after="120"/>
              <w:jc w:val="both"/>
              <w:rPr>
                <w:rFonts w:ascii="Times New Roman" w:hAnsi="Times New Roman" w:cs="Times New Roman"/>
                <w:sz w:val="25"/>
                <w:szCs w:val="25"/>
                <w:lang w:val="lv-LV"/>
              </w:rPr>
            </w:pPr>
            <w:r w:rsidRPr="00EC190C">
              <w:rPr>
                <w:rFonts w:ascii="Times New Roman" w:hAnsi="Times New Roman"/>
                <w:sz w:val="25"/>
                <w:szCs w:val="25"/>
                <w:lang w:val="lv-LV"/>
              </w:rPr>
              <w:t xml:space="preserve">Ņemot vērā iepriekš apzinātos riskus darbības programmas „Uzņēmējdarbība un inovācijas” ietvaros Eiropas Reģionālā attīstības fonda (turpmāk – ERAF) līdzekļu pilnīgai apguvei 2014. un 2015.gadā, kas ir pārrunāti ar Ekonomikas ministriju (turpmāk - EM) un Izglītības un zinātnes ministriju (turpmāk - IZM) operatīvajās sanāksmēs un dažādos citos forumos, Koalīcijas partneru darba grupas par Eiropas Savienības struktūrfondu un Kohēzijas fonda jautājumiem š.g.27.augusta sēdē saskaņoto rīcības plānu darbības programmas „Uzņēmējdarbība un inovācijas” ERAF pilnīgai izmantošanai īstenošanas gaitu, EM un IZM  sniegto informāciju par veiktajiem pasākumiem attiecībā uz deklarējamiem izdevumiem, </w:t>
            </w:r>
            <w:r w:rsidR="00AB5338" w:rsidRPr="00EC190C">
              <w:rPr>
                <w:rFonts w:ascii="Times New Roman" w:hAnsi="Times New Roman"/>
                <w:sz w:val="25"/>
                <w:szCs w:val="25"/>
                <w:lang w:val="lv-LV"/>
              </w:rPr>
              <w:t xml:space="preserve">jaunākās prognozes, kā arī ikgadējās tikšanās laikā ar EK pārstāvjiem š.g.27.novembrī pārrunāto, </w:t>
            </w:r>
            <w:r w:rsidR="00A9221C" w:rsidRPr="00EC190C">
              <w:rPr>
                <w:rFonts w:ascii="Times New Roman" w:hAnsi="Times New Roman"/>
                <w:sz w:val="25"/>
                <w:szCs w:val="25"/>
                <w:lang w:val="lv-LV"/>
              </w:rPr>
              <w:t xml:space="preserve">Finanšu ministrija (turpmāk – FM) </w:t>
            </w:r>
            <w:r w:rsidRPr="00EC190C">
              <w:rPr>
                <w:rFonts w:ascii="Times New Roman" w:hAnsi="Times New Roman"/>
                <w:sz w:val="25"/>
                <w:szCs w:val="25"/>
                <w:lang w:val="lv-LV"/>
              </w:rPr>
              <w:t xml:space="preserve">ir izstrādājusi </w:t>
            </w:r>
            <w:r w:rsidR="00E0275F" w:rsidRPr="00EC190C">
              <w:rPr>
                <w:rFonts w:ascii="Times New Roman" w:hAnsi="Times New Roman"/>
                <w:sz w:val="25"/>
                <w:szCs w:val="25"/>
                <w:lang w:val="lv-LV"/>
              </w:rPr>
              <w:t>MK noteikumu projektu</w:t>
            </w:r>
            <w:r w:rsidRPr="00EC190C">
              <w:rPr>
                <w:rFonts w:ascii="Times New Roman" w:hAnsi="Times New Roman"/>
                <w:sz w:val="25"/>
                <w:szCs w:val="25"/>
                <w:lang w:val="lv-LV"/>
              </w:rPr>
              <w:t xml:space="preserve"> augstākminētā riska </w:t>
            </w:r>
            <w:r w:rsidRPr="00EC190C">
              <w:rPr>
                <w:rFonts w:ascii="Times New Roman" w:hAnsi="Times New Roman" w:cs="Times New Roman"/>
                <w:sz w:val="25"/>
                <w:szCs w:val="25"/>
                <w:lang w:val="lv-LV"/>
              </w:rPr>
              <w:t>mazināšanai.</w:t>
            </w:r>
          </w:p>
        </w:tc>
      </w:tr>
      <w:tr w:rsidR="00D40CFC" w:rsidRPr="00EC190C" w14:paraId="4F55B252" w14:textId="77777777" w:rsidTr="0068037C">
        <w:trPr>
          <w:trHeight w:val="699"/>
        </w:trPr>
        <w:tc>
          <w:tcPr>
            <w:tcW w:w="2567" w:type="dxa"/>
            <w:hideMark/>
          </w:tcPr>
          <w:p w14:paraId="74BBF2CC" w14:textId="77777777" w:rsidR="00D40CFC" w:rsidRPr="00EC190C" w:rsidRDefault="00D40CFC" w:rsidP="00D40CFC">
            <w:pPr>
              <w:rPr>
                <w:rFonts w:ascii="Times New Roman" w:hAnsi="Times New Roman"/>
                <w:sz w:val="25"/>
                <w:szCs w:val="25"/>
                <w:lang w:val="lv-LV"/>
              </w:rPr>
            </w:pPr>
            <w:r w:rsidRPr="00EC190C">
              <w:rPr>
                <w:rFonts w:ascii="Times New Roman" w:hAnsi="Times New Roman"/>
                <w:sz w:val="25"/>
                <w:szCs w:val="25"/>
                <w:lang w:val="lv-LV"/>
              </w:rPr>
              <w:t>2. Pašreizējā situācija un problēmas</w:t>
            </w:r>
            <w:r w:rsidR="002D3F81" w:rsidRPr="00EC190C">
              <w:rPr>
                <w:rFonts w:ascii="Times New Roman" w:hAnsi="Times New Roman"/>
                <w:sz w:val="25"/>
                <w:szCs w:val="25"/>
                <w:lang w:val="lv-LV"/>
              </w:rPr>
              <w:t>, kuru risināšanai tiesību akta projekts izstrādāts, tiesiskā regulējuma mērķis un būtība</w:t>
            </w:r>
          </w:p>
        </w:tc>
        <w:tc>
          <w:tcPr>
            <w:tcW w:w="6613" w:type="dxa"/>
            <w:hideMark/>
          </w:tcPr>
          <w:p w14:paraId="373C3BFF" w14:textId="7880D448" w:rsidR="00AB5338" w:rsidRPr="00EC190C" w:rsidRDefault="00AB5338" w:rsidP="00AB5338">
            <w:pPr>
              <w:spacing w:after="120"/>
              <w:jc w:val="both"/>
              <w:rPr>
                <w:rFonts w:ascii="Times New Roman" w:hAnsi="Times New Roman" w:cs="Times New Roman"/>
                <w:sz w:val="25"/>
                <w:szCs w:val="25"/>
                <w:lang w:val="lv-LV"/>
              </w:rPr>
            </w:pPr>
            <w:r w:rsidRPr="00EC190C">
              <w:rPr>
                <w:rFonts w:ascii="Times New Roman" w:hAnsi="Times New Roman" w:cs="Times New Roman"/>
                <w:sz w:val="25"/>
                <w:szCs w:val="25"/>
                <w:lang w:val="lv-LV"/>
              </w:rPr>
              <w:t xml:space="preserve">Ārējās politiskās un ekonomiskās vides ietekmes (Krievijas – Ukrainas krīzes eskalācija) rezultātā, kā arī, ņemot vērā tā saucamo netiešo embargo efektu, ir vērojams, ka uzņēmumi, kuru projekti tiek apstiprināti, nenoslēdz līgumus par projektu īstenošanu, ir nobīdes projektu ieviešanas termiņos u.c. </w:t>
            </w:r>
            <w:proofErr w:type="spellStart"/>
            <w:r w:rsidRPr="00EC190C">
              <w:rPr>
                <w:rFonts w:ascii="Times New Roman" w:hAnsi="Times New Roman" w:cs="Times New Roman"/>
                <w:sz w:val="25"/>
                <w:szCs w:val="25"/>
                <w:lang w:val="lv-LV"/>
              </w:rPr>
              <w:t>problēmjautājumi</w:t>
            </w:r>
            <w:proofErr w:type="spellEnd"/>
            <w:r w:rsidRPr="00EC190C">
              <w:rPr>
                <w:rFonts w:ascii="Times New Roman" w:hAnsi="Times New Roman" w:cs="Times New Roman"/>
                <w:sz w:val="25"/>
                <w:szCs w:val="25"/>
                <w:lang w:val="lv-LV"/>
              </w:rPr>
              <w:t xml:space="preserve">, tādējādi tiek negatīvi ietekmēti plānotās naudas plūsmas pieprasījumi Eiropas Komisijai (turpmāk - EK). </w:t>
            </w:r>
            <w:r w:rsidR="003529AC" w:rsidRPr="00EC190C">
              <w:rPr>
                <w:rFonts w:ascii="Times New Roman" w:hAnsi="Times New Roman" w:cs="Times New Roman"/>
                <w:sz w:val="25"/>
                <w:szCs w:val="25"/>
                <w:lang w:val="lv-LV"/>
              </w:rPr>
              <w:t xml:space="preserve">FM </w:t>
            </w:r>
            <w:r w:rsidRPr="00EC190C">
              <w:rPr>
                <w:rFonts w:ascii="Times New Roman" w:hAnsi="Times New Roman" w:cs="Times New Roman"/>
                <w:sz w:val="25"/>
                <w:szCs w:val="25"/>
                <w:lang w:val="lv-LV"/>
              </w:rPr>
              <w:t xml:space="preserve">kā ES struktūrfondu un Kohēzijas fonda (turpmāk – ES fondi) vadošās iestādes (turpmāk – vadošā iestāde) aprēķini liecina, ka augstākminēto risku rezultātā ir apdraudēta n+2 </w:t>
            </w:r>
            <w:r w:rsidRPr="00EC190C">
              <w:rPr>
                <w:rFonts w:ascii="Times New Roman" w:hAnsi="Times New Roman" w:cs="Times New Roman"/>
                <w:sz w:val="25"/>
                <w:szCs w:val="25"/>
                <w:lang w:val="lv-LV"/>
              </w:rPr>
              <w:lastRenderedPageBreak/>
              <w:t xml:space="preserve">principa īstenošana darbības programmas “Uzņēmējdarbība un inovācijas” ietvaros. </w:t>
            </w:r>
          </w:p>
          <w:p w14:paraId="6A8C4C82" w14:textId="77777777" w:rsidR="00AB5338" w:rsidRPr="00EC190C" w:rsidRDefault="00AB5338" w:rsidP="00AB5338">
            <w:pPr>
              <w:spacing w:after="120"/>
              <w:jc w:val="both"/>
              <w:rPr>
                <w:rFonts w:ascii="Times New Roman" w:hAnsi="Times New Roman" w:cs="Times New Roman"/>
                <w:sz w:val="25"/>
                <w:szCs w:val="25"/>
                <w:lang w:val="lv-LV"/>
              </w:rPr>
            </w:pPr>
            <w:r w:rsidRPr="00EC190C">
              <w:rPr>
                <w:rFonts w:ascii="Times New Roman" w:hAnsi="Times New Roman" w:cs="Times New Roman"/>
                <w:sz w:val="25"/>
                <w:szCs w:val="25"/>
                <w:lang w:val="lv-LV"/>
              </w:rPr>
              <w:t xml:space="preserve">Piesardzība ir skaidrojama arī ar sagaidāmo apgrūtināto piekļuvi eksporta tirgiem un to ka tuvākajā nākotnē eksports nebūs galvenais virzītājspēks tautsaimniecības attīstības veicināšanā. Ir jāatceras, ka kopš 2012.gada Latvijas valdība izvēlējās riska mīkstināšanas stratēģiju, piešķirot papildu valsts budžeta </w:t>
            </w:r>
            <w:proofErr w:type="spellStart"/>
            <w:r w:rsidRPr="00EC190C">
              <w:rPr>
                <w:rFonts w:ascii="Times New Roman" w:hAnsi="Times New Roman" w:cs="Times New Roman"/>
                <w:sz w:val="25"/>
                <w:szCs w:val="25"/>
                <w:lang w:val="lv-LV"/>
              </w:rPr>
              <w:t>visrssaistības</w:t>
            </w:r>
            <w:proofErr w:type="spellEnd"/>
            <w:r w:rsidRPr="00EC190C">
              <w:rPr>
                <w:rFonts w:ascii="Times New Roman" w:hAnsi="Times New Roman" w:cs="Times New Roman"/>
                <w:sz w:val="25"/>
                <w:szCs w:val="25"/>
                <w:lang w:val="lv-LV"/>
              </w:rPr>
              <w:t xml:space="preserve"> stratēģiski vissvarīgākajiem pasākumiem/jomām un kuri būtiski ietekmē ekonomikas uzplaukumu, īpaši uzņēmējdarbības attīstības un ar to saistītās infrastruktūras atbalstam, lai iegūtu iespējas jaunu darbavietu radīšanai.</w:t>
            </w:r>
          </w:p>
          <w:p w14:paraId="37BD70A7" w14:textId="6746A5F2" w:rsidR="00AB5338" w:rsidRPr="00EC190C" w:rsidRDefault="003529AC" w:rsidP="00AB5338">
            <w:pPr>
              <w:spacing w:after="120"/>
              <w:jc w:val="both"/>
              <w:rPr>
                <w:rFonts w:ascii="Times New Roman" w:hAnsi="Times New Roman" w:cs="Times New Roman"/>
                <w:sz w:val="25"/>
                <w:szCs w:val="25"/>
                <w:lang w:val="lv-LV"/>
              </w:rPr>
            </w:pPr>
            <w:r w:rsidRPr="00EC190C">
              <w:rPr>
                <w:rFonts w:ascii="Times New Roman" w:hAnsi="Times New Roman" w:cs="Times New Roman"/>
                <w:sz w:val="25"/>
                <w:szCs w:val="25"/>
                <w:lang w:val="lv-LV"/>
              </w:rPr>
              <w:t>MK</w:t>
            </w:r>
            <w:r w:rsidR="00AB5338" w:rsidRPr="00EC190C">
              <w:rPr>
                <w:rFonts w:ascii="Times New Roman" w:hAnsi="Times New Roman" w:cs="Times New Roman"/>
                <w:sz w:val="25"/>
                <w:szCs w:val="25"/>
                <w:lang w:val="lv-LV"/>
              </w:rPr>
              <w:t xml:space="preserve"> </w:t>
            </w:r>
            <w:r w:rsidRPr="00EC190C">
              <w:rPr>
                <w:rFonts w:ascii="Times New Roman" w:hAnsi="Times New Roman" w:cs="Times New Roman"/>
                <w:sz w:val="25"/>
                <w:szCs w:val="25"/>
                <w:lang w:val="lv-LV"/>
              </w:rPr>
              <w:t xml:space="preserve">2014.gada 10.novembrī </w:t>
            </w:r>
            <w:r w:rsidR="00AB5338" w:rsidRPr="00EC190C">
              <w:rPr>
                <w:rFonts w:ascii="Times New Roman" w:hAnsi="Times New Roman" w:cs="Times New Roman"/>
                <w:sz w:val="25"/>
                <w:szCs w:val="25"/>
                <w:lang w:val="lv-LV"/>
              </w:rPr>
              <w:t xml:space="preserve">steidzamībās kārtā </w:t>
            </w:r>
            <w:r w:rsidR="000409AA" w:rsidRPr="00EC190C">
              <w:rPr>
                <w:rFonts w:ascii="Times New Roman" w:hAnsi="Times New Roman" w:cs="Times New Roman"/>
                <w:sz w:val="25"/>
                <w:szCs w:val="25"/>
                <w:lang w:val="lv-LV"/>
              </w:rPr>
              <w:t xml:space="preserve">apstiprināja </w:t>
            </w:r>
            <w:r w:rsidR="00AB5338" w:rsidRPr="00EC190C">
              <w:rPr>
                <w:rFonts w:ascii="Times New Roman" w:hAnsi="Times New Roman" w:cs="Times New Roman"/>
                <w:sz w:val="25"/>
                <w:szCs w:val="25"/>
                <w:lang w:val="lv-LV"/>
              </w:rPr>
              <w:t xml:space="preserve">(1) </w:t>
            </w:r>
            <w:r w:rsidRPr="00EC190C">
              <w:rPr>
                <w:rFonts w:ascii="Times New Roman" w:hAnsi="Times New Roman" w:cs="Times New Roman"/>
                <w:sz w:val="25"/>
                <w:szCs w:val="25"/>
                <w:lang w:val="lv-LV"/>
              </w:rPr>
              <w:t>MK</w:t>
            </w:r>
            <w:r w:rsidR="00AB5338" w:rsidRPr="00EC190C">
              <w:rPr>
                <w:rFonts w:ascii="Times New Roman" w:hAnsi="Times New Roman" w:cs="Times New Roman"/>
                <w:sz w:val="25"/>
                <w:szCs w:val="25"/>
                <w:lang w:val="lv-LV"/>
              </w:rPr>
              <w:t xml:space="preserve"> rīkojuma projektu „Grozījumi darbības programmas „Uzņēmējdarbība un inovācijas” papildinājumā”, kā arī (2) </w:t>
            </w:r>
            <w:r w:rsidRPr="00EC190C">
              <w:rPr>
                <w:rFonts w:ascii="Times New Roman" w:hAnsi="Times New Roman" w:cs="Times New Roman"/>
                <w:sz w:val="25"/>
                <w:szCs w:val="25"/>
                <w:lang w:val="lv-LV"/>
              </w:rPr>
              <w:t>MK</w:t>
            </w:r>
            <w:r w:rsidR="00AB5338" w:rsidRPr="00EC190C">
              <w:rPr>
                <w:rFonts w:ascii="Times New Roman" w:hAnsi="Times New Roman" w:cs="Times New Roman"/>
                <w:sz w:val="25"/>
                <w:szCs w:val="25"/>
                <w:lang w:val="lv-LV"/>
              </w:rPr>
              <w:t xml:space="preserve"> noteikumu projektu “Noteikumi par darbības programmas „Uzņēmējdarbība un inovācijas” papildinājuma 2.3.2.2.aktivitātes “Atbalsts ieguldījumiem mikro, maziem un vidējiem komersantiem” 2.3.2.2.3.apakšaktivitāti „Atbalsts ieguldījumiem infrastruktūrā uzņēmējdarbības attīstībai””, jo identificētie riski, īpaši ārējā politiskā un ekonomiskā vide (Krievijas – Ukrainas krīzes eskalācija) apdraudēja n+2 principa izpildi 2014.gadā, potenciāli radot ES fondu finansējuma zaudējumu. </w:t>
            </w:r>
          </w:p>
          <w:p w14:paraId="448A342D" w14:textId="44F4E170" w:rsidR="00AB5338" w:rsidRPr="00EC190C" w:rsidRDefault="00AB5338" w:rsidP="00AB5338">
            <w:pPr>
              <w:spacing w:after="120"/>
              <w:jc w:val="both"/>
              <w:rPr>
                <w:rFonts w:ascii="Times New Roman" w:hAnsi="Times New Roman" w:cs="Times New Roman"/>
                <w:sz w:val="25"/>
                <w:szCs w:val="25"/>
                <w:lang w:val="lv-LV"/>
              </w:rPr>
            </w:pPr>
            <w:r w:rsidRPr="00EC190C">
              <w:rPr>
                <w:rFonts w:ascii="Times New Roman" w:hAnsi="Times New Roman" w:cs="Times New Roman"/>
                <w:sz w:val="25"/>
                <w:szCs w:val="25"/>
                <w:lang w:val="lv-LV"/>
              </w:rPr>
              <w:t>EK Latvijai š.g. 31.oktobrī ir nosūtījusi vēstuli (Nr.(2014)3618351 “</w:t>
            </w:r>
            <w:proofErr w:type="spellStart"/>
            <w:r w:rsidRPr="00EC190C">
              <w:rPr>
                <w:rFonts w:ascii="Times New Roman" w:hAnsi="Times New Roman" w:cs="Times New Roman"/>
                <w:sz w:val="25"/>
                <w:szCs w:val="25"/>
                <w:lang w:val="lv-LV"/>
              </w:rPr>
              <w:t>Automatic</w:t>
            </w:r>
            <w:proofErr w:type="spellEnd"/>
            <w:r w:rsidRPr="00EC190C">
              <w:rPr>
                <w:rFonts w:ascii="Times New Roman" w:hAnsi="Times New Roman" w:cs="Times New Roman"/>
                <w:sz w:val="25"/>
                <w:szCs w:val="25"/>
                <w:lang w:val="lv-LV"/>
              </w:rPr>
              <w:t xml:space="preserve"> </w:t>
            </w:r>
            <w:proofErr w:type="spellStart"/>
            <w:r w:rsidRPr="00EC190C">
              <w:rPr>
                <w:rFonts w:ascii="Times New Roman" w:hAnsi="Times New Roman" w:cs="Times New Roman"/>
                <w:sz w:val="25"/>
                <w:szCs w:val="25"/>
                <w:lang w:val="lv-LV"/>
              </w:rPr>
              <w:t>Decommitment</w:t>
            </w:r>
            <w:proofErr w:type="spellEnd"/>
            <w:r w:rsidRPr="00EC190C">
              <w:rPr>
                <w:rFonts w:ascii="Times New Roman" w:hAnsi="Times New Roman" w:cs="Times New Roman"/>
                <w:sz w:val="25"/>
                <w:szCs w:val="25"/>
                <w:lang w:val="lv-LV"/>
              </w:rPr>
              <w:t xml:space="preserve"> N+2/3 - </w:t>
            </w:r>
            <w:proofErr w:type="spellStart"/>
            <w:r w:rsidRPr="00EC190C">
              <w:rPr>
                <w:rFonts w:ascii="Times New Roman" w:hAnsi="Times New Roman" w:cs="Times New Roman"/>
                <w:sz w:val="25"/>
                <w:szCs w:val="25"/>
                <w:lang w:val="lv-LV"/>
              </w:rPr>
              <w:t>warning</w:t>
            </w:r>
            <w:proofErr w:type="spellEnd"/>
            <w:r w:rsidRPr="00EC190C">
              <w:rPr>
                <w:rFonts w:ascii="Times New Roman" w:hAnsi="Times New Roman" w:cs="Times New Roman"/>
                <w:sz w:val="25"/>
                <w:szCs w:val="25"/>
                <w:lang w:val="lv-LV"/>
              </w:rPr>
              <w:t xml:space="preserve"> </w:t>
            </w:r>
            <w:proofErr w:type="spellStart"/>
            <w:r w:rsidRPr="00EC190C">
              <w:rPr>
                <w:rFonts w:ascii="Times New Roman" w:hAnsi="Times New Roman" w:cs="Times New Roman"/>
                <w:sz w:val="25"/>
                <w:szCs w:val="25"/>
                <w:lang w:val="lv-LV"/>
              </w:rPr>
              <w:t>letter</w:t>
            </w:r>
            <w:proofErr w:type="spellEnd"/>
            <w:r w:rsidRPr="00EC190C">
              <w:rPr>
                <w:rFonts w:ascii="Times New Roman" w:hAnsi="Times New Roman" w:cs="Times New Roman"/>
                <w:sz w:val="25"/>
                <w:szCs w:val="25"/>
                <w:lang w:val="lv-LV"/>
              </w:rPr>
              <w:t xml:space="preserve"> (Art. 97 </w:t>
            </w:r>
            <w:proofErr w:type="spellStart"/>
            <w:r w:rsidRPr="00EC190C">
              <w:rPr>
                <w:rFonts w:ascii="Times New Roman" w:hAnsi="Times New Roman" w:cs="Times New Roman"/>
                <w:sz w:val="25"/>
                <w:szCs w:val="25"/>
                <w:lang w:val="lv-LV"/>
              </w:rPr>
              <w:t>of</w:t>
            </w:r>
            <w:proofErr w:type="spellEnd"/>
            <w:r w:rsidRPr="00EC190C">
              <w:rPr>
                <w:rFonts w:ascii="Times New Roman" w:hAnsi="Times New Roman" w:cs="Times New Roman"/>
                <w:sz w:val="25"/>
                <w:szCs w:val="25"/>
                <w:lang w:val="lv-LV"/>
              </w:rPr>
              <w:t xml:space="preserve"> CR1083/2006)), ar ko tā brīdina, ka ERAF finansējuma zaudēšanas risks darbības programmā “Uzņēmējdarbība un inovācijas” ir ļoti augsts. Jaunākās prognozes liecina, ka risks šogad zaudēt ES fondu finansējumu mēneša laikā ir būtiski pieaudzis. Par šo situāciju </w:t>
            </w:r>
            <w:r w:rsidR="003D205F" w:rsidRPr="00EC190C">
              <w:rPr>
                <w:rFonts w:ascii="Times New Roman" w:hAnsi="Times New Roman" w:cs="Times New Roman"/>
                <w:sz w:val="25"/>
                <w:szCs w:val="25"/>
                <w:lang w:val="lv-LV"/>
              </w:rPr>
              <w:t>FM</w:t>
            </w:r>
            <w:r w:rsidRPr="00EC190C">
              <w:rPr>
                <w:rFonts w:ascii="Times New Roman" w:hAnsi="Times New Roman" w:cs="Times New Roman"/>
                <w:sz w:val="25"/>
                <w:szCs w:val="25"/>
                <w:lang w:val="lv-LV"/>
              </w:rPr>
              <w:t xml:space="preserve"> ziņoja </w:t>
            </w:r>
            <w:r w:rsidR="003D205F" w:rsidRPr="00EC190C">
              <w:rPr>
                <w:rFonts w:ascii="Times New Roman" w:hAnsi="Times New Roman" w:cs="Times New Roman"/>
                <w:sz w:val="25"/>
                <w:szCs w:val="25"/>
                <w:lang w:val="lv-LV"/>
              </w:rPr>
              <w:t>MK</w:t>
            </w:r>
            <w:r w:rsidR="000409AA" w:rsidRPr="00EC190C">
              <w:rPr>
                <w:rFonts w:ascii="Times New Roman" w:hAnsi="Times New Roman" w:cs="Times New Roman"/>
                <w:sz w:val="25"/>
                <w:szCs w:val="25"/>
                <w:lang w:val="lv-LV"/>
              </w:rPr>
              <w:t xml:space="preserve"> 2014.gada</w:t>
            </w:r>
            <w:r w:rsidRPr="00EC190C">
              <w:rPr>
                <w:rFonts w:ascii="Times New Roman" w:hAnsi="Times New Roman" w:cs="Times New Roman"/>
                <w:sz w:val="25"/>
                <w:szCs w:val="25"/>
                <w:lang w:val="lv-LV"/>
              </w:rPr>
              <w:t xml:space="preserve"> 25.novembra sēdē, kur visas iesaistītās puses apņēmās darīt visu iespējamo, lai nezaudētu ES finansējumu. </w:t>
            </w:r>
          </w:p>
          <w:p w14:paraId="008BF963" w14:textId="0E95D1B0" w:rsidR="00AB5338" w:rsidRPr="00EC190C" w:rsidRDefault="00AB5338" w:rsidP="00AB5338">
            <w:pPr>
              <w:spacing w:after="120"/>
              <w:jc w:val="both"/>
              <w:rPr>
                <w:rFonts w:ascii="Times New Roman" w:hAnsi="Times New Roman" w:cs="Times New Roman"/>
                <w:sz w:val="25"/>
                <w:szCs w:val="25"/>
                <w:lang w:val="lv-LV"/>
              </w:rPr>
            </w:pPr>
            <w:r w:rsidRPr="00EC190C">
              <w:rPr>
                <w:rFonts w:ascii="Times New Roman" w:hAnsi="Times New Roman" w:cs="Times New Roman"/>
                <w:sz w:val="25"/>
                <w:szCs w:val="25"/>
                <w:lang w:val="lv-LV"/>
              </w:rPr>
              <w:t xml:space="preserve">Ņemot vērā iepriekšminēto, </w:t>
            </w:r>
            <w:r w:rsidR="003529AC" w:rsidRPr="00EC190C">
              <w:rPr>
                <w:rFonts w:ascii="Times New Roman" w:hAnsi="Times New Roman" w:cs="Times New Roman"/>
                <w:sz w:val="25"/>
                <w:szCs w:val="25"/>
                <w:lang w:val="lv-LV"/>
              </w:rPr>
              <w:t>FM</w:t>
            </w:r>
            <w:r w:rsidRPr="00EC190C">
              <w:rPr>
                <w:rFonts w:ascii="Times New Roman" w:hAnsi="Times New Roman" w:cs="Times New Roman"/>
                <w:sz w:val="25"/>
                <w:szCs w:val="25"/>
                <w:lang w:val="lv-LV"/>
              </w:rPr>
              <w:t xml:space="preserve"> ir izstrādājusi grozījumu Ministru kabineta 2014.gada 10.novembra noteikumos Nr.700 “Noteikumi par darbības programmas “Uzņēmējdarbība un inovācijas” papildinājuma 2.3.2.2.aktivitātes “Atbalsts ieguldījumiem mikro, maziem un vidējiem komersantiem” 2.3.2.2.3.apakšaktivitāti “Atbalsts ieguldījumiem infrastruktūrā uzņēmējdarbības attīstībai”” (t</w:t>
            </w:r>
            <w:r w:rsidR="003D205F" w:rsidRPr="00EC190C">
              <w:rPr>
                <w:rFonts w:ascii="Times New Roman" w:hAnsi="Times New Roman" w:cs="Times New Roman"/>
                <w:sz w:val="25"/>
                <w:szCs w:val="25"/>
                <w:lang w:val="lv-LV"/>
              </w:rPr>
              <w:t xml:space="preserve">urpmāk – MK noteikumi Nr.700), </w:t>
            </w:r>
            <w:r w:rsidRPr="00EC190C">
              <w:rPr>
                <w:rFonts w:ascii="Times New Roman" w:hAnsi="Times New Roman" w:cs="Times New Roman"/>
                <w:sz w:val="25"/>
                <w:szCs w:val="25"/>
                <w:lang w:val="lv-LV"/>
              </w:rPr>
              <w:t>paredz</w:t>
            </w:r>
            <w:r w:rsidR="003D205F" w:rsidRPr="00EC190C">
              <w:rPr>
                <w:rFonts w:ascii="Times New Roman" w:hAnsi="Times New Roman" w:cs="Times New Roman"/>
                <w:sz w:val="25"/>
                <w:szCs w:val="25"/>
                <w:lang w:val="lv-LV"/>
              </w:rPr>
              <w:t>ot</w:t>
            </w:r>
            <w:r w:rsidRPr="00EC190C">
              <w:rPr>
                <w:rFonts w:ascii="Times New Roman" w:hAnsi="Times New Roman" w:cs="Times New Roman"/>
                <w:sz w:val="25"/>
                <w:szCs w:val="25"/>
                <w:lang w:val="lv-LV"/>
              </w:rPr>
              <w:t xml:space="preserve"> palielināt MK noteikumu Nr.700 6.punktā minēto pieejamo saistību apjomu, kas pārsniedz </w:t>
            </w:r>
            <w:r w:rsidR="003D205F" w:rsidRPr="00EC190C">
              <w:rPr>
                <w:rFonts w:ascii="Times New Roman" w:hAnsi="Times New Roman" w:cs="Times New Roman"/>
                <w:sz w:val="25"/>
                <w:szCs w:val="25"/>
                <w:lang w:val="lv-LV"/>
              </w:rPr>
              <w:t>ERAF</w:t>
            </w:r>
            <w:r w:rsidRPr="00EC190C">
              <w:rPr>
                <w:rFonts w:ascii="Times New Roman" w:hAnsi="Times New Roman" w:cs="Times New Roman"/>
                <w:sz w:val="25"/>
                <w:szCs w:val="25"/>
                <w:lang w:val="lv-LV"/>
              </w:rPr>
              <w:t xml:space="preserve"> līdzfina</w:t>
            </w:r>
            <w:r w:rsidR="003D205F" w:rsidRPr="00EC190C">
              <w:rPr>
                <w:rFonts w:ascii="Times New Roman" w:hAnsi="Times New Roman" w:cs="Times New Roman"/>
                <w:sz w:val="25"/>
                <w:szCs w:val="25"/>
                <w:lang w:val="lv-LV"/>
              </w:rPr>
              <w:t>nsējuma apmēru</w:t>
            </w:r>
            <w:r w:rsidR="005D1C8F" w:rsidRPr="00EC190C">
              <w:rPr>
                <w:rFonts w:ascii="Times New Roman" w:hAnsi="Times New Roman" w:cs="Times New Roman"/>
                <w:sz w:val="25"/>
                <w:szCs w:val="25"/>
                <w:lang w:val="lv-LV"/>
              </w:rPr>
              <w:t>,</w:t>
            </w:r>
            <w:r w:rsidRPr="00EC190C">
              <w:rPr>
                <w:rFonts w:ascii="Times New Roman" w:hAnsi="Times New Roman" w:cs="Times New Roman"/>
                <w:sz w:val="25"/>
                <w:szCs w:val="25"/>
                <w:lang w:val="lv-LV"/>
              </w:rPr>
              <w:t xml:space="preserve"> </w:t>
            </w:r>
            <w:r w:rsidR="000409AA" w:rsidRPr="00EC190C">
              <w:rPr>
                <w:rFonts w:ascii="Times New Roman" w:hAnsi="Times New Roman" w:cs="Times New Roman"/>
                <w:sz w:val="25"/>
                <w:szCs w:val="25"/>
                <w:lang w:val="lv-LV"/>
              </w:rPr>
              <w:t xml:space="preserve">no 45 milj. </w:t>
            </w:r>
            <w:r w:rsidRPr="00EC190C">
              <w:rPr>
                <w:rFonts w:ascii="Times New Roman" w:hAnsi="Times New Roman" w:cs="Times New Roman"/>
                <w:sz w:val="25"/>
                <w:szCs w:val="25"/>
                <w:lang w:val="lv-LV"/>
              </w:rPr>
              <w:t>līdz 75 milj. euro.</w:t>
            </w:r>
          </w:p>
          <w:p w14:paraId="15D9CA9B" w14:textId="185FABC9" w:rsidR="00AB5338" w:rsidRPr="00EC190C" w:rsidRDefault="00AB5338" w:rsidP="00AB5338">
            <w:pPr>
              <w:spacing w:after="120"/>
              <w:jc w:val="both"/>
              <w:rPr>
                <w:rFonts w:ascii="Times New Roman" w:hAnsi="Times New Roman" w:cs="Times New Roman"/>
                <w:sz w:val="25"/>
                <w:szCs w:val="25"/>
                <w:lang w:val="lv-LV"/>
              </w:rPr>
            </w:pPr>
            <w:r w:rsidRPr="00EC190C">
              <w:rPr>
                <w:rFonts w:ascii="Times New Roman" w:hAnsi="Times New Roman" w:cs="Times New Roman"/>
                <w:sz w:val="25"/>
                <w:szCs w:val="25"/>
                <w:lang w:val="lv-LV"/>
              </w:rPr>
              <w:t xml:space="preserve">Vēršam uzmanību, ka minētā rīcība nepieciešama, lai maksimāli izmantotu iespēju novērst vai mazināt risku šogad zaudēt ES fondu finansējumu darbības programmas “Uzņēmējdarbība un </w:t>
            </w:r>
            <w:r w:rsidRPr="00EC190C">
              <w:rPr>
                <w:rFonts w:ascii="Times New Roman" w:hAnsi="Times New Roman" w:cs="Times New Roman"/>
                <w:sz w:val="25"/>
                <w:szCs w:val="25"/>
                <w:lang w:val="lv-LV"/>
              </w:rPr>
              <w:lastRenderedPageBreak/>
              <w:t xml:space="preserve">inovācijas” ietvaros, ņemot vērā iztrūkstošās summas būtisku pieaugumu mēneša laikā. Tāpat, pārrunājot šo jautājumu, kā arī iespējamos tālākos darbības scenārijus situācijas uzlabošanai </w:t>
            </w:r>
            <w:r w:rsidRPr="00EC190C">
              <w:rPr>
                <w:rFonts w:ascii="Times New Roman" w:hAnsi="Times New Roman" w:cs="Times New Roman"/>
                <w:b/>
                <w:sz w:val="25"/>
                <w:szCs w:val="25"/>
                <w:lang w:val="lv-LV"/>
              </w:rPr>
              <w:t>ikgadējās tikšanās laikā ar EK pārstāvjiem š.g.</w:t>
            </w:r>
            <w:r w:rsidR="000409AA" w:rsidRPr="00EC190C">
              <w:rPr>
                <w:rFonts w:ascii="Times New Roman" w:hAnsi="Times New Roman" w:cs="Times New Roman"/>
                <w:b/>
                <w:sz w:val="25"/>
                <w:szCs w:val="25"/>
                <w:lang w:val="lv-LV"/>
              </w:rPr>
              <w:t xml:space="preserve"> </w:t>
            </w:r>
            <w:r w:rsidRPr="00EC190C">
              <w:rPr>
                <w:rFonts w:ascii="Times New Roman" w:hAnsi="Times New Roman" w:cs="Times New Roman"/>
                <w:b/>
                <w:sz w:val="25"/>
                <w:szCs w:val="25"/>
                <w:lang w:val="lv-LV"/>
              </w:rPr>
              <w:t xml:space="preserve">27.novembrī, saņēmām EK atbildi, ka uz 2.3.2.2.3.apakšaktivitāti “Atbalsts ieguldījumiem infrastruktūrā uzņēmējdarbības attīstībai” var tikt pārcelti </w:t>
            </w:r>
            <w:r w:rsidRPr="00EC190C">
              <w:rPr>
                <w:rFonts w:ascii="Times New Roman" w:hAnsi="Times New Roman" w:cs="Times New Roman"/>
                <w:b/>
                <w:sz w:val="25"/>
                <w:szCs w:val="25"/>
                <w:u w:val="single"/>
                <w:lang w:val="lv-LV"/>
              </w:rPr>
              <w:t>ne tikai iesāktie projekti, bet arī pabeigtie projekti</w:t>
            </w:r>
            <w:r w:rsidRPr="00EC190C">
              <w:rPr>
                <w:rFonts w:ascii="Times New Roman" w:hAnsi="Times New Roman" w:cs="Times New Roman"/>
                <w:b/>
                <w:sz w:val="25"/>
                <w:szCs w:val="25"/>
                <w:lang w:val="lv-LV"/>
              </w:rPr>
              <w:t xml:space="preserve"> (tā kā tie ir īstenoti konkrētā plānošanas perioda ietvaros), attiecīgi šis ir nozīmīgs pamats izmantot šo iespēju. </w:t>
            </w:r>
            <w:r w:rsidRPr="00EC190C">
              <w:rPr>
                <w:rFonts w:ascii="Times New Roman" w:hAnsi="Times New Roman" w:cs="Times New Roman"/>
                <w:sz w:val="25"/>
                <w:szCs w:val="25"/>
                <w:lang w:val="lv-LV"/>
              </w:rPr>
              <w:t>Vienlaikus EK pārstāvji uzsvēra, ka jānodrošina visu darbību izsekojamība, projektu atbilstība darbības programmas “Uzņēmējdarbība un inovācijas” attiecīgajam mērķim un atbilstīgajām izmaksām.</w:t>
            </w:r>
          </w:p>
          <w:p w14:paraId="378CC110" w14:textId="294DFA43" w:rsidR="00AB5338" w:rsidRPr="00EC190C" w:rsidRDefault="00AB5338" w:rsidP="00AB5338">
            <w:pPr>
              <w:spacing w:after="120"/>
              <w:jc w:val="both"/>
              <w:rPr>
                <w:rFonts w:ascii="Times New Roman" w:hAnsi="Times New Roman" w:cs="Times New Roman"/>
                <w:sz w:val="25"/>
                <w:szCs w:val="25"/>
                <w:lang w:val="lv-LV"/>
              </w:rPr>
            </w:pPr>
            <w:r w:rsidRPr="00EC190C">
              <w:rPr>
                <w:rFonts w:ascii="Times New Roman" w:hAnsi="Times New Roman" w:cs="Times New Roman"/>
                <w:sz w:val="25"/>
                <w:szCs w:val="25"/>
                <w:lang w:val="lv-LV"/>
              </w:rPr>
              <w:t xml:space="preserve">Līdz ar to ir nepieciešams steidzami apstiprināt MK noteikumu projektu, </w:t>
            </w:r>
            <w:r w:rsidR="000409AA" w:rsidRPr="00EC190C">
              <w:rPr>
                <w:rFonts w:ascii="Times New Roman" w:hAnsi="Times New Roman" w:cs="Times New Roman"/>
                <w:sz w:val="25"/>
                <w:szCs w:val="25"/>
                <w:lang w:val="lv-LV"/>
              </w:rPr>
              <w:t xml:space="preserve">kā rezultātā tiktu </w:t>
            </w:r>
            <w:r w:rsidRPr="00EC190C">
              <w:rPr>
                <w:rFonts w:ascii="Times New Roman" w:hAnsi="Times New Roman" w:cs="Times New Roman"/>
                <w:sz w:val="25"/>
                <w:szCs w:val="25"/>
                <w:lang w:val="lv-LV"/>
              </w:rPr>
              <w:t>samazināt</w:t>
            </w:r>
            <w:r w:rsidR="000409AA" w:rsidRPr="00EC190C">
              <w:rPr>
                <w:rFonts w:ascii="Times New Roman" w:hAnsi="Times New Roman" w:cs="Times New Roman"/>
                <w:sz w:val="25"/>
                <w:szCs w:val="25"/>
                <w:lang w:val="lv-LV"/>
              </w:rPr>
              <w:t>i</w:t>
            </w:r>
            <w:r w:rsidRPr="00EC190C">
              <w:rPr>
                <w:rFonts w:ascii="Times New Roman" w:hAnsi="Times New Roman" w:cs="Times New Roman"/>
                <w:sz w:val="25"/>
                <w:szCs w:val="25"/>
                <w:lang w:val="lv-LV"/>
              </w:rPr>
              <w:t xml:space="preserve"> identificēt</w:t>
            </w:r>
            <w:r w:rsidR="000409AA" w:rsidRPr="00EC190C">
              <w:rPr>
                <w:rFonts w:ascii="Times New Roman" w:hAnsi="Times New Roman" w:cs="Times New Roman"/>
                <w:sz w:val="25"/>
                <w:szCs w:val="25"/>
                <w:lang w:val="lv-LV"/>
              </w:rPr>
              <w:t>ie</w:t>
            </w:r>
            <w:r w:rsidRPr="00EC190C">
              <w:rPr>
                <w:rFonts w:ascii="Times New Roman" w:hAnsi="Times New Roman" w:cs="Times New Roman"/>
                <w:sz w:val="25"/>
                <w:szCs w:val="25"/>
                <w:lang w:val="lv-LV"/>
              </w:rPr>
              <w:t xml:space="preserve"> risk</w:t>
            </w:r>
            <w:r w:rsidR="000409AA" w:rsidRPr="00EC190C">
              <w:rPr>
                <w:rFonts w:ascii="Times New Roman" w:hAnsi="Times New Roman" w:cs="Times New Roman"/>
                <w:sz w:val="25"/>
                <w:szCs w:val="25"/>
                <w:lang w:val="lv-LV"/>
              </w:rPr>
              <w:t>i</w:t>
            </w:r>
            <w:r w:rsidRPr="00EC190C">
              <w:rPr>
                <w:rFonts w:ascii="Times New Roman" w:hAnsi="Times New Roman" w:cs="Times New Roman"/>
                <w:sz w:val="25"/>
                <w:szCs w:val="25"/>
                <w:lang w:val="lv-LV"/>
              </w:rPr>
              <w:t>.</w:t>
            </w:r>
          </w:p>
          <w:p w14:paraId="10C76E5B" w14:textId="1402FE8F" w:rsidR="00BE7E9D" w:rsidRPr="00EC190C" w:rsidRDefault="00BE60AF" w:rsidP="00007AFA">
            <w:pPr>
              <w:spacing w:after="120"/>
              <w:jc w:val="both"/>
              <w:rPr>
                <w:rFonts w:ascii="Times New Roman" w:hAnsi="Times New Roman"/>
                <w:i/>
                <w:sz w:val="25"/>
                <w:szCs w:val="25"/>
                <w:lang w:val="lv-LV"/>
              </w:rPr>
            </w:pPr>
            <w:r w:rsidRPr="00EC190C">
              <w:rPr>
                <w:rFonts w:ascii="Times New Roman" w:hAnsi="Times New Roman"/>
                <w:sz w:val="25"/>
                <w:szCs w:val="25"/>
                <w:lang w:val="lv-LV"/>
              </w:rPr>
              <w:t>Izvērtējot projektu pārcelšanu, jā</w:t>
            </w:r>
            <w:r w:rsidR="00BE7E9D" w:rsidRPr="00EC190C">
              <w:rPr>
                <w:rFonts w:ascii="Times New Roman" w:hAnsi="Times New Roman"/>
                <w:sz w:val="25"/>
                <w:szCs w:val="25"/>
                <w:lang w:val="lv-LV"/>
              </w:rPr>
              <w:t>nodrošin</w:t>
            </w:r>
            <w:r w:rsidRPr="00EC190C">
              <w:rPr>
                <w:rFonts w:ascii="Times New Roman" w:hAnsi="Times New Roman"/>
                <w:sz w:val="25"/>
                <w:szCs w:val="25"/>
                <w:lang w:val="lv-LV"/>
              </w:rPr>
              <w:t>a</w:t>
            </w:r>
            <w:r w:rsidR="00BE7E9D" w:rsidRPr="00EC190C">
              <w:rPr>
                <w:rFonts w:ascii="Times New Roman" w:hAnsi="Times New Roman"/>
                <w:sz w:val="25"/>
                <w:szCs w:val="25"/>
                <w:lang w:val="lv-LV"/>
              </w:rPr>
              <w:t xml:space="preserve">, ka kopumā no darbības programmas „Infrastruktūra un pakalpojumi” papildinājuma 3.6.2.1.aktivitātes un 3.6.1.1.aktivitātes uz </w:t>
            </w:r>
            <w:r w:rsidR="00295A5A" w:rsidRPr="00EC190C">
              <w:rPr>
                <w:rFonts w:ascii="Times New Roman" w:hAnsi="Times New Roman"/>
                <w:sz w:val="25"/>
                <w:szCs w:val="25"/>
                <w:lang w:val="lv-LV"/>
              </w:rPr>
              <w:t>DPP</w:t>
            </w:r>
            <w:r w:rsidR="007C75FE" w:rsidRPr="00EC190C">
              <w:rPr>
                <w:rFonts w:ascii="Times New Roman" w:hAnsi="Times New Roman"/>
                <w:sz w:val="25"/>
                <w:szCs w:val="25"/>
                <w:lang w:val="lv-LV"/>
              </w:rPr>
              <w:t xml:space="preserve"> 2.3.2.2.3.apakšaktivitāti</w:t>
            </w:r>
            <w:r w:rsidR="00BE7E9D" w:rsidRPr="00EC190C">
              <w:rPr>
                <w:rFonts w:ascii="Times New Roman" w:hAnsi="Times New Roman"/>
                <w:sz w:val="25"/>
                <w:szCs w:val="25"/>
                <w:lang w:val="lv-LV"/>
              </w:rPr>
              <w:t xml:space="preserve"> tiek pārcelti pabeigtie vai īstenošanā esošie uzņēmējdarbības vidi veicinošie investīciju projekti, kuros kopējā </w:t>
            </w:r>
            <w:r w:rsidR="00807FBF" w:rsidRPr="00EC190C">
              <w:rPr>
                <w:rFonts w:ascii="Times New Roman" w:hAnsi="Times New Roman"/>
                <w:sz w:val="25"/>
                <w:szCs w:val="25"/>
                <w:lang w:val="lv-LV"/>
              </w:rPr>
              <w:t>deklarējamā ERAF</w:t>
            </w:r>
            <w:r w:rsidR="00BE7E9D" w:rsidRPr="00EC190C">
              <w:rPr>
                <w:rFonts w:ascii="Times New Roman" w:hAnsi="Times New Roman"/>
                <w:sz w:val="25"/>
                <w:szCs w:val="25"/>
                <w:lang w:val="lv-LV"/>
              </w:rPr>
              <w:t xml:space="preserve"> izdevumu summa </w:t>
            </w:r>
            <w:r w:rsidR="00807FBF" w:rsidRPr="00EC190C">
              <w:rPr>
                <w:rFonts w:ascii="Times New Roman" w:hAnsi="Times New Roman"/>
                <w:sz w:val="25"/>
                <w:szCs w:val="25"/>
                <w:lang w:val="lv-LV"/>
              </w:rPr>
              <w:t>2014.gadā ir vismaz</w:t>
            </w:r>
            <w:r w:rsidR="00BE7E9D" w:rsidRPr="00EC190C">
              <w:rPr>
                <w:rFonts w:ascii="Times New Roman" w:hAnsi="Times New Roman"/>
                <w:sz w:val="25"/>
                <w:szCs w:val="25"/>
                <w:lang w:val="lv-LV"/>
              </w:rPr>
              <w:t xml:space="preserve"> </w:t>
            </w:r>
            <w:r w:rsidR="00024C69" w:rsidRPr="00EC190C">
              <w:rPr>
                <w:rFonts w:ascii="Times New Roman" w:hAnsi="Times New Roman"/>
                <w:sz w:val="25"/>
                <w:szCs w:val="25"/>
                <w:lang w:val="lv-LV"/>
              </w:rPr>
              <w:t>3</w:t>
            </w:r>
            <w:r w:rsidR="008E2D4D" w:rsidRPr="00EC190C">
              <w:rPr>
                <w:rFonts w:ascii="Times New Roman" w:hAnsi="Times New Roman"/>
                <w:sz w:val="25"/>
                <w:szCs w:val="25"/>
                <w:lang w:val="lv-LV"/>
              </w:rPr>
              <w:t xml:space="preserve">5 </w:t>
            </w:r>
            <w:r w:rsidR="00BE7E9D" w:rsidRPr="00EC190C">
              <w:rPr>
                <w:rFonts w:ascii="Times New Roman" w:hAnsi="Times New Roman"/>
                <w:sz w:val="25"/>
                <w:szCs w:val="25"/>
                <w:lang w:val="lv-LV"/>
              </w:rPr>
              <w:t xml:space="preserve">milj.  </w:t>
            </w:r>
            <w:r w:rsidR="00BE7E9D" w:rsidRPr="00EC190C">
              <w:rPr>
                <w:rFonts w:ascii="Times New Roman" w:hAnsi="Times New Roman"/>
                <w:i/>
                <w:sz w:val="25"/>
                <w:szCs w:val="25"/>
                <w:lang w:val="lv-LV"/>
              </w:rPr>
              <w:t>euro</w:t>
            </w:r>
            <w:r w:rsidR="002D1F55" w:rsidRPr="00EC190C">
              <w:rPr>
                <w:rFonts w:ascii="Times New Roman" w:hAnsi="Times New Roman"/>
                <w:sz w:val="25"/>
                <w:szCs w:val="25"/>
                <w:lang w:val="lv-LV"/>
              </w:rPr>
              <w:t xml:space="preserve">, </w:t>
            </w:r>
            <w:r w:rsidR="006A2257" w:rsidRPr="00EC190C">
              <w:rPr>
                <w:rFonts w:ascii="Times New Roman" w:hAnsi="Times New Roman"/>
                <w:sz w:val="25"/>
                <w:szCs w:val="25"/>
                <w:lang w:val="lv-LV"/>
              </w:rPr>
              <w:t>ņemot vērā</w:t>
            </w:r>
            <w:r w:rsidR="002D1F55" w:rsidRPr="00EC190C">
              <w:rPr>
                <w:rFonts w:ascii="Times New Roman" w:hAnsi="Times New Roman"/>
                <w:sz w:val="25"/>
                <w:szCs w:val="25"/>
                <w:lang w:val="lv-LV"/>
              </w:rPr>
              <w:t>, ka 2.3.prioritātes “Uzņēmējdarbības veicināšana” līdzfinansēšanas likme ir 59,93%</w:t>
            </w:r>
            <w:r w:rsidR="00BE7E9D" w:rsidRPr="00EC190C">
              <w:rPr>
                <w:rFonts w:ascii="Times New Roman" w:hAnsi="Times New Roman"/>
                <w:i/>
                <w:sz w:val="25"/>
                <w:szCs w:val="25"/>
                <w:lang w:val="lv-LV"/>
              </w:rPr>
              <w:t>.</w:t>
            </w:r>
          </w:p>
          <w:p w14:paraId="4AB52687" w14:textId="7CD57E3C" w:rsidR="00155441" w:rsidRPr="00EC190C" w:rsidRDefault="00155441" w:rsidP="00007AFA">
            <w:pPr>
              <w:spacing w:after="120"/>
              <w:jc w:val="both"/>
              <w:rPr>
                <w:rFonts w:ascii="Times New Roman" w:hAnsi="Times New Roman"/>
                <w:sz w:val="25"/>
                <w:szCs w:val="25"/>
                <w:lang w:val="lv-LV"/>
              </w:rPr>
            </w:pPr>
            <w:r w:rsidRPr="00EC190C">
              <w:rPr>
                <w:rFonts w:ascii="Times New Roman" w:hAnsi="Times New Roman"/>
                <w:sz w:val="25"/>
                <w:szCs w:val="25"/>
                <w:lang w:val="lv-LV"/>
              </w:rPr>
              <w:t xml:space="preserve">Finansējuma pārdalīšana tiks veikta </w:t>
            </w:r>
            <w:r w:rsidR="008E2D4D" w:rsidRPr="00EC190C">
              <w:rPr>
                <w:rFonts w:ascii="Times New Roman" w:hAnsi="Times New Roman"/>
                <w:sz w:val="25"/>
                <w:szCs w:val="25"/>
                <w:lang w:val="lv-LV"/>
              </w:rPr>
              <w:t>līdz š.g. 5.decembrim</w:t>
            </w:r>
            <w:r w:rsidRPr="00EC190C">
              <w:rPr>
                <w:rFonts w:ascii="Times New Roman" w:hAnsi="Times New Roman"/>
                <w:sz w:val="25"/>
                <w:szCs w:val="25"/>
                <w:lang w:val="lv-LV"/>
              </w:rPr>
              <w:t>, lai nodrošinātu n+</w:t>
            </w:r>
            <w:r w:rsidR="007A31C8" w:rsidRPr="00EC190C">
              <w:rPr>
                <w:rFonts w:ascii="Times New Roman" w:hAnsi="Times New Roman"/>
                <w:sz w:val="25"/>
                <w:szCs w:val="25"/>
                <w:lang w:val="lv-LV"/>
              </w:rPr>
              <w:t>2 principa izpildi.</w:t>
            </w:r>
            <w:r w:rsidR="002D1F55" w:rsidRPr="00EC190C">
              <w:rPr>
                <w:lang w:val="lv-LV"/>
              </w:rPr>
              <w:t xml:space="preserve"> </w:t>
            </w:r>
            <w:r w:rsidR="005E3A9F" w:rsidRPr="00EC190C">
              <w:rPr>
                <w:rFonts w:ascii="Times New Roman" w:hAnsi="Times New Roman"/>
                <w:sz w:val="25"/>
                <w:szCs w:val="25"/>
                <w:lang w:val="lv-LV"/>
              </w:rPr>
              <w:t>Uz darbības programmu “Uzņēmējdarbība un inovācijas” pārceļamo projektu izdevumu, kas ir veikti līdz š.g. 31.oktobrim, pārgrāmatošanas pamatojošie dokumenti ir jāiesniedz Valsts kasē kā maksājumu iestādē līdz š.g. 9.decembrim.</w:t>
            </w:r>
          </w:p>
          <w:p w14:paraId="37944CDE" w14:textId="40C2DBAC" w:rsidR="00B42199" w:rsidRPr="00EC190C" w:rsidRDefault="00B42199" w:rsidP="00007AFA">
            <w:pPr>
              <w:spacing w:after="120"/>
              <w:jc w:val="both"/>
              <w:rPr>
                <w:rFonts w:ascii="Times New Roman" w:hAnsi="Times New Roman"/>
                <w:sz w:val="25"/>
                <w:szCs w:val="25"/>
                <w:lang w:val="lv-LV"/>
              </w:rPr>
            </w:pPr>
            <w:r w:rsidRPr="00EC190C">
              <w:rPr>
                <w:rFonts w:ascii="Times New Roman" w:hAnsi="Times New Roman"/>
                <w:sz w:val="25"/>
                <w:szCs w:val="25"/>
                <w:lang w:val="lv-LV"/>
              </w:rPr>
              <w:t>Apakšaktivitātes ietvaros valsts atbalsts nav paredzēts.</w:t>
            </w:r>
          </w:p>
        </w:tc>
      </w:tr>
      <w:tr w:rsidR="00D40CFC" w:rsidRPr="00EC190C" w14:paraId="061461F2" w14:textId="77777777" w:rsidTr="00F66F09">
        <w:trPr>
          <w:trHeight w:val="360"/>
        </w:trPr>
        <w:tc>
          <w:tcPr>
            <w:tcW w:w="2567" w:type="dxa"/>
            <w:hideMark/>
          </w:tcPr>
          <w:p w14:paraId="25A6CD2E" w14:textId="73D64370" w:rsidR="00D40CFC" w:rsidRPr="00EC190C" w:rsidRDefault="00D40CFC" w:rsidP="002D3F81">
            <w:pPr>
              <w:rPr>
                <w:rFonts w:ascii="Times New Roman" w:hAnsi="Times New Roman"/>
                <w:sz w:val="25"/>
                <w:szCs w:val="25"/>
                <w:lang w:val="lv-LV"/>
              </w:rPr>
            </w:pPr>
            <w:r w:rsidRPr="00EC190C">
              <w:rPr>
                <w:rFonts w:ascii="Times New Roman" w:hAnsi="Times New Roman"/>
                <w:sz w:val="25"/>
                <w:szCs w:val="25"/>
                <w:lang w:val="lv-LV"/>
              </w:rPr>
              <w:lastRenderedPageBreak/>
              <w:t xml:space="preserve">3. </w:t>
            </w:r>
            <w:r w:rsidR="002D3F81" w:rsidRPr="00EC190C">
              <w:rPr>
                <w:rFonts w:ascii="Times New Roman" w:hAnsi="Times New Roman"/>
                <w:sz w:val="25"/>
                <w:szCs w:val="25"/>
                <w:lang w:val="lv-LV"/>
              </w:rPr>
              <w:t>Projekta izstrādē iesaistītās institūcijas</w:t>
            </w:r>
          </w:p>
        </w:tc>
        <w:tc>
          <w:tcPr>
            <w:tcW w:w="6613" w:type="dxa"/>
            <w:vAlign w:val="center"/>
            <w:hideMark/>
          </w:tcPr>
          <w:p w14:paraId="0B1A2BF1" w14:textId="5A70F207" w:rsidR="00D40CFC" w:rsidRPr="00EC190C" w:rsidRDefault="0057647D" w:rsidP="0084246E">
            <w:pPr>
              <w:jc w:val="both"/>
              <w:rPr>
                <w:rFonts w:ascii="Times New Roman" w:hAnsi="Times New Roman"/>
                <w:color w:val="000000"/>
                <w:sz w:val="25"/>
                <w:szCs w:val="25"/>
                <w:lang w:val="lv-LV"/>
              </w:rPr>
            </w:pPr>
            <w:r w:rsidRPr="00EC190C">
              <w:rPr>
                <w:rFonts w:ascii="Times New Roman" w:hAnsi="Times New Roman"/>
                <w:sz w:val="25"/>
                <w:szCs w:val="25"/>
                <w:lang w:val="lv-LV"/>
              </w:rPr>
              <w:t>FM</w:t>
            </w:r>
            <w:r w:rsidR="00AB5338" w:rsidRPr="00EC190C">
              <w:rPr>
                <w:rFonts w:ascii="Times New Roman" w:hAnsi="Times New Roman"/>
                <w:sz w:val="25"/>
                <w:szCs w:val="25"/>
                <w:lang w:val="lv-LV"/>
              </w:rPr>
              <w:t>,</w:t>
            </w:r>
            <w:r w:rsidR="002800B3" w:rsidRPr="00EC190C">
              <w:rPr>
                <w:rFonts w:ascii="Times New Roman" w:hAnsi="Times New Roman"/>
                <w:sz w:val="25"/>
                <w:szCs w:val="25"/>
                <w:lang w:val="lv-LV"/>
              </w:rPr>
              <w:t xml:space="preserve"> Vides aizsardzības un r</w:t>
            </w:r>
            <w:r w:rsidR="0084246E" w:rsidRPr="00EC190C">
              <w:rPr>
                <w:rFonts w:ascii="Times New Roman" w:hAnsi="Times New Roman"/>
                <w:sz w:val="25"/>
                <w:szCs w:val="25"/>
                <w:lang w:val="lv-LV"/>
              </w:rPr>
              <w:t>eģionālās attīstības ministrija un</w:t>
            </w:r>
            <w:r w:rsidR="002800B3" w:rsidRPr="00EC190C">
              <w:rPr>
                <w:rFonts w:ascii="Times New Roman" w:hAnsi="Times New Roman"/>
                <w:sz w:val="25"/>
                <w:szCs w:val="25"/>
                <w:lang w:val="lv-LV"/>
              </w:rPr>
              <w:t xml:space="preserve"> </w:t>
            </w:r>
            <w:r w:rsidR="002800B3" w:rsidRPr="00EC190C">
              <w:rPr>
                <w:rFonts w:ascii="Times New Roman" w:hAnsi="Times New Roman"/>
                <w:color w:val="000000"/>
                <w:sz w:val="25"/>
                <w:szCs w:val="25"/>
                <w:lang w:val="lv-LV"/>
              </w:rPr>
              <w:t>Valsts reģionālās attīstības aģentūra.</w:t>
            </w:r>
          </w:p>
        </w:tc>
      </w:tr>
      <w:tr w:rsidR="00D40CFC" w:rsidRPr="00EC190C" w14:paraId="29D2FD9E" w14:textId="77777777" w:rsidTr="00F66F09">
        <w:trPr>
          <w:trHeight w:val="76"/>
        </w:trPr>
        <w:tc>
          <w:tcPr>
            <w:tcW w:w="2567" w:type="dxa"/>
            <w:hideMark/>
          </w:tcPr>
          <w:p w14:paraId="56FE2687" w14:textId="77777777" w:rsidR="00D40CFC" w:rsidRPr="00EC190C" w:rsidRDefault="00D40CFC" w:rsidP="00951FF3">
            <w:pPr>
              <w:rPr>
                <w:rFonts w:ascii="Times New Roman" w:hAnsi="Times New Roman"/>
                <w:sz w:val="25"/>
                <w:szCs w:val="25"/>
                <w:lang w:val="lv-LV"/>
              </w:rPr>
            </w:pPr>
            <w:r w:rsidRPr="00EC190C">
              <w:rPr>
                <w:rFonts w:ascii="Times New Roman" w:hAnsi="Times New Roman"/>
                <w:sz w:val="25"/>
                <w:szCs w:val="25"/>
                <w:lang w:val="lv-LV"/>
              </w:rPr>
              <w:t xml:space="preserve">4. </w:t>
            </w:r>
            <w:r w:rsidR="00951FF3" w:rsidRPr="00EC190C">
              <w:rPr>
                <w:rFonts w:ascii="Times New Roman" w:hAnsi="Times New Roman"/>
                <w:sz w:val="25"/>
                <w:szCs w:val="25"/>
                <w:lang w:val="lv-LV"/>
              </w:rPr>
              <w:t>Cita informācija</w:t>
            </w:r>
          </w:p>
        </w:tc>
        <w:tc>
          <w:tcPr>
            <w:tcW w:w="6613" w:type="dxa"/>
            <w:hideMark/>
          </w:tcPr>
          <w:p w14:paraId="6F18E9EC" w14:textId="77777777" w:rsidR="00047893" w:rsidRPr="00EC190C" w:rsidRDefault="00951FF3" w:rsidP="00DB1BED">
            <w:pPr>
              <w:jc w:val="both"/>
              <w:rPr>
                <w:rFonts w:ascii="Times New Roman" w:hAnsi="Times New Roman"/>
                <w:sz w:val="25"/>
                <w:szCs w:val="25"/>
                <w:lang w:val="lv-LV"/>
              </w:rPr>
            </w:pPr>
            <w:r w:rsidRPr="00EC190C">
              <w:rPr>
                <w:rFonts w:ascii="Times New Roman" w:hAnsi="Times New Roman"/>
                <w:sz w:val="25"/>
                <w:szCs w:val="25"/>
                <w:lang w:val="lv-LV"/>
              </w:rPr>
              <w:t>Nav</w:t>
            </w:r>
          </w:p>
        </w:tc>
      </w:tr>
    </w:tbl>
    <w:p w14:paraId="266E17B9" w14:textId="77777777" w:rsidR="00564229" w:rsidRPr="00EC190C" w:rsidRDefault="00564229" w:rsidP="00BA3659">
      <w:pPr>
        <w:spacing w:after="0" w:line="240" w:lineRule="auto"/>
        <w:rPr>
          <w:rFonts w:ascii="Times New Roman" w:hAnsi="Times New Roman"/>
          <w:b/>
          <w:sz w:val="25"/>
          <w:szCs w:val="25"/>
          <w:lang w:val="lv-LV"/>
        </w:rPr>
      </w:pPr>
    </w:p>
    <w:p w14:paraId="4C610E26" w14:textId="23FAA7D6" w:rsidR="00C74056" w:rsidRPr="00EC190C" w:rsidRDefault="00C74056" w:rsidP="00C74056">
      <w:pPr>
        <w:tabs>
          <w:tab w:val="left" w:pos="6710"/>
        </w:tabs>
        <w:spacing w:after="0" w:line="240" w:lineRule="auto"/>
        <w:rPr>
          <w:rFonts w:ascii="Times New Roman" w:eastAsia="Times New Roman" w:hAnsi="Times New Roman" w:cs="Times New Roman"/>
          <w:b/>
          <w:sz w:val="26"/>
          <w:szCs w:val="26"/>
          <w:lang w:eastAsia="lv-LV"/>
        </w:rPr>
      </w:pPr>
      <w:proofErr w:type="spellStart"/>
      <w:r w:rsidRPr="00EC190C">
        <w:rPr>
          <w:rFonts w:ascii="Times New Roman" w:eastAsia="Times New Roman" w:hAnsi="Times New Roman" w:cs="Times New Roman"/>
          <w:b/>
          <w:sz w:val="26"/>
          <w:szCs w:val="26"/>
          <w:lang w:eastAsia="lv-LV"/>
        </w:rPr>
        <w:t>Anotācijas</w:t>
      </w:r>
      <w:proofErr w:type="spellEnd"/>
      <w:r w:rsidRPr="00EC190C">
        <w:rPr>
          <w:rFonts w:ascii="Times New Roman" w:eastAsia="Times New Roman" w:hAnsi="Times New Roman" w:cs="Times New Roman"/>
          <w:b/>
          <w:sz w:val="26"/>
          <w:szCs w:val="26"/>
          <w:lang w:eastAsia="lv-LV"/>
        </w:rPr>
        <w:t xml:space="preserve"> II </w:t>
      </w:r>
      <w:proofErr w:type="spellStart"/>
      <w:r w:rsidRPr="00EC190C">
        <w:rPr>
          <w:rFonts w:ascii="Times New Roman" w:eastAsia="Times New Roman" w:hAnsi="Times New Roman" w:cs="Times New Roman"/>
          <w:b/>
          <w:sz w:val="26"/>
          <w:szCs w:val="26"/>
          <w:lang w:eastAsia="lv-LV"/>
        </w:rPr>
        <w:t>sadaļa</w:t>
      </w:r>
      <w:proofErr w:type="spellEnd"/>
      <w:r w:rsidRPr="00EC190C">
        <w:rPr>
          <w:rFonts w:ascii="Times New Roman" w:eastAsia="Times New Roman" w:hAnsi="Times New Roman" w:cs="Times New Roman"/>
          <w:b/>
          <w:sz w:val="26"/>
          <w:szCs w:val="26"/>
          <w:lang w:eastAsia="lv-LV"/>
        </w:rPr>
        <w:t xml:space="preserve"> - </w:t>
      </w:r>
      <w:proofErr w:type="spellStart"/>
      <w:r w:rsidRPr="00EC190C">
        <w:rPr>
          <w:rFonts w:ascii="Times New Roman" w:eastAsia="Times New Roman" w:hAnsi="Times New Roman" w:cs="Times New Roman"/>
          <w:b/>
          <w:sz w:val="26"/>
          <w:szCs w:val="26"/>
          <w:lang w:eastAsia="lv-LV"/>
        </w:rPr>
        <w:t>projekts</w:t>
      </w:r>
      <w:proofErr w:type="spellEnd"/>
      <w:r w:rsidRPr="00EC190C">
        <w:rPr>
          <w:rFonts w:ascii="Times New Roman" w:eastAsia="Times New Roman" w:hAnsi="Times New Roman" w:cs="Times New Roman"/>
          <w:b/>
          <w:sz w:val="26"/>
          <w:szCs w:val="26"/>
          <w:lang w:eastAsia="lv-LV"/>
        </w:rPr>
        <w:t xml:space="preserve"> </w:t>
      </w:r>
      <w:proofErr w:type="spellStart"/>
      <w:r w:rsidRPr="00EC190C">
        <w:rPr>
          <w:rFonts w:ascii="Times New Roman" w:eastAsia="Times New Roman" w:hAnsi="Times New Roman" w:cs="Times New Roman"/>
          <w:b/>
          <w:sz w:val="26"/>
          <w:szCs w:val="26"/>
          <w:lang w:eastAsia="lv-LV"/>
        </w:rPr>
        <w:t>šīs</w:t>
      </w:r>
      <w:proofErr w:type="spellEnd"/>
      <w:r w:rsidRPr="00EC190C">
        <w:rPr>
          <w:rFonts w:ascii="Times New Roman" w:eastAsia="Times New Roman" w:hAnsi="Times New Roman" w:cs="Times New Roman"/>
          <w:b/>
          <w:sz w:val="26"/>
          <w:szCs w:val="26"/>
          <w:lang w:eastAsia="lv-LV"/>
        </w:rPr>
        <w:t xml:space="preserve"> </w:t>
      </w:r>
      <w:proofErr w:type="spellStart"/>
      <w:r w:rsidRPr="00EC190C">
        <w:rPr>
          <w:rFonts w:ascii="Times New Roman" w:eastAsia="Times New Roman" w:hAnsi="Times New Roman" w:cs="Times New Roman"/>
          <w:b/>
          <w:sz w:val="26"/>
          <w:szCs w:val="26"/>
          <w:lang w:eastAsia="lv-LV"/>
        </w:rPr>
        <w:t>jomas</w:t>
      </w:r>
      <w:proofErr w:type="spellEnd"/>
      <w:r w:rsidRPr="00EC190C">
        <w:rPr>
          <w:rFonts w:ascii="Times New Roman" w:eastAsia="Times New Roman" w:hAnsi="Times New Roman" w:cs="Times New Roman"/>
          <w:b/>
          <w:sz w:val="26"/>
          <w:szCs w:val="26"/>
          <w:lang w:eastAsia="lv-LV"/>
        </w:rPr>
        <w:t xml:space="preserve"> </w:t>
      </w:r>
      <w:proofErr w:type="spellStart"/>
      <w:r w:rsidRPr="00EC190C">
        <w:rPr>
          <w:rFonts w:ascii="Times New Roman" w:eastAsia="Times New Roman" w:hAnsi="Times New Roman" w:cs="Times New Roman"/>
          <w:b/>
          <w:sz w:val="26"/>
          <w:szCs w:val="26"/>
          <w:lang w:eastAsia="lv-LV"/>
        </w:rPr>
        <w:t>neskar</w:t>
      </w:r>
      <w:proofErr w:type="spellEnd"/>
      <w:r w:rsidRPr="00EC190C">
        <w:rPr>
          <w:rFonts w:ascii="Times New Roman" w:eastAsia="Times New Roman" w:hAnsi="Times New Roman" w:cs="Times New Roman"/>
          <w:b/>
          <w:sz w:val="26"/>
          <w:szCs w:val="26"/>
          <w:lang w:eastAsia="lv-LV"/>
        </w:rPr>
        <w:t>.</w:t>
      </w:r>
    </w:p>
    <w:p w14:paraId="10538507" w14:textId="77777777" w:rsidR="00830152" w:rsidRPr="00EC190C" w:rsidRDefault="00830152" w:rsidP="00D40CFC">
      <w:pPr>
        <w:spacing w:after="0" w:line="240" w:lineRule="auto"/>
        <w:jc w:val="center"/>
        <w:rPr>
          <w:rFonts w:ascii="Times New Roman" w:hAnsi="Times New Roman"/>
          <w:b/>
          <w:sz w:val="25"/>
          <w:szCs w:val="25"/>
          <w:lang w:val="lv-LV"/>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1250"/>
        <w:gridCol w:w="1495"/>
        <w:gridCol w:w="1265"/>
        <w:gridCol w:w="1265"/>
        <w:gridCol w:w="1626"/>
      </w:tblGrid>
      <w:tr w:rsidR="00C93598" w:rsidRPr="00EC190C" w14:paraId="138159E0" w14:textId="77777777" w:rsidTr="00F66F09">
        <w:trPr>
          <w:trHeight w:val="361"/>
          <w:jc w:val="center"/>
        </w:trPr>
        <w:tc>
          <w:tcPr>
            <w:tcW w:w="9225" w:type="dxa"/>
            <w:gridSpan w:val="6"/>
            <w:tcBorders>
              <w:top w:val="single" w:sz="4" w:space="0" w:color="auto"/>
              <w:left w:val="single" w:sz="4" w:space="0" w:color="auto"/>
              <w:bottom w:val="single" w:sz="4" w:space="0" w:color="auto"/>
              <w:right w:val="single" w:sz="4" w:space="0" w:color="auto"/>
            </w:tcBorders>
            <w:vAlign w:val="center"/>
            <w:hideMark/>
          </w:tcPr>
          <w:p w14:paraId="03FCC795" w14:textId="77777777" w:rsidR="00C93598" w:rsidRPr="00EC190C" w:rsidRDefault="00C93598">
            <w:pPr>
              <w:pStyle w:val="naisnod"/>
              <w:spacing w:before="0" w:beforeAutospacing="0" w:after="0" w:afterAutospacing="0" w:line="276" w:lineRule="auto"/>
              <w:jc w:val="center"/>
              <w:rPr>
                <w:b/>
                <w:i/>
                <w:sz w:val="25"/>
                <w:szCs w:val="25"/>
                <w:lang w:val="lv-LV"/>
              </w:rPr>
            </w:pPr>
            <w:r w:rsidRPr="00EC190C">
              <w:rPr>
                <w:sz w:val="25"/>
                <w:szCs w:val="25"/>
                <w:lang w:val="lv-LV"/>
              </w:rPr>
              <w:br w:type="page"/>
            </w:r>
            <w:r w:rsidRPr="00EC190C">
              <w:rPr>
                <w:b/>
                <w:sz w:val="25"/>
                <w:szCs w:val="25"/>
                <w:lang w:val="lv-LV"/>
              </w:rPr>
              <w:t>III. Tiesību akta projekta ietekme uz valsts budžetu un pašvaldību budžetiem</w:t>
            </w:r>
          </w:p>
        </w:tc>
      </w:tr>
      <w:tr w:rsidR="00C93598" w:rsidRPr="00EC190C" w14:paraId="40F6B709" w14:textId="77777777" w:rsidTr="00F07101">
        <w:trPr>
          <w:jc w:val="center"/>
        </w:trPr>
        <w:tc>
          <w:tcPr>
            <w:tcW w:w="2322" w:type="dxa"/>
            <w:vMerge w:val="restart"/>
            <w:tcBorders>
              <w:top w:val="single" w:sz="4" w:space="0" w:color="auto"/>
              <w:left w:val="single" w:sz="4" w:space="0" w:color="auto"/>
              <w:bottom w:val="single" w:sz="4" w:space="0" w:color="auto"/>
              <w:right w:val="single" w:sz="4" w:space="0" w:color="auto"/>
            </w:tcBorders>
            <w:vAlign w:val="center"/>
            <w:hideMark/>
          </w:tcPr>
          <w:p w14:paraId="6461A96F" w14:textId="77777777" w:rsidR="00C93598" w:rsidRPr="00EC190C" w:rsidRDefault="00C93598">
            <w:pPr>
              <w:pStyle w:val="naisf"/>
              <w:spacing w:before="0" w:beforeAutospacing="0" w:after="0" w:afterAutospacing="0" w:line="276" w:lineRule="auto"/>
              <w:jc w:val="center"/>
              <w:rPr>
                <w:b/>
                <w:sz w:val="25"/>
                <w:szCs w:val="25"/>
                <w:lang w:val="lv-LV"/>
              </w:rPr>
            </w:pPr>
            <w:r w:rsidRPr="00EC190C">
              <w:rPr>
                <w:b/>
                <w:sz w:val="25"/>
                <w:szCs w:val="25"/>
                <w:lang w:val="lv-LV"/>
              </w:rPr>
              <w:t>Rādītāji</w:t>
            </w:r>
          </w:p>
        </w:tc>
        <w:tc>
          <w:tcPr>
            <w:tcW w:w="274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ADF6F8" w14:textId="77777777" w:rsidR="00C93598" w:rsidRPr="00EC190C" w:rsidRDefault="00C93598">
            <w:pPr>
              <w:pStyle w:val="naisf"/>
              <w:spacing w:before="0" w:beforeAutospacing="0" w:after="0" w:afterAutospacing="0" w:line="276" w:lineRule="auto"/>
              <w:jc w:val="center"/>
              <w:rPr>
                <w:b/>
                <w:sz w:val="25"/>
                <w:szCs w:val="25"/>
                <w:lang w:val="lv-LV"/>
              </w:rPr>
            </w:pPr>
            <w:r w:rsidRPr="00EC190C">
              <w:rPr>
                <w:b/>
                <w:sz w:val="25"/>
                <w:szCs w:val="25"/>
                <w:lang w:val="lv-LV"/>
              </w:rPr>
              <w:t>2014.gads</w:t>
            </w:r>
          </w:p>
        </w:tc>
        <w:tc>
          <w:tcPr>
            <w:tcW w:w="4157" w:type="dxa"/>
            <w:gridSpan w:val="3"/>
            <w:tcBorders>
              <w:top w:val="single" w:sz="4" w:space="0" w:color="auto"/>
              <w:left w:val="single" w:sz="4" w:space="0" w:color="auto"/>
              <w:bottom w:val="single" w:sz="4" w:space="0" w:color="auto"/>
              <w:right w:val="single" w:sz="4" w:space="0" w:color="auto"/>
            </w:tcBorders>
            <w:vAlign w:val="center"/>
            <w:hideMark/>
          </w:tcPr>
          <w:p w14:paraId="59E8544B" w14:textId="77777777" w:rsidR="00C93598" w:rsidRPr="00EC190C" w:rsidRDefault="00C93598">
            <w:pPr>
              <w:pStyle w:val="naisf"/>
              <w:spacing w:before="0" w:beforeAutospacing="0" w:after="0" w:afterAutospacing="0" w:line="276" w:lineRule="auto"/>
              <w:jc w:val="center"/>
              <w:rPr>
                <w:b/>
                <w:i/>
                <w:sz w:val="25"/>
                <w:szCs w:val="25"/>
                <w:lang w:val="lv-LV"/>
              </w:rPr>
            </w:pPr>
            <w:r w:rsidRPr="00EC190C">
              <w:rPr>
                <w:sz w:val="25"/>
                <w:szCs w:val="25"/>
                <w:lang w:val="lv-LV"/>
              </w:rPr>
              <w:t>Turpmākie trīs gadi (euro)</w:t>
            </w:r>
          </w:p>
        </w:tc>
      </w:tr>
      <w:tr w:rsidR="00C93598" w:rsidRPr="00EC190C" w14:paraId="51940701" w14:textId="77777777" w:rsidTr="00F07101">
        <w:trPr>
          <w:jc w:val="center"/>
        </w:trPr>
        <w:tc>
          <w:tcPr>
            <w:tcW w:w="2322" w:type="dxa"/>
            <w:vMerge/>
            <w:tcBorders>
              <w:top w:val="single" w:sz="4" w:space="0" w:color="auto"/>
              <w:left w:val="single" w:sz="4" w:space="0" w:color="auto"/>
              <w:bottom w:val="single" w:sz="4" w:space="0" w:color="auto"/>
              <w:right w:val="single" w:sz="4" w:space="0" w:color="auto"/>
            </w:tcBorders>
            <w:vAlign w:val="center"/>
            <w:hideMark/>
          </w:tcPr>
          <w:p w14:paraId="53D89C6D" w14:textId="77777777" w:rsidR="00C93598" w:rsidRPr="00EC190C" w:rsidRDefault="00C93598">
            <w:pPr>
              <w:spacing w:after="0"/>
              <w:rPr>
                <w:rFonts w:ascii="Times New Roman" w:eastAsia="Times New Roman" w:hAnsi="Times New Roman" w:cs="Times New Roman"/>
                <w:b/>
                <w:sz w:val="25"/>
                <w:szCs w:val="25"/>
                <w:lang w:val="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F5D85E" w14:textId="77777777" w:rsidR="00C93598" w:rsidRPr="00EC190C" w:rsidRDefault="00C93598">
            <w:pPr>
              <w:spacing w:after="0"/>
              <w:rPr>
                <w:rFonts w:ascii="Times New Roman" w:eastAsia="Times New Roman" w:hAnsi="Times New Roman" w:cs="Times New Roman"/>
                <w:b/>
                <w:sz w:val="25"/>
                <w:szCs w:val="25"/>
                <w:lang w:val="lv-LV"/>
              </w:rPr>
            </w:pPr>
          </w:p>
        </w:tc>
        <w:tc>
          <w:tcPr>
            <w:tcW w:w="1265" w:type="dxa"/>
            <w:tcBorders>
              <w:top w:val="single" w:sz="4" w:space="0" w:color="auto"/>
              <w:left w:val="single" w:sz="4" w:space="0" w:color="auto"/>
              <w:bottom w:val="single" w:sz="4" w:space="0" w:color="auto"/>
              <w:right w:val="single" w:sz="4" w:space="0" w:color="auto"/>
            </w:tcBorders>
            <w:vAlign w:val="center"/>
            <w:hideMark/>
          </w:tcPr>
          <w:p w14:paraId="6D7A4EA9" w14:textId="77777777" w:rsidR="00C93598" w:rsidRPr="00EC190C" w:rsidRDefault="00C93598">
            <w:pPr>
              <w:pStyle w:val="naisf"/>
              <w:spacing w:before="0" w:beforeAutospacing="0" w:after="0" w:afterAutospacing="0" w:line="276" w:lineRule="auto"/>
              <w:jc w:val="center"/>
              <w:rPr>
                <w:b/>
                <w:i/>
                <w:sz w:val="25"/>
                <w:szCs w:val="25"/>
                <w:lang w:val="lv-LV"/>
              </w:rPr>
            </w:pPr>
            <w:r w:rsidRPr="00EC190C">
              <w:rPr>
                <w:b/>
                <w:bCs/>
                <w:sz w:val="25"/>
                <w:szCs w:val="25"/>
                <w:lang w:val="lv-LV"/>
              </w:rPr>
              <w:t>2015.gads</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828924C" w14:textId="77777777" w:rsidR="00C93598" w:rsidRPr="00EC190C" w:rsidRDefault="00C93598">
            <w:pPr>
              <w:pStyle w:val="naisf"/>
              <w:spacing w:before="0" w:beforeAutospacing="0" w:after="0" w:afterAutospacing="0" w:line="276" w:lineRule="auto"/>
              <w:jc w:val="center"/>
              <w:rPr>
                <w:b/>
                <w:i/>
                <w:sz w:val="25"/>
                <w:szCs w:val="25"/>
                <w:lang w:val="lv-LV"/>
              </w:rPr>
            </w:pPr>
            <w:r w:rsidRPr="00EC190C">
              <w:rPr>
                <w:b/>
                <w:bCs/>
                <w:sz w:val="25"/>
                <w:szCs w:val="25"/>
                <w:lang w:val="lv-LV"/>
              </w:rPr>
              <w:t>2016.gads</w:t>
            </w:r>
          </w:p>
        </w:tc>
        <w:tc>
          <w:tcPr>
            <w:tcW w:w="1627" w:type="dxa"/>
            <w:tcBorders>
              <w:top w:val="single" w:sz="4" w:space="0" w:color="auto"/>
              <w:left w:val="single" w:sz="4" w:space="0" w:color="auto"/>
              <w:bottom w:val="single" w:sz="4" w:space="0" w:color="auto"/>
              <w:right w:val="single" w:sz="4" w:space="0" w:color="auto"/>
            </w:tcBorders>
            <w:vAlign w:val="center"/>
            <w:hideMark/>
          </w:tcPr>
          <w:p w14:paraId="17812C7A" w14:textId="77777777" w:rsidR="00C93598" w:rsidRPr="00EC190C" w:rsidRDefault="00C93598">
            <w:pPr>
              <w:pStyle w:val="naisf"/>
              <w:spacing w:before="0" w:beforeAutospacing="0" w:after="0" w:afterAutospacing="0" w:line="276" w:lineRule="auto"/>
              <w:jc w:val="center"/>
              <w:rPr>
                <w:b/>
                <w:i/>
                <w:sz w:val="25"/>
                <w:szCs w:val="25"/>
                <w:lang w:val="lv-LV"/>
              </w:rPr>
            </w:pPr>
            <w:r w:rsidRPr="00EC190C">
              <w:rPr>
                <w:b/>
                <w:bCs/>
                <w:sz w:val="25"/>
                <w:szCs w:val="25"/>
                <w:lang w:val="lv-LV"/>
              </w:rPr>
              <w:t>2017.gads</w:t>
            </w:r>
          </w:p>
        </w:tc>
      </w:tr>
      <w:tr w:rsidR="00C93598" w:rsidRPr="00EC190C" w14:paraId="3D8C4EA0" w14:textId="77777777" w:rsidTr="00F07101">
        <w:trPr>
          <w:jc w:val="center"/>
        </w:trPr>
        <w:tc>
          <w:tcPr>
            <w:tcW w:w="2322" w:type="dxa"/>
            <w:vMerge/>
            <w:tcBorders>
              <w:top w:val="single" w:sz="4" w:space="0" w:color="auto"/>
              <w:left w:val="single" w:sz="4" w:space="0" w:color="auto"/>
              <w:bottom w:val="single" w:sz="4" w:space="0" w:color="auto"/>
              <w:right w:val="single" w:sz="4" w:space="0" w:color="auto"/>
            </w:tcBorders>
            <w:vAlign w:val="center"/>
            <w:hideMark/>
          </w:tcPr>
          <w:p w14:paraId="36DDA487" w14:textId="77777777" w:rsidR="00C93598" w:rsidRPr="00EC190C" w:rsidRDefault="00C93598">
            <w:pPr>
              <w:spacing w:after="0"/>
              <w:rPr>
                <w:rFonts w:ascii="Times New Roman" w:eastAsia="Times New Roman" w:hAnsi="Times New Roman" w:cs="Times New Roman"/>
                <w:b/>
                <w:sz w:val="25"/>
                <w:szCs w:val="25"/>
                <w:lang w:val="lv-LV"/>
              </w:rPr>
            </w:pPr>
          </w:p>
        </w:tc>
        <w:tc>
          <w:tcPr>
            <w:tcW w:w="1250" w:type="dxa"/>
            <w:tcBorders>
              <w:top w:val="single" w:sz="4" w:space="0" w:color="auto"/>
              <w:left w:val="single" w:sz="4" w:space="0" w:color="auto"/>
              <w:bottom w:val="single" w:sz="4" w:space="0" w:color="auto"/>
              <w:right w:val="single" w:sz="4" w:space="0" w:color="auto"/>
            </w:tcBorders>
            <w:vAlign w:val="center"/>
            <w:hideMark/>
          </w:tcPr>
          <w:p w14:paraId="6FFDAFD9" w14:textId="77777777" w:rsidR="00C93598" w:rsidRPr="00EC190C" w:rsidRDefault="00C93598">
            <w:pPr>
              <w:pStyle w:val="naisf"/>
              <w:spacing w:before="0" w:beforeAutospacing="0" w:after="0" w:afterAutospacing="0" w:line="276" w:lineRule="auto"/>
              <w:jc w:val="center"/>
              <w:rPr>
                <w:b/>
                <w:i/>
                <w:sz w:val="25"/>
                <w:szCs w:val="25"/>
                <w:lang w:val="lv-LV"/>
              </w:rPr>
            </w:pPr>
            <w:r w:rsidRPr="00EC190C">
              <w:rPr>
                <w:sz w:val="25"/>
                <w:szCs w:val="25"/>
                <w:lang w:val="lv-LV"/>
              </w:rPr>
              <w:t xml:space="preserve">saskaņā ar valsts budžetu </w:t>
            </w:r>
            <w:r w:rsidRPr="00EC190C">
              <w:rPr>
                <w:sz w:val="25"/>
                <w:szCs w:val="25"/>
                <w:lang w:val="lv-LV"/>
              </w:rPr>
              <w:lastRenderedPageBreak/>
              <w:t>kārtējam gadam</w:t>
            </w:r>
          </w:p>
        </w:tc>
        <w:tc>
          <w:tcPr>
            <w:tcW w:w="1496" w:type="dxa"/>
            <w:tcBorders>
              <w:top w:val="single" w:sz="4" w:space="0" w:color="auto"/>
              <w:left w:val="single" w:sz="4" w:space="0" w:color="auto"/>
              <w:bottom w:val="single" w:sz="4" w:space="0" w:color="auto"/>
              <w:right w:val="single" w:sz="4" w:space="0" w:color="auto"/>
            </w:tcBorders>
            <w:vAlign w:val="center"/>
            <w:hideMark/>
          </w:tcPr>
          <w:p w14:paraId="72500BBE" w14:textId="77777777" w:rsidR="00C93598" w:rsidRPr="00EC190C" w:rsidRDefault="00C93598">
            <w:pPr>
              <w:pStyle w:val="naisf"/>
              <w:spacing w:before="0" w:beforeAutospacing="0" w:after="0" w:afterAutospacing="0" w:line="276" w:lineRule="auto"/>
              <w:jc w:val="center"/>
              <w:rPr>
                <w:b/>
                <w:i/>
                <w:sz w:val="25"/>
                <w:szCs w:val="25"/>
                <w:lang w:val="lv-LV"/>
              </w:rPr>
            </w:pPr>
            <w:r w:rsidRPr="00EC190C">
              <w:rPr>
                <w:sz w:val="25"/>
                <w:szCs w:val="25"/>
                <w:lang w:val="lv-LV"/>
              </w:rPr>
              <w:lastRenderedPageBreak/>
              <w:t xml:space="preserve">izmaiņas kārtējā gadā, salīdzinot ar </w:t>
            </w:r>
            <w:r w:rsidRPr="00EC190C">
              <w:rPr>
                <w:sz w:val="25"/>
                <w:szCs w:val="25"/>
                <w:lang w:val="lv-LV"/>
              </w:rPr>
              <w:lastRenderedPageBreak/>
              <w:t>budžetu kārtējam gadam</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3DF783B" w14:textId="77777777" w:rsidR="00C93598" w:rsidRPr="00EC190C" w:rsidRDefault="00C93598">
            <w:pPr>
              <w:pStyle w:val="naisf"/>
              <w:spacing w:before="0" w:beforeAutospacing="0" w:after="0" w:afterAutospacing="0" w:line="276" w:lineRule="auto"/>
              <w:jc w:val="center"/>
              <w:rPr>
                <w:b/>
                <w:i/>
                <w:sz w:val="25"/>
                <w:szCs w:val="25"/>
                <w:lang w:val="lv-LV"/>
              </w:rPr>
            </w:pPr>
            <w:r w:rsidRPr="00EC190C">
              <w:rPr>
                <w:sz w:val="25"/>
                <w:szCs w:val="25"/>
                <w:lang w:val="lv-LV"/>
              </w:rPr>
              <w:lastRenderedPageBreak/>
              <w:t xml:space="preserve">izmaiņas, salīdzinot </w:t>
            </w:r>
            <w:r w:rsidRPr="00EC190C">
              <w:rPr>
                <w:sz w:val="25"/>
                <w:szCs w:val="25"/>
                <w:lang w:val="lv-LV"/>
              </w:rPr>
              <w:lastRenderedPageBreak/>
              <w:t>ar kārtējo (n) gadu</w:t>
            </w:r>
          </w:p>
        </w:tc>
        <w:tc>
          <w:tcPr>
            <w:tcW w:w="1265" w:type="dxa"/>
            <w:tcBorders>
              <w:top w:val="single" w:sz="4" w:space="0" w:color="auto"/>
              <w:left w:val="single" w:sz="4" w:space="0" w:color="auto"/>
              <w:bottom w:val="single" w:sz="4" w:space="0" w:color="auto"/>
              <w:right w:val="single" w:sz="4" w:space="0" w:color="auto"/>
            </w:tcBorders>
            <w:vAlign w:val="center"/>
            <w:hideMark/>
          </w:tcPr>
          <w:p w14:paraId="2F141AD2" w14:textId="77777777" w:rsidR="00C93598" w:rsidRPr="00EC190C" w:rsidRDefault="00C93598">
            <w:pPr>
              <w:pStyle w:val="naisf"/>
              <w:spacing w:before="0" w:beforeAutospacing="0" w:after="0" w:afterAutospacing="0" w:line="276" w:lineRule="auto"/>
              <w:jc w:val="center"/>
              <w:rPr>
                <w:b/>
                <w:i/>
                <w:sz w:val="25"/>
                <w:szCs w:val="25"/>
                <w:lang w:val="lv-LV"/>
              </w:rPr>
            </w:pPr>
            <w:r w:rsidRPr="00EC190C">
              <w:rPr>
                <w:sz w:val="25"/>
                <w:szCs w:val="25"/>
                <w:lang w:val="lv-LV"/>
              </w:rPr>
              <w:lastRenderedPageBreak/>
              <w:t xml:space="preserve">izmaiņas, salīdzinot </w:t>
            </w:r>
            <w:r w:rsidRPr="00EC190C">
              <w:rPr>
                <w:sz w:val="25"/>
                <w:szCs w:val="25"/>
                <w:lang w:val="lv-LV"/>
              </w:rPr>
              <w:lastRenderedPageBreak/>
              <w:t>ar kārtējo (n) gadu</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155A449" w14:textId="77777777" w:rsidR="00C93598" w:rsidRPr="00EC190C" w:rsidRDefault="00C93598">
            <w:pPr>
              <w:pStyle w:val="naisf"/>
              <w:spacing w:before="0" w:beforeAutospacing="0" w:after="0" w:afterAutospacing="0" w:line="276" w:lineRule="auto"/>
              <w:jc w:val="center"/>
              <w:rPr>
                <w:b/>
                <w:i/>
                <w:sz w:val="25"/>
                <w:szCs w:val="25"/>
                <w:lang w:val="lv-LV"/>
              </w:rPr>
            </w:pPr>
            <w:r w:rsidRPr="00EC190C">
              <w:rPr>
                <w:sz w:val="25"/>
                <w:szCs w:val="25"/>
                <w:lang w:val="lv-LV"/>
              </w:rPr>
              <w:lastRenderedPageBreak/>
              <w:t xml:space="preserve">izmaiņas, salīdzinot ar </w:t>
            </w:r>
            <w:r w:rsidRPr="00EC190C">
              <w:rPr>
                <w:sz w:val="25"/>
                <w:szCs w:val="25"/>
                <w:lang w:val="lv-LV"/>
              </w:rPr>
              <w:lastRenderedPageBreak/>
              <w:t>kārtējo (n) gadu</w:t>
            </w:r>
          </w:p>
        </w:tc>
      </w:tr>
      <w:tr w:rsidR="00C93598" w:rsidRPr="00EC190C" w14:paraId="0EB6751B" w14:textId="77777777" w:rsidTr="00F07101">
        <w:trPr>
          <w:jc w:val="center"/>
        </w:trPr>
        <w:tc>
          <w:tcPr>
            <w:tcW w:w="2322" w:type="dxa"/>
            <w:tcBorders>
              <w:top w:val="single" w:sz="4" w:space="0" w:color="auto"/>
              <w:left w:val="single" w:sz="4" w:space="0" w:color="auto"/>
              <w:bottom w:val="single" w:sz="4" w:space="0" w:color="auto"/>
              <w:right w:val="single" w:sz="4" w:space="0" w:color="auto"/>
            </w:tcBorders>
            <w:vAlign w:val="center"/>
            <w:hideMark/>
          </w:tcPr>
          <w:p w14:paraId="4AB11C40" w14:textId="77777777" w:rsidR="00C93598" w:rsidRPr="00EC190C" w:rsidRDefault="00C93598">
            <w:pPr>
              <w:pStyle w:val="naisf"/>
              <w:spacing w:before="0" w:beforeAutospacing="0" w:after="0" w:afterAutospacing="0" w:line="276" w:lineRule="auto"/>
              <w:jc w:val="center"/>
              <w:rPr>
                <w:bCs/>
                <w:sz w:val="25"/>
                <w:szCs w:val="25"/>
                <w:lang w:val="lv-LV"/>
              </w:rPr>
            </w:pPr>
            <w:r w:rsidRPr="00EC190C">
              <w:rPr>
                <w:bCs/>
                <w:sz w:val="25"/>
                <w:szCs w:val="25"/>
                <w:lang w:val="lv-LV"/>
              </w:rPr>
              <w:lastRenderedPageBreak/>
              <w:t>1</w:t>
            </w:r>
          </w:p>
        </w:tc>
        <w:tc>
          <w:tcPr>
            <w:tcW w:w="1250" w:type="dxa"/>
            <w:tcBorders>
              <w:top w:val="single" w:sz="4" w:space="0" w:color="auto"/>
              <w:left w:val="single" w:sz="4" w:space="0" w:color="auto"/>
              <w:bottom w:val="single" w:sz="4" w:space="0" w:color="auto"/>
              <w:right w:val="single" w:sz="4" w:space="0" w:color="auto"/>
            </w:tcBorders>
            <w:vAlign w:val="center"/>
            <w:hideMark/>
          </w:tcPr>
          <w:p w14:paraId="0795B213" w14:textId="77777777" w:rsidR="00C93598" w:rsidRPr="00EC190C" w:rsidRDefault="00C93598">
            <w:pPr>
              <w:pStyle w:val="naisf"/>
              <w:spacing w:before="0" w:beforeAutospacing="0" w:after="0" w:afterAutospacing="0" w:line="276" w:lineRule="auto"/>
              <w:jc w:val="center"/>
              <w:rPr>
                <w:bCs/>
                <w:sz w:val="25"/>
                <w:szCs w:val="25"/>
                <w:lang w:val="lv-LV"/>
              </w:rPr>
            </w:pPr>
            <w:r w:rsidRPr="00EC190C">
              <w:rPr>
                <w:bCs/>
                <w:sz w:val="25"/>
                <w:szCs w:val="25"/>
                <w:lang w:val="lv-LV"/>
              </w:rPr>
              <w:t>2</w:t>
            </w:r>
          </w:p>
        </w:tc>
        <w:tc>
          <w:tcPr>
            <w:tcW w:w="1496" w:type="dxa"/>
            <w:tcBorders>
              <w:top w:val="single" w:sz="4" w:space="0" w:color="auto"/>
              <w:left w:val="single" w:sz="4" w:space="0" w:color="auto"/>
              <w:bottom w:val="single" w:sz="4" w:space="0" w:color="auto"/>
              <w:right w:val="single" w:sz="4" w:space="0" w:color="auto"/>
            </w:tcBorders>
            <w:vAlign w:val="center"/>
            <w:hideMark/>
          </w:tcPr>
          <w:p w14:paraId="14DD28D2" w14:textId="77777777" w:rsidR="00C93598" w:rsidRPr="00EC190C" w:rsidRDefault="00C93598">
            <w:pPr>
              <w:pStyle w:val="naisf"/>
              <w:spacing w:before="0" w:beforeAutospacing="0" w:after="0" w:afterAutospacing="0" w:line="276" w:lineRule="auto"/>
              <w:jc w:val="center"/>
              <w:rPr>
                <w:bCs/>
                <w:sz w:val="25"/>
                <w:szCs w:val="25"/>
                <w:lang w:val="lv-LV"/>
              </w:rPr>
            </w:pPr>
            <w:r w:rsidRPr="00EC190C">
              <w:rPr>
                <w:bCs/>
                <w:sz w:val="25"/>
                <w:szCs w:val="25"/>
                <w:lang w:val="lv-LV"/>
              </w:rPr>
              <w:t>3</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373B052" w14:textId="77777777" w:rsidR="00C93598" w:rsidRPr="00EC190C" w:rsidRDefault="00C93598">
            <w:pPr>
              <w:pStyle w:val="naisf"/>
              <w:spacing w:before="0" w:beforeAutospacing="0" w:after="0" w:afterAutospacing="0" w:line="276" w:lineRule="auto"/>
              <w:jc w:val="center"/>
              <w:rPr>
                <w:bCs/>
                <w:sz w:val="25"/>
                <w:szCs w:val="25"/>
                <w:lang w:val="lv-LV"/>
              </w:rPr>
            </w:pPr>
            <w:r w:rsidRPr="00EC190C">
              <w:rPr>
                <w:bCs/>
                <w:sz w:val="25"/>
                <w:szCs w:val="25"/>
                <w:lang w:val="lv-LV"/>
              </w:rPr>
              <w:t>4</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83FFDD4" w14:textId="77777777" w:rsidR="00C93598" w:rsidRPr="00EC190C" w:rsidRDefault="00C93598">
            <w:pPr>
              <w:pStyle w:val="naisf"/>
              <w:spacing w:before="0" w:beforeAutospacing="0" w:after="0" w:afterAutospacing="0" w:line="276" w:lineRule="auto"/>
              <w:jc w:val="center"/>
              <w:rPr>
                <w:bCs/>
                <w:sz w:val="25"/>
                <w:szCs w:val="25"/>
                <w:lang w:val="lv-LV"/>
              </w:rPr>
            </w:pPr>
            <w:r w:rsidRPr="00EC190C">
              <w:rPr>
                <w:bCs/>
                <w:sz w:val="25"/>
                <w:szCs w:val="25"/>
                <w:lang w:val="lv-LV"/>
              </w:rPr>
              <w:t>5</w:t>
            </w:r>
          </w:p>
        </w:tc>
        <w:tc>
          <w:tcPr>
            <w:tcW w:w="1627" w:type="dxa"/>
            <w:tcBorders>
              <w:top w:val="single" w:sz="4" w:space="0" w:color="auto"/>
              <w:left w:val="single" w:sz="4" w:space="0" w:color="auto"/>
              <w:bottom w:val="single" w:sz="4" w:space="0" w:color="auto"/>
              <w:right w:val="single" w:sz="4" w:space="0" w:color="auto"/>
            </w:tcBorders>
            <w:vAlign w:val="center"/>
            <w:hideMark/>
          </w:tcPr>
          <w:p w14:paraId="19F95ECC" w14:textId="77777777" w:rsidR="00C93598" w:rsidRPr="00EC190C" w:rsidRDefault="00C93598">
            <w:pPr>
              <w:pStyle w:val="naisf"/>
              <w:spacing w:before="0" w:beforeAutospacing="0" w:after="0" w:afterAutospacing="0" w:line="276" w:lineRule="auto"/>
              <w:jc w:val="center"/>
              <w:rPr>
                <w:bCs/>
                <w:sz w:val="25"/>
                <w:szCs w:val="25"/>
                <w:lang w:val="lv-LV"/>
              </w:rPr>
            </w:pPr>
            <w:r w:rsidRPr="00EC190C">
              <w:rPr>
                <w:bCs/>
                <w:sz w:val="25"/>
                <w:szCs w:val="25"/>
                <w:lang w:val="lv-LV"/>
              </w:rPr>
              <w:t>6</w:t>
            </w:r>
          </w:p>
        </w:tc>
      </w:tr>
      <w:tr w:rsidR="00F07101" w:rsidRPr="00EC190C" w14:paraId="17F138CF" w14:textId="73CF2016" w:rsidTr="00F07101">
        <w:trPr>
          <w:jc w:val="center"/>
        </w:trPr>
        <w:tc>
          <w:tcPr>
            <w:tcW w:w="2325" w:type="dxa"/>
            <w:tcBorders>
              <w:top w:val="single" w:sz="4" w:space="0" w:color="auto"/>
              <w:left w:val="single" w:sz="4" w:space="0" w:color="auto"/>
              <w:bottom w:val="single" w:sz="4" w:space="0" w:color="auto"/>
              <w:right w:val="single" w:sz="4" w:space="0" w:color="auto"/>
            </w:tcBorders>
            <w:vAlign w:val="center"/>
          </w:tcPr>
          <w:p w14:paraId="658E1CBC" w14:textId="08C77773" w:rsidR="00F07101" w:rsidRPr="00EC190C" w:rsidRDefault="00F07101" w:rsidP="00F07101">
            <w:pPr>
              <w:pStyle w:val="naisf"/>
              <w:spacing w:before="0" w:beforeAutospacing="0" w:after="0" w:afterAutospacing="0" w:line="276" w:lineRule="auto"/>
              <w:rPr>
                <w:bCs/>
                <w:sz w:val="25"/>
                <w:szCs w:val="25"/>
                <w:lang w:val="lv-LV"/>
              </w:rPr>
            </w:pPr>
            <w:r w:rsidRPr="00EC190C">
              <w:rPr>
                <w:bCs/>
                <w:sz w:val="25"/>
                <w:szCs w:val="25"/>
                <w:lang w:val="lv-LV"/>
              </w:rPr>
              <w:t>1.-6.punkts</w:t>
            </w:r>
          </w:p>
        </w:tc>
        <w:tc>
          <w:tcPr>
            <w:tcW w:w="6900" w:type="dxa"/>
            <w:gridSpan w:val="5"/>
            <w:tcBorders>
              <w:top w:val="single" w:sz="4" w:space="0" w:color="auto"/>
              <w:left w:val="single" w:sz="4" w:space="0" w:color="auto"/>
              <w:bottom w:val="single" w:sz="4" w:space="0" w:color="auto"/>
              <w:right w:val="single" w:sz="4" w:space="0" w:color="auto"/>
            </w:tcBorders>
            <w:vAlign w:val="center"/>
          </w:tcPr>
          <w:p w14:paraId="6C0EDAF5" w14:textId="50892085" w:rsidR="00F07101" w:rsidRPr="00EC190C" w:rsidRDefault="00DE3741" w:rsidP="00F07101">
            <w:pPr>
              <w:pStyle w:val="naisf"/>
              <w:spacing w:before="0" w:beforeAutospacing="0" w:after="0" w:afterAutospacing="0" w:line="276" w:lineRule="auto"/>
              <w:rPr>
                <w:bCs/>
                <w:sz w:val="25"/>
                <w:szCs w:val="25"/>
                <w:lang w:val="lv-LV"/>
              </w:rPr>
            </w:pPr>
            <w:r w:rsidRPr="00EC190C">
              <w:rPr>
                <w:bCs/>
                <w:sz w:val="25"/>
                <w:szCs w:val="25"/>
                <w:lang w:val="lv-LV"/>
              </w:rPr>
              <w:t>Projekts šo jomu neskar</w:t>
            </w:r>
          </w:p>
        </w:tc>
      </w:tr>
      <w:tr w:rsidR="00C93598" w:rsidRPr="00EC190C" w14:paraId="6A07D18A" w14:textId="77777777" w:rsidTr="00F07101">
        <w:trPr>
          <w:trHeight w:val="556"/>
          <w:jc w:val="center"/>
        </w:trPr>
        <w:tc>
          <w:tcPr>
            <w:tcW w:w="2322" w:type="dxa"/>
            <w:tcBorders>
              <w:top w:val="single" w:sz="4" w:space="0" w:color="auto"/>
              <w:left w:val="single" w:sz="4" w:space="0" w:color="auto"/>
              <w:bottom w:val="single" w:sz="4" w:space="0" w:color="auto"/>
              <w:right w:val="single" w:sz="4" w:space="0" w:color="auto"/>
            </w:tcBorders>
            <w:hideMark/>
          </w:tcPr>
          <w:p w14:paraId="0BAE0AB1" w14:textId="77777777" w:rsidR="00C93598" w:rsidRPr="00EC190C" w:rsidRDefault="00C93598">
            <w:pPr>
              <w:spacing w:after="0" w:line="240" w:lineRule="auto"/>
              <w:rPr>
                <w:rFonts w:ascii="Times New Roman" w:hAnsi="Times New Roman" w:cs="Times New Roman"/>
                <w:color w:val="000000" w:themeColor="text1"/>
                <w:sz w:val="25"/>
                <w:szCs w:val="25"/>
                <w:lang w:val="lv-LV"/>
              </w:rPr>
            </w:pPr>
            <w:r w:rsidRPr="00EC190C">
              <w:rPr>
                <w:rFonts w:ascii="Times New Roman" w:hAnsi="Times New Roman" w:cs="Times New Roman"/>
                <w:color w:val="000000" w:themeColor="text1"/>
                <w:sz w:val="25"/>
                <w:szCs w:val="25"/>
                <w:lang w:val="lv-LV"/>
              </w:rPr>
              <w:t>7. Cita informācija</w:t>
            </w:r>
          </w:p>
        </w:tc>
        <w:tc>
          <w:tcPr>
            <w:tcW w:w="6903" w:type="dxa"/>
            <w:gridSpan w:val="5"/>
            <w:tcBorders>
              <w:top w:val="single" w:sz="4" w:space="0" w:color="auto"/>
              <w:left w:val="single" w:sz="4" w:space="0" w:color="auto"/>
              <w:bottom w:val="single" w:sz="4" w:space="0" w:color="auto"/>
              <w:right w:val="single" w:sz="4" w:space="0" w:color="auto"/>
            </w:tcBorders>
            <w:hideMark/>
          </w:tcPr>
          <w:p w14:paraId="7A4D1121" w14:textId="5202C9C7" w:rsidR="00936938" w:rsidRPr="00EC190C" w:rsidRDefault="008454DB" w:rsidP="00936938">
            <w:pPr>
              <w:spacing w:after="0" w:line="240" w:lineRule="auto"/>
              <w:jc w:val="both"/>
              <w:rPr>
                <w:rFonts w:ascii="Times New Roman" w:hAnsi="Times New Roman"/>
                <w:color w:val="000000" w:themeColor="text1"/>
                <w:sz w:val="25"/>
                <w:szCs w:val="25"/>
                <w:lang w:val="lv-LV" w:eastAsia="lv-LV"/>
              </w:rPr>
            </w:pPr>
            <w:r w:rsidRPr="00EC190C">
              <w:rPr>
                <w:rFonts w:ascii="Times New Roman" w:hAnsi="Times New Roman"/>
                <w:color w:val="000000" w:themeColor="text1"/>
                <w:sz w:val="25"/>
                <w:szCs w:val="25"/>
                <w:lang w:val="lv-LV" w:eastAsia="lv-LV"/>
              </w:rPr>
              <w:t xml:space="preserve">MK noteikumu projekts paredz palielināt </w:t>
            </w:r>
            <w:r w:rsidR="00936938" w:rsidRPr="00EC190C">
              <w:rPr>
                <w:rFonts w:ascii="Times New Roman" w:hAnsi="Times New Roman"/>
                <w:color w:val="000000" w:themeColor="text1"/>
                <w:sz w:val="25"/>
                <w:szCs w:val="25"/>
                <w:lang w:val="lv-LV" w:eastAsia="lv-LV"/>
              </w:rPr>
              <w:t>2.3.2.2.3.apakšaktivitāte</w:t>
            </w:r>
            <w:r w:rsidRPr="00EC190C">
              <w:rPr>
                <w:rFonts w:ascii="Times New Roman" w:hAnsi="Times New Roman"/>
                <w:color w:val="000000" w:themeColor="text1"/>
                <w:sz w:val="25"/>
                <w:szCs w:val="25"/>
                <w:lang w:val="lv-LV" w:eastAsia="lv-LV"/>
              </w:rPr>
              <w:t>s</w:t>
            </w:r>
            <w:r w:rsidR="00936938" w:rsidRPr="00EC190C">
              <w:rPr>
                <w:rFonts w:ascii="Times New Roman" w:hAnsi="Times New Roman"/>
                <w:color w:val="000000" w:themeColor="text1"/>
                <w:sz w:val="25"/>
                <w:szCs w:val="25"/>
                <w:lang w:val="lv-LV" w:eastAsia="lv-LV"/>
              </w:rPr>
              <w:t xml:space="preserve"> pieejam</w:t>
            </w:r>
            <w:r w:rsidRPr="00EC190C">
              <w:rPr>
                <w:rFonts w:ascii="Times New Roman" w:hAnsi="Times New Roman"/>
                <w:color w:val="000000" w:themeColor="text1"/>
                <w:sz w:val="25"/>
                <w:szCs w:val="25"/>
                <w:lang w:val="lv-LV" w:eastAsia="lv-LV"/>
              </w:rPr>
              <w:t>o</w:t>
            </w:r>
            <w:r w:rsidR="00936938" w:rsidRPr="00EC190C">
              <w:rPr>
                <w:rFonts w:ascii="Times New Roman" w:hAnsi="Times New Roman"/>
                <w:color w:val="000000" w:themeColor="text1"/>
                <w:sz w:val="25"/>
                <w:szCs w:val="25"/>
                <w:lang w:val="lv-LV" w:eastAsia="lv-LV"/>
              </w:rPr>
              <w:t xml:space="preserve"> </w:t>
            </w:r>
            <w:r w:rsidRPr="00EC190C">
              <w:rPr>
                <w:rFonts w:ascii="Times New Roman" w:hAnsi="Times New Roman"/>
                <w:color w:val="000000" w:themeColor="text1"/>
                <w:sz w:val="25"/>
                <w:szCs w:val="25"/>
                <w:lang w:val="lv-LV" w:eastAsia="lv-LV"/>
              </w:rPr>
              <w:t xml:space="preserve">virssaistību </w:t>
            </w:r>
            <w:r w:rsidR="00936938" w:rsidRPr="00EC190C">
              <w:rPr>
                <w:rFonts w:ascii="Times New Roman" w:hAnsi="Times New Roman"/>
                <w:color w:val="000000" w:themeColor="text1"/>
                <w:sz w:val="25"/>
                <w:szCs w:val="25"/>
                <w:lang w:val="lv-LV" w:eastAsia="lv-LV"/>
              </w:rPr>
              <w:t>finansējum</w:t>
            </w:r>
            <w:r w:rsidRPr="00EC190C">
              <w:rPr>
                <w:rFonts w:ascii="Times New Roman" w:hAnsi="Times New Roman"/>
                <w:color w:val="000000" w:themeColor="text1"/>
                <w:sz w:val="25"/>
                <w:szCs w:val="25"/>
                <w:lang w:val="lv-LV" w:eastAsia="lv-LV"/>
              </w:rPr>
              <w:t>a apmēru</w:t>
            </w:r>
            <w:r w:rsidR="00936938" w:rsidRPr="00EC190C">
              <w:rPr>
                <w:rFonts w:ascii="Times New Roman" w:hAnsi="Times New Roman"/>
                <w:color w:val="000000" w:themeColor="text1"/>
                <w:sz w:val="25"/>
                <w:szCs w:val="25"/>
                <w:lang w:val="lv-LV" w:eastAsia="lv-LV"/>
              </w:rPr>
              <w:t xml:space="preserve"> </w:t>
            </w:r>
            <w:r w:rsidRPr="00EC190C">
              <w:rPr>
                <w:rFonts w:ascii="Times New Roman" w:hAnsi="Times New Roman"/>
                <w:color w:val="000000" w:themeColor="text1"/>
                <w:sz w:val="25"/>
                <w:szCs w:val="25"/>
                <w:lang w:val="lv-LV" w:eastAsia="lv-LV"/>
              </w:rPr>
              <w:t>par 30 </w:t>
            </w:r>
            <w:r w:rsidR="00936938" w:rsidRPr="00EC190C">
              <w:rPr>
                <w:rFonts w:ascii="Times New Roman" w:hAnsi="Times New Roman"/>
                <w:color w:val="000000" w:themeColor="text1"/>
                <w:sz w:val="25"/>
                <w:szCs w:val="25"/>
                <w:lang w:val="lv-LV" w:eastAsia="lv-LV"/>
              </w:rPr>
              <w:t xml:space="preserve">000 </w:t>
            </w:r>
            <w:r w:rsidRPr="00EC190C">
              <w:rPr>
                <w:rFonts w:ascii="Times New Roman" w:hAnsi="Times New Roman"/>
                <w:color w:val="000000" w:themeColor="text1"/>
                <w:sz w:val="25"/>
                <w:szCs w:val="25"/>
                <w:lang w:val="lv-LV" w:eastAsia="lv-LV"/>
              </w:rPr>
              <w:t>000</w:t>
            </w:r>
            <w:r w:rsidRPr="00EC190C">
              <w:rPr>
                <w:rFonts w:ascii="Arial" w:hAnsi="Arial" w:cs="Arial"/>
                <w:color w:val="000000" w:themeColor="text1"/>
                <w:sz w:val="25"/>
                <w:szCs w:val="25"/>
                <w:lang w:val="lv-LV"/>
              </w:rPr>
              <w:t xml:space="preserve"> </w:t>
            </w:r>
            <w:r w:rsidRPr="00EC190C">
              <w:rPr>
                <w:rFonts w:ascii="Times New Roman" w:hAnsi="Times New Roman"/>
                <w:color w:val="000000" w:themeColor="text1"/>
                <w:sz w:val="25"/>
                <w:szCs w:val="25"/>
                <w:lang w:val="lv-LV" w:eastAsia="lv-LV"/>
              </w:rPr>
              <w:t> </w:t>
            </w:r>
            <w:r w:rsidR="00936938" w:rsidRPr="00EC190C">
              <w:rPr>
                <w:rFonts w:ascii="Times New Roman" w:hAnsi="Times New Roman"/>
                <w:i/>
                <w:iCs/>
                <w:color w:val="000000" w:themeColor="text1"/>
                <w:sz w:val="25"/>
                <w:szCs w:val="25"/>
                <w:lang w:val="lv-LV" w:eastAsia="lv-LV"/>
              </w:rPr>
              <w:t>euro</w:t>
            </w:r>
            <w:r w:rsidR="0084246E" w:rsidRPr="00EC190C">
              <w:rPr>
                <w:rFonts w:ascii="Times New Roman" w:hAnsi="Times New Roman"/>
                <w:iCs/>
                <w:color w:val="000000" w:themeColor="text1"/>
                <w:sz w:val="25"/>
                <w:szCs w:val="25"/>
                <w:lang w:val="lv-LV" w:eastAsia="lv-LV"/>
              </w:rPr>
              <w:t xml:space="preserve">, to pārdalot no </w:t>
            </w:r>
            <w:r w:rsidR="0084246E" w:rsidRPr="00EC190C">
              <w:rPr>
                <w:rFonts w:ascii="Times New Roman" w:hAnsi="Times New Roman"/>
                <w:color w:val="000000" w:themeColor="text1"/>
                <w:sz w:val="25"/>
                <w:szCs w:val="25"/>
                <w:lang w:val="lv-LV" w:eastAsia="lv-LV"/>
              </w:rPr>
              <w:t>3.6.1.1. un 3.6.2.1.aktivitātes</w:t>
            </w:r>
            <w:r w:rsidR="001B12AD" w:rsidRPr="00EC190C">
              <w:rPr>
                <w:rFonts w:ascii="Times New Roman" w:hAnsi="Times New Roman"/>
                <w:i/>
                <w:iCs/>
                <w:color w:val="000000" w:themeColor="text1"/>
                <w:sz w:val="25"/>
                <w:szCs w:val="25"/>
                <w:lang w:val="lv-LV" w:eastAsia="lv-LV"/>
              </w:rPr>
              <w:t>.</w:t>
            </w:r>
          </w:p>
          <w:p w14:paraId="2CBFFE8F" w14:textId="77777777" w:rsidR="00057282" w:rsidRPr="00EC190C" w:rsidRDefault="00057282" w:rsidP="0020647A">
            <w:pPr>
              <w:spacing w:after="0" w:line="240" w:lineRule="auto"/>
              <w:jc w:val="both"/>
              <w:rPr>
                <w:rFonts w:ascii="Times New Roman" w:hAnsi="Times New Roman"/>
                <w:sz w:val="25"/>
                <w:szCs w:val="25"/>
                <w:lang w:val="lv-LV"/>
              </w:rPr>
            </w:pPr>
          </w:p>
          <w:p w14:paraId="7E76E7EF" w14:textId="0C04404B" w:rsidR="007C75FE" w:rsidRPr="00EC190C" w:rsidRDefault="00DD6BFE" w:rsidP="0020647A">
            <w:pPr>
              <w:spacing w:after="0" w:line="240" w:lineRule="auto"/>
              <w:jc w:val="both"/>
              <w:rPr>
                <w:rFonts w:ascii="Times New Roman" w:hAnsi="Times New Roman"/>
                <w:color w:val="000000" w:themeColor="text1"/>
                <w:sz w:val="25"/>
                <w:szCs w:val="25"/>
                <w:lang w:val="lv-LV" w:eastAsia="lv-LV"/>
              </w:rPr>
            </w:pPr>
            <w:r w:rsidRPr="00EC190C">
              <w:rPr>
                <w:rFonts w:ascii="Times New Roman" w:hAnsi="Times New Roman"/>
                <w:color w:val="000000" w:themeColor="text1"/>
                <w:sz w:val="25"/>
                <w:szCs w:val="25"/>
                <w:lang w:val="lv-LV" w:eastAsia="lv-LV"/>
              </w:rPr>
              <w:t>P</w:t>
            </w:r>
            <w:r w:rsidR="00936938" w:rsidRPr="00EC190C">
              <w:rPr>
                <w:rFonts w:ascii="Times New Roman" w:hAnsi="Times New Roman"/>
                <w:color w:val="000000" w:themeColor="text1"/>
                <w:sz w:val="25"/>
                <w:szCs w:val="25"/>
                <w:lang w:val="lv-LV" w:eastAsia="lv-LV"/>
              </w:rPr>
              <w:t xml:space="preserve">ēc projektu verificēšanas un precīza </w:t>
            </w:r>
            <w:r w:rsidR="007C75FE" w:rsidRPr="00EC190C">
              <w:rPr>
                <w:rFonts w:ascii="Times New Roman" w:hAnsi="Times New Roman"/>
                <w:color w:val="000000" w:themeColor="text1"/>
                <w:sz w:val="25"/>
                <w:szCs w:val="25"/>
                <w:lang w:val="lv-LV" w:eastAsia="lv-LV"/>
              </w:rPr>
              <w:t xml:space="preserve">finansējuma </w:t>
            </w:r>
            <w:r w:rsidR="00936938" w:rsidRPr="00EC190C">
              <w:rPr>
                <w:rFonts w:ascii="Times New Roman" w:hAnsi="Times New Roman"/>
                <w:color w:val="000000" w:themeColor="text1"/>
                <w:sz w:val="25"/>
                <w:szCs w:val="25"/>
                <w:lang w:val="lv-LV" w:eastAsia="lv-LV"/>
              </w:rPr>
              <w:t>apmēra noteikšanas,</w:t>
            </w:r>
            <w:r w:rsidR="007C75FE" w:rsidRPr="00EC190C">
              <w:rPr>
                <w:rFonts w:ascii="Times New Roman" w:hAnsi="Times New Roman"/>
                <w:color w:val="000000" w:themeColor="text1"/>
                <w:sz w:val="25"/>
                <w:szCs w:val="25"/>
                <w:lang w:val="lv-LV" w:eastAsia="lv-LV"/>
              </w:rPr>
              <w:t xml:space="preserve"> par kādu tiks ieviesti projekti </w:t>
            </w:r>
            <w:r w:rsidRPr="00EC190C">
              <w:rPr>
                <w:rFonts w:ascii="Times New Roman" w:hAnsi="Times New Roman"/>
                <w:color w:val="000000" w:themeColor="text1"/>
                <w:sz w:val="25"/>
                <w:szCs w:val="25"/>
                <w:lang w:val="lv-LV" w:eastAsia="lv-LV"/>
              </w:rPr>
              <w:t xml:space="preserve">2.3.2.2.3.apakšaktivitātes ietvaros, tiks veikti grozījumi gan </w:t>
            </w:r>
            <w:r w:rsidR="007C75FE" w:rsidRPr="00EC190C">
              <w:rPr>
                <w:rFonts w:ascii="Times New Roman" w:hAnsi="Times New Roman"/>
                <w:color w:val="000000" w:themeColor="text1"/>
                <w:sz w:val="25"/>
                <w:szCs w:val="25"/>
                <w:lang w:val="lv-LV" w:eastAsia="lv-LV"/>
              </w:rPr>
              <w:t>MK noteikum</w:t>
            </w:r>
            <w:r w:rsidRPr="00EC190C">
              <w:rPr>
                <w:rFonts w:ascii="Times New Roman" w:hAnsi="Times New Roman"/>
                <w:color w:val="000000" w:themeColor="text1"/>
                <w:sz w:val="25"/>
                <w:szCs w:val="25"/>
                <w:lang w:val="lv-LV" w:eastAsia="lv-LV"/>
              </w:rPr>
              <w:t xml:space="preserve">os </w:t>
            </w:r>
            <w:r w:rsidR="0084246E" w:rsidRPr="00EC190C">
              <w:rPr>
                <w:rFonts w:ascii="Times New Roman" w:hAnsi="Times New Roman"/>
                <w:color w:val="000000" w:themeColor="text1"/>
                <w:sz w:val="25"/>
                <w:szCs w:val="25"/>
                <w:lang w:val="lv-LV" w:eastAsia="lv-LV"/>
              </w:rPr>
              <w:t>Nr.700</w:t>
            </w:r>
            <w:r w:rsidRPr="00EC190C">
              <w:rPr>
                <w:rFonts w:ascii="Times New Roman" w:hAnsi="Times New Roman"/>
                <w:color w:val="000000" w:themeColor="text1"/>
                <w:sz w:val="25"/>
                <w:szCs w:val="25"/>
                <w:lang w:val="lv-LV" w:eastAsia="lv-LV"/>
              </w:rPr>
              <w:t xml:space="preserve">, gan </w:t>
            </w:r>
            <w:r w:rsidR="00EC1C79" w:rsidRPr="00EC190C">
              <w:rPr>
                <w:rFonts w:ascii="Times New Roman" w:hAnsi="Times New Roman"/>
                <w:color w:val="000000" w:themeColor="text1"/>
                <w:sz w:val="25"/>
                <w:szCs w:val="25"/>
                <w:lang w:val="lv-LV" w:eastAsia="lv-LV"/>
              </w:rPr>
              <w:t xml:space="preserve">MK noteikumos </w:t>
            </w:r>
            <w:r w:rsidRPr="00EC190C">
              <w:rPr>
                <w:rFonts w:ascii="Times New Roman" w:hAnsi="Times New Roman"/>
                <w:color w:val="000000" w:themeColor="text1"/>
                <w:sz w:val="25"/>
                <w:szCs w:val="25"/>
                <w:lang w:val="lv-LV" w:eastAsia="lv-LV"/>
              </w:rPr>
              <w:t xml:space="preserve">par </w:t>
            </w:r>
            <w:r w:rsidR="007C75FE" w:rsidRPr="00EC190C">
              <w:rPr>
                <w:rFonts w:ascii="Times New Roman" w:hAnsi="Times New Roman"/>
                <w:color w:val="000000" w:themeColor="text1"/>
                <w:sz w:val="25"/>
                <w:szCs w:val="25"/>
                <w:lang w:val="lv-LV" w:eastAsia="lv-LV"/>
              </w:rPr>
              <w:t>3.6.1.1.</w:t>
            </w:r>
            <w:r w:rsidRPr="00EC190C">
              <w:rPr>
                <w:rFonts w:ascii="Times New Roman" w:hAnsi="Times New Roman"/>
                <w:color w:val="000000" w:themeColor="text1"/>
                <w:sz w:val="25"/>
                <w:szCs w:val="25"/>
                <w:lang w:val="lv-LV" w:eastAsia="lv-LV"/>
              </w:rPr>
              <w:t xml:space="preserve"> </w:t>
            </w:r>
            <w:r w:rsidR="007C75FE" w:rsidRPr="00EC190C">
              <w:rPr>
                <w:rFonts w:ascii="Times New Roman" w:hAnsi="Times New Roman"/>
                <w:color w:val="000000" w:themeColor="text1"/>
                <w:sz w:val="25"/>
                <w:szCs w:val="25"/>
                <w:lang w:val="lv-LV" w:eastAsia="lv-LV"/>
              </w:rPr>
              <w:t>un</w:t>
            </w:r>
            <w:r w:rsidRPr="00EC190C">
              <w:rPr>
                <w:rFonts w:ascii="Times New Roman" w:hAnsi="Times New Roman"/>
                <w:color w:val="000000" w:themeColor="text1"/>
                <w:sz w:val="25"/>
                <w:szCs w:val="25"/>
                <w:lang w:val="lv-LV" w:eastAsia="lv-LV"/>
              </w:rPr>
              <w:t xml:space="preserve"> </w:t>
            </w:r>
            <w:r w:rsidR="007C75FE" w:rsidRPr="00EC190C">
              <w:rPr>
                <w:rFonts w:ascii="Times New Roman" w:hAnsi="Times New Roman"/>
                <w:color w:val="000000" w:themeColor="text1"/>
                <w:sz w:val="25"/>
                <w:szCs w:val="25"/>
                <w:lang w:val="lv-LV" w:eastAsia="lv-LV"/>
              </w:rPr>
              <w:t xml:space="preserve">3.6.2.1.aktivitātes </w:t>
            </w:r>
            <w:r w:rsidRPr="00EC190C">
              <w:rPr>
                <w:rFonts w:ascii="Times New Roman" w:hAnsi="Times New Roman"/>
                <w:color w:val="000000" w:themeColor="text1"/>
                <w:sz w:val="25"/>
                <w:szCs w:val="25"/>
                <w:lang w:val="lv-LV" w:eastAsia="lv-LV"/>
              </w:rPr>
              <w:t>īstenošanu, paredzot precīzu finansējuma apjomu, kā arī šo projektu ietekmi uz budžeta ieņēmumiem un izdevumiem</w:t>
            </w:r>
            <w:r w:rsidR="00EC1C79" w:rsidRPr="00EC190C">
              <w:rPr>
                <w:rFonts w:ascii="Times New Roman" w:hAnsi="Times New Roman"/>
                <w:color w:val="000000" w:themeColor="text1"/>
                <w:sz w:val="25"/>
                <w:szCs w:val="25"/>
                <w:lang w:val="lv-LV" w:eastAsia="lv-LV"/>
              </w:rPr>
              <w:t xml:space="preserve"> katras aktivitātes ietvaros</w:t>
            </w:r>
            <w:r w:rsidRPr="00EC190C">
              <w:rPr>
                <w:rFonts w:ascii="Times New Roman" w:hAnsi="Times New Roman"/>
                <w:color w:val="000000" w:themeColor="text1"/>
                <w:sz w:val="25"/>
                <w:szCs w:val="25"/>
                <w:lang w:val="lv-LV" w:eastAsia="lv-LV"/>
              </w:rPr>
              <w:t>. G</w:t>
            </w:r>
            <w:r w:rsidR="007C75FE" w:rsidRPr="00EC190C">
              <w:rPr>
                <w:rFonts w:ascii="Times New Roman" w:hAnsi="Times New Roman"/>
                <w:color w:val="000000" w:themeColor="text1"/>
                <w:sz w:val="25"/>
                <w:szCs w:val="25"/>
                <w:lang w:val="lv-LV" w:eastAsia="lv-LV"/>
              </w:rPr>
              <w:t xml:space="preserve">rozījumi </w:t>
            </w:r>
            <w:r w:rsidRPr="00EC190C">
              <w:rPr>
                <w:rFonts w:ascii="Times New Roman" w:hAnsi="Times New Roman"/>
                <w:color w:val="000000" w:themeColor="text1"/>
                <w:sz w:val="25"/>
                <w:szCs w:val="25"/>
                <w:lang w:val="lv-LV" w:eastAsia="lv-LV"/>
              </w:rPr>
              <w:t xml:space="preserve">šajos MK noteikumos </w:t>
            </w:r>
            <w:r w:rsidR="007C75FE" w:rsidRPr="00EC190C">
              <w:rPr>
                <w:rFonts w:ascii="Times New Roman" w:hAnsi="Times New Roman"/>
                <w:color w:val="000000" w:themeColor="text1"/>
                <w:sz w:val="25"/>
                <w:szCs w:val="25"/>
                <w:lang w:val="lv-LV" w:eastAsia="lv-LV"/>
              </w:rPr>
              <w:t>tiks iesniegti</w:t>
            </w:r>
            <w:r w:rsidR="00936938" w:rsidRPr="00EC190C">
              <w:rPr>
                <w:rFonts w:ascii="Times New Roman" w:hAnsi="Times New Roman"/>
                <w:color w:val="000000" w:themeColor="text1"/>
                <w:sz w:val="25"/>
                <w:szCs w:val="25"/>
                <w:lang w:val="lv-LV" w:eastAsia="lv-LV"/>
              </w:rPr>
              <w:t xml:space="preserve"> </w:t>
            </w:r>
            <w:r w:rsidRPr="00EC190C">
              <w:rPr>
                <w:rFonts w:ascii="Times New Roman" w:hAnsi="Times New Roman"/>
                <w:color w:val="000000" w:themeColor="text1"/>
                <w:sz w:val="25"/>
                <w:szCs w:val="25"/>
                <w:lang w:val="lv-LV" w:eastAsia="lv-LV"/>
              </w:rPr>
              <w:t>MK</w:t>
            </w:r>
            <w:r w:rsidR="00936938" w:rsidRPr="00EC190C">
              <w:rPr>
                <w:rFonts w:ascii="Times New Roman" w:hAnsi="Times New Roman"/>
                <w:color w:val="000000" w:themeColor="text1"/>
                <w:sz w:val="25"/>
                <w:szCs w:val="25"/>
                <w:lang w:val="lv-LV" w:eastAsia="lv-LV"/>
              </w:rPr>
              <w:t xml:space="preserve"> ne vēlāk kā līdz 2014.gada 30.decembrim.</w:t>
            </w:r>
          </w:p>
          <w:p w14:paraId="45B652A0" w14:textId="32ACA626" w:rsidR="00936938" w:rsidRPr="00EC190C" w:rsidRDefault="00936938" w:rsidP="0020647A">
            <w:pPr>
              <w:spacing w:after="0" w:line="240" w:lineRule="auto"/>
              <w:jc w:val="both"/>
              <w:rPr>
                <w:rFonts w:ascii="Times New Roman" w:hAnsi="Times New Roman"/>
                <w:color w:val="000000" w:themeColor="text1"/>
                <w:sz w:val="25"/>
                <w:szCs w:val="25"/>
                <w:lang w:val="lv-LV" w:eastAsia="lv-LV"/>
              </w:rPr>
            </w:pPr>
            <w:r w:rsidRPr="00EC190C">
              <w:rPr>
                <w:rFonts w:ascii="Times New Roman" w:hAnsi="Times New Roman"/>
                <w:color w:val="000000" w:themeColor="text1"/>
                <w:sz w:val="25"/>
                <w:szCs w:val="25"/>
                <w:lang w:val="lv-LV" w:eastAsia="lv-LV"/>
              </w:rPr>
              <w:t xml:space="preserve"> </w:t>
            </w:r>
          </w:p>
          <w:p w14:paraId="2EDCDC9A" w14:textId="0C99DC6E" w:rsidR="004425B5" w:rsidRPr="00EC190C" w:rsidRDefault="00C93598" w:rsidP="00AB5338">
            <w:pPr>
              <w:spacing w:after="0" w:line="240" w:lineRule="auto"/>
              <w:jc w:val="both"/>
              <w:rPr>
                <w:color w:val="000000" w:themeColor="text1"/>
                <w:sz w:val="25"/>
                <w:szCs w:val="25"/>
                <w:lang w:val="lv-LV"/>
              </w:rPr>
            </w:pPr>
            <w:r w:rsidRPr="00EC190C">
              <w:rPr>
                <w:rFonts w:ascii="Times New Roman" w:hAnsi="Times New Roman" w:cs="Times New Roman"/>
                <w:color w:val="000000" w:themeColor="text1"/>
                <w:sz w:val="25"/>
                <w:szCs w:val="25"/>
                <w:lang w:val="lv-LV"/>
              </w:rPr>
              <w:t xml:space="preserve">Attiecībā uz ieņēmumu daļu ietekme uz budžetu ir neitrāla, savukārt uz izdevumu daļu – tā var būt vai nu pozitīva, vai neitrāla, jo no </w:t>
            </w:r>
            <w:r w:rsidR="00E11A4A" w:rsidRPr="00EC190C">
              <w:rPr>
                <w:rFonts w:ascii="Times New Roman" w:hAnsi="Times New Roman" w:cs="Times New Roman"/>
                <w:color w:val="000000" w:themeColor="text1"/>
                <w:sz w:val="25"/>
                <w:szCs w:val="25"/>
                <w:lang w:val="lv-LV"/>
              </w:rPr>
              <w:t>darbības programmas “Infrastruktūra un pakalpojumi”</w:t>
            </w:r>
            <w:r w:rsidRPr="00EC190C">
              <w:rPr>
                <w:rFonts w:ascii="Times New Roman" w:hAnsi="Times New Roman" w:cs="Times New Roman"/>
                <w:color w:val="000000" w:themeColor="text1"/>
                <w:sz w:val="25"/>
                <w:szCs w:val="25"/>
                <w:lang w:val="lv-LV"/>
              </w:rPr>
              <w:t xml:space="preserve">, kuras ietvaros šīs </w:t>
            </w:r>
            <w:proofErr w:type="spellStart"/>
            <w:r w:rsidRPr="00EC190C">
              <w:rPr>
                <w:rFonts w:ascii="Times New Roman" w:hAnsi="Times New Roman" w:cs="Times New Roman"/>
                <w:color w:val="000000" w:themeColor="text1"/>
                <w:sz w:val="25"/>
                <w:szCs w:val="25"/>
                <w:lang w:val="lv-LV"/>
              </w:rPr>
              <w:t>virssaistības</w:t>
            </w:r>
            <w:proofErr w:type="spellEnd"/>
            <w:r w:rsidRPr="00EC190C">
              <w:rPr>
                <w:rFonts w:ascii="Times New Roman" w:hAnsi="Times New Roman" w:cs="Times New Roman"/>
                <w:color w:val="000000" w:themeColor="text1"/>
                <w:sz w:val="25"/>
                <w:szCs w:val="25"/>
                <w:lang w:val="lv-LV"/>
              </w:rPr>
              <w:t xml:space="preserve"> veido negatīvu ietekmi uz valsts budžeta deficītu, projekti tiek pārcelti uz </w:t>
            </w:r>
            <w:r w:rsidR="008F3F8D" w:rsidRPr="00EC190C">
              <w:rPr>
                <w:rFonts w:ascii="Times New Roman" w:hAnsi="Times New Roman" w:cs="Times New Roman"/>
                <w:color w:val="000000" w:themeColor="text1"/>
                <w:sz w:val="25"/>
                <w:szCs w:val="25"/>
                <w:lang w:val="lv-LV"/>
              </w:rPr>
              <w:t>darbības programmu “Uzņēmējdarbība un inovācijas”</w:t>
            </w:r>
            <w:r w:rsidRPr="00EC190C">
              <w:rPr>
                <w:rFonts w:ascii="Times New Roman" w:hAnsi="Times New Roman" w:cs="Times New Roman"/>
                <w:color w:val="000000" w:themeColor="text1"/>
                <w:sz w:val="25"/>
                <w:szCs w:val="25"/>
                <w:lang w:val="lv-LV"/>
              </w:rPr>
              <w:t>, kur ir n+2 principa neizpildes risks, līdz ar to negatīvā ietekme potenciāli varētu tikt samazināta vai palikt esošajā līmenī.</w:t>
            </w:r>
            <w:r w:rsidR="00DD6BFE" w:rsidRPr="00EC190C">
              <w:rPr>
                <w:rFonts w:ascii="Times New Roman" w:hAnsi="Times New Roman" w:cs="Times New Roman"/>
                <w:color w:val="000000" w:themeColor="text1"/>
                <w:sz w:val="25"/>
                <w:szCs w:val="25"/>
                <w:lang w:val="lv-LV"/>
              </w:rPr>
              <w:t xml:space="preserve"> </w:t>
            </w:r>
          </w:p>
        </w:tc>
      </w:tr>
    </w:tbl>
    <w:p w14:paraId="6F231D87" w14:textId="186269C0" w:rsidR="00377F0B" w:rsidRPr="00EC190C" w:rsidRDefault="00377F0B" w:rsidP="00F66F09">
      <w:pPr>
        <w:spacing w:after="0" w:line="240" w:lineRule="auto"/>
        <w:rPr>
          <w:rFonts w:ascii="Times New Roman" w:hAnsi="Times New Roman"/>
          <w:b/>
          <w:sz w:val="25"/>
          <w:szCs w:val="25"/>
          <w:lang w:val="lv-LV"/>
        </w:rPr>
      </w:pPr>
    </w:p>
    <w:p w14:paraId="3130C8E4" w14:textId="77777777" w:rsidR="00253836" w:rsidRPr="00EC190C" w:rsidRDefault="00253836" w:rsidP="00377F0B">
      <w:pPr>
        <w:spacing w:after="0" w:line="240" w:lineRule="auto"/>
        <w:jc w:val="center"/>
        <w:rPr>
          <w:rFonts w:ascii="Times New Roman" w:hAnsi="Times New Roman"/>
          <w:b/>
          <w:sz w:val="25"/>
          <w:szCs w:val="25"/>
          <w:lang w:val="lv-LV"/>
        </w:rPr>
      </w:pPr>
    </w:p>
    <w:tbl>
      <w:tblPr>
        <w:tblStyle w:val="TableGrid"/>
        <w:tblW w:w="9180" w:type="dxa"/>
        <w:tblLayout w:type="fixed"/>
        <w:tblLook w:val="00A0" w:firstRow="1" w:lastRow="0" w:firstColumn="1" w:lastColumn="0" w:noHBand="0" w:noVBand="0"/>
      </w:tblPr>
      <w:tblGrid>
        <w:gridCol w:w="426"/>
        <w:gridCol w:w="3402"/>
        <w:gridCol w:w="5352"/>
      </w:tblGrid>
      <w:tr w:rsidR="00D40CFC" w:rsidRPr="00EC190C" w14:paraId="54211F4B" w14:textId="77777777" w:rsidTr="00F66F09">
        <w:tc>
          <w:tcPr>
            <w:tcW w:w="426" w:type="dxa"/>
          </w:tcPr>
          <w:p w14:paraId="3797AE9E" w14:textId="77777777" w:rsidR="00D40CFC" w:rsidRPr="00EC190C" w:rsidRDefault="00D40CFC" w:rsidP="00D40CFC">
            <w:pPr>
              <w:ind w:firstLine="720"/>
              <w:jc w:val="center"/>
              <w:rPr>
                <w:rFonts w:ascii="Times New Roman" w:hAnsi="Times New Roman"/>
                <w:b/>
                <w:sz w:val="25"/>
                <w:szCs w:val="25"/>
                <w:lang w:val="lv-LV"/>
              </w:rPr>
            </w:pPr>
          </w:p>
        </w:tc>
        <w:tc>
          <w:tcPr>
            <w:tcW w:w="8754" w:type="dxa"/>
            <w:gridSpan w:val="2"/>
          </w:tcPr>
          <w:p w14:paraId="5112AA6E" w14:textId="77777777" w:rsidR="00D40CFC" w:rsidRPr="00EC190C" w:rsidRDefault="00D40CFC" w:rsidP="00D40CFC">
            <w:pPr>
              <w:rPr>
                <w:rFonts w:ascii="Times New Roman" w:hAnsi="Times New Roman"/>
                <w:b/>
                <w:sz w:val="25"/>
                <w:szCs w:val="25"/>
                <w:lang w:val="lv-LV"/>
              </w:rPr>
            </w:pPr>
            <w:r w:rsidRPr="00EC190C">
              <w:rPr>
                <w:rFonts w:ascii="Times New Roman" w:hAnsi="Times New Roman"/>
                <w:b/>
                <w:sz w:val="25"/>
                <w:szCs w:val="25"/>
                <w:lang w:val="lv-LV"/>
              </w:rPr>
              <w:t>IV. Tiesību akta projekta ietekme uz spēkā esošo tiesību normu sistēmu</w:t>
            </w:r>
          </w:p>
        </w:tc>
      </w:tr>
      <w:tr w:rsidR="00D40CFC" w:rsidRPr="00EC190C" w14:paraId="607E7822" w14:textId="77777777" w:rsidTr="00D2270B">
        <w:trPr>
          <w:trHeight w:val="699"/>
        </w:trPr>
        <w:tc>
          <w:tcPr>
            <w:tcW w:w="426" w:type="dxa"/>
          </w:tcPr>
          <w:p w14:paraId="15BA5837" w14:textId="77777777" w:rsidR="00D40CFC" w:rsidRPr="00EC190C" w:rsidRDefault="00D40CFC" w:rsidP="00D40CFC">
            <w:pPr>
              <w:jc w:val="both"/>
              <w:rPr>
                <w:rFonts w:ascii="Times New Roman" w:hAnsi="Times New Roman"/>
                <w:sz w:val="25"/>
                <w:szCs w:val="25"/>
                <w:lang w:val="lv-LV"/>
              </w:rPr>
            </w:pPr>
            <w:r w:rsidRPr="00EC190C">
              <w:rPr>
                <w:rFonts w:ascii="Times New Roman" w:hAnsi="Times New Roman"/>
                <w:sz w:val="25"/>
                <w:szCs w:val="25"/>
                <w:lang w:val="lv-LV"/>
              </w:rPr>
              <w:t>1.</w:t>
            </w:r>
          </w:p>
        </w:tc>
        <w:tc>
          <w:tcPr>
            <w:tcW w:w="3402" w:type="dxa"/>
          </w:tcPr>
          <w:p w14:paraId="28D6F2E6" w14:textId="77777777" w:rsidR="00D40CFC" w:rsidRPr="00EC190C" w:rsidRDefault="00D40CFC" w:rsidP="00D40CFC">
            <w:pPr>
              <w:jc w:val="both"/>
              <w:rPr>
                <w:rFonts w:ascii="Times New Roman" w:hAnsi="Times New Roman"/>
                <w:sz w:val="25"/>
                <w:szCs w:val="25"/>
                <w:lang w:val="lv-LV"/>
              </w:rPr>
            </w:pPr>
            <w:r w:rsidRPr="00EC190C">
              <w:rPr>
                <w:rFonts w:ascii="Times New Roman" w:hAnsi="Times New Roman"/>
                <w:sz w:val="25"/>
                <w:szCs w:val="25"/>
                <w:lang w:val="lv-LV"/>
              </w:rPr>
              <w:t>Nepieciešamie saistītie tiesību aktu projekti</w:t>
            </w:r>
          </w:p>
        </w:tc>
        <w:tc>
          <w:tcPr>
            <w:tcW w:w="5352" w:type="dxa"/>
          </w:tcPr>
          <w:p w14:paraId="59312EE1" w14:textId="44F42CD0" w:rsidR="0090738B" w:rsidRPr="00EC190C" w:rsidRDefault="00186E20" w:rsidP="000960E2">
            <w:pPr>
              <w:ind w:left="-37" w:right="173"/>
              <w:jc w:val="both"/>
              <w:rPr>
                <w:rFonts w:ascii="Times New Roman" w:hAnsi="Times New Roman" w:cs="Times New Roman"/>
                <w:sz w:val="25"/>
                <w:szCs w:val="25"/>
                <w:lang w:val="lv-LV"/>
              </w:rPr>
            </w:pPr>
            <w:r w:rsidRPr="00EC190C">
              <w:rPr>
                <w:rFonts w:ascii="Times New Roman" w:hAnsi="Times New Roman" w:cs="Times New Roman"/>
                <w:sz w:val="25"/>
                <w:szCs w:val="25"/>
                <w:lang w:val="lv-LV"/>
              </w:rPr>
              <w:t xml:space="preserve">MK noteikumu </w:t>
            </w:r>
            <w:r w:rsidR="000960E2" w:rsidRPr="00EC190C">
              <w:rPr>
                <w:rFonts w:ascii="Times New Roman" w:hAnsi="Times New Roman" w:cs="Times New Roman"/>
                <w:sz w:val="25"/>
                <w:szCs w:val="25"/>
                <w:lang w:val="lv-LV"/>
              </w:rPr>
              <w:t xml:space="preserve">projekts saistīts ar grozījumiem šādos </w:t>
            </w:r>
            <w:r w:rsidR="003518F6" w:rsidRPr="00EC190C">
              <w:rPr>
                <w:rFonts w:ascii="Times New Roman" w:hAnsi="Times New Roman" w:cs="Times New Roman"/>
                <w:sz w:val="25"/>
                <w:szCs w:val="25"/>
                <w:lang w:val="lv-LV"/>
              </w:rPr>
              <w:t>MK</w:t>
            </w:r>
            <w:r w:rsidRPr="00EC190C">
              <w:rPr>
                <w:rFonts w:ascii="Times New Roman" w:hAnsi="Times New Roman" w:cs="Times New Roman"/>
                <w:sz w:val="25"/>
                <w:szCs w:val="25"/>
                <w:lang w:val="lv-LV"/>
              </w:rPr>
              <w:t xml:space="preserve"> </w:t>
            </w:r>
            <w:r w:rsidR="000960E2" w:rsidRPr="00EC190C">
              <w:rPr>
                <w:rFonts w:ascii="Times New Roman" w:hAnsi="Times New Roman" w:cs="Times New Roman"/>
                <w:sz w:val="25"/>
                <w:szCs w:val="25"/>
                <w:lang w:val="lv-LV"/>
              </w:rPr>
              <w:t>noteikumos:</w:t>
            </w:r>
          </w:p>
          <w:p w14:paraId="09691252" w14:textId="3EEDDF62" w:rsidR="0068037C" w:rsidRPr="00EC190C" w:rsidRDefault="003518F6" w:rsidP="0068037C">
            <w:pPr>
              <w:pStyle w:val="ListParagraph"/>
              <w:numPr>
                <w:ilvl w:val="0"/>
                <w:numId w:val="29"/>
              </w:numPr>
              <w:jc w:val="both"/>
              <w:rPr>
                <w:rFonts w:ascii="Times New Roman" w:hAnsi="Times New Roman"/>
                <w:sz w:val="25"/>
                <w:szCs w:val="25"/>
                <w:lang w:val="lv-LV"/>
              </w:rPr>
            </w:pPr>
            <w:r w:rsidRPr="00EC190C">
              <w:rPr>
                <w:rFonts w:ascii="Times New Roman" w:hAnsi="Times New Roman"/>
                <w:sz w:val="25"/>
                <w:szCs w:val="25"/>
                <w:lang w:val="lv-LV"/>
              </w:rPr>
              <w:t>MK</w:t>
            </w:r>
            <w:r w:rsidR="0068037C" w:rsidRPr="00EC190C">
              <w:rPr>
                <w:rFonts w:ascii="Times New Roman" w:hAnsi="Times New Roman"/>
                <w:sz w:val="25"/>
                <w:szCs w:val="25"/>
                <w:lang w:val="lv-LV"/>
              </w:rPr>
              <w:t xml:space="preserve"> 2010.gada 26.janvāra noteikumos Nr.91 “Noteikumi par darbības programmas “Infrastruktūra un pakalpojumi” papildinājuma 3.6.1.1.aktivitāti “Nacionālas un reģionālas nozīmes attīstības centru izaugsmes veicināšana līdzsvarotai valsts attīstībai”” - tiek samazināts 4.1punktā noteiktais aktivitātes ietvaros pieejamais saistību apjoms un 20.punktā noteiktās kvotas pašvaldībām u.c.;</w:t>
            </w:r>
          </w:p>
          <w:p w14:paraId="1EF0876B" w14:textId="469F8ED7" w:rsidR="0068037C" w:rsidRPr="00EC190C" w:rsidRDefault="003518F6" w:rsidP="0068037C">
            <w:pPr>
              <w:pStyle w:val="ListParagraph"/>
              <w:numPr>
                <w:ilvl w:val="0"/>
                <w:numId w:val="29"/>
              </w:numPr>
              <w:jc w:val="both"/>
              <w:rPr>
                <w:rFonts w:ascii="Times New Roman" w:hAnsi="Times New Roman"/>
                <w:sz w:val="25"/>
                <w:szCs w:val="25"/>
                <w:lang w:val="lv-LV"/>
              </w:rPr>
            </w:pPr>
            <w:r w:rsidRPr="00EC190C">
              <w:rPr>
                <w:rFonts w:ascii="Times New Roman" w:hAnsi="Times New Roman"/>
                <w:sz w:val="25"/>
                <w:szCs w:val="25"/>
                <w:lang w:val="lv-LV"/>
              </w:rPr>
              <w:t>MK</w:t>
            </w:r>
            <w:r w:rsidR="0068037C" w:rsidRPr="00EC190C">
              <w:rPr>
                <w:rFonts w:ascii="Times New Roman" w:hAnsi="Times New Roman"/>
                <w:sz w:val="25"/>
                <w:szCs w:val="25"/>
                <w:lang w:val="lv-LV"/>
              </w:rPr>
              <w:t xml:space="preserve"> 2010.gada 14.septembra noteikumos Nr.843 “Noteikumi par darbības programmas “Infrastruktūra un pakalpojumi” papildinājuma 3.6.2.1.aktivitāti “Atbalsts novadu pašvaldību kompleksai attīstībai”” - tiek samazināts </w:t>
            </w:r>
            <w:r w:rsidR="0068037C" w:rsidRPr="00EC190C">
              <w:rPr>
                <w:rFonts w:ascii="Times New Roman" w:hAnsi="Times New Roman"/>
                <w:sz w:val="25"/>
                <w:szCs w:val="25"/>
                <w:lang w:val="lv-LV"/>
              </w:rPr>
              <w:lastRenderedPageBreak/>
              <w:t>4.2punktā noteiktais aktivitātes ietvaros pieejamais saistību apjoms un 20.</w:t>
            </w:r>
            <w:r w:rsidR="0068037C" w:rsidRPr="00EC190C">
              <w:rPr>
                <w:rFonts w:ascii="Times New Roman" w:hAnsi="Times New Roman"/>
                <w:sz w:val="25"/>
                <w:szCs w:val="25"/>
                <w:vertAlign w:val="superscript"/>
                <w:lang w:val="lv-LV"/>
              </w:rPr>
              <w:t>1</w:t>
            </w:r>
            <w:r w:rsidR="0068037C" w:rsidRPr="00EC190C">
              <w:rPr>
                <w:rFonts w:ascii="Times New Roman" w:hAnsi="Times New Roman"/>
                <w:sz w:val="25"/>
                <w:szCs w:val="25"/>
                <w:lang w:val="lv-LV"/>
              </w:rPr>
              <w:t>punktā noteiktās kvotas pašvaldībām u.c.</w:t>
            </w:r>
          </w:p>
          <w:p w14:paraId="049EF089" w14:textId="7BF28784" w:rsidR="00A011EF" w:rsidRPr="00EC190C" w:rsidRDefault="00A011EF" w:rsidP="007C75FE">
            <w:pPr>
              <w:jc w:val="both"/>
              <w:rPr>
                <w:sz w:val="25"/>
                <w:szCs w:val="25"/>
                <w:lang w:val="lv-LV"/>
              </w:rPr>
            </w:pPr>
          </w:p>
        </w:tc>
      </w:tr>
      <w:tr w:rsidR="00951FF3" w:rsidRPr="00EC190C" w14:paraId="2823C979" w14:textId="77777777" w:rsidTr="00F66F09">
        <w:tc>
          <w:tcPr>
            <w:tcW w:w="426" w:type="dxa"/>
          </w:tcPr>
          <w:p w14:paraId="6ED38B50" w14:textId="77777777" w:rsidR="00951FF3" w:rsidRPr="00EC190C" w:rsidRDefault="00951FF3" w:rsidP="00D40CFC">
            <w:pPr>
              <w:jc w:val="both"/>
              <w:rPr>
                <w:rFonts w:ascii="Times New Roman" w:hAnsi="Times New Roman"/>
                <w:sz w:val="25"/>
                <w:szCs w:val="25"/>
                <w:lang w:val="lv-LV"/>
              </w:rPr>
            </w:pPr>
            <w:r w:rsidRPr="00EC190C">
              <w:rPr>
                <w:rFonts w:ascii="Times New Roman" w:hAnsi="Times New Roman"/>
                <w:sz w:val="25"/>
                <w:szCs w:val="25"/>
                <w:lang w:val="lv-LV"/>
              </w:rPr>
              <w:lastRenderedPageBreak/>
              <w:t>2.</w:t>
            </w:r>
          </w:p>
        </w:tc>
        <w:tc>
          <w:tcPr>
            <w:tcW w:w="3402" w:type="dxa"/>
          </w:tcPr>
          <w:p w14:paraId="44946988" w14:textId="77777777" w:rsidR="00951FF3" w:rsidRPr="00EC190C" w:rsidRDefault="00951FF3" w:rsidP="00D40CFC">
            <w:pPr>
              <w:jc w:val="both"/>
              <w:rPr>
                <w:rFonts w:ascii="Times New Roman" w:hAnsi="Times New Roman"/>
                <w:sz w:val="25"/>
                <w:szCs w:val="25"/>
                <w:lang w:val="lv-LV"/>
              </w:rPr>
            </w:pPr>
            <w:r w:rsidRPr="00EC190C">
              <w:rPr>
                <w:rFonts w:ascii="Times New Roman" w:hAnsi="Times New Roman"/>
                <w:sz w:val="25"/>
                <w:szCs w:val="25"/>
                <w:lang w:val="lv-LV"/>
              </w:rPr>
              <w:t>Atbildīgā institūcija</w:t>
            </w:r>
          </w:p>
        </w:tc>
        <w:tc>
          <w:tcPr>
            <w:tcW w:w="5352" w:type="dxa"/>
          </w:tcPr>
          <w:p w14:paraId="0CA16EC9" w14:textId="5270D9B5" w:rsidR="00951FF3" w:rsidRPr="00EC190C" w:rsidRDefault="00D210DA" w:rsidP="00FC1D8E">
            <w:pPr>
              <w:jc w:val="both"/>
              <w:rPr>
                <w:rFonts w:ascii="Times New Roman" w:hAnsi="Times New Roman"/>
                <w:sz w:val="25"/>
                <w:szCs w:val="25"/>
                <w:lang w:val="lv-LV"/>
              </w:rPr>
            </w:pPr>
            <w:r w:rsidRPr="00EC190C">
              <w:rPr>
                <w:rFonts w:ascii="Times New Roman" w:hAnsi="Times New Roman"/>
                <w:sz w:val="25"/>
                <w:szCs w:val="25"/>
                <w:lang w:val="lv-LV"/>
              </w:rPr>
              <w:t xml:space="preserve">Vides aizsardzības un reģionālās attīstības ministrija, </w:t>
            </w:r>
            <w:r w:rsidR="00FC1D8E" w:rsidRPr="00EC190C">
              <w:rPr>
                <w:rFonts w:ascii="Times New Roman" w:hAnsi="Times New Roman"/>
                <w:sz w:val="25"/>
                <w:szCs w:val="25"/>
                <w:lang w:val="lv-LV"/>
              </w:rPr>
              <w:t>FM</w:t>
            </w:r>
            <w:r w:rsidR="0068037C" w:rsidRPr="00EC190C">
              <w:rPr>
                <w:rFonts w:ascii="Times New Roman" w:hAnsi="Times New Roman"/>
                <w:sz w:val="25"/>
                <w:szCs w:val="25"/>
                <w:lang w:val="lv-LV"/>
              </w:rPr>
              <w:t>.</w:t>
            </w:r>
          </w:p>
        </w:tc>
      </w:tr>
      <w:tr w:rsidR="00D40CFC" w:rsidRPr="00EC190C" w14:paraId="58C6C6FE" w14:textId="77777777" w:rsidTr="00F66F09">
        <w:tc>
          <w:tcPr>
            <w:tcW w:w="426" w:type="dxa"/>
          </w:tcPr>
          <w:p w14:paraId="7FF4E020" w14:textId="77777777" w:rsidR="00D40CFC" w:rsidRPr="00EC190C" w:rsidRDefault="00951FF3" w:rsidP="00D40CFC">
            <w:pPr>
              <w:jc w:val="both"/>
              <w:rPr>
                <w:rFonts w:ascii="Times New Roman" w:hAnsi="Times New Roman"/>
                <w:sz w:val="25"/>
                <w:szCs w:val="25"/>
                <w:lang w:val="lv-LV"/>
              </w:rPr>
            </w:pPr>
            <w:r w:rsidRPr="00EC190C">
              <w:rPr>
                <w:rFonts w:ascii="Times New Roman" w:hAnsi="Times New Roman"/>
                <w:sz w:val="25"/>
                <w:szCs w:val="25"/>
                <w:lang w:val="lv-LV"/>
              </w:rPr>
              <w:t>3</w:t>
            </w:r>
            <w:r w:rsidR="00D40CFC" w:rsidRPr="00EC190C">
              <w:rPr>
                <w:rFonts w:ascii="Times New Roman" w:hAnsi="Times New Roman"/>
                <w:sz w:val="25"/>
                <w:szCs w:val="25"/>
                <w:lang w:val="lv-LV"/>
              </w:rPr>
              <w:t>.</w:t>
            </w:r>
          </w:p>
        </w:tc>
        <w:tc>
          <w:tcPr>
            <w:tcW w:w="3402" w:type="dxa"/>
          </w:tcPr>
          <w:p w14:paraId="70471C2A" w14:textId="77777777" w:rsidR="00D40CFC" w:rsidRPr="00EC190C" w:rsidRDefault="00D40CFC" w:rsidP="00D40CFC">
            <w:pPr>
              <w:jc w:val="both"/>
              <w:rPr>
                <w:rFonts w:ascii="Times New Roman" w:hAnsi="Times New Roman"/>
                <w:sz w:val="25"/>
                <w:szCs w:val="25"/>
                <w:lang w:val="lv-LV"/>
              </w:rPr>
            </w:pPr>
            <w:r w:rsidRPr="00EC190C">
              <w:rPr>
                <w:rFonts w:ascii="Times New Roman" w:hAnsi="Times New Roman"/>
                <w:sz w:val="25"/>
                <w:szCs w:val="25"/>
                <w:lang w:val="lv-LV"/>
              </w:rPr>
              <w:t>Cita informācija</w:t>
            </w:r>
          </w:p>
        </w:tc>
        <w:tc>
          <w:tcPr>
            <w:tcW w:w="5352" w:type="dxa"/>
          </w:tcPr>
          <w:p w14:paraId="731070DD" w14:textId="51C44510" w:rsidR="00D40CFC" w:rsidRPr="00EC190C" w:rsidRDefault="001B12AD" w:rsidP="004C4FD3">
            <w:pPr>
              <w:jc w:val="both"/>
              <w:rPr>
                <w:rFonts w:ascii="Times New Roman" w:hAnsi="Times New Roman"/>
                <w:sz w:val="25"/>
                <w:szCs w:val="25"/>
                <w:lang w:val="lv-LV"/>
              </w:rPr>
            </w:pPr>
            <w:r w:rsidRPr="00EC190C">
              <w:rPr>
                <w:rFonts w:ascii="Times New Roman" w:hAnsi="Times New Roman"/>
                <w:sz w:val="25"/>
                <w:szCs w:val="25"/>
                <w:lang w:val="lv-LV"/>
              </w:rPr>
              <w:t>Nav</w:t>
            </w:r>
          </w:p>
        </w:tc>
      </w:tr>
    </w:tbl>
    <w:p w14:paraId="5CCCF017" w14:textId="77777777" w:rsidR="009E34F3" w:rsidRPr="00EC190C" w:rsidRDefault="009E34F3" w:rsidP="004E7BC4">
      <w:pPr>
        <w:rPr>
          <w:rFonts w:ascii="Times New Roman" w:hAnsi="Times New Roman"/>
          <w:sz w:val="25"/>
          <w:szCs w:val="25"/>
          <w:lang w:val="lv-LV"/>
        </w:rPr>
      </w:pPr>
    </w:p>
    <w:p w14:paraId="62057456" w14:textId="064CFEE8" w:rsidR="00C74056" w:rsidRPr="00EC190C" w:rsidRDefault="00C74056" w:rsidP="00C74056">
      <w:pPr>
        <w:tabs>
          <w:tab w:val="left" w:pos="6710"/>
        </w:tabs>
        <w:spacing w:after="0" w:line="240" w:lineRule="auto"/>
        <w:rPr>
          <w:rFonts w:ascii="Times New Roman" w:eastAsia="Times New Roman" w:hAnsi="Times New Roman" w:cs="Times New Roman"/>
          <w:b/>
          <w:sz w:val="26"/>
          <w:szCs w:val="26"/>
          <w:lang w:eastAsia="lv-LV"/>
        </w:rPr>
      </w:pPr>
      <w:proofErr w:type="spellStart"/>
      <w:r w:rsidRPr="00EC190C">
        <w:rPr>
          <w:rFonts w:ascii="Times New Roman" w:eastAsia="Times New Roman" w:hAnsi="Times New Roman" w:cs="Times New Roman"/>
          <w:b/>
          <w:sz w:val="26"/>
          <w:szCs w:val="26"/>
          <w:lang w:eastAsia="lv-LV"/>
        </w:rPr>
        <w:t>Anotācijas</w:t>
      </w:r>
      <w:proofErr w:type="spellEnd"/>
      <w:r w:rsidRPr="00EC190C">
        <w:rPr>
          <w:rFonts w:ascii="Times New Roman" w:eastAsia="Times New Roman" w:hAnsi="Times New Roman" w:cs="Times New Roman"/>
          <w:b/>
          <w:sz w:val="26"/>
          <w:szCs w:val="26"/>
          <w:lang w:eastAsia="lv-LV"/>
        </w:rPr>
        <w:t xml:space="preserve"> V </w:t>
      </w:r>
      <w:proofErr w:type="gramStart"/>
      <w:r w:rsidRPr="00EC190C">
        <w:rPr>
          <w:rFonts w:ascii="Times New Roman" w:eastAsia="Times New Roman" w:hAnsi="Times New Roman" w:cs="Times New Roman"/>
          <w:b/>
          <w:sz w:val="26"/>
          <w:szCs w:val="26"/>
          <w:lang w:eastAsia="lv-LV"/>
        </w:rPr>
        <w:t>un</w:t>
      </w:r>
      <w:proofErr w:type="gramEnd"/>
      <w:r w:rsidRPr="00EC190C">
        <w:rPr>
          <w:rFonts w:ascii="Times New Roman" w:eastAsia="Times New Roman" w:hAnsi="Times New Roman" w:cs="Times New Roman"/>
          <w:b/>
          <w:sz w:val="26"/>
          <w:szCs w:val="26"/>
          <w:lang w:eastAsia="lv-LV"/>
        </w:rPr>
        <w:t xml:space="preserve"> VI </w:t>
      </w:r>
      <w:proofErr w:type="spellStart"/>
      <w:r w:rsidRPr="00EC190C">
        <w:rPr>
          <w:rFonts w:ascii="Times New Roman" w:eastAsia="Times New Roman" w:hAnsi="Times New Roman" w:cs="Times New Roman"/>
          <w:b/>
          <w:sz w:val="26"/>
          <w:szCs w:val="26"/>
          <w:lang w:eastAsia="lv-LV"/>
        </w:rPr>
        <w:t>sadaļas</w:t>
      </w:r>
      <w:proofErr w:type="spellEnd"/>
      <w:r w:rsidRPr="00EC190C">
        <w:rPr>
          <w:rFonts w:ascii="Times New Roman" w:eastAsia="Times New Roman" w:hAnsi="Times New Roman" w:cs="Times New Roman"/>
          <w:b/>
          <w:sz w:val="26"/>
          <w:szCs w:val="26"/>
          <w:lang w:eastAsia="lv-LV"/>
        </w:rPr>
        <w:t xml:space="preserve"> - </w:t>
      </w:r>
      <w:proofErr w:type="spellStart"/>
      <w:r w:rsidRPr="00EC190C">
        <w:rPr>
          <w:rFonts w:ascii="Times New Roman" w:eastAsia="Times New Roman" w:hAnsi="Times New Roman" w:cs="Times New Roman"/>
          <w:b/>
          <w:sz w:val="26"/>
          <w:szCs w:val="26"/>
          <w:lang w:eastAsia="lv-LV"/>
        </w:rPr>
        <w:t>projekts</w:t>
      </w:r>
      <w:proofErr w:type="spellEnd"/>
      <w:r w:rsidRPr="00EC190C">
        <w:rPr>
          <w:rFonts w:ascii="Times New Roman" w:eastAsia="Times New Roman" w:hAnsi="Times New Roman" w:cs="Times New Roman"/>
          <w:b/>
          <w:sz w:val="26"/>
          <w:szCs w:val="26"/>
          <w:lang w:eastAsia="lv-LV"/>
        </w:rPr>
        <w:t xml:space="preserve"> </w:t>
      </w:r>
      <w:proofErr w:type="spellStart"/>
      <w:r w:rsidRPr="00EC190C">
        <w:rPr>
          <w:rFonts w:ascii="Times New Roman" w:eastAsia="Times New Roman" w:hAnsi="Times New Roman" w:cs="Times New Roman"/>
          <w:b/>
          <w:sz w:val="26"/>
          <w:szCs w:val="26"/>
          <w:lang w:eastAsia="lv-LV"/>
        </w:rPr>
        <w:t>šīs</w:t>
      </w:r>
      <w:proofErr w:type="spellEnd"/>
      <w:r w:rsidRPr="00EC190C">
        <w:rPr>
          <w:rFonts w:ascii="Times New Roman" w:eastAsia="Times New Roman" w:hAnsi="Times New Roman" w:cs="Times New Roman"/>
          <w:b/>
          <w:sz w:val="26"/>
          <w:szCs w:val="26"/>
          <w:lang w:eastAsia="lv-LV"/>
        </w:rPr>
        <w:t xml:space="preserve"> </w:t>
      </w:r>
      <w:proofErr w:type="spellStart"/>
      <w:r w:rsidRPr="00EC190C">
        <w:rPr>
          <w:rFonts w:ascii="Times New Roman" w:eastAsia="Times New Roman" w:hAnsi="Times New Roman" w:cs="Times New Roman"/>
          <w:b/>
          <w:sz w:val="26"/>
          <w:szCs w:val="26"/>
          <w:lang w:eastAsia="lv-LV"/>
        </w:rPr>
        <w:t>jomas</w:t>
      </w:r>
      <w:proofErr w:type="spellEnd"/>
      <w:r w:rsidRPr="00EC190C">
        <w:rPr>
          <w:rFonts w:ascii="Times New Roman" w:eastAsia="Times New Roman" w:hAnsi="Times New Roman" w:cs="Times New Roman"/>
          <w:b/>
          <w:sz w:val="26"/>
          <w:szCs w:val="26"/>
          <w:lang w:eastAsia="lv-LV"/>
        </w:rPr>
        <w:t xml:space="preserve"> </w:t>
      </w:r>
      <w:proofErr w:type="spellStart"/>
      <w:r w:rsidRPr="00EC190C">
        <w:rPr>
          <w:rFonts w:ascii="Times New Roman" w:eastAsia="Times New Roman" w:hAnsi="Times New Roman" w:cs="Times New Roman"/>
          <w:b/>
          <w:sz w:val="26"/>
          <w:szCs w:val="26"/>
          <w:lang w:eastAsia="lv-LV"/>
        </w:rPr>
        <w:t>neskar</w:t>
      </w:r>
      <w:proofErr w:type="spellEnd"/>
      <w:r w:rsidRPr="00EC190C">
        <w:rPr>
          <w:rFonts w:ascii="Times New Roman" w:eastAsia="Times New Roman" w:hAnsi="Times New Roman" w:cs="Times New Roman"/>
          <w:b/>
          <w:sz w:val="26"/>
          <w:szCs w:val="26"/>
          <w:lang w:eastAsia="lv-LV"/>
        </w:rPr>
        <w:t>.</w:t>
      </w:r>
    </w:p>
    <w:p w14:paraId="1DEC8ED7" w14:textId="77777777" w:rsidR="00830152" w:rsidRPr="00EC190C" w:rsidRDefault="00830152" w:rsidP="00D40CFC">
      <w:pPr>
        <w:tabs>
          <w:tab w:val="left" w:pos="7655"/>
        </w:tabs>
        <w:spacing w:after="0" w:line="240" w:lineRule="auto"/>
        <w:jc w:val="both"/>
        <w:rPr>
          <w:rFonts w:ascii="Times New Roman" w:hAnsi="Times New Roman"/>
          <w:sz w:val="25"/>
          <w:szCs w:val="25"/>
          <w:lang w:val="lv-LV"/>
        </w:rPr>
      </w:pPr>
    </w:p>
    <w:tbl>
      <w:tblPr>
        <w:tblW w:w="921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846"/>
        <w:gridCol w:w="2977"/>
        <w:gridCol w:w="5391"/>
      </w:tblGrid>
      <w:tr w:rsidR="009A31FD" w:rsidRPr="00EC190C" w14:paraId="3DC7E1B2" w14:textId="77777777" w:rsidTr="00F66F09">
        <w:trPr>
          <w:trHeight w:val="381"/>
        </w:trPr>
        <w:tc>
          <w:tcPr>
            <w:tcW w:w="9214" w:type="dxa"/>
            <w:gridSpan w:val="3"/>
            <w:vAlign w:val="center"/>
          </w:tcPr>
          <w:p w14:paraId="173094C4" w14:textId="77777777" w:rsidR="001E6FAC" w:rsidRPr="00EC190C" w:rsidRDefault="001E6FAC" w:rsidP="00225426">
            <w:pPr>
              <w:pStyle w:val="naisnod"/>
              <w:spacing w:before="0" w:beforeAutospacing="0" w:after="0" w:afterAutospacing="0"/>
              <w:ind w:left="57" w:right="57"/>
              <w:jc w:val="center"/>
              <w:rPr>
                <w:sz w:val="25"/>
                <w:szCs w:val="25"/>
                <w:lang w:val="lv-LV"/>
              </w:rPr>
            </w:pPr>
            <w:r w:rsidRPr="00EC190C">
              <w:rPr>
                <w:b/>
                <w:sz w:val="25"/>
                <w:szCs w:val="25"/>
                <w:lang w:val="lv-LV"/>
              </w:rPr>
              <w:t>VII. Tiesību akta projekta izpildes nodrošināšana un tās ietekme uz institūcijām</w:t>
            </w:r>
          </w:p>
        </w:tc>
      </w:tr>
      <w:tr w:rsidR="009A31FD" w:rsidRPr="00EC190C" w14:paraId="42F63FFF" w14:textId="77777777" w:rsidTr="00F66F09">
        <w:trPr>
          <w:trHeight w:val="427"/>
        </w:trPr>
        <w:tc>
          <w:tcPr>
            <w:tcW w:w="846" w:type="dxa"/>
            <w:vAlign w:val="center"/>
          </w:tcPr>
          <w:p w14:paraId="382A2FDF" w14:textId="77777777" w:rsidR="001E6FAC" w:rsidRPr="00EC190C" w:rsidRDefault="001E6FAC" w:rsidP="00F66F09">
            <w:pPr>
              <w:pStyle w:val="naisnod"/>
              <w:spacing w:before="0" w:beforeAutospacing="0" w:after="0" w:afterAutospacing="0"/>
              <w:ind w:left="57" w:right="57"/>
              <w:jc w:val="center"/>
              <w:rPr>
                <w:sz w:val="25"/>
                <w:szCs w:val="25"/>
                <w:lang w:val="lv-LV"/>
              </w:rPr>
            </w:pPr>
            <w:r w:rsidRPr="00EC190C">
              <w:rPr>
                <w:sz w:val="25"/>
                <w:szCs w:val="25"/>
                <w:lang w:val="lv-LV"/>
              </w:rPr>
              <w:t>1.</w:t>
            </w:r>
          </w:p>
        </w:tc>
        <w:tc>
          <w:tcPr>
            <w:tcW w:w="2977" w:type="dxa"/>
            <w:vAlign w:val="center"/>
          </w:tcPr>
          <w:p w14:paraId="457B5F6B" w14:textId="77777777" w:rsidR="001E6FAC" w:rsidRPr="00EC190C" w:rsidRDefault="001E6FAC" w:rsidP="00883F96">
            <w:pPr>
              <w:pStyle w:val="naisf"/>
              <w:spacing w:before="0" w:beforeAutospacing="0" w:after="0" w:afterAutospacing="0"/>
              <w:ind w:left="57" w:right="57"/>
              <w:rPr>
                <w:sz w:val="25"/>
                <w:szCs w:val="25"/>
                <w:lang w:val="lv-LV"/>
              </w:rPr>
            </w:pPr>
            <w:r w:rsidRPr="00EC190C">
              <w:rPr>
                <w:sz w:val="25"/>
                <w:szCs w:val="25"/>
                <w:lang w:val="lv-LV"/>
              </w:rPr>
              <w:t>Projekta izpildē iesaistītās institūcijas</w:t>
            </w:r>
          </w:p>
        </w:tc>
        <w:tc>
          <w:tcPr>
            <w:tcW w:w="5391" w:type="dxa"/>
            <w:vAlign w:val="center"/>
          </w:tcPr>
          <w:p w14:paraId="29086ACF" w14:textId="4E5CE1ED" w:rsidR="001E6FAC" w:rsidRPr="00EC190C" w:rsidRDefault="00186E20" w:rsidP="00FC1D8E">
            <w:pPr>
              <w:shd w:val="clear" w:color="auto" w:fill="FFFFFF"/>
              <w:spacing w:after="0" w:line="240" w:lineRule="auto"/>
              <w:jc w:val="both"/>
              <w:rPr>
                <w:rFonts w:ascii="Times New Roman" w:hAnsi="Times New Roman"/>
                <w:sz w:val="25"/>
                <w:szCs w:val="25"/>
                <w:lang w:val="lv-LV"/>
              </w:rPr>
            </w:pPr>
            <w:bookmarkStart w:id="1" w:name="p66"/>
            <w:bookmarkStart w:id="2" w:name="p67"/>
            <w:bookmarkStart w:id="3" w:name="p68"/>
            <w:bookmarkStart w:id="4" w:name="p69"/>
            <w:bookmarkEnd w:id="1"/>
            <w:bookmarkEnd w:id="2"/>
            <w:bookmarkEnd w:id="3"/>
            <w:bookmarkEnd w:id="4"/>
            <w:r w:rsidRPr="00EC190C">
              <w:rPr>
                <w:rFonts w:ascii="Times New Roman" w:hAnsi="Times New Roman"/>
                <w:sz w:val="25"/>
                <w:szCs w:val="25"/>
                <w:lang w:val="lv-LV"/>
              </w:rPr>
              <w:t xml:space="preserve">MK noteikumu </w:t>
            </w:r>
            <w:r w:rsidR="00F168CB" w:rsidRPr="00EC190C">
              <w:rPr>
                <w:rFonts w:ascii="Times New Roman" w:hAnsi="Times New Roman"/>
                <w:sz w:val="25"/>
                <w:szCs w:val="25"/>
                <w:lang w:val="lv-LV"/>
              </w:rPr>
              <w:t xml:space="preserve">projekta izpildē ir iesaistīta </w:t>
            </w:r>
            <w:r w:rsidR="0057647D" w:rsidRPr="00EC190C">
              <w:rPr>
                <w:rFonts w:ascii="Times New Roman" w:hAnsi="Times New Roman"/>
                <w:sz w:val="25"/>
                <w:szCs w:val="25"/>
                <w:lang w:val="lv-LV"/>
              </w:rPr>
              <w:t>FM</w:t>
            </w:r>
            <w:r w:rsidR="00253836" w:rsidRPr="00EC190C">
              <w:rPr>
                <w:rFonts w:ascii="Times New Roman" w:hAnsi="Times New Roman"/>
                <w:sz w:val="25"/>
                <w:szCs w:val="25"/>
                <w:lang w:val="lv-LV"/>
              </w:rPr>
              <w:t xml:space="preserve">, </w:t>
            </w:r>
            <w:r w:rsidR="001E6FAC" w:rsidRPr="00EC190C">
              <w:rPr>
                <w:rFonts w:ascii="Times New Roman" w:hAnsi="Times New Roman"/>
                <w:sz w:val="25"/>
                <w:szCs w:val="25"/>
                <w:lang w:val="lv-LV"/>
              </w:rPr>
              <w:t>Vides aizsardzības un re</w:t>
            </w:r>
            <w:r w:rsidR="00FB1513" w:rsidRPr="00EC190C">
              <w:rPr>
                <w:rFonts w:ascii="Times New Roman" w:hAnsi="Times New Roman"/>
                <w:sz w:val="25"/>
                <w:szCs w:val="25"/>
                <w:lang w:val="lv-LV"/>
              </w:rPr>
              <w:t>ģionālās attīstības ministrija</w:t>
            </w:r>
            <w:r w:rsidR="00600201" w:rsidRPr="00EC190C">
              <w:rPr>
                <w:rFonts w:ascii="Times New Roman" w:hAnsi="Times New Roman"/>
                <w:sz w:val="25"/>
                <w:szCs w:val="25"/>
                <w:lang w:val="lv-LV"/>
              </w:rPr>
              <w:t xml:space="preserve">, </w:t>
            </w:r>
            <w:r w:rsidR="00FB1513" w:rsidRPr="00EC190C">
              <w:rPr>
                <w:rFonts w:ascii="Times New Roman" w:hAnsi="Times New Roman"/>
                <w:color w:val="000000"/>
                <w:sz w:val="25"/>
                <w:szCs w:val="25"/>
                <w:lang w:val="lv-LV"/>
              </w:rPr>
              <w:t>Valsts reģionālās attīstības aģentūra</w:t>
            </w:r>
            <w:r w:rsidR="00600201" w:rsidRPr="00EC190C">
              <w:rPr>
                <w:rFonts w:ascii="Times New Roman" w:hAnsi="Times New Roman"/>
                <w:color w:val="000000"/>
                <w:sz w:val="25"/>
                <w:szCs w:val="25"/>
                <w:lang w:val="lv-LV"/>
              </w:rPr>
              <w:t xml:space="preserve"> un Valsts kase.</w:t>
            </w:r>
          </w:p>
        </w:tc>
      </w:tr>
      <w:tr w:rsidR="00F168CB" w:rsidRPr="00EC190C" w14:paraId="541A8354" w14:textId="77777777" w:rsidTr="00F66F09">
        <w:trPr>
          <w:trHeight w:val="427"/>
        </w:trPr>
        <w:tc>
          <w:tcPr>
            <w:tcW w:w="846" w:type="dxa"/>
            <w:vAlign w:val="center"/>
          </w:tcPr>
          <w:p w14:paraId="1C57B193" w14:textId="7568D34B" w:rsidR="00F168CB" w:rsidRPr="00EC190C" w:rsidRDefault="00F168CB" w:rsidP="00F66F09">
            <w:pPr>
              <w:pStyle w:val="naisnod"/>
              <w:spacing w:before="0" w:beforeAutospacing="0" w:after="0" w:afterAutospacing="0"/>
              <w:ind w:left="57" w:right="57"/>
              <w:jc w:val="center"/>
              <w:rPr>
                <w:sz w:val="25"/>
                <w:szCs w:val="25"/>
                <w:lang w:val="lv-LV"/>
              </w:rPr>
            </w:pPr>
            <w:r w:rsidRPr="00EC190C">
              <w:rPr>
                <w:sz w:val="25"/>
                <w:szCs w:val="25"/>
                <w:lang w:val="lv-LV"/>
              </w:rPr>
              <w:t>2.</w:t>
            </w:r>
          </w:p>
        </w:tc>
        <w:tc>
          <w:tcPr>
            <w:tcW w:w="2977" w:type="dxa"/>
            <w:vAlign w:val="center"/>
          </w:tcPr>
          <w:p w14:paraId="54E88160" w14:textId="77777777" w:rsidR="00F168CB" w:rsidRPr="00EC190C" w:rsidRDefault="00F168CB" w:rsidP="00883F96">
            <w:pPr>
              <w:pStyle w:val="naisf"/>
              <w:spacing w:before="0" w:beforeAutospacing="0" w:after="0" w:afterAutospacing="0"/>
              <w:ind w:left="57" w:right="57"/>
              <w:rPr>
                <w:sz w:val="25"/>
                <w:szCs w:val="25"/>
                <w:lang w:val="lv-LV"/>
              </w:rPr>
            </w:pPr>
            <w:r w:rsidRPr="00EC190C">
              <w:rPr>
                <w:sz w:val="25"/>
                <w:szCs w:val="25"/>
                <w:lang w:val="lv-LV"/>
              </w:rPr>
              <w:t>Projekta izpildes ietekme uz pārvaldes funkcijām un institucionālo struktūru.</w:t>
            </w:r>
          </w:p>
          <w:p w14:paraId="6B4424CC" w14:textId="76B8209B" w:rsidR="00F168CB" w:rsidRPr="00EC190C" w:rsidRDefault="00F168CB" w:rsidP="00883F96">
            <w:pPr>
              <w:pStyle w:val="naisf"/>
              <w:spacing w:before="0" w:beforeAutospacing="0" w:after="0" w:afterAutospacing="0"/>
              <w:ind w:left="57" w:right="57"/>
              <w:rPr>
                <w:sz w:val="25"/>
                <w:szCs w:val="25"/>
                <w:lang w:val="lv-LV"/>
              </w:rPr>
            </w:pPr>
            <w:r w:rsidRPr="00EC190C">
              <w:rPr>
                <w:sz w:val="25"/>
                <w:szCs w:val="25"/>
                <w:lang w:val="lv-LV"/>
              </w:rPr>
              <w:t>Jaunu institūciju izveide, esošu institūciju likvidācija vai reorganizācija, to ietekme uz institūcijas cilvēkresursiem</w:t>
            </w:r>
          </w:p>
        </w:tc>
        <w:tc>
          <w:tcPr>
            <w:tcW w:w="5391" w:type="dxa"/>
            <w:vAlign w:val="center"/>
          </w:tcPr>
          <w:p w14:paraId="3044A27E" w14:textId="7BB7273C" w:rsidR="00F168CB" w:rsidRPr="00EC190C" w:rsidRDefault="00F168CB" w:rsidP="00F66F09">
            <w:pPr>
              <w:shd w:val="clear" w:color="auto" w:fill="FFFFFF"/>
              <w:spacing w:after="0" w:line="240" w:lineRule="auto"/>
              <w:rPr>
                <w:rFonts w:ascii="Times New Roman" w:hAnsi="Times New Roman"/>
                <w:sz w:val="25"/>
                <w:szCs w:val="25"/>
                <w:lang w:val="lv-LV"/>
              </w:rPr>
            </w:pPr>
            <w:r w:rsidRPr="00EC190C">
              <w:rPr>
                <w:rFonts w:ascii="Times New Roman" w:hAnsi="Times New Roman"/>
                <w:sz w:val="25"/>
                <w:szCs w:val="25"/>
                <w:lang w:val="lv-LV"/>
              </w:rPr>
              <w:t>Nav</w:t>
            </w:r>
            <w:r w:rsidR="00883F96" w:rsidRPr="00EC190C">
              <w:rPr>
                <w:rFonts w:ascii="Times New Roman" w:hAnsi="Times New Roman"/>
                <w:sz w:val="25"/>
                <w:szCs w:val="25"/>
                <w:lang w:val="lv-LV"/>
              </w:rPr>
              <w:t>.</w:t>
            </w:r>
          </w:p>
        </w:tc>
      </w:tr>
      <w:tr w:rsidR="00F168CB" w:rsidRPr="00EC190C" w14:paraId="40C92145" w14:textId="77777777" w:rsidTr="00F66F09">
        <w:trPr>
          <w:trHeight w:val="427"/>
        </w:trPr>
        <w:tc>
          <w:tcPr>
            <w:tcW w:w="846" w:type="dxa"/>
            <w:vAlign w:val="center"/>
          </w:tcPr>
          <w:p w14:paraId="3ACB131E" w14:textId="517ED7EF" w:rsidR="00F168CB" w:rsidRPr="00EC190C" w:rsidRDefault="00F168CB" w:rsidP="00F66F09">
            <w:pPr>
              <w:pStyle w:val="naisnod"/>
              <w:spacing w:before="0" w:beforeAutospacing="0" w:after="0" w:afterAutospacing="0"/>
              <w:ind w:left="57" w:right="57"/>
              <w:jc w:val="center"/>
              <w:rPr>
                <w:sz w:val="25"/>
                <w:szCs w:val="25"/>
                <w:lang w:val="lv-LV"/>
              </w:rPr>
            </w:pPr>
            <w:r w:rsidRPr="00EC190C">
              <w:rPr>
                <w:sz w:val="25"/>
                <w:szCs w:val="25"/>
                <w:lang w:val="lv-LV"/>
              </w:rPr>
              <w:t>3.</w:t>
            </w:r>
          </w:p>
        </w:tc>
        <w:tc>
          <w:tcPr>
            <w:tcW w:w="2977" w:type="dxa"/>
            <w:vAlign w:val="center"/>
          </w:tcPr>
          <w:p w14:paraId="1BA93FBD" w14:textId="182237FD" w:rsidR="00F168CB" w:rsidRPr="00EC190C" w:rsidRDefault="00F168CB" w:rsidP="00883F96">
            <w:pPr>
              <w:pStyle w:val="naisf"/>
              <w:spacing w:before="0" w:beforeAutospacing="0" w:after="0" w:afterAutospacing="0"/>
              <w:ind w:left="57" w:right="57"/>
              <w:rPr>
                <w:sz w:val="25"/>
                <w:szCs w:val="25"/>
                <w:lang w:val="lv-LV"/>
              </w:rPr>
            </w:pPr>
            <w:r w:rsidRPr="00EC190C">
              <w:rPr>
                <w:sz w:val="25"/>
                <w:szCs w:val="25"/>
                <w:lang w:val="lv-LV"/>
              </w:rPr>
              <w:t>Cita informācija</w:t>
            </w:r>
          </w:p>
        </w:tc>
        <w:tc>
          <w:tcPr>
            <w:tcW w:w="5391" w:type="dxa"/>
            <w:vAlign w:val="center"/>
          </w:tcPr>
          <w:p w14:paraId="46FF0755" w14:textId="3C692A59" w:rsidR="00F168CB" w:rsidRPr="00EC190C" w:rsidRDefault="00F168CB" w:rsidP="00F66F09">
            <w:pPr>
              <w:shd w:val="clear" w:color="auto" w:fill="FFFFFF"/>
              <w:spacing w:after="0" w:line="240" w:lineRule="auto"/>
              <w:rPr>
                <w:rFonts w:ascii="Times New Roman" w:hAnsi="Times New Roman"/>
                <w:sz w:val="25"/>
                <w:szCs w:val="25"/>
                <w:lang w:val="lv-LV"/>
              </w:rPr>
            </w:pPr>
            <w:r w:rsidRPr="00EC190C">
              <w:rPr>
                <w:rFonts w:ascii="Times New Roman" w:hAnsi="Times New Roman"/>
                <w:sz w:val="25"/>
                <w:szCs w:val="25"/>
                <w:lang w:val="lv-LV"/>
              </w:rPr>
              <w:t>Nav</w:t>
            </w:r>
            <w:r w:rsidR="00883F96" w:rsidRPr="00EC190C">
              <w:rPr>
                <w:rFonts w:ascii="Times New Roman" w:hAnsi="Times New Roman"/>
                <w:sz w:val="25"/>
                <w:szCs w:val="25"/>
                <w:lang w:val="lv-LV"/>
              </w:rPr>
              <w:t>.</w:t>
            </w:r>
          </w:p>
        </w:tc>
      </w:tr>
    </w:tbl>
    <w:p w14:paraId="2FC32B8B" w14:textId="77777777" w:rsidR="001B12AD" w:rsidRPr="00EC190C" w:rsidRDefault="001B12AD" w:rsidP="001B12AD">
      <w:pPr>
        <w:tabs>
          <w:tab w:val="left" w:pos="6710"/>
        </w:tabs>
        <w:spacing w:after="0" w:line="240" w:lineRule="auto"/>
        <w:rPr>
          <w:rFonts w:ascii="Times New Roman" w:eastAsia="Times New Roman" w:hAnsi="Times New Roman" w:cs="Times New Roman"/>
          <w:b/>
          <w:sz w:val="26"/>
          <w:szCs w:val="26"/>
          <w:lang w:eastAsia="lv-LV"/>
        </w:rPr>
      </w:pPr>
    </w:p>
    <w:p w14:paraId="7014B5F1" w14:textId="77777777" w:rsidR="009D0A29" w:rsidRPr="00EC190C" w:rsidRDefault="009D0A29" w:rsidP="00D2270B">
      <w:pPr>
        <w:tabs>
          <w:tab w:val="left" w:pos="720"/>
        </w:tabs>
        <w:autoSpaceDE w:val="0"/>
        <w:autoSpaceDN w:val="0"/>
        <w:adjustRightInd w:val="0"/>
        <w:spacing w:before="360" w:after="480" w:line="240" w:lineRule="auto"/>
        <w:ind w:left="-142"/>
        <w:rPr>
          <w:rFonts w:ascii="Times New Roman" w:hAnsi="Times New Roman"/>
          <w:sz w:val="25"/>
          <w:szCs w:val="25"/>
          <w:lang w:val="lv-LV"/>
        </w:rPr>
      </w:pPr>
      <w:r w:rsidRPr="00EC190C">
        <w:rPr>
          <w:rFonts w:ascii="Times New Roman" w:hAnsi="Times New Roman"/>
          <w:sz w:val="25"/>
          <w:szCs w:val="25"/>
          <w:lang w:val="lv-LV"/>
        </w:rPr>
        <w:t>Iesniedzējs:</w:t>
      </w:r>
    </w:p>
    <w:p w14:paraId="6594C760" w14:textId="0AC9A3DE" w:rsidR="00BA3659" w:rsidRPr="00EC190C" w:rsidRDefault="003C46E4" w:rsidP="001B46EC">
      <w:pPr>
        <w:tabs>
          <w:tab w:val="left" w:pos="8364"/>
        </w:tabs>
        <w:spacing w:after="0" w:line="240" w:lineRule="auto"/>
        <w:ind w:left="-142"/>
        <w:jc w:val="both"/>
        <w:rPr>
          <w:rFonts w:ascii="Times New Roman" w:hAnsi="Times New Roman"/>
          <w:sz w:val="25"/>
          <w:szCs w:val="25"/>
          <w:lang w:val="lv-LV"/>
        </w:rPr>
      </w:pPr>
      <w:r w:rsidRPr="00EC190C">
        <w:rPr>
          <w:rFonts w:ascii="Times New Roman" w:hAnsi="Times New Roman"/>
          <w:sz w:val="25"/>
          <w:szCs w:val="25"/>
          <w:lang w:val="lv-LV"/>
        </w:rPr>
        <w:t>Finanšu</w:t>
      </w:r>
      <w:r w:rsidR="00BA3659" w:rsidRPr="00EC190C">
        <w:rPr>
          <w:rFonts w:ascii="Times New Roman" w:hAnsi="Times New Roman"/>
          <w:sz w:val="25"/>
          <w:szCs w:val="25"/>
          <w:lang w:val="lv-LV"/>
        </w:rPr>
        <w:t xml:space="preserve"> ministr</w:t>
      </w:r>
      <w:r w:rsidR="001B46EC" w:rsidRPr="00EC190C">
        <w:rPr>
          <w:rFonts w:ascii="Times New Roman" w:hAnsi="Times New Roman"/>
          <w:sz w:val="25"/>
          <w:szCs w:val="25"/>
          <w:lang w:val="lv-LV"/>
        </w:rPr>
        <w:t xml:space="preserve">s </w:t>
      </w:r>
      <w:r w:rsidR="001B46EC" w:rsidRPr="00EC190C">
        <w:rPr>
          <w:rFonts w:ascii="Times New Roman" w:hAnsi="Times New Roman"/>
          <w:sz w:val="25"/>
          <w:szCs w:val="25"/>
          <w:lang w:val="lv-LV"/>
        </w:rPr>
        <w:tab/>
      </w:r>
      <w:proofErr w:type="spellStart"/>
      <w:r w:rsidR="001B46EC" w:rsidRPr="00EC190C">
        <w:rPr>
          <w:rFonts w:ascii="Times New Roman" w:hAnsi="Times New Roman"/>
          <w:sz w:val="25"/>
          <w:szCs w:val="25"/>
          <w:lang w:val="lv-LV"/>
        </w:rPr>
        <w:t>J.Reirs</w:t>
      </w:r>
      <w:proofErr w:type="spellEnd"/>
    </w:p>
    <w:p w14:paraId="17B18C36" w14:textId="77777777" w:rsidR="00BA3659" w:rsidRPr="00EC190C" w:rsidRDefault="00BA3659" w:rsidP="00BA3659">
      <w:pPr>
        <w:spacing w:after="0" w:line="240" w:lineRule="auto"/>
        <w:jc w:val="both"/>
        <w:rPr>
          <w:rFonts w:ascii="Times New Roman" w:hAnsi="Times New Roman"/>
          <w:color w:val="000000"/>
          <w:sz w:val="25"/>
          <w:szCs w:val="25"/>
          <w:lang w:val="lv-LV"/>
        </w:rPr>
      </w:pPr>
    </w:p>
    <w:p w14:paraId="0A416992" w14:textId="77777777" w:rsidR="00EE3C39" w:rsidRPr="00EC190C" w:rsidRDefault="00EE3C39">
      <w:pPr>
        <w:spacing w:after="0" w:line="240" w:lineRule="auto"/>
        <w:jc w:val="both"/>
        <w:rPr>
          <w:rFonts w:ascii="Times New Roman" w:hAnsi="Times New Roman"/>
          <w:color w:val="000000"/>
          <w:sz w:val="25"/>
          <w:szCs w:val="25"/>
          <w:lang w:val="lv-LV"/>
        </w:rPr>
      </w:pPr>
    </w:p>
    <w:p w14:paraId="4CFCF3FD" w14:textId="2012128D" w:rsidR="00664F44" w:rsidRPr="00EC190C" w:rsidRDefault="00BA3659" w:rsidP="00C675B7">
      <w:pPr>
        <w:tabs>
          <w:tab w:val="right" w:pos="9071"/>
        </w:tabs>
        <w:spacing w:after="0" w:line="240" w:lineRule="auto"/>
        <w:ind w:left="-142"/>
        <w:jc w:val="both"/>
        <w:rPr>
          <w:rFonts w:ascii="Times New Roman" w:hAnsi="Times New Roman"/>
          <w:color w:val="000000"/>
          <w:sz w:val="25"/>
          <w:szCs w:val="25"/>
          <w:lang w:val="lv-LV"/>
        </w:rPr>
      </w:pPr>
      <w:r w:rsidRPr="00EC190C">
        <w:rPr>
          <w:rFonts w:ascii="Times New Roman" w:hAnsi="Times New Roman"/>
          <w:color w:val="000000"/>
          <w:sz w:val="25"/>
          <w:szCs w:val="25"/>
          <w:lang w:val="lv-LV"/>
        </w:rPr>
        <w:t>Vīza: Valsts sekretār</w:t>
      </w:r>
      <w:r w:rsidR="003C46E4" w:rsidRPr="00EC190C">
        <w:rPr>
          <w:rFonts w:ascii="Times New Roman" w:hAnsi="Times New Roman"/>
          <w:color w:val="000000"/>
          <w:sz w:val="25"/>
          <w:szCs w:val="25"/>
          <w:lang w:val="lv-LV"/>
        </w:rPr>
        <w:t>e</w:t>
      </w:r>
      <w:r w:rsidR="00664F44" w:rsidRPr="00EC190C">
        <w:rPr>
          <w:rFonts w:ascii="Times New Roman" w:hAnsi="Times New Roman"/>
          <w:color w:val="000000"/>
          <w:sz w:val="25"/>
          <w:szCs w:val="25"/>
          <w:lang w:val="lv-LV"/>
        </w:rPr>
        <w:t>s vietā –</w:t>
      </w:r>
    </w:p>
    <w:p w14:paraId="3463A657" w14:textId="1CEFB4BF" w:rsidR="004E7BC4" w:rsidRPr="00EC190C" w:rsidRDefault="00664F44" w:rsidP="00C675B7">
      <w:pPr>
        <w:tabs>
          <w:tab w:val="right" w:pos="9071"/>
        </w:tabs>
        <w:spacing w:after="0" w:line="240" w:lineRule="auto"/>
        <w:ind w:left="-142"/>
        <w:jc w:val="both"/>
        <w:rPr>
          <w:rFonts w:ascii="Times New Roman" w:hAnsi="Times New Roman"/>
          <w:sz w:val="25"/>
          <w:szCs w:val="25"/>
          <w:lang w:val="lv-LV"/>
        </w:rPr>
      </w:pPr>
      <w:r w:rsidRPr="00EC190C">
        <w:rPr>
          <w:rFonts w:ascii="Times New Roman" w:hAnsi="Times New Roman"/>
          <w:color w:val="000000"/>
          <w:sz w:val="25"/>
          <w:szCs w:val="25"/>
          <w:lang w:val="lv-LV"/>
        </w:rPr>
        <w:t>administrācijas vadītāja</w:t>
      </w:r>
      <w:r w:rsidR="00C675B7" w:rsidRPr="00EC190C">
        <w:rPr>
          <w:rFonts w:ascii="Times New Roman" w:hAnsi="Times New Roman"/>
          <w:color w:val="000000"/>
          <w:sz w:val="25"/>
          <w:szCs w:val="25"/>
          <w:lang w:val="lv-LV"/>
        </w:rPr>
        <w:tab/>
      </w:r>
      <w:proofErr w:type="spellStart"/>
      <w:r w:rsidRPr="00EC190C">
        <w:rPr>
          <w:rFonts w:ascii="Times New Roman" w:hAnsi="Times New Roman"/>
          <w:color w:val="000000"/>
          <w:sz w:val="25"/>
          <w:szCs w:val="25"/>
          <w:lang w:val="lv-LV"/>
        </w:rPr>
        <w:t>I.Braunfelde</w:t>
      </w:r>
      <w:proofErr w:type="spellEnd"/>
    </w:p>
    <w:p w14:paraId="6DF1363D" w14:textId="77777777" w:rsidR="004E7BC4" w:rsidRPr="00EC190C" w:rsidRDefault="004E7BC4" w:rsidP="0091090E">
      <w:pPr>
        <w:tabs>
          <w:tab w:val="left" w:pos="8080"/>
        </w:tabs>
        <w:spacing w:after="0" w:line="240" w:lineRule="auto"/>
        <w:jc w:val="both"/>
        <w:rPr>
          <w:rFonts w:ascii="Times New Roman" w:hAnsi="Times New Roman"/>
          <w:color w:val="000000"/>
          <w:sz w:val="25"/>
          <w:szCs w:val="25"/>
          <w:lang w:val="lv-LV"/>
        </w:rPr>
      </w:pPr>
    </w:p>
    <w:p w14:paraId="24EBD812" w14:textId="77777777" w:rsidR="004C05A8" w:rsidRPr="00EC190C" w:rsidRDefault="004C05A8" w:rsidP="004E7BC4">
      <w:pPr>
        <w:tabs>
          <w:tab w:val="left" w:pos="8080"/>
        </w:tabs>
        <w:spacing w:after="0" w:line="240" w:lineRule="auto"/>
        <w:jc w:val="both"/>
        <w:rPr>
          <w:rFonts w:ascii="Times New Roman" w:hAnsi="Times New Roman"/>
          <w:sz w:val="25"/>
          <w:szCs w:val="25"/>
          <w:lang w:val="lv-LV"/>
        </w:rPr>
      </w:pPr>
    </w:p>
    <w:p w14:paraId="202062B1" w14:textId="292E2FBC" w:rsidR="00133652" w:rsidRPr="00EC190C" w:rsidRDefault="00133652" w:rsidP="004E7BC4">
      <w:pPr>
        <w:tabs>
          <w:tab w:val="left" w:pos="8080"/>
        </w:tabs>
        <w:spacing w:after="0" w:line="240" w:lineRule="auto"/>
        <w:jc w:val="both"/>
        <w:rPr>
          <w:rFonts w:ascii="Times New Roman" w:hAnsi="Times New Roman"/>
          <w:sz w:val="25"/>
          <w:szCs w:val="25"/>
          <w:lang w:val="lv-LV"/>
        </w:rPr>
      </w:pPr>
    </w:p>
    <w:p w14:paraId="4952EF1D" w14:textId="1EA539A4" w:rsidR="00553D47" w:rsidRPr="00EC190C" w:rsidRDefault="001B12AD" w:rsidP="00553D47">
      <w:pPr>
        <w:spacing w:after="0" w:line="240" w:lineRule="auto"/>
        <w:ind w:left="-142"/>
        <w:jc w:val="both"/>
        <w:rPr>
          <w:rFonts w:ascii="Times New Roman" w:eastAsia="Times New Roman" w:hAnsi="Times New Roman" w:cs="Times New Roman"/>
          <w:sz w:val="20"/>
          <w:szCs w:val="25"/>
          <w:lang w:val="lv-LV"/>
        </w:rPr>
      </w:pPr>
      <w:r w:rsidRPr="00EC190C">
        <w:rPr>
          <w:rFonts w:ascii="Times New Roman" w:eastAsia="Times New Roman" w:hAnsi="Times New Roman" w:cs="Times New Roman"/>
          <w:sz w:val="20"/>
          <w:szCs w:val="25"/>
          <w:lang w:val="lv-LV"/>
        </w:rPr>
        <w:t>28</w:t>
      </w:r>
      <w:r w:rsidR="00553D47" w:rsidRPr="00EC190C">
        <w:rPr>
          <w:rFonts w:ascii="Times New Roman" w:eastAsia="Times New Roman" w:hAnsi="Times New Roman" w:cs="Times New Roman"/>
          <w:sz w:val="20"/>
          <w:szCs w:val="25"/>
          <w:lang w:val="lv-LV"/>
        </w:rPr>
        <w:t xml:space="preserve">.11.2014 </w:t>
      </w:r>
      <w:r w:rsidR="000A3A42" w:rsidRPr="00EC190C">
        <w:rPr>
          <w:rFonts w:ascii="Times New Roman" w:eastAsia="Times New Roman" w:hAnsi="Times New Roman" w:cs="Times New Roman"/>
          <w:sz w:val="20"/>
          <w:szCs w:val="25"/>
          <w:lang w:val="lv-LV"/>
        </w:rPr>
        <w:t>1</w:t>
      </w:r>
      <w:r w:rsidR="003274EC" w:rsidRPr="00EC190C">
        <w:rPr>
          <w:rFonts w:ascii="Times New Roman" w:eastAsia="Times New Roman" w:hAnsi="Times New Roman" w:cs="Times New Roman"/>
          <w:sz w:val="20"/>
          <w:szCs w:val="25"/>
          <w:lang w:val="lv-LV"/>
        </w:rPr>
        <w:t>2</w:t>
      </w:r>
      <w:r w:rsidR="000A3A42" w:rsidRPr="00EC190C">
        <w:rPr>
          <w:rFonts w:ascii="Times New Roman" w:eastAsia="Times New Roman" w:hAnsi="Times New Roman" w:cs="Times New Roman"/>
          <w:sz w:val="20"/>
          <w:szCs w:val="25"/>
          <w:lang w:val="lv-LV"/>
        </w:rPr>
        <w:t>:0</w:t>
      </w:r>
      <w:r w:rsidR="00553D47" w:rsidRPr="00EC190C">
        <w:rPr>
          <w:rFonts w:ascii="Times New Roman" w:eastAsia="Times New Roman" w:hAnsi="Times New Roman" w:cs="Times New Roman"/>
          <w:sz w:val="20"/>
          <w:szCs w:val="25"/>
          <w:lang w:val="lv-LV"/>
        </w:rPr>
        <w:t>0</w:t>
      </w:r>
    </w:p>
    <w:p w14:paraId="0DAC0860" w14:textId="4668E2D5" w:rsidR="00553D47" w:rsidRPr="00EC190C" w:rsidRDefault="001B12AD" w:rsidP="00553D47">
      <w:pPr>
        <w:spacing w:after="0" w:line="240" w:lineRule="auto"/>
        <w:ind w:left="-142"/>
        <w:jc w:val="both"/>
        <w:rPr>
          <w:rFonts w:ascii="Times New Roman" w:eastAsia="Times New Roman" w:hAnsi="Times New Roman" w:cs="Times New Roman"/>
          <w:sz w:val="20"/>
          <w:szCs w:val="25"/>
          <w:lang w:val="lv-LV"/>
        </w:rPr>
      </w:pPr>
      <w:r w:rsidRPr="00EC190C">
        <w:rPr>
          <w:rFonts w:ascii="Times New Roman" w:eastAsia="Times New Roman" w:hAnsi="Times New Roman" w:cs="Times New Roman"/>
          <w:sz w:val="20"/>
          <w:szCs w:val="25"/>
          <w:lang w:val="lv-LV"/>
        </w:rPr>
        <w:t>12</w:t>
      </w:r>
      <w:r w:rsidR="001854F0" w:rsidRPr="00EC190C">
        <w:rPr>
          <w:rFonts w:ascii="Times New Roman" w:eastAsia="Times New Roman" w:hAnsi="Times New Roman" w:cs="Times New Roman"/>
          <w:sz w:val="20"/>
          <w:szCs w:val="25"/>
          <w:lang w:val="lv-LV"/>
        </w:rPr>
        <w:t>75</w:t>
      </w:r>
    </w:p>
    <w:p w14:paraId="1BCA0060" w14:textId="2E7E63D2" w:rsidR="00553D47" w:rsidRPr="00EC190C" w:rsidRDefault="0085084E" w:rsidP="00553D47">
      <w:pPr>
        <w:spacing w:after="0" w:line="240" w:lineRule="auto"/>
        <w:ind w:left="-142"/>
        <w:jc w:val="both"/>
        <w:rPr>
          <w:rFonts w:ascii="Times New Roman" w:eastAsia="Times New Roman" w:hAnsi="Times New Roman" w:cs="Times New Roman"/>
          <w:sz w:val="20"/>
          <w:szCs w:val="25"/>
          <w:lang w:val="lv-LV"/>
        </w:rPr>
      </w:pPr>
      <w:r w:rsidRPr="00EC190C">
        <w:rPr>
          <w:rFonts w:ascii="Times New Roman" w:eastAsia="Times New Roman" w:hAnsi="Times New Roman" w:cs="Times New Roman"/>
          <w:sz w:val="20"/>
          <w:szCs w:val="25"/>
          <w:lang w:val="lv-LV"/>
        </w:rPr>
        <w:t>Andrejs Zamb</w:t>
      </w:r>
      <w:r w:rsidR="00B01144" w:rsidRPr="00EC190C">
        <w:rPr>
          <w:rFonts w:ascii="Times New Roman" w:eastAsia="Times New Roman" w:hAnsi="Times New Roman" w:cs="Times New Roman"/>
          <w:sz w:val="20"/>
          <w:szCs w:val="25"/>
          <w:lang w:val="lv-LV"/>
        </w:rPr>
        <w:t>ž</w:t>
      </w:r>
      <w:r w:rsidRPr="00EC190C">
        <w:rPr>
          <w:rFonts w:ascii="Times New Roman" w:eastAsia="Times New Roman" w:hAnsi="Times New Roman" w:cs="Times New Roman"/>
          <w:sz w:val="20"/>
          <w:szCs w:val="25"/>
          <w:lang w:val="lv-LV"/>
        </w:rPr>
        <w:t>etskis</w:t>
      </w:r>
    </w:p>
    <w:p w14:paraId="2F7D30E0" w14:textId="77777777" w:rsidR="00553D47" w:rsidRPr="00EC190C" w:rsidRDefault="00553D47" w:rsidP="00553D47">
      <w:pPr>
        <w:spacing w:after="0" w:line="240" w:lineRule="auto"/>
        <w:ind w:left="-142"/>
        <w:jc w:val="both"/>
        <w:rPr>
          <w:rFonts w:ascii="Times New Roman" w:eastAsia="Times New Roman" w:hAnsi="Times New Roman" w:cs="Times New Roman"/>
          <w:sz w:val="20"/>
          <w:szCs w:val="25"/>
          <w:lang w:val="lv-LV"/>
        </w:rPr>
      </w:pPr>
      <w:r w:rsidRPr="00EC190C">
        <w:rPr>
          <w:rFonts w:ascii="Times New Roman" w:eastAsia="Times New Roman" w:hAnsi="Times New Roman" w:cs="Times New Roman"/>
          <w:sz w:val="20"/>
          <w:szCs w:val="25"/>
          <w:lang w:val="lv-LV"/>
        </w:rPr>
        <w:t>Finanšu ministrijas</w:t>
      </w:r>
    </w:p>
    <w:p w14:paraId="70C8DE95" w14:textId="77777777" w:rsidR="00553D47" w:rsidRPr="00EC190C" w:rsidRDefault="00553D47" w:rsidP="00553D47">
      <w:pPr>
        <w:spacing w:after="0" w:line="240" w:lineRule="auto"/>
        <w:ind w:left="-142"/>
        <w:jc w:val="both"/>
        <w:rPr>
          <w:rFonts w:ascii="Times New Roman" w:eastAsia="Times New Roman" w:hAnsi="Times New Roman" w:cs="Times New Roman"/>
          <w:sz w:val="20"/>
          <w:szCs w:val="25"/>
          <w:lang w:val="lv-LV"/>
        </w:rPr>
      </w:pPr>
      <w:r w:rsidRPr="00EC190C">
        <w:rPr>
          <w:rFonts w:ascii="Times New Roman" w:eastAsia="Times New Roman" w:hAnsi="Times New Roman" w:cs="Times New Roman"/>
          <w:sz w:val="20"/>
          <w:szCs w:val="25"/>
          <w:lang w:val="lv-LV"/>
        </w:rPr>
        <w:t>Eiropas Savienības fondu stratēģijas departamenta</w:t>
      </w:r>
    </w:p>
    <w:p w14:paraId="650FF8D5" w14:textId="77777777" w:rsidR="00553D47" w:rsidRPr="00EC190C" w:rsidRDefault="00553D47" w:rsidP="00553D47">
      <w:pPr>
        <w:spacing w:after="0" w:line="240" w:lineRule="auto"/>
        <w:ind w:left="-142"/>
        <w:jc w:val="both"/>
        <w:rPr>
          <w:rFonts w:ascii="Times New Roman" w:eastAsia="Times New Roman" w:hAnsi="Times New Roman" w:cs="Times New Roman"/>
          <w:sz w:val="20"/>
          <w:szCs w:val="25"/>
          <w:lang w:val="lv-LV"/>
        </w:rPr>
      </w:pPr>
      <w:r w:rsidRPr="00EC190C">
        <w:rPr>
          <w:rFonts w:ascii="Times New Roman" w:eastAsia="Times New Roman" w:hAnsi="Times New Roman" w:cs="Times New Roman"/>
          <w:sz w:val="20"/>
          <w:szCs w:val="25"/>
          <w:lang w:val="lv-LV"/>
        </w:rPr>
        <w:t>Uzņēmējdarbības un inovāciju plānošanas nodaļas</w:t>
      </w:r>
    </w:p>
    <w:p w14:paraId="30C9E337" w14:textId="77777777" w:rsidR="00553D47" w:rsidRPr="00EC190C" w:rsidRDefault="00553D47" w:rsidP="00553D47">
      <w:pPr>
        <w:spacing w:after="0" w:line="240" w:lineRule="auto"/>
        <w:ind w:left="-142"/>
        <w:jc w:val="both"/>
        <w:rPr>
          <w:rFonts w:ascii="Times New Roman" w:eastAsia="Times New Roman" w:hAnsi="Times New Roman" w:cs="Times New Roman"/>
          <w:sz w:val="20"/>
          <w:szCs w:val="25"/>
          <w:lang w:val="lv-LV"/>
        </w:rPr>
      </w:pPr>
      <w:r w:rsidRPr="00EC190C">
        <w:rPr>
          <w:rFonts w:ascii="Times New Roman" w:eastAsia="Times New Roman" w:hAnsi="Times New Roman" w:cs="Times New Roman"/>
          <w:sz w:val="20"/>
          <w:szCs w:val="25"/>
          <w:lang w:val="lv-LV"/>
        </w:rPr>
        <w:t>vecākais eksperts</w:t>
      </w:r>
    </w:p>
    <w:p w14:paraId="4C1E74AB" w14:textId="5C45446C" w:rsidR="00553D47" w:rsidRPr="00EC190C" w:rsidRDefault="00553D47" w:rsidP="00553D47">
      <w:pPr>
        <w:spacing w:after="0" w:line="240" w:lineRule="auto"/>
        <w:ind w:left="-142"/>
        <w:jc w:val="both"/>
        <w:rPr>
          <w:rFonts w:ascii="Times New Roman" w:eastAsia="Times New Roman" w:hAnsi="Times New Roman" w:cs="Times New Roman"/>
          <w:sz w:val="20"/>
          <w:szCs w:val="25"/>
          <w:lang w:val="lv-LV"/>
        </w:rPr>
      </w:pPr>
      <w:r w:rsidRPr="00EC190C">
        <w:rPr>
          <w:rFonts w:ascii="Times New Roman" w:eastAsia="Times New Roman" w:hAnsi="Times New Roman" w:cs="Times New Roman"/>
          <w:sz w:val="20"/>
          <w:szCs w:val="25"/>
          <w:lang w:val="lv-LV"/>
        </w:rPr>
        <w:t>tālr. 670</w:t>
      </w:r>
      <w:r w:rsidR="0085084E" w:rsidRPr="00EC190C">
        <w:rPr>
          <w:rFonts w:ascii="Times New Roman" w:eastAsia="Times New Roman" w:hAnsi="Times New Roman" w:cs="Times New Roman"/>
          <w:sz w:val="20"/>
          <w:szCs w:val="25"/>
          <w:lang w:val="lv-LV"/>
        </w:rPr>
        <w:t>83944</w:t>
      </w:r>
      <w:r w:rsidRPr="00EC190C">
        <w:rPr>
          <w:rFonts w:ascii="Times New Roman" w:eastAsia="Times New Roman" w:hAnsi="Times New Roman" w:cs="Times New Roman"/>
          <w:sz w:val="20"/>
          <w:szCs w:val="25"/>
          <w:lang w:val="lv-LV"/>
        </w:rPr>
        <w:t xml:space="preserve">, </w:t>
      </w:r>
    </w:p>
    <w:p w14:paraId="410C24C9" w14:textId="131149FC" w:rsidR="00D40CFC" w:rsidRPr="009A5537" w:rsidRDefault="0085084E" w:rsidP="00553D47">
      <w:pPr>
        <w:widowControl w:val="0"/>
        <w:spacing w:after="0" w:line="240" w:lineRule="auto"/>
        <w:ind w:left="-142"/>
        <w:jc w:val="both"/>
        <w:rPr>
          <w:rFonts w:ascii="Times New Roman" w:hAnsi="Times New Roman"/>
          <w:sz w:val="20"/>
          <w:szCs w:val="25"/>
          <w:lang w:val="lv-LV"/>
        </w:rPr>
      </w:pPr>
      <w:r w:rsidRPr="00EC190C">
        <w:rPr>
          <w:rFonts w:ascii="Times New Roman" w:eastAsia="Times New Roman" w:hAnsi="Times New Roman" w:cs="Times New Roman"/>
          <w:sz w:val="20"/>
          <w:szCs w:val="25"/>
          <w:lang w:val="lv-LV"/>
        </w:rPr>
        <w:t>Andrejs.Zambzetskis</w:t>
      </w:r>
      <w:r w:rsidR="00553D47" w:rsidRPr="00EC190C">
        <w:rPr>
          <w:rFonts w:ascii="Times New Roman" w:eastAsia="Times New Roman" w:hAnsi="Times New Roman" w:cs="Times New Roman"/>
          <w:sz w:val="20"/>
          <w:szCs w:val="25"/>
          <w:lang w:val="lv-LV"/>
        </w:rPr>
        <w:t>@fm.gov.lv</w:t>
      </w:r>
    </w:p>
    <w:sectPr w:rsidR="00D40CFC" w:rsidRPr="009A5537" w:rsidSect="00D40CFC">
      <w:footerReference w:type="default" r:id="rId8"/>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98E37" w14:textId="77777777" w:rsidR="008A009B" w:rsidRDefault="008A009B" w:rsidP="002A617A">
      <w:pPr>
        <w:spacing w:after="0" w:line="240" w:lineRule="auto"/>
      </w:pPr>
      <w:r>
        <w:separator/>
      </w:r>
    </w:p>
  </w:endnote>
  <w:endnote w:type="continuationSeparator" w:id="0">
    <w:p w14:paraId="0A111BAA" w14:textId="77777777" w:rsidR="008A009B" w:rsidRDefault="008A009B" w:rsidP="002A617A">
      <w:pPr>
        <w:spacing w:after="0" w:line="240" w:lineRule="auto"/>
      </w:pPr>
      <w:r>
        <w:continuationSeparator/>
      </w:r>
    </w:p>
  </w:endnote>
  <w:endnote w:type="continuationNotice" w:id="1">
    <w:p w14:paraId="52E7D9F9" w14:textId="77777777" w:rsidR="008A009B" w:rsidRDefault="008A0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A215A" w14:textId="1258638F" w:rsidR="00225426" w:rsidRPr="002A76B5" w:rsidRDefault="00225426" w:rsidP="00F66F09">
    <w:pPr>
      <w:spacing w:after="0" w:line="240" w:lineRule="auto"/>
      <w:ind w:left="-142"/>
      <w:jc w:val="both"/>
      <w:outlineLvl w:val="0"/>
      <w:rPr>
        <w:rFonts w:ascii="Times New Roman" w:hAnsi="Times New Roman" w:cs="Times New Roman"/>
        <w:sz w:val="20"/>
        <w:szCs w:val="20"/>
      </w:rPr>
    </w:pPr>
    <w:r w:rsidRPr="002A76B5">
      <w:rPr>
        <w:rFonts w:ascii="Times New Roman" w:hAnsi="Times New Roman" w:cs="Times New Roman"/>
        <w:sz w:val="20"/>
        <w:szCs w:val="20"/>
      </w:rPr>
      <w:fldChar w:fldCharType="begin"/>
    </w:r>
    <w:r w:rsidRPr="002A76B5">
      <w:rPr>
        <w:rFonts w:ascii="Times New Roman" w:hAnsi="Times New Roman" w:cs="Times New Roman"/>
        <w:sz w:val="20"/>
        <w:szCs w:val="20"/>
      </w:rPr>
      <w:instrText xml:space="preserve"> FILENAME   \* MERGEFORMAT </w:instrText>
    </w:r>
    <w:r w:rsidRPr="002A76B5">
      <w:rPr>
        <w:rFonts w:ascii="Times New Roman" w:hAnsi="Times New Roman" w:cs="Times New Roman"/>
        <w:sz w:val="20"/>
        <w:szCs w:val="20"/>
      </w:rPr>
      <w:fldChar w:fldCharType="separate"/>
    </w:r>
    <w:r w:rsidR="004C4FD3">
      <w:rPr>
        <w:rFonts w:ascii="Times New Roman" w:hAnsi="Times New Roman" w:cs="Times New Roman"/>
        <w:noProof/>
        <w:sz w:val="20"/>
        <w:szCs w:val="20"/>
      </w:rPr>
      <w:t>FMAnot_23223_</w:t>
    </w:r>
    <w:r w:rsidR="003274EC">
      <w:rPr>
        <w:rFonts w:ascii="Times New Roman" w:hAnsi="Times New Roman" w:cs="Times New Roman"/>
        <w:noProof/>
        <w:sz w:val="20"/>
        <w:szCs w:val="20"/>
      </w:rPr>
      <w:t>28</w:t>
    </w:r>
    <w:r w:rsidR="004C4FD3">
      <w:rPr>
        <w:rFonts w:ascii="Times New Roman" w:hAnsi="Times New Roman" w:cs="Times New Roman"/>
        <w:noProof/>
        <w:sz w:val="20"/>
        <w:szCs w:val="20"/>
      </w:rPr>
      <w:t>1114</w:t>
    </w:r>
    <w:r w:rsidRPr="002A76B5">
      <w:rPr>
        <w:rFonts w:ascii="Times New Roman" w:hAnsi="Times New Roman" w:cs="Times New Roman"/>
        <w:noProof/>
        <w:sz w:val="20"/>
        <w:szCs w:val="20"/>
      </w:rPr>
      <w:fldChar w:fldCharType="end"/>
    </w:r>
    <w:r w:rsidRPr="002A76B5">
      <w:rPr>
        <w:rFonts w:ascii="Times New Roman" w:hAnsi="Times New Roman" w:cs="Times New Roman"/>
        <w:sz w:val="20"/>
        <w:szCs w:val="20"/>
      </w:rPr>
      <w:t>;</w:t>
    </w:r>
    <w:r w:rsidRPr="00396E9E">
      <w:rPr>
        <w:rFonts w:ascii="Times New Roman" w:eastAsia="Calibri" w:hAnsi="Times New Roman" w:cs="Times New Roman"/>
        <w:sz w:val="20"/>
        <w:szCs w:val="20"/>
        <w:lang w:val="en-AU"/>
      </w:rPr>
      <w:t xml:space="preserve"> </w:t>
    </w:r>
    <w:r w:rsidR="00C74056" w:rsidRPr="00C74056">
      <w:rPr>
        <w:rFonts w:ascii="Times New Roman" w:hAnsi="Times New Roman" w:cs="Times New Roman"/>
        <w:sz w:val="20"/>
        <w:szCs w:val="20"/>
        <w:lang w:val="lv-LV" w:eastAsia="lv-LV"/>
      </w:rPr>
      <w:t>Mini</w:t>
    </w:r>
    <w:r w:rsidR="003A4806">
      <w:rPr>
        <w:rFonts w:ascii="Times New Roman" w:hAnsi="Times New Roman" w:cs="Times New Roman"/>
        <w:sz w:val="20"/>
        <w:szCs w:val="20"/>
        <w:lang w:val="lv-LV" w:eastAsia="lv-LV"/>
      </w:rPr>
      <w:t>stru kabineta noteikumu projekta „Grozījums</w:t>
    </w:r>
    <w:r w:rsidR="00C74056" w:rsidRPr="00C74056">
      <w:rPr>
        <w:rFonts w:ascii="Times New Roman" w:hAnsi="Times New Roman" w:cs="Times New Roman"/>
        <w:sz w:val="20"/>
        <w:szCs w:val="20"/>
        <w:lang w:val="lv-LV" w:eastAsia="lv-LV"/>
      </w:rPr>
      <w:t xml:space="preserve"> Ministru kabineta 2014.gada 10.novembra noteikumos Nr.700 “Noteikumi par darbības programmas “Uzņēmējdarbība un inovācijas” papildinājuma 2.3.2.2.aktivitātes “Atbalsts ieguldījumiem mikro, maziem un vidējiem komersantiem” 2.3.2.2.3.apakšaktivitāti “Atbalsts ieguldījumiem infrastruktūrā uzņēmējdarbības attīstībai”””</w:t>
    </w:r>
    <w:r w:rsidR="00C74056">
      <w:rPr>
        <w:rFonts w:ascii="Times New Roman" w:hAnsi="Times New Roman" w:cs="Times New Roman"/>
        <w:sz w:val="20"/>
        <w:szCs w:val="20"/>
        <w:lang w:val="lv-LV" w:eastAsia="lv-LV"/>
      </w:rPr>
      <w:t xml:space="preserve"> </w:t>
    </w:r>
    <w:r w:rsidRPr="00972446">
      <w:rPr>
        <w:rFonts w:ascii="Times New Roman" w:eastAsia="Times New Roman" w:hAnsi="Times New Roman" w:cs="Times New Roman"/>
        <w:sz w:val="20"/>
        <w:szCs w:val="20"/>
        <w:lang w:val="lv-LV"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D97F2" w14:textId="77777777" w:rsidR="008A009B" w:rsidRDefault="008A009B" w:rsidP="002A617A">
      <w:pPr>
        <w:spacing w:after="0" w:line="240" w:lineRule="auto"/>
      </w:pPr>
      <w:r>
        <w:separator/>
      </w:r>
    </w:p>
  </w:footnote>
  <w:footnote w:type="continuationSeparator" w:id="0">
    <w:p w14:paraId="017356A7" w14:textId="77777777" w:rsidR="008A009B" w:rsidRDefault="008A009B" w:rsidP="002A617A">
      <w:pPr>
        <w:spacing w:after="0" w:line="240" w:lineRule="auto"/>
      </w:pPr>
      <w:r>
        <w:continuationSeparator/>
      </w:r>
    </w:p>
  </w:footnote>
  <w:footnote w:type="continuationNotice" w:id="1">
    <w:p w14:paraId="05BFF17F" w14:textId="77777777" w:rsidR="008A009B" w:rsidRDefault="008A009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53F73"/>
    <w:multiLevelType w:val="hybridMultilevel"/>
    <w:tmpl w:val="F530C0EC"/>
    <w:lvl w:ilvl="0" w:tplc="D69EE388">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B2643C8"/>
    <w:multiLevelType w:val="hybridMultilevel"/>
    <w:tmpl w:val="3168C74C"/>
    <w:lvl w:ilvl="0" w:tplc="4F9A28C8">
      <w:start w:val="1"/>
      <w:numFmt w:val="decimal"/>
      <w:lvlText w:val="%1."/>
      <w:lvlJc w:val="left"/>
      <w:pPr>
        <w:ind w:left="720" w:hanging="360"/>
      </w:pPr>
      <w:rPr>
        <w:sz w:val="28"/>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B17464"/>
    <w:multiLevelType w:val="multilevel"/>
    <w:tmpl w:val="241A3C34"/>
    <w:lvl w:ilvl="0">
      <w:start w:val="1"/>
      <w:numFmt w:val="decimal"/>
      <w:lvlText w:val="%1."/>
      <w:lvlJc w:val="left"/>
      <w:pPr>
        <w:ind w:left="360" w:hanging="360"/>
      </w:pPr>
      <w:rPr>
        <w:rFonts w:ascii="Times New Roman" w:hAnsi="Times New Roman" w:cs="Times New Roman" w:hint="default"/>
        <w:sz w:val="24"/>
        <w:szCs w:val="28"/>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DA75F2"/>
    <w:multiLevelType w:val="hybridMultilevel"/>
    <w:tmpl w:val="2D6CEE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6C76B51"/>
    <w:multiLevelType w:val="multilevel"/>
    <w:tmpl w:val="241A3C34"/>
    <w:lvl w:ilvl="0">
      <w:start w:val="1"/>
      <w:numFmt w:val="decimal"/>
      <w:lvlText w:val="%1."/>
      <w:lvlJc w:val="left"/>
      <w:pPr>
        <w:ind w:left="360" w:hanging="360"/>
      </w:pPr>
      <w:rPr>
        <w:rFonts w:ascii="Times New Roman" w:hAnsi="Times New Roman" w:cs="Times New Roman" w:hint="default"/>
        <w:sz w:val="24"/>
        <w:szCs w:val="28"/>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A91BD2"/>
    <w:multiLevelType w:val="hybridMultilevel"/>
    <w:tmpl w:val="DFFC56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nsid w:val="2FA21E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706851"/>
    <w:multiLevelType w:val="multilevel"/>
    <w:tmpl w:val="06125B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83348C"/>
    <w:multiLevelType w:val="multilevel"/>
    <w:tmpl w:val="06125B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BD2CC7"/>
    <w:multiLevelType w:val="hybridMultilevel"/>
    <w:tmpl w:val="3906175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10">
    <w:nsid w:val="43AE2BD5"/>
    <w:multiLevelType w:val="hybridMultilevel"/>
    <w:tmpl w:val="83968C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5BF0308"/>
    <w:multiLevelType w:val="hybridMultilevel"/>
    <w:tmpl w:val="A4BE789C"/>
    <w:lvl w:ilvl="0" w:tplc="96C46EB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45D66B47"/>
    <w:multiLevelType w:val="hybridMultilevel"/>
    <w:tmpl w:val="B52253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E9B4333"/>
    <w:multiLevelType w:val="hybridMultilevel"/>
    <w:tmpl w:val="ED1E1FB6"/>
    <w:lvl w:ilvl="0" w:tplc="F0FCB5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2DB6DC6"/>
    <w:multiLevelType w:val="hybridMultilevel"/>
    <w:tmpl w:val="45846D3A"/>
    <w:lvl w:ilvl="0" w:tplc="0426000F">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nsid w:val="5D9B5F91"/>
    <w:multiLevelType w:val="hybridMultilevel"/>
    <w:tmpl w:val="303E1E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32D034E"/>
    <w:multiLevelType w:val="hybridMultilevel"/>
    <w:tmpl w:val="DB44473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65CB634A"/>
    <w:multiLevelType w:val="hybridMultilevel"/>
    <w:tmpl w:val="7EF4E0DA"/>
    <w:lvl w:ilvl="0" w:tplc="B218ECA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7FC7338"/>
    <w:multiLevelType w:val="hybridMultilevel"/>
    <w:tmpl w:val="33547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D714C19"/>
    <w:multiLevelType w:val="multilevel"/>
    <w:tmpl w:val="D6A896B2"/>
    <w:lvl w:ilvl="0">
      <w:start w:val="1"/>
      <w:numFmt w:val="decimal"/>
      <w:lvlText w:val="%1."/>
      <w:lvlJc w:val="left"/>
      <w:pPr>
        <w:ind w:left="720" w:hanging="360"/>
      </w:pPr>
    </w:lvl>
    <w:lvl w:ilvl="1">
      <w:start w:val="3"/>
      <w:numFmt w:val="decimal"/>
      <w:isLgl/>
      <w:lvlText w:val="%1.%2."/>
      <w:lvlJc w:val="left"/>
      <w:pPr>
        <w:ind w:left="1282" w:hanging="900"/>
      </w:pPr>
      <w:rPr>
        <w:rFonts w:hint="default"/>
      </w:rPr>
    </w:lvl>
    <w:lvl w:ilvl="2">
      <w:start w:val="1"/>
      <w:numFmt w:val="decimal"/>
      <w:isLgl/>
      <w:lvlText w:val="%1.%2.%3."/>
      <w:lvlJc w:val="left"/>
      <w:pPr>
        <w:ind w:left="1304" w:hanging="900"/>
      </w:pPr>
      <w:rPr>
        <w:rFonts w:hint="default"/>
      </w:rPr>
    </w:lvl>
    <w:lvl w:ilvl="3">
      <w:start w:val="1"/>
      <w:numFmt w:val="decimal"/>
      <w:isLgl/>
      <w:lvlText w:val="%1.%2.%3.%4."/>
      <w:lvlJc w:val="left"/>
      <w:pPr>
        <w:ind w:left="1326" w:hanging="900"/>
      </w:pPr>
      <w:rPr>
        <w:rFonts w:hint="default"/>
      </w:rPr>
    </w:lvl>
    <w:lvl w:ilvl="4">
      <w:start w:val="2"/>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20">
    <w:nsid w:val="6E545428"/>
    <w:multiLevelType w:val="hybridMultilevel"/>
    <w:tmpl w:val="B40842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2075059"/>
    <w:multiLevelType w:val="hybridMultilevel"/>
    <w:tmpl w:val="A0901B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2380F09"/>
    <w:multiLevelType w:val="hybridMultilevel"/>
    <w:tmpl w:val="D5080B84"/>
    <w:lvl w:ilvl="0" w:tplc="6816A63C">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53C60B1"/>
    <w:multiLevelType w:val="hybridMultilevel"/>
    <w:tmpl w:val="8FC618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5674F9B"/>
    <w:multiLevelType w:val="hybridMultilevel"/>
    <w:tmpl w:val="7994B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nsid w:val="7BDC7C97"/>
    <w:multiLevelType w:val="hybridMultilevel"/>
    <w:tmpl w:val="CD9EBD6E"/>
    <w:lvl w:ilvl="0" w:tplc="535C4F52">
      <w:start w:val="1"/>
      <w:numFmt w:val="decimal"/>
      <w:lvlText w:val="%1)"/>
      <w:lvlJc w:val="left"/>
      <w:pPr>
        <w:ind w:left="644" w:hanging="360"/>
      </w:pPr>
      <w:rPr>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nsid w:val="7C291288"/>
    <w:multiLevelType w:val="hybridMultilevel"/>
    <w:tmpl w:val="B18E0628"/>
    <w:lvl w:ilvl="0" w:tplc="60A27DC6">
      <w:start w:val="1"/>
      <w:numFmt w:val="decimal"/>
      <w:lvlText w:val="%1."/>
      <w:lvlJc w:val="left"/>
      <w:pPr>
        <w:ind w:left="502" w:hanging="360"/>
      </w:pPr>
      <w:rPr>
        <w:rFonts w:eastAsiaTheme="minorHAnsi" w:cstheme="minorBidi" w:hint="default"/>
        <w:sz w:val="28"/>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8">
    <w:nsid w:val="7D4D53A9"/>
    <w:multiLevelType w:val="hybridMultilevel"/>
    <w:tmpl w:val="6436D0AA"/>
    <w:lvl w:ilvl="0" w:tplc="47C00E9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4"/>
  </w:num>
  <w:num w:numId="4">
    <w:abstractNumId w:val="19"/>
  </w:num>
  <w:num w:numId="5">
    <w:abstractNumId w:val="9"/>
  </w:num>
  <w:num w:numId="6">
    <w:abstractNumId w:val="20"/>
  </w:num>
  <w:num w:numId="7">
    <w:abstractNumId w:val="26"/>
  </w:num>
  <w:num w:numId="8">
    <w:abstractNumId w:val="11"/>
  </w:num>
  <w:num w:numId="9">
    <w:abstractNumId w:val="7"/>
  </w:num>
  <w:num w:numId="10">
    <w:abstractNumId w:val="27"/>
  </w:num>
  <w:num w:numId="11">
    <w:abstractNumId w:val="6"/>
  </w:num>
  <w:num w:numId="12">
    <w:abstractNumId w:val="24"/>
  </w:num>
  <w:num w:numId="13">
    <w:abstractNumId w:val="8"/>
  </w:num>
  <w:num w:numId="14">
    <w:abstractNumId w:val="3"/>
  </w:num>
  <w:num w:numId="15">
    <w:abstractNumId w:val="18"/>
  </w:num>
  <w:num w:numId="16">
    <w:abstractNumId w:val="16"/>
  </w:num>
  <w:num w:numId="17">
    <w:abstractNumId w:val="22"/>
  </w:num>
  <w:num w:numId="18">
    <w:abstractNumId w:val="21"/>
  </w:num>
  <w:num w:numId="19">
    <w:abstractNumId w:val="23"/>
  </w:num>
  <w:num w:numId="20">
    <w:abstractNumId w:val="10"/>
  </w:num>
  <w:num w:numId="21">
    <w:abstractNumId w:val="12"/>
  </w:num>
  <w:num w:numId="22">
    <w:abstractNumId w:val="1"/>
  </w:num>
  <w:num w:numId="23">
    <w:abstractNumId w:val="4"/>
  </w:num>
  <w:num w:numId="24">
    <w:abstractNumId w:val="13"/>
  </w:num>
  <w:num w:numId="25">
    <w:abstractNumId w:val="0"/>
  </w:num>
  <w:num w:numId="26">
    <w:abstractNumId w:val="17"/>
  </w:num>
  <w:num w:numId="27">
    <w:abstractNumId w:val="28"/>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90"/>
    <w:rsid w:val="00003043"/>
    <w:rsid w:val="000068AE"/>
    <w:rsid w:val="00007AFA"/>
    <w:rsid w:val="000105BC"/>
    <w:rsid w:val="00010B38"/>
    <w:rsid w:val="00014658"/>
    <w:rsid w:val="00016F2B"/>
    <w:rsid w:val="00024C69"/>
    <w:rsid w:val="00037822"/>
    <w:rsid w:val="000409AA"/>
    <w:rsid w:val="00047893"/>
    <w:rsid w:val="00047CFE"/>
    <w:rsid w:val="000534EB"/>
    <w:rsid w:val="00057282"/>
    <w:rsid w:val="0006068B"/>
    <w:rsid w:val="00076BFF"/>
    <w:rsid w:val="00080429"/>
    <w:rsid w:val="00082494"/>
    <w:rsid w:val="0008369E"/>
    <w:rsid w:val="00084891"/>
    <w:rsid w:val="000862E6"/>
    <w:rsid w:val="00094966"/>
    <w:rsid w:val="000960E2"/>
    <w:rsid w:val="0009752D"/>
    <w:rsid w:val="00097867"/>
    <w:rsid w:val="000A01AB"/>
    <w:rsid w:val="000A0617"/>
    <w:rsid w:val="000A2104"/>
    <w:rsid w:val="000A2788"/>
    <w:rsid w:val="000A3A42"/>
    <w:rsid w:val="000B2665"/>
    <w:rsid w:val="000B3BD3"/>
    <w:rsid w:val="000C4AE5"/>
    <w:rsid w:val="000C5018"/>
    <w:rsid w:val="000D2379"/>
    <w:rsid w:val="000F08A9"/>
    <w:rsid w:val="000F3F7E"/>
    <w:rsid w:val="000F4492"/>
    <w:rsid w:val="000F6E43"/>
    <w:rsid w:val="00112DB5"/>
    <w:rsid w:val="00114F2D"/>
    <w:rsid w:val="001169AD"/>
    <w:rsid w:val="0012729E"/>
    <w:rsid w:val="001305B6"/>
    <w:rsid w:val="00133652"/>
    <w:rsid w:val="0013367B"/>
    <w:rsid w:val="00134540"/>
    <w:rsid w:val="00137360"/>
    <w:rsid w:val="00143981"/>
    <w:rsid w:val="00143CE8"/>
    <w:rsid w:val="00146ABF"/>
    <w:rsid w:val="00150636"/>
    <w:rsid w:val="00155441"/>
    <w:rsid w:val="00157860"/>
    <w:rsid w:val="00162CFB"/>
    <w:rsid w:val="00163752"/>
    <w:rsid w:val="00163E67"/>
    <w:rsid w:val="00165A68"/>
    <w:rsid w:val="001854F0"/>
    <w:rsid w:val="001869F9"/>
    <w:rsid w:val="00186E20"/>
    <w:rsid w:val="00195713"/>
    <w:rsid w:val="001B12AD"/>
    <w:rsid w:val="001B46EC"/>
    <w:rsid w:val="001B4C9E"/>
    <w:rsid w:val="001C3EEE"/>
    <w:rsid w:val="001C6BB1"/>
    <w:rsid w:val="001D081B"/>
    <w:rsid w:val="001D1D5E"/>
    <w:rsid w:val="001D4A7D"/>
    <w:rsid w:val="001D6C9E"/>
    <w:rsid w:val="001E222B"/>
    <w:rsid w:val="001E2843"/>
    <w:rsid w:val="001E3C16"/>
    <w:rsid w:val="001E6FAC"/>
    <w:rsid w:val="001F5390"/>
    <w:rsid w:val="00202E85"/>
    <w:rsid w:val="0020613E"/>
    <w:rsid w:val="0020647A"/>
    <w:rsid w:val="002163FF"/>
    <w:rsid w:val="00221E27"/>
    <w:rsid w:val="00223C77"/>
    <w:rsid w:val="00224A67"/>
    <w:rsid w:val="00225426"/>
    <w:rsid w:val="00233240"/>
    <w:rsid w:val="00235864"/>
    <w:rsid w:val="00237EAE"/>
    <w:rsid w:val="00240293"/>
    <w:rsid w:val="002450CD"/>
    <w:rsid w:val="00245470"/>
    <w:rsid w:val="0024564F"/>
    <w:rsid w:val="00246230"/>
    <w:rsid w:val="00252BAC"/>
    <w:rsid w:val="00253836"/>
    <w:rsid w:val="00264391"/>
    <w:rsid w:val="00271961"/>
    <w:rsid w:val="0027301F"/>
    <w:rsid w:val="002746A6"/>
    <w:rsid w:val="002770D4"/>
    <w:rsid w:val="002800B3"/>
    <w:rsid w:val="00281EE5"/>
    <w:rsid w:val="00284723"/>
    <w:rsid w:val="00295A5A"/>
    <w:rsid w:val="002A617A"/>
    <w:rsid w:val="002A6D32"/>
    <w:rsid w:val="002A76B5"/>
    <w:rsid w:val="002B3465"/>
    <w:rsid w:val="002B7362"/>
    <w:rsid w:val="002C2258"/>
    <w:rsid w:val="002D1F55"/>
    <w:rsid w:val="002D3591"/>
    <w:rsid w:val="002D3D8D"/>
    <w:rsid w:val="002D3F81"/>
    <w:rsid w:val="002E7E36"/>
    <w:rsid w:val="002F1F30"/>
    <w:rsid w:val="002F2B06"/>
    <w:rsid w:val="002F2C3F"/>
    <w:rsid w:val="002F7C80"/>
    <w:rsid w:val="00311139"/>
    <w:rsid w:val="00311CBF"/>
    <w:rsid w:val="00312598"/>
    <w:rsid w:val="003132F2"/>
    <w:rsid w:val="00313581"/>
    <w:rsid w:val="0031672B"/>
    <w:rsid w:val="00320334"/>
    <w:rsid w:val="00324899"/>
    <w:rsid w:val="00326718"/>
    <w:rsid w:val="003274EC"/>
    <w:rsid w:val="00330F50"/>
    <w:rsid w:val="00333EAD"/>
    <w:rsid w:val="00335259"/>
    <w:rsid w:val="0034037A"/>
    <w:rsid w:val="0034089F"/>
    <w:rsid w:val="00350AA3"/>
    <w:rsid w:val="003518F6"/>
    <w:rsid w:val="003529AC"/>
    <w:rsid w:val="00372223"/>
    <w:rsid w:val="00377F0B"/>
    <w:rsid w:val="00382775"/>
    <w:rsid w:val="00385240"/>
    <w:rsid w:val="00391A25"/>
    <w:rsid w:val="00394C15"/>
    <w:rsid w:val="00396E9E"/>
    <w:rsid w:val="003A0A5F"/>
    <w:rsid w:val="003A3D52"/>
    <w:rsid w:val="003A4806"/>
    <w:rsid w:val="003A5E71"/>
    <w:rsid w:val="003C4242"/>
    <w:rsid w:val="003C46E4"/>
    <w:rsid w:val="003C4E9C"/>
    <w:rsid w:val="003D205F"/>
    <w:rsid w:val="003D3562"/>
    <w:rsid w:val="003D6C41"/>
    <w:rsid w:val="003E0200"/>
    <w:rsid w:val="003E0CC1"/>
    <w:rsid w:val="003E0F17"/>
    <w:rsid w:val="003E2BFC"/>
    <w:rsid w:val="004006AF"/>
    <w:rsid w:val="0040525E"/>
    <w:rsid w:val="00405FE3"/>
    <w:rsid w:val="00406BD3"/>
    <w:rsid w:val="0040788B"/>
    <w:rsid w:val="00407AEA"/>
    <w:rsid w:val="0041285A"/>
    <w:rsid w:val="00414C6B"/>
    <w:rsid w:val="004174D4"/>
    <w:rsid w:val="00420EB1"/>
    <w:rsid w:val="00430011"/>
    <w:rsid w:val="004339BF"/>
    <w:rsid w:val="00436141"/>
    <w:rsid w:val="004425B5"/>
    <w:rsid w:val="0045243C"/>
    <w:rsid w:val="00462295"/>
    <w:rsid w:val="00464FD0"/>
    <w:rsid w:val="00465001"/>
    <w:rsid w:val="00470971"/>
    <w:rsid w:val="00471835"/>
    <w:rsid w:val="0047344C"/>
    <w:rsid w:val="00476E5D"/>
    <w:rsid w:val="00477BB3"/>
    <w:rsid w:val="004848A4"/>
    <w:rsid w:val="00484DC4"/>
    <w:rsid w:val="00485C18"/>
    <w:rsid w:val="0049276A"/>
    <w:rsid w:val="00493C09"/>
    <w:rsid w:val="004949AE"/>
    <w:rsid w:val="004976CD"/>
    <w:rsid w:val="004A16ED"/>
    <w:rsid w:val="004A63FD"/>
    <w:rsid w:val="004B3159"/>
    <w:rsid w:val="004B4C5A"/>
    <w:rsid w:val="004C05A8"/>
    <w:rsid w:val="004C1CA6"/>
    <w:rsid w:val="004C2FE4"/>
    <w:rsid w:val="004C3038"/>
    <w:rsid w:val="004C4FD3"/>
    <w:rsid w:val="004E22A9"/>
    <w:rsid w:val="004E37EF"/>
    <w:rsid w:val="004E692D"/>
    <w:rsid w:val="004E6C72"/>
    <w:rsid w:val="004E7BC4"/>
    <w:rsid w:val="004F067D"/>
    <w:rsid w:val="004F274F"/>
    <w:rsid w:val="004F3C75"/>
    <w:rsid w:val="004F4656"/>
    <w:rsid w:val="005060F9"/>
    <w:rsid w:val="00510120"/>
    <w:rsid w:val="00514675"/>
    <w:rsid w:val="00514AC2"/>
    <w:rsid w:val="0053117C"/>
    <w:rsid w:val="00550D17"/>
    <w:rsid w:val="00553D47"/>
    <w:rsid w:val="00554803"/>
    <w:rsid w:val="005567C5"/>
    <w:rsid w:val="005571ED"/>
    <w:rsid w:val="00560737"/>
    <w:rsid w:val="00564229"/>
    <w:rsid w:val="00564B1C"/>
    <w:rsid w:val="005655B1"/>
    <w:rsid w:val="00567E66"/>
    <w:rsid w:val="0057483F"/>
    <w:rsid w:val="0057647D"/>
    <w:rsid w:val="00590C36"/>
    <w:rsid w:val="005A5F0D"/>
    <w:rsid w:val="005B1F5A"/>
    <w:rsid w:val="005B1FB2"/>
    <w:rsid w:val="005B7A45"/>
    <w:rsid w:val="005D1132"/>
    <w:rsid w:val="005D1C8F"/>
    <w:rsid w:val="005D1D0B"/>
    <w:rsid w:val="005D55D5"/>
    <w:rsid w:val="005D5FD1"/>
    <w:rsid w:val="005E3A9F"/>
    <w:rsid w:val="005E4289"/>
    <w:rsid w:val="005E5030"/>
    <w:rsid w:val="005E631C"/>
    <w:rsid w:val="005E6AF0"/>
    <w:rsid w:val="005F15F4"/>
    <w:rsid w:val="005F449F"/>
    <w:rsid w:val="00600201"/>
    <w:rsid w:val="006026C0"/>
    <w:rsid w:val="006052C4"/>
    <w:rsid w:val="00607320"/>
    <w:rsid w:val="00614C95"/>
    <w:rsid w:val="0063244F"/>
    <w:rsid w:val="0063311E"/>
    <w:rsid w:val="00650193"/>
    <w:rsid w:val="00655016"/>
    <w:rsid w:val="006562A9"/>
    <w:rsid w:val="006570E4"/>
    <w:rsid w:val="006627F3"/>
    <w:rsid w:val="00664470"/>
    <w:rsid w:val="00664CDD"/>
    <w:rsid w:val="00664F44"/>
    <w:rsid w:val="00670BBC"/>
    <w:rsid w:val="00672281"/>
    <w:rsid w:val="00672A29"/>
    <w:rsid w:val="006756A4"/>
    <w:rsid w:val="0068037C"/>
    <w:rsid w:val="00680ADC"/>
    <w:rsid w:val="00682F53"/>
    <w:rsid w:val="006963F1"/>
    <w:rsid w:val="006A0320"/>
    <w:rsid w:val="006A2257"/>
    <w:rsid w:val="006A45EA"/>
    <w:rsid w:val="006A50B9"/>
    <w:rsid w:val="006B385D"/>
    <w:rsid w:val="006C6B81"/>
    <w:rsid w:val="006C7599"/>
    <w:rsid w:val="006D4811"/>
    <w:rsid w:val="006D60D3"/>
    <w:rsid w:val="006D7B18"/>
    <w:rsid w:val="006E1187"/>
    <w:rsid w:val="006E210C"/>
    <w:rsid w:val="006E24E5"/>
    <w:rsid w:val="006E31DC"/>
    <w:rsid w:val="00703951"/>
    <w:rsid w:val="007075A1"/>
    <w:rsid w:val="00712F65"/>
    <w:rsid w:val="00713C31"/>
    <w:rsid w:val="00713F08"/>
    <w:rsid w:val="00722173"/>
    <w:rsid w:val="00737330"/>
    <w:rsid w:val="00737CF5"/>
    <w:rsid w:val="00747722"/>
    <w:rsid w:val="00751510"/>
    <w:rsid w:val="0075352B"/>
    <w:rsid w:val="00754828"/>
    <w:rsid w:val="0077511A"/>
    <w:rsid w:val="00775125"/>
    <w:rsid w:val="00791E66"/>
    <w:rsid w:val="00792A2F"/>
    <w:rsid w:val="007A31C8"/>
    <w:rsid w:val="007A686F"/>
    <w:rsid w:val="007A7672"/>
    <w:rsid w:val="007B08DD"/>
    <w:rsid w:val="007B215D"/>
    <w:rsid w:val="007B32E4"/>
    <w:rsid w:val="007B44E0"/>
    <w:rsid w:val="007B56C8"/>
    <w:rsid w:val="007B6D18"/>
    <w:rsid w:val="007C75FE"/>
    <w:rsid w:val="007D1417"/>
    <w:rsid w:val="007D62D4"/>
    <w:rsid w:val="007D6AEE"/>
    <w:rsid w:val="007F1012"/>
    <w:rsid w:val="007F1018"/>
    <w:rsid w:val="007F1752"/>
    <w:rsid w:val="007F3ACE"/>
    <w:rsid w:val="0080623C"/>
    <w:rsid w:val="00806A07"/>
    <w:rsid w:val="00807FBF"/>
    <w:rsid w:val="00813DD9"/>
    <w:rsid w:val="008152F8"/>
    <w:rsid w:val="00817F69"/>
    <w:rsid w:val="00820BD2"/>
    <w:rsid w:val="0082103D"/>
    <w:rsid w:val="00824AED"/>
    <w:rsid w:val="00827216"/>
    <w:rsid w:val="00827E9E"/>
    <w:rsid w:val="00830152"/>
    <w:rsid w:val="00837155"/>
    <w:rsid w:val="00840469"/>
    <w:rsid w:val="00840DC8"/>
    <w:rsid w:val="00842442"/>
    <w:rsid w:val="0084246E"/>
    <w:rsid w:val="00844F78"/>
    <w:rsid w:val="008454DB"/>
    <w:rsid w:val="0085084E"/>
    <w:rsid w:val="00851937"/>
    <w:rsid w:val="00851ACE"/>
    <w:rsid w:val="008530EC"/>
    <w:rsid w:val="00853E1B"/>
    <w:rsid w:val="00861E55"/>
    <w:rsid w:val="00871F14"/>
    <w:rsid w:val="00873607"/>
    <w:rsid w:val="00874291"/>
    <w:rsid w:val="00877148"/>
    <w:rsid w:val="008810C0"/>
    <w:rsid w:val="00881F0A"/>
    <w:rsid w:val="00883450"/>
    <w:rsid w:val="00883F96"/>
    <w:rsid w:val="008848CE"/>
    <w:rsid w:val="00886F90"/>
    <w:rsid w:val="0089212D"/>
    <w:rsid w:val="008A009B"/>
    <w:rsid w:val="008A0AEA"/>
    <w:rsid w:val="008A0DC7"/>
    <w:rsid w:val="008A4E00"/>
    <w:rsid w:val="008A780B"/>
    <w:rsid w:val="008A7F67"/>
    <w:rsid w:val="008B40AB"/>
    <w:rsid w:val="008B4CAC"/>
    <w:rsid w:val="008C47BE"/>
    <w:rsid w:val="008C5375"/>
    <w:rsid w:val="008D0BCD"/>
    <w:rsid w:val="008D5497"/>
    <w:rsid w:val="008D678E"/>
    <w:rsid w:val="008E0789"/>
    <w:rsid w:val="008E2D4D"/>
    <w:rsid w:val="008F3F8D"/>
    <w:rsid w:val="00902B1D"/>
    <w:rsid w:val="009064B5"/>
    <w:rsid w:val="0090738B"/>
    <w:rsid w:val="0091090E"/>
    <w:rsid w:val="009145E1"/>
    <w:rsid w:val="00920D07"/>
    <w:rsid w:val="00923CC8"/>
    <w:rsid w:val="009302FA"/>
    <w:rsid w:val="00936938"/>
    <w:rsid w:val="00940888"/>
    <w:rsid w:val="00940A3A"/>
    <w:rsid w:val="00951FF3"/>
    <w:rsid w:val="009526E8"/>
    <w:rsid w:val="009555CC"/>
    <w:rsid w:val="009573E7"/>
    <w:rsid w:val="00960A2A"/>
    <w:rsid w:val="009675F8"/>
    <w:rsid w:val="00970D3C"/>
    <w:rsid w:val="00972446"/>
    <w:rsid w:val="00991093"/>
    <w:rsid w:val="009921E3"/>
    <w:rsid w:val="0099705C"/>
    <w:rsid w:val="009A31FD"/>
    <w:rsid w:val="009A5537"/>
    <w:rsid w:val="009B0CC7"/>
    <w:rsid w:val="009D0A29"/>
    <w:rsid w:val="009E0850"/>
    <w:rsid w:val="009E34F3"/>
    <w:rsid w:val="009F19EC"/>
    <w:rsid w:val="00A00AC9"/>
    <w:rsid w:val="00A011EF"/>
    <w:rsid w:val="00A03129"/>
    <w:rsid w:val="00A06FDB"/>
    <w:rsid w:val="00A07540"/>
    <w:rsid w:val="00A11A29"/>
    <w:rsid w:val="00A1295B"/>
    <w:rsid w:val="00A12EA0"/>
    <w:rsid w:val="00A15B7A"/>
    <w:rsid w:val="00A160A3"/>
    <w:rsid w:val="00A21034"/>
    <w:rsid w:val="00A307B6"/>
    <w:rsid w:val="00A3157F"/>
    <w:rsid w:val="00A3284F"/>
    <w:rsid w:val="00A338DB"/>
    <w:rsid w:val="00A346C5"/>
    <w:rsid w:val="00A45F97"/>
    <w:rsid w:val="00A50CB9"/>
    <w:rsid w:val="00A51F1F"/>
    <w:rsid w:val="00A53CD4"/>
    <w:rsid w:val="00A548AC"/>
    <w:rsid w:val="00A64E0C"/>
    <w:rsid w:val="00A654F1"/>
    <w:rsid w:val="00A70743"/>
    <w:rsid w:val="00A71CCF"/>
    <w:rsid w:val="00A76A07"/>
    <w:rsid w:val="00A81BD5"/>
    <w:rsid w:val="00A86DB4"/>
    <w:rsid w:val="00A9221C"/>
    <w:rsid w:val="00AA1E56"/>
    <w:rsid w:val="00AA4F24"/>
    <w:rsid w:val="00AA5084"/>
    <w:rsid w:val="00AA6492"/>
    <w:rsid w:val="00AB0D28"/>
    <w:rsid w:val="00AB5197"/>
    <w:rsid w:val="00AB5338"/>
    <w:rsid w:val="00AB650D"/>
    <w:rsid w:val="00AC0127"/>
    <w:rsid w:val="00AC7302"/>
    <w:rsid w:val="00AD3797"/>
    <w:rsid w:val="00AD4C3F"/>
    <w:rsid w:val="00AE0BC0"/>
    <w:rsid w:val="00AE7408"/>
    <w:rsid w:val="00AF29AE"/>
    <w:rsid w:val="00AF38B1"/>
    <w:rsid w:val="00AF5753"/>
    <w:rsid w:val="00AF643B"/>
    <w:rsid w:val="00B01144"/>
    <w:rsid w:val="00B02416"/>
    <w:rsid w:val="00B024D3"/>
    <w:rsid w:val="00B02B4C"/>
    <w:rsid w:val="00B07BE0"/>
    <w:rsid w:val="00B1044F"/>
    <w:rsid w:val="00B2205C"/>
    <w:rsid w:val="00B257AC"/>
    <w:rsid w:val="00B264C0"/>
    <w:rsid w:val="00B42199"/>
    <w:rsid w:val="00B506AB"/>
    <w:rsid w:val="00B535B1"/>
    <w:rsid w:val="00B57FD3"/>
    <w:rsid w:val="00B62120"/>
    <w:rsid w:val="00B6774B"/>
    <w:rsid w:val="00B82963"/>
    <w:rsid w:val="00B84A5B"/>
    <w:rsid w:val="00BA3659"/>
    <w:rsid w:val="00BA6846"/>
    <w:rsid w:val="00BB6ED6"/>
    <w:rsid w:val="00BC5620"/>
    <w:rsid w:val="00BD64C1"/>
    <w:rsid w:val="00BD7619"/>
    <w:rsid w:val="00BD7F9B"/>
    <w:rsid w:val="00BE00EB"/>
    <w:rsid w:val="00BE2D5A"/>
    <w:rsid w:val="00BE60AF"/>
    <w:rsid w:val="00BE7E9D"/>
    <w:rsid w:val="00C07A84"/>
    <w:rsid w:val="00C12730"/>
    <w:rsid w:val="00C17E1B"/>
    <w:rsid w:val="00C37288"/>
    <w:rsid w:val="00C43719"/>
    <w:rsid w:val="00C4758D"/>
    <w:rsid w:val="00C5133C"/>
    <w:rsid w:val="00C675B7"/>
    <w:rsid w:val="00C74056"/>
    <w:rsid w:val="00C74EF3"/>
    <w:rsid w:val="00C75CBB"/>
    <w:rsid w:val="00C77B75"/>
    <w:rsid w:val="00C804D9"/>
    <w:rsid w:val="00C8313E"/>
    <w:rsid w:val="00C90F0D"/>
    <w:rsid w:val="00C93598"/>
    <w:rsid w:val="00CA0317"/>
    <w:rsid w:val="00CA0CB4"/>
    <w:rsid w:val="00CA5B55"/>
    <w:rsid w:val="00CB3A61"/>
    <w:rsid w:val="00CB67B6"/>
    <w:rsid w:val="00CC26D6"/>
    <w:rsid w:val="00CC3EDB"/>
    <w:rsid w:val="00CC7D03"/>
    <w:rsid w:val="00CC7E2D"/>
    <w:rsid w:val="00CD1B83"/>
    <w:rsid w:val="00CD3814"/>
    <w:rsid w:val="00CD7C4F"/>
    <w:rsid w:val="00CE205E"/>
    <w:rsid w:val="00CE2E22"/>
    <w:rsid w:val="00CE3831"/>
    <w:rsid w:val="00CF1129"/>
    <w:rsid w:val="00CF3C48"/>
    <w:rsid w:val="00CF5EC1"/>
    <w:rsid w:val="00D0283A"/>
    <w:rsid w:val="00D04F89"/>
    <w:rsid w:val="00D07A17"/>
    <w:rsid w:val="00D10D81"/>
    <w:rsid w:val="00D119BC"/>
    <w:rsid w:val="00D16A1C"/>
    <w:rsid w:val="00D210DA"/>
    <w:rsid w:val="00D2270B"/>
    <w:rsid w:val="00D304C4"/>
    <w:rsid w:val="00D305AA"/>
    <w:rsid w:val="00D3208B"/>
    <w:rsid w:val="00D34E9D"/>
    <w:rsid w:val="00D36FD0"/>
    <w:rsid w:val="00D4015C"/>
    <w:rsid w:val="00D40CFC"/>
    <w:rsid w:val="00D41DB2"/>
    <w:rsid w:val="00D4217C"/>
    <w:rsid w:val="00D42CAD"/>
    <w:rsid w:val="00D5361F"/>
    <w:rsid w:val="00D55728"/>
    <w:rsid w:val="00D5761B"/>
    <w:rsid w:val="00D61F3A"/>
    <w:rsid w:val="00D7167F"/>
    <w:rsid w:val="00D72DCC"/>
    <w:rsid w:val="00D74BF8"/>
    <w:rsid w:val="00D76A7D"/>
    <w:rsid w:val="00D8375A"/>
    <w:rsid w:val="00D83B42"/>
    <w:rsid w:val="00D928E0"/>
    <w:rsid w:val="00D96290"/>
    <w:rsid w:val="00DA52B3"/>
    <w:rsid w:val="00DB1642"/>
    <w:rsid w:val="00DB1BED"/>
    <w:rsid w:val="00DB7562"/>
    <w:rsid w:val="00DC1734"/>
    <w:rsid w:val="00DC2A21"/>
    <w:rsid w:val="00DC2BD7"/>
    <w:rsid w:val="00DC4754"/>
    <w:rsid w:val="00DD6BFE"/>
    <w:rsid w:val="00DE3741"/>
    <w:rsid w:val="00DF211A"/>
    <w:rsid w:val="00DF7911"/>
    <w:rsid w:val="00E01EFE"/>
    <w:rsid w:val="00E02375"/>
    <w:rsid w:val="00E0275F"/>
    <w:rsid w:val="00E07467"/>
    <w:rsid w:val="00E07A64"/>
    <w:rsid w:val="00E1100E"/>
    <w:rsid w:val="00E11A4A"/>
    <w:rsid w:val="00E20E9B"/>
    <w:rsid w:val="00E222C4"/>
    <w:rsid w:val="00E261FF"/>
    <w:rsid w:val="00E26EB0"/>
    <w:rsid w:val="00E30C08"/>
    <w:rsid w:val="00E33F0C"/>
    <w:rsid w:val="00E362FC"/>
    <w:rsid w:val="00E45CBA"/>
    <w:rsid w:val="00E45F58"/>
    <w:rsid w:val="00E52460"/>
    <w:rsid w:val="00E531B9"/>
    <w:rsid w:val="00E53F77"/>
    <w:rsid w:val="00E56EB9"/>
    <w:rsid w:val="00E57658"/>
    <w:rsid w:val="00E668BD"/>
    <w:rsid w:val="00E81401"/>
    <w:rsid w:val="00E866A1"/>
    <w:rsid w:val="00E87078"/>
    <w:rsid w:val="00E92A51"/>
    <w:rsid w:val="00EA1EAD"/>
    <w:rsid w:val="00EA6403"/>
    <w:rsid w:val="00EB2A0D"/>
    <w:rsid w:val="00EB2D21"/>
    <w:rsid w:val="00EC190C"/>
    <w:rsid w:val="00EC1C79"/>
    <w:rsid w:val="00EC5B90"/>
    <w:rsid w:val="00EC650A"/>
    <w:rsid w:val="00EC6C5B"/>
    <w:rsid w:val="00ED0FEA"/>
    <w:rsid w:val="00ED4179"/>
    <w:rsid w:val="00ED7B8B"/>
    <w:rsid w:val="00EE1841"/>
    <w:rsid w:val="00EE3C39"/>
    <w:rsid w:val="00EE4ACC"/>
    <w:rsid w:val="00EE73B0"/>
    <w:rsid w:val="00EF2219"/>
    <w:rsid w:val="00F02AD7"/>
    <w:rsid w:val="00F06F5A"/>
    <w:rsid w:val="00F07101"/>
    <w:rsid w:val="00F1276C"/>
    <w:rsid w:val="00F155C4"/>
    <w:rsid w:val="00F168CB"/>
    <w:rsid w:val="00F219F2"/>
    <w:rsid w:val="00F24900"/>
    <w:rsid w:val="00F309A1"/>
    <w:rsid w:val="00F537D9"/>
    <w:rsid w:val="00F563E1"/>
    <w:rsid w:val="00F60587"/>
    <w:rsid w:val="00F6590C"/>
    <w:rsid w:val="00F66F09"/>
    <w:rsid w:val="00F67007"/>
    <w:rsid w:val="00F73084"/>
    <w:rsid w:val="00F77A61"/>
    <w:rsid w:val="00F84F92"/>
    <w:rsid w:val="00F85560"/>
    <w:rsid w:val="00F9482F"/>
    <w:rsid w:val="00F97CCC"/>
    <w:rsid w:val="00FA2E36"/>
    <w:rsid w:val="00FA56E7"/>
    <w:rsid w:val="00FB1513"/>
    <w:rsid w:val="00FB371E"/>
    <w:rsid w:val="00FB3E14"/>
    <w:rsid w:val="00FB5A0C"/>
    <w:rsid w:val="00FB6EA4"/>
    <w:rsid w:val="00FC1D8E"/>
    <w:rsid w:val="00FC2214"/>
    <w:rsid w:val="00FD0312"/>
    <w:rsid w:val="00FD396D"/>
    <w:rsid w:val="00FE48F8"/>
    <w:rsid w:val="00FE4B6E"/>
    <w:rsid w:val="00FE51BB"/>
    <w:rsid w:val="00FF447B"/>
    <w:rsid w:val="00FF6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8B37B"/>
  <w15:docId w15:val="{4E12F990-67DF-434A-86F2-F9EAD1B1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 w:type="character" w:styleId="CommentReference">
    <w:name w:val="annotation reference"/>
    <w:basedOn w:val="DefaultParagraphFont"/>
    <w:uiPriority w:val="99"/>
    <w:semiHidden/>
    <w:unhideWhenUsed/>
    <w:rsid w:val="002D3591"/>
    <w:rPr>
      <w:sz w:val="16"/>
      <w:szCs w:val="16"/>
    </w:rPr>
  </w:style>
  <w:style w:type="paragraph" w:styleId="CommentText">
    <w:name w:val="annotation text"/>
    <w:basedOn w:val="Normal"/>
    <w:link w:val="CommentTextChar"/>
    <w:uiPriority w:val="99"/>
    <w:semiHidden/>
    <w:unhideWhenUsed/>
    <w:rsid w:val="002D3591"/>
    <w:pPr>
      <w:spacing w:line="240" w:lineRule="auto"/>
    </w:pPr>
    <w:rPr>
      <w:sz w:val="20"/>
      <w:szCs w:val="20"/>
    </w:rPr>
  </w:style>
  <w:style w:type="character" w:customStyle="1" w:styleId="CommentTextChar">
    <w:name w:val="Comment Text Char"/>
    <w:basedOn w:val="DefaultParagraphFont"/>
    <w:link w:val="CommentText"/>
    <w:uiPriority w:val="99"/>
    <w:semiHidden/>
    <w:rsid w:val="002D3591"/>
    <w:rPr>
      <w:sz w:val="20"/>
      <w:szCs w:val="20"/>
    </w:rPr>
  </w:style>
  <w:style w:type="paragraph" w:styleId="CommentSubject">
    <w:name w:val="annotation subject"/>
    <w:basedOn w:val="CommentText"/>
    <w:next w:val="CommentText"/>
    <w:link w:val="CommentSubjectChar"/>
    <w:uiPriority w:val="99"/>
    <w:semiHidden/>
    <w:unhideWhenUsed/>
    <w:rsid w:val="002D3591"/>
    <w:rPr>
      <w:b/>
      <w:bCs/>
    </w:rPr>
  </w:style>
  <w:style w:type="character" w:customStyle="1" w:styleId="CommentSubjectChar">
    <w:name w:val="Comment Subject Char"/>
    <w:basedOn w:val="CommentTextChar"/>
    <w:link w:val="CommentSubject"/>
    <w:uiPriority w:val="99"/>
    <w:semiHidden/>
    <w:rsid w:val="002D3591"/>
    <w:rPr>
      <w:b/>
      <w:bCs/>
      <w:sz w:val="20"/>
      <w:szCs w:val="20"/>
    </w:rPr>
  </w:style>
  <w:style w:type="character" w:styleId="Hyperlink">
    <w:name w:val="Hyperlink"/>
    <w:uiPriority w:val="99"/>
    <w:rsid w:val="00F06F5A"/>
    <w:rPr>
      <w:rFonts w:cs="Times New Roman"/>
      <w:color w:val="0000FF"/>
      <w:u w:val="single"/>
    </w:rPr>
  </w:style>
  <w:style w:type="paragraph" w:styleId="FootnoteText">
    <w:name w:val="footnote text"/>
    <w:aliases w:val="Footnote,Fußnote,Footnote Text Char2,Footnote Text Char1 Char,Footnote Text Char Char Char,Footnote Text Char Char Char Char Char Char Char,Footnote Char Char Char Char Char Char Char,Fußnote Char Char Char Char Char Char Char,Footnote tex"/>
    <w:basedOn w:val="Normal"/>
    <w:link w:val="FootnoteTextChar"/>
    <w:uiPriority w:val="99"/>
    <w:rsid w:val="00F06F5A"/>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Footnote Text Char2 Char,Footnote Text Char1 Char Char,Footnote Text Char Char Char Char,Footnote Text Char Char Char Char Char Char Char Char,Footnote Char Char Char Char Char Char Char Char"/>
    <w:basedOn w:val="DefaultParagraphFont"/>
    <w:link w:val="FootnoteText"/>
    <w:uiPriority w:val="99"/>
    <w:rsid w:val="00F06F5A"/>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uiPriority w:val="99"/>
    <w:rsid w:val="00F06F5A"/>
    <w:rPr>
      <w:rFonts w:cs="Times New Roman"/>
      <w:vertAlign w:val="superscript"/>
    </w:rPr>
  </w:style>
  <w:style w:type="table" w:styleId="TableGrid">
    <w:name w:val="Table Grid"/>
    <w:basedOn w:val="TableNormal"/>
    <w:uiPriority w:val="59"/>
    <w:rsid w:val="00B8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E6F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1E6F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56EB9"/>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D7C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567E66"/>
    <w:rPr>
      <w:rFonts w:cs="Times New Roman"/>
      <w:b/>
      <w:bCs/>
    </w:rPr>
  </w:style>
  <w:style w:type="paragraph" w:customStyle="1" w:styleId="ti-doc-eph">
    <w:name w:val="ti-doc-eph"/>
    <w:basedOn w:val="Normal"/>
    <w:rsid w:val="00D10D81"/>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1142">
      <w:bodyDiv w:val="1"/>
      <w:marLeft w:val="0"/>
      <w:marRight w:val="0"/>
      <w:marTop w:val="0"/>
      <w:marBottom w:val="0"/>
      <w:divBdr>
        <w:top w:val="none" w:sz="0" w:space="0" w:color="auto"/>
        <w:left w:val="none" w:sz="0" w:space="0" w:color="auto"/>
        <w:bottom w:val="none" w:sz="0" w:space="0" w:color="auto"/>
        <w:right w:val="none" w:sz="0" w:space="0" w:color="auto"/>
      </w:divBdr>
    </w:div>
    <w:div w:id="92364444">
      <w:bodyDiv w:val="1"/>
      <w:marLeft w:val="0"/>
      <w:marRight w:val="0"/>
      <w:marTop w:val="0"/>
      <w:marBottom w:val="0"/>
      <w:divBdr>
        <w:top w:val="none" w:sz="0" w:space="0" w:color="auto"/>
        <w:left w:val="none" w:sz="0" w:space="0" w:color="auto"/>
        <w:bottom w:val="none" w:sz="0" w:space="0" w:color="auto"/>
        <w:right w:val="none" w:sz="0" w:space="0" w:color="auto"/>
      </w:divBdr>
    </w:div>
    <w:div w:id="137965862">
      <w:bodyDiv w:val="1"/>
      <w:marLeft w:val="0"/>
      <w:marRight w:val="0"/>
      <w:marTop w:val="0"/>
      <w:marBottom w:val="0"/>
      <w:divBdr>
        <w:top w:val="none" w:sz="0" w:space="0" w:color="auto"/>
        <w:left w:val="none" w:sz="0" w:space="0" w:color="auto"/>
        <w:bottom w:val="none" w:sz="0" w:space="0" w:color="auto"/>
        <w:right w:val="none" w:sz="0" w:space="0" w:color="auto"/>
      </w:divBdr>
    </w:div>
    <w:div w:id="182135534">
      <w:bodyDiv w:val="1"/>
      <w:marLeft w:val="0"/>
      <w:marRight w:val="0"/>
      <w:marTop w:val="0"/>
      <w:marBottom w:val="0"/>
      <w:divBdr>
        <w:top w:val="none" w:sz="0" w:space="0" w:color="auto"/>
        <w:left w:val="none" w:sz="0" w:space="0" w:color="auto"/>
        <w:bottom w:val="none" w:sz="0" w:space="0" w:color="auto"/>
        <w:right w:val="none" w:sz="0" w:space="0" w:color="auto"/>
      </w:divBdr>
    </w:div>
    <w:div w:id="195126073">
      <w:bodyDiv w:val="1"/>
      <w:marLeft w:val="0"/>
      <w:marRight w:val="0"/>
      <w:marTop w:val="0"/>
      <w:marBottom w:val="0"/>
      <w:divBdr>
        <w:top w:val="none" w:sz="0" w:space="0" w:color="auto"/>
        <w:left w:val="none" w:sz="0" w:space="0" w:color="auto"/>
        <w:bottom w:val="none" w:sz="0" w:space="0" w:color="auto"/>
        <w:right w:val="none" w:sz="0" w:space="0" w:color="auto"/>
      </w:divBdr>
    </w:div>
    <w:div w:id="248542115">
      <w:bodyDiv w:val="1"/>
      <w:marLeft w:val="0"/>
      <w:marRight w:val="0"/>
      <w:marTop w:val="0"/>
      <w:marBottom w:val="0"/>
      <w:divBdr>
        <w:top w:val="none" w:sz="0" w:space="0" w:color="auto"/>
        <w:left w:val="none" w:sz="0" w:space="0" w:color="auto"/>
        <w:bottom w:val="none" w:sz="0" w:space="0" w:color="auto"/>
        <w:right w:val="none" w:sz="0" w:space="0" w:color="auto"/>
      </w:divBdr>
    </w:div>
    <w:div w:id="306132588">
      <w:bodyDiv w:val="1"/>
      <w:marLeft w:val="0"/>
      <w:marRight w:val="0"/>
      <w:marTop w:val="0"/>
      <w:marBottom w:val="0"/>
      <w:divBdr>
        <w:top w:val="none" w:sz="0" w:space="0" w:color="auto"/>
        <w:left w:val="none" w:sz="0" w:space="0" w:color="auto"/>
        <w:bottom w:val="none" w:sz="0" w:space="0" w:color="auto"/>
        <w:right w:val="none" w:sz="0" w:space="0" w:color="auto"/>
      </w:divBdr>
    </w:div>
    <w:div w:id="324012678">
      <w:bodyDiv w:val="1"/>
      <w:marLeft w:val="0"/>
      <w:marRight w:val="0"/>
      <w:marTop w:val="0"/>
      <w:marBottom w:val="0"/>
      <w:divBdr>
        <w:top w:val="none" w:sz="0" w:space="0" w:color="auto"/>
        <w:left w:val="none" w:sz="0" w:space="0" w:color="auto"/>
        <w:bottom w:val="none" w:sz="0" w:space="0" w:color="auto"/>
        <w:right w:val="none" w:sz="0" w:space="0" w:color="auto"/>
      </w:divBdr>
    </w:div>
    <w:div w:id="360933746">
      <w:bodyDiv w:val="1"/>
      <w:marLeft w:val="0"/>
      <w:marRight w:val="0"/>
      <w:marTop w:val="0"/>
      <w:marBottom w:val="0"/>
      <w:divBdr>
        <w:top w:val="none" w:sz="0" w:space="0" w:color="auto"/>
        <w:left w:val="none" w:sz="0" w:space="0" w:color="auto"/>
        <w:bottom w:val="none" w:sz="0" w:space="0" w:color="auto"/>
        <w:right w:val="none" w:sz="0" w:space="0" w:color="auto"/>
      </w:divBdr>
    </w:div>
    <w:div w:id="383145164">
      <w:bodyDiv w:val="1"/>
      <w:marLeft w:val="0"/>
      <w:marRight w:val="0"/>
      <w:marTop w:val="0"/>
      <w:marBottom w:val="0"/>
      <w:divBdr>
        <w:top w:val="none" w:sz="0" w:space="0" w:color="auto"/>
        <w:left w:val="none" w:sz="0" w:space="0" w:color="auto"/>
        <w:bottom w:val="none" w:sz="0" w:space="0" w:color="auto"/>
        <w:right w:val="none" w:sz="0" w:space="0" w:color="auto"/>
      </w:divBdr>
    </w:div>
    <w:div w:id="411467343">
      <w:bodyDiv w:val="1"/>
      <w:marLeft w:val="0"/>
      <w:marRight w:val="0"/>
      <w:marTop w:val="0"/>
      <w:marBottom w:val="0"/>
      <w:divBdr>
        <w:top w:val="none" w:sz="0" w:space="0" w:color="auto"/>
        <w:left w:val="none" w:sz="0" w:space="0" w:color="auto"/>
        <w:bottom w:val="none" w:sz="0" w:space="0" w:color="auto"/>
        <w:right w:val="none" w:sz="0" w:space="0" w:color="auto"/>
      </w:divBdr>
    </w:div>
    <w:div w:id="417095936">
      <w:bodyDiv w:val="1"/>
      <w:marLeft w:val="0"/>
      <w:marRight w:val="0"/>
      <w:marTop w:val="0"/>
      <w:marBottom w:val="0"/>
      <w:divBdr>
        <w:top w:val="none" w:sz="0" w:space="0" w:color="auto"/>
        <w:left w:val="none" w:sz="0" w:space="0" w:color="auto"/>
        <w:bottom w:val="none" w:sz="0" w:space="0" w:color="auto"/>
        <w:right w:val="none" w:sz="0" w:space="0" w:color="auto"/>
      </w:divBdr>
    </w:div>
    <w:div w:id="682779481">
      <w:bodyDiv w:val="1"/>
      <w:marLeft w:val="0"/>
      <w:marRight w:val="0"/>
      <w:marTop w:val="0"/>
      <w:marBottom w:val="0"/>
      <w:divBdr>
        <w:top w:val="none" w:sz="0" w:space="0" w:color="auto"/>
        <w:left w:val="none" w:sz="0" w:space="0" w:color="auto"/>
        <w:bottom w:val="none" w:sz="0" w:space="0" w:color="auto"/>
        <w:right w:val="none" w:sz="0" w:space="0" w:color="auto"/>
      </w:divBdr>
    </w:div>
    <w:div w:id="687290025">
      <w:bodyDiv w:val="1"/>
      <w:marLeft w:val="0"/>
      <w:marRight w:val="0"/>
      <w:marTop w:val="0"/>
      <w:marBottom w:val="0"/>
      <w:divBdr>
        <w:top w:val="none" w:sz="0" w:space="0" w:color="auto"/>
        <w:left w:val="none" w:sz="0" w:space="0" w:color="auto"/>
        <w:bottom w:val="none" w:sz="0" w:space="0" w:color="auto"/>
        <w:right w:val="none" w:sz="0" w:space="0" w:color="auto"/>
      </w:divBdr>
    </w:div>
    <w:div w:id="704452135">
      <w:bodyDiv w:val="1"/>
      <w:marLeft w:val="0"/>
      <w:marRight w:val="0"/>
      <w:marTop w:val="0"/>
      <w:marBottom w:val="0"/>
      <w:divBdr>
        <w:top w:val="none" w:sz="0" w:space="0" w:color="auto"/>
        <w:left w:val="none" w:sz="0" w:space="0" w:color="auto"/>
        <w:bottom w:val="none" w:sz="0" w:space="0" w:color="auto"/>
        <w:right w:val="none" w:sz="0" w:space="0" w:color="auto"/>
      </w:divBdr>
    </w:div>
    <w:div w:id="766777242">
      <w:bodyDiv w:val="1"/>
      <w:marLeft w:val="0"/>
      <w:marRight w:val="0"/>
      <w:marTop w:val="0"/>
      <w:marBottom w:val="0"/>
      <w:divBdr>
        <w:top w:val="none" w:sz="0" w:space="0" w:color="auto"/>
        <w:left w:val="none" w:sz="0" w:space="0" w:color="auto"/>
        <w:bottom w:val="none" w:sz="0" w:space="0" w:color="auto"/>
        <w:right w:val="none" w:sz="0" w:space="0" w:color="auto"/>
      </w:divBdr>
    </w:div>
    <w:div w:id="777485480">
      <w:bodyDiv w:val="1"/>
      <w:marLeft w:val="0"/>
      <w:marRight w:val="0"/>
      <w:marTop w:val="0"/>
      <w:marBottom w:val="0"/>
      <w:divBdr>
        <w:top w:val="none" w:sz="0" w:space="0" w:color="auto"/>
        <w:left w:val="none" w:sz="0" w:space="0" w:color="auto"/>
        <w:bottom w:val="none" w:sz="0" w:space="0" w:color="auto"/>
        <w:right w:val="none" w:sz="0" w:space="0" w:color="auto"/>
      </w:divBdr>
    </w:div>
    <w:div w:id="791633972">
      <w:bodyDiv w:val="1"/>
      <w:marLeft w:val="0"/>
      <w:marRight w:val="0"/>
      <w:marTop w:val="0"/>
      <w:marBottom w:val="0"/>
      <w:divBdr>
        <w:top w:val="none" w:sz="0" w:space="0" w:color="auto"/>
        <w:left w:val="none" w:sz="0" w:space="0" w:color="auto"/>
        <w:bottom w:val="none" w:sz="0" w:space="0" w:color="auto"/>
        <w:right w:val="none" w:sz="0" w:space="0" w:color="auto"/>
      </w:divBdr>
    </w:div>
    <w:div w:id="795607595">
      <w:bodyDiv w:val="1"/>
      <w:marLeft w:val="0"/>
      <w:marRight w:val="0"/>
      <w:marTop w:val="0"/>
      <w:marBottom w:val="0"/>
      <w:divBdr>
        <w:top w:val="none" w:sz="0" w:space="0" w:color="auto"/>
        <w:left w:val="none" w:sz="0" w:space="0" w:color="auto"/>
        <w:bottom w:val="none" w:sz="0" w:space="0" w:color="auto"/>
        <w:right w:val="none" w:sz="0" w:space="0" w:color="auto"/>
      </w:divBdr>
    </w:div>
    <w:div w:id="1051810417">
      <w:bodyDiv w:val="1"/>
      <w:marLeft w:val="0"/>
      <w:marRight w:val="0"/>
      <w:marTop w:val="0"/>
      <w:marBottom w:val="0"/>
      <w:divBdr>
        <w:top w:val="none" w:sz="0" w:space="0" w:color="auto"/>
        <w:left w:val="none" w:sz="0" w:space="0" w:color="auto"/>
        <w:bottom w:val="none" w:sz="0" w:space="0" w:color="auto"/>
        <w:right w:val="none" w:sz="0" w:space="0" w:color="auto"/>
      </w:divBdr>
    </w:div>
    <w:div w:id="1089160137">
      <w:bodyDiv w:val="1"/>
      <w:marLeft w:val="0"/>
      <w:marRight w:val="0"/>
      <w:marTop w:val="0"/>
      <w:marBottom w:val="0"/>
      <w:divBdr>
        <w:top w:val="none" w:sz="0" w:space="0" w:color="auto"/>
        <w:left w:val="none" w:sz="0" w:space="0" w:color="auto"/>
        <w:bottom w:val="none" w:sz="0" w:space="0" w:color="auto"/>
        <w:right w:val="none" w:sz="0" w:space="0" w:color="auto"/>
      </w:divBdr>
    </w:div>
    <w:div w:id="1120488053">
      <w:bodyDiv w:val="1"/>
      <w:marLeft w:val="0"/>
      <w:marRight w:val="0"/>
      <w:marTop w:val="0"/>
      <w:marBottom w:val="0"/>
      <w:divBdr>
        <w:top w:val="none" w:sz="0" w:space="0" w:color="auto"/>
        <w:left w:val="none" w:sz="0" w:space="0" w:color="auto"/>
        <w:bottom w:val="none" w:sz="0" w:space="0" w:color="auto"/>
        <w:right w:val="none" w:sz="0" w:space="0" w:color="auto"/>
      </w:divBdr>
    </w:div>
    <w:div w:id="1262101486">
      <w:bodyDiv w:val="1"/>
      <w:marLeft w:val="0"/>
      <w:marRight w:val="0"/>
      <w:marTop w:val="0"/>
      <w:marBottom w:val="0"/>
      <w:divBdr>
        <w:top w:val="none" w:sz="0" w:space="0" w:color="auto"/>
        <w:left w:val="none" w:sz="0" w:space="0" w:color="auto"/>
        <w:bottom w:val="none" w:sz="0" w:space="0" w:color="auto"/>
        <w:right w:val="none" w:sz="0" w:space="0" w:color="auto"/>
      </w:divBdr>
    </w:div>
    <w:div w:id="1266960960">
      <w:bodyDiv w:val="1"/>
      <w:marLeft w:val="0"/>
      <w:marRight w:val="0"/>
      <w:marTop w:val="0"/>
      <w:marBottom w:val="0"/>
      <w:divBdr>
        <w:top w:val="none" w:sz="0" w:space="0" w:color="auto"/>
        <w:left w:val="none" w:sz="0" w:space="0" w:color="auto"/>
        <w:bottom w:val="none" w:sz="0" w:space="0" w:color="auto"/>
        <w:right w:val="none" w:sz="0" w:space="0" w:color="auto"/>
      </w:divBdr>
    </w:div>
    <w:div w:id="1386684998">
      <w:bodyDiv w:val="1"/>
      <w:marLeft w:val="0"/>
      <w:marRight w:val="0"/>
      <w:marTop w:val="0"/>
      <w:marBottom w:val="0"/>
      <w:divBdr>
        <w:top w:val="none" w:sz="0" w:space="0" w:color="auto"/>
        <w:left w:val="none" w:sz="0" w:space="0" w:color="auto"/>
        <w:bottom w:val="none" w:sz="0" w:space="0" w:color="auto"/>
        <w:right w:val="none" w:sz="0" w:space="0" w:color="auto"/>
      </w:divBdr>
    </w:div>
    <w:div w:id="1439252152">
      <w:bodyDiv w:val="1"/>
      <w:marLeft w:val="0"/>
      <w:marRight w:val="0"/>
      <w:marTop w:val="0"/>
      <w:marBottom w:val="0"/>
      <w:divBdr>
        <w:top w:val="none" w:sz="0" w:space="0" w:color="auto"/>
        <w:left w:val="none" w:sz="0" w:space="0" w:color="auto"/>
        <w:bottom w:val="none" w:sz="0" w:space="0" w:color="auto"/>
        <w:right w:val="none" w:sz="0" w:space="0" w:color="auto"/>
      </w:divBdr>
    </w:div>
    <w:div w:id="1485968909">
      <w:bodyDiv w:val="1"/>
      <w:marLeft w:val="0"/>
      <w:marRight w:val="0"/>
      <w:marTop w:val="0"/>
      <w:marBottom w:val="0"/>
      <w:divBdr>
        <w:top w:val="none" w:sz="0" w:space="0" w:color="auto"/>
        <w:left w:val="none" w:sz="0" w:space="0" w:color="auto"/>
        <w:bottom w:val="none" w:sz="0" w:space="0" w:color="auto"/>
        <w:right w:val="none" w:sz="0" w:space="0" w:color="auto"/>
      </w:divBdr>
    </w:div>
    <w:div w:id="1547059750">
      <w:bodyDiv w:val="1"/>
      <w:marLeft w:val="0"/>
      <w:marRight w:val="0"/>
      <w:marTop w:val="0"/>
      <w:marBottom w:val="0"/>
      <w:divBdr>
        <w:top w:val="none" w:sz="0" w:space="0" w:color="auto"/>
        <w:left w:val="none" w:sz="0" w:space="0" w:color="auto"/>
        <w:bottom w:val="none" w:sz="0" w:space="0" w:color="auto"/>
        <w:right w:val="none" w:sz="0" w:space="0" w:color="auto"/>
      </w:divBdr>
    </w:div>
    <w:div w:id="1553079769">
      <w:bodyDiv w:val="1"/>
      <w:marLeft w:val="0"/>
      <w:marRight w:val="0"/>
      <w:marTop w:val="0"/>
      <w:marBottom w:val="0"/>
      <w:divBdr>
        <w:top w:val="none" w:sz="0" w:space="0" w:color="auto"/>
        <w:left w:val="none" w:sz="0" w:space="0" w:color="auto"/>
        <w:bottom w:val="none" w:sz="0" w:space="0" w:color="auto"/>
        <w:right w:val="none" w:sz="0" w:space="0" w:color="auto"/>
      </w:divBdr>
    </w:div>
    <w:div w:id="1589851398">
      <w:bodyDiv w:val="1"/>
      <w:marLeft w:val="0"/>
      <w:marRight w:val="0"/>
      <w:marTop w:val="0"/>
      <w:marBottom w:val="0"/>
      <w:divBdr>
        <w:top w:val="none" w:sz="0" w:space="0" w:color="auto"/>
        <w:left w:val="none" w:sz="0" w:space="0" w:color="auto"/>
        <w:bottom w:val="none" w:sz="0" w:space="0" w:color="auto"/>
        <w:right w:val="none" w:sz="0" w:space="0" w:color="auto"/>
      </w:divBdr>
    </w:div>
    <w:div w:id="1788161523">
      <w:bodyDiv w:val="1"/>
      <w:marLeft w:val="45"/>
      <w:marRight w:val="45"/>
      <w:marTop w:val="90"/>
      <w:marBottom w:val="90"/>
      <w:divBdr>
        <w:top w:val="none" w:sz="0" w:space="0" w:color="auto"/>
        <w:left w:val="none" w:sz="0" w:space="0" w:color="auto"/>
        <w:bottom w:val="none" w:sz="0" w:space="0" w:color="auto"/>
        <w:right w:val="none" w:sz="0" w:space="0" w:color="auto"/>
      </w:divBdr>
      <w:divsChild>
        <w:div w:id="1569268723">
          <w:marLeft w:val="0"/>
          <w:marRight w:val="0"/>
          <w:marTop w:val="240"/>
          <w:marBottom w:val="0"/>
          <w:divBdr>
            <w:top w:val="none" w:sz="0" w:space="0" w:color="auto"/>
            <w:left w:val="none" w:sz="0" w:space="0" w:color="auto"/>
            <w:bottom w:val="none" w:sz="0" w:space="0" w:color="auto"/>
            <w:right w:val="none" w:sz="0" w:space="0" w:color="auto"/>
          </w:divBdr>
        </w:div>
      </w:divsChild>
    </w:div>
    <w:div w:id="1794323813">
      <w:bodyDiv w:val="1"/>
      <w:marLeft w:val="0"/>
      <w:marRight w:val="0"/>
      <w:marTop w:val="0"/>
      <w:marBottom w:val="0"/>
      <w:divBdr>
        <w:top w:val="none" w:sz="0" w:space="0" w:color="auto"/>
        <w:left w:val="none" w:sz="0" w:space="0" w:color="auto"/>
        <w:bottom w:val="none" w:sz="0" w:space="0" w:color="auto"/>
        <w:right w:val="none" w:sz="0" w:space="0" w:color="auto"/>
      </w:divBdr>
    </w:div>
    <w:div w:id="1846050326">
      <w:bodyDiv w:val="1"/>
      <w:marLeft w:val="0"/>
      <w:marRight w:val="0"/>
      <w:marTop w:val="0"/>
      <w:marBottom w:val="0"/>
      <w:divBdr>
        <w:top w:val="none" w:sz="0" w:space="0" w:color="auto"/>
        <w:left w:val="none" w:sz="0" w:space="0" w:color="auto"/>
        <w:bottom w:val="none" w:sz="0" w:space="0" w:color="auto"/>
        <w:right w:val="none" w:sz="0" w:space="0" w:color="auto"/>
      </w:divBdr>
    </w:div>
    <w:div w:id="1973896991">
      <w:bodyDiv w:val="1"/>
      <w:marLeft w:val="0"/>
      <w:marRight w:val="0"/>
      <w:marTop w:val="0"/>
      <w:marBottom w:val="0"/>
      <w:divBdr>
        <w:top w:val="none" w:sz="0" w:space="0" w:color="auto"/>
        <w:left w:val="none" w:sz="0" w:space="0" w:color="auto"/>
        <w:bottom w:val="none" w:sz="0" w:space="0" w:color="auto"/>
        <w:right w:val="none" w:sz="0" w:space="0" w:color="auto"/>
      </w:divBdr>
    </w:div>
    <w:div w:id="21124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6B6B-C76E-42E8-949C-91AE9CE5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Pages>
  <Words>6817</Words>
  <Characters>3887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Grozījums Ministru kabineta 2014.gada 10.novembra noteikumos Nr.700 “Noteikumi par darbības programmas „Uzņēmējdarbība un inovācijas” papildinājuma 2.3.2.2.aktivitātes „Atbalsts ieguldījumiem mikro, maziem un vidējiem komersantiem” 2.3.2.2.3.apakšaktivitāti „Atbalsts ieguldījumiem infrastruktūrā uzņēmējdarbības attīstībai””” sākotnējās ietekmes novērtējuma ziņojums (anotācija)</dc:title>
  <dc:subject>Anotācija</dc:subject>
  <dc:creator>Andrejs Zambžetskis</dc:creator>
  <dc:description>. 67083944, 
Andrejs.Zambzetskis@fm.gov.lv</dc:description>
  <cp:lastModifiedBy>Liene Strēlniece</cp:lastModifiedBy>
  <cp:revision>151</cp:revision>
  <cp:lastPrinted>2014-11-22T10:37:00Z</cp:lastPrinted>
  <dcterms:created xsi:type="dcterms:W3CDTF">2014-10-28T15:31:00Z</dcterms:created>
  <dcterms:modified xsi:type="dcterms:W3CDTF">2014-11-28T10:35:00Z</dcterms:modified>
</cp:coreProperties>
</file>