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C293" w14:textId="77777777" w:rsidR="00390C40" w:rsidRPr="005B3F9D" w:rsidRDefault="00390C40" w:rsidP="00390C40">
      <w:pPr>
        <w:spacing w:after="0" w:line="240" w:lineRule="auto"/>
        <w:jc w:val="center"/>
        <w:rPr>
          <w:rFonts w:ascii="Times New Roman" w:eastAsia="Calibri" w:hAnsi="Times New Roman" w:cs="Times New Roman"/>
          <w:b/>
          <w:sz w:val="26"/>
          <w:szCs w:val="26"/>
        </w:rPr>
      </w:pPr>
      <w:bookmarkStart w:id="0" w:name="OLE_LINK1"/>
      <w:bookmarkStart w:id="1" w:name="OLE_LINK2"/>
      <w:r w:rsidRPr="005B3F9D">
        <w:rPr>
          <w:rFonts w:ascii="Times New Roman" w:eastAsia="Calibri" w:hAnsi="Times New Roman" w:cs="Times New Roman"/>
          <w:sz w:val="26"/>
          <w:szCs w:val="26"/>
        </w:rPr>
        <w:t>Ministru kabineta noteikumu projekta</w:t>
      </w:r>
      <w:bookmarkEnd w:id="0"/>
      <w:bookmarkEnd w:id="1"/>
      <w:r w:rsidRPr="005B3F9D">
        <w:rPr>
          <w:rFonts w:ascii="Times New Roman" w:eastAsia="Calibri" w:hAnsi="Times New Roman" w:cs="Times New Roman"/>
          <w:b/>
          <w:sz w:val="26"/>
          <w:szCs w:val="26"/>
        </w:rPr>
        <w:t xml:space="preserve"> </w:t>
      </w:r>
    </w:p>
    <w:p w14:paraId="7EF17D1B" w14:textId="77777777" w:rsidR="00390C40" w:rsidRPr="005B3F9D" w:rsidRDefault="00390C40" w:rsidP="00390C40">
      <w:pPr>
        <w:spacing w:after="0" w:line="240" w:lineRule="auto"/>
        <w:jc w:val="center"/>
        <w:rPr>
          <w:rFonts w:ascii="Times New Roman" w:eastAsia="Times New Roman" w:hAnsi="Times New Roman" w:cs="Times New Roman"/>
          <w:bCs/>
          <w:sz w:val="26"/>
          <w:szCs w:val="26"/>
        </w:rPr>
      </w:pPr>
      <w:r w:rsidRPr="005B3F9D">
        <w:rPr>
          <w:rFonts w:ascii="Times New Roman" w:eastAsia="Calibri" w:hAnsi="Times New Roman" w:cs="Times New Roman"/>
          <w:b/>
          <w:sz w:val="26"/>
          <w:szCs w:val="26"/>
        </w:rPr>
        <w:t>“Grozījumi Ministru kabineta 2010.gada 16.novembra noteikumos Nr.1048 “</w:t>
      </w:r>
      <w:r w:rsidRPr="005B3F9D">
        <w:rPr>
          <w:rFonts w:ascii="Times New Roman" w:eastAsia="Times New Roman" w:hAnsi="Times New Roman" w:cs="Times New Roman"/>
          <w:b/>
          <w:sz w:val="26"/>
          <w:szCs w:val="26"/>
        </w:rPr>
        <w:t>Noteikumi par vienkāršoto deklarēšanu un vietējo muitošanu, atzītā nosūtītāja un atzītā saņēmēja statusu, vienoto atļauju un atzītā komersanta sertifikātu”</w:t>
      </w:r>
      <w:r w:rsidRPr="005B3F9D">
        <w:rPr>
          <w:rFonts w:ascii="Times New Roman" w:eastAsia="Calibri" w:hAnsi="Times New Roman" w:cs="Times New Roman"/>
          <w:b/>
          <w:sz w:val="26"/>
          <w:szCs w:val="26"/>
        </w:rPr>
        <w:t>”</w:t>
      </w:r>
      <w:r w:rsidRPr="005B3F9D">
        <w:rPr>
          <w:rFonts w:ascii="Times New Roman" w:eastAsia="Times New Roman" w:hAnsi="Times New Roman" w:cs="Times New Roman"/>
          <w:bCs/>
          <w:sz w:val="26"/>
          <w:szCs w:val="26"/>
        </w:rPr>
        <w:t xml:space="preserve"> sākotnējās ietekmes novērtējuma ziņojums (anotācija)</w:t>
      </w:r>
    </w:p>
    <w:tbl>
      <w:tblPr>
        <w:tblpPr w:leftFromText="180" w:rightFromText="180" w:vertAnchor="text" w:horzAnchor="margin" w:tblpXSpec="center" w:tblpY="149"/>
        <w:tblW w:w="55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5"/>
        <w:gridCol w:w="2372"/>
        <w:gridCol w:w="7481"/>
      </w:tblGrid>
      <w:tr w:rsidR="00DA6C86" w:rsidRPr="00D2604E" w14:paraId="332D58BF" w14:textId="77777777" w:rsidTr="00EF1B7E">
        <w:trPr>
          <w:trHeight w:val="419"/>
        </w:trPr>
        <w:tc>
          <w:tcPr>
            <w:tcW w:w="5000" w:type="pct"/>
            <w:gridSpan w:val="3"/>
            <w:vAlign w:val="center"/>
          </w:tcPr>
          <w:p w14:paraId="59FF5359" w14:textId="77777777" w:rsidR="00DA6C86" w:rsidRPr="00D2604E" w:rsidRDefault="00DA6C86" w:rsidP="004278EA">
            <w:pPr>
              <w:pStyle w:val="naisnod"/>
              <w:spacing w:before="0" w:beforeAutospacing="0" w:after="0" w:afterAutospacing="0"/>
              <w:ind w:right="57"/>
              <w:jc w:val="center"/>
              <w:rPr>
                <w:b/>
              </w:rPr>
            </w:pPr>
            <w:r w:rsidRPr="00D2604E">
              <w:rPr>
                <w:b/>
              </w:rPr>
              <w:t>I. Tiesību akta projekta izstrādes nepieciešamība</w:t>
            </w:r>
          </w:p>
        </w:tc>
      </w:tr>
      <w:tr w:rsidR="00DA6C86" w:rsidRPr="00D2604E" w14:paraId="6985F8F3" w14:textId="77777777" w:rsidTr="00EF1B7E">
        <w:trPr>
          <w:trHeight w:val="415"/>
        </w:trPr>
        <w:tc>
          <w:tcPr>
            <w:tcW w:w="211" w:type="pct"/>
          </w:tcPr>
          <w:p w14:paraId="6DB261F0" w14:textId="77777777" w:rsidR="00DA6C86" w:rsidRPr="00D2604E" w:rsidRDefault="00DA6C86" w:rsidP="004278EA">
            <w:pPr>
              <w:pStyle w:val="naiskr"/>
              <w:spacing w:before="0" w:beforeAutospacing="0" w:after="0" w:afterAutospacing="0"/>
              <w:ind w:right="57"/>
              <w:jc w:val="center"/>
            </w:pPr>
            <w:r w:rsidRPr="00D2604E">
              <w:t>1.</w:t>
            </w:r>
          </w:p>
        </w:tc>
        <w:tc>
          <w:tcPr>
            <w:tcW w:w="1153" w:type="pct"/>
          </w:tcPr>
          <w:p w14:paraId="6F642A1F" w14:textId="77777777" w:rsidR="00900304" w:rsidRPr="00D2604E" w:rsidRDefault="00DA6C86" w:rsidP="004278EA">
            <w:pPr>
              <w:pStyle w:val="naiskr"/>
              <w:spacing w:before="0" w:beforeAutospacing="0" w:after="0" w:afterAutospacing="0"/>
              <w:ind w:left="57" w:right="57"/>
            </w:pPr>
            <w:r w:rsidRPr="00D2604E">
              <w:t>Pamatojums</w:t>
            </w:r>
          </w:p>
          <w:p w14:paraId="70B0E3DD" w14:textId="77777777" w:rsidR="00DA6C86" w:rsidRPr="00D2604E" w:rsidRDefault="00DA6C86" w:rsidP="004278EA">
            <w:pPr>
              <w:spacing w:after="0" w:line="240" w:lineRule="auto"/>
              <w:ind w:firstLine="720"/>
              <w:rPr>
                <w:rFonts w:ascii="Times New Roman" w:hAnsi="Times New Roman" w:cs="Times New Roman"/>
                <w:sz w:val="24"/>
                <w:szCs w:val="24"/>
              </w:rPr>
            </w:pPr>
          </w:p>
        </w:tc>
        <w:tc>
          <w:tcPr>
            <w:tcW w:w="3636" w:type="pct"/>
          </w:tcPr>
          <w:p w14:paraId="2E66FCD3" w14:textId="77777777" w:rsidR="00905BC5" w:rsidRPr="00D2604E" w:rsidRDefault="00905BC5" w:rsidP="00DA44E2">
            <w:pPr>
              <w:spacing w:after="0" w:line="240" w:lineRule="auto"/>
              <w:ind w:left="57" w:right="142" w:firstLine="181"/>
              <w:jc w:val="both"/>
              <w:rPr>
                <w:rFonts w:ascii="Times New Roman" w:eastAsia="Calibri" w:hAnsi="Times New Roman" w:cs="Times New Roman"/>
                <w:sz w:val="24"/>
                <w:szCs w:val="24"/>
              </w:rPr>
            </w:pPr>
            <w:r w:rsidRPr="00D2604E">
              <w:rPr>
                <w:rFonts w:ascii="Times New Roman" w:eastAsia="Calibri" w:hAnsi="Times New Roman" w:cs="Times New Roman"/>
                <w:sz w:val="24"/>
                <w:szCs w:val="24"/>
              </w:rPr>
              <w:t>Ministru kabineta 2013.gada 22.novembra rīkojuma Nr.675 “Par Elektroniskās muitas datu apstrādes sistēmas (EMDAS) darbības koncepciju</w:t>
            </w:r>
            <w:r w:rsidRPr="00D2604E">
              <w:rPr>
                <w:rFonts w:ascii="Times New Roman" w:eastAsia="Calibri" w:hAnsi="Times New Roman" w:cs="Times New Roman"/>
                <w:bCs/>
                <w:sz w:val="24"/>
                <w:szCs w:val="24"/>
              </w:rPr>
              <w:t xml:space="preserve">”, ar kuru apstiprināts </w:t>
            </w:r>
            <w:r w:rsidRPr="00D2604E">
              <w:rPr>
                <w:rFonts w:ascii="Times New Roman" w:eastAsia="Calibri" w:hAnsi="Times New Roman" w:cs="Times New Roman"/>
                <w:sz w:val="24"/>
                <w:szCs w:val="24"/>
              </w:rPr>
              <w:t>apstiprinātās Elektroniskās muitas datu apstrādes sistēmas darbības koncepcijas kopsavilkuma</w:t>
            </w:r>
            <w:r w:rsidRPr="00D2604E">
              <w:rPr>
                <w:rFonts w:ascii="Times New Roman" w:eastAsia="Calibri" w:hAnsi="Times New Roman" w:cs="Times New Roman"/>
                <w:bCs/>
                <w:sz w:val="24"/>
                <w:szCs w:val="24"/>
              </w:rPr>
              <w:t xml:space="preserve"> 1.punkts</w:t>
            </w:r>
            <w:r w:rsidRPr="00D2604E">
              <w:rPr>
                <w:rFonts w:ascii="Times New Roman" w:eastAsia="Calibri" w:hAnsi="Times New Roman" w:cs="Times New Roman"/>
                <w:sz w:val="24"/>
                <w:szCs w:val="24"/>
              </w:rPr>
              <w:t xml:space="preserve"> (prot. Nr. 64 71.§).</w:t>
            </w:r>
          </w:p>
          <w:p w14:paraId="7C9C7A61" w14:textId="77777777" w:rsidR="00905BC5" w:rsidRPr="00D2604E" w:rsidRDefault="00905BC5" w:rsidP="00DA44E2">
            <w:pPr>
              <w:spacing w:after="0" w:line="240" w:lineRule="auto"/>
              <w:ind w:left="57" w:right="142" w:firstLine="181"/>
              <w:jc w:val="both"/>
              <w:rPr>
                <w:rFonts w:ascii="Times New Roman" w:eastAsia="Times New Roman" w:hAnsi="Times New Roman" w:cs="Times New Roman"/>
                <w:sz w:val="24"/>
                <w:szCs w:val="24"/>
              </w:rPr>
            </w:pPr>
            <w:r w:rsidRPr="00D2604E">
              <w:rPr>
                <w:rFonts w:ascii="Times New Roman" w:eastAsia="Times New Roman" w:hAnsi="Times New Roman" w:cs="Times New Roman"/>
                <w:sz w:val="24"/>
                <w:szCs w:val="24"/>
              </w:rPr>
              <w:t xml:space="preserve">Eiropas </w:t>
            </w:r>
            <w:r w:rsidRPr="00D2604E">
              <w:rPr>
                <w:rFonts w:ascii="Times New Roman" w:eastAsia="Calibri" w:hAnsi="Times New Roman" w:cs="Times New Roman"/>
                <w:bCs/>
                <w:sz w:val="24"/>
                <w:szCs w:val="24"/>
              </w:rPr>
              <w:t xml:space="preserve">Komisijas ziņojums Nr.09-19-1 par tradicionālo pašu resursu pārbaudi, kas veikta Latvijā no 2009. gada 14. līdz 17. septembrim, </w:t>
            </w:r>
            <w:r w:rsidRPr="00D2604E">
              <w:rPr>
                <w:rFonts w:ascii="Times New Roman" w:eastAsia="Times New Roman" w:hAnsi="Times New Roman" w:cs="Times New Roman"/>
                <w:sz w:val="24"/>
                <w:szCs w:val="24"/>
              </w:rPr>
              <w:t xml:space="preserve">Eiropas Komisijas ziņojums Nr.11-19-1 par pašu resursu pārbaudi, kas veikta Latvijā no 2011.gada 12. līdz 16.septembrim. </w:t>
            </w:r>
          </w:p>
          <w:p w14:paraId="741682A8" w14:textId="77777777" w:rsidR="007C7E68" w:rsidRPr="00D2604E" w:rsidRDefault="00905BC5" w:rsidP="00DA44E2">
            <w:pPr>
              <w:spacing w:after="0" w:line="240" w:lineRule="auto"/>
              <w:ind w:left="57" w:right="142" w:firstLine="181"/>
              <w:jc w:val="both"/>
              <w:rPr>
                <w:rFonts w:ascii="Times New Roman" w:eastAsia="Times New Roman" w:hAnsi="Times New Roman" w:cs="Times New Roman"/>
                <w:sz w:val="24"/>
                <w:szCs w:val="24"/>
              </w:rPr>
            </w:pPr>
            <w:r w:rsidRPr="00D2604E">
              <w:rPr>
                <w:rFonts w:ascii="Times New Roman" w:eastAsia="Times New Roman" w:hAnsi="Times New Roman" w:cs="Times New Roman"/>
                <w:sz w:val="24"/>
                <w:szCs w:val="24"/>
              </w:rPr>
              <w:t>Ministru kabineta 2013.gada 15.oktobra noteikumi Nr.1108 „Kārtība, kādā, muitojot preces, elektroniski iesniedz muitas normatīvajos aktos noteiktās deklarācijas”</w:t>
            </w:r>
          </w:p>
          <w:p w14:paraId="43352980" w14:textId="1A0FE0C3" w:rsidR="00A948F0" w:rsidRPr="00D2604E" w:rsidRDefault="00A948F0" w:rsidP="00DA44E2">
            <w:pPr>
              <w:spacing w:after="0" w:line="240" w:lineRule="auto"/>
              <w:ind w:left="57" w:right="142" w:firstLine="181"/>
              <w:jc w:val="both"/>
              <w:rPr>
                <w:rFonts w:ascii="Times New Roman" w:eastAsia="Times New Roman" w:hAnsi="Times New Roman" w:cs="Times New Roman"/>
                <w:b/>
                <w:sz w:val="24"/>
                <w:szCs w:val="24"/>
              </w:rPr>
            </w:pPr>
          </w:p>
        </w:tc>
      </w:tr>
      <w:tr w:rsidR="00DA6C86" w:rsidRPr="00D2604E" w14:paraId="7787EAEB" w14:textId="77777777" w:rsidTr="00EF1B7E">
        <w:trPr>
          <w:trHeight w:val="472"/>
        </w:trPr>
        <w:tc>
          <w:tcPr>
            <w:tcW w:w="211" w:type="pct"/>
          </w:tcPr>
          <w:p w14:paraId="53AC803B" w14:textId="77777777" w:rsidR="00DA6C86" w:rsidRPr="00D2604E" w:rsidRDefault="00DA6C86" w:rsidP="004278EA">
            <w:pPr>
              <w:pStyle w:val="naiskr"/>
              <w:spacing w:before="0" w:beforeAutospacing="0" w:after="0" w:afterAutospacing="0"/>
              <w:ind w:right="57"/>
              <w:jc w:val="center"/>
            </w:pPr>
            <w:r w:rsidRPr="00D2604E">
              <w:t>2.</w:t>
            </w:r>
          </w:p>
        </w:tc>
        <w:tc>
          <w:tcPr>
            <w:tcW w:w="1153" w:type="pct"/>
          </w:tcPr>
          <w:p w14:paraId="1BC03E3D" w14:textId="54586CC2" w:rsidR="00A044C9" w:rsidRPr="00D2604E" w:rsidRDefault="00502937" w:rsidP="00390C40">
            <w:pPr>
              <w:pStyle w:val="naiskr"/>
              <w:tabs>
                <w:tab w:val="left" w:pos="170"/>
              </w:tabs>
              <w:spacing w:before="0" w:beforeAutospacing="0" w:after="0" w:afterAutospacing="0"/>
              <w:ind w:left="57" w:right="57"/>
              <w:jc w:val="both"/>
            </w:pPr>
            <w:r w:rsidRPr="00D2604E">
              <w:t>Pašreizējā situācija un problēmas, kuru risināšanai tiesību akta projekts izstrādāts, tiesiskā regulējuma mērķis un būtība</w:t>
            </w:r>
          </w:p>
          <w:p w14:paraId="4EABCF74" w14:textId="77777777" w:rsidR="00A044C9" w:rsidRPr="00D2604E" w:rsidRDefault="00A044C9" w:rsidP="00A044C9">
            <w:pPr>
              <w:rPr>
                <w:rFonts w:ascii="Times New Roman" w:hAnsi="Times New Roman" w:cs="Times New Roman"/>
                <w:sz w:val="24"/>
                <w:szCs w:val="24"/>
              </w:rPr>
            </w:pPr>
          </w:p>
          <w:p w14:paraId="5F5122D8" w14:textId="30426E62" w:rsidR="00A044C9" w:rsidRPr="00D2604E" w:rsidRDefault="00A044C9" w:rsidP="00A044C9">
            <w:pPr>
              <w:rPr>
                <w:rFonts w:ascii="Times New Roman" w:hAnsi="Times New Roman" w:cs="Times New Roman"/>
                <w:sz w:val="24"/>
                <w:szCs w:val="24"/>
              </w:rPr>
            </w:pPr>
          </w:p>
          <w:p w14:paraId="7F9165E3" w14:textId="77777777" w:rsidR="00DA6C86" w:rsidRPr="00D2604E" w:rsidRDefault="00DA6C86" w:rsidP="00A044C9">
            <w:pPr>
              <w:ind w:firstLine="720"/>
              <w:rPr>
                <w:rFonts w:ascii="Times New Roman" w:hAnsi="Times New Roman" w:cs="Times New Roman"/>
                <w:sz w:val="24"/>
                <w:szCs w:val="24"/>
              </w:rPr>
            </w:pPr>
          </w:p>
        </w:tc>
        <w:tc>
          <w:tcPr>
            <w:tcW w:w="3636" w:type="pct"/>
          </w:tcPr>
          <w:p w14:paraId="41F488FC" w14:textId="77777777" w:rsidR="00905BC5" w:rsidRPr="00D2604E" w:rsidRDefault="00905BC5" w:rsidP="00DA44E2">
            <w:pPr>
              <w:spacing w:after="0" w:line="240" w:lineRule="auto"/>
              <w:ind w:left="57" w:right="142" w:firstLine="181"/>
              <w:jc w:val="both"/>
              <w:rPr>
                <w:rFonts w:ascii="Times New Roman" w:eastAsia="Calibri" w:hAnsi="Times New Roman" w:cs="Times New Roman"/>
                <w:sz w:val="24"/>
                <w:szCs w:val="24"/>
              </w:rPr>
            </w:pPr>
            <w:r w:rsidRPr="00D2604E">
              <w:rPr>
                <w:rFonts w:ascii="Times New Roman" w:eastAsia="Calibri" w:hAnsi="Times New Roman" w:cs="Times New Roman"/>
                <w:sz w:val="24"/>
                <w:szCs w:val="24"/>
              </w:rPr>
              <w:t>Šobrīd kārtību, kādā izsniedz, atsaka izsniegt, aptur vai anulē vienkāršotās deklarēšanas un vietējās muitošanas atļauju, atzītā saņēmēja statusu, kā arī kārtību, kādā izsniedz vai saskaņo vienoto atļauju nosaka Ministru kabineta 2010.gada 16.novembra noteikumi Nr.1048 “Noteikumi par vienkāršoto deklarēšanu un vietējo muitošanu, atzītā nosūtītāja un atzītā saņēmēja statusu, vienoto atļauju un atzītā komersanta sertifikātu” (turpmāk – MK noteikumi Nr.1048).</w:t>
            </w:r>
          </w:p>
          <w:p w14:paraId="5D3803BC" w14:textId="5C4C2415" w:rsidR="00905BC5" w:rsidRPr="00D2604E" w:rsidRDefault="00905BC5" w:rsidP="00DA44E2">
            <w:pPr>
              <w:pStyle w:val="ListParagraph"/>
              <w:numPr>
                <w:ilvl w:val="0"/>
                <w:numId w:val="7"/>
              </w:numPr>
              <w:spacing w:after="0" w:line="240" w:lineRule="auto"/>
              <w:ind w:left="57" w:right="142" w:firstLine="181"/>
              <w:jc w:val="both"/>
              <w:rPr>
                <w:rFonts w:ascii="Times New Roman" w:eastAsia="Calibri" w:hAnsi="Times New Roman" w:cs="Times New Roman"/>
                <w:noProof/>
                <w:color w:val="000000"/>
                <w:sz w:val="24"/>
                <w:szCs w:val="24"/>
              </w:rPr>
            </w:pPr>
            <w:r w:rsidRPr="00D2604E">
              <w:rPr>
                <w:rFonts w:ascii="Times New Roman" w:eastAsia="Calibri" w:hAnsi="Times New Roman" w:cs="Times New Roman"/>
                <w:sz w:val="24"/>
                <w:szCs w:val="24"/>
              </w:rPr>
              <w:t xml:space="preserve">MK noteikumu Nr.1048 2.punkts nosaka preču grupas, attiecībā uz kurām nepiemēro vienkāršotās deklarēšanas procedūru. Nosakot ierobežojumus vairākām preču grupām, tika ņemti vērā apstākļi, ka vienkāršoto deklarāciju var noformēt tikai papīra formātā, nebija veikti grozījumi Eiropas Savienības normatīvajos aktos, kas paredz elektronisku vienkāršoto deklarāciju iesniegšanu, kā arī atbilstošu riska analīzi. Komisijas 2008.gada 17.novembra Regulas Nr.1192/2008, ar kuru groza Regulu (EEK) Nr.2454/93, ar ko nosaka īstenošanas noteikumus Padomes Regulai (EEK) Nr.2913/92 par Kopienas Muitas kodeksa izveidi (turpmāk – regula Nr.2454/93) 1.panta 15.punkts nosaka, ka regulas Nr.2454/93 253.a pants tiek papildināts ar nosacījumu, ka vienkāršotās deklarēšanas vai vietējās muitošanas procedūru var izmantot ar nosacījumu, ka muitas deklarācijas un paziņojumus iesniedz elektroniski. Savukārt Komisijas 2010.gada 20.maija Regulas (ES) Nr.430/2010, ar kuru groza Regulu (EEK) Nr.2454, ar ko nosaka īstenošanas noteikumus Padomes Regulai (EEK) Nr.2913/92 par Kopienas Muitas kodeksa izveidi 1.panta 5.punkts nosaka, ka regulas 253.a pants tiek papildināts ar nosacījumu, ka </w:t>
            </w:r>
            <w:r w:rsidRPr="00D2604E">
              <w:rPr>
                <w:rFonts w:ascii="Times New Roman" w:hAnsi="Times New Roman" w:cs="Times New Roman"/>
                <w:color w:val="000000"/>
                <w:sz w:val="24"/>
                <w:szCs w:val="24"/>
              </w:rPr>
              <w:t>gadījumos, kad nav ieviestas muitas dienestu vai komersantu datorizētās sistēmas vienkāršoto muitas deklarāciju vai vietējās muitošanas paziņojumu iesniegšanai vai saņemšanai, izmantojot datu apstrādes paņēmienus, muitas dienesti var pieņemt to norādītās cita veida deklarācijas un paziņojumus ar nosacījumu, ka ir veikta efektīva riska analīze</w:t>
            </w:r>
            <w:r w:rsidR="006D2C6F" w:rsidRPr="00D2604E">
              <w:rPr>
                <w:rFonts w:ascii="Times New Roman" w:hAnsi="Times New Roman" w:cs="Times New Roman"/>
                <w:color w:val="000000"/>
                <w:sz w:val="24"/>
                <w:szCs w:val="24"/>
              </w:rPr>
              <w:t>.</w:t>
            </w:r>
            <w:r w:rsidRPr="00D2604E">
              <w:rPr>
                <w:rFonts w:ascii="Times New Roman" w:eastAsia="Calibri" w:hAnsi="Times New Roman" w:cs="Times New Roman"/>
                <w:noProof/>
                <w:color w:val="000000"/>
                <w:sz w:val="24"/>
                <w:szCs w:val="24"/>
              </w:rPr>
              <w:t xml:space="preserve"> Atbilstoši Ministru kabineta 2013.gada 15.oktobra noteikumiem Nr.1108 „Kārtība, kādā, muitojot preces, elektroniski iesniedz muitas </w:t>
            </w:r>
            <w:r w:rsidRPr="00D2604E">
              <w:rPr>
                <w:rFonts w:ascii="Times New Roman" w:eastAsia="Calibri" w:hAnsi="Times New Roman" w:cs="Times New Roman"/>
                <w:noProof/>
                <w:color w:val="000000"/>
                <w:sz w:val="24"/>
                <w:szCs w:val="24"/>
              </w:rPr>
              <w:lastRenderedPageBreak/>
              <w:t>normatīvajos aktos noteiktās deklarācijas</w:t>
            </w:r>
            <w:r w:rsidR="006E3081" w:rsidRPr="00D2604E">
              <w:rPr>
                <w:rFonts w:ascii="Times New Roman" w:eastAsia="Calibri" w:hAnsi="Times New Roman" w:cs="Times New Roman"/>
                <w:noProof/>
                <w:color w:val="000000"/>
                <w:sz w:val="24"/>
                <w:szCs w:val="24"/>
              </w:rPr>
              <w:t>”</w:t>
            </w:r>
            <w:r w:rsidRPr="00D2604E">
              <w:rPr>
                <w:rFonts w:ascii="Times New Roman" w:eastAsia="Calibri" w:hAnsi="Times New Roman" w:cs="Times New Roman"/>
                <w:sz w:val="24"/>
                <w:szCs w:val="24"/>
              </w:rPr>
              <w:t xml:space="preserve"> no 2014.gada 6.maija vienkāršotās deklarācijas tiek noformētas Elektroniskajā muitas datu apstrādes sistēmā, pirms preču izlaišanas, veicot atbilstošu riska analīzi un, ja nepieciešams, attiecīgas pārbaudes, t</w:t>
            </w:r>
            <w:r w:rsidRPr="00D2604E">
              <w:rPr>
                <w:rFonts w:ascii="Times New Roman" w:eastAsia="Calibri" w:hAnsi="Times New Roman" w:cs="Times New Roman"/>
                <w:noProof/>
                <w:color w:val="000000"/>
                <w:sz w:val="24"/>
                <w:szCs w:val="24"/>
              </w:rPr>
              <w:t>ādējādi MK noteikumu Nr.1048 2.punktā noteiktie ierobežojumi atsevišķiem preču veidiem nebūs nepieciešami.</w:t>
            </w:r>
          </w:p>
          <w:p w14:paraId="47937527" w14:textId="147FE10C" w:rsidR="00F66D05" w:rsidRPr="00D2604E" w:rsidRDefault="00F66D05" w:rsidP="00DA44E2">
            <w:pPr>
              <w:spacing w:after="0" w:line="240" w:lineRule="auto"/>
              <w:ind w:left="57" w:right="142" w:firstLine="181"/>
              <w:jc w:val="both"/>
              <w:rPr>
                <w:rFonts w:ascii="Times New Roman" w:hAnsi="Times New Roman" w:cs="Times New Roman"/>
                <w:color w:val="000000"/>
                <w:sz w:val="24"/>
                <w:szCs w:val="24"/>
              </w:rPr>
            </w:pPr>
            <w:r w:rsidRPr="00D2604E">
              <w:rPr>
                <w:rFonts w:ascii="Times New Roman" w:hAnsi="Times New Roman" w:cs="Times New Roman"/>
                <w:color w:val="000000"/>
                <w:sz w:val="24"/>
                <w:szCs w:val="24"/>
              </w:rPr>
              <w:t>MK noteikumu projekts neparedz noteikt preču veidus, kam nepiemēro vienkāršoto deklarēšanu, atļaujot šo deklarēšanas veidu piemērot visām precēm</w:t>
            </w:r>
            <w:r w:rsidR="00C44FCA" w:rsidRPr="00D2604E">
              <w:rPr>
                <w:rFonts w:ascii="Times New Roman" w:hAnsi="Times New Roman" w:cs="Times New Roman"/>
                <w:color w:val="000000"/>
                <w:sz w:val="24"/>
                <w:szCs w:val="24"/>
              </w:rPr>
              <w:t>.</w:t>
            </w:r>
          </w:p>
          <w:p w14:paraId="5577FAE9" w14:textId="77777777" w:rsidR="00DA44E2" w:rsidRPr="00D2604E" w:rsidRDefault="00DA44E2" w:rsidP="00DA44E2">
            <w:pPr>
              <w:spacing w:after="0" w:line="240" w:lineRule="auto"/>
              <w:ind w:left="57" w:right="142" w:firstLine="181"/>
              <w:jc w:val="both"/>
              <w:rPr>
                <w:rFonts w:ascii="Times New Roman" w:eastAsia="Calibri" w:hAnsi="Times New Roman" w:cs="Times New Roman"/>
                <w:noProof/>
                <w:color w:val="000000"/>
                <w:sz w:val="24"/>
                <w:szCs w:val="24"/>
              </w:rPr>
            </w:pPr>
          </w:p>
          <w:p w14:paraId="775E8B8C" w14:textId="76E1A23F" w:rsidR="00905BC5" w:rsidRPr="00D2604E" w:rsidRDefault="00905BC5" w:rsidP="00DA44E2">
            <w:pPr>
              <w:pStyle w:val="ListParagraph"/>
              <w:numPr>
                <w:ilvl w:val="0"/>
                <w:numId w:val="7"/>
              </w:numPr>
              <w:spacing w:after="0" w:line="240" w:lineRule="auto"/>
              <w:ind w:left="57" w:right="142" w:firstLine="181"/>
              <w:jc w:val="both"/>
              <w:rPr>
                <w:rFonts w:ascii="Times New Roman" w:eastAsia="Calibri" w:hAnsi="Times New Roman" w:cs="Times New Roman"/>
                <w:sz w:val="24"/>
                <w:szCs w:val="24"/>
              </w:rPr>
            </w:pPr>
            <w:r w:rsidRPr="00D2604E">
              <w:rPr>
                <w:rFonts w:ascii="Times New Roman" w:eastAsia="Calibri" w:hAnsi="Times New Roman" w:cs="Times New Roman"/>
                <w:noProof/>
                <w:color w:val="000000"/>
                <w:sz w:val="24"/>
                <w:szCs w:val="24"/>
              </w:rPr>
              <w:t>MK noteikumu Nr.1048 3.punkts nosaka izņēmumus, kad 2.punktā noteiktie ierobežojumi piemērot vienkāršotās deklarēšanas procedūru alkoholam un tabakas izstrādājumiem nav attiecināmi uz komerciālo transportlīdzekļu un ārvalstu diplomātisko pārstāvniecību apgādi, kā arī preču ievešanu beznodokļu tirdzniecības veikalos. Tā kā vienkāršotās deklarēšanas procedūrai vairs netiks attiecināti MK noteikumu Nr.1048 2.punktā minētie ierobežojumi, nav pamatojuma 3.</w:t>
            </w:r>
            <w:r w:rsidR="00DA44E2" w:rsidRPr="00D2604E">
              <w:rPr>
                <w:rFonts w:ascii="Times New Roman" w:eastAsia="Calibri" w:hAnsi="Times New Roman" w:cs="Times New Roman"/>
                <w:noProof/>
                <w:color w:val="000000"/>
                <w:sz w:val="24"/>
                <w:szCs w:val="24"/>
              </w:rPr>
              <w:t>punktā noteiktajiem izņēmumiem.</w:t>
            </w:r>
          </w:p>
          <w:p w14:paraId="491A306A" w14:textId="77777777" w:rsidR="00DA44E2" w:rsidRPr="00D2604E" w:rsidRDefault="00DA44E2" w:rsidP="00DA44E2">
            <w:pPr>
              <w:pStyle w:val="ListParagraph"/>
              <w:spacing w:after="0" w:line="240" w:lineRule="auto"/>
              <w:ind w:left="238" w:right="142"/>
              <w:jc w:val="both"/>
              <w:rPr>
                <w:rFonts w:ascii="Times New Roman" w:eastAsia="Calibri" w:hAnsi="Times New Roman" w:cs="Times New Roman"/>
                <w:sz w:val="24"/>
                <w:szCs w:val="24"/>
              </w:rPr>
            </w:pPr>
          </w:p>
          <w:p w14:paraId="5C9AC502" w14:textId="77777777" w:rsidR="00905BC5" w:rsidRPr="00D2604E" w:rsidRDefault="00905BC5" w:rsidP="00DA44E2">
            <w:pPr>
              <w:pStyle w:val="ListParagraph"/>
              <w:numPr>
                <w:ilvl w:val="0"/>
                <w:numId w:val="7"/>
              </w:numPr>
              <w:spacing w:after="0" w:line="240" w:lineRule="auto"/>
              <w:ind w:left="57" w:right="142" w:firstLine="181"/>
              <w:jc w:val="both"/>
              <w:rPr>
                <w:rFonts w:ascii="Times New Roman" w:eastAsia="Calibri" w:hAnsi="Times New Roman" w:cs="Times New Roman"/>
                <w:sz w:val="24"/>
                <w:szCs w:val="24"/>
              </w:rPr>
            </w:pPr>
            <w:r w:rsidRPr="00D2604E">
              <w:rPr>
                <w:rFonts w:ascii="Times New Roman" w:eastAsia="Calibri" w:hAnsi="Times New Roman" w:cs="Times New Roman"/>
                <w:sz w:val="24"/>
                <w:szCs w:val="24"/>
              </w:rPr>
              <w:t>MK noteikumu Nr.1048 4.5.apakšpunkts nosaka, ka vietējās muitošanas procedūru nepiemēro un atzītā nosūtītāja vai atzītā saņēmēja statusu neizmanto narkotiskām un psihotropām vielām un zālēm. Ņemot vērā to ka, zāļu, kas nesatur narkotiskās vai psihotropās vielas, tranzīts netiek pakļauts ierobežojošiem vai aizliedzošiem pasākumiem, lai nodrošinātu pareizu un vienveidīgu MK noteikumu normu izpratni, nepieciešams precizēt MK noteikumu projektu.</w:t>
            </w:r>
          </w:p>
          <w:p w14:paraId="6511A56C" w14:textId="77777777" w:rsidR="00F66D05" w:rsidRPr="00D2604E" w:rsidRDefault="00F66D05" w:rsidP="00DA44E2">
            <w:pPr>
              <w:spacing w:after="0" w:line="240" w:lineRule="auto"/>
              <w:ind w:left="57" w:right="142" w:firstLine="181"/>
              <w:jc w:val="both"/>
              <w:rPr>
                <w:rFonts w:ascii="Times New Roman" w:hAnsi="Times New Roman" w:cs="Times New Roman"/>
                <w:bCs/>
                <w:color w:val="000000"/>
                <w:sz w:val="24"/>
                <w:szCs w:val="24"/>
              </w:rPr>
            </w:pPr>
            <w:r w:rsidRPr="00D2604E">
              <w:rPr>
                <w:rFonts w:ascii="Times New Roman" w:hAnsi="Times New Roman" w:cs="Times New Roman"/>
                <w:bCs/>
                <w:color w:val="000000"/>
                <w:sz w:val="24"/>
                <w:szCs w:val="24"/>
              </w:rPr>
              <w:t>MK noteikumu projekts izsaka 4.5.apakšpunktu jaunā redakcijā atbilstoši</w:t>
            </w:r>
            <w:r w:rsidRPr="00D2604E">
              <w:rPr>
                <w:rFonts w:ascii="Times New Roman" w:hAnsi="Times New Roman" w:cs="Times New Roman"/>
                <w:bCs/>
                <w:sz w:val="24"/>
                <w:szCs w:val="24"/>
              </w:rPr>
              <w:t xml:space="preserve"> </w:t>
            </w:r>
            <w:r w:rsidRPr="00D2604E">
              <w:rPr>
                <w:rFonts w:ascii="Times New Roman" w:hAnsi="Times New Roman" w:cs="Times New Roman"/>
                <w:bCs/>
                <w:color w:val="000000"/>
                <w:sz w:val="24"/>
                <w:szCs w:val="24"/>
              </w:rPr>
              <w:t>likuma „Par narkotisko un psihotropo vielu un zāļu likumīgās aprites kārtību” 5., 7., 17., 18., 25., 26. un 29.pantam.</w:t>
            </w:r>
          </w:p>
          <w:p w14:paraId="3B166446" w14:textId="77777777" w:rsidR="00F66D05" w:rsidRPr="00D2604E" w:rsidRDefault="00F66D05" w:rsidP="00DA44E2">
            <w:pPr>
              <w:spacing w:after="0" w:line="240" w:lineRule="auto"/>
              <w:ind w:left="57" w:right="142" w:firstLine="181"/>
              <w:jc w:val="both"/>
              <w:rPr>
                <w:rFonts w:ascii="Times New Roman" w:eastAsia="Calibri" w:hAnsi="Times New Roman" w:cs="Times New Roman"/>
                <w:sz w:val="24"/>
                <w:szCs w:val="24"/>
              </w:rPr>
            </w:pPr>
          </w:p>
          <w:p w14:paraId="3884CA13" w14:textId="6867255E" w:rsidR="00905BC5" w:rsidRPr="00D2604E" w:rsidRDefault="00905BC5" w:rsidP="00DA44E2">
            <w:pPr>
              <w:pStyle w:val="ListParagraph"/>
              <w:numPr>
                <w:ilvl w:val="0"/>
                <w:numId w:val="7"/>
              </w:numPr>
              <w:spacing w:after="0" w:line="240" w:lineRule="auto"/>
              <w:ind w:left="57" w:right="142" w:firstLine="181"/>
              <w:jc w:val="both"/>
              <w:rPr>
                <w:rFonts w:ascii="Times New Roman" w:eastAsia="Calibri" w:hAnsi="Times New Roman" w:cs="Times New Roman"/>
                <w:sz w:val="24"/>
                <w:szCs w:val="24"/>
              </w:rPr>
            </w:pPr>
            <w:r w:rsidRPr="00D2604E">
              <w:rPr>
                <w:rFonts w:ascii="Times New Roman" w:eastAsia="Calibri" w:hAnsi="Times New Roman" w:cs="Times New Roman"/>
                <w:noProof/>
                <w:color w:val="000000"/>
                <w:sz w:val="24"/>
                <w:szCs w:val="24"/>
              </w:rPr>
              <w:t xml:space="preserve">Atbilstoši Ministru kabineta 2013.gada 15.oktobra noteikumiem Nr.1108 „Kārtība, kādā, muitojot preces, elektroniski iesniedz muitas normatīvajos aktos noteiktās deklarācijas no 2014.gada 6.maija importa deklarācijas ievešanas procedūrām tiek noformētas Elektroniskajā muitas datu apstrādes sistēmā, vienlaicīgi mainot vietējās muitošanas procedūras piemērošanas </w:t>
            </w:r>
            <w:r w:rsidR="00CA4123" w:rsidRPr="00D2604E">
              <w:rPr>
                <w:rFonts w:ascii="Times New Roman" w:eastAsia="Calibri" w:hAnsi="Times New Roman" w:cs="Times New Roman"/>
                <w:noProof/>
                <w:color w:val="000000"/>
                <w:sz w:val="24"/>
                <w:szCs w:val="24"/>
              </w:rPr>
              <w:t xml:space="preserve">veidu </w:t>
            </w:r>
            <w:r w:rsidRPr="00D2604E">
              <w:rPr>
                <w:rFonts w:ascii="Times New Roman" w:eastAsia="Calibri" w:hAnsi="Times New Roman" w:cs="Times New Roman"/>
                <w:noProof/>
                <w:color w:val="000000"/>
                <w:sz w:val="24"/>
                <w:szCs w:val="24"/>
              </w:rPr>
              <w:t xml:space="preserve">– preču deklarēšana tiek veikta preces ņemot vienkāršoto procedūru atļaujas turētāja uzskaitē kā to nosaka Eiropas Savienības normatīvie akti. Elektroniskā muitas datu apstrādes sistēma nodrošina vietējās muitošanas paziņojuma iesūtīšanu un un papildu – Z tipa deklarācijas, kas noteikta regulas Nr.2454/93 38.pielikuma II sadaļā </w:t>
            </w:r>
            <w:r w:rsidRPr="00D2604E">
              <w:rPr>
                <w:rFonts w:ascii="Times New Roman" w:eastAsia="Calibri" w:hAnsi="Times New Roman" w:cs="Times New Roman"/>
                <w:i/>
                <w:noProof/>
                <w:color w:val="000000"/>
                <w:sz w:val="24"/>
                <w:szCs w:val="24"/>
              </w:rPr>
              <w:t>KODI</w:t>
            </w:r>
            <w:r w:rsidRPr="00D2604E">
              <w:rPr>
                <w:rFonts w:ascii="Times New Roman" w:eastAsia="Calibri" w:hAnsi="Times New Roman" w:cs="Times New Roman"/>
                <w:noProof/>
                <w:color w:val="000000"/>
                <w:sz w:val="24"/>
                <w:szCs w:val="24"/>
              </w:rPr>
              <w:t>, noformēšanu. MK noteikumu Nr.1048 6.punkts nosaka darbības, ko vienkāršoto procedūru atļaujas turētājs nevar veikt vietējās muitošanas procedūrā. Ņemot vērā izmaiņas vietējās muitošanas procedūras piemērošanā, 6.punktā noteiktie ierobežojumi nav attiecināmi uz vietējās muitošanas procedūru.</w:t>
            </w:r>
          </w:p>
          <w:p w14:paraId="478B8164" w14:textId="29829F84" w:rsidR="00DF0D42" w:rsidRPr="00D2604E" w:rsidRDefault="00DF0D42" w:rsidP="00DA44E2">
            <w:pPr>
              <w:spacing w:after="0" w:line="240" w:lineRule="auto"/>
              <w:ind w:left="57" w:right="142" w:firstLine="181"/>
              <w:jc w:val="both"/>
              <w:rPr>
                <w:rFonts w:ascii="Times New Roman" w:hAnsi="Times New Roman" w:cs="Times New Roman"/>
                <w:color w:val="000000"/>
                <w:sz w:val="24"/>
                <w:szCs w:val="24"/>
              </w:rPr>
            </w:pPr>
            <w:r w:rsidRPr="00D2604E">
              <w:rPr>
                <w:rFonts w:ascii="Times New Roman" w:hAnsi="Times New Roman" w:cs="Times New Roman"/>
                <w:color w:val="000000"/>
                <w:sz w:val="24"/>
                <w:szCs w:val="24"/>
              </w:rPr>
              <w:t>Ņemot vērā vietējās muitošanas prakses maiņu, noteikumu projekts vairs neparedz ierobežojumus vietējās muitošanas izmantošanai (</w:t>
            </w:r>
            <w:r w:rsidRPr="00D2604E">
              <w:rPr>
                <w:rFonts w:ascii="Times New Roman" w:eastAsia="Calibri" w:hAnsi="Times New Roman" w:cs="Times New Roman"/>
                <w:sz w:val="24"/>
                <w:szCs w:val="24"/>
              </w:rPr>
              <w:t>MK noteikumu Nr.1048</w:t>
            </w:r>
            <w:r w:rsidRPr="00D2604E">
              <w:rPr>
                <w:rFonts w:ascii="Times New Roman" w:hAnsi="Times New Roman" w:cs="Times New Roman"/>
                <w:color w:val="000000"/>
                <w:sz w:val="24"/>
                <w:szCs w:val="24"/>
              </w:rPr>
              <w:t xml:space="preserve"> 6.punkts), piesakot Eiropas Savienības tarifu kvotu, ja precēm piemēro muitas procedūru – laišana brīvā apgrozībā, muitas formalitāšu kārtošanai pret atbilstošu galvojumu (skaidras naudas iemaksa) muitas </w:t>
            </w:r>
            <w:r w:rsidRPr="00D2604E">
              <w:rPr>
                <w:rFonts w:ascii="Times New Roman" w:hAnsi="Times New Roman" w:cs="Times New Roman"/>
                <w:color w:val="000000"/>
                <w:sz w:val="24"/>
                <w:szCs w:val="24"/>
              </w:rPr>
              <w:lastRenderedPageBreak/>
              <w:t>nodokļa, pievienotās vērtības nodokļa un akcīzes nodokļa parādam, kas var rasties, muitas formalitāšu kārtošanai, kā arī veicot datu manuālo ievadīšanu muitas deklarācijā, tādēļ punkts tiek svītrots.</w:t>
            </w:r>
          </w:p>
          <w:p w14:paraId="442A1BBA" w14:textId="77777777" w:rsidR="00DA44E2" w:rsidRPr="00D2604E" w:rsidRDefault="00DA44E2" w:rsidP="00DA44E2">
            <w:pPr>
              <w:spacing w:after="0" w:line="240" w:lineRule="auto"/>
              <w:ind w:left="57" w:right="142" w:firstLine="181"/>
              <w:jc w:val="both"/>
              <w:rPr>
                <w:rFonts w:ascii="Times New Roman" w:hAnsi="Times New Roman" w:cs="Times New Roman"/>
                <w:color w:val="000000"/>
                <w:sz w:val="24"/>
                <w:szCs w:val="24"/>
              </w:rPr>
            </w:pPr>
          </w:p>
          <w:p w14:paraId="59490767" w14:textId="77777777" w:rsidR="00905BC5" w:rsidRPr="00D2604E" w:rsidRDefault="00905BC5" w:rsidP="00DA44E2">
            <w:pPr>
              <w:pStyle w:val="ListParagraph"/>
              <w:numPr>
                <w:ilvl w:val="0"/>
                <w:numId w:val="7"/>
              </w:numPr>
              <w:spacing w:after="0" w:line="240" w:lineRule="auto"/>
              <w:ind w:left="57" w:right="142" w:firstLine="181"/>
              <w:jc w:val="both"/>
              <w:rPr>
                <w:rFonts w:ascii="Times New Roman" w:eastAsia="Calibri" w:hAnsi="Times New Roman" w:cs="Times New Roman"/>
                <w:sz w:val="24"/>
                <w:szCs w:val="24"/>
              </w:rPr>
            </w:pPr>
            <w:r w:rsidRPr="00D2604E">
              <w:rPr>
                <w:rFonts w:ascii="Times New Roman" w:eastAsia="Calibri" w:hAnsi="Times New Roman" w:cs="Times New Roman"/>
                <w:sz w:val="24"/>
                <w:szCs w:val="24"/>
              </w:rPr>
              <w:t>MK noteikumu Nr.1048 15.2.apakšpunkts nosaka, ka lai saņemtu vienkāršoto procedūru atļauju, iesniegumam pievieno vietējās muitošanas procedūrai izmantojamā nodrošinājuma paraugu un aprakstu. Normatīvie akti nenosaka muitas nodrošinājuma izmantošanu ievešanas un izvešanas procedūrām, tādējādi nav pamatojuma šādai prasības noteikšanai.</w:t>
            </w:r>
          </w:p>
          <w:p w14:paraId="353A63AF" w14:textId="77777777" w:rsidR="00DF0D42" w:rsidRPr="00D2604E" w:rsidRDefault="00DF0D42" w:rsidP="00DA44E2">
            <w:pPr>
              <w:spacing w:after="0" w:line="240" w:lineRule="auto"/>
              <w:ind w:left="57" w:right="142" w:firstLine="181"/>
              <w:jc w:val="both"/>
              <w:rPr>
                <w:rFonts w:ascii="Times New Roman" w:hAnsi="Times New Roman" w:cs="Times New Roman"/>
                <w:color w:val="000000"/>
                <w:sz w:val="24"/>
                <w:szCs w:val="24"/>
              </w:rPr>
            </w:pPr>
            <w:r w:rsidRPr="00D2604E">
              <w:rPr>
                <w:rFonts w:ascii="Times New Roman" w:hAnsi="Times New Roman" w:cs="Times New Roman"/>
                <w:color w:val="000000"/>
                <w:sz w:val="24"/>
                <w:szCs w:val="24"/>
              </w:rPr>
              <w:t xml:space="preserve">Noteikumu projekts vairs neparedz </w:t>
            </w:r>
            <w:r w:rsidRPr="00D2604E">
              <w:rPr>
                <w:rFonts w:ascii="Times New Roman" w:hAnsi="Times New Roman" w:cs="Times New Roman"/>
                <w:sz w:val="24"/>
                <w:szCs w:val="24"/>
              </w:rPr>
              <w:t>vietējās muitošanas procedūrai izmantojamā nodrošinājuma parauga un apraksta pievienošanu iesniegumam (</w:t>
            </w:r>
            <w:r w:rsidRPr="00D2604E">
              <w:rPr>
                <w:rFonts w:ascii="Times New Roman" w:eastAsia="Calibri" w:hAnsi="Times New Roman" w:cs="Times New Roman"/>
                <w:sz w:val="24"/>
                <w:szCs w:val="24"/>
              </w:rPr>
              <w:t>MK noteikumu Nr.1048</w:t>
            </w:r>
            <w:r w:rsidRPr="00D2604E">
              <w:rPr>
                <w:rFonts w:ascii="Times New Roman" w:hAnsi="Times New Roman" w:cs="Times New Roman"/>
                <w:color w:val="000000"/>
                <w:sz w:val="24"/>
                <w:szCs w:val="24"/>
              </w:rPr>
              <w:t xml:space="preserve"> </w:t>
            </w:r>
            <w:r w:rsidRPr="00D2604E">
              <w:rPr>
                <w:rFonts w:ascii="Times New Roman" w:hAnsi="Times New Roman" w:cs="Times New Roman"/>
                <w:sz w:val="24"/>
                <w:szCs w:val="24"/>
              </w:rPr>
              <w:t>15.2.apakšpunkts), jo normatīvie akti neparedz nodrošinājumu (plombu u.c.) izmantošanu ievešanas un izvešanas procedūrām, līdz ar to apakšpunkts tiek svītrots.</w:t>
            </w:r>
          </w:p>
          <w:p w14:paraId="46B26505" w14:textId="77777777" w:rsidR="00DF0D42" w:rsidRPr="00D2604E" w:rsidRDefault="00DF0D42" w:rsidP="00DA44E2">
            <w:pPr>
              <w:pStyle w:val="ListParagraph"/>
              <w:spacing w:after="0" w:line="240" w:lineRule="auto"/>
              <w:ind w:left="57" w:right="142" w:firstLine="181"/>
              <w:jc w:val="both"/>
              <w:rPr>
                <w:rFonts w:ascii="Times New Roman" w:eastAsia="Calibri" w:hAnsi="Times New Roman" w:cs="Times New Roman"/>
                <w:sz w:val="24"/>
                <w:szCs w:val="24"/>
              </w:rPr>
            </w:pPr>
          </w:p>
          <w:p w14:paraId="61ADE5B7" w14:textId="77777777" w:rsidR="00905BC5" w:rsidRPr="00D2604E" w:rsidRDefault="00905BC5" w:rsidP="00DA44E2">
            <w:pPr>
              <w:pStyle w:val="ListParagraph"/>
              <w:numPr>
                <w:ilvl w:val="0"/>
                <w:numId w:val="7"/>
              </w:numPr>
              <w:spacing w:after="0" w:line="240" w:lineRule="auto"/>
              <w:ind w:left="57" w:right="142" w:firstLine="181"/>
              <w:jc w:val="both"/>
              <w:rPr>
                <w:rFonts w:ascii="Times New Roman" w:eastAsia="Calibri" w:hAnsi="Times New Roman" w:cs="Times New Roman"/>
                <w:sz w:val="24"/>
                <w:szCs w:val="24"/>
              </w:rPr>
            </w:pPr>
            <w:r w:rsidRPr="00D2604E">
              <w:rPr>
                <w:rFonts w:ascii="Times New Roman" w:eastAsia="Calibri" w:hAnsi="Times New Roman" w:cs="Times New Roman"/>
                <w:sz w:val="24"/>
                <w:szCs w:val="24"/>
              </w:rPr>
              <w:t xml:space="preserve">Padomes 1992.gada 12.oktobra Regulas (EEK) Nr.2913/92 par Kopienas Muitas kodeksa izveidi 76.panta 1.punkta c) apakšpunkts nosaka vietējās muitošanas procedūras piemērošanas principu – preču deklarēšana, ņemot tās uzskaitē, kuras ierakstā ir jābūt vismaz tām ziņām, kas nepieciešamas preču identifikācijai. </w:t>
            </w:r>
          </w:p>
          <w:p w14:paraId="67527B83" w14:textId="5FAAC1A7" w:rsidR="00905BC5" w:rsidRPr="00D2604E" w:rsidRDefault="00905BC5" w:rsidP="007C217B">
            <w:pPr>
              <w:spacing w:after="0" w:line="240" w:lineRule="auto"/>
              <w:ind w:left="57" w:right="142" w:firstLine="181"/>
              <w:jc w:val="both"/>
              <w:rPr>
                <w:rFonts w:ascii="Times New Roman" w:eastAsia="Calibri" w:hAnsi="Times New Roman" w:cs="Times New Roman"/>
                <w:sz w:val="24"/>
                <w:szCs w:val="24"/>
              </w:rPr>
            </w:pPr>
            <w:r w:rsidRPr="00D2604E">
              <w:rPr>
                <w:rFonts w:ascii="Times New Roman" w:eastAsia="Calibri" w:hAnsi="Times New Roman" w:cs="Times New Roman"/>
                <w:sz w:val="24"/>
                <w:szCs w:val="24"/>
              </w:rPr>
              <w:t xml:space="preserve">Komisijas 1993.gada 2.jūlija Regulas (EEK) Nr.2454/93, ar ko nosaka īstenošanas noteikumus Padomes Regulai (EEK) Nr.2913/92 par Kopienas Muitas kodeksa izveidi (turpmāk – Regula Nr.2454/93), 253.panta 4.punkts nosaka personas pienākumu vietējās muitošanas procedūras atļauju izveidot apmierinošu uzskaiti, kas dod muitas dienestam iespēju veikt atbilstošu muitas kontroli. Turklāt Regulas Nr.2454/93 266.panta 3.punkts paredz iegrāmatojumā (preču ņemšanā uzskaitē) ietvert vismaz tos datus, kas iekļaujami deklarācijā saskaņā ar ievedumiem piemērojamo vietējās muitošanas procedūru, kā izklāstīts 30.A pielikumā. Tādējādi Regulas Nr.2454/93 30.A pielikuma 7.tabulā ir noteikti komersanta uzskaites pamatdati, tomēr nevienā citā normatīvā aktā nav noteiktas prasības papildu datu, kas nepieciešami muitas uzraudzībai un kontrolei, norādīšanai komersanta uzskaitē. Turklāt Eiropas Komisija atbildot uz Valsts ieņēmumu dienesta Muitas pārvaldes uzdoto jautājumu norādījusi, ka Latvijas muita preču uzskaitē var prasīt vairāk datus, nekā noteikts Regulas Nr.2454/93 30.A pielikumā. Regulas Nr.2454/93 253.a pants nosaka, ka vietējās muitošanas procedūru var izmantot ar nosacījumu, ka muitas deklarācijas un paziņojumus iesniedz elektroniski, tomēr  gadījumos, kad nav ieviestu muitas dienestu vai komersantu datorizētās sistēmas vietējās muitošanas paziņojumu iesniegšanai vai saņemšanai, izmantojot apstrādes paņēmienus, muitas dienesti var pieņemt to norādītās cita veida deklarācijas un paziņojumus ar nosacījumu, ka ir veikta efektīva riska analīze. No 2014.gada 6.maija ir ieviesta Elektroniskā muitas datu apstrādes sistēma, kas paredz vietējās muitošanas paziņojumu elektronisku iesniegšanu. Tādējādi, pamatojoties uz elektroniski iesniegto vietējās muitošanas paziņojumu, tiek veikta riska analīze. Lai veiktu atbilstošu riska analīzi, kuras rezultātā muita apstiprina vai neapstiprina preču izlaišanu, vietējās muitošanas paziņojumā jāietver ne tikai Regulas Nr.2454/93 30.A pielikuma 7.tabulā noteiktā, bet papildu informācija. Neviens normatīvais akts šobrīd nenosaka pienākumu </w:t>
            </w:r>
            <w:r w:rsidRPr="00D2604E">
              <w:rPr>
                <w:rFonts w:ascii="Times New Roman" w:eastAsia="Calibri" w:hAnsi="Times New Roman" w:cs="Times New Roman"/>
                <w:sz w:val="24"/>
                <w:szCs w:val="24"/>
              </w:rPr>
              <w:lastRenderedPageBreak/>
              <w:t>vietējās muitošanas paziņojumā iesniegt citu informāciju, kas papildina Regulas Nr.2454/93 30.A pielikumā norādīto.</w:t>
            </w:r>
          </w:p>
          <w:p w14:paraId="382B1CD6" w14:textId="77777777" w:rsidR="001F4640" w:rsidRPr="00D2604E" w:rsidRDefault="001F4640" w:rsidP="007C217B">
            <w:pPr>
              <w:spacing w:after="0" w:line="240" w:lineRule="auto"/>
              <w:ind w:left="57" w:right="142" w:firstLine="181"/>
              <w:jc w:val="both"/>
              <w:rPr>
                <w:rFonts w:ascii="Times New Roman" w:hAnsi="Times New Roman" w:cs="Times New Roman"/>
                <w:color w:val="000000"/>
                <w:sz w:val="24"/>
                <w:szCs w:val="24"/>
              </w:rPr>
            </w:pPr>
            <w:r w:rsidRPr="00D2604E">
              <w:rPr>
                <w:rFonts w:ascii="Times New Roman" w:hAnsi="Times New Roman" w:cs="Times New Roman"/>
                <w:color w:val="000000"/>
                <w:sz w:val="24"/>
                <w:szCs w:val="24"/>
              </w:rPr>
              <w:t>Noteikumu projekts papildināts ar 14.</w:t>
            </w:r>
            <w:r w:rsidRPr="00D2604E">
              <w:rPr>
                <w:rFonts w:ascii="Times New Roman" w:hAnsi="Times New Roman" w:cs="Times New Roman"/>
                <w:color w:val="000000"/>
                <w:sz w:val="24"/>
                <w:szCs w:val="24"/>
                <w:vertAlign w:val="superscript"/>
              </w:rPr>
              <w:t>1</w:t>
            </w:r>
            <w:r w:rsidRPr="00D2604E">
              <w:rPr>
                <w:rFonts w:ascii="Times New Roman" w:hAnsi="Times New Roman" w:cs="Times New Roman"/>
                <w:color w:val="000000"/>
                <w:sz w:val="24"/>
                <w:szCs w:val="24"/>
              </w:rPr>
              <w:t xml:space="preserve"> punktu, kas atbilstoši jaunās vietējās muitošanas praksei, nosaka komersantiem pirms vienkāršoto procedūru atļaujas vietējai muitošanai ievešanas procedūrām saņemšanas nodrošināt preču uzskaiti elektroniskā veidā.</w:t>
            </w:r>
          </w:p>
          <w:p w14:paraId="68FE03CC" w14:textId="77777777" w:rsidR="001F4640" w:rsidRPr="00D2604E" w:rsidRDefault="001F4640" w:rsidP="007C217B">
            <w:p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Noteikumu projekta 17.punkts ir izteikts jaunā redakcijā, atbilstoši jaunās vietējās muitošanas piemērošanas praksei nosakot datu kopumu, kas komersantam papildus Regulas Nr.2454/93 30.A pielikuma 7.tabulā noteiktajam jānodrošina savā elektroniskajā preču uzskaites sistēmā.</w:t>
            </w:r>
          </w:p>
          <w:p w14:paraId="5460781A" w14:textId="77777777" w:rsidR="007C217B" w:rsidRPr="00D2604E" w:rsidRDefault="007C217B" w:rsidP="007C217B">
            <w:p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Datu atpazīstamības, izsekojamības un savstarpējās sasaistes nodrošināšanai ne tikai muitas kontroles vajadzībām, bet arī, komersanta iekšējās kontroles pār preču un informācijas plūsmu nodrošināšanai, papildus Regulas Nr.2454/93 30.A pielikuma 7.tabulā minētajam nosakāmi šādi uzskaites dati</w:t>
            </w:r>
            <w:r w:rsidRPr="00D2604E">
              <w:rPr>
                <w:rFonts w:ascii="Times New Roman" w:hAnsi="Times New Roman" w:cs="Times New Roman"/>
                <w:color w:val="1F497D"/>
                <w:sz w:val="24"/>
                <w:szCs w:val="24"/>
              </w:rPr>
              <w:t>:</w:t>
            </w:r>
          </w:p>
          <w:p w14:paraId="13EC69CB" w14:textId="77777777" w:rsidR="007C217B" w:rsidRPr="00D2604E" w:rsidRDefault="007C217B" w:rsidP="007C217B">
            <w:pPr>
              <w:numPr>
                <w:ilvl w:val="0"/>
                <w:numId w:val="12"/>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importa muitas iestādes kods, jo vietējās muitošanas atļaujās tiek iekļautas vairākas uzraudzības muitas iestādes, tādejādi sniedzot komersantam iespēju vienas atļaujas ietvaros strādāt vairākās muitas iestādēs, kā arī izmantot vietējo muitošanu ārpus uzraudzības muitas iestādes darba laika, iesūtot vietējās muitošanas paziņojumu citā, atļaujā norādītā muitas iestādē.</w:t>
            </w:r>
            <w:r w:rsidRPr="00D2604E">
              <w:rPr>
                <w:rFonts w:ascii="Times New Roman" w:hAnsi="Times New Roman" w:cs="Times New Roman"/>
                <w:color w:val="1F497D"/>
                <w:sz w:val="24"/>
                <w:szCs w:val="24"/>
              </w:rPr>
              <w:t xml:space="preserve"> </w:t>
            </w:r>
          </w:p>
          <w:p w14:paraId="6FA35D3F" w14:textId="77777777" w:rsidR="007C217B" w:rsidRPr="00D2604E" w:rsidRDefault="007C217B" w:rsidP="007C217B">
            <w:pPr>
              <w:numPr>
                <w:ilvl w:val="0"/>
                <w:numId w:val="12"/>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preču (pozīciju) skaits, jo nepieciešams identificēt, cik preces ar dažādiem preču kodiem iekļautas vienā uzskaites vienībā.</w:t>
            </w:r>
          </w:p>
          <w:p w14:paraId="693D252F" w14:textId="77777777" w:rsidR="007C217B" w:rsidRPr="00D2604E" w:rsidRDefault="007C217B" w:rsidP="007C217B">
            <w:pPr>
              <w:numPr>
                <w:ilvl w:val="0"/>
                <w:numId w:val="12"/>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 xml:space="preserve">komersanta preču uzskaites numurs, jo preču uzskaites veidošanas principi prasa datu sakārtošanu un identificēšanu, ko nodrošina komersanta uzskaites sistēmā piešķirtais uzskaites numurs. </w:t>
            </w:r>
          </w:p>
          <w:p w14:paraId="69C85A1B" w14:textId="77777777" w:rsidR="007C217B" w:rsidRPr="00D2604E" w:rsidRDefault="007C217B" w:rsidP="007C217B">
            <w:pPr>
              <w:numPr>
                <w:ilvl w:val="0"/>
                <w:numId w:val="12"/>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papildu deklarācijas numurs, datums, jo regulas Nr.2913/92 76.pantā noteikts, ka preču ņemšana uzskaitē kopā ar papildu deklarāciju veido vienotu un nedalāmu dokumentu, attiecīgi nepieciešama šo abu deklarāciju savstarpējā sasaiste, lai uzskaitē būtu iespējams identificēt papildu deklarāciju un novērstu gadījumus, kad papildu deklarācija nav iesniegta atļaujā norādītajos termiņos.</w:t>
            </w:r>
          </w:p>
          <w:p w14:paraId="4635BC70" w14:textId="77777777" w:rsidR="007C217B" w:rsidRPr="00D2604E" w:rsidRDefault="007C217B" w:rsidP="007C217B">
            <w:pPr>
              <w:numPr>
                <w:ilvl w:val="0"/>
                <w:numId w:val="12"/>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dati par vērtību, jo komersants ir atbildīgs gan par muitas parāda, gan muitas parāda, kas var rasties uzskaiti, kā pamatā ir tā aprēķināšana.</w:t>
            </w:r>
          </w:p>
          <w:p w14:paraId="168AED7B" w14:textId="77777777" w:rsidR="007C217B" w:rsidRPr="00D2604E" w:rsidRDefault="007C217B" w:rsidP="007C217B">
            <w:pPr>
              <w:numPr>
                <w:ilvl w:val="0"/>
                <w:numId w:val="12"/>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valūtas kurss, jo komersants ir atbildīgs gan par muitas parāda, gan muitas parāda, kas var rasties uzskaiti, kā pamatā ir tā aprēķināšana.</w:t>
            </w:r>
          </w:p>
          <w:p w14:paraId="6AC54486" w14:textId="77777777" w:rsidR="007C217B" w:rsidRPr="00D2604E" w:rsidRDefault="007C217B" w:rsidP="007C217B">
            <w:pPr>
              <w:numPr>
                <w:ilvl w:val="0"/>
                <w:numId w:val="12"/>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preču atrašanās vieta (muitas iestāžu atzītas vietas identifikācijas numurs), jo vietējās muitošanas atļaujās komersantiem ir iekļautas vairākas vietējā muitošanā izmantojamas preču atrašanās vietas, nepieciešams identificēt kurā no tām prece atrodas.</w:t>
            </w:r>
          </w:p>
          <w:p w14:paraId="2CE2B567" w14:textId="77777777" w:rsidR="007C217B" w:rsidRPr="00D2604E" w:rsidRDefault="007C217B" w:rsidP="007C217B">
            <w:pPr>
              <w:numPr>
                <w:ilvl w:val="0"/>
                <w:numId w:val="12"/>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preces kārtas numurs, jo vienam komersanta preču uzskates numuram var būt piesaistītas vairākas preces. Kārtas numurs nepieciešams atsevišķās preces atpazīšanai.</w:t>
            </w:r>
          </w:p>
          <w:p w14:paraId="1055F97A" w14:textId="77777777" w:rsidR="007C217B" w:rsidRPr="00D2604E" w:rsidRDefault="007C217B" w:rsidP="007C217B">
            <w:pPr>
              <w:numPr>
                <w:ilvl w:val="0"/>
                <w:numId w:val="12"/>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 xml:space="preserve">iepriekš piemērotās muitas noteikumos atzītās preču izmantošanas dokumenta numurs, jo muitā noformētās iepriekš precēm piemērotās muitas noteikumos atzītās preču izmantošanas identificēšanai un savstarpējās sasaistes nodrošināšanai. Piemēram, ja pēc ievešanas pārstrādei preces tiek novietotas muitas noliktavā, izmantojot vietējo muitošanu. Glabāšanai muitas noliktavā vietējā muitošanā nav jāsniedz papildu deklarācija, tādēļ </w:t>
            </w:r>
            <w:r w:rsidRPr="00D2604E">
              <w:rPr>
                <w:rFonts w:ascii="Times New Roman" w:hAnsi="Times New Roman" w:cs="Times New Roman"/>
                <w:sz w:val="24"/>
                <w:szCs w:val="24"/>
              </w:rPr>
              <w:lastRenderedPageBreak/>
              <w:t>vēlāk, noslēdzot glabāšanu muitas noliktavā, šī informācija tiks zaudēta, kā arī nebūs informācijas par pārstrādes procedūras noslēgšanu.</w:t>
            </w:r>
          </w:p>
          <w:p w14:paraId="4D50749E" w14:textId="77777777" w:rsidR="007C217B" w:rsidRPr="00D2604E" w:rsidRDefault="007C217B" w:rsidP="007C217B">
            <w:pPr>
              <w:numPr>
                <w:ilvl w:val="0"/>
                <w:numId w:val="12"/>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vietējās muitošanas paziņojuma numurs, datums, jo nodrošināt komersanta preču uzskaitē sasaisti ar muitā iesūtīto vietējās muitošanas paziņojumu.</w:t>
            </w:r>
          </w:p>
          <w:p w14:paraId="2296AD30" w14:textId="77777777" w:rsidR="007C217B" w:rsidRPr="00D2604E" w:rsidRDefault="007C217B" w:rsidP="007C217B">
            <w:pPr>
              <w:spacing w:after="0" w:line="240" w:lineRule="auto"/>
              <w:ind w:left="57" w:right="142" w:firstLine="181"/>
              <w:jc w:val="both"/>
              <w:rPr>
                <w:rFonts w:ascii="Times New Roman" w:hAnsi="Times New Roman" w:cs="Times New Roman"/>
                <w:color w:val="000000"/>
                <w:sz w:val="24"/>
                <w:szCs w:val="24"/>
              </w:rPr>
            </w:pPr>
          </w:p>
          <w:p w14:paraId="097ED179" w14:textId="77777777" w:rsidR="007C217B" w:rsidRPr="00D2604E" w:rsidRDefault="007C217B" w:rsidP="007C217B">
            <w:p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Noteikumu projekts papildināts ar 17.</w:t>
            </w:r>
            <w:r w:rsidRPr="00D2604E">
              <w:rPr>
                <w:rFonts w:ascii="Times New Roman" w:hAnsi="Times New Roman" w:cs="Times New Roman"/>
                <w:sz w:val="24"/>
                <w:szCs w:val="24"/>
                <w:vertAlign w:val="superscript"/>
              </w:rPr>
              <w:t>1</w:t>
            </w:r>
            <w:r w:rsidRPr="00D2604E">
              <w:rPr>
                <w:rFonts w:ascii="Times New Roman" w:hAnsi="Times New Roman" w:cs="Times New Roman"/>
                <w:sz w:val="24"/>
                <w:szCs w:val="24"/>
              </w:rPr>
              <w:t xml:space="preserve"> punktu, kas atbilstoši jaunās vietējās muitošanas praksei nosaka prasību iesniegt vietējās muitošanas paziņojumus elektroniski, kā arī datu kopumu, papildus Regulas Nr.2454/93 30.A pielikuma 7.tabulā noteiktajam jānodrošina komersantam, no savas elektroniskās preču uzskaites sistēmas iesniedzot vietējās muitošanas paziņojumus Elektroniskajā </w:t>
            </w:r>
            <w:r w:rsidRPr="00D2604E">
              <w:rPr>
                <w:rFonts w:ascii="Times New Roman" w:hAnsi="Times New Roman" w:cs="Times New Roman"/>
                <w:bCs/>
                <w:sz w:val="24"/>
                <w:szCs w:val="24"/>
              </w:rPr>
              <w:t xml:space="preserve">muitas datu apstrādes sistēmā. </w:t>
            </w:r>
            <w:r w:rsidRPr="00D2604E">
              <w:rPr>
                <w:rFonts w:ascii="Times New Roman" w:hAnsi="Times New Roman" w:cs="Times New Roman"/>
                <w:sz w:val="24"/>
                <w:szCs w:val="24"/>
              </w:rPr>
              <w:t xml:space="preserve"> Tādejādi MK noteikumu Nr.1048 grozījumu projektā vietējās muitošanas paziņojumā papildus regulas Nr.2454/93 30.A pielikuma datiem iekļauti:</w:t>
            </w:r>
          </w:p>
          <w:p w14:paraId="6136C9ED" w14:textId="77777777" w:rsidR="007C217B" w:rsidRPr="00D2604E" w:rsidRDefault="007C217B" w:rsidP="007C217B">
            <w:pPr>
              <w:pStyle w:val="ListParagraph"/>
              <w:numPr>
                <w:ilvl w:val="0"/>
                <w:numId w:val="12"/>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importa muitas iestādes kods;</w:t>
            </w:r>
          </w:p>
          <w:p w14:paraId="0DED6111" w14:textId="77777777" w:rsidR="007C217B" w:rsidRPr="00D2604E" w:rsidRDefault="007C217B" w:rsidP="007C217B">
            <w:pPr>
              <w:pStyle w:val="ListParagraph"/>
              <w:numPr>
                <w:ilvl w:val="0"/>
                <w:numId w:val="12"/>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komersanta preču uzskaites numurs;</w:t>
            </w:r>
          </w:p>
          <w:p w14:paraId="66B18617" w14:textId="77777777" w:rsidR="007C217B" w:rsidRPr="00D2604E" w:rsidRDefault="007C217B" w:rsidP="007C217B">
            <w:pPr>
              <w:pStyle w:val="ListParagraph"/>
              <w:numPr>
                <w:ilvl w:val="0"/>
                <w:numId w:val="12"/>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valūtas kurss – Elektroniskajā muitas datu apstrādes sistēmā tiek aizpildīts automatizēti;</w:t>
            </w:r>
          </w:p>
          <w:p w14:paraId="4372140B" w14:textId="77777777" w:rsidR="007C217B" w:rsidRPr="00D2604E" w:rsidRDefault="007C217B" w:rsidP="007C217B">
            <w:pPr>
              <w:pStyle w:val="ListParagraph"/>
              <w:numPr>
                <w:ilvl w:val="0"/>
                <w:numId w:val="12"/>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preču atrašanās vieta – Elektroniskā muitas datu apstrādes sistēma piedāvā šo informāciju izvēlēties no atļauju klasifikatora;</w:t>
            </w:r>
          </w:p>
          <w:p w14:paraId="0A77D539" w14:textId="77777777" w:rsidR="007C217B" w:rsidRPr="00D2604E" w:rsidRDefault="007C217B" w:rsidP="007C217B">
            <w:pPr>
              <w:pStyle w:val="ListParagraph"/>
              <w:numPr>
                <w:ilvl w:val="0"/>
                <w:numId w:val="12"/>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iepriekš piemērotās muitas noteikumos atzītās preču izmantošanas dokumenta numurs;</w:t>
            </w:r>
          </w:p>
          <w:p w14:paraId="323B9C69" w14:textId="77777777" w:rsidR="007C217B" w:rsidRPr="00D2604E" w:rsidRDefault="007C217B" w:rsidP="007C217B">
            <w:pPr>
              <w:pStyle w:val="ListParagraph"/>
              <w:numPr>
                <w:ilvl w:val="0"/>
                <w:numId w:val="12"/>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vietējās muitošanas paziņojuma iesniegšanas vieta un datums – Elektroniskajā muitas datu apstrādes sistēmā tiek aizpildīta automatizēti.</w:t>
            </w:r>
          </w:p>
          <w:p w14:paraId="0D727D02" w14:textId="0172DD62" w:rsidR="001F4640" w:rsidRPr="00D2604E" w:rsidRDefault="001F4640" w:rsidP="007C217B">
            <w:pPr>
              <w:spacing w:after="0" w:line="240" w:lineRule="auto"/>
              <w:ind w:left="57" w:right="142" w:firstLine="181"/>
              <w:jc w:val="both"/>
              <w:rPr>
                <w:rFonts w:ascii="Times New Roman" w:eastAsia="Calibri" w:hAnsi="Times New Roman" w:cs="Times New Roman"/>
                <w:bCs/>
                <w:sz w:val="24"/>
                <w:szCs w:val="24"/>
              </w:rPr>
            </w:pPr>
          </w:p>
          <w:p w14:paraId="4B868CDB" w14:textId="65EA0A60" w:rsidR="00247807" w:rsidRPr="00D2604E" w:rsidRDefault="00905BC5" w:rsidP="007C217B">
            <w:pPr>
              <w:pStyle w:val="ListParagraph"/>
              <w:numPr>
                <w:ilvl w:val="0"/>
                <w:numId w:val="7"/>
              </w:numPr>
              <w:spacing w:after="0" w:line="240" w:lineRule="auto"/>
              <w:ind w:left="57" w:right="142" w:firstLine="181"/>
              <w:jc w:val="both"/>
              <w:rPr>
                <w:rFonts w:ascii="Times New Roman" w:eastAsia="Calibri" w:hAnsi="Times New Roman" w:cs="Times New Roman"/>
                <w:color w:val="000000"/>
                <w:sz w:val="24"/>
                <w:szCs w:val="24"/>
              </w:rPr>
            </w:pPr>
            <w:r w:rsidRPr="00D2604E">
              <w:rPr>
                <w:rFonts w:ascii="Times New Roman" w:eastAsia="Calibri" w:hAnsi="Times New Roman" w:cs="Times New Roman"/>
                <w:color w:val="000000"/>
                <w:sz w:val="24"/>
                <w:szCs w:val="24"/>
              </w:rPr>
              <w:t xml:space="preserve">Noteikumu Nr.1048 20.punkts nosaka, ka Valsts ieņēmumu dienests vienkāršoto procedūru atļaujas turētājam nodrošina iespēju izmantot informācijas sistēmas muitas deklarāciju iesniegšanai elektroniskā veidā. Tā kā tiek mainīta vietējās muitošanas piemērošanas </w:t>
            </w:r>
            <w:r w:rsidR="00496C96" w:rsidRPr="00D2604E">
              <w:rPr>
                <w:rFonts w:ascii="Times New Roman" w:eastAsia="Calibri" w:hAnsi="Times New Roman" w:cs="Times New Roman"/>
                <w:color w:val="000000"/>
                <w:sz w:val="24"/>
                <w:szCs w:val="24"/>
              </w:rPr>
              <w:t>kārtība</w:t>
            </w:r>
            <w:r w:rsidRPr="00D2604E">
              <w:rPr>
                <w:rFonts w:ascii="Times New Roman" w:eastAsia="Calibri" w:hAnsi="Times New Roman" w:cs="Times New Roman"/>
                <w:color w:val="000000"/>
                <w:sz w:val="24"/>
                <w:szCs w:val="24"/>
              </w:rPr>
              <w:t xml:space="preserve"> kur Valsts ieņēmumu dienests nodrošina iespēju iesniegt vietējās muitošanas paziņojumus Elektroniskajā deklarēšanas sistēmā, savukārt papildu deklarācijas tiek noformētas vispārējā kārtībā, nav nepieciešams atsevišķs nosacījums informācijas sistēmu izmantošanai.</w:t>
            </w:r>
          </w:p>
          <w:p w14:paraId="189DC57A" w14:textId="03D68800" w:rsidR="00247807" w:rsidRPr="00D2604E" w:rsidRDefault="00247807" w:rsidP="007C217B">
            <w:pPr>
              <w:spacing w:after="0" w:line="240" w:lineRule="auto"/>
              <w:ind w:left="57" w:right="142" w:firstLine="181"/>
              <w:jc w:val="both"/>
              <w:rPr>
                <w:rFonts w:ascii="Times New Roman" w:eastAsia="Calibri" w:hAnsi="Times New Roman" w:cs="Times New Roman"/>
                <w:color w:val="000000"/>
                <w:sz w:val="24"/>
                <w:szCs w:val="24"/>
              </w:rPr>
            </w:pPr>
            <w:r w:rsidRPr="00D2604E">
              <w:rPr>
                <w:rFonts w:ascii="Times New Roman" w:hAnsi="Times New Roman" w:cs="Times New Roman"/>
                <w:sz w:val="24"/>
                <w:szCs w:val="24"/>
              </w:rPr>
              <w:t xml:space="preserve">Ieviešot Elektronisko muitas datu apstrādes sistēmu Valsts ieņēmumu dienests nodrošina vietējās muitošanas paziņojumu iesniegšanu elektroniski, līdz ar to noteikumu 20.punkts tiek svītrots. </w:t>
            </w:r>
          </w:p>
          <w:p w14:paraId="433D100E" w14:textId="77777777" w:rsidR="00247807" w:rsidRPr="00D2604E" w:rsidRDefault="00247807" w:rsidP="00DA44E2">
            <w:pPr>
              <w:spacing w:after="0" w:line="240" w:lineRule="auto"/>
              <w:ind w:left="57" w:right="142" w:firstLine="181"/>
              <w:jc w:val="both"/>
              <w:rPr>
                <w:rFonts w:ascii="Times New Roman" w:eastAsia="Calibri" w:hAnsi="Times New Roman" w:cs="Times New Roman"/>
                <w:color w:val="000000"/>
                <w:sz w:val="24"/>
                <w:szCs w:val="24"/>
              </w:rPr>
            </w:pPr>
          </w:p>
          <w:p w14:paraId="1740F023" w14:textId="66C87C3F" w:rsidR="00905BC5" w:rsidRPr="00D2604E" w:rsidRDefault="00905BC5" w:rsidP="00DA44E2">
            <w:pPr>
              <w:pStyle w:val="ListParagraph"/>
              <w:numPr>
                <w:ilvl w:val="0"/>
                <w:numId w:val="7"/>
              </w:numPr>
              <w:spacing w:after="0" w:line="240" w:lineRule="auto"/>
              <w:ind w:left="57" w:right="142" w:firstLine="181"/>
              <w:jc w:val="both"/>
              <w:rPr>
                <w:rFonts w:ascii="Times New Roman" w:hAnsi="Times New Roman" w:cs="Times New Roman"/>
                <w:iCs/>
                <w:sz w:val="24"/>
                <w:szCs w:val="24"/>
              </w:rPr>
            </w:pPr>
            <w:r w:rsidRPr="00D2604E">
              <w:rPr>
                <w:rFonts w:ascii="Times New Roman" w:eastAsia="Calibri" w:hAnsi="Times New Roman" w:cs="Times New Roman"/>
                <w:sz w:val="24"/>
                <w:szCs w:val="24"/>
              </w:rPr>
              <w:t xml:space="preserve">Šobrīd </w:t>
            </w:r>
            <w:r w:rsidRPr="00D2604E">
              <w:rPr>
                <w:rFonts w:ascii="Times New Roman" w:hAnsi="Times New Roman" w:cs="Times New Roman"/>
                <w:sz w:val="24"/>
                <w:szCs w:val="24"/>
              </w:rPr>
              <w:t>Valsts ieņēmumu dienests</w:t>
            </w:r>
            <w:r w:rsidRPr="00D2604E">
              <w:rPr>
                <w:rFonts w:ascii="Times New Roman" w:eastAsia="Calibri" w:hAnsi="Times New Roman" w:cs="Times New Roman"/>
                <w:sz w:val="24"/>
                <w:szCs w:val="24"/>
              </w:rPr>
              <w:t xml:space="preserve"> izsniedzis 36 komersantiem vienkāršoto procedūru atļaujas vietējai muitošanai ievešanas procedūrām. Jaunās importa deklarēšanas sistēmas ieviešana maina  iepriekšējo vietējās muitošanas procedūras </w:t>
            </w:r>
            <w:r w:rsidR="00247807" w:rsidRPr="00D2604E">
              <w:rPr>
                <w:rFonts w:ascii="Times New Roman" w:eastAsia="Calibri" w:hAnsi="Times New Roman" w:cs="Times New Roman"/>
                <w:sz w:val="24"/>
                <w:szCs w:val="24"/>
              </w:rPr>
              <w:t xml:space="preserve">kārtību </w:t>
            </w:r>
            <w:r w:rsidRPr="00D2604E">
              <w:rPr>
                <w:rFonts w:ascii="Times New Roman" w:eastAsia="Calibri" w:hAnsi="Times New Roman" w:cs="Times New Roman"/>
                <w:sz w:val="24"/>
                <w:szCs w:val="24"/>
              </w:rPr>
              <w:t xml:space="preserve">ievešanas procedūrām, kas paredzēja, ka komersants pats noformē muitas deklarāciju, izlaižot preces. Tādējādi uz laiku, līdz komersanti ieviesīs savas preču uzskaites sistēmas, vietējās muitošanas procedūras izmantošana nebūs iespējama, kas būtiski noslogos muitas iestāžu administratīvos resursus un paildzinās preču muitošanu. Lai atvieglotu preču kustību pāri muitas robežām un dotu iespēju komersantiem, kuri līdz šim izmantojuši vietējās muitošanas procedūru, turpināt izmantot muitošanas vienkāršojumu priekšrocības vienlaicīgi sagatavojoties Eiropas Parlamenta un Padomes 2013.gada 9.oktobra regulas (ES) Nr.952/2013, ar </w:t>
            </w:r>
            <w:r w:rsidRPr="00D2604E">
              <w:rPr>
                <w:rFonts w:ascii="Times New Roman" w:eastAsia="Calibri" w:hAnsi="Times New Roman" w:cs="Times New Roman"/>
                <w:sz w:val="24"/>
                <w:szCs w:val="24"/>
              </w:rPr>
              <w:lastRenderedPageBreak/>
              <w:t xml:space="preserve">ko izveido Savienības Muitas kodeksu </w:t>
            </w:r>
            <w:r w:rsidR="009F07E5" w:rsidRPr="00D2604E">
              <w:rPr>
                <w:rFonts w:ascii="Times New Roman" w:eastAsia="Calibri" w:hAnsi="Times New Roman" w:cs="Times New Roman"/>
                <w:sz w:val="24"/>
                <w:szCs w:val="24"/>
              </w:rPr>
              <w:t xml:space="preserve">(turpmāk - </w:t>
            </w:r>
            <w:r w:rsidRPr="00D2604E">
              <w:rPr>
                <w:rFonts w:ascii="Times New Roman" w:eastAsia="Calibri" w:hAnsi="Times New Roman" w:cs="Times New Roman"/>
                <w:sz w:val="24"/>
                <w:szCs w:val="24"/>
              </w:rPr>
              <w:t>Savienības Muitas kodeks</w:t>
            </w:r>
            <w:r w:rsidR="009F07E5" w:rsidRPr="00D2604E">
              <w:rPr>
                <w:rFonts w:ascii="Times New Roman" w:eastAsia="Calibri" w:hAnsi="Times New Roman" w:cs="Times New Roman"/>
                <w:sz w:val="24"/>
                <w:szCs w:val="24"/>
              </w:rPr>
              <w:t>s)</w:t>
            </w:r>
            <w:r w:rsidRPr="00D2604E">
              <w:rPr>
                <w:rFonts w:ascii="Times New Roman" w:eastAsia="Calibri" w:hAnsi="Times New Roman" w:cs="Times New Roman"/>
                <w:sz w:val="24"/>
                <w:szCs w:val="24"/>
              </w:rPr>
              <w:t xml:space="preserve"> nosacījumu piemērošanai no 2016.gada 1.maija, kur 182.panta 1.punkts paredz elektroniskas sistēmas izmantošanu, lai ņemtu preces uzskaitē, Ministru kabineta noteikumos jāparedz pārejas periods, lai komersantiem dotu iespēju noteiktā laika periodā izveidot savas preču uzskaites sistēmas, kas nodrošina vietējās muitošanas paziņojuma elektronisku iesniegšanu.</w:t>
            </w:r>
          </w:p>
          <w:p w14:paraId="5AFA48EB" w14:textId="77777777" w:rsidR="00D76050" w:rsidRPr="00D2604E" w:rsidRDefault="00D76050" w:rsidP="00DA44E2">
            <w:pPr>
              <w:spacing w:after="0" w:line="240" w:lineRule="auto"/>
              <w:ind w:left="57" w:right="142" w:firstLine="181"/>
              <w:jc w:val="both"/>
              <w:rPr>
                <w:rFonts w:ascii="Times New Roman" w:hAnsi="Times New Roman" w:cs="Times New Roman"/>
                <w:color w:val="000000"/>
                <w:sz w:val="24"/>
                <w:szCs w:val="24"/>
              </w:rPr>
            </w:pPr>
            <w:r w:rsidRPr="00D2604E">
              <w:rPr>
                <w:rFonts w:ascii="Times New Roman" w:hAnsi="Times New Roman" w:cs="Times New Roman"/>
                <w:sz w:val="24"/>
                <w:szCs w:val="24"/>
              </w:rPr>
              <w:t xml:space="preserve">Noteikumu projekts paredz vietējās muitošanas procedūras izmantošanas nosacījumus pārejas periodā -  līdz </w:t>
            </w:r>
            <w:r w:rsidRPr="00D2604E">
              <w:rPr>
                <w:rFonts w:ascii="Times New Roman" w:hAnsi="Times New Roman" w:cs="Times New Roman"/>
                <w:color w:val="000000"/>
                <w:sz w:val="24"/>
                <w:szCs w:val="24"/>
              </w:rPr>
              <w:t xml:space="preserve"> 2016.gada 30.aprīlim</w:t>
            </w:r>
            <w:r w:rsidRPr="00D2604E">
              <w:rPr>
                <w:rFonts w:ascii="Times New Roman" w:hAnsi="Times New Roman" w:cs="Times New Roman"/>
                <w:sz w:val="24"/>
                <w:szCs w:val="24"/>
              </w:rPr>
              <w:t>, atļaujot komersantiem izmantot esošo preču uzskaites sistēmu un iesniegt vietējās muitošanas procedūras paziņojumus, izmantojot Elektronisko muitas datu apstrādes sistēmu.</w:t>
            </w:r>
          </w:p>
          <w:p w14:paraId="6C03705B" w14:textId="77777777" w:rsidR="00D76050" w:rsidRPr="00D2604E" w:rsidRDefault="00D76050" w:rsidP="00DA44E2">
            <w:pPr>
              <w:pStyle w:val="naiskr"/>
              <w:tabs>
                <w:tab w:val="left" w:pos="170"/>
              </w:tabs>
              <w:spacing w:before="0" w:beforeAutospacing="0" w:after="0" w:afterAutospacing="0"/>
              <w:ind w:left="57" w:right="142" w:firstLine="181"/>
              <w:jc w:val="both"/>
            </w:pPr>
          </w:p>
          <w:p w14:paraId="46063D5C" w14:textId="22E04630" w:rsidR="00DA44E2" w:rsidRPr="00D2604E" w:rsidRDefault="00905BC5" w:rsidP="00DA44E2">
            <w:pPr>
              <w:pStyle w:val="ListParagraph"/>
              <w:numPr>
                <w:ilvl w:val="0"/>
                <w:numId w:val="7"/>
              </w:numPr>
              <w:spacing w:after="0" w:line="240" w:lineRule="auto"/>
              <w:ind w:left="57" w:right="142" w:firstLine="181"/>
              <w:jc w:val="both"/>
              <w:rPr>
                <w:rFonts w:ascii="Times New Roman" w:hAnsi="Times New Roman" w:cs="Times New Roman"/>
                <w:sz w:val="24"/>
                <w:szCs w:val="24"/>
              </w:rPr>
            </w:pPr>
            <w:r w:rsidRPr="00D2604E">
              <w:rPr>
                <w:rFonts w:ascii="Times New Roman" w:hAnsi="Times New Roman" w:cs="Times New Roman"/>
                <w:sz w:val="24"/>
                <w:szCs w:val="24"/>
              </w:rPr>
              <w:t>Noteikumu projekts papildināts ar 17.</w:t>
            </w:r>
            <w:r w:rsidRPr="00D2604E">
              <w:rPr>
                <w:rFonts w:ascii="Times New Roman" w:hAnsi="Times New Roman" w:cs="Times New Roman"/>
                <w:sz w:val="24"/>
                <w:szCs w:val="24"/>
                <w:vertAlign w:val="superscript"/>
              </w:rPr>
              <w:t>2</w:t>
            </w:r>
            <w:r w:rsidRPr="00D2604E">
              <w:rPr>
                <w:rFonts w:ascii="Times New Roman" w:hAnsi="Times New Roman" w:cs="Times New Roman"/>
                <w:sz w:val="24"/>
                <w:szCs w:val="24"/>
              </w:rPr>
              <w:t xml:space="preserve"> punktu, kas atbilstoši jaunās vietējās muitošanas praksei ietver nosacījumu, ka Elektronisko muitas datu apstrādes sistēmu vietējās muitošanas paziņojuma iesniegšanai komersants var izmantot tikai tad, ja nedarbojas komersanta elektroniskā preču uzskaite. Vispārējā gadījumā muitošanas paziņojums tiek automatizēti izveidots no komersanta uzskaites sistēmas.</w:t>
            </w:r>
          </w:p>
          <w:p w14:paraId="02A563D7" w14:textId="77777777" w:rsidR="00DA44E2" w:rsidRPr="00D2604E" w:rsidRDefault="00DA44E2" w:rsidP="00DA44E2">
            <w:pPr>
              <w:pStyle w:val="ListParagraph"/>
              <w:spacing w:after="0" w:line="240" w:lineRule="auto"/>
              <w:ind w:left="57" w:right="142" w:firstLine="181"/>
              <w:jc w:val="both"/>
              <w:rPr>
                <w:rFonts w:ascii="Times New Roman" w:hAnsi="Times New Roman" w:cs="Times New Roman"/>
                <w:sz w:val="24"/>
                <w:szCs w:val="24"/>
              </w:rPr>
            </w:pPr>
          </w:p>
          <w:p w14:paraId="13DDC816" w14:textId="374E1BA7" w:rsidR="00B1193D" w:rsidRPr="00D2604E" w:rsidRDefault="00C44FCA" w:rsidP="00B1193D">
            <w:pPr>
              <w:pStyle w:val="NoSpacing"/>
              <w:ind w:firstLine="158"/>
              <w:jc w:val="both"/>
              <w:rPr>
                <w:rFonts w:ascii="Times New Roman" w:hAnsi="Times New Roman" w:cs="Times New Roman"/>
                <w:sz w:val="24"/>
                <w:szCs w:val="24"/>
              </w:rPr>
            </w:pPr>
            <w:r w:rsidRPr="00D2604E">
              <w:rPr>
                <w:rFonts w:ascii="Times New Roman" w:hAnsi="Times New Roman" w:cs="Times New Roman"/>
                <w:sz w:val="24"/>
                <w:szCs w:val="24"/>
              </w:rPr>
              <w:t xml:space="preserve">10. </w:t>
            </w:r>
            <w:r w:rsidR="00B1193D" w:rsidRPr="00D2604E">
              <w:rPr>
                <w:rFonts w:ascii="Times New Roman" w:hAnsi="Times New Roman" w:cs="Times New Roman"/>
                <w:sz w:val="24"/>
                <w:szCs w:val="24"/>
              </w:rPr>
              <w:t xml:space="preserve">Lai nodrošinātu, ka Valsts ieņēmumu dienests vienveidīgi piemērotu „smagu, nopietnu vai atkārtotu muitas pārkāpumu” kritērijus, saskaņā ar Valsts pārvaldes iekārtas likuma 72.panta otro daļu 2014.gada 3.jūlijā tika pieņemta Finanšu ministrijas instrukcija Nr.12-28/1 “Muitas lietu jomā izmantotā nosacījuma „smagi, nopietni vai atkārtoti muitas vai nodokļu noteikumu pārkāpumi” piemērošanas instrukcija”, kura nosaka Komisijas 1993.gada 2.jūlija Regulas Nr.2454/93 ar ko nosaka īstenošanas noteikumus Padomes Regulai (EEK) Nr.2913/92 par Kopienas Muitas kodeksa izveidi 253.g panta b) apakšpunktā minētā smagu, nopietnu vai atkārtotu muitas vai nodokļu noteikumu pārkāpumu nosacījuma piemērošanu. </w:t>
            </w:r>
          </w:p>
          <w:p w14:paraId="3E519F3A" w14:textId="77777777" w:rsidR="00B1193D" w:rsidRPr="00D2604E" w:rsidRDefault="00B1193D" w:rsidP="00B1193D">
            <w:pPr>
              <w:pStyle w:val="NoSpacing"/>
              <w:ind w:firstLine="158"/>
              <w:jc w:val="both"/>
              <w:rPr>
                <w:rFonts w:ascii="Times New Roman" w:hAnsi="Times New Roman" w:cs="Times New Roman"/>
                <w:sz w:val="24"/>
                <w:szCs w:val="24"/>
              </w:rPr>
            </w:pPr>
            <w:r w:rsidRPr="00D2604E">
              <w:rPr>
                <w:rFonts w:ascii="Times New Roman" w:hAnsi="Times New Roman" w:cs="Times New Roman"/>
                <w:bCs/>
                <w:sz w:val="24"/>
                <w:szCs w:val="24"/>
              </w:rPr>
              <w:t xml:space="preserve">Saskaņā ar Valsts pārvaldes iekārtas likuma 72.panta ceturto daļu minētā instrukcija ir </w:t>
            </w:r>
            <w:r w:rsidRPr="00D2604E">
              <w:rPr>
                <w:rFonts w:ascii="Times New Roman" w:hAnsi="Times New Roman" w:cs="Times New Roman"/>
                <w:sz w:val="24"/>
                <w:szCs w:val="24"/>
              </w:rPr>
              <w:t xml:space="preserve">saistoša Finanšu ministrijas padotības iestādei - Valsts ieņēmumu dienestam. </w:t>
            </w:r>
          </w:p>
          <w:p w14:paraId="5C56467D" w14:textId="77777777" w:rsidR="00B1193D" w:rsidRPr="00D2604E" w:rsidRDefault="00B1193D" w:rsidP="00B1193D">
            <w:pPr>
              <w:pStyle w:val="NoSpacing"/>
              <w:ind w:firstLine="158"/>
              <w:jc w:val="both"/>
              <w:rPr>
                <w:rFonts w:ascii="Times New Roman" w:hAnsi="Times New Roman" w:cs="Times New Roman"/>
                <w:sz w:val="24"/>
                <w:szCs w:val="24"/>
              </w:rPr>
            </w:pPr>
            <w:r w:rsidRPr="00D2604E">
              <w:rPr>
                <w:rFonts w:ascii="Times New Roman" w:hAnsi="Times New Roman" w:cs="Times New Roman"/>
                <w:sz w:val="24"/>
                <w:szCs w:val="24"/>
              </w:rPr>
              <w:t>Instrukcija ir publicēta Finanšu ministrijas un Valsts ieņēmumu dienesta interneta mājas lapās.</w:t>
            </w:r>
          </w:p>
          <w:p w14:paraId="74DB221E" w14:textId="77777777" w:rsidR="00B1193D" w:rsidRPr="00D2604E" w:rsidRDefault="00B1193D" w:rsidP="00B1193D">
            <w:pPr>
              <w:pStyle w:val="NoSpacing"/>
              <w:ind w:firstLine="158"/>
              <w:jc w:val="both"/>
              <w:rPr>
                <w:rFonts w:ascii="Times New Roman" w:hAnsi="Times New Roman" w:cs="Times New Roman"/>
                <w:sz w:val="24"/>
                <w:szCs w:val="24"/>
              </w:rPr>
            </w:pPr>
            <w:r w:rsidRPr="00D2604E">
              <w:rPr>
                <w:rFonts w:ascii="Times New Roman" w:hAnsi="Times New Roman" w:cs="Times New Roman"/>
                <w:sz w:val="24"/>
                <w:szCs w:val="24"/>
              </w:rPr>
              <w:t xml:space="preserve">Finanšu ministrijas instrukcijā noteiktie „smagu, nopietnu vai atkārtotu muitas pārkāpumu” kritēriji tiks ietverti jaunajā Muitas likumā. </w:t>
            </w:r>
          </w:p>
          <w:p w14:paraId="630D2632" w14:textId="58F39667" w:rsidR="00905BC5" w:rsidRPr="00D2604E" w:rsidRDefault="00905BC5" w:rsidP="00DA44E2">
            <w:pPr>
              <w:pStyle w:val="NoSpacing"/>
              <w:ind w:left="57" w:right="142" w:firstLine="181"/>
              <w:jc w:val="both"/>
              <w:rPr>
                <w:rFonts w:ascii="Times New Roman" w:hAnsi="Times New Roman" w:cs="Times New Roman"/>
                <w:sz w:val="24"/>
                <w:szCs w:val="24"/>
              </w:rPr>
            </w:pPr>
          </w:p>
          <w:p w14:paraId="021F4183" w14:textId="4D09AD34" w:rsidR="00905BC5" w:rsidRPr="00D2604E" w:rsidRDefault="00905BC5" w:rsidP="00DA44E2">
            <w:pPr>
              <w:spacing w:after="0" w:line="240" w:lineRule="auto"/>
              <w:ind w:left="57" w:right="142" w:firstLine="181"/>
              <w:jc w:val="both"/>
              <w:rPr>
                <w:rFonts w:ascii="Times New Roman" w:hAnsi="Times New Roman" w:cs="Times New Roman"/>
                <w:iCs/>
                <w:sz w:val="24"/>
                <w:szCs w:val="24"/>
              </w:rPr>
            </w:pPr>
            <w:r w:rsidRPr="00D2604E">
              <w:rPr>
                <w:rFonts w:ascii="Times New Roman" w:hAnsi="Times New Roman" w:cs="Times New Roman"/>
                <w:sz w:val="24"/>
                <w:szCs w:val="24"/>
              </w:rPr>
              <w:t>Noteikumu projekts atrisinās minētās problēmas pilnībā.</w:t>
            </w:r>
          </w:p>
          <w:p w14:paraId="4B78E221" w14:textId="6E2E66B0" w:rsidR="005B6FD3" w:rsidRPr="00D2604E" w:rsidRDefault="005B6FD3" w:rsidP="00DA44E2">
            <w:pPr>
              <w:pStyle w:val="Heading3"/>
              <w:shd w:val="clear" w:color="auto" w:fill="FFFFFF"/>
              <w:tabs>
                <w:tab w:val="left" w:pos="523"/>
              </w:tabs>
              <w:spacing w:before="0" w:beforeAutospacing="0" w:after="0" w:afterAutospacing="0"/>
              <w:ind w:left="57" w:right="142" w:firstLine="181"/>
              <w:jc w:val="both"/>
              <w:rPr>
                <w:sz w:val="24"/>
                <w:szCs w:val="24"/>
              </w:rPr>
            </w:pPr>
          </w:p>
        </w:tc>
      </w:tr>
      <w:tr w:rsidR="00DA6C86" w:rsidRPr="00D2604E" w14:paraId="078545CD" w14:textId="77777777" w:rsidTr="00EF1B7E">
        <w:trPr>
          <w:trHeight w:val="476"/>
        </w:trPr>
        <w:tc>
          <w:tcPr>
            <w:tcW w:w="211" w:type="pct"/>
          </w:tcPr>
          <w:p w14:paraId="344C3EE5" w14:textId="0CC03125" w:rsidR="00DA6C86" w:rsidRPr="00D2604E" w:rsidRDefault="00DA6C86" w:rsidP="004278EA">
            <w:pPr>
              <w:pStyle w:val="naiskr"/>
              <w:spacing w:before="0" w:beforeAutospacing="0" w:after="0" w:afterAutospacing="0"/>
              <w:ind w:right="57"/>
              <w:jc w:val="center"/>
            </w:pPr>
            <w:r w:rsidRPr="00D2604E">
              <w:lastRenderedPageBreak/>
              <w:t>3.</w:t>
            </w:r>
          </w:p>
        </w:tc>
        <w:tc>
          <w:tcPr>
            <w:tcW w:w="1153" w:type="pct"/>
          </w:tcPr>
          <w:p w14:paraId="6C15A50A" w14:textId="77777777" w:rsidR="00DA6C86" w:rsidRPr="00D2604E" w:rsidRDefault="00DA6C86" w:rsidP="004278EA">
            <w:pPr>
              <w:pStyle w:val="naiskr"/>
              <w:spacing w:before="0" w:beforeAutospacing="0" w:after="0" w:afterAutospacing="0"/>
              <w:ind w:left="57" w:right="57"/>
            </w:pPr>
            <w:r w:rsidRPr="00D2604E">
              <w:t>Projekta izstrādē iesaistītās institūcijas</w:t>
            </w:r>
          </w:p>
        </w:tc>
        <w:tc>
          <w:tcPr>
            <w:tcW w:w="3636" w:type="pct"/>
          </w:tcPr>
          <w:p w14:paraId="1D0014AC" w14:textId="77777777" w:rsidR="00905BC5" w:rsidRPr="00D2604E" w:rsidRDefault="00905BC5" w:rsidP="00905BC5">
            <w:pPr>
              <w:spacing w:after="80" w:line="240" w:lineRule="auto"/>
              <w:ind w:left="96"/>
              <w:rPr>
                <w:rFonts w:ascii="Times New Roman" w:eastAsia="Times New Roman" w:hAnsi="Times New Roman" w:cs="Times New Roman"/>
                <w:sz w:val="24"/>
                <w:szCs w:val="24"/>
              </w:rPr>
            </w:pPr>
            <w:r w:rsidRPr="00D2604E">
              <w:rPr>
                <w:rFonts w:ascii="Times New Roman" w:eastAsia="Times New Roman" w:hAnsi="Times New Roman" w:cs="Times New Roman"/>
                <w:sz w:val="24"/>
                <w:szCs w:val="24"/>
              </w:rPr>
              <w:t>Finanšu ministrija, Valsts ieņēmumu dienests.</w:t>
            </w:r>
          </w:p>
          <w:p w14:paraId="15696646" w14:textId="78F9AA1D" w:rsidR="00DA6C86" w:rsidRPr="00D2604E" w:rsidRDefault="00DA6C86" w:rsidP="004278EA">
            <w:pPr>
              <w:spacing w:after="0" w:line="240" w:lineRule="auto"/>
              <w:ind w:left="57" w:right="57"/>
              <w:jc w:val="both"/>
              <w:rPr>
                <w:rFonts w:ascii="Times New Roman" w:hAnsi="Times New Roman" w:cs="Times New Roman"/>
                <w:sz w:val="24"/>
                <w:szCs w:val="24"/>
              </w:rPr>
            </w:pPr>
          </w:p>
        </w:tc>
      </w:tr>
      <w:tr w:rsidR="00DA6C86" w:rsidRPr="00D2604E" w14:paraId="5339680D" w14:textId="77777777" w:rsidTr="00EF1B7E">
        <w:trPr>
          <w:trHeight w:val="238"/>
        </w:trPr>
        <w:tc>
          <w:tcPr>
            <w:tcW w:w="211" w:type="pct"/>
          </w:tcPr>
          <w:p w14:paraId="1ED3900F" w14:textId="77777777" w:rsidR="00DA6C86" w:rsidRPr="00D2604E" w:rsidRDefault="00DA6C86" w:rsidP="004278EA">
            <w:pPr>
              <w:pStyle w:val="naiskr"/>
              <w:spacing w:before="0" w:beforeAutospacing="0" w:after="0" w:afterAutospacing="0"/>
              <w:ind w:right="57"/>
              <w:jc w:val="center"/>
            </w:pPr>
            <w:r w:rsidRPr="00D2604E">
              <w:t>4.</w:t>
            </w:r>
          </w:p>
        </w:tc>
        <w:tc>
          <w:tcPr>
            <w:tcW w:w="1153" w:type="pct"/>
          </w:tcPr>
          <w:p w14:paraId="354A46F9" w14:textId="77777777" w:rsidR="00DA6C86" w:rsidRPr="00D2604E" w:rsidRDefault="00DA6C86" w:rsidP="004278EA">
            <w:pPr>
              <w:pStyle w:val="naiskr"/>
              <w:spacing w:before="0" w:beforeAutospacing="0" w:after="0" w:afterAutospacing="0"/>
              <w:ind w:left="57" w:right="57"/>
            </w:pPr>
            <w:r w:rsidRPr="00D2604E">
              <w:t>Cita informācija</w:t>
            </w:r>
          </w:p>
        </w:tc>
        <w:tc>
          <w:tcPr>
            <w:tcW w:w="3636" w:type="pct"/>
          </w:tcPr>
          <w:p w14:paraId="7D9188C8" w14:textId="58604B7F" w:rsidR="00E74E50" w:rsidRPr="00D2604E" w:rsidRDefault="00E74E50" w:rsidP="00EF1B7E">
            <w:pPr>
              <w:pStyle w:val="naiskr"/>
              <w:spacing w:before="0" w:beforeAutospacing="0" w:after="0" w:afterAutospacing="0"/>
              <w:ind w:left="57" w:right="57"/>
              <w:jc w:val="both"/>
            </w:pPr>
          </w:p>
        </w:tc>
      </w:tr>
    </w:tbl>
    <w:p w14:paraId="5C599D41" w14:textId="77777777" w:rsidR="00BE3ED6" w:rsidRPr="005B3F9D" w:rsidRDefault="00BE3ED6" w:rsidP="004278EA">
      <w:pPr>
        <w:spacing w:after="0" w:line="240" w:lineRule="auto"/>
        <w:rPr>
          <w:rFonts w:ascii="Times New Roman" w:hAnsi="Times New Roman" w:cs="Times New Roman"/>
        </w:rPr>
      </w:pPr>
    </w:p>
    <w:tbl>
      <w:tblPr>
        <w:tblStyle w:val="TableGrid"/>
        <w:tblW w:w="10207" w:type="dxa"/>
        <w:tblInd w:w="-431" w:type="dxa"/>
        <w:tblLook w:val="04A0" w:firstRow="1" w:lastRow="0" w:firstColumn="1" w:lastColumn="0" w:noHBand="0" w:noVBand="1"/>
      </w:tblPr>
      <w:tblGrid>
        <w:gridCol w:w="741"/>
        <w:gridCol w:w="2492"/>
        <w:gridCol w:w="6974"/>
      </w:tblGrid>
      <w:tr w:rsidR="00900304" w:rsidRPr="00D2604E" w14:paraId="5141FA02" w14:textId="77777777" w:rsidTr="005B3F9D">
        <w:trPr>
          <w:trHeight w:val="632"/>
        </w:trPr>
        <w:tc>
          <w:tcPr>
            <w:tcW w:w="10207" w:type="dxa"/>
            <w:gridSpan w:val="3"/>
          </w:tcPr>
          <w:p w14:paraId="74F29AFB" w14:textId="77777777" w:rsidR="00900304" w:rsidRPr="00D2604E" w:rsidRDefault="00900304" w:rsidP="004278EA">
            <w:pPr>
              <w:ind w:right="57"/>
              <w:jc w:val="center"/>
              <w:rPr>
                <w:rFonts w:ascii="Times New Roman" w:eastAsia="Times New Roman" w:hAnsi="Times New Roman" w:cs="Times New Roman"/>
                <w:b/>
                <w:sz w:val="24"/>
                <w:szCs w:val="24"/>
              </w:rPr>
            </w:pPr>
            <w:r w:rsidRPr="00D2604E">
              <w:rPr>
                <w:rFonts w:ascii="Times New Roman" w:eastAsia="Times New Roman" w:hAnsi="Times New Roman" w:cs="Times New Roman"/>
                <w:b/>
                <w:sz w:val="24"/>
                <w:szCs w:val="24"/>
              </w:rPr>
              <w:t>II. Tiesību akta projekta ietekme uz sabiedrību, tautsaimniecības attīstību</w:t>
            </w:r>
          </w:p>
          <w:p w14:paraId="1A307D42" w14:textId="77777777" w:rsidR="00900304" w:rsidRPr="00D2604E" w:rsidRDefault="00900304" w:rsidP="004278EA">
            <w:pPr>
              <w:jc w:val="center"/>
              <w:rPr>
                <w:rFonts w:ascii="Times New Roman" w:hAnsi="Times New Roman" w:cs="Times New Roman"/>
                <w:sz w:val="24"/>
                <w:szCs w:val="24"/>
              </w:rPr>
            </w:pPr>
            <w:r w:rsidRPr="00D2604E">
              <w:rPr>
                <w:rFonts w:ascii="Times New Roman" w:eastAsia="Times New Roman" w:hAnsi="Times New Roman" w:cs="Times New Roman"/>
                <w:b/>
                <w:sz w:val="24"/>
                <w:szCs w:val="24"/>
              </w:rPr>
              <w:t>un administratīvo slogu</w:t>
            </w:r>
          </w:p>
        </w:tc>
      </w:tr>
      <w:tr w:rsidR="00F56EA8" w:rsidRPr="00D2604E" w14:paraId="681CD549" w14:textId="77777777" w:rsidTr="005B3F9D">
        <w:tc>
          <w:tcPr>
            <w:tcW w:w="741" w:type="dxa"/>
          </w:tcPr>
          <w:p w14:paraId="6B20FEEF" w14:textId="77777777" w:rsidR="00F56EA8" w:rsidRPr="00D2604E" w:rsidRDefault="00F56EA8" w:rsidP="004278EA">
            <w:pPr>
              <w:rPr>
                <w:rFonts w:ascii="Times New Roman" w:hAnsi="Times New Roman" w:cs="Times New Roman"/>
                <w:sz w:val="24"/>
                <w:szCs w:val="24"/>
              </w:rPr>
            </w:pPr>
            <w:r w:rsidRPr="00D2604E">
              <w:rPr>
                <w:rFonts w:ascii="Times New Roman" w:eastAsia="Times New Roman" w:hAnsi="Times New Roman" w:cs="Times New Roman"/>
                <w:sz w:val="24"/>
                <w:szCs w:val="24"/>
              </w:rPr>
              <w:t>1.</w:t>
            </w:r>
          </w:p>
        </w:tc>
        <w:tc>
          <w:tcPr>
            <w:tcW w:w="2492" w:type="dxa"/>
          </w:tcPr>
          <w:p w14:paraId="6BE0F95A" w14:textId="77777777" w:rsidR="00F56EA8" w:rsidRPr="00D2604E" w:rsidRDefault="00F56EA8" w:rsidP="00C65539">
            <w:pPr>
              <w:jc w:val="both"/>
              <w:rPr>
                <w:rFonts w:ascii="Times New Roman" w:hAnsi="Times New Roman" w:cs="Times New Roman"/>
                <w:sz w:val="24"/>
                <w:szCs w:val="24"/>
              </w:rPr>
            </w:pPr>
            <w:r w:rsidRPr="00D2604E">
              <w:rPr>
                <w:rFonts w:ascii="Times New Roman" w:eastAsia="Times New Roman" w:hAnsi="Times New Roman" w:cs="Times New Roman"/>
                <w:sz w:val="24"/>
                <w:szCs w:val="24"/>
              </w:rPr>
              <w:t xml:space="preserve">Sabiedrības </w:t>
            </w:r>
            <w:proofErr w:type="spellStart"/>
            <w:r w:rsidRPr="00D2604E">
              <w:rPr>
                <w:rFonts w:ascii="Times New Roman" w:eastAsia="Times New Roman" w:hAnsi="Times New Roman" w:cs="Times New Roman"/>
                <w:sz w:val="24"/>
                <w:szCs w:val="24"/>
              </w:rPr>
              <w:t>mērķgrupas</w:t>
            </w:r>
            <w:proofErr w:type="spellEnd"/>
            <w:r w:rsidRPr="00D2604E">
              <w:rPr>
                <w:rFonts w:ascii="Times New Roman" w:eastAsia="Times New Roman" w:hAnsi="Times New Roman" w:cs="Times New Roman"/>
                <w:sz w:val="24"/>
                <w:szCs w:val="24"/>
              </w:rPr>
              <w:t xml:space="preserve">, kuras tiesiskais regulējums </w:t>
            </w:r>
            <w:r w:rsidRPr="00D2604E">
              <w:rPr>
                <w:rFonts w:ascii="Times New Roman" w:eastAsia="Times New Roman" w:hAnsi="Times New Roman" w:cs="Times New Roman"/>
                <w:sz w:val="24"/>
                <w:szCs w:val="24"/>
              </w:rPr>
              <w:lastRenderedPageBreak/>
              <w:t>ietekmē vai varētu ietekmēt</w:t>
            </w:r>
          </w:p>
        </w:tc>
        <w:tc>
          <w:tcPr>
            <w:tcW w:w="6974" w:type="dxa"/>
          </w:tcPr>
          <w:p w14:paraId="2BA2BEB1" w14:textId="2FA242B6" w:rsidR="00823E55" w:rsidRPr="00D2604E" w:rsidRDefault="00C65539" w:rsidP="004278EA">
            <w:pPr>
              <w:ind w:left="57" w:right="57"/>
              <w:jc w:val="both"/>
              <w:rPr>
                <w:rFonts w:ascii="Times New Roman" w:eastAsia="Times New Roman" w:hAnsi="Times New Roman" w:cs="Times New Roman"/>
                <w:sz w:val="24"/>
                <w:szCs w:val="24"/>
              </w:rPr>
            </w:pPr>
            <w:r w:rsidRPr="00D2604E">
              <w:rPr>
                <w:rFonts w:ascii="Times New Roman" w:eastAsia="Times New Roman" w:hAnsi="Times New Roman" w:cs="Times New Roman"/>
                <w:sz w:val="24"/>
                <w:szCs w:val="24"/>
              </w:rPr>
              <w:lastRenderedPageBreak/>
              <w:t xml:space="preserve">Projekta </w:t>
            </w:r>
            <w:proofErr w:type="spellStart"/>
            <w:r w:rsidRPr="00D2604E">
              <w:rPr>
                <w:rFonts w:ascii="Times New Roman" w:eastAsia="Times New Roman" w:hAnsi="Times New Roman" w:cs="Times New Roman"/>
                <w:sz w:val="24"/>
                <w:szCs w:val="24"/>
              </w:rPr>
              <w:t>mērķgrupa</w:t>
            </w:r>
            <w:proofErr w:type="spellEnd"/>
            <w:r w:rsidRPr="00D2604E">
              <w:rPr>
                <w:rFonts w:ascii="Times New Roman" w:eastAsia="Times New Roman" w:hAnsi="Times New Roman" w:cs="Times New Roman"/>
                <w:sz w:val="24"/>
                <w:szCs w:val="24"/>
              </w:rPr>
              <w:t xml:space="preserve"> ir tie komersanti, kuri ir saņēmuši  vai nākotnē saņems vienkāršoto procedūru atļauju vietējai muitošanai, atzītā nosūtītāja un atzītā saņēmēja atļauju, atzītā komersanta sertifikātu.</w:t>
            </w:r>
            <w:r w:rsidR="00CA4123" w:rsidRPr="00D2604E">
              <w:rPr>
                <w:rFonts w:ascii="Times New Roman" w:eastAsia="Times New Roman" w:hAnsi="Times New Roman" w:cs="Times New Roman"/>
                <w:sz w:val="24"/>
                <w:szCs w:val="24"/>
              </w:rPr>
              <w:t xml:space="preserve"> </w:t>
            </w:r>
          </w:p>
          <w:p w14:paraId="69A488B1" w14:textId="1D06FEED" w:rsidR="00C65539" w:rsidRPr="00D2604E" w:rsidRDefault="00C65539" w:rsidP="004278EA">
            <w:pPr>
              <w:ind w:left="57" w:right="57"/>
              <w:jc w:val="both"/>
              <w:rPr>
                <w:rFonts w:ascii="Times New Roman" w:hAnsi="Times New Roman" w:cs="Times New Roman"/>
                <w:sz w:val="24"/>
                <w:szCs w:val="24"/>
              </w:rPr>
            </w:pPr>
          </w:p>
        </w:tc>
      </w:tr>
      <w:tr w:rsidR="00F56EA8" w:rsidRPr="00D2604E" w14:paraId="0487BDD0" w14:textId="77777777" w:rsidTr="005B3F9D">
        <w:tc>
          <w:tcPr>
            <w:tcW w:w="741" w:type="dxa"/>
          </w:tcPr>
          <w:p w14:paraId="352F4117" w14:textId="62F9BF38" w:rsidR="00F56EA8" w:rsidRPr="00D2604E" w:rsidRDefault="00F56EA8" w:rsidP="004278EA">
            <w:pPr>
              <w:rPr>
                <w:rFonts w:ascii="Times New Roman" w:hAnsi="Times New Roman" w:cs="Times New Roman"/>
                <w:sz w:val="24"/>
                <w:szCs w:val="24"/>
              </w:rPr>
            </w:pPr>
            <w:r w:rsidRPr="00D2604E">
              <w:rPr>
                <w:rFonts w:ascii="Times New Roman" w:eastAsia="Times New Roman" w:hAnsi="Times New Roman" w:cs="Times New Roman"/>
                <w:sz w:val="24"/>
                <w:szCs w:val="24"/>
              </w:rPr>
              <w:lastRenderedPageBreak/>
              <w:t>2.</w:t>
            </w:r>
          </w:p>
        </w:tc>
        <w:tc>
          <w:tcPr>
            <w:tcW w:w="2492" w:type="dxa"/>
          </w:tcPr>
          <w:p w14:paraId="70E0D496" w14:textId="77777777" w:rsidR="00F56EA8" w:rsidRPr="00D2604E" w:rsidRDefault="00F56EA8" w:rsidP="00C65539">
            <w:pPr>
              <w:jc w:val="both"/>
              <w:rPr>
                <w:rFonts w:ascii="Times New Roman" w:hAnsi="Times New Roman" w:cs="Times New Roman"/>
                <w:sz w:val="24"/>
                <w:szCs w:val="24"/>
                <w:highlight w:val="yellow"/>
              </w:rPr>
            </w:pPr>
            <w:r w:rsidRPr="00D2604E">
              <w:rPr>
                <w:rFonts w:ascii="Times New Roman" w:eastAsia="Times New Roman" w:hAnsi="Times New Roman" w:cs="Times New Roman"/>
                <w:sz w:val="24"/>
                <w:szCs w:val="24"/>
              </w:rPr>
              <w:t>Tiesiskā regulējuma ietekme uz tautsaimniecību un administratīvo slogu</w:t>
            </w:r>
          </w:p>
        </w:tc>
        <w:tc>
          <w:tcPr>
            <w:tcW w:w="6974" w:type="dxa"/>
          </w:tcPr>
          <w:p w14:paraId="128BB060" w14:textId="77777777" w:rsidR="003C78B5" w:rsidRPr="00D2604E" w:rsidRDefault="006E5B16" w:rsidP="00B1193D">
            <w:pPr>
              <w:ind w:firstLine="204"/>
              <w:jc w:val="both"/>
              <w:rPr>
                <w:rFonts w:ascii="Times New Roman" w:hAnsi="Times New Roman" w:cs="Times New Roman"/>
                <w:sz w:val="24"/>
                <w:szCs w:val="24"/>
              </w:rPr>
            </w:pPr>
            <w:r w:rsidRPr="00D2604E">
              <w:rPr>
                <w:rFonts w:ascii="Times New Roman" w:hAnsi="Times New Roman" w:cs="Times New Roman"/>
                <w:sz w:val="24"/>
                <w:szCs w:val="24"/>
              </w:rPr>
              <w:t>Šobrīd 85 komersantiem ir a</w:t>
            </w:r>
            <w:r w:rsidR="00D8244A" w:rsidRPr="00D2604E">
              <w:rPr>
                <w:rFonts w:ascii="Times New Roman" w:hAnsi="Times New Roman" w:cs="Times New Roman"/>
                <w:sz w:val="24"/>
                <w:szCs w:val="24"/>
              </w:rPr>
              <w:t xml:space="preserve">tzītā </w:t>
            </w:r>
            <w:r w:rsidR="00BE2EA9" w:rsidRPr="00D2604E">
              <w:rPr>
                <w:rFonts w:ascii="Times New Roman" w:hAnsi="Times New Roman" w:cs="Times New Roman"/>
                <w:sz w:val="24"/>
                <w:szCs w:val="24"/>
              </w:rPr>
              <w:t>nosūtītāja un atzītā saņēmēja atļaujas</w:t>
            </w:r>
            <w:r w:rsidR="00C44FCA" w:rsidRPr="00D2604E">
              <w:rPr>
                <w:rFonts w:ascii="Times New Roman" w:hAnsi="Times New Roman" w:cs="Times New Roman"/>
                <w:sz w:val="24"/>
                <w:szCs w:val="24"/>
              </w:rPr>
              <w:t>,</w:t>
            </w:r>
            <w:r w:rsidR="00BE2EA9" w:rsidRPr="00D2604E">
              <w:rPr>
                <w:rFonts w:ascii="Times New Roman" w:hAnsi="Times New Roman" w:cs="Times New Roman"/>
                <w:sz w:val="24"/>
                <w:szCs w:val="24"/>
              </w:rPr>
              <w:t xml:space="preserve"> </w:t>
            </w:r>
            <w:r w:rsidRPr="00D2604E">
              <w:rPr>
                <w:rFonts w:ascii="Times New Roman" w:hAnsi="Times New Roman" w:cs="Times New Roman"/>
                <w:sz w:val="24"/>
                <w:szCs w:val="24"/>
              </w:rPr>
              <w:t xml:space="preserve">savukārt 64 komersantiem vienkāršoto procedūru atļaujas. </w:t>
            </w:r>
          </w:p>
          <w:p w14:paraId="67B2084F" w14:textId="24647CCE" w:rsidR="009F07E5" w:rsidRPr="00D2604E" w:rsidRDefault="003C78B5" w:rsidP="00B1193D">
            <w:pPr>
              <w:ind w:firstLine="204"/>
              <w:jc w:val="both"/>
              <w:rPr>
                <w:rFonts w:ascii="Times New Roman" w:hAnsi="Times New Roman" w:cs="Times New Roman"/>
                <w:sz w:val="24"/>
                <w:szCs w:val="24"/>
              </w:rPr>
            </w:pPr>
            <w:r w:rsidRPr="00D2604E">
              <w:rPr>
                <w:rFonts w:ascii="Times New Roman" w:hAnsi="Times New Roman" w:cs="Times New Roman"/>
                <w:sz w:val="24"/>
                <w:szCs w:val="24"/>
              </w:rPr>
              <w:t xml:space="preserve">Līdz 2014.gada 5.maijam importa muitas deklarāciju noformēšanai tika izmantota </w:t>
            </w:r>
            <w:r w:rsidR="00DE3C61" w:rsidRPr="00D2604E">
              <w:rPr>
                <w:rFonts w:ascii="Times New Roman" w:hAnsi="Times New Roman" w:cs="Times New Roman"/>
                <w:sz w:val="24"/>
                <w:szCs w:val="24"/>
              </w:rPr>
              <w:t xml:space="preserve">Muitas deklarācijas automatizētas apstrādes sistēma </w:t>
            </w:r>
            <w:r w:rsidRPr="00D2604E">
              <w:rPr>
                <w:rFonts w:ascii="Times New Roman" w:hAnsi="Times New Roman" w:cs="Times New Roman"/>
                <w:sz w:val="24"/>
                <w:szCs w:val="24"/>
              </w:rPr>
              <w:t>A</w:t>
            </w:r>
            <w:r w:rsidR="00DE3C61" w:rsidRPr="00D2604E">
              <w:rPr>
                <w:rFonts w:ascii="Times New Roman" w:hAnsi="Times New Roman" w:cs="Times New Roman"/>
                <w:sz w:val="24"/>
                <w:szCs w:val="24"/>
              </w:rPr>
              <w:t>SYCUDA</w:t>
            </w:r>
            <w:r w:rsidRPr="00D2604E">
              <w:rPr>
                <w:rFonts w:ascii="Times New Roman" w:hAnsi="Times New Roman" w:cs="Times New Roman"/>
                <w:i/>
                <w:iCs/>
                <w:sz w:val="24"/>
                <w:szCs w:val="24"/>
              </w:rPr>
              <w:t>++</w:t>
            </w:r>
            <w:r w:rsidRPr="00D2604E">
              <w:rPr>
                <w:rFonts w:ascii="Times New Roman" w:hAnsi="Times New Roman" w:cs="Times New Roman"/>
                <w:sz w:val="24"/>
                <w:szCs w:val="24"/>
              </w:rPr>
              <w:t xml:space="preserve">, kas </w:t>
            </w:r>
            <w:r w:rsidR="001C4934" w:rsidRPr="00D2604E">
              <w:rPr>
                <w:rFonts w:ascii="Times New Roman" w:hAnsi="Times New Roman" w:cs="Times New Roman"/>
                <w:sz w:val="24"/>
                <w:szCs w:val="24"/>
              </w:rPr>
              <w:t>ne</w:t>
            </w:r>
            <w:r w:rsidRPr="00D2604E">
              <w:rPr>
                <w:rFonts w:ascii="Times New Roman" w:hAnsi="Times New Roman" w:cs="Times New Roman"/>
                <w:sz w:val="24"/>
                <w:szCs w:val="24"/>
              </w:rPr>
              <w:t xml:space="preserve">nodrošināja vietējās muitošanas paziņojuma </w:t>
            </w:r>
            <w:r w:rsidR="009A177C" w:rsidRPr="00D2604E">
              <w:rPr>
                <w:rFonts w:ascii="Times New Roman" w:hAnsi="Times New Roman" w:cs="Times New Roman"/>
                <w:sz w:val="24"/>
                <w:szCs w:val="24"/>
              </w:rPr>
              <w:t xml:space="preserve">elektronisku </w:t>
            </w:r>
            <w:r w:rsidRPr="00D2604E">
              <w:rPr>
                <w:rFonts w:ascii="Times New Roman" w:hAnsi="Times New Roman" w:cs="Times New Roman"/>
                <w:sz w:val="24"/>
                <w:szCs w:val="24"/>
              </w:rPr>
              <w:t xml:space="preserve">iesniegšanu, kā arī </w:t>
            </w:r>
            <w:r w:rsidR="00A4155C" w:rsidRPr="00D2604E">
              <w:rPr>
                <w:rFonts w:ascii="Times New Roman" w:hAnsi="Times New Roman" w:cs="Times New Roman"/>
                <w:sz w:val="24"/>
                <w:szCs w:val="24"/>
              </w:rPr>
              <w:t xml:space="preserve">neparedzēja </w:t>
            </w:r>
            <w:r w:rsidRPr="00D2604E">
              <w:rPr>
                <w:rFonts w:ascii="Times New Roman" w:hAnsi="Times New Roman" w:cs="Times New Roman"/>
                <w:sz w:val="24"/>
                <w:szCs w:val="24"/>
              </w:rPr>
              <w:t xml:space="preserve">papildu – Z tipa deklarācijas iesniegšanu. Vietējās muitošanas procedūra tika piemērota, komersantam </w:t>
            </w:r>
            <w:r w:rsidR="00A4155C" w:rsidRPr="00D2604E">
              <w:rPr>
                <w:rFonts w:ascii="Times New Roman" w:hAnsi="Times New Roman" w:cs="Times New Roman"/>
                <w:sz w:val="24"/>
                <w:szCs w:val="24"/>
              </w:rPr>
              <w:t xml:space="preserve">minētajā sistēmā </w:t>
            </w:r>
            <w:r w:rsidRPr="00D2604E">
              <w:rPr>
                <w:rFonts w:ascii="Times New Roman" w:hAnsi="Times New Roman" w:cs="Times New Roman"/>
                <w:sz w:val="24"/>
                <w:szCs w:val="24"/>
              </w:rPr>
              <w:t xml:space="preserve">iesniedzot importa muitas deklarāciju, </w:t>
            </w:r>
            <w:r w:rsidR="00AF7BA5" w:rsidRPr="00D2604E">
              <w:rPr>
                <w:rFonts w:ascii="Times New Roman" w:hAnsi="Times New Roman" w:cs="Times New Roman"/>
                <w:sz w:val="24"/>
                <w:szCs w:val="24"/>
              </w:rPr>
              <w:t xml:space="preserve">kur komersantam </w:t>
            </w:r>
            <w:r w:rsidR="00A4155C" w:rsidRPr="00D2604E">
              <w:rPr>
                <w:rFonts w:ascii="Times New Roman" w:hAnsi="Times New Roman" w:cs="Times New Roman"/>
                <w:sz w:val="24"/>
                <w:szCs w:val="24"/>
              </w:rPr>
              <w:t xml:space="preserve">bez muitas </w:t>
            </w:r>
            <w:r w:rsidR="00792226" w:rsidRPr="00D2604E">
              <w:rPr>
                <w:rFonts w:ascii="Times New Roman" w:hAnsi="Times New Roman" w:cs="Times New Roman"/>
                <w:sz w:val="24"/>
                <w:szCs w:val="24"/>
              </w:rPr>
              <w:t xml:space="preserve">tiešas </w:t>
            </w:r>
            <w:r w:rsidR="00A4155C" w:rsidRPr="00D2604E">
              <w:rPr>
                <w:rFonts w:ascii="Times New Roman" w:hAnsi="Times New Roman" w:cs="Times New Roman"/>
                <w:sz w:val="24"/>
                <w:szCs w:val="24"/>
              </w:rPr>
              <w:t xml:space="preserve">iesaistes </w:t>
            </w:r>
            <w:r w:rsidR="009A177C" w:rsidRPr="00D2604E">
              <w:rPr>
                <w:rFonts w:ascii="Times New Roman" w:hAnsi="Times New Roman" w:cs="Times New Roman"/>
                <w:sz w:val="24"/>
                <w:szCs w:val="24"/>
              </w:rPr>
              <w:t xml:space="preserve">bija iespēja </w:t>
            </w:r>
            <w:r w:rsidR="00A4155C" w:rsidRPr="00D2604E">
              <w:rPr>
                <w:rFonts w:ascii="Times New Roman" w:hAnsi="Times New Roman" w:cs="Times New Roman"/>
                <w:sz w:val="24"/>
                <w:szCs w:val="24"/>
              </w:rPr>
              <w:t>to noformēt un izlaist preces</w:t>
            </w:r>
            <w:r w:rsidRPr="00D2604E">
              <w:rPr>
                <w:rFonts w:ascii="Times New Roman" w:hAnsi="Times New Roman" w:cs="Times New Roman"/>
                <w:sz w:val="24"/>
                <w:szCs w:val="24"/>
              </w:rPr>
              <w:t>. Šī prakse</w:t>
            </w:r>
            <w:r w:rsidR="00B74C86" w:rsidRPr="00D2604E">
              <w:rPr>
                <w:rFonts w:ascii="Times New Roman" w:hAnsi="Times New Roman" w:cs="Times New Roman"/>
                <w:sz w:val="24"/>
                <w:szCs w:val="24"/>
              </w:rPr>
              <w:t>, kas jau kopš 20</w:t>
            </w:r>
            <w:r w:rsidR="00792226" w:rsidRPr="00D2604E">
              <w:rPr>
                <w:rFonts w:ascii="Times New Roman" w:hAnsi="Times New Roman" w:cs="Times New Roman"/>
                <w:sz w:val="24"/>
                <w:szCs w:val="24"/>
              </w:rPr>
              <w:t>03.gada, balstoties uz neoficiālu</w:t>
            </w:r>
            <w:r w:rsidR="00714227" w:rsidRPr="00D2604E">
              <w:rPr>
                <w:rFonts w:ascii="Times New Roman" w:hAnsi="Times New Roman" w:cs="Times New Roman"/>
                <w:sz w:val="24"/>
                <w:szCs w:val="24"/>
              </w:rPr>
              <w:t xml:space="preserve"> </w:t>
            </w:r>
            <w:r w:rsidR="00792226" w:rsidRPr="00D2604E">
              <w:rPr>
                <w:rFonts w:ascii="Times New Roman" w:hAnsi="Times New Roman" w:cs="Times New Roman"/>
                <w:sz w:val="24"/>
                <w:szCs w:val="24"/>
              </w:rPr>
              <w:t>regulu tulkojumu</w:t>
            </w:r>
            <w:r w:rsidR="00714227" w:rsidRPr="00D2604E">
              <w:rPr>
                <w:rFonts w:ascii="Times New Roman" w:hAnsi="Times New Roman" w:cs="Times New Roman"/>
                <w:sz w:val="24"/>
                <w:szCs w:val="24"/>
              </w:rPr>
              <w:t>, kā arī neprecīzu informāciju no citām</w:t>
            </w:r>
            <w:r w:rsidR="00792226" w:rsidRPr="00D2604E">
              <w:rPr>
                <w:rFonts w:ascii="Times New Roman" w:hAnsi="Times New Roman" w:cs="Times New Roman"/>
                <w:sz w:val="24"/>
                <w:szCs w:val="24"/>
              </w:rPr>
              <w:t xml:space="preserve"> dal</w:t>
            </w:r>
            <w:r w:rsidR="00714227" w:rsidRPr="00D2604E">
              <w:rPr>
                <w:rFonts w:ascii="Times New Roman" w:hAnsi="Times New Roman" w:cs="Times New Roman"/>
                <w:sz w:val="24"/>
                <w:szCs w:val="24"/>
              </w:rPr>
              <w:t>ībvalstīm</w:t>
            </w:r>
            <w:r w:rsidR="00792226" w:rsidRPr="00D2604E">
              <w:rPr>
                <w:rFonts w:ascii="Times New Roman" w:hAnsi="Times New Roman" w:cs="Times New Roman"/>
                <w:sz w:val="24"/>
                <w:szCs w:val="24"/>
              </w:rPr>
              <w:t>, bija ieviesta Latvijas muitā</w:t>
            </w:r>
            <w:r w:rsidR="00AF7BA5" w:rsidRPr="00D2604E">
              <w:rPr>
                <w:rFonts w:ascii="Times New Roman" w:hAnsi="Times New Roman" w:cs="Times New Roman"/>
                <w:sz w:val="24"/>
                <w:szCs w:val="24"/>
              </w:rPr>
              <w:t>,</w:t>
            </w:r>
            <w:r w:rsidRPr="00D2604E">
              <w:rPr>
                <w:rFonts w:ascii="Times New Roman" w:hAnsi="Times New Roman" w:cs="Times New Roman"/>
                <w:sz w:val="24"/>
                <w:szCs w:val="24"/>
              </w:rPr>
              <w:t xml:space="preserve"> neatbilda </w:t>
            </w:r>
            <w:r w:rsidR="00792226" w:rsidRPr="00D2604E">
              <w:rPr>
                <w:rFonts w:ascii="Times New Roman" w:hAnsi="Times New Roman" w:cs="Times New Roman"/>
                <w:sz w:val="24"/>
                <w:szCs w:val="24"/>
              </w:rPr>
              <w:t xml:space="preserve">Eiropas Savienības </w:t>
            </w:r>
            <w:r w:rsidRPr="00D2604E">
              <w:rPr>
                <w:rFonts w:ascii="Times New Roman" w:hAnsi="Times New Roman" w:cs="Times New Roman"/>
                <w:sz w:val="24"/>
                <w:szCs w:val="24"/>
              </w:rPr>
              <w:t>muitas normatīvajos aktos noteiktajiem vietējās muitošanas nosacījumiem</w:t>
            </w:r>
            <w:r w:rsidR="009A177C" w:rsidRPr="00D2604E">
              <w:rPr>
                <w:rFonts w:ascii="Times New Roman" w:hAnsi="Times New Roman" w:cs="Times New Roman"/>
                <w:sz w:val="24"/>
                <w:szCs w:val="24"/>
              </w:rPr>
              <w:t>. Tā</w:t>
            </w:r>
            <w:r w:rsidR="00DE3C61" w:rsidRPr="00D2604E">
              <w:rPr>
                <w:rFonts w:ascii="Times New Roman" w:hAnsi="Times New Roman" w:cs="Times New Roman"/>
                <w:sz w:val="24"/>
                <w:szCs w:val="24"/>
              </w:rPr>
              <w:t xml:space="preserve"> rezultātā</w:t>
            </w:r>
            <w:r w:rsidR="00AF7BA5" w:rsidRPr="00D2604E">
              <w:rPr>
                <w:rFonts w:ascii="Times New Roman" w:hAnsi="Times New Roman" w:cs="Times New Roman"/>
                <w:sz w:val="24"/>
                <w:szCs w:val="24"/>
              </w:rPr>
              <w:t>,</w:t>
            </w:r>
            <w:r w:rsidR="00DE3C61" w:rsidRPr="00D2604E">
              <w:rPr>
                <w:rFonts w:ascii="Times New Roman" w:hAnsi="Times New Roman" w:cs="Times New Roman"/>
                <w:sz w:val="24"/>
                <w:szCs w:val="24"/>
              </w:rPr>
              <w:t xml:space="preserve"> izstrādājot </w:t>
            </w:r>
            <w:r w:rsidR="009A177C" w:rsidRPr="00D2604E">
              <w:rPr>
                <w:rFonts w:ascii="Times New Roman" w:hAnsi="Times New Roman" w:cs="Times New Roman"/>
                <w:sz w:val="24"/>
                <w:szCs w:val="24"/>
              </w:rPr>
              <w:t>Elektronisko</w:t>
            </w:r>
            <w:r w:rsidR="00DE3C61" w:rsidRPr="00D2604E">
              <w:rPr>
                <w:rFonts w:ascii="Times New Roman" w:hAnsi="Times New Roman" w:cs="Times New Roman"/>
                <w:sz w:val="24"/>
                <w:szCs w:val="24"/>
              </w:rPr>
              <w:t xml:space="preserve"> muitas datu apstrādes sistēm</w:t>
            </w:r>
            <w:r w:rsidR="001C4934" w:rsidRPr="00D2604E">
              <w:rPr>
                <w:rFonts w:ascii="Times New Roman" w:hAnsi="Times New Roman" w:cs="Times New Roman"/>
                <w:sz w:val="24"/>
                <w:szCs w:val="24"/>
              </w:rPr>
              <w:t xml:space="preserve">u importa procedūrām, tika ņemti </w:t>
            </w:r>
            <w:r w:rsidR="00AF7BA5" w:rsidRPr="00D2604E">
              <w:rPr>
                <w:rFonts w:ascii="Times New Roman" w:hAnsi="Times New Roman" w:cs="Times New Roman"/>
                <w:sz w:val="24"/>
                <w:szCs w:val="24"/>
              </w:rPr>
              <w:t xml:space="preserve">vērā Eiropas Savienības normatīvajos aktos noteiktie </w:t>
            </w:r>
            <w:r w:rsidR="001C4934" w:rsidRPr="00D2604E">
              <w:rPr>
                <w:rFonts w:ascii="Times New Roman" w:hAnsi="Times New Roman" w:cs="Times New Roman"/>
                <w:sz w:val="24"/>
                <w:szCs w:val="24"/>
              </w:rPr>
              <w:t>vietējās muitošanas procedūras nosacījumi, t.sk.</w:t>
            </w:r>
            <w:r w:rsidR="00792226" w:rsidRPr="00D2604E">
              <w:rPr>
                <w:rFonts w:ascii="Times New Roman" w:hAnsi="Times New Roman" w:cs="Times New Roman"/>
                <w:sz w:val="24"/>
                <w:szCs w:val="24"/>
              </w:rPr>
              <w:t xml:space="preserve"> r</w:t>
            </w:r>
            <w:r w:rsidR="001C4934" w:rsidRPr="00D2604E">
              <w:rPr>
                <w:rFonts w:ascii="Times New Roman" w:hAnsi="Times New Roman" w:cs="Times New Roman"/>
                <w:sz w:val="24"/>
                <w:szCs w:val="24"/>
              </w:rPr>
              <w:t xml:space="preserve">egulas Nr.2454/93 253.a pantā noteiktais nosacījums par muitas deklarāciju un paziņojumu </w:t>
            </w:r>
            <w:r w:rsidR="007B3532" w:rsidRPr="00D2604E">
              <w:rPr>
                <w:rFonts w:ascii="Times New Roman" w:hAnsi="Times New Roman" w:cs="Times New Roman"/>
                <w:sz w:val="24"/>
                <w:szCs w:val="24"/>
              </w:rPr>
              <w:t xml:space="preserve">elektronisku </w:t>
            </w:r>
            <w:r w:rsidR="001C4934" w:rsidRPr="00D2604E">
              <w:rPr>
                <w:rFonts w:ascii="Times New Roman" w:hAnsi="Times New Roman" w:cs="Times New Roman"/>
                <w:sz w:val="24"/>
                <w:szCs w:val="24"/>
              </w:rPr>
              <w:t>iesnieg</w:t>
            </w:r>
            <w:r w:rsidR="009A177C" w:rsidRPr="00D2604E">
              <w:rPr>
                <w:rFonts w:ascii="Times New Roman" w:hAnsi="Times New Roman" w:cs="Times New Roman"/>
                <w:sz w:val="24"/>
                <w:szCs w:val="24"/>
              </w:rPr>
              <w:t xml:space="preserve">šanu, kā arī </w:t>
            </w:r>
            <w:r w:rsidR="00366622" w:rsidRPr="00D2604E">
              <w:rPr>
                <w:rFonts w:ascii="Times New Roman" w:hAnsi="Times New Roman" w:cs="Times New Roman"/>
                <w:sz w:val="24"/>
                <w:szCs w:val="24"/>
              </w:rPr>
              <w:t>Eiropas Komisijas zi</w:t>
            </w:r>
            <w:r w:rsidR="00A907E1" w:rsidRPr="00D2604E">
              <w:rPr>
                <w:rFonts w:ascii="Times New Roman" w:hAnsi="Times New Roman" w:cs="Times New Roman"/>
                <w:sz w:val="24"/>
                <w:szCs w:val="24"/>
              </w:rPr>
              <w:t>ņojumu</w:t>
            </w:r>
            <w:r w:rsidR="00366622" w:rsidRPr="00D2604E">
              <w:rPr>
                <w:rFonts w:ascii="Times New Roman" w:hAnsi="Times New Roman" w:cs="Times New Roman"/>
                <w:sz w:val="24"/>
                <w:szCs w:val="24"/>
              </w:rPr>
              <w:t xml:space="preserve"> par pašu resursu pārbaudi</w:t>
            </w:r>
            <w:r w:rsidR="00233A1B" w:rsidRPr="00D2604E">
              <w:rPr>
                <w:rFonts w:ascii="Times New Roman" w:hAnsi="Times New Roman" w:cs="Times New Roman"/>
                <w:sz w:val="24"/>
                <w:szCs w:val="24"/>
              </w:rPr>
              <w:t xml:space="preserve"> ieteikumi</w:t>
            </w:r>
            <w:r w:rsidR="00366622" w:rsidRPr="00D2604E">
              <w:rPr>
                <w:rFonts w:ascii="Times New Roman" w:hAnsi="Times New Roman" w:cs="Times New Roman"/>
                <w:sz w:val="24"/>
                <w:szCs w:val="24"/>
              </w:rPr>
              <w:t>.</w:t>
            </w:r>
            <w:r w:rsidR="001C4934" w:rsidRPr="00D2604E">
              <w:rPr>
                <w:rFonts w:ascii="Times New Roman" w:hAnsi="Times New Roman" w:cs="Times New Roman"/>
                <w:sz w:val="24"/>
                <w:szCs w:val="24"/>
              </w:rPr>
              <w:t xml:space="preserve"> </w:t>
            </w:r>
            <w:r w:rsidRPr="00D2604E">
              <w:rPr>
                <w:rFonts w:ascii="Times New Roman" w:hAnsi="Times New Roman" w:cs="Times New Roman"/>
                <w:sz w:val="24"/>
                <w:szCs w:val="24"/>
              </w:rPr>
              <w:t xml:space="preserve">No 2014.gada 6.maija ir nodrošināta importa deklarāciju, t.sk. vietējās muitošanas paziņojumu iesniegšana Elektroniskajā muitas datu apstrādes sistēmā. Gadījumos, ja komersants nav izveidojis </w:t>
            </w:r>
            <w:r w:rsidR="009648F1" w:rsidRPr="00D2604E">
              <w:rPr>
                <w:rFonts w:ascii="Times New Roman" w:hAnsi="Times New Roman" w:cs="Times New Roman"/>
                <w:sz w:val="24"/>
                <w:szCs w:val="24"/>
              </w:rPr>
              <w:t>elektronisku preču uzskaites sistēmu, kas nodrošina vietējās paziņojuma iesniegšanu Elektroniskajā muitas datu apstrādes sistēmā, ir nodrošināta iespēja ievadīt vietējās muitošanas paziņojuma datus manuāli. Turklāt minētā sistēma nodrošina iespēju no iesniegtajiem vietējās muitošanas paziņojumiem, tos papildinot ar trūkstošajiem datiem, izveidot papildu  - Z tipa deklarāciju.</w:t>
            </w:r>
            <w:r w:rsidR="009F07E5" w:rsidRPr="00D2604E">
              <w:rPr>
                <w:rFonts w:ascii="Times New Roman" w:hAnsi="Times New Roman" w:cs="Times New Roman"/>
                <w:sz w:val="24"/>
                <w:szCs w:val="24"/>
              </w:rPr>
              <w:t xml:space="preserve"> Ņemot vērā to, ka Savienības Muitas kodekss no 2016.gada 1.maija uzliek pienākumu komersantiem preču uzskaites nodrošināšanai izmantot elektronisku preču uzskaites sistēmu, līdz minētajam termiņam, komersantiem vietējās muitošanas nosacījumu izpildei iespēja izmantot </w:t>
            </w:r>
            <w:r w:rsidR="00AF7BA5" w:rsidRPr="00D2604E">
              <w:rPr>
                <w:rFonts w:ascii="Times New Roman" w:hAnsi="Times New Roman" w:cs="Times New Roman"/>
                <w:sz w:val="24"/>
                <w:szCs w:val="24"/>
              </w:rPr>
              <w:t xml:space="preserve">jau </w:t>
            </w:r>
            <w:r w:rsidR="009F07E5" w:rsidRPr="00D2604E">
              <w:rPr>
                <w:rFonts w:ascii="Times New Roman" w:hAnsi="Times New Roman" w:cs="Times New Roman"/>
                <w:sz w:val="24"/>
                <w:szCs w:val="24"/>
              </w:rPr>
              <w:t>esošās preču uzskaites sistēmas un vietējās muitošanas paziņojumus aizpildīt manuāli, iesniedzot Elektroniskajā muitas datu apstrādes sistēmā.</w:t>
            </w:r>
          </w:p>
          <w:p w14:paraId="41FF91C3" w14:textId="13F9FBDD" w:rsidR="00A50487" w:rsidRPr="00D2604E" w:rsidRDefault="006E5B16" w:rsidP="00B1193D">
            <w:pPr>
              <w:ind w:firstLine="204"/>
              <w:jc w:val="both"/>
              <w:rPr>
                <w:rFonts w:ascii="Times New Roman" w:hAnsi="Times New Roman" w:cs="Times New Roman"/>
                <w:sz w:val="24"/>
                <w:szCs w:val="24"/>
                <w:highlight w:val="yellow"/>
              </w:rPr>
            </w:pPr>
            <w:r w:rsidRPr="00D2604E">
              <w:rPr>
                <w:rFonts w:ascii="Times New Roman" w:hAnsi="Times New Roman" w:cs="Times New Roman"/>
                <w:sz w:val="24"/>
                <w:szCs w:val="24"/>
              </w:rPr>
              <w:t xml:space="preserve">Noteikumu projekts paredz atvieglot </w:t>
            </w:r>
            <w:r w:rsidR="00CC33CC" w:rsidRPr="00D2604E">
              <w:rPr>
                <w:rFonts w:ascii="Times New Roman" w:hAnsi="Times New Roman" w:cs="Times New Roman"/>
                <w:sz w:val="24"/>
                <w:szCs w:val="24"/>
              </w:rPr>
              <w:t xml:space="preserve">preču muitošanu, </w:t>
            </w:r>
            <w:r w:rsidRPr="00D2604E">
              <w:rPr>
                <w:rFonts w:ascii="Times New Roman" w:hAnsi="Times New Roman" w:cs="Times New Roman"/>
                <w:sz w:val="24"/>
                <w:szCs w:val="24"/>
              </w:rPr>
              <w:t xml:space="preserve">vienkāršoto deklarēšanu, atļaujot izmantot arī tiem preču veidiem, kuriem bija noteikti ierobežojumi. Savukārt komersantiem, kuri izmanto vietējo muitošanu tiek paātrināta preču izlaišana, jo iesniedzot vietējās muitošanas paziņojumu, </w:t>
            </w:r>
            <w:r w:rsidR="0081690F" w:rsidRPr="00D2604E">
              <w:rPr>
                <w:rFonts w:ascii="Times New Roman" w:hAnsi="Times New Roman" w:cs="Times New Roman"/>
                <w:sz w:val="24"/>
                <w:szCs w:val="24"/>
              </w:rPr>
              <w:t xml:space="preserve">sistēma veic automātisku riska analīzi un </w:t>
            </w:r>
            <w:r w:rsidRPr="00D2604E">
              <w:rPr>
                <w:rFonts w:ascii="Times New Roman" w:hAnsi="Times New Roman" w:cs="Times New Roman"/>
                <w:sz w:val="24"/>
                <w:szCs w:val="24"/>
              </w:rPr>
              <w:t xml:space="preserve">komersants </w:t>
            </w:r>
            <w:r w:rsidR="0081690F" w:rsidRPr="00D2604E">
              <w:rPr>
                <w:rFonts w:ascii="Times New Roman" w:hAnsi="Times New Roman" w:cs="Times New Roman"/>
                <w:sz w:val="24"/>
                <w:szCs w:val="24"/>
              </w:rPr>
              <w:t xml:space="preserve">vienas </w:t>
            </w:r>
            <w:r w:rsidRPr="00D2604E">
              <w:rPr>
                <w:rFonts w:ascii="Times New Roman" w:hAnsi="Times New Roman" w:cs="Times New Roman"/>
                <w:sz w:val="24"/>
                <w:szCs w:val="24"/>
              </w:rPr>
              <w:t xml:space="preserve">minūtes laikā saņem automātisku preču izlaišanas apstiprinājumu, gadījumos, ja </w:t>
            </w:r>
            <w:r w:rsidR="0049353D" w:rsidRPr="00D2604E">
              <w:rPr>
                <w:rFonts w:ascii="Times New Roman" w:hAnsi="Times New Roman" w:cs="Times New Roman"/>
                <w:sz w:val="24"/>
                <w:szCs w:val="24"/>
              </w:rPr>
              <w:t xml:space="preserve">riska analīzes rezultātā </w:t>
            </w:r>
            <w:r w:rsidRPr="00D2604E">
              <w:rPr>
                <w:rFonts w:ascii="Times New Roman" w:hAnsi="Times New Roman" w:cs="Times New Roman"/>
                <w:sz w:val="24"/>
                <w:szCs w:val="24"/>
              </w:rPr>
              <w:t>netiek veikti muitas kontroles pasākumi</w:t>
            </w:r>
            <w:r w:rsidR="0049353D" w:rsidRPr="00D2604E">
              <w:rPr>
                <w:rFonts w:ascii="Times New Roman" w:hAnsi="Times New Roman" w:cs="Times New Roman"/>
                <w:sz w:val="24"/>
                <w:szCs w:val="24"/>
              </w:rPr>
              <w:t>.</w:t>
            </w:r>
          </w:p>
        </w:tc>
      </w:tr>
      <w:tr w:rsidR="00F56EA8" w:rsidRPr="00D2604E" w14:paraId="5CD5F3C7" w14:textId="77777777" w:rsidTr="005B3F9D">
        <w:tc>
          <w:tcPr>
            <w:tcW w:w="741" w:type="dxa"/>
          </w:tcPr>
          <w:p w14:paraId="6689821E" w14:textId="33F5B383" w:rsidR="00F56EA8" w:rsidRPr="00D2604E" w:rsidRDefault="00F56EA8" w:rsidP="004278EA">
            <w:pPr>
              <w:rPr>
                <w:rFonts w:ascii="Times New Roman" w:hAnsi="Times New Roman" w:cs="Times New Roman"/>
                <w:sz w:val="24"/>
                <w:szCs w:val="24"/>
              </w:rPr>
            </w:pPr>
            <w:r w:rsidRPr="00D2604E">
              <w:rPr>
                <w:rFonts w:ascii="Times New Roman" w:eastAsia="Times New Roman" w:hAnsi="Times New Roman" w:cs="Times New Roman"/>
                <w:sz w:val="24"/>
                <w:szCs w:val="24"/>
              </w:rPr>
              <w:t>3.</w:t>
            </w:r>
          </w:p>
        </w:tc>
        <w:tc>
          <w:tcPr>
            <w:tcW w:w="2492" w:type="dxa"/>
          </w:tcPr>
          <w:p w14:paraId="4451A385" w14:textId="77777777" w:rsidR="00F56EA8" w:rsidRPr="00D2604E" w:rsidRDefault="00F56EA8" w:rsidP="004278EA">
            <w:pPr>
              <w:rPr>
                <w:rFonts w:ascii="Times New Roman" w:hAnsi="Times New Roman" w:cs="Times New Roman"/>
                <w:sz w:val="24"/>
                <w:szCs w:val="24"/>
              </w:rPr>
            </w:pPr>
            <w:r w:rsidRPr="00D2604E">
              <w:rPr>
                <w:rFonts w:ascii="Times New Roman" w:eastAsia="Times New Roman" w:hAnsi="Times New Roman" w:cs="Times New Roman"/>
                <w:sz w:val="24"/>
                <w:szCs w:val="24"/>
              </w:rPr>
              <w:t>Administratīvo izmaksu monetārs novērtējums</w:t>
            </w:r>
          </w:p>
        </w:tc>
        <w:tc>
          <w:tcPr>
            <w:tcW w:w="6974" w:type="dxa"/>
          </w:tcPr>
          <w:p w14:paraId="0AFB115E" w14:textId="34536BDB" w:rsidR="00F56EA8" w:rsidRPr="00D2604E" w:rsidRDefault="00BA688B" w:rsidP="004278EA">
            <w:pPr>
              <w:jc w:val="both"/>
              <w:rPr>
                <w:rFonts w:ascii="Times New Roman" w:hAnsi="Times New Roman" w:cs="Times New Roman"/>
                <w:sz w:val="24"/>
                <w:szCs w:val="24"/>
                <w:u w:val="single"/>
              </w:rPr>
            </w:pPr>
            <w:r w:rsidRPr="00D2604E">
              <w:rPr>
                <w:rFonts w:ascii="Times New Roman" w:hAnsi="Times New Roman" w:cs="Times New Roman"/>
                <w:sz w:val="24"/>
                <w:szCs w:val="24"/>
                <w:u w:val="single"/>
              </w:rPr>
              <w:t>Nav zināms</w:t>
            </w:r>
          </w:p>
        </w:tc>
      </w:tr>
      <w:tr w:rsidR="00F56EA8" w:rsidRPr="00D2604E" w14:paraId="295D0F74" w14:textId="77777777" w:rsidTr="005B3F9D">
        <w:tc>
          <w:tcPr>
            <w:tcW w:w="741" w:type="dxa"/>
          </w:tcPr>
          <w:p w14:paraId="16F5EEB7" w14:textId="77777777" w:rsidR="00F56EA8" w:rsidRPr="00D2604E" w:rsidRDefault="00F56EA8" w:rsidP="004278EA">
            <w:pPr>
              <w:rPr>
                <w:rFonts w:ascii="Times New Roman" w:hAnsi="Times New Roman" w:cs="Times New Roman"/>
                <w:sz w:val="24"/>
                <w:szCs w:val="24"/>
              </w:rPr>
            </w:pPr>
            <w:r w:rsidRPr="00D2604E">
              <w:rPr>
                <w:rFonts w:ascii="Times New Roman" w:eastAsia="Times New Roman" w:hAnsi="Times New Roman" w:cs="Times New Roman"/>
                <w:sz w:val="24"/>
                <w:szCs w:val="24"/>
              </w:rPr>
              <w:t>4.</w:t>
            </w:r>
          </w:p>
        </w:tc>
        <w:tc>
          <w:tcPr>
            <w:tcW w:w="2492" w:type="dxa"/>
          </w:tcPr>
          <w:p w14:paraId="73D398A7" w14:textId="77777777" w:rsidR="00F56EA8" w:rsidRPr="00D2604E" w:rsidRDefault="00F56EA8" w:rsidP="004278EA">
            <w:pPr>
              <w:rPr>
                <w:rFonts w:ascii="Times New Roman" w:hAnsi="Times New Roman" w:cs="Times New Roman"/>
                <w:sz w:val="24"/>
                <w:szCs w:val="24"/>
              </w:rPr>
            </w:pPr>
            <w:r w:rsidRPr="00D2604E">
              <w:rPr>
                <w:rFonts w:ascii="Times New Roman" w:eastAsia="Times New Roman" w:hAnsi="Times New Roman" w:cs="Times New Roman"/>
                <w:sz w:val="24"/>
                <w:szCs w:val="24"/>
              </w:rPr>
              <w:t>Cita informācija</w:t>
            </w:r>
          </w:p>
        </w:tc>
        <w:tc>
          <w:tcPr>
            <w:tcW w:w="6974" w:type="dxa"/>
          </w:tcPr>
          <w:p w14:paraId="17942506" w14:textId="53321255" w:rsidR="00A55BFE" w:rsidRPr="00D2604E" w:rsidRDefault="00C65539" w:rsidP="00341A60">
            <w:pPr>
              <w:jc w:val="both"/>
              <w:rPr>
                <w:rFonts w:ascii="Times New Roman" w:hAnsi="Times New Roman" w:cs="Times New Roman"/>
                <w:sz w:val="24"/>
                <w:szCs w:val="24"/>
              </w:rPr>
            </w:pPr>
            <w:r w:rsidRPr="00D2604E">
              <w:rPr>
                <w:rFonts w:ascii="Times New Roman" w:hAnsi="Times New Roman" w:cs="Times New Roman"/>
                <w:sz w:val="24"/>
                <w:szCs w:val="24"/>
              </w:rPr>
              <w:t>Projekts šo jomu neskar</w:t>
            </w:r>
          </w:p>
        </w:tc>
      </w:tr>
    </w:tbl>
    <w:p w14:paraId="250B8239" w14:textId="77777777" w:rsidR="00A948F0" w:rsidRPr="005B3F9D" w:rsidRDefault="00A948F0" w:rsidP="00C65539">
      <w:pPr>
        <w:spacing w:after="0" w:line="240" w:lineRule="auto"/>
        <w:rPr>
          <w:rFonts w:ascii="Times New Roman" w:hAnsi="Times New Roman" w:cs="Times New Roman"/>
        </w:rPr>
      </w:pPr>
    </w:p>
    <w:tbl>
      <w:tblPr>
        <w:tblW w:w="10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1252"/>
        <w:gridCol w:w="1503"/>
        <w:gridCol w:w="1223"/>
        <w:gridCol w:w="1223"/>
        <w:gridCol w:w="1639"/>
      </w:tblGrid>
      <w:tr w:rsidR="0072593D" w:rsidRPr="00D2604E" w14:paraId="5836AB77" w14:textId="77777777" w:rsidTr="006547C9">
        <w:trPr>
          <w:trHeight w:val="305"/>
          <w:jc w:val="center"/>
        </w:trPr>
        <w:tc>
          <w:tcPr>
            <w:tcW w:w="10002" w:type="dxa"/>
            <w:gridSpan w:val="6"/>
            <w:vAlign w:val="center"/>
          </w:tcPr>
          <w:p w14:paraId="733BCD0F" w14:textId="5E6B88A8" w:rsidR="0072593D" w:rsidRPr="00D2604E" w:rsidRDefault="006547C9" w:rsidP="006547C9">
            <w:pPr>
              <w:jc w:val="center"/>
              <w:rPr>
                <w:rFonts w:ascii="Times New Roman" w:hAnsi="Times New Roman" w:cs="Times New Roman"/>
                <w:sz w:val="24"/>
                <w:szCs w:val="24"/>
              </w:rPr>
            </w:pPr>
            <w:r w:rsidRPr="00D2604E">
              <w:rPr>
                <w:rFonts w:ascii="Times New Roman" w:hAnsi="Times New Roman" w:cs="Times New Roman"/>
                <w:b/>
                <w:sz w:val="24"/>
                <w:szCs w:val="24"/>
              </w:rPr>
              <w:t>III. Tiesību akta projekta ietekme uz valsts budžetu un pašvaldību budžetiem</w:t>
            </w:r>
          </w:p>
        </w:tc>
      </w:tr>
      <w:tr w:rsidR="0072593D" w:rsidRPr="00D2604E" w14:paraId="153D614B" w14:textId="77777777" w:rsidTr="006547C9">
        <w:trPr>
          <w:trHeight w:val="144"/>
          <w:jc w:val="center"/>
        </w:trPr>
        <w:tc>
          <w:tcPr>
            <w:tcW w:w="3162" w:type="dxa"/>
            <w:vMerge w:val="restart"/>
            <w:vAlign w:val="center"/>
          </w:tcPr>
          <w:p w14:paraId="48B9301A" w14:textId="77777777" w:rsidR="0072593D" w:rsidRPr="00D2604E" w:rsidRDefault="0072593D" w:rsidP="00C65539">
            <w:pPr>
              <w:pStyle w:val="naisf"/>
              <w:spacing w:before="0" w:beforeAutospacing="0" w:after="0" w:afterAutospacing="0"/>
              <w:jc w:val="center"/>
              <w:rPr>
                <w:b/>
              </w:rPr>
            </w:pPr>
            <w:r w:rsidRPr="00D2604E">
              <w:rPr>
                <w:b/>
              </w:rPr>
              <w:t>Rādītāji</w:t>
            </w:r>
          </w:p>
        </w:tc>
        <w:tc>
          <w:tcPr>
            <w:tcW w:w="2755" w:type="dxa"/>
            <w:gridSpan w:val="2"/>
            <w:vMerge w:val="restart"/>
            <w:vAlign w:val="center"/>
          </w:tcPr>
          <w:p w14:paraId="03773821" w14:textId="77777777" w:rsidR="0072593D" w:rsidRPr="00D2604E" w:rsidRDefault="0072593D" w:rsidP="00C65539">
            <w:pPr>
              <w:pStyle w:val="naisf"/>
              <w:spacing w:before="0" w:beforeAutospacing="0" w:after="0" w:afterAutospacing="0"/>
              <w:jc w:val="center"/>
              <w:rPr>
                <w:b/>
              </w:rPr>
            </w:pPr>
            <w:r w:rsidRPr="00D2604E">
              <w:rPr>
                <w:b/>
              </w:rPr>
              <w:t>2014.gads</w:t>
            </w:r>
          </w:p>
        </w:tc>
        <w:tc>
          <w:tcPr>
            <w:tcW w:w="4085" w:type="dxa"/>
            <w:gridSpan w:val="3"/>
            <w:vAlign w:val="center"/>
          </w:tcPr>
          <w:p w14:paraId="0FB105EF" w14:textId="77777777" w:rsidR="0072593D" w:rsidRPr="00D2604E" w:rsidRDefault="0072593D" w:rsidP="00C65539">
            <w:pPr>
              <w:pStyle w:val="naisf"/>
              <w:spacing w:before="0" w:beforeAutospacing="0" w:after="0" w:afterAutospacing="0"/>
              <w:jc w:val="center"/>
              <w:rPr>
                <w:b/>
                <w:i/>
              </w:rPr>
            </w:pPr>
            <w:r w:rsidRPr="00D2604E">
              <w:t>Turpmākie trīs gadi (</w:t>
            </w:r>
            <w:proofErr w:type="spellStart"/>
            <w:r w:rsidRPr="00D2604E">
              <w:t>euro</w:t>
            </w:r>
            <w:proofErr w:type="spellEnd"/>
            <w:r w:rsidRPr="00D2604E">
              <w:t>)</w:t>
            </w:r>
          </w:p>
        </w:tc>
      </w:tr>
      <w:tr w:rsidR="0072593D" w:rsidRPr="00D2604E" w14:paraId="316455AF" w14:textId="77777777" w:rsidTr="006547C9">
        <w:trPr>
          <w:trHeight w:val="144"/>
          <w:jc w:val="center"/>
        </w:trPr>
        <w:tc>
          <w:tcPr>
            <w:tcW w:w="3162" w:type="dxa"/>
            <w:vMerge/>
            <w:vAlign w:val="center"/>
          </w:tcPr>
          <w:p w14:paraId="6ECA27F3" w14:textId="77777777" w:rsidR="0072593D" w:rsidRPr="00D2604E" w:rsidRDefault="0072593D" w:rsidP="00C65539">
            <w:pPr>
              <w:pStyle w:val="naisf"/>
              <w:spacing w:before="0" w:beforeAutospacing="0" w:after="0" w:afterAutospacing="0"/>
              <w:jc w:val="center"/>
              <w:rPr>
                <w:b/>
                <w:i/>
              </w:rPr>
            </w:pPr>
          </w:p>
        </w:tc>
        <w:tc>
          <w:tcPr>
            <w:tcW w:w="2755" w:type="dxa"/>
            <w:gridSpan w:val="2"/>
            <w:vMerge/>
            <w:vAlign w:val="center"/>
          </w:tcPr>
          <w:p w14:paraId="5C6B8DD6" w14:textId="77777777" w:rsidR="0072593D" w:rsidRPr="00D2604E" w:rsidRDefault="0072593D" w:rsidP="00C65539">
            <w:pPr>
              <w:pStyle w:val="naisf"/>
              <w:spacing w:before="0" w:beforeAutospacing="0" w:after="0" w:afterAutospacing="0"/>
              <w:jc w:val="center"/>
              <w:rPr>
                <w:b/>
                <w:i/>
              </w:rPr>
            </w:pPr>
          </w:p>
        </w:tc>
        <w:tc>
          <w:tcPr>
            <w:tcW w:w="1223" w:type="dxa"/>
            <w:vAlign w:val="center"/>
          </w:tcPr>
          <w:p w14:paraId="252D2EA0" w14:textId="77777777" w:rsidR="0072593D" w:rsidRPr="00D2604E" w:rsidRDefault="0072593D" w:rsidP="00C65539">
            <w:pPr>
              <w:pStyle w:val="naisf"/>
              <w:spacing w:before="0" w:beforeAutospacing="0" w:after="0" w:afterAutospacing="0"/>
              <w:jc w:val="center"/>
              <w:rPr>
                <w:b/>
                <w:i/>
              </w:rPr>
            </w:pPr>
            <w:r w:rsidRPr="00D2604E">
              <w:rPr>
                <w:b/>
                <w:bCs/>
              </w:rPr>
              <w:t>2015.gads</w:t>
            </w:r>
          </w:p>
        </w:tc>
        <w:tc>
          <w:tcPr>
            <w:tcW w:w="1223" w:type="dxa"/>
            <w:vAlign w:val="center"/>
          </w:tcPr>
          <w:p w14:paraId="51626878" w14:textId="77777777" w:rsidR="0072593D" w:rsidRPr="00D2604E" w:rsidRDefault="0072593D" w:rsidP="00C65539">
            <w:pPr>
              <w:pStyle w:val="naisf"/>
              <w:spacing w:before="0" w:beforeAutospacing="0" w:after="0" w:afterAutospacing="0"/>
              <w:jc w:val="center"/>
              <w:rPr>
                <w:b/>
                <w:i/>
              </w:rPr>
            </w:pPr>
            <w:r w:rsidRPr="00D2604E">
              <w:rPr>
                <w:b/>
                <w:bCs/>
              </w:rPr>
              <w:t>2016.gads</w:t>
            </w:r>
          </w:p>
        </w:tc>
        <w:tc>
          <w:tcPr>
            <w:tcW w:w="1639" w:type="dxa"/>
            <w:vAlign w:val="center"/>
          </w:tcPr>
          <w:p w14:paraId="474EB436" w14:textId="77777777" w:rsidR="0072593D" w:rsidRPr="00D2604E" w:rsidRDefault="0072593D" w:rsidP="00C65539">
            <w:pPr>
              <w:pStyle w:val="naisf"/>
              <w:spacing w:before="0" w:beforeAutospacing="0" w:after="0" w:afterAutospacing="0"/>
              <w:jc w:val="center"/>
              <w:rPr>
                <w:b/>
                <w:i/>
              </w:rPr>
            </w:pPr>
            <w:r w:rsidRPr="00D2604E">
              <w:rPr>
                <w:b/>
                <w:bCs/>
              </w:rPr>
              <w:t>2017.gads</w:t>
            </w:r>
          </w:p>
        </w:tc>
      </w:tr>
      <w:tr w:rsidR="0072593D" w:rsidRPr="00D2604E" w14:paraId="363951C6" w14:textId="77777777" w:rsidTr="006547C9">
        <w:trPr>
          <w:trHeight w:val="144"/>
          <w:jc w:val="center"/>
        </w:trPr>
        <w:tc>
          <w:tcPr>
            <w:tcW w:w="3162" w:type="dxa"/>
            <w:vMerge/>
            <w:vAlign w:val="center"/>
          </w:tcPr>
          <w:p w14:paraId="7137DAC9" w14:textId="77777777" w:rsidR="0072593D" w:rsidRPr="00D2604E" w:rsidRDefault="0072593D" w:rsidP="00C65539">
            <w:pPr>
              <w:pStyle w:val="naisf"/>
              <w:spacing w:before="0" w:beforeAutospacing="0" w:after="0" w:afterAutospacing="0"/>
              <w:jc w:val="center"/>
              <w:rPr>
                <w:b/>
                <w:i/>
              </w:rPr>
            </w:pPr>
          </w:p>
        </w:tc>
        <w:tc>
          <w:tcPr>
            <w:tcW w:w="1252" w:type="dxa"/>
            <w:vAlign w:val="center"/>
          </w:tcPr>
          <w:p w14:paraId="06D1446A" w14:textId="77777777" w:rsidR="0072593D" w:rsidRPr="00D2604E" w:rsidRDefault="0072593D" w:rsidP="00C65539">
            <w:pPr>
              <w:pStyle w:val="naisf"/>
              <w:spacing w:before="0" w:beforeAutospacing="0" w:after="0" w:afterAutospacing="0"/>
              <w:jc w:val="center"/>
              <w:rPr>
                <w:b/>
                <w:i/>
              </w:rPr>
            </w:pPr>
            <w:r w:rsidRPr="00D2604E">
              <w:t>saskaņā ar valsts budžetu kārtējam gadam</w:t>
            </w:r>
          </w:p>
        </w:tc>
        <w:tc>
          <w:tcPr>
            <w:tcW w:w="1503" w:type="dxa"/>
            <w:vAlign w:val="center"/>
          </w:tcPr>
          <w:p w14:paraId="253A3F7F" w14:textId="77777777" w:rsidR="0072593D" w:rsidRPr="00D2604E" w:rsidRDefault="0072593D" w:rsidP="00C65539">
            <w:pPr>
              <w:pStyle w:val="naisf"/>
              <w:spacing w:before="0" w:beforeAutospacing="0" w:after="0" w:afterAutospacing="0"/>
              <w:jc w:val="center"/>
              <w:rPr>
                <w:b/>
                <w:i/>
              </w:rPr>
            </w:pPr>
            <w:r w:rsidRPr="00D2604E">
              <w:t>izmaiņas kārtējā gadā, salīdzinot ar budžetu kārtējam gadam</w:t>
            </w:r>
          </w:p>
        </w:tc>
        <w:tc>
          <w:tcPr>
            <w:tcW w:w="1223" w:type="dxa"/>
            <w:vAlign w:val="center"/>
          </w:tcPr>
          <w:p w14:paraId="46A2AC53" w14:textId="77777777" w:rsidR="0072593D" w:rsidRPr="00D2604E" w:rsidRDefault="0072593D" w:rsidP="00C65539">
            <w:pPr>
              <w:pStyle w:val="naisf"/>
              <w:spacing w:before="0" w:beforeAutospacing="0" w:after="0" w:afterAutospacing="0"/>
              <w:jc w:val="center"/>
              <w:rPr>
                <w:b/>
                <w:i/>
              </w:rPr>
            </w:pPr>
            <w:r w:rsidRPr="00D2604E">
              <w:t>izmaiņas, salīdzinot ar kārtējo (n) gadu</w:t>
            </w:r>
          </w:p>
        </w:tc>
        <w:tc>
          <w:tcPr>
            <w:tcW w:w="1223" w:type="dxa"/>
            <w:vAlign w:val="center"/>
          </w:tcPr>
          <w:p w14:paraId="69B9C70A" w14:textId="77777777" w:rsidR="0072593D" w:rsidRPr="00D2604E" w:rsidRDefault="0072593D" w:rsidP="00C65539">
            <w:pPr>
              <w:pStyle w:val="naisf"/>
              <w:spacing w:before="0" w:beforeAutospacing="0" w:after="0" w:afterAutospacing="0"/>
              <w:jc w:val="center"/>
              <w:rPr>
                <w:b/>
                <w:i/>
              </w:rPr>
            </w:pPr>
            <w:r w:rsidRPr="00D2604E">
              <w:t>izmaiņas, salīdzinot ar kārtējo (n) gadu</w:t>
            </w:r>
          </w:p>
        </w:tc>
        <w:tc>
          <w:tcPr>
            <w:tcW w:w="1639" w:type="dxa"/>
            <w:vAlign w:val="center"/>
          </w:tcPr>
          <w:p w14:paraId="1715B123" w14:textId="77777777" w:rsidR="0072593D" w:rsidRPr="00D2604E" w:rsidRDefault="0072593D" w:rsidP="00C65539">
            <w:pPr>
              <w:pStyle w:val="naisf"/>
              <w:spacing w:before="0" w:beforeAutospacing="0" w:after="0" w:afterAutospacing="0"/>
              <w:jc w:val="center"/>
              <w:rPr>
                <w:b/>
                <w:i/>
              </w:rPr>
            </w:pPr>
            <w:r w:rsidRPr="00D2604E">
              <w:t>izmaiņas, salīdzinot ar kārtējo (n) gadu</w:t>
            </w:r>
          </w:p>
        </w:tc>
      </w:tr>
      <w:tr w:rsidR="0072593D" w:rsidRPr="00D2604E" w14:paraId="1FD7C019" w14:textId="77777777" w:rsidTr="006547C9">
        <w:trPr>
          <w:trHeight w:val="144"/>
          <w:jc w:val="center"/>
        </w:trPr>
        <w:tc>
          <w:tcPr>
            <w:tcW w:w="3162" w:type="dxa"/>
            <w:vAlign w:val="center"/>
          </w:tcPr>
          <w:p w14:paraId="5002EC66" w14:textId="77777777" w:rsidR="0072593D" w:rsidRPr="00D2604E" w:rsidRDefault="0072593D" w:rsidP="00C65539">
            <w:pPr>
              <w:pStyle w:val="naisf"/>
              <w:spacing w:before="0" w:beforeAutospacing="0" w:after="0" w:afterAutospacing="0"/>
              <w:jc w:val="center"/>
              <w:rPr>
                <w:bCs/>
              </w:rPr>
            </w:pPr>
            <w:r w:rsidRPr="00D2604E">
              <w:rPr>
                <w:bCs/>
              </w:rPr>
              <w:t>1</w:t>
            </w:r>
          </w:p>
        </w:tc>
        <w:tc>
          <w:tcPr>
            <w:tcW w:w="1252" w:type="dxa"/>
            <w:vAlign w:val="center"/>
          </w:tcPr>
          <w:p w14:paraId="1B33EC3C" w14:textId="77777777" w:rsidR="0072593D" w:rsidRPr="00D2604E" w:rsidRDefault="0072593D" w:rsidP="00C65539">
            <w:pPr>
              <w:pStyle w:val="naisf"/>
              <w:spacing w:before="0" w:beforeAutospacing="0" w:after="0" w:afterAutospacing="0"/>
              <w:jc w:val="center"/>
              <w:rPr>
                <w:bCs/>
              </w:rPr>
            </w:pPr>
            <w:r w:rsidRPr="00D2604E">
              <w:rPr>
                <w:bCs/>
              </w:rPr>
              <w:t>2</w:t>
            </w:r>
          </w:p>
        </w:tc>
        <w:tc>
          <w:tcPr>
            <w:tcW w:w="1503" w:type="dxa"/>
            <w:vAlign w:val="center"/>
          </w:tcPr>
          <w:p w14:paraId="31FA71D8" w14:textId="77777777" w:rsidR="0072593D" w:rsidRPr="00D2604E" w:rsidRDefault="0072593D" w:rsidP="00C65539">
            <w:pPr>
              <w:pStyle w:val="naisf"/>
              <w:spacing w:before="0" w:beforeAutospacing="0" w:after="0" w:afterAutospacing="0"/>
              <w:jc w:val="center"/>
              <w:rPr>
                <w:bCs/>
              </w:rPr>
            </w:pPr>
            <w:r w:rsidRPr="00D2604E">
              <w:rPr>
                <w:bCs/>
              </w:rPr>
              <w:t>3</w:t>
            </w:r>
          </w:p>
        </w:tc>
        <w:tc>
          <w:tcPr>
            <w:tcW w:w="1223" w:type="dxa"/>
            <w:vAlign w:val="center"/>
          </w:tcPr>
          <w:p w14:paraId="6FEE4036" w14:textId="77777777" w:rsidR="0072593D" w:rsidRPr="00D2604E" w:rsidRDefault="0072593D" w:rsidP="00C65539">
            <w:pPr>
              <w:pStyle w:val="naisf"/>
              <w:spacing w:before="0" w:beforeAutospacing="0" w:after="0" w:afterAutospacing="0"/>
              <w:jc w:val="center"/>
              <w:rPr>
                <w:bCs/>
              </w:rPr>
            </w:pPr>
            <w:r w:rsidRPr="00D2604E">
              <w:rPr>
                <w:bCs/>
              </w:rPr>
              <w:t>4</w:t>
            </w:r>
          </w:p>
        </w:tc>
        <w:tc>
          <w:tcPr>
            <w:tcW w:w="1223" w:type="dxa"/>
            <w:vAlign w:val="center"/>
          </w:tcPr>
          <w:p w14:paraId="2222422B" w14:textId="77777777" w:rsidR="0072593D" w:rsidRPr="00D2604E" w:rsidRDefault="0072593D" w:rsidP="00C65539">
            <w:pPr>
              <w:pStyle w:val="naisf"/>
              <w:spacing w:before="0" w:beforeAutospacing="0" w:after="0" w:afterAutospacing="0"/>
              <w:jc w:val="center"/>
              <w:rPr>
                <w:bCs/>
              </w:rPr>
            </w:pPr>
            <w:r w:rsidRPr="00D2604E">
              <w:rPr>
                <w:bCs/>
              </w:rPr>
              <w:t>5</w:t>
            </w:r>
          </w:p>
        </w:tc>
        <w:tc>
          <w:tcPr>
            <w:tcW w:w="1639" w:type="dxa"/>
            <w:vAlign w:val="center"/>
          </w:tcPr>
          <w:p w14:paraId="17512A7D" w14:textId="77777777" w:rsidR="0072593D" w:rsidRPr="00D2604E" w:rsidRDefault="0072593D" w:rsidP="00C65539">
            <w:pPr>
              <w:pStyle w:val="naisf"/>
              <w:spacing w:before="0" w:beforeAutospacing="0" w:after="0" w:afterAutospacing="0"/>
              <w:jc w:val="center"/>
              <w:rPr>
                <w:bCs/>
              </w:rPr>
            </w:pPr>
            <w:r w:rsidRPr="00D2604E">
              <w:rPr>
                <w:bCs/>
              </w:rPr>
              <w:t>6</w:t>
            </w:r>
          </w:p>
        </w:tc>
      </w:tr>
      <w:tr w:rsidR="0072593D" w:rsidRPr="00D2604E" w14:paraId="5B77EC5C" w14:textId="77777777" w:rsidTr="006547C9">
        <w:trPr>
          <w:trHeight w:val="144"/>
          <w:jc w:val="center"/>
        </w:trPr>
        <w:tc>
          <w:tcPr>
            <w:tcW w:w="3162" w:type="dxa"/>
          </w:tcPr>
          <w:p w14:paraId="32F14BE2" w14:textId="77777777" w:rsidR="0072593D" w:rsidRPr="00D2604E" w:rsidRDefault="0072593D" w:rsidP="00C65539">
            <w:pPr>
              <w:pStyle w:val="naisf"/>
              <w:spacing w:before="0" w:beforeAutospacing="0" w:after="0" w:afterAutospacing="0"/>
              <w:rPr>
                <w:i/>
              </w:rPr>
            </w:pPr>
            <w:r w:rsidRPr="00D2604E">
              <w:t>1. Budžeta ieņēmumi:</w:t>
            </w:r>
          </w:p>
        </w:tc>
        <w:tc>
          <w:tcPr>
            <w:tcW w:w="1252" w:type="dxa"/>
          </w:tcPr>
          <w:p w14:paraId="6DF8FDE8" w14:textId="3651E61C" w:rsidR="0072593D" w:rsidRPr="00D2604E" w:rsidRDefault="0072593D" w:rsidP="00C65539">
            <w:pPr>
              <w:pStyle w:val="naisf"/>
              <w:spacing w:before="0" w:beforeAutospacing="0" w:after="0" w:afterAutospacing="0"/>
              <w:jc w:val="center"/>
            </w:pPr>
            <w:r w:rsidRPr="00D2604E">
              <w:t>0</w:t>
            </w:r>
          </w:p>
        </w:tc>
        <w:tc>
          <w:tcPr>
            <w:tcW w:w="1503" w:type="dxa"/>
          </w:tcPr>
          <w:p w14:paraId="0431A133"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7F01D500" w14:textId="2E647F4C" w:rsidR="0072593D" w:rsidRPr="00D2604E" w:rsidRDefault="0072593D" w:rsidP="00C65539">
            <w:pPr>
              <w:pStyle w:val="naisf"/>
              <w:spacing w:before="0" w:beforeAutospacing="0" w:after="0" w:afterAutospacing="0"/>
              <w:jc w:val="center"/>
            </w:pPr>
            <w:r w:rsidRPr="00D2604E">
              <w:t>0</w:t>
            </w:r>
          </w:p>
        </w:tc>
        <w:tc>
          <w:tcPr>
            <w:tcW w:w="1223" w:type="dxa"/>
          </w:tcPr>
          <w:p w14:paraId="0455590A" w14:textId="6C17E846" w:rsidR="0072593D" w:rsidRPr="00D2604E" w:rsidRDefault="0072593D" w:rsidP="00C65539">
            <w:pPr>
              <w:pStyle w:val="naisf"/>
              <w:spacing w:before="0" w:beforeAutospacing="0" w:after="0" w:afterAutospacing="0"/>
              <w:jc w:val="center"/>
            </w:pPr>
            <w:r w:rsidRPr="00D2604E">
              <w:t>0</w:t>
            </w:r>
          </w:p>
        </w:tc>
        <w:tc>
          <w:tcPr>
            <w:tcW w:w="1639" w:type="dxa"/>
          </w:tcPr>
          <w:p w14:paraId="594587CF" w14:textId="0A827E09" w:rsidR="0072593D" w:rsidRPr="00D2604E" w:rsidRDefault="0072593D" w:rsidP="00C65539">
            <w:pPr>
              <w:pStyle w:val="naisf"/>
              <w:spacing w:before="0" w:beforeAutospacing="0" w:after="0" w:afterAutospacing="0"/>
              <w:jc w:val="center"/>
            </w:pPr>
            <w:r w:rsidRPr="00D2604E">
              <w:t>0</w:t>
            </w:r>
          </w:p>
        </w:tc>
      </w:tr>
      <w:tr w:rsidR="0072593D" w:rsidRPr="00D2604E" w14:paraId="11E566D8" w14:textId="77777777" w:rsidTr="006547C9">
        <w:trPr>
          <w:trHeight w:val="144"/>
          <w:jc w:val="center"/>
        </w:trPr>
        <w:tc>
          <w:tcPr>
            <w:tcW w:w="3162" w:type="dxa"/>
          </w:tcPr>
          <w:p w14:paraId="22B36F4C" w14:textId="77777777" w:rsidR="0072593D" w:rsidRPr="00D2604E" w:rsidRDefault="0072593D" w:rsidP="00C65539">
            <w:pPr>
              <w:pStyle w:val="naisf"/>
              <w:spacing w:before="0" w:beforeAutospacing="0" w:after="0" w:afterAutospacing="0"/>
              <w:rPr>
                <w:i/>
              </w:rPr>
            </w:pPr>
            <w:r w:rsidRPr="00D2604E">
              <w:t>1.1. valsts pamatbudžets, tai skaitā ieņēmumi no maksas pakalpojumiem un citi pašu ieņēmumi</w:t>
            </w:r>
          </w:p>
        </w:tc>
        <w:tc>
          <w:tcPr>
            <w:tcW w:w="1252" w:type="dxa"/>
          </w:tcPr>
          <w:p w14:paraId="58C18356" w14:textId="1F5B717E" w:rsidR="0072593D" w:rsidRPr="00D2604E" w:rsidRDefault="0072593D" w:rsidP="00C65539">
            <w:pPr>
              <w:pStyle w:val="naisf"/>
              <w:spacing w:before="0" w:beforeAutospacing="0" w:after="0" w:afterAutospacing="0"/>
              <w:jc w:val="center"/>
            </w:pPr>
            <w:r w:rsidRPr="00D2604E">
              <w:t>0</w:t>
            </w:r>
          </w:p>
        </w:tc>
        <w:tc>
          <w:tcPr>
            <w:tcW w:w="1503" w:type="dxa"/>
          </w:tcPr>
          <w:p w14:paraId="12D85416"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101E7B4E" w14:textId="161FC057" w:rsidR="0072593D" w:rsidRPr="00D2604E" w:rsidRDefault="0072593D" w:rsidP="00C65539">
            <w:pPr>
              <w:pStyle w:val="naisf"/>
              <w:spacing w:before="0" w:beforeAutospacing="0" w:after="0" w:afterAutospacing="0"/>
              <w:jc w:val="center"/>
            </w:pPr>
            <w:r w:rsidRPr="00D2604E">
              <w:t>0</w:t>
            </w:r>
          </w:p>
        </w:tc>
        <w:tc>
          <w:tcPr>
            <w:tcW w:w="1223" w:type="dxa"/>
          </w:tcPr>
          <w:p w14:paraId="7C6D125C" w14:textId="5439AAE8" w:rsidR="0072593D" w:rsidRPr="00D2604E" w:rsidRDefault="0072593D" w:rsidP="00C65539">
            <w:pPr>
              <w:pStyle w:val="naisf"/>
              <w:spacing w:before="0" w:beforeAutospacing="0" w:after="0" w:afterAutospacing="0"/>
              <w:jc w:val="center"/>
            </w:pPr>
            <w:r w:rsidRPr="00D2604E">
              <w:t>0</w:t>
            </w:r>
          </w:p>
        </w:tc>
        <w:tc>
          <w:tcPr>
            <w:tcW w:w="1639" w:type="dxa"/>
          </w:tcPr>
          <w:p w14:paraId="7F664802" w14:textId="156F6463" w:rsidR="0072593D" w:rsidRPr="00D2604E" w:rsidRDefault="0072593D" w:rsidP="00C65539">
            <w:pPr>
              <w:pStyle w:val="naisf"/>
              <w:spacing w:before="0" w:beforeAutospacing="0" w:after="0" w:afterAutospacing="0"/>
              <w:jc w:val="center"/>
            </w:pPr>
            <w:r w:rsidRPr="00D2604E">
              <w:t>0</w:t>
            </w:r>
          </w:p>
        </w:tc>
      </w:tr>
      <w:tr w:rsidR="0072593D" w:rsidRPr="00D2604E" w14:paraId="1169F98B" w14:textId="77777777" w:rsidTr="006547C9">
        <w:trPr>
          <w:trHeight w:val="556"/>
          <w:jc w:val="center"/>
        </w:trPr>
        <w:tc>
          <w:tcPr>
            <w:tcW w:w="3162" w:type="dxa"/>
          </w:tcPr>
          <w:p w14:paraId="28A73886" w14:textId="77777777" w:rsidR="0072593D" w:rsidRPr="00D2604E" w:rsidRDefault="0072593D" w:rsidP="00C65539">
            <w:pPr>
              <w:pStyle w:val="naisf"/>
              <w:spacing w:before="0" w:beforeAutospacing="0" w:after="0" w:afterAutospacing="0"/>
              <w:rPr>
                <w:i/>
              </w:rPr>
            </w:pPr>
            <w:r w:rsidRPr="00D2604E">
              <w:t>1.2. valsts speciālais budžets</w:t>
            </w:r>
          </w:p>
        </w:tc>
        <w:tc>
          <w:tcPr>
            <w:tcW w:w="1252" w:type="dxa"/>
          </w:tcPr>
          <w:p w14:paraId="32302E2B" w14:textId="77777777" w:rsidR="0072593D" w:rsidRPr="00D2604E" w:rsidRDefault="0072593D" w:rsidP="00C65539">
            <w:pPr>
              <w:pStyle w:val="naisf"/>
              <w:spacing w:before="0" w:beforeAutospacing="0" w:after="0" w:afterAutospacing="0"/>
              <w:jc w:val="center"/>
            </w:pPr>
            <w:r w:rsidRPr="00D2604E">
              <w:t>0</w:t>
            </w:r>
          </w:p>
        </w:tc>
        <w:tc>
          <w:tcPr>
            <w:tcW w:w="1503" w:type="dxa"/>
          </w:tcPr>
          <w:p w14:paraId="7D67F804"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18A2ADD6"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33F3B24D" w14:textId="77777777" w:rsidR="0072593D" w:rsidRPr="00D2604E" w:rsidRDefault="0072593D" w:rsidP="00C65539">
            <w:pPr>
              <w:pStyle w:val="naisf"/>
              <w:spacing w:before="0" w:beforeAutospacing="0" w:after="0" w:afterAutospacing="0"/>
              <w:jc w:val="center"/>
            </w:pPr>
            <w:r w:rsidRPr="00D2604E">
              <w:t>0</w:t>
            </w:r>
          </w:p>
        </w:tc>
        <w:tc>
          <w:tcPr>
            <w:tcW w:w="1639" w:type="dxa"/>
          </w:tcPr>
          <w:p w14:paraId="270BF95C" w14:textId="77777777" w:rsidR="0072593D" w:rsidRPr="00D2604E" w:rsidRDefault="0072593D" w:rsidP="00C65539">
            <w:pPr>
              <w:pStyle w:val="naisf"/>
              <w:spacing w:before="0" w:beforeAutospacing="0" w:after="0" w:afterAutospacing="0"/>
              <w:jc w:val="center"/>
            </w:pPr>
            <w:r w:rsidRPr="00D2604E">
              <w:t>0</w:t>
            </w:r>
          </w:p>
        </w:tc>
      </w:tr>
      <w:tr w:rsidR="0072593D" w:rsidRPr="00D2604E" w14:paraId="18CC4F53" w14:textId="77777777" w:rsidTr="006547C9">
        <w:trPr>
          <w:trHeight w:val="541"/>
          <w:jc w:val="center"/>
        </w:trPr>
        <w:tc>
          <w:tcPr>
            <w:tcW w:w="3162" w:type="dxa"/>
          </w:tcPr>
          <w:p w14:paraId="29970909" w14:textId="77777777" w:rsidR="0072593D" w:rsidRPr="00D2604E" w:rsidRDefault="0072593D" w:rsidP="00C65539">
            <w:pPr>
              <w:pStyle w:val="naisf"/>
              <w:spacing w:before="0" w:beforeAutospacing="0" w:after="0" w:afterAutospacing="0"/>
              <w:rPr>
                <w:i/>
              </w:rPr>
            </w:pPr>
            <w:r w:rsidRPr="00D2604E">
              <w:t>1.3. pašvaldību budžets</w:t>
            </w:r>
          </w:p>
        </w:tc>
        <w:tc>
          <w:tcPr>
            <w:tcW w:w="1252" w:type="dxa"/>
          </w:tcPr>
          <w:p w14:paraId="2242794F" w14:textId="77777777" w:rsidR="0072593D" w:rsidRPr="00D2604E" w:rsidRDefault="0072593D" w:rsidP="00C65539">
            <w:pPr>
              <w:pStyle w:val="naisf"/>
              <w:spacing w:before="0" w:beforeAutospacing="0" w:after="0" w:afterAutospacing="0"/>
              <w:jc w:val="center"/>
            </w:pPr>
            <w:r w:rsidRPr="00D2604E">
              <w:t>0</w:t>
            </w:r>
          </w:p>
        </w:tc>
        <w:tc>
          <w:tcPr>
            <w:tcW w:w="1503" w:type="dxa"/>
          </w:tcPr>
          <w:p w14:paraId="6B3499C6"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5BFC251C"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73287777" w14:textId="77777777" w:rsidR="0072593D" w:rsidRPr="00D2604E" w:rsidRDefault="0072593D" w:rsidP="00C65539">
            <w:pPr>
              <w:pStyle w:val="naisf"/>
              <w:spacing w:before="0" w:beforeAutospacing="0" w:after="0" w:afterAutospacing="0"/>
              <w:jc w:val="center"/>
            </w:pPr>
            <w:r w:rsidRPr="00D2604E">
              <w:t>0</w:t>
            </w:r>
          </w:p>
        </w:tc>
        <w:tc>
          <w:tcPr>
            <w:tcW w:w="1639" w:type="dxa"/>
          </w:tcPr>
          <w:p w14:paraId="727BF754" w14:textId="77777777" w:rsidR="0072593D" w:rsidRPr="00D2604E" w:rsidRDefault="0072593D" w:rsidP="00C65539">
            <w:pPr>
              <w:pStyle w:val="naisf"/>
              <w:spacing w:before="0" w:beforeAutospacing="0" w:after="0" w:afterAutospacing="0"/>
              <w:jc w:val="center"/>
            </w:pPr>
            <w:r w:rsidRPr="00D2604E">
              <w:t>0</w:t>
            </w:r>
          </w:p>
        </w:tc>
      </w:tr>
      <w:tr w:rsidR="0072593D" w:rsidRPr="00D2604E" w14:paraId="5BDE3518" w14:textId="77777777" w:rsidTr="006547C9">
        <w:trPr>
          <w:trHeight w:val="556"/>
          <w:jc w:val="center"/>
        </w:trPr>
        <w:tc>
          <w:tcPr>
            <w:tcW w:w="3162" w:type="dxa"/>
          </w:tcPr>
          <w:p w14:paraId="710BD5BA" w14:textId="77777777" w:rsidR="0072593D" w:rsidRPr="00D2604E" w:rsidRDefault="0072593D" w:rsidP="00C65539">
            <w:pPr>
              <w:spacing w:after="0" w:line="240" w:lineRule="auto"/>
              <w:rPr>
                <w:rFonts w:ascii="Times New Roman" w:hAnsi="Times New Roman" w:cs="Times New Roman"/>
                <w:sz w:val="24"/>
                <w:szCs w:val="24"/>
              </w:rPr>
            </w:pPr>
            <w:r w:rsidRPr="00D2604E">
              <w:rPr>
                <w:rFonts w:ascii="Times New Roman" w:hAnsi="Times New Roman" w:cs="Times New Roman"/>
                <w:sz w:val="24"/>
                <w:szCs w:val="24"/>
              </w:rPr>
              <w:t>2. Budžeta izdevumi:</w:t>
            </w:r>
          </w:p>
        </w:tc>
        <w:tc>
          <w:tcPr>
            <w:tcW w:w="1252" w:type="dxa"/>
          </w:tcPr>
          <w:p w14:paraId="6E1331B6" w14:textId="38A9BF1E" w:rsidR="0072593D" w:rsidRPr="00D2604E" w:rsidRDefault="0072593D" w:rsidP="00C65539">
            <w:pPr>
              <w:pStyle w:val="naisf"/>
              <w:spacing w:before="0" w:beforeAutospacing="0" w:after="0" w:afterAutospacing="0"/>
              <w:jc w:val="center"/>
            </w:pPr>
            <w:r w:rsidRPr="00D2604E">
              <w:t>0</w:t>
            </w:r>
          </w:p>
        </w:tc>
        <w:tc>
          <w:tcPr>
            <w:tcW w:w="1503" w:type="dxa"/>
          </w:tcPr>
          <w:p w14:paraId="7166F7BE"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163B3221" w14:textId="4755C784" w:rsidR="0072593D" w:rsidRPr="00D2604E" w:rsidRDefault="0072593D" w:rsidP="00C65539">
            <w:pPr>
              <w:pStyle w:val="naisf"/>
              <w:spacing w:before="0" w:beforeAutospacing="0" w:after="0" w:afterAutospacing="0"/>
              <w:jc w:val="center"/>
            </w:pPr>
            <w:r w:rsidRPr="00D2604E">
              <w:t>0</w:t>
            </w:r>
          </w:p>
        </w:tc>
        <w:tc>
          <w:tcPr>
            <w:tcW w:w="1223" w:type="dxa"/>
          </w:tcPr>
          <w:p w14:paraId="77FEEA6F" w14:textId="1D8BF548" w:rsidR="0072593D" w:rsidRPr="00D2604E" w:rsidRDefault="0072593D" w:rsidP="00C65539">
            <w:pPr>
              <w:pStyle w:val="naisf"/>
              <w:spacing w:before="0" w:beforeAutospacing="0" w:after="0" w:afterAutospacing="0"/>
              <w:jc w:val="center"/>
            </w:pPr>
            <w:r w:rsidRPr="00D2604E">
              <w:t>0</w:t>
            </w:r>
          </w:p>
        </w:tc>
        <w:tc>
          <w:tcPr>
            <w:tcW w:w="1639" w:type="dxa"/>
          </w:tcPr>
          <w:p w14:paraId="0974AB59" w14:textId="442A7A0E" w:rsidR="0072593D" w:rsidRPr="00D2604E" w:rsidRDefault="0072593D" w:rsidP="00C65539">
            <w:pPr>
              <w:pStyle w:val="naisf"/>
              <w:spacing w:before="0" w:beforeAutospacing="0" w:after="0" w:afterAutospacing="0"/>
              <w:jc w:val="center"/>
            </w:pPr>
            <w:r w:rsidRPr="00D2604E">
              <w:t>0</w:t>
            </w:r>
          </w:p>
        </w:tc>
      </w:tr>
      <w:tr w:rsidR="0072593D" w:rsidRPr="00D2604E" w14:paraId="1CED0626" w14:textId="77777777" w:rsidTr="006547C9">
        <w:trPr>
          <w:trHeight w:val="541"/>
          <w:jc w:val="center"/>
        </w:trPr>
        <w:tc>
          <w:tcPr>
            <w:tcW w:w="3162" w:type="dxa"/>
          </w:tcPr>
          <w:p w14:paraId="76A7C9A9" w14:textId="77777777" w:rsidR="0072593D" w:rsidRPr="00D2604E" w:rsidRDefault="0072593D" w:rsidP="00C65539">
            <w:pPr>
              <w:spacing w:after="0" w:line="240" w:lineRule="auto"/>
              <w:rPr>
                <w:rFonts w:ascii="Times New Roman" w:hAnsi="Times New Roman" w:cs="Times New Roman"/>
                <w:sz w:val="24"/>
                <w:szCs w:val="24"/>
              </w:rPr>
            </w:pPr>
            <w:r w:rsidRPr="00D2604E">
              <w:rPr>
                <w:rFonts w:ascii="Times New Roman" w:hAnsi="Times New Roman" w:cs="Times New Roman"/>
                <w:sz w:val="24"/>
                <w:szCs w:val="24"/>
              </w:rPr>
              <w:t>2.1. valsts pamatbudžets</w:t>
            </w:r>
          </w:p>
        </w:tc>
        <w:tc>
          <w:tcPr>
            <w:tcW w:w="1252" w:type="dxa"/>
          </w:tcPr>
          <w:p w14:paraId="1DF04079" w14:textId="54D8876F" w:rsidR="0072593D" w:rsidRPr="00D2604E" w:rsidRDefault="0072593D" w:rsidP="00C65539">
            <w:pPr>
              <w:pStyle w:val="naisf"/>
              <w:spacing w:before="0" w:beforeAutospacing="0" w:after="0" w:afterAutospacing="0"/>
              <w:jc w:val="center"/>
            </w:pPr>
            <w:r w:rsidRPr="00D2604E">
              <w:t>0</w:t>
            </w:r>
          </w:p>
        </w:tc>
        <w:tc>
          <w:tcPr>
            <w:tcW w:w="1503" w:type="dxa"/>
          </w:tcPr>
          <w:p w14:paraId="24E620F9"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2B8BC115" w14:textId="1DA40B03" w:rsidR="0072593D" w:rsidRPr="00D2604E" w:rsidRDefault="0072593D" w:rsidP="00C65539">
            <w:pPr>
              <w:pStyle w:val="naisf"/>
              <w:spacing w:before="0" w:beforeAutospacing="0" w:after="0" w:afterAutospacing="0"/>
              <w:jc w:val="center"/>
            </w:pPr>
            <w:r w:rsidRPr="00D2604E">
              <w:t>0</w:t>
            </w:r>
          </w:p>
        </w:tc>
        <w:tc>
          <w:tcPr>
            <w:tcW w:w="1223" w:type="dxa"/>
          </w:tcPr>
          <w:p w14:paraId="2B7B0731" w14:textId="5BDADC99" w:rsidR="0072593D" w:rsidRPr="00D2604E" w:rsidRDefault="0072593D" w:rsidP="00C65539">
            <w:pPr>
              <w:pStyle w:val="naisf"/>
              <w:spacing w:before="0" w:beforeAutospacing="0" w:after="0" w:afterAutospacing="0"/>
              <w:jc w:val="center"/>
            </w:pPr>
            <w:r w:rsidRPr="00D2604E">
              <w:t>0</w:t>
            </w:r>
          </w:p>
        </w:tc>
        <w:tc>
          <w:tcPr>
            <w:tcW w:w="1639" w:type="dxa"/>
          </w:tcPr>
          <w:p w14:paraId="29CF9DFF" w14:textId="0D359DF3" w:rsidR="0072593D" w:rsidRPr="00D2604E" w:rsidRDefault="0072593D" w:rsidP="00C65539">
            <w:pPr>
              <w:pStyle w:val="naisf"/>
              <w:spacing w:before="0" w:beforeAutospacing="0" w:after="0" w:afterAutospacing="0"/>
              <w:jc w:val="center"/>
            </w:pPr>
            <w:r w:rsidRPr="00D2604E">
              <w:t>0</w:t>
            </w:r>
          </w:p>
        </w:tc>
      </w:tr>
      <w:tr w:rsidR="0072593D" w:rsidRPr="00D2604E" w14:paraId="0573A442" w14:textId="77777777" w:rsidTr="006547C9">
        <w:trPr>
          <w:trHeight w:val="556"/>
          <w:jc w:val="center"/>
        </w:trPr>
        <w:tc>
          <w:tcPr>
            <w:tcW w:w="3162" w:type="dxa"/>
          </w:tcPr>
          <w:p w14:paraId="4C11905C" w14:textId="77777777" w:rsidR="0072593D" w:rsidRPr="00D2604E" w:rsidRDefault="0072593D" w:rsidP="00C65539">
            <w:pPr>
              <w:spacing w:after="0" w:line="240" w:lineRule="auto"/>
              <w:rPr>
                <w:rFonts w:ascii="Times New Roman" w:hAnsi="Times New Roman" w:cs="Times New Roman"/>
                <w:sz w:val="24"/>
                <w:szCs w:val="24"/>
              </w:rPr>
            </w:pPr>
            <w:r w:rsidRPr="00D2604E">
              <w:rPr>
                <w:rFonts w:ascii="Times New Roman" w:hAnsi="Times New Roman" w:cs="Times New Roman"/>
                <w:sz w:val="24"/>
                <w:szCs w:val="24"/>
              </w:rPr>
              <w:t>2.2. valsts speciālais budžets</w:t>
            </w:r>
          </w:p>
        </w:tc>
        <w:tc>
          <w:tcPr>
            <w:tcW w:w="1252" w:type="dxa"/>
          </w:tcPr>
          <w:p w14:paraId="58DBE7DF" w14:textId="77777777" w:rsidR="0072593D" w:rsidRPr="00D2604E" w:rsidRDefault="0072593D" w:rsidP="00C65539">
            <w:pPr>
              <w:pStyle w:val="naisf"/>
              <w:spacing w:before="0" w:beforeAutospacing="0" w:after="0" w:afterAutospacing="0"/>
              <w:jc w:val="center"/>
            </w:pPr>
            <w:r w:rsidRPr="00D2604E">
              <w:t>0</w:t>
            </w:r>
          </w:p>
        </w:tc>
        <w:tc>
          <w:tcPr>
            <w:tcW w:w="1503" w:type="dxa"/>
          </w:tcPr>
          <w:p w14:paraId="075B36AC"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514D2419"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176EB517" w14:textId="77777777" w:rsidR="0072593D" w:rsidRPr="00D2604E" w:rsidRDefault="0072593D" w:rsidP="00C65539">
            <w:pPr>
              <w:pStyle w:val="naisf"/>
              <w:spacing w:before="0" w:beforeAutospacing="0" w:after="0" w:afterAutospacing="0"/>
              <w:jc w:val="center"/>
            </w:pPr>
            <w:r w:rsidRPr="00D2604E">
              <w:t>0</w:t>
            </w:r>
          </w:p>
        </w:tc>
        <w:tc>
          <w:tcPr>
            <w:tcW w:w="1639" w:type="dxa"/>
          </w:tcPr>
          <w:p w14:paraId="0D25FD50" w14:textId="77777777" w:rsidR="0072593D" w:rsidRPr="00D2604E" w:rsidRDefault="0072593D" w:rsidP="00C65539">
            <w:pPr>
              <w:pStyle w:val="naisf"/>
              <w:spacing w:before="0" w:beforeAutospacing="0" w:after="0" w:afterAutospacing="0"/>
              <w:jc w:val="center"/>
            </w:pPr>
            <w:r w:rsidRPr="00D2604E">
              <w:t>0</w:t>
            </w:r>
          </w:p>
        </w:tc>
      </w:tr>
      <w:tr w:rsidR="0072593D" w:rsidRPr="00D2604E" w14:paraId="458EF3BB" w14:textId="77777777" w:rsidTr="006547C9">
        <w:trPr>
          <w:trHeight w:val="541"/>
          <w:jc w:val="center"/>
        </w:trPr>
        <w:tc>
          <w:tcPr>
            <w:tcW w:w="3162" w:type="dxa"/>
          </w:tcPr>
          <w:p w14:paraId="40712250" w14:textId="77777777" w:rsidR="0072593D" w:rsidRPr="00D2604E" w:rsidRDefault="0072593D" w:rsidP="00C65539">
            <w:pPr>
              <w:spacing w:after="0" w:line="240" w:lineRule="auto"/>
              <w:rPr>
                <w:rFonts w:ascii="Times New Roman" w:hAnsi="Times New Roman" w:cs="Times New Roman"/>
                <w:sz w:val="24"/>
                <w:szCs w:val="24"/>
              </w:rPr>
            </w:pPr>
            <w:r w:rsidRPr="00D2604E">
              <w:rPr>
                <w:rFonts w:ascii="Times New Roman" w:hAnsi="Times New Roman" w:cs="Times New Roman"/>
                <w:sz w:val="24"/>
                <w:szCs w:val="24"/>
              </w:rPr>
              <w:t xml:space="preserve">2.3. pašvaldību budžets </w:t>
            </w:r>
          </w:p>
        </w:tc>
        <w:tc>
          <w:tcPr>
            <w:tcW w:w="1252" w:type="dxa"/>
          </w:tcPr>
          <w:p w14:paraId="4F3E2297" w14:textId="77777777" w:rsidR="0072593D" w:rsidRPr="00D2604E" w:rsidRDefault="0072593D" w:rsidP="00C65539">
            <w:pPr>
              <w:pStyle w:val="naisf"/>
              <w:spacing w:before="0" w:beforeAutospacing="0" w:after="0" w:afterAutospacing="0"/>
              <w:jc w:val="center"/>
            </w:pPr>
            <w:r w:rsidRPr="00D2604E">
              <w:t>0</w:t>
            </w:r>
          </w:p>
        </w:tc>
        <w:tc>
          <w:tcPr>
            <w:tcW w:w="1503" w:type="dxa"/>
          </w:tcPr>
          <w:p w14:paraId="1DC1D84B"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30937C21"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250DD163" w14:textId="77777777" w:rsidR="0072593D" w:rsidRPr="00D2604E" w:rsidRDefault="0072593D" w:rsidP="00C65539">
            <w:pPr>
              <w:pStyle w:val="naisf"/>
              <w:spacing w:before="0" w:beforeAutospacing="0" w:after="0" w:afterAutospacing="0"/>
              <w:jc w:val="center"/>
            </w:pPr>
            <w:r w:rsidRPr="00D2604E">
              <w:t>0</w:t>
            </w:r>
          </w:p>
        </w:tc>
        <w:tc>
          <w:tcPr>
            <w:tcW w:w="1639" w:type="dxa"/>
          </w:tcPr>
          <w:p w14:paraId="1E267CD0" w14:textId="77777777" w:rsidR="0072593D" w:rsidRPr="00D2604E" w:rsidRDefault="0072593D" w:rsidP="00C65539">
            <w:pPr>
              <w:pStyle w:val="naisf"/>
              <w:spacing w:before="0" w:beforeAutospacing="0" w:after="0" w:afterAutospacing="0"/>
              <w:jc w:val="center"/>
            </w:pPr>
            <w:r w:rsidRPr="00D2604E">
              <w:t>0</w:t>
            </w:r>
          </w:p>
        </w:tc>
      </w:tr>
      <w:tr w:rsidR="0072593D" w:rsidRPr="00D2604E" w14:paraId="4B4BE64E" w14:textId="77777777" w:rsidTr="006547C9">
        <w:trPr>
          <w:trHeight w:val="556"/>
          <w:jc w:val="center"/>
        </w:trPr>
        <w:tc>
          <w:tcPr>
            <w:tcW w:w="3162" w:type="dxa"/>
          </w:tcPr>
          <w:p w14:paraId="1829214E" w14:textId="77777777" w:rsidR="0072593D" w:rsidRPr="00D2604E" w:rsidRDefault="0072593D" w:rsidP="00C65539">
            <w:pPr>
              <w:spacing w:after="0" w:line="240" w:lineRule="auto"/>
              <w:rPr>
                <w:rFonts w:ascii="Times New Roman" w:hAnsi="Times New Roman" w:cs="Times New Roman"/>
                <w:sz w:val="24"/>
                <w:szCs w:val="24"/>
              </w:rPr>
            </w:pPr>
            <w:r w:rsidRPr="00D2604E">
              <w:rPr>
                <w:rFonts w:ascii="Times New Roman" w:hAnsi="Times New Roman" w:cs="Times New Roman"/>
                <w:sz w:val="24"/>
                <w:szCs w:val="24"/>
              </w:rPr>
              <w:t>3. Finansiālā ietekme:</w:t>
            </w:r>
          </w:p>
        </w:tc>
        <w:tc>
          <w:tcPr>
            <w:tcW w:w="1252" w:type="dxa"/>
            <w:shd w:val="clear" w:color="auto" w:fill="auto"/>
            <w:vAlign w:val="center"/>
          </w:tcPr>
          <w:p w14:paraId="7CEF750A" w14:textId="7CC05795" w:rsidR="0072593D" w:rsidRPr="00D2604E" w:rsidRDefault="0072593D" w:rsidP="00C65539">
            <w:pPr>
              <w:pStyle w:val="naisf"/>
              <w:spacing w:before="0" w:beforeAutospacing="0" w:after="0" w:afterAutospacing="0"/>
              <w:jc w:val="center"/>
            </w:pPr>
            <w:r w:rsidRPr="00D2604E">
              <w:t>0</w:t>
            </w:r>
          </w:p>
        </w:tc>
        <w:tc>
          <w:tcPr>
            <w:tcW w:w="1503" w:type="dxa"/>
          </w:tcPr>
          <w:p w14:paraId="0969FA52"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41B4CEAA" w14:textId="004BD2B0" w:rsidR="0072593D" w:rsidRPr="00D2604E" w:rsidRDefault="0072593D" w:rsidP="00C65539">
            <w:pPr>
              <w:pStyle w:val="naisf"/>
              <w:spacing w:before="0" w:beforeAutospacing="0" w:after="0" w:afterAutospacing="0"/>
              <w:jc w:val="center"/>
            </w:pPr>
            <w:r w:rsidRPr="00D2604E">
              <w:t>0</w:t>
            </w:r>
          </w:p>
        </w:tc>
        <w:tc>
          <w:tcPr>
            <w:tcW w:w="1223" w:type="dxa"/>
          </w:tcPr>
          <w:p w14:paraId="50693669" w14:textId="237CE987" w:rsidR="0072593D" w:rsidRPr="00D2604E" w:rsidRDefault="0072593D" w:rsidP="00C65539">
            <w:pPr>
              <w:pStyle w:val="naisf"/>
              <w:spacing w:before="0" w:beforeAutospacing="0" w:after="0" w:afterAutospacing="0"/>
              <w:jc w:val="center"/>
            </w:pPr>
            <w:r w:rsidRPr="00D2604E">
              <w:t>0</w:t>
            </w:r>
          </w:p>
        </w:tc>
        <w:tc>
          <w:tcPr>
            <w:tcW w:w="1639" w:type="dxa"/>
          </w:tcPr>
          <w:p w14:paraId="6F592E23" w14:textId="647A9D9A" w:rsidR="0072593D" w:rsidRPr="00D2604E" w:rsidRDefault="0072593D" w:rsidP="00C65539">
            <w:pPr>
              <w:pStyle w:val="naisf"/>
              <w:spacing w:before="0" w:beforeAutospacing="0" w:after="0" w:afterAutospacing="0"/>
              <w:jc w:val="center"/>
            </w:pPr>
            <w:r w:rsidRPr="00D2604E">
              <w:t>0</w:t>
            </w:r>
          </w:p>
        </w:tc>
      </w:tr>
      <w:tr w:rsidR="0072593D" w:rsidRPr="00D2604E" w14:paraId="634F11AD" w14:textId="77777777" w:rsidTr="006547C9">
        <w:trPr>
          <w:trHeight w:val="541"/>
          <w:jc w:val="center"/>
        </w:trPr>
        <w:tc>
          <w:tcPr>
            <w:tcW w:w="3162" w:type="dxa"/>
          </w:tcPr>
          <w:p w14:paraId="39CF2643" w14:textId="77777777" w:rsidR="0072593D" w:rsidRPr="00D2604E" w:rsidRDefault="0072593D" w:rsidP="00C65539">
            <w:pPr>
              <w:spacing w:after="0" w:line="240" w:lineRule="auto"/>
              <w:rPr>
                <w:rFonts w:ascii="Times New Roman" w:hAnsi="Times New Roman" w:cs="Times New Roman"/>
                <w:sz w:val="24"/>
                <w:szCs w:val="24"/>
              </w:rPr>
            </w:pPr>
            <w:r w:rsidRPr="00D2604E">
              <w:rPr>
                <w:rFonts w:ascii="Times New Roman" w:hAnsi="Times New Roman" w:cs="Times New Roman"/>
                <w:sz w:val="24"/>
                <w:szCs w:val="24"/>
              </w:rPr>
              <w:t>3.1. valsts pamatbudžets</w:t>
            </w:r>
          </w:p>
        </w:tc>
        <w:tc>
          <w:tcPr>
            <w:tcW w:w="1252" w:type="dxa"/>
            <w:shd w:val="clear" w:color="auto" w:fill="auto"/>
          </w:tcPr>
          <w:p w14:paraId="5AFBAFB4" w14:textId="0F78BAB8" w:rsidR="0072593D" w:rsidRPr="00D2604E" w:rsidRDefault="0072593D" w:rsidP="00C65539">
            <w:pPr>
              <w:pStyle w:val="naisf"/>
              <w:spacing w:before="0" w:beforeAutospacing="0" w:after="0" w:afterAutospacing="0"/>
              <w:jc w:val="center"/>
            </w:pPr>
            <w:r w:rsidRPr="00D2604E">
              <w:t>0</w:t>
            </w:r>
          </w:p>
        </w:tc>
        <w:tc>
          <w:tcPr>
            <w:tcW w:w="1503" w:type="dxa"/>
          </w:tcPr>
          <w:p w14:paraId="049084A8"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373DC29A" w14:textId="2AAC666C" w:rsidR="0072593D" w:rsidRPr="00D2604E" w:rsidRDefault="0072593D" w:rsidP="00C65539">
            <w:pPr>
              <w:pStyle w:val="naisf"/>
              <w:spacing w:before="0" w:beforeAutospacing="0" w:after="0" w:afterAutospacing="0"/>
              <w:jc w:val="center"/>
            </w:pPr>
            <w:r w:rsidRPr="00D2604E">
              <w:t>0</w:t>
            </w:r>
          </w:p>
        </w:tc>
        <w:tc>
          <w:tcPr>
            <w:tcW w:w="1223" w:type="dxa"/>
          </w:tcPr>
          <w:p w14:paraId="575F4FCE" w14:textId="5D152657" w:rsidR="0072593D" w:rsidRPr="00D2604E" w:rsidRDefault="0072593D" w:rsidP="00C65539">
            <w:pPr>
              <w:pStyle w:val="naisf"/>
              <w:spacing w:before="0" w:beforeAutospacing="0" w:after="0" w:afterAutospacing="0"/>
              <w:jc w:val="center"/>
            </w:pPr>
            <w:r w:rsidRPr="00D2604E">
              <w:t>0</w:t>
            </w:r>
          </w:p>
        </w:tc>
        <w:tc>
          <w:tcPr>
            <w:tcW w:w="1639" w:type="dxa"/>
          </w:tcPr>
          <w:p w14:paraId="7E858512" w14:textId="0DCB22ED" w:rsidR="0072593D" w:rsidRPr="00D2604E" w:rsidRDefault="0072593D" w:rsidP="00C65539">
            <w:pPr>
              <w:pStyle w:val="naisf"/>
              <w:spacing w:before="0" w:beforeAutospacing="0" w:after="0" w:afterAutospacing="0"/>
              <w:jc w:val="center"/>
            </w:pPr>
            <w:r w:rsidRPr="00D2604E">
              <w:t>0</w:t>
            </w:r>
          </w:p>
        </w:tc>
      </w:tr>
      <w:tr w:rsidR="0072593D" w:rsidRPr="00D2604E" w14:paraId="330E61B7" w14:textId="77777777" w:rsidTr="006547C9">
        <w:trPr>
          <w:trHeight w:val="541"/>
          <w:jc w:val="center"/>
        </w:trPr>
        <w:tc>
          <w:tcPr>
            <w:tcW w:w="3162" w:type="dxa"/>
          </w:tcPr>
          <w:p w14:paraId="6B6609B7" w14:textId="77777777" w:rsidR="0072593D" w:rsidRPr="00D2604E" w:rsidRDefault="0072593D" w:rsidP="00C65539">
            <w:pPr>
              <w:spacing w:after="0" w:line="240" w:lineRule="auto"/>
              <w:rPr>
                <w:rFonts w:ascii="Times New Roman" w:hAnsi="Times New Roman" w:cs="Times New Roman"/>
                <w:sz w:val="24"/>
                <w:szCs w:val="24"/>
              </w:rPr>
            </w:pPr>
            <w:r w:rsidRPr="00D2604E">
              <w:rPr>
                <w:rFonts w:ascii="Times New Roman" w:hAnsi="Times New Roman" w:cs="Times New Roman"/>
                <w:sz w:val="24"/>
                <w:szCs w:val="24"/>
              </w:rPr>
              <w:t>3.2. speciālais budžets</w:t>
            </w:r>
          </w:p>
        </w:tc>
        <w:tc>
          <w:tcPr>
            <w:tcW w:w="1252" w:type="dxa"/>
            <w:shd w:val="clear" w:color="auto" w:fill="auto"/>
          </w:tcPr>
          <w:p w14:paraId="448F9296" w14:textId="77777777" w:rsidR="0072593D" w:rsidRPr="00D2604E" w:rsidRDefault="0072593D" w:rsidP="00C65539">
            <w:pPr>
              <w:pStyle w:val="naisf"/>
              <w:spacing w:before="0" w:beforeAutospacing="0" w:after="0" w:afterAutospacing="0"/>
              <w:jc w:val="center"/>
            </w:pPr>
            <w:r w:rsidRPr="00D2604E">
              <w:t>0</w:t>
            </w:r>
          </w:p>
        </w:tc>
        <w:tc>
          <w:tcPr>
            <w:tcW w:w="1503" w:type="dxa"/>
          </w:tcPr>
          <w:p w14:paraId="52F76DEA"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794099A6"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3E5367DF" w14:textId="77777777" w:rsidR="0072593D" w:rsidRPr="00D2604E" w:rsidRDefault="0072593D" w:rsidP="00C65539">
            <w:pPr>
              <w:pStyle w:val="naisf"/>
              <w:spacing w:before="0" w:beforeAutospacing="0" w:after="0" w:afterAutospacing="0"/>
              <w:jc w:val="center"/>
            </w:pPr>
            <w:r w:rsidRPr="00D2604E">
              <w:t>0</w:t>
            </w:r>
          </w:p>
        </w:tc>
        <w:tc>
          <w:tcPr>
            <w:tcW w:w="1639" w:type="dxa"/>
          </w:tcPr>
          <w:p w14:paraId="20C4A583" w14:textId="77777777" w:rsidR="0072593D" w:rsidRPr="00D2604E" w:rsidRDefault="0072593D" w:rsidP="00C65539">
            <w:pPr>
              <w:pStyle w:val="naisf"/>
              <w:spacing w:before="0" w:beforeAutospacing="0" w:after="0" w:afterAutospacing="0"/>
              <w:jc w:val="center"/>
            </w:pPr>
            <w:r w:rsidRPr="00D2604E">
              <w:t>0</w:t>
            </w:r>
          </w:p>
        </w:tc>
      </w:tr>
      <w:tr w:rsidR="0072593D" w:rsidRPr="00D2604E" w14:paraId="64D64C4B" w14:textId="77777777" w:rsidTr="006547C9">
        <w:trPr>
          <w:trHeight w:val="556"/>
          <w:jc w:val="center"/>
        </w:trPr>
        <w:tc>
          <w:tcPr>
            <w:tcW w:w="3162" w:type="dxa"/>
          </w:tcPr>
          <w:p w14:paraId="49C77C20" w14:textId="77777777" w:rsidR="0072593D" w:rsidRPr="00D2604E" w:rsidRDefault="0072593D" w:rsidP="00C65539">
            <w:pPr>
              <w:spacing w:after="0" w:line="240" w:lineRule="auto"/>
              <w:rPr>
                <w:rFonts w:ascii="Times New Roman" w:hAnsi="Times New Roman" w:cs="Times New Roman"/>
                <w:sz w:val="24"/>
                <w:szCs w:val="24"/>
              </w:rPr>
            </w:pPr>
            <w:r w:rsidRPr="00D2604E">
              <w:rPr>
                <w:rFonts w:ascii="Times New Roman" w:hAnsi="Times New Roman" w:cs="Times New Roman"/>
                <w:sz w:val="24"/>
                <w:szCs w:val="24"/>
              </w:rPr>
              <w:t xml:space="preserve">3.3. pašvaldību budžets </w:t>
            </w:r>
          </w:p>
        </w:tc>
        <w:tc>
          <w:tcPr>
            <w:tcW w:w="1252" w:type="dxa"/>
            <w:shd w:val="clear" w:color="auto" w:fill="auto"/>
          </w:tcPr>
          <w:p w14:paraId="04F1BEE1" w14:textId="77777777" w:rsidR="0072593D" w:rsidRPr="00D2604E" w:rsidRDefault="0072593D" w:rsidP="00C65539">
            <w:pPr>
              <w:pStyle w:val="naisf"/>
              <w:spacing w:before="0" w:beforeAutospacing="0" w:after="0" w:afterAutospacing="0"/>
              <w:jc w:val="center"/>
            </w:pPr>
            <w:r w:rsidRPr="00D2604E">
              <w:t>0</w:t>
            </w:r>
          </w:p>
        </w:tc>
        <w:tc>
          <w:tcPr>
            <w:tcW w:w="1503" w:type="dxa"/>
          </w:tcPr>
          <w:p w14:paraId="49347CC1"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7DA2C8BC"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68FBBF38" w14:textId="77777777" w:rsidR="0072593D" w:rsidRPr="00D2604E" w:rsidRDefault="0072593D" w:rsidP="00C65539">
            <w:pPr>
              <w:pStyle w:val="naisf"/>
              <w:spacing w:before="0" w:beforeAutospacing="0" w:after="0" w:afterAutospacing="0"/>
              <w:jc w:val="center"/>
            </w:pPr>
            <w:r w:rsidRPr="00D2604E">
              <w:t>0</w:t>
            </w:r>
          </w:p>
        </w:tc>
        <w:tc>
          <w:tcPr>
            <w:tcW w:w="1639" w:type="dxa"/>
          </w:tcPr>
          <w:p w14:paraId="1CE3A8FA" w14:textId="77777777" w:rsidR="0072593D" w:rsidRPr="00D2604E" w:rsidRDefault="0072593D" w:rsidP="00C65539">
            <w:pPr>
              <w:pStyle w:val="naisf"/>
              <w:spacing w:before="0" w:beforeAutospacing="0" w:after="0" w:afterAutospacing="0"/>
              <w:jc w:val="center"/>
            </w:pPr>
            <w:r w:rsidRPr="00D2604E">
              <w:t>0</w:t>
            </w:r>
          </w:p>
        </w:tc>
      </w:tr>
      <w:tr w:rsidR="0072593D" w:rsidRPr="00D2604E" w14:paraId="494725F5" w14:textId="77777777" w:rsidTr="006547C9">
        <w:trPr>
          <w:trHeight w:val="270"/>
          <w:jc w:val="center"/>
        </w:trPr>
        <w:tc>
          <w:tcPr>
            <w:tcW w:w="3162" w:type="dxa"/>
            <w:vMerge w:val="restart"/>
          </w:tcPr>
          <w:p w14:paraId="0C39D269" w14:textId="77777777" w:rsidR="0072593D" w:rsidRPr="00D2604E" w:rsidRDefault="0072593D" w:rsidP="00C65539">
            <w:pPr>
              <w:spacing w:after="0" w:line="240" w:lineRule="auto"/>
              <w:rPr>
                <w:rFonts w:ascii="Times New Roman" w:hAnsi="Times New Roman" w:cs="Times New Roman"/>
                <w:sz w:val="24"/>
                <w:szCs w:val="24"/>
              </w:rPr>
            </w:pPr>
            <w:r w:rsidRPr="00D2604E">
              <w:rPr>
                <w:rFonts w:ascii="Times New Roman" w:hAnsi="Times New Roman" w:cs="Times New Roman"/>
                <w:sz w:val="24"/>
                <w:szCs w:val="24"/>
              </w:rPr>
              <w:t>4. Finanšu līdzekļi papildu izdevumu finansēšanai (kompensējošu izdevumu samazinājumu norāda ar "+" zīmi)</w:t>
            </w:r>
          </w:p>
        </w:tc>
        <w:tc>
          <w:tcPr>
            <w:tcW w:w="1252" w:type="dxa"/>
            <w:vMerge w:val="restart"/>
          </w:tcPr>
          <w:p w14:paraId="2149AE9C" w14:textId="77777777" w:rsidR="0072593D" w:rsidRPr="00D2604E" w:rsidRDefault="0072593D" w:rsidP="00C65539">
            <w:pPr>
              <w:pStyle w:val="naisf"/>
              <w:spacing w:before="0" w:beforeAutospacing="0" w:after="0" w:afterAutospacing="0"/>
              <w:jc w:val="center"/>
            </w:pPr>
            <w:r w:rsidRPr="00D2604E">
              <w:t>X</w:t>
            </w:r>
          </w:p>
        </w:tc>
        <w:tc>
          <w:tcPr>
            <w:tcW w:w="1503" w:type="dxa"/>
          </w:tcPr>
          <w:p w14:paraId="22BC4D72"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2CF3DFCA"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22DD05E7" w14:textId="77777777" w:rsidR="0072593D" w:rsidRPr="00D2604E" w:rsidRDefault="0072593D" w:rsidP="00C65539">
            <w:pPr>
              <w:pStyle w:val="naisf"/>
              <w:spacing w:before="0" w:beforeAutospacing="0" w:after="0" w:afterAutospacing="0"/>
              <w:jc w:val="center"/>
            </w:pPr>
            <w:r w:rsidRPr="00D2604E">
              <w:t>0</w:t>
            </w:r>
          </w:p>
        </w:tc>
        <w:tc>
          <w:tcPr>
            <w:tcW w:w="1639" w:type="dxa"/>
          </w:tcPr>
          <w:p w14:paraId="14382744" w14:textId="77777777" w:rsidR="0072593D" w:rsidRPr="00D2604E" w:rsidRDefault="0072593D" w:rsidP="00C65539">
            <w:pPr>
              <w:pStyle w:val="naisf"/>
              <w:spacing w:before="0" w:beforeAutospacing="0" w:after="0" w:afterAutospacing="0"/>
              <w:jc w:val="center"/>
            </w:pPr>
            <w:r w:rsidRPr="00D2604E">
              <w:t>0</w:t>
            </w:r>
          </w:p>
        </w:tc>
      </w:tr>
      <w:tr w:rsidR="0072593D" w:rsidRPr="00D2604E" w14:paraId="2081F33D" w14:textId="77777777" w:rsidTr="006547C9">
        <w:trPr>
          <w:trHeight w:val="285"/>
          <w:jc w:val="center"/>
        </w:trPr>
        <w:tc>
          <w:tcPr>
            <w:tcW w:w="3162" w:type="dxa"/>
            <w:vMerge/>
          </w:tcPr>
          <w:p w14:paraId="49880211" w14:textId="77777777" w:rsidR="0072593D" w:rsidRPr="00D2604E" w:rsidRDefault="0072593D" w:rsidP="00C65539">
            <w:pPr>
              <w:spacing w:after="0" w:line="240" w:lineRule="auto"/>
              <w:rPr>
                <w:rFonts w:ascii="Times New Roman" w:hAnsi="Times New Roman" w:cs="Times New Roman"/>
                <w:sz w:val="24"/>
                <w:szCs w:val="24"/>
              </w:rPr>
            </w:pPr>
          </w:p>
        </w:tc>
        <w:tc>
          <w:tcPr>
            <w:tcW w:w="1252" w:type="dxa"/>
            <w:vMerge/>
          </w:tcPr>
          <w:p w14:paraId="01C42CC2" w14:textId="77777777" w:rsidR="0072593D" w:rsidRPr="00D2604E" w:rsidRDefault="0072593D" w:rsidP="00C65539">
            <w:pPr>
              <w:pStyle w:val="naisf"/>
              <w:spacing w:before="0" w:beforeAutospacing="0" w:after="0" w:afterAutospacing="0"/>
              <w:jc w:val="center"/>
            </w:pPr>
          </w:p>
        </w:tc>
        <w:tc>
          <w:tcPr>
            <w:tcW w:w="1503" w:type="dxa"/>
          </w:tcPr>
          <w:p w14:paraId="5DF5B523"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3632F56E"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5BFE5526" w14:textId="77777777" w:rsidR="0072593D" w:rsidRPr="00D2604E" w:rsidRDefault="0072593D" w:rsidP="00C65539">
            <w:pPr>
              <w:pStyle w:val="naisf"/>
              <w:spacing w:before="0" w:beforeAutospacing="0" w:after="0" w:afterAutospacing="0"/>
              <w:jc w:val="center"/>
            </w:pPr>
            <w:r w:rsidRPr="00D2604E">
              <w:t>0</w:t>
            </w:r>
          </w:p>
        </w:tc>
        <w:tc>
          <w:tcPr>
            <w:tcW w:w="1639" w:type="dxa"/>
          </w:tcPr>
          <w:p w14:paraId="47158AFD" w14:textId="77777777" w:rsidR="0072593D" w:rsidRPr="00D2604E" w:rsidRDefault="0072593D" w:rsidP="00C65539">
            <w:pPr>
              <w:pStyle w:val="naisf"/>
              <w:spacing w:before="0" w:beforeAutospacing="0" w:after="0" w:afterAutospacing="0"/>
              <w:jc w:val="center"/>
            </w:pPr>
            <w:r w:rsidRPr="00D2604E">
              <w:t>0</w:t>
            </w:r>
          </w:p>
        </w:tc>
      </w:tr>
      <w:tr w:rsidR="0072593D" w:rsidRPr="00D2604E" w14:paraId="0183DC52" w14:textId="77777777" w:rsidTr="006547C9">
        <w:trPr>
          <w:trHeight w:val="1369"/>
          <w:jc w:val="center"/>
        </w:trPr>
        <w:tc>
          <w:tcPr>
            <w:tcW w:w="3162" w:type="dxa"/>
            <w:vMerge/>
          </w:tcPr>
          <w:p w14:paraId="345D3125" w14:textId="77777777" w:rsidR="0072593D" w:rsidRPr="00D2604E" w:rsidRDefault="0072593D" w:rsidP="00C65539">
            <w:pPr>
              <w:spacing w:after="0" w:line="240" w:lineRule="auto"/>
              <w:rPr>
                <w:rFonts w:ascii="Times New Roman" w:hAnsi="Times New Roman" w:cs="Times New Roman"/>
                <w:sz w:val="24"/>
                <w:szCs w:val="24"/>
              </w:rPr>
            </w:pPr>
          </w:p>
        </w:tc>
        <w:tc>
          <w:tcPr>
            <w:tcW w:w="1252" w:type="dxa"/>
            <w:vMerge/>
          </w:tcPr>
          <w:p w14:paraId="763324F1" w14:textId="77777777" w:rsidR="0072593D" w:rsidRPr="00D2604E" w:rsidRDefault="0072593D" w:rsidP="00C65539">
            <w:pPr>
              <w:pStyle w:val="naisf"/>
              <w:spacing w:before="0" w:beforeAutospacing="0" w:after="0" w:afterAutospacing="0"/>
              <w:jc w:val="center"/>
            </w:pPr>
          </w:p>
        </w:tc>
        <w:tc>
          <w:tcPr>
            <w:tcW w:w="1503" w:type="dxa"/>
          </w:tcPr>
          <w:p w14:paraId="231D1CDA"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2EE88EDE"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2ABDB2EA" w14:textId="77777777" w:rsidR="0072593D" w:rsidRPr="00D2604E" w:rsidRDefault="0072593D" w:rsidP="00C65539">
            <w:pPr>
              <w:pStyle w:val="naisf"/>
              <w:spacing w:before="0" w:beforeAutospacing="0" w:after="0" w:afterAutospacing="0"/>
              <w:jc w:val="center"/>
            </w:pPr>
            <w:r w:rsidRPr="00D2604E">
              <w:t>0</w:t>
            </w:r>
          </w:p>
        </w:tc>
        <w:tc>
          <w:tcPr>
            <w:tcW w:w="1639" w:type="dxa"/>
          </w:tcPr>
          <w:p w14:paraId="4A8593CC" w14:textId="77777777" w:rsidR="0072593D" w:rsidRPr="00D2604E" w:rsidRDefault="0072593D" w:rsidP="00C65539">
            <w:pPr>
              <w:pStyle w:val="naisf"/>
              <w:spacing w:before="0" w:beforeAutospacing="0" w:after="0" w:afterAutospacing="0"/>
              <w:jc w:val="center"/>
            </w:pPr>
            <w:r w:rsidRPr="00D2604E">
              <w:t>0</w:t>
            </w:r>
          </w:p>
        </w:tc>
      </w:tr>
      <w:tr w:rsidR="0072593D" w:rsidRPr="00D2604E" w14:paraId="29219F2F" w14:textId="77777777" w:rsidTr="006547C9">
        <w:trPr>
          <w:trHeight w:val="556"/>
          <w:jc w:val="center"/>
        </w:trPr>
        <w:tc>
          <w:tcPr>
            <w:tcW w:w="3162" w:type="dxa"/>
          </w:tcPr>
          <w:p w14:paraId="3AA7D5C9" w14:textId="77777777" w:rsidR="0072593D" w:rsidRPr="00D2604E" w:rsidRDefault="0072593D" w:rsidP="00C65539">
            <w:pPr>
              <w:spacing w:after="0" w:line="240" w:lineRule="auto"/>
              <w:rPr>
                <w:rFonts w:ascii="Times New Roman" w:hAnsi="Times New Roman" w:cs="Times New Roman"/>
                <w:sz w:val="24"/>
                <w:szCs w:val="24"/>
              </w:rPr>
            </w:pPr>
            <w:r w:rsidRPr="00D2604E">
              <w:rPr>
                <w:rFonts w:ascii="Times New Roman" w:hAnsi="Times New Roman" w:cs="Times New Roman"/>
                <w:sz w:val="24"/>
                <w:szCs w:val="24"/>
              </w:rPr>
              <w:t>5. Precizēta finansiālā ietekme:</w:t>
            </w:r>
          </w:p>
        </w:tc>
        <w:tc>
          <w:tcPr>
            <w:tcW w:w="1252" w:type="dxa"/>
            <w:vMerge w:val="restart"/>
          </w:tcPr>
          <w:p w14:paraId="53C14900" w14:textId="77777777" w:rsidR="0072593D" w:rsidRPr="00D2604E" w:rsidRDefault="0072593D" w:rsidP="00C65539">
            <w:pPr>
              <w:pStyle w:val="naisf"/>
              <w:spacing w:before="0" w:beforeAutospacing="0" w:after="0" w:afterAutospacing="0"/>
              <w:jc w:val="center"/>
            </w:pPr>
            <w:r w:rsidRPr="00D2604E">
              <w:t>X</w:t>
            </w:r>
          </w:p>
        </w:tc>
        <w:tc>
          <w:tcPr>
            <w:tcW w:w="1503" w:type="dxa"/>
          </w:tcPr>
          <w:p w14:paraId="391A6728"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44F4416C"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697EA88B" w14:textId="77777777" w:rsidR="0072593D" w:rsidRPr="00D2604E" w:rsidRDefault="0072593D" w:rsidP="00C65539">
            <w:pPr>
              <w:pStyle w:val="naisf"/>
              <w:spacing w:before="0" w:beforeAutospacing="0" w:after="0" w:afterAutospacing="0"/>
              <w:jc w:val="center"/>
            </w:pPr>
            <w:r w:rsidRPr="00D2604E">
              <w:t>0</w:t>
            </w:r>
          </w:p>
        </w:tc>
        <w:tc>
          <w:tcPr>
            <w:tcW w:w="1639" w:type="dxa"/>
          </w:tcPr>
          <w:p w14:paraId="3B14D44F" w14:textId="77777777" w:rsidR="0072593D" w:rsidRPr="00D2604E" w:rsidRDefault="0072593D" w:rsidP="00C65539">
            <w:pPr>
              <w:pStyle w:val="naisf"/>
              <w:spacing w:before="0" w:beforeAutospacing="0" w:after="0" w:afterAutospacing="0"/>
              <w:jc w:val="center"/>
            </w:pPr>
            <w:r w:rsidRPr="00D2604E">
              <w:t>0</w:t>
            </w:r>
          </w:p>
        </w:tc>
      </w:tr>
      <w:tr w:rsidR="0072593D" w:rsidRPr="00D2604E" w14:paraId="6EF70FA4" w14:textId="77777777" w:rsidTr="006547C9">
        <w:trPr>
          <w:trHeight w:val="541"/>
          <w:jc w:val="center"/>
        </w:trPr>
        <w:tc>
          <w:tcPr>
            <w:tcW w:w="3162" w:type="dxa"/>
          </w:tcPr>
          <w:p w14:paraId="09E4A8AB" w14:textId="77777777" w:rsidR="0072593D" w:rsidRPr="00D2604E" w:rsidRDefault="0072593D" w:rsidP="00C65539">
            <w:pPr>
              <w:spacing w:after="0" w:line="240" w:lineRule="auto"/>
              <w:rPr>
                <w:rFonts w:ascii="Times New Roman" w:hAnsi="Times New Roman" w:cs="Times New Roman"/>
                <w:sz w:val="24"/>
                <w:szCs w:val="24"/>
              </w:rPr>
            </w:pPr>
            <w:r w:rsidRPr="00D2604E">
              <w:rPr>
                <w:rFonts w:ascii="Times New Roman" w:hAnsi="Times New Roman" w:cs="Times New Roman"/>
                <w:sz w:val="24"/>
                <w:szCs w:val="24"/>
              </w:rPr>
              <w:t>5.1. valsts pamatbudžets</w:t>
            </w:r>
          </w:p>
        </w:tc>
        <w:tc>
          <w:tcPr>
            <w:tcW w:w="1252" w:type="dxa"/>
            <w:vMerge/>
            <w:vAlign w:val="center"/>
          </w:tcPr>
          <w:p w14:paraId="24274C63" w14:textId="77777777" w:rsidR="0072593D" w:rsidRPr="00D2604E" w:rsidRDefault="0072593D" w:rsidP="00C65539">
            <w:pPr>
              <w:pStyle w:val="naisf"/>
              <w:spacing w:before="0" w:beforeAutospacing="0" w:after="0" w:afterAutospacing="0"/>
              <w:jc w:val="center"/>
            </w:pPr>
          </w:p>
        </w:tc>
        <w:tc>
          <w:tcPr>
            <w:tcW w:w="1503" w:type="dxa"/>
          </w:tcPr>
          <w:p w14:paraId="12AA4883"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29AC7533"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5818F46D" w14:textId="77777777" w:rsidR="0072593D" w:rsidRPr="00D2604E" w:rsidRDefault="0072593D" w:rsidP="00C65539">
            <w:pPr>
              <w:pStyle w:val="naisf"/>
              <w:spacing w:before="0" w:beforeAutospacing="0" w:after="0" w:afterAutospacing="0"/>
              <w:jc w:val="center"/>
            </w:pPr>
            <w:r w:rsidRPr="00D2604E">
              <w:t>0</w:t>
            </w:r>
          </w:p>
        </w:tc>
        <w:tc>
          <w:tcPr>
            <w:tcW w:w="1639" w:type="dxa"/>
          </w:tcPr>
          <w:p w14:paraId="5065DDB4" w14:textId="77777777" w:rsidR="0072593D" w:rsidRPr="00D2604E" w:rsidRDefault="0072593D" w:rsidP="00C65539">
            <w:pPr>
              <w:pStyle w:val="naisf"/>
              <w:spacing w:before="0" w:beforeAutospacing="0" w:after="0" w:afterAutospacing="0"/>
              <w:jc w:val="center"/>
            </w:pPr>
            <w:r w:rsidRPr="00D2604E">
              <w:t>0</w:t>
            </w:r>
          </w:p>
        </w:tc>
      </w:tr>
      <w:tr w:rsidR="0072593D" w:rsidRPr="00D2604E" w14:paraId="033527DF" w14:textId="77777777" w:rsidTr="006547C9">
        <w:trPr>
          <w:trHeight w:val="556"/>
          <w:jc w:val="center"/>
        </w:trPr>
        <w:tc>
          <w:tcPr>
            <w:tcW w:w="3162" w:type="dxa"/>
          </w:tcPr>
          <w:p w14:paraId="171FEAD6" w14:textId="77777777" w:rsidR="0072593D" w:rsidRPr="00D2604E" w:rsidRDefault="0072593D" w:rsidP="00C65539">
            <w:pPr>
              <w:spacing w:after="0" w:line="240" w:lineRule="auto"/>
              <w:rPr>
                <w:rFonts w:ascii="Times New Roman" w:hAnsi="Times New Roman" w:cs="Times New Roman"/>
                <w:sz w:val="24"/>
                <w:szCs w:val="24"/>
              </w:rPr>
            </w:pPr>
            <w:r w:rsidRPr="00D2604E">
              <w:rPr>
                <w:rFonts w:ascii="Times New Roman" w:hAnsi="Times New Roman" w:cs="Times New Roman"/>
                <w:sz w:val="24"/>
                <w:szCs w:val="24"/>
              </w:rPr>
              <w:t>5.2. speciālais budžets</w:t>
            </w:r>
          </w:p>
        </w:tc>
        <w:tc>
          <w:tcPr>
            <w:tcW w:w="1252" w:type="dxa"/>
            <w:vMerge/>
            <w:vAlign w:val="center"/>
          </w:tcPr>
          <w:p w14:paraId="3E80C8B8" w14:textId="77777777" w:rsidR="0072593D" w:rsidRPr="00D2604E" w:rsidRDefault="0072593D" w:rsidP="00C65539">
            <w:pPr>
              <w:pStyle w:val="naisf"/>
              <w:spacing w:before="0" w:beforeAutospacing="0" w:after="0" w:afterAutospacing="0"/>
              <w:jc w:val="center"/>
            </w:pPr>
          </w:p>
        </w:tc>
        <w:tc>
          <w:tcPr>
            <w:tcW w:w="1503" w:type="dxa"/>
          </w:tcPr>
          <w:p w14:paraId="6DA0FE6D"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544D95A8"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3F7323D3" w14:textId="77777777" w:rsidR="0072593D" w:rsidRPr="00D2604E" w:rsidRDefault="0072593D" w:rsidP="00C65539">
            <w:pPr>
              <w:pStyle w:val="naisf"/>
              <w:spacing w:before="0" w:beforeAutospacing="0" w:after="0" w:afterAutospacing="0"/>
              <w:jc w:val="center"/>
            </w:pPr>
            <w:r w:rsidRPr="00D2604E">
              <w:t>0</w:t>
            </w:r>
          </w:p>
        </w:tc>
        <w:tc>
          <w:tcPr>
            <w:tcW w:w="1639" w:type="dxa"/>
          </w:tcPr>
          <w:p w14:paraId="3F322EAB" w14:textId="77777777" w:rsidR="0072593D" w:rsidRPr="00D2604E" w:rsidRDefault="0072593D" w:rsidP="00C65539">
            <w:pPr>
              <w:pStyle w:val="naisf"/>
              <w:spacing w:before="0" w:beforeAutospacing="0" w:after="0" w:afterAutospacing="0"/>
              <w:jc w:val="center"/>
            </w:pPr>
            <w:r w:rsidRPr="00D2604E">
              <w:t>0</w:t>
            </w:r>
          </w:p>
        </w:tc>
      </w:tr>
      <w:tr w:rsidR="0072593D" w:rsidRPr="00D2604E" w14:paraId="305F592C" w14:textId="77777777" w:rsidTr="006547C9">
        <w:trPr>
          <w:trHeight w:val="541"/>
          <w:jc w:val="center"/>
        </w:trPr>
        <w:tc>
          <w:tcPr>
            <w:tcW w:w="3162" w:type="dxa"/>
          </w:tcPr>
          <w:p w14:paraId="29475002" w14:textId="77777777" w:rsidR="0072593D" w:rsidRPr="00D2604E" w:rsidRDefault="0072593D" w:rsidP="00C65539">
            <w:pPr>
              <w:spacing w:after="0" w:line="240" w:lineRule="auto"/>
              <w:rPr>
                <w:rFonts w:ascii="Times New Roman" w:hAnsi="Times New Roman" w:cs="Times New Roman"/>
                <w:sz w:val="24"/>
                <w:szCs w:val="24"/>
              </w:rPr>
            </w:pPr>
            <w:r w:rsidRPr="00D2604E">
              <w:rPr>
                <w:rFonts w:ascii="Times New Roman" w:hAnsi="Times New Roman" w:cs="Times New Roman"/>
                <w:sz w:val="24"/>
                <w:szCs w:val="24"/>
              </w:rPr>
              <w:lastRenderedPageBreak/>
              <w:t xml:space="preserve">5.3. pašvaldību budžets </w:t>
            </w:r>
          </w:p>
        </w:tc>
        <w:tc>
          <w:tcPr>
            <w:tcW w:w="1252" w:type="dxa"/>
            <w:vMerge/>
            <w:vAlign w:val="center"/>
          </w:tcPr>
          <w:p w14:paraId="2FD526D6" w14:textId="77777777" w:rsidR="0072593D" w:rsidRPr="00D2604E" w:rsidRDefault="0072593D" w:rsidP="00C65539">
            <w:pPr>
              <w:pStyle w:val="naisf"/>
              <w:spacing w:before="0" w:beforeAutospacing="0" w:after="0" w:afterAutospacing="0"/>
              <w:jc w:val="center"/>
            </w:pPr>
          </w:p>
        </w:tc>
        <w:tc>
          <w:tcPr>
            <w:tcW w:w="1503" w:type="dxa"/>
          </w:tcPr>
          <w:p w14:paraId="1F3F9C83"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66640CFA" w14:textId="77777777" w:rsidR="0072593D" w:rsidRPr="00D2604E" w:rsidRDefault="0072593D" w:rsidP="00C65539">
            <w:pPr>
              <w:pStyle w:val="naisf"/>
              <w:spacing w:before="0" w:beforeAutospacing="0" w:after="0" w:afterAutospacing="0"/>
              <w:jc w:val="center"/>
            </w:pPr>
            <w:r w:rsidRPr="00D2604E">
              <w:t>0</w:t>
            </w:r>
          </w:p>
        </w:tc>
        <w:tc>
          <w:tcPr>
            <w:tcW w:w="1223" w:type="dxa"/>
          </w:tcPr>
          <w:p w14:paraId="2752C649" w14:textId="77777777" w:rsidR="0072593D" w:rsidRPr="00D2604E" w:rsidRDefault="0072593D" w:rsidP="00C65539">
            <w:pPr>
              <w:pStyle w:val="naisf"/>
              <w:spacing w:before="0" w:beforeAutospacing="0" w:after="0" w:afterAutospacing="0"/>
              <w:jc w:val="center"/>
            </w:pPr>
            <w:r w:rsidRPr="00D2604E">
              <w:t>0</w:t>
            </w:r>
          </w:p>
        </w:tc>
        <w:tc>
          <w:tcPr>
            <w:tcW w:w="1639" w:type="dxa"/>
          </w:tcPr>
          <w:p w14:paraId="2D8DB4D7" w14:textId="77777777" w:rsidR="0072593D" w:rsidRPr="00D2604E" w:rsidRDefault="0072593D" w:rsidP="00C65539">
            <w:pPr>
              <w:pStyle w:val="naisf"/>
              <w:spacing w:before="0" w:beforeAutospacing="0" w:after="0" w:afterAutospacing="0"/>
              <w:jc w:val="center"/>
            </w:pPr>
            <w:r w:rsidRPr="00D2604E">
              <w:t>0</w:t>
            </w:r>
          </w:p>
        </w:tc>
      </w:tr>
      <w:tr w:rsidR="0072593D" w:rsidRPr="00D2604E" w14:paraId="782D4B76" w14:textId="77777777" w:rsidTr="006547C9">
        <w:trPr>
          <w:trHeight w:val="1489"/>
          <w:jc w:val="center"/>
        </w:trPr>
        <w:tc>
          <w:tcPr>
            <w:tcW w:w="3162" w:type="dxa"/>
          </w:tcPr>
          <w:p w14:paraId="54ECC83F" w14:textId="4E4D4AF2" w:rsidR="0072593D" w:rsidRPr="00D2604E" w:rsidRDefault="00C65539" w:rsidP="00C65539">
            <w:pPr>
              <w:spacing w:after="0" w:line="240" w:lineRule="auto"/>
              <w:jc w:val="both"/>
              <w:rPr>
                <w:rFonts w:ascii="Times New Roman" w:hAnsi="Times New Roman" w:cs="Times New Roman"/>
                <w:sz w:val="24"/>
                <w:szCs w:val="24"/>
              </w:rPr>
            </w:pPr>
            <w:r w:rsidRPr="00D2604E">
              <w:rPr>
                <w:rFonts w:ascii="Times New Roman" w:hAnsi="Times New Roman" w:cs="Times New Roman"/>
                <w:sz w:val="24"/>
                <w:szCs w:val="24"/>
              </w:rPr>
              <w:t xml:space="preserve">6. </w:t>
            </w:r>
            <w:r w:rsidR="0072593D" w:rsidRPr="00D2604E">
              <w:rPr>
                <w:rFonts w:ascii="Times New Roman" w:hAnsi="Times New Roman" w:cs="Times New Roman"/>
                <w:sz w:val="24"/>
                <w:szCs w:val="24"/>
              </w:rPr>
              <w:t>Detalizēts ieņēmumu</w:t>
            </w:r>
            <w:r w:rsidRPr="00D2604E">
              <w:rPr>
                <w:rFonts w:ascii="Times New Roman" w:hAnsi="Times New Roman" w:cs="Times New Roman"/>
                <w:sz w:val="24"/>
                <w:szCs w:val="24"/>
              </w:rPr>
              <w:t xml:space="preserve"> un izdevumu aprēķins (ja nepie</w:t>
            </w:r>
            <w:r w:rsidR="0072593D" w:rsidRPr="00D2604E">
              <w:rPr>
                <w:rFonts w:ascii="Times New Roman" w:hAnsi="Times New Roman" w:cs="Times New Roman"/>
                <w:sz w:val="24"/>
                <w:szCs w:val="24"/>
              </w:rPr>
              <w:t xml:space="preserve">ciešams, detalizētu ieņēmumu un izdevumu </w:t>
            </w:r>
            <w:r w:rsidRPr="00D2604E">
              <w:rPr>
                <w:rFonts w:ascii="Times New Roman" w:hAnsi="Times New Roman" w:cs="Times New Roman"/>
                <w:sz w:val="24"/>
                <w:szCs w:val="24"/>
              </w:rPr>
              <w:t>aprēķinu var pie</w:t>
            </w:r>
            <w:r w:rsidR="0072593D" w:rsidRPr="00D2604E">
              <w:rPr>
                <w:rFonts w:ascii="Times New Roman" w:hAnsi="Times New Roman" w:cs="Times New Roman"/>
                <w:sz w:val="24"/>
                <w:szCs w:val="24"/>
              </w:rPr>
              <w:t>vienot anotācijas pielikumā):</w:t>
            </w:r>
          </w:p>
        </w:tc>
        <w:tc>
          <w:tcPr>
            <w:tcW w:w="6840" w:type="dxa"/>
            <w:gridSpan w:val="5"/>
            <w:vAlign w:val="center"/>
          </w:tcPr>
          <w:p w14:paraId="1ACAFBDF" w14:textId="482DBC49" w:rsidR="0072593D" w:rsidRPr="00D2604E" w:rsidRDefault="0072593D" w:rsidP="00C65539">
            <w:pPr>
              <w:pStyle w:val="naisf"/>
              <w:spacing w:before="0" w:beforeAutospacing="0" w:after="0" w:afterAutospacing="0"/>
            </w:pPr>
            <w:r w:rsidRPr="00D2604E">
              <w:t>Nav</w:t>
            </w:r>
          </w:p>
        </w:tc>
      </w:tr>
      <w:tr w:rsidR="0072593D" w:rsidRPr="00D2604E" w14:paraId="7496D182" w14:textId="77777777" w:rsidTr="006547C9">
        <w:trPr>
          <w:trHeight w:val="556"/>
          <w:jc w:val="center"/>
        </w:trPr>
        <w:tc>
          <w:tcPr>
            <w:tcW w:w="3162" w:type="dxa"/>
          </w:tcPr>
          <w:p w14:paraId="7CB4E992" w14:textId="0624C65A" w:rsidR="0072593D" w:rsidRPr="00D2604E" w:rsidRDefault="00C65539" w:rsidP="00C65539">
            <w:pPr>
              <w:spacing w:after="0" w:line="240" w:lineRule="auto"/>
              <w:jc w:val="both"/>
              <w:rPr>
                <w:rFonts w:ascii="Times New Roman" w:hAnsi="Times New Roman" w:cs="Times New Roman"/>
                <w:sz w:val="24"/>
                <w:szCs w:val="24"/>
              </w:rPr>
            </w:pPr>
            <w:r w:rsidRPr="00D2604E">
              <w:rPr>
                <w:rFonts w:ascii="Times New Roman" w:hAnsi="Times New Roman" w:cs="Times New Roman"/>
                <w:sz w:val="24"/>
                <w:szCs w:val="24"/>
              </w:rPr>
              <w:t xml:space="preserve">6.1. </w:t>
            </w:r>
            <w:r w:rsidR="0072593D" w:rsidRPr="00D2604E">
              <w:rPr>
                <w:rFonts w:ascii="Times New Roman" w:hAnsi="Times New Roman" w:cs="Times New Roman"/>
                <w:sz w:val="24"/>
                <w:szCs w:val="24"/>
              </w:rPr>
              <w:t>detalizēts ieņēmumu aprēķins</w:t>
            </w:r>
          </w:p>
        </w:tc>
        <w:tc>
          <w:tcPr>
            <w:tcW w:w="6840" w:type="dxa"/>
            <w:gridSpan w:val="5"/>
          </w:tcPr>
          <w:p w14:paraId="4371820C" w14:textId="4EC1A211" w:rsidR="0072593D" w:rsidRPr="00D2604E" w:rsidRDefault="0072593D" w:rsidP="00C65539">
            <w:pPr>
              <w:pStyle w:val="naisf"/>
              <w:spacing w:before="0" w:beforeAutospacing="0" w:after="0" w:afterAutospacing="0"/>
              <w:jc w:val="both"/>
            </w:pPr>
          </w:p>
        </w:tc>
      </w:tr>
      <w:tr w:rsidR="0072593D" w:rsidRPr="00D2604E" w14:paraId="23E8CC99" w14:textId="77777777" w:rsidTr="006547C9">
        <w:trPr>
          <w:trHeight w:val="541"/>
          <w:jc w:val="center"/>
        </w:trPr>
        <w:tc>
          <w:tcPr>
            <w:tcW w:w="3162" w:type="dxa"/>
          </w:tcPr>
          <w:p w14:paraId="58F06F8C" w14:textId="77777777" w:rsidR="0072593D" w:rsidRPr="00D2604E" w:rsidRDefault="0072593D" w:rsidP="00C65539">
            <w:pPr>
              <w:spacing w:after="0" w:line="240" w:lineRule="auto"/>
              <w:jc w:val="both"/>
              <w:rPr>
                <w:rFonts w:ascii="Times New Roman" w:hAnsi="Times New Roman" w:cs="Times New Roman"/>
                <w:sz w:val="24"/>
                <w:szCs w:val="24"/>
              </w:rPr>
            </w:pPr>
            <w:r w:rsidRPr="00D2604E">
              <w:rPr>
                <w:rFonts w:ascii="Times New Roman" w:hAnsi="Times New Roman" w:cs="Times New Roman"/>
                <w:sz w:val="24"/>
                <w:szCs w:val="24"/>
              </w:rPr>
              <w:t>6.2. detalizēts izdevumu aprēķins</w:t>
            </w:r>
          </w:p>
        </w:tc>
        <w:tc>
          <w:tcPr>
            <w:tcW w:w="6840" w:type="dxa"/>
            <w:gridSpan w:val="5"/>
          </w:tcPr>
          <w:p w14:paraId="1AF42980" w14:textId="450793E5" w:rsidR="0072593D" w:rsidRPr="00D2604E" w:rsidRDefault="0072593D" w:rsidP="00C65539">
            <w:pPr>
              <w:pStyle w:val="naisf"/>
              <w:spacing w:before="0" w:beforeAutospacing="0" w:after="0" w:afterAutospacing="0"/>
              <w:jc w:val="both"/>
            </w:pPr>
          </w:p>
        </w:tc>
      </w:tr>
      <w:tr w:rsidR="0072593D" w:rsidRPr="00D2604E" w14:paraId="56CC6F79" w14:textId="77777777" w:rsidTr="006547C9">
        <w:trPr>
          <w:trHeight w:val="557"/>
          <w:jc w:val="center"/>
        </w:trPr>
        <w:tc>
          <w:tcPr>
            <w:tcW w:w="3162" w:type="dxa"/>
          </w:tcPr>
          <w:p w14:paraId="34FDCCCB" w14:textId="77777777" w:rsidR="0072593D" w:rsidRPr="00D2604E" w:rsidRDefault="0072593D" w:rsidP="00C65539">
            <w:pPr>
              <w:spacing w:after="0" w:line="240" w:lineRule="auto"/>
              <w:jc w:val="both"/>
              <w:rPr>
                <w:rFonts w:ascii="Times New Roman" w:hAnsi="Times New Roman" w:cs="Times New Roman"/>
                <w:sz w:val="24"/>
                <w:szCs w:val="24"/>
                <w:highlight w:val="yellow"/>
              </w:rPr>
            </w:pPr>
            <w:r w:rsidRPr="00D2604E">
              <w:rPr>
                <w:rFonts w:ascii="Times New Roman" w:hAnsi="Times New Roman" w:cs="Times New Roman"/>
                <w:sz w:val="24"/>
                <w:szCs w:val="24"/>
              </w:rPr>
              <w:t>7. Cita informācija</w:t>
            </w:r>
          </w:p>
        </w:tc>
        <w:tc>
          <w:tcPr>
            <w:tcW w:w="6840" w:type="dxa"/>
            <w:gridSpan w:val="5"/>
          </w:tcPr>
          <w:p w14:paraId="1495EDB2" w14:textId="0AB0F234" w:rsidR="0072593D" w:rsidRPr="00D2604E" w:rsidRDefault="00AB79D0" w:rsidP="00047EF3">
            <w:pPr>
              <w:spacing w:after="0" w:line="240" w:lineRule="auto"/>
              <w:ind w:right="52"/>
              <w:jc w:val="both"/>
              <w:rPr>
                <w:rFonts w:ascii="Times New Roman" w:hAnsi="Times New Roman" w:cs="Times New Roman"/>
                <w:bCs/>
                <w:iCs/>
                <w:sz w:val="24"/>
                <w:szCs w:val="24"/>
                <w:highlight w:val="yellow"/>
              </w:rPr>
            </w:pPr>
            <w:r w:rsidRPr="00D2604E">
              <w:rPr>
                <w:rFonts w:ascii="Times New Roman" w:hAnsi="Times New Roman" w:cs="Times New Roman"/>
                <w:bCs/>
                <w:iCs/>
                <w:sz w:val="24"/>
                <w:szCs w:val="24"/>
              </w:rPr>
              <w:t>Elektroniskās muitas datu apstrādes sistēmas importa funkcionalitātes</w:t>
            </w:r>
            <w:r w:rsidR="000462A0" w:rsidRPr="00D2604E">
              <w:rPr>
                <w:rFonts w:ascii="Times New Roman" w:hAnsi="Times New Roman" w:cs="Times New Roman"/>
                <w:bCs/>
                <w:iCs/>
                <w:sz w:val="24"/>
                <w:szCs w:val="24"/>
              </w:rPr>
              <w:t xml:space="preserve">, kas ietver arī vienkāršotās procedūras, </w:t>
            </w:r>
            <w:r w:rsidRPr="00D2604E">
              <w:rPr>
                <w:rFonts w:ascii="Times New Roman" w:hAnsi="Times New Roman" w:cs="Times New Roman"/>
                <w:bCs/>
                <w:iCs/>
                <w:sz w:val="24"/>
                <w:szCs w:val="24"/>
              </w:rPr>
              <w:t>izstrād</w:t>
            </w:r>
            <w:r w:rsidR="00775FFD" w:rsidRPr="00D2604E">
              <w:rPr>
                <w:rFonts w:ascii="Times New Roman" w:hAnsi="Times New Roman" w:cs="Times New Roman"/>
                <w:bCs/>
                <w:iCs/>
                <w:sz w:val="24"/>
                <w:szCs w:val="24"/>
              </w:rPr>
              <w:t>e fin</w:t>
            </w:r>
            <w:r w:rsidR="000462A0" w:rsidRPr="00D2604E">
              <w:rPr>
                <w:rFonts w:ascii="Times New Roman" w:hAnsi="Times New Roman" w:cs="Times New Roman"/>
                <w:bCs/>
                <w:iCs/>
                <w:sz w:val="24"/>
                <w:szCs w:val="24"/>
              </w:rPr>
              <w:t>an</w:t>
            </w:r>
            <w:r w:rsidR="00775FFD" w:rsidRPr="00D2604E">
              <w:rPr>
                <w:rFonts w:ascii="Times New Roman" w:hAnsi="Times New Roman" w:cs="Times New Roman"/>
                <w:bCs/>
                <w:iCs/>
                <w:sz w:val="24"/>
                <w:szCs w:val="24"/>
              </w:rPr>
              <w:t>sēta</w:t>
            </w:r>
            <w:r w:rsidRPr="00D2604E">
              <w:rPr>
                <w:rFonts w:ascii="Times New Roman" w:hAnsi="Times New Roman" w:cs="Times New Roman"/>
                <w:bCs/>
                <w:iCs/>
                <w:sz w:val="24"/>
                <w:szCs w:val="24"/>
              </w:rPr>
              <w:t xml:space="preserve"> </w:t>
            </w:r>
            <w:r w:rsidR="00775FFD" w:rsidRPr="00D2604E">
              <w:rPr>
                <w:rFonts w:ascii="Times New Roman" w:hAnsi="Times New Roman" w:cs="Times New Roman"/>
                <w:bCs/>
                <w:iCs/>
                <w:sz w:val="24"/>
                <w:szCs w:val="24"/>
              </w:rPr>
              <w:t xml:space="preserve">Eiropas reģionālās attīstības fonda (ERAF) projekta ietvaros laikā no 2011.līdz 2014.gadam </w:t>
            </w:r>
            <w:r w:rsidR="000462A0" w:rsidRPr="00D2604E">
              <w:rPr>
                <w:rFonts w:ascii="Times New Roman" w:hAnsi="Times New Roman" w:cs="Times New Roman"/>
                <w:bCs/>
                <w:iCs/>
                <w:sz w:val="24"/>
                <w:szCs w:val="24"/>
              </w:rPr>
              <w:t xml:space="preserve">investējot </w:t>
            </w:r>
            <w:r w:rsidR="00C44FCA" w:rsidRPr="00D2604E">
              <w:rPr>
                <w:rFonts w:ascii="Times New Roman" w:hAnsi="Times New Roman" w:cs="Times New Roman"/>
                <w:bCs/>
                <w:iCs/>
                <w:sz w:val="24"/>
                <w:szCs w:val="24"/>
              </w:rPr>
              <w:t>vairāk</w:t>
            </w:r>
            <w:r w:rsidR="00775FFD" w:rsidRPr="00D2604E">
              <w:rPr>
                <w:rFonts w:ascii="Times New Roman" w:hAnsi="Times New Roman" w:cs="Times New Roman"/>
                <w:bCs/>
                <w:iCs/>
                <w:sz w:val="24"/>
                <w:szCs w:val="24"/>
              </w:rPr>
              <w:t xml:space="preserve"> k</w:t>
            </w:r>
            <w:r w:rsidR="000462A0" w:rsidRPr="00D2604E">
              <w:rPr>
                <w:rFonts w:ascii="Times New Roman" w:hAnsi="Times New Roman" w:cs="Times New Roman"/>
                <w:bCs/>
                <w:iCs/>
                <w:sz w:val="24"/>
                <w:szCs w:val="24"/>
              </w:rPr>
              <w:t>ā 3 miljonus</w:t>
            </w:r>
            <w:r w:rsidR="00775FFD" w:rsidRPr="00D2604E">
              <w:rPr>
                <w:rFonts w:ascii="Times New Roman" w:hAnsi="Times New Roman" w:cs="Times New Roman"/>
                <w:bCs/>
                <w:iCs/>
                <w:sz w:val="24"/>
                <w:szCs w:val="24"/>
              </w:rPr>
              <w:t xml:space="preserve"> </w:t>
            </w:r>
            <w:r w:rsidR="000462A0" w:rsidRPr="00D2604E">
              <w:rPr>
                <w:rFonts w:ascii="Times New Roman" w:hAnsi="Times New Roman" w:cs="Times New Roman"/>
                <w:bCs/>
                <w:iCs/>
                <w:sz w:val="24"/>
                <w:szCs w:val="24"/>
              </w:rPr>
              <w:t xml:space="preserve">(3277000) </w:t>
            </w:r>
            <w:proofErr w:type="spellStart"/>
            <w:r w:rsidR="00775FFD" w:rsidRPr="00D2604E">
              <w:rPr>
                <w:rFonts w:ascii="Times New Roman" w:hAnsi="Times New Roman" w:cs="Times New Roman"/>
                <w:bCs/>
                <w:i/>
                <w:sz w:val="24"/>
                <w:szCs w:val="24"/>
              </w:rPr>
              <w:t>euro</w:t>
            </w:r>
            <w:proofErr w:type="spellEnd"/>
            <w:r w:rsidR="000462A0" w:rsidRPr="00D2604E">
              <w:rPr>
                <w:rFonts w:ascii="Times New Roman" w:hAnsi="Times New Roman" w:cs="Times New Roman"/>
                <w:bCs/>
                <w:iCs/>
                <w:sz w:val="24"/>
                <w:szCs w:val="24"/>
              </w:rPr>
              <w:t>.</w:t>
            </w:r>
          </w:p>
        </w:tc>
      </w:tr>
    </w:tbl>
    <w:p w14:paraId="1124D067" w14:textId="77777777" w:rsidR="00827234" w:rsidRPr="005B3F9D" w:rsidRDefault="00827234" w:rsidP="004278EA">
      <w:pPr>
        <w:spacing w:after="0" w:line="240" w:lineRule="auto"/>
        <w:rPr>
          <w:rFonts w:ascii="Times New Roman" w:hAnsi="Times New Roman" w:cs="Times New Roman"/>
          <w:highlight w:val="yellow"/>
        </w:rPr>
      </w:pPr>
    </w:p>
    <w:tbl>
      <w:tblPr>
        <w:tblW w:w="9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6"/>
        <w:gridCol w:w="2594"/>
        <w:gridCol w:w="5822"/>
      </w:tblGrid>
      <w:tr w:rsidR="00DA6C86" w:rsidRPr="00D2604E" w14:paraId="5E93EE0C" w14:textId="77777777" w:rsidTr="006547C9">
        <w:trPr>
          <w:trHeight w:val="461"/>
          <w:jc w:val="center"/>
        </w:trPr>
        <w:tc>
          <w:tcPr>
            <w:tcW w:w="9972" w:type="dxa"/>
            <w:gridSpan w:val="3"/>
            <w:vAlign w:val="center"/>
          </w:tcPr>
          <w:p w14:paraId="7B67F7A2" w14:textId="77777777" w:rsidR="00DA6C86" w:rsidRPr="00D2604E" w:rsidRDefault="00171D36" w:rsidP="004278EA">
            <w:pPr>
              <w:pStyle w:val="naisnod"/>
              <w:spacing w:before="0" w:beforeAutospacing="0" w:after="0" w:afterAutospacing="0"/>
              <w:jc w:val="center"/>
              <w:rPr>
                <w:b/>
              </w:rPr>
            </w:pPr>
            <w:r w:rsidRPr="00D2604E">
              <w:br w:type="page"/>
            </w:r>
            <w:r w:rsidR="00DA6C86" w:rsidRPr="00D2604E">
              <w:rPr>
                <w:b/>
              </w:rPr>
              <w:t>IV. Tiesību akta projekta ietekme uz spēkā esošo tiesību normu sistēmu</w:t>
            </w:r>
          </w:p>
        </w:tc>
      </w:tr>
      <w:tr w:rsidR="00DA6C86" w:rsidRPr="00D2604E" w14:paraId="2DFD0AAA" w14:textId="77777777" w:rsidTr="006547C9">
        <w:trPr>
          <w:jc w:val="center"/>
        </w:trPr>
        <w:tc>
          <w:tcPr>
            <w:tcW w:w="1556" w:type="dxa"/>
          </w:tcPr>
          <w:p w14:paraId="6C2035AC" w14:textId="77777777" w:rsidR="00DA6C86" w:rsidRPr="00D2604E" w:rsidRDefault="00DA6C86" w:rsidP="004278EA">
            <w:pPr>
              <w:pStyle w:val="naiskr"/>
              <w:tabs>
                <w:tab w:val="left" w:pos="2628"/>
              </w:tabs>
              <w:spacing w:before="0" w:beforeAutospacing="0" w:after="0" w:afterAutospacing="0"/>
              <w:jc w:val="both"/>
              <w:rPr>
                <w:iCs/>
              </w:rPr>
            </w:pPr>
            <w:r w:rsidRPr="00D2604E">
              <w:rPr>
                <w:iCs/>
              </w:rPr>
              <w:t>1.</w:t>
            </w:r>
          </w:p>
        </w:tc>
        <w:tc>
          <w:tcPr>
            <w:tcW w:w="2594" w:type="dxa"/>
          </w:tcPr>
          <w:p w14:paraId="2AB7F63B" w14:textId="77777777" w:rsidR="00DA6C86" w:rsidRPr="00D2604E" w:rsidRDefault="00DA6C86" w:rsidP="004278EA">
            <w:pPr>
              <w:pStyle w:val="naiskr"/>
              <w:tabs>
                <w:tab w:val="left" w:pos="2628"/>
              </w:tabs>
              <w:spacing w:before="0" w:beforeAutospacing="0" w:after="0" w:afterAutospacing="0"/>
              <w:jc w:val="both"/>
              <w:rPr>
                <w:iCs/>
              </w:rPr>
            </w:pPr>
            <w:r w:rsidRPr="00D2604E">
              <w:t>Nepieciešamie saistītie tiesību aktu projekti</w:t>
            </w:r>
          </w:p>
        </w:tc>
        <w:tc>
          <w:tcPr>
            <w:tcW w:w="5822" w:type="dxa"/>
          </w:tcPr>
          <w:p w14:paraId="7DBBF042" w14:textId="526714E3" w:rsidR="009169E7" w:rsidRPr="00D2604E" w:rsidRDefault="00757F1E" w:rsidP="00757F1E">
            <w:pPr>
              <w:pStyle w:val="NoSpacing"/>
              <w:spacing w:after="80"/>
              <w:jc w:val="both"/>
              <w:rPr>
                <w:rFonts w:ascii="Times New Roman" w:hAnsi="Times New Roman" w:cs="Times New Roman"/>
                <w:sz w:val="24"/>
                <w:szCs w:val="24"/>
              </w:rPr>
            </w:pPr>
            <w:r w:rsidRPr="00D2604E">
              <w:rPr>
                <w:rFonts w:ascii="Times New Roman" w:hAnsi="Times New Roman" w:cs="Times New Roman"/>
                <w:sz w:val="24"/>
                <w:szCs w:val="24"/>
              </w:rPr>
              <w:t>Ar Ministru kabineta noteikumu projekta spēkā stāšanos spēku jāveic grozījumi Ministru kabineta 2005.gada 9.septembrī noteikumos Nr.669 “Kārtība, kādā muitas iestādes nodrošina Kimberlijas procesa sertifikācijas sistēmas prasību izpildi” 3.punktā.</w:t>
            </w:r>
          </w:p>
        </w:tc>
      </w:tr>
      <w:tr w:rsidR="00DA6C86" w:rsidRPr="00D2604E" w14:paraId="22057264" w14:textId="77777777" w:rsidTr="006547C9">
        <w:trPr>
          <w:trHeight w:val="226"/>
          <w:jc w:val="center"/>
        </w:trPr>
        <w:tc>
          <w:tcPr>
            <w:tcW w:w="1556" w:type="dxa"/>
          </w:tcPr>
          <w:p w14:paraId="5F8EEACE" w14:textId="77777777" w:rsidR="00DA6C86" w:rsidRPr="00D2604E" w:rsidRDefault="00DA6C86" w:rsidP="004278EA">
            <w:pPr>
              <w:pStyle w:val="naiskr"/>
              <w:tabs>
                <w:tab w:val="left" w:pos="2628"/>
              </w:tabs>
              <w:spacing w:before="0" w:beforeAutospacing="0" w:after="0" w:afterAutospacing="0"/>
              <w:jc w:val="both"/>
              <w:rPr>
                <w:iCs/>
              </w:rPr>
            </w:pPr>
            <w:r w:rsidRPr="00D2604E">
              <w:rPr>
                <w:iCs/>
              </w:rPr>
              <w:t>2.</w:t>
            </w:r>
          </w:p>
        </w:tc>
        <w:tc>
          <w:tcPr>
            <w:tcW w:w="2594" w:type="dxa"/>
          </w:tcPr>
          <w:p w14:paraId="08D2D2E1" w14:textId="77777777" w:rsidR="00DA6C86" w:rsidRPr="00D2604E" w:rsidRDefault="00DA6C86" w:rsidP="004278EA">
            <w:pPr>
              <w:pStyle w:val="naiskr"/>
              <w:tabs>
                <w:tab w:val="left" w:pos="2628"/>
              </w:tabs>
              <w:spacing w:before="0" w:beforeAutospacing="0" w:after="0" w:afterAutospacing="0"/>
              <w:jc w:val="both"/>
            </w:pPr>
            <w:r w:rsidRPr="00D2604E">
              <w:t>Atbildīgā institūcija</w:t>
            </w:r>
          </w:p>
        </w:tc>
        <w:tc>
          <w:tcPr>
            <w:tcW w:w="5822" w:type="dxa"/>
          </w:tcPr>
          <w:p w14:paraId="1AF0C6C0" w14:textId="252AC564" w:rsidR="004822D6" w:rsidRPr="00D2604E" w:rsidRDefault="00B865E0" w:rsidP="004278EA">
            <w:pPr>
              <w:shd w:val="clear" w:color="auto" w:fill="FFFFFF"/>
              <w:spacing w:after="0" w:line="240" w:lineRule="auto"/>
              <w:jc w:val="both"/>
              <w:rPr>
                <w:rFonts w:ascii="Times New Roman" w:hAnsi="Times New Roman" w:cs="Times New Roman"/>
                <w:sz w:val="24"/>
                <w:szCs w:val="24"/>
              </w:rPr>
            </w:pPr>
            <w:r w:rsidRPr="00D2604E">
              <w:rPr>
                <w:rFonts w:ascii="Times New Roman" w:hAnsi="Times New Roman" w:cs="Times New Roman"/>
                <w:sz w:val="24"/>
                <w:szCs w:val="24"/>
              </w:rPr>
              <w:t>Finanšu ministrija</w:t>
            </w:r>
            <w:r w:rsidR="00757F1E" w:rsidRPr="00D2604E">
              <w:rPr>
                <w:rFonts w:ascii="Times New Roman" w:hAnsi="Times New Roman" w:cs="Times New Roman"/>
                <w:sz w:val="24"/>
                <w:szCs w:val="24"/>
              </w:rPr>
              <w:t xml:space="preserve"> sadarbībā ar Valsts ieņēmumu dienestu</w:t>
            </w:r>
          </w:p>
        </w:tc>
      </w:tr>
      <w:tr w:rsidR="00DA6C86" w:rsidRPr="00D2604E" w14:paraId="63234507" w14:textId="77777777" w:rsidTr="006547C9">
        <w:trPr>
          <w:jc w:val="center"/>
        </w:trPr>
        <w:tc>
          <w:tcPr>
            <w:tcW w:w="1556" w:type="dxa"/>
          </w:tcPr>
          <w:p w14:paraId="46023A79" w14:textId="77777777" w:rsidR="00DA6C86" w:rsidRPr="00D2604E" w:rsidRDefault="00DA6C86" w:rsidP="004278EA">
            <w:pPr>
              <w:pStyle w:val="naiskr"/>
              <w:tabs>
                <w:tab w:val="left" w:pos="2628"/>
              </w:tabs>
              <w:spacing w:before="0" w:beforeAutospacing="0" w:after="0" w:afterAutospacing="0"/>
              <w:jc w:val="both"/>
              <w:rPr>
                <w:iCs/>
              </w:rPr>
            </w:pPr>
            <w:r w:rsidRPr="00D2604E">
              <w:rPr>
                <w:iCs/>
              </w:rPr>
              <w:t>3.</w:t>
            </w:r>
          </w:p>
        </w:tc>
        <w:tc>
          <w:tcPr>
            <w:tcW w:w="2594" w:type="dxa"/>
          </w:tcPr>
          <w:p w14:paraId="5E8A0D1F" w14:textId="77777777" w:rsidR="00DA6C86" w:rsidRPr="00D2604E" w:rsidRDefault="00DA6C86" w:rsidP="004278EA">
            <w:pPr>
              <w:pStyle w:val="naiskr"/>
              <w:tabs>
                <w:tab w:val="left" w:pos="2628"/>
              </w:tabs>
              <w:spacing w:before="0" w:beforeAutospacing="0" w:after="0" w:afterAutospacing="0"/>
              <w:jc w:val="both"/>
              <w:rPr>
                <w:iCs/>
              </w:rPr>
            </w:pPr>
            <w:r w:rsidRPr="00D2604E">
              <w:t>Cita informācija</w:t>
            </w:r>
          </w:p>
        </w:tc>
        <w:tc>
          <w:tcPr>
            <w:tcW w:w="5822" w:type="dxa"/>
          </w:tcPr>
          <w:p w14:paraId="71263DF1" w14:textId="77777777" w:rsidR="00DA6C86" w:rsidRPr="00D2604E" w:rsidRDefault="007253C1" w:rsidP="004278EA">
            <w:pPr>
              <w:pStyle w:val="naiskr"/>
              <w:tabs>
                <w:tab w:val="left" w:pos="2628"/>
              </w:tabs>
              <w:spacing w:before="0" w:beforeAutospacing="0" w:after="0" w:afterAutospacing="0"/>
              <w:jc w:val="both"/>
              <w:rPr>
                <w:iCs/>
              </w:rPr>
            </w:pPr>
            <w:r w:rsidRPr="00D2604E">
              <w:t>Nav</w:t>
            </w:r>
          </w:p>
        </w:tc>
      </w:tr>
    </w:tbl>
    <w:p w14:paraId="5B1C0EC2" w14:textId="77777777" w:rsidR="005E4388" w:rsidRPr="005B3F9D" w:rsidRDefault="005E4388" w:rsidP="004278EA">
      <w:pPr>
        <w:spacing w:after="0" w:line="240" w:lineRule="auto"/>
        <w:rPr>
          <w:rFonts w:ascii="Times New Roman" w:hAnsi="Times New Roman" w:cs="Times New Roman"/>
        </w:rPr>
      </w:pPr>
    </w:p>
    <w:tbl>
      <w:tblPr>
        <w:tblW w:w="9940"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1177"/>
        <w:gridCol w:w="1948"/>
        <w:gridCol w:w="520"/>
        <w:gridCol w:w="2126"/>
        <w:gridCol w:w="1465"/>
        <w:gridCol w:w="2704"/>
      </w:tblGrid>
      <w:tr w:rsidR="00DA6C86" w:rsidRPr="00D2604E" w14:paraId="665C30B4" w14:textId="77777777" w:rsidTr="006547C9">
        <w:trPr>
          <w:jc w:val="center"/>
        </w:trPr>
        <w:tc>
          <w:tcPr>
            <w:tcW w:w="9940" w:type="dxa"/>
            <w:gridSpan w:val="6"/>
            <w:tcBorders>
              <w:top w:val="outset" w:sz="6" w:space="0" w:color="auto"/>
              <w:left w:val="outset" w:sz="6" w:space="0" w:color="auto"/>
              <w:bottom w:val="outset" w:sz="6" w:space="0" w:color="auto"/>
              <w:right w:val="outset" w:sz="6" w:space="0" w:color="auto"/>
            </w:tcBorders>
            <w:vAlign w:val="center"/>
          </w:tcPr>
          <w:p w14:paraId="5E6F13EC" w14:textId="77777777" w:rsidR="00DA6C86" w:rsidRPr="00D2604E" w:rsidRDefault="00DA6C86" w:rsidP="004278EA">
            <w:pPr>
              <w:spacing w:after="0" w:line="240" w:lineRule="auto"/>
              <w:jc w:val="center"/>
              <w:rPr>
                <w:rFonts w:ascii="Times New Roman" w:hAnsi="Times New Roman" w:cs="Times New Roman"/>
                <w:b/>
                <w:sz w:val="24"/>
                <w:szCs w:val="24"/>
              </w:rPr>
            </w:pPr>
            <w:r w:rsidRPr="00D2604E">
              <w:rPr>
                <w:rFonts w:ascii="Times New Roman" w:hAnsi="Times New Roman" w:cs="Times New Roman"/>
                <w:b/>
                <w:sz w:val="24"/>
                <w:szCs w:val="24"/>
              </w:rPr>
              <w:t>V. Tiesību akta projekta atbilstība Latvijas Republikas starptautiskajām saistībām</w:t>
            </w:r>
          </w:p>
        </w:tc>
      </w:tr>
      <w:tr w:rsidR="00DA6C86" w:rsidRPr="00D2604E" w14:paraId="0052D387" w14:textId="77777777" w:rsidTr="006547C9">
        <w:trPr>
          <w:jc w:val="center"/>
        </w:trPr>
        <w:tc>
          <w:tcPr>
            <w:tcW w:w="1177" w:type="dxa"/>
            <w:tcBorders>
              <w:top w:val="outset" w:sz="6" w:space="0" w:color="auto"/>
              <w:left w:val="outset" w:sz="6" w:space="0" w:color="auto"/>
              <w:bottom w:val="outset" w:sz="6" w:space="0" w:color="auto"/>
              <w:right w:val="outset" w:sz="6" w:space="0" w:color="auto"/>
            </w:tcBorders>
          </w:tcPr>
          <w:p w14:paraId="79C55FC6" w14:textId="77777777" w:rsidR="00DA6C86" w:rsidRPr="00D2604E" w:rsidRDefault="00DA6C86" w:rsidP="004278EA">
            <w:pPr>
              <w:spacing w:after="0" w:line="240" w:lineRule="auto"/>
              <w:ind w:left="57"/>
              <w:rPr>
                <w:rFonts w:ascii="Times New Roman" w:hAnsi="Times New Roman" w:cs="Times New Roman"/>
                <w:sz w:val="24"/>
                <w:szCs w:val="24"/>
              </w:rPr>
            </w:pPr>
            <w:r w:rsidRPr="00D2604E">
              <w:rPr>
                <w:rFonts w:ascii="Times New Roman" w:hAnsi="Times New Roman" w:cs="Times New Roman"/>
                <w:sz w:val="24"/>
                <w:szCs w:val="24"/>
              </w:rPr>
              <w:t>1.</w:t>
            </w:r>
          </w:p>
        </w:tc>
        <w:tc>
          <w:tcPr>
            <w:tcW w:w="2468" w:type="dxa"/>
            <w:gridSpan w:val="2"/>
            <w:tcBorders>
              <w:top w:val="outset" w:sz="6" w:space="0" w:color="auto"/>
              <w:left w:val="outset" w:sz="6" w:space="0" w:color="auto"/>
              <w:bottom w:val="outset" w:sz="6" w:space="0" w:color="auto"/>
              <w:right w:val="outset" w:sz="6" w:space="0" w:color="auto"/>
            </w:tcBorders>
          </w:tcPr>
          <w:p w14:paraId="23F82ED6" w14:textId="77777777" w:rsidR="00DA6C86" w:rsidRPr="00D2604E" w:rsidRDefault="00DA6C86" w:rsidP="004278EA">
            <w:pPr>
              <w:spacing w:after="0" w:line="240" w:lineRule="auto"/>
              <w:ind w:left="57"/>
              <w:rPr>
                <w:rFonts w:ascii="Times New Roman" w:hAnsi="Times New Roman" w:cs="Times New Roman"/>
                <w:sz w:val="24"/>
                <w:szCs w:val="24"/>
              </w:rPr>
            </w:pPr>
            <w:r w:rsidRPr="00D2604E">
              <w:rPr>
                <w:rFonts w:ascii="Times New Roman" w:hAnsi="Times New Roman" w:cs="Times New Roman"/>
                <w:sz w:val="24"/>
                <w:szCs w:val="24"/>
              </w:rPr>
              <w:t>Saistības pret Eiropas Savienību</w:t>
            </w:r>
          </w:p>
        </w:tc>
        <w:tc>
          <w:tcPr>
            <w:tcW w:w="6295" w:type="dxa"/>
            <w:gridSpan w:val="3"/>
            <w:tcBorders>
              <w:top w:val="outset" w:sz="6" w:space="0" w:color="auto"/>
              <w:left w:val="outset" w:sz="6" w:space="0" w:color="auto"/>
              <w:bottom w:val="outset" w:sz="6" w:space="0" w:color="auto"/>
              <w:right w:val="outset" w:sz="6" w:space="0" w:color="auto"/>
            </w:tcBorders>
          </w:tcPr>
          <w:p w14:paraId="66F2812F" w14:textId="30197C66" w:rsidR="0087076D" w:rsidRPr="00D2604E" w:rsidRDefault="00757F1E" w:rsidP="00757F1E">
            <w:pPr>
              <w:pStyle w:val="Default"/>
              <w:ind w:left="108" w:right="129"/>
              <w:jc w:val="both"/>
              <w:rPr>
                <w:rFonts w:ascii="Times New Roman" w:hAnsi="Times New Roman" w:cs="Times New Roman"/>
              </w:rPr>
            </w:pPr>
            <w:r w:rsidRPr="00D2604E">
              <w:rPr>
                <w:rFonts w:ascii="Times New Roman" w:eastAsia="Calibri" w:hAnsi="Times New Roman" w:cs="Times New Roman"/>
              </w:rPr>
              <w:t xml:space="preserve">Komisijas 2008.gada 17.novembra Regulas Nr.1192/2008, ar kuru groza Regulu (EEK) Nr.2454/93, ar ko nosaka īstenošanas noteikumus Padomes Regulai (EEK) Nr.2913/92 par Kopienas Muitas kodeksa izveidi </w:t>
            </w:r>
          </w:p>
        </w:tc>
      </w:tr>
      <w:tr w:rsidR="00DA6C86" w:rsidRPr="00D2604E" w14:paraId="69F6D5A3" w14:textId="77777777" w:rsidTr="006547C9">
        <w:trPr>
          <w:jc w:val="center"/>
        </w:trPr>
        <w:tc>
          <w:tcPr>
            <w:tcW w:w="1177" w:type="dxa"/>
            <w:tcBorders>
              <w:top w:val="outset" w:sz="6" w:space="0" w:color="auto"/>
              <w:left w:val="outset" w:sz="6" w:space="0" w:color="auto"/>
              <w:bottom w:val="outset" w:sz="6" w:space="0" w:color="auto"/>
              <w:right w:val="outset" w:sz="6" w:space="0" w:color="auto"/>
            </w:tcBorders>
          </w:tcPr>
          <w:p w14:paraId="0489814B" w14:textId="60635DAB" w:rsidR="00DA6C86" w:rsidRPr="00D2604E" w:rsidRDefault="00DA6C86" w:rsidP="004278EA">
            <w:pPr>
              <w:spacing w:after="0" w:line="240" w:lineRule="auto"/>
              <w:ind w:left="57"/>
              <w:rPr>
                <w:rFonts w:ascii="Times New Roman" w:hAnsi="Times New Roman" w:cs="Times New Roman"/>
                <w:sz w:val="24"/>
                <w:szCs w:val="24"/>
              </w:rPr>
            </w:pPr>
            <w:r w:rsidRPr="00D2604E">
              <w:rPr>
                <w:rFonts w:ascii="Times New Roman" w:hAnsi="Times New Roman" w:cs="Times New Roman"/>
                <w:sz w:val="24"/>
                <w:szCs w:val="24"/>
              </w:rPr>
              <w:t>2.</w:t>
            </w:r>
          </w:p>
        </w:tc>
        <w:tc>
          <w:tcPr>
            <w:tcW w:w="2468" w:type="dxa"/>
            <w:gridSpan w:val="2"/>
            <w:tcBorders>
              <w:top w:val="outset" w:sz="6" w:space="0" w:color="auto"/>
              <w:left w:val="outset" w:sz="6" w:space="0" w:color="auto"/>
              <w:bottom w:val="outset" w:sz="6" w:space="0" w:color="auto"/>
              <w:right w:val="outset" w:sz="6" w:space="0" w:color="auto"/>
            </w:tcBorders>
          </w:tcPr>
          <w:p w14:paraId="2A31C3E9" w14:textId="77777777" w:rsidR="00DA6C86" w:rsidRPr="00D2604E" w:rsidRDefault="00DA6C86" w:rsidP="004278EA">
            <w:pPr>
              <w:spacing w:after="0" w:line="240" w:lineRule="auto"/>
              <w:ind w:left="57"/>
              <w:rPr>
                <w:rFonts w:ascii="Times New Roman" w:hAnsi="Times New Roman" w:cs="Times New Roman"/>
                <w:sz w:val="24"/>
                <w:szCs w:val="24"/>
              </w:rPr>
            </w:pPr>
            <w:r w:rsidRPr="00D2604E">
              <w:rPr>
                <w:rFonts w:ascii="Times New Roman" w:hAnsi="Times New Roman" w:cs="Times New Roman"/>
                <w:sz w:val="24"/>
                <w:szCs w:val="24"/>
              </w:rPr>
              <w:t>Citas starptautiskās saistības</w:t>
            </w:r>
          </w:p>
        </w:tc>
        <w:tc>
          <w:tcPr>
            <w:tcW w:w="6295" w:type="dxa"/>
            <w:gridSpan w:val="3"/>
            <w:tcBorders>
              <w:top w:val="outset" w:sz="6" w:space="0" w:color="auto"/>
              <w:left w:val="outset" w:sz="6" w:space="0" w:color="auto"/>
              <w:bottom w:val="outset" w:sz="6" w:space="0" w:color="auto"/>
              <w:right w:val="outset" w:sz="6" w:space="0" w:color="auto"/>
            </w:tcBorders>
          </w:tcPr>
          <w:p w14:paraId="52358331" w14:textId="77777777" w:rsidR="00DA6C86" w:rsidRPr="00D2604E" w:rsidRDefault="00012F4F" w:rsidP="004278EA">
            <w:pPr>
              <w:spacing w:after="0" w:line="240" w:lineRule="auto"/>
              <w:ind w:left="57"/>
              <w:jc w:val="both"/>
              <w:rPr>
                <w:rFonts w:ascii="Times New Roman" w:hAnsi="Times New Roman" w:cs="Times New Roman"/>
                <w:sz w:val="24"/>
                <w:szCs w:val="24"/>
              </w:rPr>
            </w:pPr>
            <w:r w:rsidRPr="00D2604E">
              <w:rPr>
                <w:rFonts w:ascii="Times New Roman" w:hAnsi="Times New Roman" w:cs="Times New Roman"/>
                <w:sz w:val="24"/>
                <w:szCs w:val="24"/>
              </w:rPr>
              <w:t>Nav</w:t>
            </w:r>
          </w:p>
        </w:tc>
      </w:tr>
      <w:tr w:rsidR="00DA6C86" w:rsidRPr="00D2604E" w14:paraId="73B03735" w14:textId="77777777" w:rsidTr="006547C9">
        <w:trPr>
          <w:jc w:val="center"/>
        </w:trPr>
        <w:tc>
          <w:tcPr>
            <w:tcW w:w="1177" w:type="dxa"/>
            <w:tcBorders>
              <w:top w:val="outset" w:sz="6" w:space="0" w:color="auto"/>
              <w:left w:val="outset" w:sz="6" w:space="0" w:color="auto"/>
              <w:bottom w:val="outset" w:sz="6" w:space="0" w:color="auto"/>
              <w:right w:val="outset" w:sz="6" w:space="0" w:color="auto"/>
            </w:tcBorders>
          </w:tcPr>
          <w:p w14:paraId="3D6EC6DA" w14:textId="77777777" w:rsidR="00DA6C86" w:rsidRPr="00D2604E" w:rsidRDefault="00DA6C86" w:rsidP="004278EA">
            <w:pPr>
              <w:spacing w:after="0" w:line="240" w:lineRule="auto"/>
              <w:ind w:left="57"/>
              <w:rPr>
                <w:rFonts w:ascii="Times New Roman" w:hAnsi="Times New Roman" w:cs="Times New Roman"/>
                <w:sz w:val="24"/>
                <w:szCs w:val="24"/>
              </w:rPr>
            </w:pPr>
            <w:r w:rsidRPr="00D2604E">
              <w:rPr>
                <w:rFonts w:ascii="Times New Roman" w:hAnsi="Times New Roman" w:cs="Times New Roman"/>
                <w:sz w:val="24"/>
                <w:szCs w:val="24"/>
              </w:rPr>
              <w:t>3.</w:t>
            </w:r>
          </w:p>
        </w:tc>
        <w:tc>
          <w:tcPr>
            <w:tcW w:w="2468" w:type="dxa"/>
            <w:gridSpan w:val="2"/>
            <w:tcBorders>
              <w:top w:val="outset" w:sz="6" w:space="0" w:color="auto"/>
              <w:left w:val="outset" w:sz="6" w:space="0" w:color="auto"/>
              <w:bottom w:val="outset" w:sz="6" w:space="0" w:color="auto"/>
              <w:right w:val="outset" w:sz="6" w:space="0" w:color="auto"/>
            </w:tcBorders>
          </w:tcPr>
          <w:p w14:paraId="5DCF5D9A" w14:textId="77777777" w:rsidR="00DA6C86" w:rsidRPr="00D2604E" w:rsidRDefault="00DA6C86" w:rsidP="004278EA">
            <w:pPr>
              <w:spacing w:after="0" w:line="240" w:lineRule="auto"/>
              <w:ind w:left="57"/>
              <w:rPr>
                <w:rFonts w:ascii="Times New Roman" w:hAnsi="Times New Roman" w:cs="Times New Roman"/>
                <w:sz w:val="24"/>
                <w:szCs w:val="24"/>
              </w:rPr>
            </w:pPr>
            <w:r w:rsidRPr="00D2604E">
              <w:rPr>
                <w:rFonts w:ascii="Times New Roman" w:hAnsi="Times New Roman" w:cs="Times New Roman"/>
                <w:sz w:val="24"/>
                <w:szCs w:val="24"/>
              </w:rPr>
              <w:t>Cita informācija</w:t>
            </w:r>
          </w:p>
        </w:tc>
        <w:tc>
          <w:tcPr>
            <w:tcW w:w="6295" w:type="dxa"/>
            <w:gridSpan w:val="3"/>
            <w:tcBorders>
              <w:top w:val="outset" w:sz="6" w:space="0" w:color="auto"/>
              <w:left w:val="outset" w:sz="6" w:space="0" w:color="auto"/>
              <w:bottom w:val="outset" w:sz="6" w:space="0" w:color="auto"/>
              <w:right w:val="outset" w:sz="6" w:space="0" w:color="auto"/>
            </w:tcBorders>
          </w:tcPr>
          <w:p w14:paraId="7AEFBC89" w14:textId="4DB86368" w:rsidR="00FD48DB" w:rsidRPr="00D2604E" w:rsidRDefault="00FD48DB" w:rsidP="00FD48DB">
            <w:pPr>
              <w:spacing w:after="0" w:line="240" w:lineRule="auto"/>
              <w:ind w:firstLine="98"/>
              <w:jc w:val="both"/>
              <w:rPr>
                <w:rFonts w:ascii="Times New Roman" w:hAnsi="Times New Roman" w:cs="Times New Roman"/>
                <w:sz w:val="24"/>
                <w:szCs w:val="24"/>
              </w:rPr>
            </w:pPr>
            <w:r w:rsidRPr="00D2604E">
              <w:rPr>
                <w:rFonts w:ascii="Times New Roman" w:hAnsi="Times New Roman" w:cs="Times New Roman"/>
                <w:sz w:val="24"/>
                <w:szCs w:val="24"/>
              </w:rPr>
              <w:t xml:space="preserve">Eiropas Komisijas 2014.gada 12.maija vēstule </w:t>
            </w:r>
            <w:proofErr w:type="spellStart"/>
            <w:r w:rsidRPr="00D2604E">
              <w:rPr>
                <w:rFonts w:ascii="Times New Roman" w:hAnsi="Times New Roman" w:cs="Times New Roman"/>
                <w:sz w:val="24"/>
                <w:szCs w:val="24"/>
              </w:rPr>
              <w:t>Nr.TAXUD</w:t>
            </w:r>
            <w:proofErr w:type="spellEnd"/>
            <w:r w:rsidRPr="00D2604E">
              <w:rPr>
                <w:rFonts w:ascii="Times New Roman" w:hAnsi="Times New Roman" w:cs="Times New Roman"/>
                <w:sz w:val="24"/>
                <w:szCs w:val="24"/>
              </w:rPr>
              <w:t>/A2/JMG/EG/</w:t>
            </w:r>
            <w:proofErr w:type="spellStart"/>
            <w:r w:rsidRPr="00D2604E">
              <w:rPr>
                <w:rFonts w:ascii="Times New Roman" w:hAnsi="Times New Roman" w:cs="Times New Roman"/>
                <w:sz w:val="24"/>
                <w:szCs w:val="24"/>
              </w:rPr>
              <w:t>csi</w:t>
            </w:r>
            <w:proofErr w:type="spellEnd"/>
            <w:r w:rsidRPr="00D2604E">
              <w:rPr>
                <w:rFonts w:ascii="Times New Roman" w:hAnsi="Times New Roman" w:cs="Times New Roman"/>
                <w:sz w:val="24"/>
                <w:szCs w:val="24"/>
              </w:rPr>
              <w:t>(2014)1586088, kurā tika norādīts, ka saskaņā ar pašreizējo Muitas kodeksu Latvijas muitas administrācijai nekas neliedz pieprasīt vairāk datus nekā noteikts Muitas kodeksa īstenošanas noteikumu 30.A pielikumā.</w:t>
            </w:r>
          </w:p>
          <w:p w14:paraId="7746D6ED" w14:textId="01F04E12" w:rsidR="00DA6C86" w:rsidRPr="00D2604E" w:rsidRDefault="00DA6C86" w:rsidP="004278EA">
            <w:pPr>
              <w:spacing w:after="0" w:line="240" w:lineRule="auto"/>
              <w:ind w:left="57"/>
              <w:jc w:val="both"/>
              <w:rPr>
                <w:rFonts w:ascii="Times New Roman" w:hAnsi="Times New Roman" w:cs="Times New Roman"/>
                <w:sz w:val="24"/>
                <w:szCs w:val="24"/>
              </w:rPr>
            </w:pPr>
          </w:p>
        </w:tc>
      </w:tr>
      <w:tr w:rsidR="00DA6C86" w:rsidRPr="00D2604E" w14:paraId="140C9ADC" w14:textId="77777777" w:rsidTr="006547C9">
        <w:trPr>
          <w:jc w:val="center"/>
        </w:trPr>
        <w:tc>
          <w:tcPr>
            <w:tcW w:w="9940" w:type="dxa"/>
            <w:gridSpan w:val="6"/>
            <w:tcBorders>
              <w:top w:val="outset" w:sz="6" w:space="0" w:color="auto"/>
              <w:left w:val="outset" w:sz="6" w:space="0" w:color="auto"/>
              <w:bottom w:val="outset" w:sz="6" w:space="0" w:color="auto"/>
              <w:right w:val="outset" w:sz="6" w:space="0" w:color="auto"/>
            </w:tcBorders>
            <w:vAlign w:val="center"/>
          </w:tcPr>
          <w:p w14:paraId="4A42E8DC" w14:textId="77777777" w:rsidR="00DA6C86" w:rsidRPr="00D2604E" w:rsidRDefault="00DA6C86" w:rsidP="004278EA">
            <w:pPr>
              <w:spacing w:after="0" w:line="240" w:lineRule="auto"/>
              <w:ind w:left="57"/>
              <w:jc w:val="center"/>
              <w:rPr>
                <w:rFonts w:ascii="Times New Roman" w:hAnsi="Times New Roman" w:cs="Times New Roman"/>
                <w:b/>
                <w:sz w:val="24"/>
                <w:szCs w:val="24"/>
              </w:rPr>
            </w:pPr>
            <w:r w:rsidRPr="00D2604E">
              <w:rPr>
                <w:rFonts w:ascii="Times New Roman" w:hAnsi="Times New Roman" w:cs="Times New Roman"/>
                <w:b/>
                <w:sz w:val="24"/>
                <w:szCs w:val="24"/>
              </w:rPr>
              <w:t>1.tabula</w:t>
            </w:r>
          </w:p>
          <w:p w14:paraId="03EC1C76" w14:textId="77777777" w:rsidR="00DA6C86" w:rsidRPr="00D2604E" w:rsidRDefault="00DA6C86" w:rsidP="004278EA">
            <w:pPr>
              <w:spacing w:after="0" w:line="240" w:lineRule="auto"/>
              <w:ind w:left="57"/>
              <w:jc w:val="center"/>
              <w:rPr>
                <w:rFonts w:ascii="Times New Roman" w:hAnsi="Times New Roman" w:cs="Times New Roman"/>
                <w:sz w:val="24"/>
                <w:szCs w:val="24"/>
              </w:rPr>
            </w:pPr>
            <w:r w:rsidRPr="00D2604E">
              <w:rPr>
                <w:rFonts w:ascii="Times New Roman" w:hAnsi="Times New Roman" w:cs="Times New Roman"/>
                <w:b/>
                <w:sz w:val="24"/>
                <w:szCs w:val="24"/>
              </w:rPr>
              <w:t>Tiesību akta projekta atbilstība ES tiesību aktiem</w:t>
            </w:r>
          </w:p>
        </w:tc>
      </w:tr>
      <w:tr w:rsidR="00DA6C86" w:rsidRPr="00D2604E" w14:paraId="32F5C8A3" w14:textId="77777777" w:rsidTr="006547C9">
        <w:trPr>
          <w:jc w:val="center"/>
        </w:trPr>
        <w:tc>
          <w:tcPr>
            <w:tcW w:w="3125" w:type="dxa"/>
            <w:gridSpan w:val="2"/>
            <w:tcBorders>
              <w:top w:val="outset" w:sz="6" w:space="0" w:color="auto"/>
              <w:left w:val="outset" w:sz="6" w:space="0" w:color="auto"/>
              <w:bottom w:val="outset" w:sz="6" w:space="0" w:color="auto"/>
              <w:right w:val="outset" w:sz="6" w:space="0" w:color="auto"/>
            </w:tcBorders>
          </w:tcPr>
          <w:p w14:paraId="429DA20B" w14:textId="2CE873D3" w:rsidR="00DA6C86" w:rsidRPr="00D2604E" w:rsidRDefault="00DA6C86" w:rsidP="00FD48DB">
            <w:pPr>
              <w:spacing w:after="0" w:line="240" w:lineRule="auto"/>
              <w:ind w:left="57"/>
              <w:jc w:val="both"/>
              <w:rPr>
                <w:rFonts w:ascii="Times New Roman" w:hAnsi="Times New Roman" w:cs="Times New Roman"/>
                <w:sz w:val="24"/>
                <w:szCs w:val="24"/>
              </w:rPr>
            </w:pPr>
            <w:r w:rsidRPr="00D2604E">
              <w:rPr>
                <w:rFonts w:ascii="Times New Roman" w:hAnsi="Times New Roman" w:cs="Times New Roman"/>
                <w:sz w:val="24"/>
                <w:szCs w:val="24"/>
              </w:rPr>
              <w:t>Attiecīgā ES</w:t>
            </w:r>
            <w:r w:rsidR="00757F1E" w:rsidRPr="00D2604E">
              <w:rPr>
                <w:rFonts w:ascii="Times New Roman" w:hAnsi="Times New Roman" w:cs="Times New Roman"/>
                <w:sz w:val="24"/>
                <w:szCs w:val="24"/>
              </w:rPr>
              <w:t xml:space="preserve"> </w:t>
            </w:r>
            <w:r w:rsidRPr="00D2604E">
              <w:rPr>
                <w:rFonts w:ascii="Times New Roman" w:hAnsi="Times New Roman" w:cs="Times New Roman"/>
                <w:sz w:val="24"/>
                <w:szCs w:val="24"/>
              </w:rPr>
              <w:t>tiesību akta datums, numurs un nosaukums</w:t>
            </w:r>
          </w:p>
        </w:tc>
        <w:tc>
          <w:tcPr>
            <w:tcW w:w="6815" w:type="dxa"/>
            <w:gridSpan w:val="4"/>
            <w:tcBorders>
              <w:top w:val="outset" w:sz="6" w:space="0" w:color="auto"/>
              <w:left w:val="outset" w:sz="6" w:space="0" w:color="auto"/>
              <w:bottom w:val="outset" w:sz="6" w:space="0" w:color="auto"/>
              <w:right w:val="outset" w:sz="6" w:space="0" w:color="auto"/>
            </w:tcBorders>
          </w:tcPr>
          <w:p w14:paraId="780A01D9" w14:textId="25C4DE4E" w:rsidR="00A375F9" w:rsidRPr="00D2604E" w:rsidRDefault="00757F1E" w:rsidP="00FD48DB">
            <w:pPr>
              <w:pStyle w:val="ListParagraph"/>
              <w:spacing w:after="0" w:line="240" w:lineRule="auto"/>
              <w:ind w:left="57" w:right="114"/>
              <w:jc w:val="both"/>
              <w:rPr>
                <w:rFonts w:ascii="Times New Roman" w:hAnsi="Times New Roman" w:cs="Times New Roman"/>
                <w:sz w:val="24"/>
                <w:szCs w:val="24"/>
              </w:rPr>
            </w:pPr>
            <w:r w:rsidRPr="00D2604E">
              <w:rPr>
                <w:rFonts w:ascii="Times New Roman" w:eastAsia="Calibri" w:hAnsi="Times New Roman" w:cs="Times New Roman"/>
                <w:sz w:val="24"/>
                <w:szCs w:val="24"/>
              </w:rPr>
              <w:t xml:space="preserve">Komisijas 2008.gada 17.novembra Regulas Nr.1192/2008, ar kuru groza Regulu (EEK) Nr.2454/93, ar ko nosaka īstenošanas noteikumus Padomes Regulai (EEK) Nr.2913/92 par Kopienas Muitas kodeksa izveidi </w:t>
            </w:r>
          </w:p>
        </w:tc>
      </w:tr>
      <w:tr w:rsidR="008C245A" w:rsidRPr="00D2604E" w14:paraId="28B03A0E" w14:textId="77777777" w:rsidTr="006547C9">
        <w:trPr>
          <w:jc w:val="center"/>
        </w:trPr>
        <w:tc>
          <w:tcPr>
            <w:tcW w:w="3125" w:type="dxa"/>
            <w:gridSpan w:val="2"/>
            <w:tcBorders>
              <w:top w:val="outset" w:sz="6" w:space="0" w:color="auto"/>
              <w:left w:val="outset" w:sz="6" w:space="0" w:color="auto"/>
              <w:bottom w:val="outset" w:sz="6" w:space="0" w:color="auto"/>
              <w:right w:val="outset" w:sz="6" w:space="0" w:color="auto"/>
            </w:tcBorders>
            <w:vAlign w:val="center"/>
          </w:tcPr>
          <w:p w14:paraId="1A1ED0C9" w14:textId="77777777" w:rsidR="00DA6C86" w:rsidRPr="00D2604E" w:rsidRDefault="00DA6C86" w:rsidP="004278EA">
            <w:pPr>
              <w:spacing w:after="0" w:line="240" w:lineRule="auto"/>
              <w:ind w:left="57"/>
              <w:jc w:val="center"/>
              <w:rPr>
                <w:rFonts w:ascii="Times New Roman" w:hAnsi="Times New Roman" w:cs="Times New Roman"/>
                <w:sz w:val="24"/>
                <w:szCs w:val="24"/>
              </w:rPr>
            </w:pPr>
            <w:r w:rsidRPr="00D2604E">
              <w:rPr>
                <w:rFonts w:ascii="Times New Roman" w:hAnsi="Times New Roman" w:cs="Times New Roman"/>
                <w:sz w:val="24"/>
                <w:szCs w:val="24"/>
              </w:rPr>
              <w:lastRenderedPageBreak/>
              <w:t>A</w:t>
            </w:r>
          </w:p>
        </w:tc>
        <w:tc>
          <w:tcPr>
            <w:tcW w:w="2646" w:type="dxa"/>
            <w:gridSpan w:val="2"/>
            <w:tcBorders>
              <w:top w:val="outset" w:sz="6" w:space="0" w:color="auto"/>
              <w:left w:val="outset" w:sz="6" w:space="0" w:color="auto"/>
              <w:bottom w:val="outset" w:sz="6" w:space="0" w:color="auto"/>
              <w:right w:val="outset" w:sz="6" w:space="0" w:color="auto"/>
            </w:tcBorders>
            <w:vAlign w:val="center"/>
          </w:tcPr>
          <w:p w14:paraId="2B3C7202" w14:textId="77777777" w:rsidR="00DA6C86" w:rsidRPr="00D2604E" w:rsidRDefault="00DA6C86" w:rsidP="004278EA">
            <w:pPr>
              <w:spacing w:after="0" w:line="240" w:lineRule="auto"/>
              <w:ind w:left="57"/>
              <w:jc w:val="center"/>
              <w:rPr>
                <w:rFonts w:ascii="Times New Roman" w:hAnsi="Times New Roman" w:cs="Times New Roman"/>
                <w:sz w:val="24"/>
                <w:szCs w:val="24"/>
              </w:rPr>
            </w:pPr>
            <w:r w:rsidRPr="00D2604E">
              <w:rPr>
                <w:rFonts w:ascii="Times New Roman" w:hAnsi="Times New Roman" w:cs="Times New Roman"/>
                <w:sz w:val="24"/>
                <w:szCs w:val="24"/>
              </w:rPr>
              <w:t>B</w:t>
            </w:r>
          </w:p>
        </w:tc>
        <w:tc>
          <w:tcPr>
            <w:tcW w:w="1465" w:type="dxa"/>
            <w:tcBorders>
              <w:top w:val="outset" w:sz="6" w:space="0" w:color="auto"/>
              <w:left w:val="outset" w:sz="6" w:space="0" w:color="auto"/>
              <w:bottom w:val="outset" w:sz="6" w:space="0" w:color="auto"/>
              <w:right w:val="outset" w:sz="6" w:space="0" w:color="auto"/>
            </w:tcBorders>
            <w:vAlign w:val="center"/>
          </w:tcPr>
          <w:p w14:paraId="48EE790A" w14:textId="77777777" w:rsidR="00DA6C86" w:rsidRPr="00D2604E" w:rsidRDefault="00DA6C86" w:rsidP="004278EA">
            <w:pPr>
              <w:spacing w:after="0" w:line="240" w:lineRule="auto"/>
              <w:ind w:left="57"/>
              <w:jc w:val="center"/>
              <w:rPr>
                <w:rFonts w:ascii="Times New Roman" w:hAnsi="Times New Roman" w:cs="Times New Roman"/>
                <w:sz w:val="24"/>
                <w:szCs w:val="24"/>
              </w:rPr>
            </w:pPr>
            <w:r w:rsidRPr="00D2604E">
              <w:rPr>
                <w:rFonts w:ascii="Times New Roman" w:hAnsi="Times New Roman" w:cs="Times New Roman"/>
                <w:sz w:val="24"/>
                <w:szCs w:val="24"/>
              </w:rPr>
              <w:t>C</w:t>
            </w:r>
          </w:p>
        </w:tc>
        <w:tc>
          <w:tcPr>
            <w:tcW w:w="2704" w:type="dxa"/>
            <w:tcBorders>
              <w:top w:val="outset" w:sz="6" w:space="0" w:color="auto"/>
              <w:left w:val="outset" w:sz="6" w:space="0" w:color="auto"/>
              <w:bottom w:val="outset" w:sz="6" w:space="0" w:color="auto"/>
              <w:right w:val="outset" w:sz="6" w:space="0" w:color="auto"/>
            </w:tcBorders>
            <w:vAlign w:val="center"/>
          </w:tcPr>
          <w:p w14:paraId="7FA644F4" w14:textId="77777777" w:rsidR="00DA6C86" w:rsidRPr="00D2604E" w:rsidRDefault="00DA6C86" w:rsidP="004278EA">
            <w:pPr>
              <w:spacing w:after="0" w:line="240" w:lineRule="auto"/>
              <w:ind w:left="57"/>
              <w:jc w:val="center"/>
              <w:rPr>
                <w:rFonts w:ascii="Times New Roman" w:hAnsi="Times New Roman" w:cs="Times New Roman"/>
                <w:sz w:val="24"/>
                <w:szCs w:val="24"/>
              </w:rPr>
            </w:pPr>
            <w:r w:rsidRPr="00D2604E">
              <w:rPr>
                <w:rFonts w:ascii="Times New Roman" w:hAnsi="Times New Roman" w:cs="Times New Roman"/>
                <w:sz w:val="24"/>
                <w:szCs w:val="24"/>
              </w:rPr>
              <w:t>D</w:t>
            </w:r>
          </w:p>
        </w:tc>
      </w:tr>
      <w:tr w:rsidR="00A50BF5" w:rsidRPr="00D2604E" w14:paraId="789D6214" w14:textId="77777777" w:rsidTr="006547C9">
        <w:trPr>
          <w:jc w:val="center"/>
        </w:trPr>
        <w:tc>
          <w:tcPr>
            <w:tcW w:w="9940" w:type="dxa"/>
            <w:gridSpan w:val="6"/>
            <w:tcBorders>
              <w:top w:val="outset" w:sz="6" w:space="0" w:color="auto"/>
              <w:left w:val="outset" w:sz="6" w:space="0" w:color="auto"/>
              <w:bottom w:val="outset" w:sz="6" w:space="0" w:color="auto"/>
              <w:right w:val="outset" w:sz="6" w:space="0" w:color="auto"/>
            </w:tcBorders>
          </w:tcPr>
          <w:p w14:paraId="0BAFF6D8" w14:textId="73144AF0" w:rsidR="00A50BF5" w:rsidRPr="00D2604E" w:rsidRDefault="00757F1E" w:rsidP="00757F1E">
            <w:pPr>
              <w:spacing w:after="0" w:line="240" w:lineRule="auto"/>
              <w:ind w:left="57"/>
              <w:rPr>
                <w:rFonts w:ascii="Times New Roman" w:hAnsi="Times New Roman" w:cs="Times New Roman"/>
                <w:spacing w:val="-3"/>
                <w:sz w:val="24"/>
                <w:szCs w:val="24"/>
                <w:highlight w:val="yellow"/>
              </w:rPr>
            </w:pPr>
            <w:r w:rsidRPr="00D2604E">
              <w:rPr>
                <w:rFonts w:ascii="Times New Roman" w:eastAsia="Calibri" w:hAnsi="Times New Roman" w:cs="Times New Roman"/>
                <w:b/>
                <w:sz w:val="24"/>
                <w:szCs w:val="24"/>
                <w:u w:val="single"/>
              </w:rPr>
              <w:t>Regulas Nr.2454/93 253.a pants</w:t>
            </w:r>
          </w:p>
        </w:tc>
      </w:tr>
      <w:tr w:rsidR="008C245A" w:rsidRPr="00D2604E" w14:paraId="4080E0C9" w14:textId="77777777" w:rsidTr="006547C9">
        <w:trPr>
          <w:jc w:val="center"/>
        </w:trPr>
        <w:tc>
          <w:tcPr>
            <w:tcW w:w="3125" w:type="dxa"/>
            <w:gridSpan w:val="2"/>
            <w:tcBorders>
              <w:top w:val="outset" w:sz="6" w:space="0" w:color="auto"/>
              <w:left w:val="outset" w:sz="6" w:space="0" w:color="auto"/>
              <w:bottom w:val="outset" w:sz="6" w:space="0" w:color="auto"/>
              <w:right w:val="outset" w:sz="6" w:space="0" w:color="auto"/>
            </w:tcBorders>
          </w:tcPr>
          <w:p w14:paraId="3FB47AD8" w14:textId="5AE48C9A" w:rsidR="00DD58BD" w:rsidRPr="00D2604E" w:rsidRDefault="00757F1E" w:rsidP="004278EA">
            <w:pPr>
              <w:spacing w:after="0" w:line="240" w:lineRule="auto"/>
              <w:ind w:left="57"/>
              <w:rPr>
                <w:rFonts w:ascii="Times New Roman" w:hAnsi="Times New Roman" w:cs="Times New Roman"/>
                <w:sz w:val="24"/>
                <w:szCs w:val="24"/>
                <w:highlight w:val="yellow"/>
              </w:rPr>
            </w:pPr>
            <w:r w:rsidRPr="00D2604E">
              <w:rPr>
                <w:rFonts w:ascii="Times New Roman" w:eastAsia="Calibri" w:hAnsi="Times New Roman" w:cs="Times New Roman"/>
                <w:b/>
                <w:sz w:val="24"/>
                <w:szCs w:val="24"/>
                <w:u w:val="single"/>
              </w:rPr>
              <w:t>253.a pants</w:t>
            </w:r>
          </w:p>
        </w:tc>
        <w:tc>
          <w:tcPr>
            <w:tcW w:w="2646" w:type="dxa"/>
            <w:gridSpan w:val="2"/>
            <w:tcBorders>
              <w:top w:val="outset" w:sz="6" w:space="0" w:color="auto"/>
              <w:left w:val="outset" w:sz="6" w:space="0" w:color="auto"/>
              <w:bottom w:val="outset" w:sz="6" w:space="0" w:color="auto"/>
              <w:right w:val="outset" w:sz="6" w:space="0" w:color="auto"/>
            </w:tcBorders>
          </w:tcPr>
          <w:p w14:paraId="09D981FF" w14:textId="413F2B29" w:rsidR="00DD58BD" w:rsidRPr="00D2604E" w:rsidRDefault="00757F1E" w:rsidP="004278EA">
            <w:pPr>
              <w:spacing w:after="0" w:line="240" w:lineRule="auto"/>
              <w:ind w:left="57"/>
              <w:rPr>
                <w:rFonts w:ascii="Times New Roman" w:hAnsi="Times New Roman" w:cs="Times New Roman"/>
                <w:spacing w:val="-2"/>
                <w:sz w:val="24"/>
                <w:szCs w:val="24"/>
                <w:highlight w:val="yellow"/>
              </w:rPr>
            </w:pPr>
            <w:r w:rsidRPr="00D2604E">
              <w:rPr>
                <w:rFonts w:ascii="Times New Roman" w:eastAsia="Times New Roman" w:hAnsi="Times New Roman" w:cs="Times New Roman"/>
                <w:sz w:val="24"/>
                <w:szCs w:val="24"/>
              </w:rPr>
              <w:t>1.5., 1.6. punkts (noteikumu 17., 17.¹ punkts)</w:t>
            </w:r>
          </w:p>
        </w:tc>
        <w:tc>
          <w:tcPr>
            <w:tcW w:w="1465" w:type="dxa"/>
            <w:tcBorders>
              <w:top w:val="outset" w:sz="6" w:space="0" w:color="auto"/>
              <w:left w:val="outset" w:sz="6" w:space="0" w:color="auto"/>
              <w:bottom w:val="outset" w:sz="6" w:space="0" w:color="auto"/>
              <w:right w:val="outset" w:sz="6" w:space="0" w:color="auto"/>
            </w:tcBorders>
          </w:tcPr>
          <w:p w14:paraId="785CB8B9" w14:textId="7055ABA7" w:rsidR="00DD58BD" w:rsidRPr="00D2604E" w:rsidRDefault="00EB0EB9" w:rsidP="00EB0EB9">
            <w:pPr>
              <w:spacing w:after="0" w:line="240" w:lineRule="auto"/>
              <w:rPr>
                <w:rFonts w:ascii="Times New Roman" w:hAnsi="Times New Roman" w:cs="Times New Roman"/>
                <w:spacing w:val="-2"/>
                <w:sz w:val="24"/>
                <w:szCs w:val="24"/>
                <w:highlight w:val="yellow"/>
              </w:rPr>
            </w:pPr>
            <w:r w:rsidRPr="00D2604E">
              <w:rPr>
                <w:rFonts w:ascii="Times New Roman" w:hAnsi="Times New Roman" w:cs="Times New Roman"/>
                <w:spacing w:val="-2"/>
                <w:sz w:val="24"/>
                <w:szCs w:val="24"/>
              </w:rPr>
              <w:t>Ieviests pilnībā</w:t>
            </w:r>
          </w:p>
        </w:tc>
        <w:tc>
          <w:tcPr>
            <w:tcW w:w="2704" w:type="dxa"/>
            <w:tcBorders>
              <w:top w:val="outset" w:sz="6" w:space="0" w:color="auto"/>
              <w:left w:val="outset" w:sz="6" w:space="0" w:color="auto"/>
              <w:bottom w:val="outset" w:sz="6" w:space="0" w:color="auto"/>
              <w:right w:val="outset" w:sz="6" w:space="0" w:color="auto"/>
            </w:tcBorders>
          </w:tcPr>
          <w:p w14:paraId="18278E0A" w14:textId="2D791C47" w:rsidR="00DD58BD" w:rsidRPr="00D2604E" w:rsidRDefault="00EB0EB9" w:rsidP="00EB0EB9">
            <w:pPr>
              <w:spacing w:after="0" w:line="240" w:lineRule="auto"/>
              <w:ind w:left="57" w:right="57"/>
              <w:jc w:val="both"/>
              <w:rPr>
                <w:rFonts w:ascii="Times New Roman" w:hAnsi="Times New Roman" w:cs="Times New Roman"/>
                <w:spacing w:val="-2"/>
                <w:sz w:val="24"/>
                <w:szCs w:val="24"/>
                <w:highlight w:val="yellow"/>
              </w:rPr>
            </w:pPr>
            <w:r w:rsidRPr="00D2604E">
              <w:rPr>
                <w:rFonts w:ascii="Times New Roman" w:hAnsi="Times New Roman" w:cs="Times New Roman"/>
                <w:spacing w:val="-2"/>
                <w:sz w:val="24"/>
                <w:szCs w:val="24"/>
              </w:rPr>
              <w:t>Noteikumu projekts stingrākas prasības neparedz</w:t>
            </w:r>
          </w:p>
        </w:tc>
      </w:tr>
      <w:tr w:rsidR="00164329" w:rsidRPr="00D2604E" w14:paraId="58FD9249" w14:textId="77777777" w:rsidTr="006547C9">
        <w:trPr>
          <w:jc w:val="center"/>
        </w:trPr>
        <w:tc>
          <w:tcPr>
            <w:tcW w:w="3125" w:type="dxa"/>
            <w:gridSpan w:val="2"/>
            <w:tcBorders>
              <w:top w:val="outset" w:sz="6" w:space="0" w:color="auto"/>
              <w:left w:val="outset" w:sz="6" w:space="0" w:color="auto"/>
              <w:bottom w:val="outset" w:sz="6" w:space="0" w:color="auto"/>
              <w:right w:val="outset" w:sz="6" w:space="0" w:color="auto"/>
            </w:tcBorders>
          </w:tcPr>
          <w:p w14:paraId="4A1845A6" w14:textId="77777777" w:rsidR="00164329" w:rsidRPr="00D2604E" w:rsidRDefault="00164329" w:rsidP="004278EA">
            <w:pPr>
              <w:spacing w:after="0" w:line="240" w:lineRule="auto"/>
              <w:ind w:left="57"/>
              <w:rPr>
                <w:rFonts w:ascii="Times New Roman" w:hAnsi="Times New Roman" w:cs="Times New Roman"/>
                <w:spacing w:val="-3"/>
                <w:sz w:val="24"/>
                <w:szCs w:val="24"/>
              </w:rPr>
            </w:pPr>
            <w:r w:rsidRPr="00D2604E">
              <w:rPr>
                <w:rFonts w:ascii="Times New Roman" w:hAnsi="Times New Roman" w:cs="Times New Roman"/>
                <w:spacing w:val="-3"/>
                <w:sz w:val="24"/>
                <w:szCs w:val="24"/>
              </w:rPr>
              <w:t>Kā ir izmantota ES tiesību aktā paredzētā rīcības brīvība dalīb</w:t>
            </w:r>
            <w:r w:rsidRPr="00D2604E">
              <w:rPr>
                <w:rFonts w:ascii="Times New Roman" w:hAnsi="Times New Roman" w:cs="Times New Roman"/>
                <w:spacing w:val="-3"/>
                <w:sz w:val="24"/>
                <w:szCs w:val="24"/>
              </w:rPr>
              <w:softHyphen/>
              <w:t>valstij pārņemt vai ieviest noteiktas ES tiesību akta normas?</w:t>
            </w:r>
          </w:p>
          <w:p w14:paraId="2034CC45" w14:textId="77777777" w:rsidR="00164329" w:rsidRPr="00D2604E" w:rsidRDefault="00164329" w:rsidP="004278EA">
            <w:pPr>
              <w:spacing w:after="0" w:line="240" w:lineRule="auto"/>
              <w:ind w:left="57"/>
              <w:rPr>
                <w:rFonts w:ascii="Times New Roman" w:hAnsi="Times New Roman" w:cs="Times New Roman"/>
                <w:spacing w:val="-3"/>
                <w:sz w:val="24"/>
                <w:szCs w:val="24"/>
              </w:rPr>
            </w:pPr>
            <w:r w:rsidRPr="00D2604E">
              <w:rPr>
                <w:rFonts w:ascii="Times New Roman" w:hAnsi="Times New Roman" w:cs="Times New Roman"/>
                <w:spacing w:val="-3"/>
                <w:sz w:val="24"/>
                <w:szCs w:val="24"/>
              </w:rPr>
              <w:t>Kādēļ?</w:t>
            </w:r>
          </w:p>
        </w:tc>
        <w:tc>
          <w:tcPr>
            <w:tcW w:w="6815" w:type="dxa"/>
            <w:gridSpan w:val="4"/>
            <w:tcBorders>
              <w:top w:val="outset" w:sz="6" w:space="0" w:color="auto"/>
              <w:left w:val="outset" w:sz="6" w:space="0" w:color="auto"/>
              <w:bottom w:val="outset" w:sz="6" w:space="0" w:color="auto"/>
              <w:right w:val="outset" w:sz="6" w:space="0" w:color="auto"/>
            </w:tcBorders>
          </w:tcPr>
          <w:p w14:paraId="248D3A2D" w14:textId="77777777" w:rsidR="00164329" w:rsidRPr="00D2604E" w:rsidRDefault="00164329" w:rsidP="004278EA">
            <w:pPr>
              <w:spacing w:after="0" w:line="240" w:lineRule="auto"/>
              <w:ind w:left="57"/>
              <w:rPr>
                <w:rFonts w:ascii="Times New Roman" w:hAnsi="Times New Roman" w:cs="Times New Roman"/>
                <w:sz w:val="24"/>
                <w:szCs w:val="24"/>
              </w:rPr>
            </w:pPr>
            <w:r w:rsidRPr="00D2604E">
              <w:rPr>
                <w:rFonts w:ascii="Times New Roman" w:hAnsi="Times New Roman" w:cs="Times New Roman"/>
                <w:sz w:val="24"/>
                <w:szCs w:val="24"/>
              </w:rPr>
              <w:t>Projekts šo jomu neskar.</w:t>
            </w:r>
          </w:p>
        </w:tc>
      </w:tr>
      <w:tr w:rsidR="00164329" w:rsidRPr="00D2604E" w14:paraId="298F1DDB" w14:textId="77777777" w:rsidTr="006547C9">
        <w:trPr>
          <w:jc w:val="center"/>
        </w:trPr>
        <w:tc>
          <w:tcPr>
            <w:tcW w:w="3125" w:type="dxa"/>
            <w:gridSpan w:val="2"/>
            <w:tcBorders>
              <w:top w:val="outset" w:sz="6" w:space="0" w:color="auto"/>
              <w:left w:val="outset" w:sz="6" w:space="0" w:color="auto"/>
              <w:bottom w:val="outset" w:sz="6" w:space="0" w:color="auto"/>
              <w:right w:val="outset" w:sz="6" w:space="0" w:color="auto"/>
            </w:tcBorders>
          </w:tcPr>
          <w:p w14:paraId="12E1CE5E" w14:textId="77777777" w:rsidR="00164329" w:rsidRPr="00D2604E" w:rsidRDefault="00164329" w:rsidP="004278EA">
            <w:pPr>
              <w:spacing w:after="0" w:line="240" w:lineRule="auto"/>
              <w:ind w:left="57"/>
              <w:rPr>
                <w:rFonts w:ascii="Times New Roman" w:hAnsi="Times New Roman" w:cs="Times New Roman"/>
                <w:spacing w:val="-3"/>
                <w:sz w:val="24"/>
                <w:szCs w:val="24"/>
              </w:rPr>
            </w:pPr>
            <w:r w:rsidRPr="00D2604E">
              <w:rPr>
                <w:rFonts w:ascii="Times New Roman" w:hAnsi="Times New Roman" w:cs="Times New Roman"/>
                <w:spacing w:val="-4"/>
                <w:sz w:val="24"/>
                <w:szCs w:val="24"/>
              </w:rPr>
              <w:t>Saistības sniegt paziņojumu ES insti</w:t>
            </w:r>
            <w:r w:rsidRPr="00D2604E">
              <w:rPr>
                <w:rFonts w:ascii="Times New Roman" w:hAnsi="Times New Roman" w:cs="Times New Roman"/>
                <w:spacing w:val="-4"/>
                <w:sz w:val="24"/>
                <w:szCs w:val="24"/>
              </w:rPr>
              <w:softHyphen/>
              <w:t>tūcijām un ES dalīb</w:t>
            </w:r>
            <w:r w:rsidRPr="00D2604E">
              <w:rPr>
                <w:rFonts w:ascii="Times New Roman" w:hAnsi="Times New Roman" w:cs="Times New Roman"/>
                <w:spacing w:val="-4"/>
                <w:sz w:val="24"/>
                <w:szCs w:val="24"/>
              </w:rPr>
              <w:softHyphen/>
              <w:t>valstīm atbilstoši normatīvajiem aktiem, kas regulē informā</w:t>
            </w:r>
            <w:r w:rsidRPr="00D2604E">
              <w:rPr>
                <w:rFonts w:ascii="Times New Roman" w:hAnsi="Times New Roman" w:cs="Times New Roman"/>
                <w:spacing w:val="-4"/>
                <w:sz w:val="24"/>
                <w:szCs w:val="24"/>
              </w:rPr>
              <w:softHyphen/>
              <w:t>cijas sniegšanu par tehnisko noteikumu, valsts atbalsta piešķir</w:t>
            </w:r>
            <w:r w:rsidRPr="00D2604E">
              <w:rPr>
                <w:rFonts w:ascii="Times New Roman" w:hAnsi="Times New Roman" w:cs="Times New Roman"/>
                <w:spacing w:val="-4"/>
                <w:sz w:val="24"/>
                <w:szCs w:val="24"/>
              </w:rPr>
              <w:softHyphen/>
              <w:t>šanas un finanšu noteikumu (attiecībā uz monetāro politiku) projektiem</w:t>
            </w:r>
          </w:p>
        </w:tc>
        <w:tc>
          <w:tcPr>
            <w:tcW w:w="6815" w:type="dxa"/>
            <w:gridSpan w:val="4"/>
            <w:tcBorders>
              <w:top w:val="outset" w:sz="6" w:space="0" w:color="auto"/>
              <w:left w:val="outset" w:sz="6" w:space="0" w:color="auto"/>
              <w:bottom w:val="outset" w:sz="6" w:space="0" w:color="auto"/>
              <w:right w:val="outset" w:sz="6" w:space="0" w:color="auto"/>
            </w:tcBorders>
          </w:tcPr>
          <w:p w14:paraId="7BB6A970" w14:textId="77777777" w:rsidR="00164329" w:rsidRPr="00D2604E" w:rsidRDefault="00164329" w:rsidP="004278EA">
            <w:pPr>
              <w:spacing w:after="0" w:line="240" w:lineRule="auto"/>
              <w:ind w:left="57"/>
              <w:rPr>
                <w:rFonts w:ascii="Times New Roman" w:hAnsi="Times New Roman" w:cs="Times New Roman"/>
                <w:sz w:val="24"/>
                <w:szCs w:val="24"/>
              </w:rPr>
            </w:pPr>
            <w:r w:rsidRPr="00D2604E">
              <w:rPr>
                <w:rFonts w:ascii="Times New Roman" w:hAnsi="Times New Roman" w:cs="Times New Roman"/>
                <w:sz w:val="24"/>
                <w:szCs w:val="24"/>
              </w:rPr>
              <w:t>Projekts šo jomu neskar.</w:t>
            </w:r>
          </w:p>
        </w:tc>
      </w:tr>
      <w:tr w:rsidR="00164329" w:rsidRPr="00D2604E" w14:paraId="313A9F8E" w14:textId="77777777" w:rsidTr="006547C9">
        <w:trPr>
          <w:jc w:val="center"/>
        </w:trPr>
        <w:tc>
          <w:tcPr>
            <w:tcW w:w="3125" w:type="dxa"/>
            <w:gridSpan w:val="2"/>
            <w:tcBorders>
              <w:top w:val="outset" w:sz="6" w:space="0" w:color="auto"/>
              <w:left w:val="outset" w:sz="6" w:space="0" w:color="auto"/>
              <w:bottom w:val="outset" w:sz="6" w:space="0" w:color="auto"/>
              <w:right w:val="outset" w:sz="6" w:space="0" w:color="auto"/>
            </w:tcBorders>
          </w:tcPr>
          <w:p w14:paraId="7279313F" w14:textId="77777777" w:rsidR="00164329" w:rsidRPr="00D2604E" w:rsidRDefault="00164329" w:rsidP="004278EA">
            <w:pPr>
              <w:spacing w:after="0" w:line="240" w:lineRule="auto"/>
              <w:ind w:left="57"/>
              <w:rPr>
                <w:rFonts w:ascii="Times New Roman" w:hAnsi="Times New Roman" w:cs="Times New Roman"/>
                <w:sz w:val="24"/>
                <w:szCs w:val="24"/>
              </w:rPr>
            </w:pPr>
            <w:r w:rsidRPr="00D2604E">
              <w:rPr>
                <w:rFonts w:ascii="Times New Roman" w:hAnsi="Times New Roman" w:cs="Times New Roman"/>
                <w:sz w:val="24"/>
                <w:szCs w:val="24"/>
              </w:rPr>
              <w:t>Cita informācija</w:t>
            </w:r>
          </w:p>
        </w:tc>
        <w:tc>
          <w:tcPr>
            <w:tcW w:w="6815" w:type="dxa"/>
            <w:gridSpan w:val="4"/>
            <w:tcBorders>
              <w:top w:val="outset" w:sz="6" w:space="0" w:color="auto"/>
              <w:left w:val="outset" w:sz="6" w:space="0" w:color="auto"/>
              <w:bottom w:val="outset" w:sz="6" w:space="0" w:color="auto"/>
              <w:right w:val="outset" w:sz="6" w:space="0" w:color="auto"/>
            </w:tcBorders>
          </w:tcPr>
          <w:p w14:paraId="2E634429" w14:textId="77777777" w:rsidR="00164329" w:rsidRPr="00D2604E" w:rsidRDefault="00164329" w:rsidP="004278EA">
            <w:pPr>
              <w:spacing w:after="0" w:line="240" w:lineRule="auto"/>
              <w:ind w:left="57"/>
              <w:rPr>
                <w:rFonts w:ascii="Times New Roman" w:hAnsi="Times New Roman" w:cs="Times New Roman"/>
                <w:sz w:val="24"/>
                <w:szCs w:val="24"/>
              </w:rPr>
            </w:pPr>
            <w:r w:rsidRPr="00D2604E">
              <w:rPr>
                <w:rFonts w:ascii="Times New Roman" w:hAnsi="Times New Roman" w:cs="Times New Roman"/>
                <w:sz w:val="24"/>
                <w:szCs w:val="24"/>
              </w:rPr>
              <w:t>Nav</w:t>
            </w:r>
          </w:p>
        </w:tc>
      </w:tr>
    </w:tbl>
    <w:p w14:paraId="669EF943" w14:textId="77777777" w:rsidR="00DA6C86" w:rsidRPr="005B3F9D" w:rsidRDefault="00DA6C86" w:rsidP="004278EA">
      <w:pPr>
        <w:spacing w:after="0" w:line="240" w:lineRule="auto"/>
        <w:rPr>
          <w:rFonts w:ascii="Times New Roman" w:hAnsi="Times New Roman" w:cs="Times New Roman"/>
          <w:highlight w:val="yellow"/>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53"/>
        <w:gridCol w:w="2710"/>
        <w:gridCol w:w="6165"/>
      </w:tblGrid>
      <w:tr w:rsidR="00991CBE" w:rsidRPr="00D2604E" w14:paraId="12F987D2" w14:textId="77777777" w:rsidTr="006547C9">
        <w:trPr>
          <w:trHeight w:val="421"/>
          <w:jc w:val="center"/>
        </w:trPr>
        <w:tc>
          <w:tcPr>
            <w:tcW w:w="9928" w:type="dxa"/>
            <w:gridSpan w:val="3"/>
            <w:vAlign w:val="center"/>
          </w:tcPr>
          <w:p w14:paraId="7BCD6DC8" w14:textId="77777777" w:rsidR="00DA6C86" w:rsidRPr="00D2604E" w:rsidRDefault="00DA6C86" w:rsidP="004278EA">
            <w:pPr>
              <w:pStyle w:val="naisnod"/>
              <w:spacing w:before="0" w:beforeAutospacing="0" w:after="0" w:afterAutospacing="0"/>
              <w:ind w:left="57" w:right="57"/>
              <w:jc w:val="center"/>
            </w:pPr>
            <w:r w:rsidRPr="00D2604E">
              <w:rPr>
                <w:b/>
              </w:rPr>
              <w:t>VI. Sabiedrības līdzdalība un komunikācijas aktivitātes</w:t>
            </w:r>
          </w:p>
        </w:tc>
      </w:tr>
      <w:tr w:rsidR="00991CBE" w:rsidRPr="00D2604E" w14:paraId="56275FBB" w14:textId="77777777" w:rsidTr="006547C9">
        <w:trPr>
          <w:trHeight w:val="572"/>
          <w:jc w:val="center"/>
        </w:trPr>
        <w:tc>
          <w:tcPr>
            <w:tcW w:w="1053" w:type="dxa"/>
          </w:tcPr>
          <w:p w14:paraId="09DC4800" w14:textId="77777777" w:rsidR="00DA6C86" w:rsidRPr="00D2604E" w:rsidRDefault="00DA6C86" w:rsidP="00153507">
            <w:pPr>
              <w:spacing w:after="0" w:line="240" w:lineRule="auto"/>
              <w:ind w:left="57" w:right="57"/>
              <w:jc w:val="both"/>
              <w:rPr>
                <w:rFonts w:ascii="Times New Roman" w:hAnsi="Times New Roman" w:cs="Times New Roman"/>
                <w:bCs/>
                <w:sz w:val="24"/>
                <w:szCs w:val="24"/>
              </w:rPr>
            </w:pPr>
            <w:r w:rsidRPr="00D2604E">
              <w:rPr>
                <w:rFonts w:ascii="Times New Roman" w:hAnsi="Times New Roman" w:cs="Times New Roman"/>
                <w:bCs/>
                <w:sz w:val="24"/>
                <w:szCs w:val="24"/>
              </w:rPr>
              <w:t>1.</w:t>
            </w:r>
          </w:p>
        </w:tc>
        <w:tc>
          <w:tcPr>
            <w:tcW w:w="2710" w:type="dxa"/>
          </w:tcPr>
          <w:p w14:paraId="62C2F121" w14:textId="77777777" w:rsidR="00DA6C86" w:rsidRPr="00D2604E" w:rsidRDefault="00DA6C86" w:rsidP="00153507">
            <w:pPr>
              <w:tabs>
                <w:tab w:val="left" w:pos="170"/>
              </w:tabs>
              <w:spacing w:after="0" w:line="240" w:lineRule="auto"/>
              <w:ind w:left="57" w:right="57"/>
              <w:jc w:val="both"/>
              <w:rPr>
                <w:rFonts w:ascii="Times New Roman" w:hAnsi="Times New Roman" w:cs="Times New Roman"/>
                <w:sz w:val="24"/>
                <w:szCs w:val="24"/>
              </w:rPr>
            </w:pPr>
            <w:r w:rsidRPr="00D2604E">
              <w:rPr>
                <w:rFonts w:ascii="Times New Roman" w:hAnsi="Times New Roman" w:cs="Times New Roman"/>
                <w:sz w:val="24"/>
                <w:szCs w:val="24"/>
              </w:rPr>
              <w:t>Plānotās sabiedrības līdzdalības un komunikācijas aktivitātes saistībā ar projektu</w:t>
            </w:r>
          </w:p>
        </w:tc>
        <w:tc>
          <w:tcPr>
            <w:tcW w:w="6165" w:type="dxa"/>
          </w:tcPr>
          <w:p w14:paraId="3B60AC51" w14:textId="41485ACE" w:rsidR="00153507" w:rsidRPr="00D2604E" w:rsidRDefault="00153507" w:rsidP="00153507">
            <w:pPr>
              <w:spacing w:after="0" w:line="240" w:lineRule="auto"/>
              <w:ind w:left="113" w:right="55" w:firstLine="94"/>
              <w:jc w:val="both"/>
              <w:outlineLvl w:val="0"/>
              <w:rPr>
                <w:rFonts w:ascii="Times New Roman" w:eastAsia="Times New Roman" w:hAnsi="Times New Roman" w:cs="Times New Roman"/>
                <w:sz w:val="24"/>
                <w:szCs w:val="24"/>
              </w:rPr>
            </w:pPr>
            <w:bookmarkStart w:id="2" w:name="p61"/>
            <w:bookmarkEnd w:id="2"/>
            <w:r w:rsidRPr="00D2604E">
              <w:rPr>
                <w:rFonts w:ascii="Times New Roman" w:eastAsia="Times New Roman" w:hAnsi="Times New Roman" w:cs="Times New Roman"/>
                <w:sz w:val="24"/>
                <w:szCs w:val="24"/>
              </w:rPr>
              <w:t>2013.gada 31.maijā Valsts ieņēmumu dienesta interneta mājas lapā tika publicēta informācija par vietējās muitošanas procedūras pamatnosacījumiem</w:t>
            </w:r>
            <w:r w:rsidR="009C359B" w:rsidRPr="00D2604E">
              <w:rPr>
                <w:rFonts w:ascii="Times New Roman" w:eastAsia="Times New Roman" w:hAnsi="Times New Roman" w:cs="Times New Roman"/>
                <w:sz w:val="24"/>
                <w:szCs w:val="24"/>
              </w:rPr>
              <w:t>, vēlāk papildinot un aktualizējot.</w:t>
            </w:r>
          </w:p>
          <w:p w14:paraId="06BF61BE" w14:textId="77777777" w:rsidR="00153507" w:rsidRPr="00D2604E" w:rsidRDefault="00153507" w:rsidP="00153507">
            <w:pPr>
              <w:spacing w:after="0" w:line="240" w:lineRule="auto"/>
              <w:ind w:left="113" w:right="55" w:firstLine="94"/>
              <w:jc w:val="both"/>
              <w:outlineLvl w:val="0"/>
              <w:rPr>
                <w:rFonts w:ascii="Times New Roman" w:eastAsia="Times New Roman" w:hAnsi="Times New Roman" w:cs="Times New Roman"/>
                <w:sz w:val="24"/>
                <w:szCs w:val="24"/>
              </w:rPr>
            </w:pPr>
            <w:r w:rsidRPr="00D2604E">
              <w:rPr>
                <w:rFonts w:ascii="Times New Roman" w:eastAsia="Times New Roman" w:hAnsi="Times New Roman" w:cs="Times New Roman"/>
                <w:sz w:val="24"/>
                <w:szCs w:val="24"/>
              </w:rPr>
              <w:t xml:space="preserve">2013.gada 12.jūnijā visiem vienkāršoto procedūru atļauju turētājiem vietējai muitošanas procedūrai tika nosūtīts e-pasts ar informāciju par vietējās muitošanas procedūras pamatnosacījumiem. </w:t>
            </w:r>
          </w:p>
          <w:p w14:paraId="77155FFB" w14:textId="17A04DF7" w:rsidR="00153507" w:rsidRPr="00D2604E" w:rsidRDefault="00153507" w:rsidP="00153507">
            <w:pPr>
              <w:spacing w:after="0" w:line="240" w:lineRule="auto"/>
              <w:ind w:left="113" w:right="55" w:firstLine="94"/>
              <w:jc w:val="both"/>
              <w:outlineLvl w:val="0"/>
              <w:rPr>
                <w:rFonts w:ascii="Times New Roman" w:eastAsia="Times New Roman" w:hAnsi="Times New Roman" w:cs="Times New Roman"/>
                <w:sz w:val="24"/>
                <w:szCs w:val="24"/>
              </w:rPr>
            </w:pPr>
            <w:r w:rsidRPr="00D2604E">
              <w:rPr>
                <w:rFonts w:ascii="Times New Roman" w:eastAsia="Times New Roman" w:hAnsi="Times New Roman" w:cs="Times New Roman"/>
                <w:sz w:val="24"/>
                <w:szCs w:val="24"/>
              </w:rPr>
              <w:t>Valsts ieņēmumu dienests sagatavoj</w:t>
            </w:r>
            <w:r w:rsidR="00362CA7" w:rsidRPr="00D2604E">
              <w:rPr>
                <w:rFonts w:ascii="Times New Roman" w:eastAsia="Times New Roman" w:hAnsi="Times New Roman" w:cs="Times New Roman"/>
                <w:sz w:val="24"/>
                <w:szCs w:val="24"/>
              </w:rPr>
              <w:t>a</w:t>
            </w:r>
            <w:r w:rsidRPr="00D2604E">
              <w:rPr>
                <w:rFonts w:ascii="Times New Roman" w:eastAsia="Times New Roman" w:hAnsi="Times New Roman" w:cs="Times New Roman"/>
                <w:sz w:val="24"/>
                <w:szCs w:val="24"/>
              </w:rPr>
              <w:t xml:space="preserve"> un nosūtīj</w:t>
            </w:r>
            <w:r w:rsidR="00362CA7" w:rsidRPr="00D2604E">
              <w:rPr>
                <w:rFonts w:ascii="Times New Roman" w:eastAsia="Times New Roman" w:hAnsi="Times New Roman" w:cs="Times New Roman"/>
                <w:sz w:val="24"/>
                <w:szCs w:val="24"/>
              </w:rPr>
              <w:t>a</w:t>
            </w:r>
            <w:r w:rsidRPr="00D2604E">
              <w:rPr>
                <w:rFonts w:ascii="Times New Roman" w:eastAsia="Times New Roman" w:hAnsi="Times New Roman" w:cs="Times New Roman"/>
                <w:sz w:val="24"/>
                <w:szCs w:val="24"/>
              </w:rPr>
              <w:t xml:space="preserve"> vēstules vienkāršoto procedūru atļauju turētājiem, ar lūgumu saskaņā ar Regulas Nr.2454/93 253.panta ceturto punktu līdz 2013.gada beigām sakārtot esošās preču uzskaites sistēmas, nodrošinot nepieciešamo datu kopumu, lai nodrošinātu </w:t>
            </w:r>
            <w:r w:rsidR="00362CA7" w:rsidRPr="00D2604E">
              <w:rPr>
                <w:rFonts w:ascii="Times New Roman" w:eastAsia="Times New Roman" w:hAnsi="Times New Roman" w:cs="Times New Roman"/>
                <w:sz w:val="24"/>
                <w:szCs w:val="24"/>
              </w:rPr>
              <w:t xml:space="preserve">muitas vienkāršojumu izmantošanas </w:t>
            </w:r>
            <w:r w:rsidRPr="00D2604E">
              <w:rPr>
                <w:rFonts w:ascii="Times New Roman" w:eastAsia="Times New Roman" w:hAnsi="Times New Roman" w:cs="Times New Roman"/>
                <w:sz w:val="24"/>
                <w:szCs w:val="24"/>
              </w:rPr>
              <w:t>nepārtrauktību</w:t>
            </w:r>
            <w:r w:rsidR="00362CA7" w:rsidRPr="00D2604E">
              <w:rPr>
                <w:rFonts w:ascii="Times New Roman" w:eastAsia="Times New Roman" w:hAnsi="Times New Roman" w:cs="Times New Roman"/>
                <w:sz w:val="24"/>
                <w:szCs w:val="24"/>
              </w:rPr>
              <w:t>, kad tiek</w:t>
            </w:r>
            <w:r w:rsidRPr="00D2604E">
              <w:rPr>
                <w:rFonts w:ascii="Times New Roman" w:eastAsia="Times New Roman" w:hAnsi="Times New Roman" w:cs="Times New Roman"/>
                <w:sz w:val="24"/>
                <w:szCs w:val="24"/>
              </w:rPr>
              <w:t xml:space="preserve"> </w:t>
            </w:r>
            <w:r w:rsidR="00362CA7" w:rsidRPr="00D2604E">
              <w:rPr>
                <w:rFonts w:ascii="Times New Roman" w:eastAsia="Times New Roman" w:hAnsi="Times New Roman" w:cs="Times New Roman"/>
                <w:sz w:val="24"/>
                <w:szCs w:val="24"/>
              </w:rPr>
              <w:t>uzsākta</w:t>
            </w:r>
            <w:r w:rsidRPr="00D2604E">
              <w:rPr>
                <w:rFonts w:ascii="Times New Roman" w:eastAsia="Times New Roman" w:hAnsi="Times New Roman" w:cs="Times New Roman"/>
                <w:sz w:val="24"/>
                <w:szCs w:val="24"/>
              </w:rPr>
              <w:t xml:space="preserve"> Elektroniskās muitas datu apstrādes sistēmas </w:t>
            </w:r>
            <w:r w:rsidR="00362CA7" w:rsidRPr="00D2604E">
              <w:rPr>
                <w:rFonts w:ascii="Times New Roman" w:eastAsia="Times New Roman" w:hAnsi="Times New Roman" w:cs="Times New Roman"/>
                <w:sz w:val="24"/>
                <w:szCs w:val="24"/>
              </w:rPr>
              <w:t>izmantošana importa muitas deklarāciju noformēšana</w:t>
            </w:r>
            <w:r w:rsidRPr="00D2604E">
              <w:rPr>
                <w:rFonts w:ascii="Times New Roman" w:eastAsia="Times New Roman" w:hAnsi="Times New Roman" w:cs="Times New Roman"/>
                <w:sz w:val="24"/>
                <w:szCs w:val="24"/>
              </w:rPr>
              <w:t>.</w:t>
            </w:r>
          </w:p>
          <w:p w14:paraId="0A10159A" w14:textId="77777777" w:rsidR="00153507" w:rsidRPr="00D2604E" w:rsidRDefault="00153507" w:rsidP="00153507">
            <w:pPr>
              <w:spacing w:after="0" w:line="240" w:lineRule="auto"/>
              <w:ind w:left="113" w:firstLine="94"/>
              <w:jc w:val="both"/>
              <w:rPr>
                <w:rFonts w:ascii="Times New Roman" w:hAnsi="Times New Roman" w:cs="Times New Roman"/>
                <w:sz w:val="24"/>
                <w:szCs w:val="24"/>
              </w:rPr>
            </w:pPr>
            <w:r w:rsidRPr="00D2604E">
              <w:rPr>
                <w:rFonts w:ascii="Times New Roman" w:hAnsi="Times New Roman" w:cs="Times New Roman"/>
                <w:color w:val="000000" w:themeColor="text1"/>
                <w:sz w:val="24"/>
                <w:szCs w:val="24"/>
              </w:rPr>
              <w:t>Valsts ieņēmumu dienesta Muitas pārvalde rīkoja vairākus bezmaksas seminārus par izmaiņām vietējās muitošanas un vienkāršotās deklarēšanas piemērošanā (30.09.2013., 28.10.2013.) un par jauno importa deklarēšanas sistēmu, iekļaujot informāciju par izmaiņām vienkāršotajās procedūrās (01.10.2013., 14.10.2013., 30.10.2013., 16.10.2013., 25.04.2014.).</w:t>
            </w:r>
          </w:p>
          <w:p w14:paraId="5C5F7C10" w14:textId="77777777" w:rsidR="00DA6C86" w:rsidRPr="00D2604E" w:rsidRDefault="00DA6C86" w:rsidP="00153507">
            <w:pPr>
              <w:shd w:val="clear" w:color="auto" w:fill="FFFFFF"/>
              <w:spacing w:after="0" w:line="240" w:lineRule="auto"/>
              <w:ind w:right="142"/>
              <w:jc w:val="both"/>
              <w:rPr>
                <w:rFonts w:ascii="Times New Roman" w:hAnsi="Times New Roman" w:cs="Times New Roman"/>
                <w:sz w:val="24"/>
                <w:szCs w:val="24"/>
              </w:rPr>
            </w:pPr>
          </w:p>
        </w:tc>
      </w:tr>
      <w:tr w:rsidR="00991CBE" w:rsidRPr="00D2604E" w14:paraId="18DBAD8A" w14:textId="77777777" w:rsidTr="006547C9">
        <w:trPr>
          <w:trHeight w:val="339"/>
          <w:jc w:val="center"/>
        </w:trPr>
        <w:tc>
          <w:tcPr>
            <w:tcW w:w="1053" w:type="dxa"/>
          </w:tcPr>
          <w:p w14:paraId="3F9074AE" w14:textId="77777777" w:rsidR="00DA6C86" w:rsidRPr="00D2604E" w:rsidRDefault="000A3AEB" w:rsidP="00153507">
            <w:pPr>
              <w:spacing w:after="0" w:line="240" w:lineRule="auto"/>
              <w:ind w:left="57" w:right="57"/>
              <w:jc w:val="both"/>
              <w:rPr>
                <w:rFonts w:ascii="Times New Roman" w:hAnsi="Times New Roman" w:cs="Times New Roman"/>
                <w:bCs/>
                <w:sz w:val="24"/>
                <w:szCs w:val="24"/>
              </w:rPr>
            </w:pPr>
            <w:r w:rsidRPr="00D2604E">
              <w:rPr>
                <w:rFonts w:ascii="Times New Roman" w:hAnsi="Times New Roman" w:cs="Times New Roman"/>
                <w:bCs/>
                <w:sz w:val="24"/>
                <w:szCs w:val="24"/>
              </w:rPr>
              <w:lastRenderedPageBreak/>
              <w:t>2.</w:t>
            </w:r>
          </w:p>
        </w:tc>
        <w:tc>
          <w:tcPr>
            <w:tcW w:w="2710" w:type="dxa"/>
          </w:tcPr>
          <w:p w14:paraId="23D918B2" w14:textId="77777777" w:rsidR="00DA6C86" w:rsidRPr="00D2604E" w:rsidRDefault="00DA6C86" w:rsidP="00153507">
            <w:pPr>
              <w:spacing w:after="0" w:line="240" w:lineRule="auto"/>
              <w:ind w:left="57" w:right="57"/>
              <w:jc w:val="both"/>
              <w:rPr>
                <w:rFonts w:ascii="Times New Roman" w:hAnsi="Times New Roman" w:cs="Times New Roman"/>
                <w:sz w:val="24"/>
                <w:szCs w:val="24"/>
              </w:rPr>
            </w:pPr>
            <w:r w:rsidRPr="00D2604E">
              <w:rPr>
                <w:rFonts w:ascii="Times New Roman" w:hAnsi="Times New Roman" w:cs="Times New Roman"/>
                <w:sz w:val="24"/>
                <w:szCs w:val="24"/>
              </w:rPr>
              <w:t>Sabiedrības līdzdalība projekta izstrādē</w:t>
            </w:r>
          </w:p>
        </w:tc>
        <w:tc>
          <w:tcPr>
            <w:tcW w:w="6165" w:type="dxa"/>
          </w:tcPr>
          <w:p w14:paraId="269AB9EE" w14:textId="40BA3142" w:rsidR="00D20B04" w:rsidRPr="00D2604E" w:rsidRDefault="00153507" w:rsidP="00153507">
            <w:pPr>
              <w:shd w:val="clear" w:color="auto" w:fill="FFFFFF"/>
              <w:spacing w:after="0" w:line="240" w:lineRule="auto"/>
              <w:ind w:left="65" w:right="142" w:firstLine="142"/>
              <w:jc w:val="both"/>
              <w:rPr>
                <w:rFonts w:ascii="Times New Roman" w:hAnsi="Times New Roman" w:cs="Times New Roman"/>
                <w:sz w:val="24"/>
                <w:szCs w:val="24"/>
              </w:rPr>
            </w:pPr>
            <w:bookmarkStart w:id="3" w:name="p62"/>
            <w:bookmarkEnd w:id="3"/>
            <w:r w:rsidRPr="00D2604E">
              <w:rPr>
                <w:rFonts w:ascii="Times New Roman" w:hAnsi="Times New Roman" w:cs="Times New Roman"/>
                <w:iCs/>
                <w:sz w:val="24"/>
                <w:szCs w:val="24"/>
              </w:rPr>
              <w:t xml:space="preserve">Kā pilotprojekts no 2013.gada marta ieviesta jauna vietējās muitošanas procedūras piemērošanas prakse – </w:t>
            </w:r>
            <w:r w:rsidRPr="00D2604E">
              <w:rPr>
                <w:rFonts w:ascii="Times New Roman" w:hAnsi="Times New Roman" w:cs="Times New Roman"/>
                <w:sz w:val="24"/>
                <w:szCs w:val="24"/>
              </w:rPr>
              <w:t>muitas procedūras – laišana brīvā apgrozībā piemērošanas kārtība ar preču ņemšanu uzskaitē kurjerpasta sūtījumiem, kuri atrodas SIA “DHL Latvia” muitas noliktavā.</w:t>
            </w:r>
          </w:p>
        </w:tc>
      </w:tr>
      <w:tr w:rsidR="00991CBE" w:rsidRPr="00D2604E" w14:paraId="557A04FA" w14:textId="77777777" w:rsidTr="006547C9">
        <w:trPr>
          <w:trHeight w:val="476"/>
          <w:jc w:val="center"/>
        </w:trPr>
        <w:tc>
          <w:tcPr>
            <w:tcW w:w="1053" w:type="dxa"/>
          </w:tcPr>
          <w:p w14:paraId="3E9D44F3" w14:textId="77777777" w:rsidR="00DA6C86" w:rsidRPr="00D2604E" w:rsidRDefault="00DA6C86" w:rsidP="004278EA">
            <w:pPr>
              <w:spacing w:after="0" w:line="240" w:lineRule="auto"/>
              <w:ind w:left="57" w:right="57"/>
              <w:jc w:val="both"/>
              <w:rPr>
                <w:rFonts w:ascii="Times New Roman" w:hAnsi="Times New Roman" w:cs="Times New Roman"/>
                <w:bCs/>
                <w:sz w:val="24"/>
                <w:szCs w:val="24"/>
              </w:rPr>
            </w:pPr>
            <w:r w:rsidRPr="00D2604E">
              <w:rPr>
                <w:rFonts w:ascii="Times New Roman" w:hAnsi="Times New Roman" w:cs="Times New Roman"/>
                <w:bCs/>
                <w:sz w:val="24"/>
                <w:szCs w:val="24"/>
              </w:rPr>
              <w:t>3.</w:t>
            </w:r>
          </w:p>
        </w:tc>
        <w:tc>
          <w:tcPr>
            <w:tcW w:w="2710" w:type="dxa"/>
          </w:tcPr>
          <w:p w14:paraId="326AF27F" w14:textId="77777777" w:rsidR="00DA6C86" w:rsidRPr="00D2604E" w:rsidRDefault="00DA6C86" w:rsidP="004278EA">
            <w:pPr>
              <w:spacing w:after="0" w:line="240" w:lineRule="auto"/>
              <w:ind w:left="57" w:right="57"/>
              <w:rPr>
                <w:rFonts w:ascii="Times New Roman" w:hAnsi="Times New Roman" w:cs="Times New Roman"/>
                <w:sz w:val="24"/>
                <w:szCs w:val="24"/>
              </w:rPr>
            </w:pPr>
            <w:r w:rsidRPr="00D2604E">
              <w:rPr>
                <w:rFonts w:ascii="Times New Roman" w:hAnsi="Times New Roman" w:cs="Times New Roman"/>
                <w:sz w:val="24"/>
                <w:szCs w:val="24"/>
              </w:rPr>
              <w:t>Sabiedrības līdzdalības rezultāti</w:t>
            </w:r>
          </w:p>
        </w:tc>
        <w:tc>
          <w:tcPr>
            <w:tcW w:w="6165" w:type="dxa"/>
          </w:tcPr>
          <w:p w14:paraId="4AC07CA1" w14:textId="3DD2B521" w:rsidR="004E2524" w:rsidRPr="00D2604E" w:rsidRDefault="00153507" w:rsidP="00153507">
            <w:pPr>
              <w:shd w:val="clear" w:color="auto" w:fill="FFFFFF"/>
              <w:tabs>
                <w:tab w:val="left" w:pos="878"/>
              </w:tabs>
              <w:spacing w:after="0" w:line="240" w:lineRule="auto"/>
              <w:ind w:left="65" w:right="142" w:firstLine="142"/>
              <w:jc w:val="both"/>
              <w:rPr>
                <w:rFonts w:ascii="Times New Roman" w:hAnsi="Times New Roman" w:cs="Times New Roman"/>
                <w:sz w:val="24"/>
                <w:szCs w:val="24"/>
              </w:rPr>
            </w:pPr>
            <w:r w:rsidRPr="00D2604E">
              <w:rPr>
                <w:rFonts w:ascii="Times New Roman" w:eastAsia="Times New Roman" w:hAnsi="Times New Roman" w:cs="Times New Roman"/>
                <w:sz w:val="24"/>
                <w:szCs w:val="24"/>
              </w:rPr>
              <w:t>Vienkāršoto procedūru atļauju turētāji vietējās muitošanas procedūrām ievešanas procedūrām veic esošo preču uzskaišu pielāgošanu atļaujas izmantošanas turpināšanai pēc 2014.gada 6.maija; uzsāk elektronisku preču uzskaites sistēmu izveidi.</w:t>
            </w:r>
          </w:p>
        </w:tc>
      </w:tr>
      <w:tr w:rsidR="00991CBE" w:rsidRPr="00D2604E" w14:paraId="5EB020A2" w14:textId="77777777" w:rsidTr="006547C9">
        <w:trPr>
          <w:trHeight w:val="244"/>
          <w:jc w:val="center"/>
        </w:trPr>
        <w:tc>
          <w:tcPr>
            <w:tcW w:w="1053" w:type="dxa"/>
          </w:tcPr>
          <w:p w14:paraId="451DD884" w14:textId="77777777" w:rsidR="00DA6C86" w:rsidRPr="00D2604E" w:rsidRDefault="004D6D5B" w:rsidP="004278EA">
            <w:pPr>
              <w:spacing w:after="0" w:line="240" w:lineRule="auto"/>
              <w:ind w:left="57" w:right="57"/>
              <w:jc w:val="both"/>
              <w:rPr>
                <w:rFonts w:ascii="Times New Roman" w:hAnsi="Times New Roman" w:cs="Times New Roman"/>
                <w:bCs/>
                <w:sz w:val="24"/>
                <w:szCs w:val="24"/>
              </w:rPr>
            </w:pPr>
            <w:r w:rsidRPr="00D2604E">
              <w:rPr>
                <w:rFonts w:ascii="Times New Roman" w:hAnsi="Times New Roman" w:cs="Times New Roman"/>
                <w:bCs/>
                <w:sz w:val="24"/>
                <w:szCs w:val="24"/>
              </w:rPr>
              <w:t>4.</w:t>
            </w:r>
          </w:p>
        </w:tc>
        <w:tc>
          <w:tcPr>
            <w:tcW w:w="2710" w:type="dxa"/>
          </w:tcPr>
          <w:p w14:paraId="250816CC" w14:textId="77777777" w:rsidR="00DA6C86" w:rsidRPr="00D2604E" w:rsidRDefault="00DA6C86" w:rsidP="004278EA">
            <w:pPr>
              <w:spacing w:after="0" w:line="240" w:lineRule="auto"/>
              <w:ind w:left="57" w:right="57"/>
              <w:rPr>
                <w:rFonts w:ascii="Times New Roman" w:hAnsi="Times New Roman" w:cs="Times New Roman"/>
                <w:sz w:val="24"/>
                <w:szCs w:val="24"/>
              </w:rPr>
            </w:pPr>
            <w:r w:rsidRPr="00D2604E">
              <w:rPr>
                <w:rFonts w:ascii="Times New Roman" w:hAnsi="Times New Roman" w:cs="Times New Roman"/>
                <w:sz w:val="24"/>
                <w:szCs w:val="24"/>
              </w:rPr>
              <w:t>Cita informācija</w:t>
            </w:r>
          </w:p>
        </w:tc>
        <w:tc>
          <w:tcPr>
            <w:tcW w:w="6165" w:type="dxa"/>
          </w:tcPr>
          <w:p w14:paraId="425F5797" w14:textId="77777777" w:rsidR="00DA6C86" w:rsidRPr="00D2604E" w:rsidRDefault="00380812" w:rsidP="004278EA">
            <w:pPr>
              <w:spacing w:after="0" w:line="240" w:lineRule="auto"/>
              <w:ind w:right="57"/>
              <w:jc w:val="both"/>
              <w:rPr>
                <w:rFonts w:ascii="Times New Roman" w:hAnsi="Times New Roman" w:cs="Times New Roman"/>
                <w:sz w:val="24"/>
                <w:szCs w:val="24"/>
              </w:rPr>
            </w:pPr>
            <w:r w:rsidRPr="00D2604E">
              <w:rPr>
                <w:rFonts w:ascii="Times New Roman" w:hAnsi="Times New Roman" w:cs="Times New Roman"/>
                <w:sz w:val="24"/>
                <w:szCs w:val="24"/>
              </w:rPr>
              <w:t>Nav</w:t>
            </w:r>
          </w:p>
        </w:tc>
      </w:tr>
    </w:tbl>
    <w:p w14:paraId="25E0CC75" w14:textId="77777777" w:rsidR="00887FE5" w:rsidRPr="005B3F9D" w:rsidRDefault="00887FE5" w:rsidP="004278EA">
      <w:pPr>
        <w:spacing w:after="0" w:line="240" w:lineRule="auto"/>
        <w:rPr>
          <w:rFonts w:ascii="Times New Roman" w:hAnsi="Times New Roman" w:cs="Times New Roman"/>
          <w:highlight w:val="yellow"/>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1071"/>
        <w:gridCol w:w="3595"/>
        <w:gridCol w:w="5256"/>
      </w:tblGrid>
      <w:tr w:rsidR="00991CBE" w:rsidRPr="00D2604E" w14:paraId="5BCC75AE" w14:textId="77777777" w:rsidTr="006547C9">
        <w:trPr>
          <w:trHeight w:val="381"/>
          <w:jc w:val="center"/>
        </w:trPr>
        <w:tc>
          <w:tcPr>
            <w:tcW w:w="9922" w:type="dxa"/>
            <w:gridSpan w:val="3"/>
            <w:vAlign w:val="center"/>
          </w:tcPr>
          <w:p w14:paraId="3C1063AB" w14:textId="77777777" w:rsidR="00DA6C86" w:rsidRPr="00D2604E" w:rsidRDefault="00DA6C86" w:rsidP="004278EA">
            <w:pPr>
              <w:pStyle w:val="naisnod"/>
              <w:spacing w:before="0" w:beforeAutospacing="0" w:after="0" w:afterAutospacing="0"/>
              <w:ind w:left="57" w:right="57"/>
              <w:jc w:val="center"/>
            </w:pPr>
            <w:r w:rsidRPr="00D2604E">
              <w:rPr>
                <w:b/>
              </w:rPr>
              <w:t>VII. Tiesību akta projekta izpildes nodrošināšana un tās ietekme uz institūcijām</w:t>
            </w:r>
          </w:p>
        </w:tc>
      </w:tr>
      <w:tr w:rsidR="00DA6C86" w:rsidRPr="00D2604E" w14:paraId="1F0481C8" w14:textId="77777777" w:rsidTr="006547C9">
        <w:trPr>
          <w:trHeight w:val="427"/>
          <w:jc w:val="center"/>
        </w:trPr>
        <w:tc>
          <w:tcPr>
            <w:tcW w:w="1071" w:type="dxa"/>
          </w:tcPr>
          <w:p w14:paraId="4DCB76E4" w14:textId="77777777" w:rsidR="00DA6C86" w:rsidRPr="00D2604E" w:rsidRDefault="00DA6C86" w:rsidP="004278EA">
            <w:pPr>
              <w:pStyle w:val="naisnod"/>
              <w:spacing w:before="0" w:beforeAutospacing="0" w:after="0" w:afterAutospacing="0"/>
              <w:ind w:left="57" w:right="57"/>
              <w:jc w:val="both"/>
            </w:pPr>
            <w:r w:rsidRPr="00D2604E">
              <w:t>1.</w:t>
            </w:r>
          </w:p>
        </w:tc>
        <w:tc>
          <w:tcPr>
            <w:tcW w:w="3595" w:type="dxa"/>
          </w:tcPr>
          <w:p w14:paraId="119CEB23" w14:textId="77777777" w:rsidR="00DA6C86" w:rsidRPr="00D2604E" w:rsidRDefault="00DA6C86" w:rsidP="004278EA">
            <w:pPr>
              <w:pStyle w:val="naisf"/>
              <w:spacing w:before="0" w:beforeAutospacing="0" w:after="0" w:afterAutospacing="0"/>
              <w:ind w:left="57" w:right="57"/>
            </w:pPr>
            <w:r w:rsidRPr="00D2604E">
              <w:t>Projekta izpildē iesaistītās institūcijas</w:t>
            </w:r>
          </w:p>
        </w:tc>
        <w:tc>
          <w:tcPr>
            <w:tcW w:w="5256" w:type="dxa"/>
          </w:tcPr>
          <w:p w14:paraId="4BF55D2E" w14:textId="12010EA9" w:rsidR="00DA6C86" w:rsidRPr="00D2604E" w:rsidRDefault="00AF509E" w:rsidP="004278EA">
            <w:pPr>
              <w:shd w:val="clear" w:color="auto" w:fill="FFFFFF"/>
              <w:spacing w:after="0" w:line="240" w:lineRule="auto"/>
              <w:jc w:val="both"/>
              <w:rPr>
                <w:rFonts w:ascii="Times New Roman" w:hAnsi="Times New Roman" w:cs="Times New Roman"/>
                <w:sz w:val="24"/>
                <w:szCs w:val="24"/>
              </w:rPr>
            </w:pPr>
            <w:bookmarkStart w:id="4" w:name="p66"/>
            <w:bookmarkStart w:id="5" w:name="p67"/>
            <w:bookmarkStart w:id="6" w:name="p68"/>
            <w:bookmarkStart w:id="7" w:name="p69"/>
            <w:bookmarkEnd w:id="4"/>
            <w:bookmarkEnd w:id="5"/>
            <w:bookmarkEnd w:id="6"/>
            <w:bookmarkEnd w:id="7"/>
            <w:r w:rsidRPr="00D2604E">
              <w:rPr>
                <w:rFonts w:ascii="Times New Roman" w:hAnsi="Times New Roman" w:cs="Times New Roman"/>
                <w:sz w:val="24"/>
                <w:szCs w:val="24"/>
              </w:rPr>
              <w:t>Valsts ieņēmumu dienests</w:t>
            </w:r>
          </w:p>
        </w:tc>
      </w:tr>
      <w:tr w:rsidR="00DA6C86" w:rsidRPr="00D2604E" w14:paraId="246A0920" w14:textId="77777777" w:rsidTr="006547C9">
        <w:trPr>
          <w:trHeight w:val="2062"/>
          <w:jc w:val="center"/>
        </w:trPr>
        <w:tc>
          <w:tcPr>
            <w:tcW w:w="1071" w:type="dxa"/>
          </w:tcPr>
          <w:p w14:paraId="0AF3A7DB" w14:textId="77777777" w:rsidR="00DA6C86" w:rsidRPr="00D2604E" w:rsidRDefault="00DA6C86" w:rsidP="004278EA">
            <w:pPr>
              <w:pStyle w:val="naisnod"/>
              <w:spacing w:before="0" w:beforeAutospacing="0" w:after="0" w:afterAutospacing="0"/>
              <w:ind w:left="57" w:right="57"/>
              <w:jc w:val="both"/>
            </w:pPr>
            <w:r w:rsidRPr="00D2604E">
              <w:t>2.</w:t>
            </w:r>
          </w:p>
        </w:tc>
        <w:tc>
          <w:tcPr>
            <w:tcW w:w="3595" w:type="dxa"/>
          </w:tcPr>
          <w:p w14:paraId="407B3A00" w14:textId="4D9C3047" w:rsidR="00DA6C86" w:rsidRPr="00D2604E" w:rsidRDefault="00DA6C86" w:rsidP="004278EA">
            <w:pPr>
              <w:pStyle w:val="naisf"/>
              <w:spacing w:before="0" w:beforeAutospacing="0" w:after="0" w:afterAutospacing="0"/>
              <w:ind w:left="57" w:right="57"/>
              <w:rPr>
                <w:spacing w:val="-4"/>
              </w:rPr>
            </w:pPr>
            <w:r w:rsidRPr="00D2604E">
              <w:rPr>
                <w:spacing w:val="-4"/>
              </w:rPr>
              <w:t>Projekta izpildes iet</w:t>
            </w:r>
            <w:r w:rsidR="002C5BB1" w:rsidRPr="00D2604E">
              <w:rPr>
                <w:spacing w:val="-4"/>
              </w:rPr>
              <w:t xml:space="preserve">ekme uz pārvaldes funkcijām un </w:t>
            </w:r>
            <w:r w:rsidRPr="00D2604E">
              <w:rPr>
                <w:spacing w:val="-4"/>
              </w:rPr>
              <w:t>institucionālo struktūru.</w:t>
            </w:r>
          </w:p>
          <w:p w14:paraId="526CE9BD" w14:textId="7BF4E72F" w:rsidR="00DA6C86" w:rsidRPr="00D2604E" w:rsidRDefault="00DA6C86" w:rsidP="004278EA">
            <w:pPr>
              <w:pStyle w:val="naisf"/>
              <w:spacing w:before="0" w:beforeAutospacing="0" w:after="0" w:afterAutospacing="0"/>
              <w:ind w:left="57" w:right="57"/>
            </w:pPr>
            <w:r w:rsidRPr="00D2604E">
              <w:rPr>
                <w:spacing w:val="-4"/>
              </w:rPr>
              <w:t>Jaunu institūciju izveide, esošu institūciju likvidācija vai reorganizācija, to ietekme uz institūcijas cilvēkresursiem.</w:t>
            </w:r>
          </w:p>
        </w:tc>
        <w:tc>
          <w:tcPr>
            <w:tcW w:w="5256" w:type="dxa"/>
          </w:tcPr>
          <w:p w14:paraId="374FEC66" w14:textId="66CA2878" w:rsidR="006837F1" w:rsidRPr="00D2604E" w:rsidRDefault="00903A2D" w:rsidP="004278EA">
            <w:pPr>
              <w:shd w:val="clear" w:color="auto" w:fill="FFFFFF"/>
              <w:spacing w:after="0" w:line="240" w:lineRule="auto"/>
              <w:ind w:right="57" w:hanging="11"/>
              <w:jc w:val="both"/>
              <w:rPr>
                <w:rFonts w:ascii="Times New Roman" w:eastAsia="Calibri" w:hAnsi="Times New Roman" w:cs="Times New Roman"/>
                <w:sz w:val="24"/>
                <w:szCs w:val="24"/>
                <w:lang w:eastAsia="en-US"/>
              </w:rPr>
            </w:pPr>
            <w:r w:rsidRPr="00D2604E">
              <w:rPr>
                <w:rFonts w:ascii="Times New Roman" w:eastAsia="Calibri" w:hAnsi="Times New Roman" w:cs="Times New Roman"/>
                <w:sz w:val="24"/>
                <w:szCs w:val="24"/>
                <w:lang w:eastAsia="en-US"/>
              </w:rPr>
              <w:t>Netiek radīta jauna pārvaldes funkcija un jauna  institūcija</w:t>
            </w:r>
            <w:r w:rsidR="00960E36" w:rsidRPr="00D2604E">
              <w:rPr>
                <w:rFonts w:ascii="Times New Roman" w:eastAsia="Calibri" w:hAnsi="Times New Roman" w:cs="Times New Roman"/>
                <w:sz w:val="24"/>
                <w:szCs w:val="24"/>
                <w:lang w:eastAsia="en-US"/>
              </w:rPr>
              <w:t>, kā arī esošu ins</w:t>
            </w:r>
            <w:r w:rsidR="00AF509E" w:rsidRPr="00D2604E">
              <w:rPr>
                <w:rFonts w:ascii="Times New Roman" w:eastAsia="Calibri" w:hAnsi="Times New Roman" w:cs="Times New Roman"/>
                <w:sz w:val="24"/>
                <w:szCs w:val="24"/>
                <w:lang w:eastAsia="en-US"/>
              </w:rPr>
              <w:t>titūciju likvidācija vai reorga</w:t>
            </w:r>
            <w:r w:rsidR="00960E36" w:rsidRPr="00D2604E">
              <w:rPr>
                <w:rFonts w:ascii="Times New Roman" w:eastAsia="Calibri" w:hAnsi="Times New Roman" w:cs="Times New Roman"/>
                <w:sz w:val="24"/>
                <w:szCs w:val="24"/>
                <w:lang w:eastAsia="en-US"/>
              </w:rPr>
              <w:t>nizācija.</w:t>
            </w:r>
          </w:p>
          <w:p w14:paraId="102CDEBF" w14:textId="6FCEB578" w:rsidR="000A0B88" w:rsidRPr="00D2604E" w:rsidRDefault="000A0B88" w:rsidP="004278EA">
            <w:pPr>
              <w:shd w:val="clear" w:color="auto" w:fill="FFFFFF"/>
              <w:spacing w:after="0" w:line="240" w:lineRule="auto"/>
              <w:ind w:right="57" w:hanging="11"/>
              <w:jc w:val="both"/>
              <w:rPr>
                <w:rFonts w:ascii="Times New Roman" w:hAnsi="Times New Roman" w:cs="Times New Roman"/>
                <w:sz w:val="24"/>
                <w:szCs w:val="24"/>
              </w:rPr>
            </w:pPr>
          </w:p>
        </w:tc>
      </w:tr>
      <w:tr w:rsidR="00DA6C86" w:rsidRPr="00D2604E" w14:paraId="5E6FF532" w14:textId="77777777" w:rsidTr="006547C9">
        <w:trPr>
          <w:trHeight w:val="246"/>
          <w:jc w:val="center"/>
        </w:trPr>
        <w:tc>
          <w:tcPr>
            <w:tcW w:w="1071" w:type="dxa"/>
            <w:tcBorders>
              <w:top w:val="single" w:sz="4" w:space="0" w:color="auto"/>
              <w:left w:val="single" w:sz="4" w:space="0" w:color="auto"/>
              <w:bottom w:val="single" w:sz="4" w:space="0" w:color="auto"/>
              <w:right w:val="single" w:sz="4" w:space="0" w:color="auto"/>
            </w:tcBorders>
          </w:tcPr>
          <w:p w14:paraId="12ECCBE5" w14:textId="77777777" w:rsidR="00DA6C86" w:rsidRPr="00D2604E" w:rsidRDefault="00DA6C86" w:rsidP="004278EA">
            <w:pPr>
              <w:pStyle w:val="naisnod"/>
              <w:spacing w:before="0" w:beforeAutospacing="0" w:after="0" w:afterAutospacing="0"/>
              <w:ind w:left="57" w:right="57"/>
              <w:jc w:val="both"/>
            </w:pPr>
            <w:r w:rsidRPr="00D2604E">
              <w:t>3.</w:t>
            </w:r>
          </w:p>
        </w:tc>
        <w:tc>
          <w:tcPr>
            <w:tcW w:w="3595" w:type="dxa"/>
            <w:tcBorders>
              <w:top w:val="single" w:sz="4" w:space="0" w:color="auto"/>
              <w:left w:val="single" w:sz="4" w:space="0" w:color="auto"/>
              <w:bottom w:val="single" w:sz="4" w:space="0" w:color="auto"/>
              <w:right w:val="single" w:sz="4" w:space="0" w:color="auto"/>
            </w:tcBorders>
          </w:tcPr>
          <w:p w14:paraId="2156DDAB" w14:textId="77777777" w:rsidR="00DA6C86" w:rsidRPr="00D2604E" w:rsidRDefault="00DA6C86" w:rsidP="004278EA">
            <w:pPr>
              <w:pStyle w:val="naisf"/>
              <w:spacing w:before="0" w:beforeAutospacing="0" w:after="0" w:afterAutospacing="0"/>
              <w:ind w:left="57" w:right="57"/>
            </w:pPr>
            <w:r w:rsidRPr="00D2604E">
              <w:t>Cita informācija</w:t>
            </w:r>
          </w:p>
        </w:tc>
        <w:tc>
          <w:tcPr>
            <w:tcW w:w="5256" w:type="dxa"/>
            <w:tcBorders>
              <w:top w:val="single" w:sz="4" w:space="0" w:color="auto"/>
              <w:left w:val="single" w:sz="4" w:space="0" w:color="auto"/>
              <w:bottom w:val="single" w:sz="4" w:space="0" w:color="auto"/>
              <w:right w:val="single" w:sz="4" w:space="0" w:color="auto"/>
            </w:tcBorders>
          </w:tcPr>
          <w:p w14:paraId="1C82BBEB" w14:textId="77777777" w:rsidR="00DA6C86" w:rsidRPr="00D2604E" w:rsidRDefault="00380812" w:rsidP="004278EA">
            <w:pPr>
              <w:spacing w:after="0" w:line="240" w:lineRule="auto"/>
              <w:ind w:left="57" w:right="57"/>
              <w:jc w:val="both"/>
              <w:rPr>
                <w:rFonts w:ascii="Times New Roman" w:hAnsi="Times New Roman" w:cs="Times New Roman"/>
                <w:sz w:val="24"/>
                <w:szCs w:val="24"/>
              </w:rPr>
            </w:pPr>
            <w:r w:rsidRPr="00D2604E">
              <w:rPr>
                <w:rFonts w:ascii="Times New Roman" w:hAnsi="Times New Roman" w:cs="Times New Roman"/>
                <w:sz w:val="24"/>
                <w:szCs w:val="24"/>
              </w:rPr>
              <w:t>Nav</w:t>
            </w:r>
          </w:p>
        </w:tc>
      </w:tr>
    </w:tbl>
    <w:p w14:paraId="3DD85E8A" w14:textId="77777777" w:rsidR="00D42259" w:rsidRPr="005B3F9D" w:rsidRDefault="00D42259" w:rsidP="004278EA">
      <w:pPr>
        <w:pStyle w:val="NoSpacing"/>
        <w:ind w:firstLine="709"/>
        <w:rPr>
          <w:rFonts w:ascii="Times New Roman" w:hAnsi="Times New Roman" w:cs="Times New Roman"/>
        </w:rPr>
      </w:pPr>
    </w:p>
    <w:p w14:paraId="06638519" w14:textId="77777777" w:rsidR="005B3F9D" w:rsidRDefault="005B3F9D" w:rsidP="006231E5">
      <w:pPr>
        <w:pStyle w:val="NoSpacing"/>
        <w:ind w:firstLine="709"/>
        <w:rPr>
          <w:rFonts w:ascii="Times New Roman" w:hAnsi="Times New Roman" w:cs="Times New Roman"/>
          <w:sz w:val="28"/>
          <w:szCs w:val="28"/>
        </w:rPr>
      </w:pPr>
    </w:p>
    <w:p w14:paraId="13D1593D" w14:textId="10A762C4" w:rsidR="00D42259" w:rsidRPr="006547C9" w:rsidRDefault="004152F7" w:rsidP="006231E5">
      <w:pPr>
        <w:pStyle w:val="NoSpacing"/>
        <w:ind w:firstLine="709"/>
        <w:rPr>
          <w:rFonts w:ascii="Times New Roman" w:hAnsi="Times New Roman" w:cs="Times New Roman"/>
          <w:sz w:val="26"/>
          <w:szCs w:val="26"/>
        </w:rPr>
      </w:pPr>
      <w:r w:rsidRPr="006547C9">
        <w:rPr>
          <w:rFonts w:ascii="Times New Roman" w:hAnsi="Times New Roman" w:cs="Times New Roman"/>
          <w:sz w:val="26"/>
          <w:szCs w:val="26"/>
        </w:rPr>
        <w:t>Finanšu ministrs</w:t>
      </w:r>
      <w:r w:rsidRPr="006547C9">
        <w:rPr>
          <w:rFonts w:ascii="Times New Roman" w:hAnsi="Times New Roman" w:cs="Times New Roman"/>
          <w:sz w:val="26"/>
          <w:szCs w:val="26"/>
        </w:rPr>
        <w:tab/>
      </w:r>
      <w:r w:rsidRPr="006547C9">
        <w:rPr>
          <w:rFonts w:ascii="Times New Roman" w:hAnsi="Times New Roman" w:cs="Times New Roman"/>
          <w:sz w:val="26"/>
          <w:szCs w:val="26"/>
        </w:rPr>
        <w:tab/>
      </w:r>
      <w:r w:rsidRPr="006547C9">
        <w:rPr>
          <w:rFonts w:ascii="Times New Roman" w:hAnsi="Times New Roman" w:cs="Times New Roman"/>
          <w:sz w:val="26"/>
          <w:szCs w:val="26"/>
        </w:rPr>
        <w:tab/>
      </w:r>
      <w:r w:rsidRPr="006547C9">
        <w:rPr>
          <w:rFonts w:ascii="Times New Roman" w:hAnsi="Times New Roman" w:cs="Times New Roman"/>
          <w:sz w:val="26"/>
          <w:szCs w:val="26"/>
        </w:rPr>
        <w:tab/>
      </w:r>
      <w:r w:rsidRPr="006547C9">
        <w:rPr>
          <w:rFonts w:ascii="Times New Roman" w:hAnsi="Times New Roman" w:cs="Times New Roman"/>
          <w:sz w:val="26"/>
          <w:szCs w:val="26"/>
        </w:rPr>
        <w:tab/>
      </w:r>
      <w:r w:rsidRPr="006547C9">
        <w:rPr>
          <w:rFonts w:ascii="Times New Roman" w:hAnsi="Times New Roman" w:cs="Times New Roman"/>
          <w:sz w:val="26"/>
          <w:szCs w:val="26"/>
        </w:rPr>
        <w:tab/>
        <w:t>Andris Vilks</w:t>
      </w:r>
    </w:p>
    <w:p w14:paraId="7DAAD746" w14:textId="77777777" w:rsidR="00556DBB" w:rsidRDefault="00556DBB" w:rsidP="004278EA">
      <w:pPr>
        <w:pStyle w:val="Header"/>
        <w:rPr>
          <w:rFonts w:ascii="Times New Roman" w:hAnsi="Times New Roman" w:cs="Times New Roman"/>
        </w:rPr>
      </w:pPr>
    </w:p>
    <w:p w14:paraId="33740EAB" w14:textId="77777777" w:rsidR="005B3F9D" w:rsidRPr="005B3F9D" w:rsidRDefault="005B3F9D" w:rsidP="004278EA">
      <w:pPr>
        <w:pStyle w:val="Header"/>
        <w:rPr>
          <w:rFonts w:ascii="Times New Roman" w:hAnsi="Times New Roman" w:cs="Times New Roman"/>
        </w:rPr>
      </w:pPr>
    </w:p>
    <w:p w14:paraId="5C1296D0" w14:textId="3060A271" w:rsidR="00236887" w:rsidRPr="006547C9" w:rsidRDefault="00072DA2" w:rsidP="004278EA">
      <w:pPr>
        <w:pStyle w:val="Header"/>
        <w:rPr>
          <w:rFonts w:ascii="Times New Roman" w:hAnsi="Times New Roman" w:cs="Times New Roman"/>
          <w:sz w:val="20"/>
          <w:szCs w:val="20"/>
        </w:rPr>
      </w:pPr>
      <w:r>
        <w:rPr>
          <w:rFonts w:ascii="Times New Roman" w:hAnsi="Times New Roman" w:cs="Times New Roman"/>
          <w:sz w:val="20"/>
          <w:szCs w:val="20"/>
        </w:rPr>
        <w:t>2</w:t>
      </w:r>
      <w:r w:rsidR="00A948F0">
        <w:rPr>
          <w:rFonts w:ascii="Times New Roman" w:hAnsi="Times New Roman" w:cs="Times New Roman"/>
          <w:sz w:val="20"/>
          <w:szCs w:val="20"/>
        </w:rPr>
        <w:t>6</w:t>
      </w:r>
      <w:r w:rsidR="00163A60" w:rsidRPr="006547C9">
        <w:rPr>
          <w:rFonts w:ascii="Times New Roman" w:hAnsi="Times New Roman" w:cs="Times New Roman"/>
          <w:sz w:val="20"/>
          <w:szCs w:val="20"/>
        </w:rPr>
        <w:t>.0</w:t>
      </w:r>
      <w:r>
        <w:rPr>
          <w:rFonts w:ascii="Times New Roman" w:hAnsi="Times New Roman" w:cs="Times New Roman"/>
          <w:sz w:val="20"/>
          <w:szCs w:val="20"/>
        </w:rPr>
        <w:t>9</w:t>
      </w:r>
      <w:r w:rsidR="00163A60" w:rsidRPr="006547C9">
        <w:rPr>
          <w:rFonts w:ascii="Times New Roman" w:hAnsi="Times New Roman" w:cs="Times New Roman"/>
          <w:sz w:val="20"/>
          <w:szCs w:val="20"/>
        </w:rPr>
        <w:t>.2014.</w:t>
      </w:r>
      <w:r w:rsidR="001D1A0E" w:rsidRPr="006547C9">
        <w:rPr>
          <w:rFonts w:ascii="Times New Roman" w:hAnsi="Times New Roman" w:cs="Times New Roman"/>
          <w:sz w:val="20"/>
          <w:szCs w:val="20"/>
        </w:rPr>
        <w:t xml:space="preserve"> </w:t>
      </w:r>
      <w:r w:rsidR="00AF0D18" w:rsidRPr="006547C9">
        <w:rPr>
          <w:rFonts w:ascii="Times New Roman" w:hAnsi="Times New Roman" w:cs="Times New Roman"/>
          <w:sz w:val="20"/>
          <w:szCs w:val="20"/>
        </w:rPr>
        <w:t>10</w:t>
      </w:r>
      <w:r w:rsidR="009D5A7C" w:rsidRPr="006547C9">
        <w:rPr>
          <w:rFonts w:ascii="Times New Roman" w:hAnsi="Times New Roman" w:cs="Times New Roman"/>
          <w:sz w:val="20"/>
          <w:szCs w:val="20"/>
        </w:rPr>
        <w:t>:</w:t>
      </w:r>
      <w:r w:rsidR="00AF0D18" w:rsidRPr="006547C9">
        <w:rPr>
          <w:rFonts w:ascii="Times New Roman" w:hAnsi="Times New Roman" w:cs="Times New Roman"/>
          <w:sz w:val="20"/>
          <w:szCs w:val="20"/>
        </w:rPr>
        <w:t>3</w:t>
      </w:r>
      <w:r w:rsidR="00F30198" w:rsidRPr="006547C9">
        <w:rPr>
          <w:rFonts w:ascii="Times New Roman" w:hAnsi="Times New Roman" w:cs="Times New Roman"/>
          <w:sz w:val="20"/>
          <w:szCs w:val="20"/>
        </w:rPr>
        <w:t>0</w:t>
      </w:r>
    </w:p>
    <w:p w14:paraId="50309023" w14:textId="6266FE1E" w:rsidR="001D1A0E" w:rsidRPr="006547C9" w:rsidRDefault="0068102D" w:rsidP="00F30198">
      <w:pPr>
        <w:pStyle w:val="Header"/>
        <w:tabs>
          <w:tab w:val="clear" w:pos="4153"/>
          <w:tab w:val="clear" w:pos="8306"/>
          <w:tab w:val="left" w:pos="4830"/>
        </w:tabs>
        <w:rPr>
          <w:rFonts w:ascii="Times New Roman" w:hAnsi="Times New Roman" w:cs="Times New Roman"/>
          <w:sz w:val="20"/>
          <w:szCs w:val="20"/>
        </w:rPr>
      </w:pPr>
      <w:r>
        <w:rPr>
          <w:rFonts w:ascii="Times New Roman" w:hAnsi="Times New Roman" w:cs="Times New Roman"/>
          <w:sz w:val="20"/>
          <w:szCs w:val="20"/>
        </w:rPr>
        <w:t>3395</w:t>
      </w:r>
      <w:r w:rsidR="00F30198" w:rsidRPr="006547C9">
        <w:rPr>
          <w:rFonts w:ascii="Times New Roman" w:hAnsi="Times New Roman" w:cs="Times New Roman"/>
          <w:sz w:val="20"/>
          <w:szCs w:val="20"/>
        </w:rPr>
        <w:tab/>
      </w:r>
    </w:p>
    <w:p w14:paraId="7216821A" w14:textId="11D49CDC" w:rsidR="00236887" w:rsidRPr="006547C9" w:rsidRDefault="00AF509E" w:rsidP="004278EA">
      <w:pPr>
        <w:pStyle w:val="Header"/>
        <w:rPr>
          <w:rFonts w:ascii="Times New Roman" w:hAnsi="Times New Roman" w:cs="Times New Roman"/>
          <w:sz w:val="20"/>
          <w:szCs w:val="20"/>
        </w:rPr>
      </w:pPr>
      <w:r w:rsidRPr="006547C9">
        <w:rPr>
          <w:rFonts w:ascii="Times New Roman" w:hAnsi="Times New Roman" w:cs="Times New Roman"/>
          <w:sz w:val="20"/>
          <w:szCs w:val="20"/>
        </w:rPr>
        <w:t>Irita Tomiņa</w:t>
      </w:r>
    </w:p>
    <w:p w14:paraId="648A1528" w14:textId="77777777" w:rsidR="00236887" w:rsidRPr="006547C9" w:rsidRDefault="00236887" w:rsidP="004278EA">
      <w:pPr>
        <w:pStyle w:val="Header"/>
        <w:rPr>
          <w:rFonts w:ascii="Times New Roman" w:hAnsi="Times New Roman" w:cs="Times New Roman"/>
          <w:sz w:val="20"/>
          <w:szCs w:val="20"/>
        </w:rPr>
      </w:pPr>
      <w:r w:rsidRPr="006547C9">
        <w:rPr>
          <w:rFonts w:ascii="Times New Roman" w:hAnsi="Times New Roman" w:cs="Times New Roman"/>
          <w:sz w:val="20"/>
          <w:szCs w:val="20"/>
        </w:rPr>
        <w:t>Finanšu ministrijas</w:t>
      </w:r>
    </w:p>
    <w:p w14:paraId="205A8729" w14:textId="77777777" w:rsidR="00236887" w:rsidRPr="006547C9" w:rsidRDefault="000209A4" w:rsidP="004278EA">
      <w:pPr>
        <w:pStyle w:val="Header"/>
        <w:rPr>
          <w:rFonts w:ascii="Times New Roman" w:hAnsi="Times New Roman" w:cs="Times New Roman"/>
          <w:sz w:val="20"/>
          <w:szCs w:val="20"/>
        </w:rPr>
      </w:pPr>
      <w:r w:rsidRPr="006547C9">
        <w:rPr>
          <w:rFonts w:ascii="Times New Roman" w:hAnsi="Times New Roman" w:cs="Times New Roman"/>
          <w:sz w:val="20"/>
          <w:szCs w:val="20"/>
        </w:rPr>
        <w:t>Netiešo nodokļu</w:t>
      </w:r>
      <w:r w:rsidR="00236887" w:rsidRPr="006547C9">
        <w:rPr>
          <w:rFonts w:ascii="Times New Roman" w:hAnsi="Times New Roman" w:cs="Times New Roman"/>
          <w:sz w:val="20"/>
          <w:szCs w:val="20"/>
        </w:rPr>
        <w:t xml:space="preserve"> departamenta</w:t>
      </w:r>
    </w:p>
    <w:p w14:paraId="2FDEEC8E" w14:textId="77777777" w:rsidR="00AF509E" w:rsidRPr="006547C9" w:rsidRDefault="00AF509E" w:rsidP="004278EA">
      <w:pPr>
        <w:pStyle w:val="Header"/>
        <w:rPr>
          <w:rFonts w:ascii="Times New Roman" w:hAnsi="Times New Roman" w:cs="Times New Roman"/>
          <w:sz w:val="20"/>
          <w:szCs w:val="20"/>
        </w:rPr>
      </w:pPr>
      <w:r w:rsidRPr="006547C9">
        <w:rPr>
          <w:rFonts w:ascii="Times New Roman" w:hAnsi="Times New Roman" w:cs="Times New Roman"/>
          <w:sz w:val="20"/>
          <w:szCs w:val="20"/>
        </w:rPr>
        <w:t xml:space="preserve">Muitas lietu un akcīzes nodokļa </w:t>
      </w:r>
    </w:p>
    <w:p w14:paraId="33F61759" w14:textId="1625C0A8" w:rsidR="00236887" w:rsidRPr="006547C9" w:rsidRDefault="00236887" w:rsidP="004278EA">
      <w:pPr>
        <w:pStyle w:val="Header"/>
        <w:rPr>
          <w:rFonts w:ascii="Times New Roman" w:hAnsi="Times New Roman" w:cs="Times New Roman"/>
          <w:sz w:val="20"/>
          <w:szCs w:val="20"/>
        </w:rPr>
      </w:pPr>
      <w:r w:rsidRPr="006547C9">
        <w:rPr>
          <w:rFonts w:ascii="Times New Roman" w:hAnsi="Times New Roman" w:cs="Times New Roman"/>
          <w:sz w:val="20"/>
          <w:szCs w:val="20"/>
        </w:rPr>
        <w:t xml:space="preserve">nodaļas </w:t>
      </w:r>
      <w:r w:rsidR="00AF509E" w:rsidRPr="006547C9">
        <w:rPr>
          <w:rFonts w:ascii="Times New Roman" w:hAnsi="Times New Roman" w:cs="Times New Roman"/>
          <w:sz w:val="20"/>
          <w:szCs w:val="20"/>
        </w:rPr>
        <w:t>vecākā eksperte</w:t>
      </w:r>
    </w:p>
    <w:p w14:paraId="1305EC70" w14:textId="70649834" w:rsidR="00526FBB" w:rsidRDefault="00236887" w:rsidP="003F25ED">
      <w:pPr>
        <w:spacing w:after="0" w:line="240" w:lineRule="auto"/>
        <w:rPr>
          <w:rFonts w:ascii="Times New Roman" w:hAnsi="Times New Roman" w:cs="Times New Roman"/>
          <w:sz w:val="20"/>
          <w:szCs w:val="20"/>
        </w:rPr>
      </w:pPr>
      <w:r w:rsidRPr="006547C9">
        <w:rPr>
          <w:rFonts w:ascii="Times New Roman" w:hAnsi="Times New Roman" w:cs="Times New Roman"/>
          <w:sz w:val="20"/>
          <w:szCs w:val="20"/>
        </w:rPr>
        <w:t>670</w:t>
      </w:r>
      <w:r w:rsidR="000209A4" w:rsidRPr="006547C9">
        <w:rPr>
          <w:rFonts w:ascii="Times New Roman" w:hAnsi="Times New Roman" w:cs="Times New Roman"/>
          <w:sz w:val="20"/>
          <w:szCs w:val="20"/>
        </w:rPr>
        <w:t>955</w:t>
      </w:r>
      <w:r w:rsidR="00AF509E" w:rsidRPr="006547C9">
        <w:rPr>
          <w:rFonts w:ascii="Times New Roman" w:hAnsi="Times New Roman" w:cs="Times New Roman"/>
          <w:sz w:val="20"/>
          <w:szCs w:val="20"/>
        </w:rPr>
        <w:t>66</w:t>
      </w:r>
      <w:r w:rsidR="000B0157" w:rsidRPr="006547C9">
        <w:rPr>
          <w:rFonts w:ascii="Times New Roman" w:hAnsi="Times New Roman" w:cs="Times New Roman"/>
          <w:sz w:val="20"/>
          <w:szCs w:val="20"/>
        </w:rPr>
        <w:t>,</w:t>
      </w:r>
      <w:r w:rsidRPr="006547C9">
        <w:rPr>
          <w:rFonts w:ascii="Times New Roman" w:hAnsi="Times New Roman" w:cs="Times New Roman"/>
          <w:sz w:val="20"/>
          <w:szCs w:val="20"/>
        </w:rPr>
        <w:t xml:space="preserve"> </w:t>
      </w:r>
      <w:hyperlink r:id="rId11" w:history="1">
        <w:r w:rsidR="00AF509E" w:rsidRPr="006547C9">
          <w:rPr>
            <w:rStyle w:val="Hyperlink"/>
            <w:rFonts w:ascii="Times New Roman" w:hAnsi="Times New Roman" w:cs="Times New Roman"/>
            <w:sz w:val="20"/>
            <w:szCs w:val="20"/>
          </w:rPr>
          <w:t>Irita.Tomina@fm.gov.lv</w:t>
        </w:r>
      </w:hyperlink>
      <w:bookmarkStart w:id="8" w:name="_GoBack"/>
      <w:bookmarkEnd w:id="8"/>
    </w:p>
    <w:sectPr w:rsidR="00526FBB" w:rsidSect="005B3F9D">
      <w:headerReference w:type="even" r:id="rId12"/>
      <w:headerReference w:type="default" r:id="rId13"/>
      <w:footerReference w:type="even" r:id="rId14"/>
      <w:footerReference w:type="default" r:id="rId15"/>
      <w:headerReference w:type="first" r:id="rId16"/>
      <w:footerReference w:type="first" r:id="rId17"/>
      <w:pgSz w:w="11906" w:h="16838" w:code="9"/>
      <w:pgMar w:top="851" w:right="849"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874A8" w14:textId="77777777" w:rsidR="005E7B81" w:rsidRDefault="005E7B81" w:rsidP="004369B2">
      <w:pPr>
        <w:spacing w:after="0" w:line="240" w:lineRule="auto"/>
      </w:pPr>
      <w:r>
        <w:separator/>
      </w:r>
    </w:p>
  </w:endnote>
  <w:endnote w:type="continuationSeparator" w:id="0">
    <w:p w14:paraId="3FF97A6F" w14:textId="77777777" w:rsidR="005E7B81" w:rsidRDefault="005E7B81"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A1"/>
    <w:family w:val="roman"/>
    <w:notTrueType/>
    <w:pitch w:val="default"/>
    <w:sig w:usb0="00000001" w:usb1="00000000" w:usb2="00000000" w:usb3="00000000" w:csb0="00000009"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7136E" w14:textId="41A3B1D8" w:rsidR="00C65539" w:rsidRPr="00390C40" w:rsidRDefault="00C65539" w:rsidP="003D5D9B">
    <w:pPr>
      <w:spacing w:after="0" w:line="240" w:lineRule="auto"/>
      <w:jc w:val="both"/>
      <w:rPr>
        <w:rFonts w:ascii="Times New Roman" w:hAnsi="Times New Roman" w:cs="Times New Roman"/>
        <w:sz w:val="20"/>
        <w:szCs w:val="20"/>
      </w:rPr>
    </w:pPr>
    <w:r w:rsidRPr="00C139E6">
      <w:rPr>
        <w:rFonts w:ascii="Times New Roman" w:hAnsi="Times New Roman" w:cs="Times New Roman"/>
        <w:sz w:val="20"/>
        <w:szCs w:val="20"/>
      </w:rPr>
      <w:fldChar w:fldCharType="begin"/>
    </w:r>
    <w:r w:rsidRPr="00C139E6">
      <w:rPr>
        <w:rFonts w:ascii="Times New Roman" w:hAnsi="Times New Roman" w:cs="Times New Roman"/>
        <w:sz w:val="20"/>
        <w:szCs w:val="20"/>
      </w:rPr>
      <w:instrText xml:space="preserve"> FILENAME   \* MERGEFORMAT </w:instrText>
    </w:r>
    <w:r w:rsidRPr="00C139E6">
      <w:rPr>
        <w:rFonts w:ascii="Times New Roman" w:hAnsi="Times New Roman" w:cs="Times New Roman"/>
        <w:sz w:val="20"/>
        <w:szCs w:val="20"/>
      </w:rPr>
      <w:fldChar w:fldCharType="separate"/>
    </w:r>
    <w:r w:rsidR="00B1193D">
      <w:rPr>
        <w:rFonts w:ascii="Times New Roman" w:hAnsi="Times New Roman" w:cs="Times New Roman"/>
        <w:noProof/>
        <w:sz w:val="20"/>
        <w:szCs w:val="20"/>
      </w:rPr>
      <w:t>FMAnot_</w:t>
    </w:r>
    <w:r w:rsidR="00A948F0">
      <w:rPr>
        <w:rFonts w:ascii="Times New Roman" w:hAnsi="Times New Roman" w:cs="Times New Roman"/>
        <w:noProof/>
        <w:sz w:val="20"/>
        <w:szCs w:val="20"/>
      </w:rPr>
      <w:t>26</w:t>
    </w:r>
    <w:r w:rsidR="00072DA2">
      <w:rPr>
        <w:rFonts w:ascii="Times New Roman" w:hAnsi="Times New Roman" w:cs="Times New Roman"/>
        <w:noProof/>
        <w:sz w:val="20"/>
        <w:szCs w:val="20"/>
      </w:rPr>
      <w:t>09</w:t>
    </w:r>
    <w:r w:rsidR="006E3081">
      <w:rPr>
        <w:rFonts w:ascii="Times New Roman" w:hAnsi="Times New Roman" w:cs="Times New Roman"/>
        <w:noProof/>
        <w:sz w:val="20"/>
        <w:szCs w:val="20"/>
      </w:rPr>
      <w:t>14_vienk_muitosana</w:t>
    </w:r>
    <w:r w:rsidRPr="00C139E6">
      <w:rPr>
        <w:rFonts w:ascii="Times New Roman" w:hAnsi="Times New Roman" w:cs="Times New Roman"/>
        <w:sz w:val="20"/>
        <w:szCs w:val="20"/>
      </w:rPr>
      <w:fldChar w:fldCharType="end"/>
    </w:r>
    <w:r w:rsidRPr="00C139E6">
      <w:rPr>
        <w:rFonts w:ascii="Times New Roman" w:hAnsi="Times New Roman" w:cs="Times New Roman"/>
        <w:sz w:val="20"/>
        <w:szCs w:val="20"/>
      </w:rPr>
      <w:t xml:space="preserve">; </w:t>
    </w:r>
    <w:r w:rsidRPr="00C139E6">
      <w:rPr>
        <w:rFonts w:ascii="Times New Roman" w:hAnsi="Times New Roman" w:cs="Times New Roman"/>
        <w:bCs/>
        <w:sz w:val="20"/>
        <w:szCs w:val="20"/>
      </w:rPr>
      <w:t>Ministru kabineta noteikumu projekta „Grozījumi Ministru kabineta 2010.gada 16.novembra noteikumos Nr.1048 “Noteikumi par vienkāršoto deklarēšanu un vietējo muitošanu, atzītā nosūtītāja un atzītā saņēm</w:t>
    </w:r>
    <w:r w:rsidRPr="0068630E">
      <w:rPr>
        <w:rFonts w:ascii="Times New Roman" w:hAnsi="Times New Roman" w:cs="Times New Roman"/>
        <w:bCs/>
        <w:sz w:val="20"/>
        <w:szCs w:val="20"/>
      </w:rPr>
      <w:t xml:space="preserve">ēja statusu, vienoto atļauju un atzītā komersanta sertifikātu”” </w:t>
    </w:r>
    <w:r w:rsidRPr="0068630E">
      <w:rPr>
        <w:rFonts w:ascii="Times New Roman" w:eastAsia="Times New Roman" w:hAnsi="Times New Roman" w:cs="Times New Roman"/>
        <w:bCs/>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E2BD" w14:textId="460FA97B" w:rsidR="00C65539" w:rsidRPr="00EF1B7E" w:rsidRDefault="00C65539" w:rsidP="00EF1B7E">
    <w:pPr>
      <w:spacing w:before="120" w:line="240" w:lineRule="auto"/>
      <w:jc w:val="both"/>
      <w:rPr>
        <w:rFonts w:ascii="Times New Roman" w:hAnsi="Times New Roman" w:cs="Times New Roman"/>
        <w:sz w:val="20"/>
        <w:szCs w:val="20"/>
      </w:rPr>
    </w:pPr>
    <w:r w:rsidRPr="00C139E6">
      <w:rPr>
        <w:rFonts w:ascii="Times New Roman" w:hAnsi="Times New Roman" w:cs="Times New Roman"/>
        <w:sz w:val="20"/>
        <w:szCs w:val="20"/>
      </w:rPr>
      <w:fldChar w:fldCharType="begin"/>
    </w:r>
    <w:r w:rsidRPr="00C139E6">
      <w:rPr>
        <w:rFonts w:ascii="Times New Roman" w:hAnsi="Times New Roman" w:cs="Times New Roman"/>
        <w:sz w:val="20"/>
        <w:szCs w:val="20"/>
      </w:rPr>
      <w:instrText xml:space="preserve"> FILENAME   \* MERGEFORMAT </w:instrText>
    </w:r>
    <w:r w:rsidRPr="00C139E6">
      <w:rPr>
        <w:rFonts w:ascii="Times New Roman" w:hAnsi="Times New Roman" w:cs="Times New Roman"/>
        <w:sz w:val="20"/>
        <w:szCs w:val="20"/>
      </w:rPr>
      <w:fldChar w:fldCharType="separate"/>
    </w:r>
    <w:r w:rsidR="00A948F0">
      <w:rPr>
        <w:rFonts w:ascii="Times New Roman" w:hAnsi="Times New Roman" w:cs="Times New Roman"/>
        <w:noProof/>
        <w:sz w:val="20"/>
        <w:szCs w:val="20"/>
      </w:rPr>
      <w:t>FMAnot_26</w:t>
    </w:r>
    <w:r w:rsidR="00072DA2">
      <w:rPr>
        <w:rFonts w:ascii="Times New Roman" w:hAnsi="Times New Roman" w:cs="Times New Roman"/>
        <w:noProof/>
        <w:sz w:val="20"/>
        <w:szCs w:val="20"/>
      </w:rPr>
      <w:t>09</w:t>
    </w:r>
    <w:r w:rsidR="006E3081">
      <w:rPr>
        <w:rFonts w:ascii="Times New Roman" w:hAnsi="Times New Roman" w:cs="Times New Roman"/>
        <w:noProof/>
        <w:sz w:val="20"/>
        <w:szCs w:val="20"/>
      </w:rPr>
      <w:t>14_vienk_muitosana</w:t>
    </w:r>
    <w:r w:rsidRPr="00C139E6">
      <w:rPr>
        <w:rFonts w:ascii="Times New Roman" w:hAnsi="Times New Roman" w:cs="Times New Roman"/>
        <w:sz w:val="20"/>
        <w:szCs w:val="20"/>
      </w:rPr>
      <w:fldChar w:fldCharType="end"/>
    </w:r>
    <w:r w:rsidRPr="00C139E6">
      <w:rPr>
        <w:rFonts w:ascii="Times New Roman" w:hAnsi="Times New Roman" w:cs="Times New Roman"/>
        <w:sz w:val="20"/>
        <w:szCs w:val="20"/>
      </w:rPr>
      <w:t xml:space="preserve">; </w:t>
    </w:r>
    <w:r w:rsidRPr="00C139E6">
      <w:rPr>
        <w:rFonts w:ascii="Times New Roman" w:hAnsi="Times New Roman" w:cs="Times New Roman"/>
        <w:bCs/>
        <w:sz w:val="20"/>
        <w:szCs w:val="20"/>
      </w:rPr>
      <w:t>Ministru kabineta noteikumu projekta „Grozījumi Ministru kabineta 2010.gada 16.novembra noteikumos Nr.1048 “Noteikumi par vienkāršoto deklarēšanu un vietējo muitošanu, atzītā nosūtītāja un atzītā saņēm</w:t>
    </w:r>
    <w:r w:rsidRPr="0068630E">
      <w:rPr>
        <w:rFonts w:ascii="Times New Roman" w:hAnsi="Times New Roman" w:cs="Times New Roman"/>
        <w:bCs/>
        <w:sz w:val="20"/>
        <w:szCs w:val="20"/>
      </w:rPr>
      <w:t xml:space="preserve">ēja statusu, vienoto atļauju un atzītā komersanta sertifikātu”” </w:t>
    </w:r>
    <w:r w:rsidRPr="0068630E">
      <w:rPr>
        <w:rFonts w:ascii="Times New Roman" w:eastAsia="Times New Roman" w:hAnsi="Times New Roman" w:cs="Times New Roman"/>
        <w:bCs/>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07C9F" w14:textId="56E3E251" w:rsidR="00C65539" w:rsidRPr="00390C40" w:rsidRDefault="00C65539" w:rsidP="003D5D9B">
    <w:pPr>
      <w:spacing w:after="0" w:line="240" w:lineRule="auto"/>
      <w:jc w:val="both"/>
      <w:rPr>
        <w:rFonts w:ascii="Times New Roman" w:hAnsi="Times New Roman" w:cs="Times New Roman"/>
        <w:sz w:val="20"/>
        <w:szCs w:val="20"/>
      </w:rPr>
    </w:pPr>
    <w:r w:rsidRPr="00C139E6">
      <w:rPr>
        <w:rFonts w:ascii="Times New Roman" w:hAnsi="Times New Roman" w:cs="Times New Roman"/>
        <w:sz w:val="20"/>
        <w:szCs w:val="20"/>
      </w:rPr>
      <w:fldChar w:fldCharType="begin"/>
    </w:r>
    <w:r w:rsidRPr="00C139E6">
      <w:rPr>
        <w:rFonts w:ascii="Times New Roman" w:hAnsi="Times New Roman" w:cs="Times New Roman"/>
        <w:sz w:val="20"/>
        <w:szCs w:val="20"/>
      </w:rPr>
      <w:instrText xml:space="preserve"> FILENAME   \* MERGEFORMAT </w:instrText>
    </w:r>
    <w:r w:rsidRPr="00C139E6">
      <w:rPr>
        <w:rFonts w:ascii="Times New Roman" w:hAnsi="Times New Roman" w:cs="Times New Roman"/>
        <w:sz w:val="20"/>
        <w:szCs w:val="20"/>
      </w:rPr>
      <w:fldChar w:fldCharType="separate"/>
    </w:r>
    <w:r w:rsidR="00B1193D">
      <w:rPr>
        <w:rFonts w:ascii="Times New Roman" w:hAnsi="Times New Roman" w:cs="Times New Roman"/>
        <w:noProof/>
        <w:sz w:val="20"/>
        <w:szCs w:val="20"/>
      </w:rPr>
      <w:t>FMAnot_</w:t>
    </w:r>
    <w:r w:rsidR="00072DA2">
      <w:rPr>
        <w:rFonts w:ascii="Times New Roman" w:hAnsi="Times New Roman" w:cs="Times New Roman"/>
        <w:noProof/>
        <w:sz w:val="20"/>
        <w:szCs w:val="20"/>
      </w:rPr>
      <w:t>2209</w:t>
    </w:r>
    <w:r w:rsidR="006E3081">
      <w:rPr>
        <w:rFonts w:ascii="Times New Roman" w:hAnsi="Times New Roman" w:cs="Times New Roman"/>
        <w:noProof/>
        <w:sz w:val="20"/>
        <w:szCs w:val="20"/>
      </w:rPr>
      <w:t>14_vienk_muitosana</w:t>
    </w:r>
    <w:r w:rsidRPr="00C139E6">
      <w:rPr>
        <w:rFonts w:ascii="Times New Roman" w:hAnsi="Times New Roman" w:cs="Times New Roman"/>
        <w:sz w:val="20"/>
        <w:szCs w:val="20"/>
      </w:rPr>
      <w:fldChar w:fldCharType="end"/>
    </w:r>
    <w:r w:rsidRPr="00C139E6">
      <w:rPr>
        <w:rFonts w:ascii="Times New Roman" w:hAnsi="Times New Roman" w:cs="Times New Roman"/>
        <w:sz w:val="20"/>
        <w:szCs w:val="20"/>
      </w:rPr>
      <w:t xml:space="preserve">; </w:t>
    </w:r>
    <w:r w:rsidRPr="00C139E6">
      <w:rPr>
        <w:rFonts w:ascii="Times New Roman" w:hAnsi="Times New Roman" w:cs="Times New Roman"/>
        <w:bCs/>
        <w:sz w:val="20"/>
        <w:szCs w:val="20"/>
      </w:rPr>
      <w:t>Ministru kabineta noteikumu projekta „Grozījumi Ministru kabineta 2010.gada 16.novembra noteikumos Nr.1048 “Noteikumi par vienkāršoto deklarēšanu un vietējo muitošanu, atzītā nosūtītāja un atzītā saņēm</w:t>
    </w:r>
    <w:r w:rsidRPr="0068630E">
      <w:rPr>
        <w:rFonts w:ascii="Times New Roman" w:hAnsi="Times New Roman" w:cs="Times New Roman"/>
        <w:bCs/>
        <w:sz w:val="20"/>
        <w:szCs w:val="20"/>
      </w:rPr>
      <w:t xml:space="preserve">ēja statusu, vienoto atļauju un atzītā komersanta sertifikātu”” </w:t>
    </w:r>
    <w:r w:rsidRPr="0068630E">
      <w:rPr>
        <w:rFonts w:ascii="Times New Roman" w:eastAsia="Times New Roman" w:hAnsi="Times New Roman" w:cs="Times New Roman"/>
        <w:bCs/>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07D77" w14:textId="77777777" w:rsidR="005E7B81" w:rsidRDefault="005E7B81" w:rsidP="004369B2">
      <w:pPr>
        <w:spacing w:after="0" w:line="240" w:lineRule="auto"/>
      </w:pPr>
      <w:r>
        <w:separator/>
      </w:r>
    </w:p>
  </w:footnote>
  <w:footnote w:type="continuationSeparator" w:id="0">
    <w:p w14:paraId="672248BD" w14:textId="77777777" w:rsidR="005E7B81" w:rsidRDefault="005E7B81" w:rsidP="004369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973948910"/>
      <w:docPartObj>
        <w:docPartGallery w:val="Page Numbers (Top of Page)"/>
        <w:docPartUnique/>
      </w:docPartObj>
    </w:sdtPr>
    <w:sdtEndPr>
      <w:rPr>
        <w:noProof/>
        <w:sz w:val="24"/>
      </w:rPr>
    </w:sdtEndPr>
    <w:sdtContent>
      <w:p w14:paraId="20BACDC7" w14:textId="77777777" w:rsidR="00C65539" w:rsidRPr="00171D36" w:rsidRDefault="00C65539">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D2604E">
          <w:rPr>
            <w:rFonts w:ascii="Times New Roman" w:hAnsi="Times New Roman" w:cs="Times New Roman"/>
            <w:noProof/>
            <w:sz w:val="24"/>
          </w:rPr>
          <w:t>10</w:t>
        </w:r>
        <w:r w:rsidRPr="00171D36">
          <w:rPr>
            <w:rFonts w:ascii="Times New Roman" w:hAnsi="Times New Roman" w:cs="Times New Roman"/>
            <w:noProof/>
            <w:sz w:val="24"/>
          </w:rPr>
          <w:fldChar w:fldCharType="end"/>
        </w:r>
      </w:p>
    </w:sdtContent>
  </w:sdt>
  <w:p w14:paraId="39750B5B" w14:textId="77777777" w:rsidR="00C65539" w:rsidRPr="005B3F9D" w:rsidRDefault="00C65539" w:rsidP="005B3F9D">
    <w:pPr>
      <w:pStyle w:val="Header"/>
      <w:tabs>
        <w:tab w:val="clear" w:pos="8306"/>
      </w:tabs>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3730067"/>
      <w:docPartObj>
        <w:docPartGallery w:val="Page Numbers (Top of Page)"/>
        <w:docPartUnique/>
      </w:docPartObj>
    </w:sdtPr>
    <w:sdtEndPr>
      <w:rPr>
        <w:rFonts w:ascii="Times New Roman" w:hAnsi="Times New Roman" w:cs="Times New Roman"/>
        <w:noProof/>
        <w:sz w:val="24"/>
      </w:rPr>
    </w:sdtEndPr>
    <w:sdtContent>
      <w:p w14:paraId="1EF8842F" w14:textId="77777777" w:rsidR="00C65539" w:rsidRPr="00171D36" w:rsidRDefault="00C65539">
        <w:pPr>
          <w:pStyle w:val="Header"/>
          <w:jc w:val="center"/>
          <w:rPr>
            <w:rFonts w:ascii="Times New Roman" w:hAnsi="Times New Roman" w:cs="Times New Roman"/>
            <w:sz w:val="24"/>
          </w:rPr>
        </w:pPr>
        <w:r w:rsidRPr="00171D36">
          <w:rPr>
            <w:rFonts w:ascii="Times New Roman" w:hAnsi="Times New Roman" w:cs="Times New Roman"/>
            <w:sz w:val="24"/>
          </w:rPr>
          <w:fldChar w:fldCharType="begin"/>
        </w:r>
        <w:r w:rsidRPr="00171D36">
          <w:rPr>
            <w:rFonts w:ascii="Times New Roman" w:hAnsi="Times New Roman" w:cs="Times New Roman"/>
            <w:sz w:val="24"/>
          </w:rPr>
          <w:instrText xml:space="preserve"> PAGE   \* MERGEFORMAT </w:instrText>
        </w:r>
        <w:r w:rsidRPr="00171D36">
          <w:rPr>
            <w:rFonts w:ascii="Times New Roman" w:hAnsi="Times New Roman" w:cs="Times New Roman"/>
            <w:sz w:val="24"/>
          </w:rPr>
          <w:fldChar w:fldCharType="separate"/>
        </w:r>
        <w:r w:rsidR="00D2604E">
          <w:rPr>
            <w:rFonts w:ascii="Times New Roman" w:hAnsi="Times New Roman" w:cs="Times New Roman"/>
            <w:noProof/>
            <w:sz w:val="24"/>
          </w:rPr>
          <w:t>9</w:t>
        </w:r>
        <w:r w:rsidRPr="00171D36">
          <w:rPr>
            <w:rFonts w:ascii="Times New Roman" w:hAnsi="Times New Roman" w:cs="Times New Roman"/>
            <w:noProof/>
            <w:sz w:val="24"/>
          </w:rPr>
          <w:fldChar w:fldCharType="end"/>
        </w:r>
      </w:p>
    </w:sdtContent>
  </w:sdt>
  <w:p w14:paraId="3EF3BF83" w14:textId="77777777" w:rsidR="00C65539" w:rsidRDefault="00C65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15220" w14:textId="77777777" w:rsidR="00C65539" w:rsidRDefault="00C65539" w:rsidP="00171D3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A4531"/>
    <w:multiLevelType w:val="hybridMultilevel"/>
    <w:tmpl w:val="ED825816"/>
    <w:lvl w:ilvl="0" w:tplc="761817EA">
      <w:start w:val="5"/>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1">
    <w:nsid w:val="49DC3598"/>
    <w:multiLevelType w:val="hybridMultilevel"/>
    <w:tmpl w:val="ECB0B9DA"/>
    <w:lvl w:ilvl="0" w:tplc="61987EDC">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DEE5B20"/>
    <w:multiLevelType w:val="hybridMultilevel"/>
    <w:tmpl w:val="825C71A2"/>
    <w:lvl w:ilvl="0" w:tplc="C0D2B7D2">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abstractNum w:abstractNumId="3">
    <w:nsid w:val="57767F3F"/>
    <w:multiLevelType w:val="hybridMultilevel"/>
    <w:tmpl w:val="A52E6438"/>
    <w:lvl w:ilvl="0" w:tplc="6ECCE7F0">
      <w:start w:val="1"/>
      <w:numFmt w:val="decimal"/>
      <w:lvlText w:val="%1)"/>
      <w:lvlJc w:val="left"/>
      <w:pPr>
        <w:ind w:left="383" w:hanging="360"/>
      </w:pPr>
      <w:rPr>
        <w:rFonts w:hint="default"/>
      </w:rPr>
    </w:lvl>
    <w:lvl w:ilvl="1" w:tplc="04260019" w:tentative="1">
      <w:start w:val="1"/>
      <w:numFmt w:val="lowerLetter"/>
      <w:lvlText w:val="%2."/>
      <w:lvlJc w:val="left"/>
      <w:pPr>
        <w:ind w:left="1103" w:hanging="360"/>
      </w:pPr>
    </w:lvl>
    <w:lvl w:ilvl="2" w:tplc="0426001B" w:tentative="1">
      <w:start w:val="1"/>
      <w:numFmt w:val="lowerRoman"/>
      <w:lvlText w:val="%3."/>
      <w:lvlJc w:val="right"/>
      <w:pPr>
        <w:ind w:left="1823" w:hanging="180"/>
      </w:pPr>
    </w:lvl>
    <w:lvl w:ilvl="3" w:tplc="0426000F" w:tentative="1">
      <w:start w:val="1"/>
      <w:numFmt w:val="decimal"/>
      <w:lvlText w:val="%4."/>
      <w:lvlJc w:val="left"/>
      <w:pPr>
        <w:ind w:left="2543" w:hanging="360"/>
      </w:pPr>
    </w:lvl>
    <w:lvl w:ilvl="4" w:tplc="04260019" w:tentative="1">
      <w:start w:val="1"/>
      <w:numFmt w:val="lowerLetter"/>
      <w:lvlText w:val="%5."/>
      <w:lvlJc w:val="left"/>
      <w:pPr>
        <w:ind w:left="3263" w:hanging="360"/>
      </w:pPr>
    </w:lvl>
    <w:lvl w:ilvl="5" w:tplc="0426001B" w:tentative="1">
      <w:start w:val="1"/>
      <w:numFmt w:val="lowerRoman"/>
      <w:lvlText w:val="%6."/>
      <w:lvlJc w:val="right"/>
      <w:pPr>
        <w:ind w:left="3983" w:hanging="180"/>
      </w:pPr>
    </w:lvl>
    <w:lvl w:ilvl="6" w:tplc="0426000F" w:tentative="1">
      <w:start w:val="1"/>
      <w:numFmt w:val="decimal"/>
      <w:lvlText w:val="%7."/>
      <w:lvlJc w:val="left"/>
      <w:pPr>
        <w:ind w:left="4703" w:hanging="360"/>
      </w:pPr>
    </w:lvl>
    <w:lvl w:ilvl="7" w:tplc="04260019" w:tentative="1">
      <w:start w:val="1"/>
      <w:numFmt w:val="lowerLetter"/>
      <w:lvlText w:val="%8."/>
      <w:lvlJc w:val="left"/>
      <w:pPr>
        <w:ind w:left="5423" w:hanging="360"/>
      </w:pPr>
    </w:lvl>
    <w:lvl w:ilvl="8" w:tplc="0426001B" w:tentative="1">
      <w:start w:val="1"/>
      <w:numFmt w:val="lowerRoman"/>
      <w:lvlText w:val="%9."/>
      <w:lvlJc w:val="right"/>
      <w:pPr>
        <w:ind w:left="6143" w:hanging="180"/>
      </w:pPr>
    </w:lvl>
  </w:abstractNum>
  <w:abstractNum w:abstractNumId="4">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62273410"/>
    <w:multiLevelType w:val="hybridMultilevel"/>
    <w:tmpl w:val="126AB07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43C0CBF"/>
    <w:multiLevelType w:val="hybridMultilevel"/>
    <w:tmpl w:val="4E6CDA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7FC0842"/>
    <w:multiLevelType w:val="hybridMultilevel"/>
    <w:tmpl w:val="BD3EA7B4"/>
    <w:lvl w:ilvl="0" w:tplc="474C98B4">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0ED051D"/>
    <w:multiLevelType w:val="hybridMultilevel"/>
    <w:tmpl w:val="0D1A1D04"/>
    <w:lvl w:ilvl="0" w:tplc="62A024A6">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48735EC"/>
    <w:multiLevelType w:val="hybridMultilevel"/>
    <w:tmpl w:val="7922793C"/>
    <w:lvl w:ilvl="0" w:tplc="4064AB2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9DE09CE"/>
    <w:multiLevelType w:val="hybridMultilevel"/>
    <w:tmpl w:val="A07E8C9C"/>
    <w:lvl w:ilvl="0" w:tplc="B644E6F4">
      <w:start w:val="1"/>
      <w:numFmt w:val="decimal"/>
      <w:lvlText w:val="%1."/>
      <w:lvlJc w:val="left"/>
      <w:pPr>
        <w:ind w:left="781" w:hanging="360"/>
      </w:pPr>
      <w:rPr>
        <w:rFonts w:hint="default"/>
      </w:rPr>
    </w:lvl>
    <w:lvl w:ilvl="1" w:tplc="04260019" w:tentative="1">
      <w:start w:val="1"/>
      <w:numFmt w:val="lowerLetter"/>
      <w:lvlText w:val="%2."/>
      <w:lvlJc w:val="left"/>
      <w:pPr>
        <w:ind w:left="1501" w:hanging="360"/>
      </w:pPr>
    </w:lvl>
    <w:lvl w:ilvl="2" w:tplc="0426001B" w:tentative="1">
      <w:start w:val="1"/>
      <w:numFmt w:val="lowerRoman"/>
      <w:lvlText w:val="%3."/>
      <w:lvlJc w:val="right"/>
      <w:pPr>
        <w:ind w:left="2221" w:hanging="180"/>
      </w:pPr>
    </w:lvl>
    <w:lvl w:ilvl="3" w:tplc="0426000F" w:tentative="1">
      <w:start w:val="1"/>
      <w:numFmt w:val="decimal"/>
      <w:lvlText w:val="%4."/>
      <w:lvlJc w:val="left"/>
      <w:pPr>
        <w:ind w:left="2941" w:hanging="360"/>
      </w:pPr>
    </w:lvl>
    <w:lvl w:ilvl="4" w:tplc="04260019" w:tentative="1">
      <w:start w:val="1"/>
      <w:numFmt w:val="lowerLetter"/>
      <w:lvlText w:val="%5."/>
      <w:lvlJc w:val="left"/>
      <w:pPr>
        <w:ind w:left="3661" w:hanging="360"/>
      </w:pPr>
    </w:lvl>
    <w:lvl w:ilvl="5" w:tplc="0426001B" w:tentative="1">
      <w:start w:val="1"/>
      <w:numFmt w:val="lowerRoman"/>
      <w:lvlText w:val="%6."/>
      <w:lvlJc w:val="right"/>
      <w:pPr>
        <w:ind w:left="4381" w:hanging="180"/>
      </w:pPr>
    </w:lvl>
    <w:lvl w:ilvl="6" w:tplc="0426000F" w:tentative="1">
      <w:start w:val="1"/>
      <w:numFmt w:val="decimal"/>
      <w:lvlText w:val="%7."/>
      <w:lvlJc w:val="left"/>
      <w:pPr>
        <w:ind w:left="5101" w:hanging="360"/>
      </w:pPr>
    </w:lvl>
    <w:lvl w:ilvl="7" w:tplc="04260019" w:tentative="1">
      <w:start w:val="1"/>
      <w:numFmt w:val="lowerLetter"/>
      <w:lvlText w:val="%8."/>
      <w:lvlJc w:val="left"/>
      <w:pPr>
        <w:ind w:left="5821" w:hanging="360"/>
      </w:pPr>
    </w:lvl>
    <w:lvl w:ilvl="8" w:tplc="0426001B" w:tentative="1">
      <w:start w:val="1"/>
      <w:numFmt w:val="lowerRoman"/>
      <w:lvlText w:val="%9."/>
      <w:lvlJc w:val="right"/>
      <w:pPr>
        <w:ind w:left="6541" w:hanging="180"/>
      </w:pPr>
    </w:lvl>
  </w:abstractNum>
  <w:abstractNum w:abstractNumId="11">
    <w:nsid w:val="7FF64F51"/>
    <w:multiLevelType w:val="hybridMultilevel"/>
    <w:tmpl w:val="77FC8D3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6"/>
  </w:num>
  <w:num w:numId="5">
    <w:abstractNumId w:val="11"/>
  </w:num>
  <w:num w:numId="6">
    <w:abstractNumId w:val="8"/>
  </w:num>
  <w:num w:numId="7">
    <w:abstractNumId w:val="1"/>
  </w:num>
  <w:num w:numId="8">
    <w:abstractNumId w:val="2"/>
  </w:num>
  <w:num w:numId="9">
    <w:abstractNumId w:val="10"/>
  </w:num>
  <w:num w:numId="10">
    <w:abstractNumId w:val="0"/>
  </w:num>
  <w:num w:numId="11">
    <w:abstractNumId w:val="4"/>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2A"/>
    <w:rsid w:val="00001C19"/>
    <w:rsid w:val="00002AC4"/>
    <w:rsid w:val="00003E71"/>
    <w:rsid w:val="00003F2D"/>
    <w:rsid w:val="000044FD"/>
    <w:rsid w:val="000050C3"/>
    <w:rsid w:val="00005B65"/>
    <w:rsid w:val="000066F2"/>
    <w:rsid w:val="00007445"/>
    <w:rsid w:val="00007A44"/>
    <w:rsid w:val="00011A47"/>
    <w:rsid w:val="00012F4F"/>
    <w:rsid w:val="000136A3"/>
    <w:rsid w:val="00013DA3"/>
    <w:rsid w:val="000143C2"/>
    <w:rsid w:val="00017F2D"/>
    <w:rsid w:val="000207C6"/>
    <w:rsid w:val="000209A4"/>
    <w:rsid w:val="00021A39"/>
    <w:rsid w:val="00024BC7"/>
    <w:rsid w:val="0002742F"/>
    <w:rsid w:val="000277B3"/>
    <w:rsid w:val="00034F6A"/>
    <w:rsid w:val="0003706D"/>
    <w:rsid w:val="00037757"/>
    <w:rsid w:val="000410A5"/>
    <w:rsid w:val="000419BA"/>
    <w:rsid w:val="00044FE4"/>
    <w:rsid w:val="000462A0"/>
    <w:rsid w:val="00047C66"/>
    <w:rsid w:val="00047EF3"/>
    <w:rsid w:val="00054E06"/>
    <w:rsid w:val="00056305"/>
    <w:rsid w:val="000612C8"/>
    <w:rsid w:val="000627FE"/>
    <w:rsid w:val="00062FE4"/>
    <w:rsid w:val="0006659D"/>
    <w:rsid w:val="000674A5"/>
    <w:rsid w:val="00067BA0"/>
    <w:rsid w:val="00067F85"/>
    <w:rsid w:val="00070BAD"/>
    <w:rsid w:val="00071243"/>
    <w:rsid w:val="000712A8"/>
    <w:rsid w:val="00071906"/>
    <w:rsid w:val="00072A6D"/>
    <w:rsid w:val="00072DA2"/>
    <w:rsid w:val="0007560A"/>
    <w:rsid w:val="00076147"/>
    <w:rsid w:val="00077871"/>
    <w:rsid w:val="00080D5F"/>
    <w:rsid w:val="0008283D"/>
    <w:rsid w:val="00085D9E"/>
    <w:rsid w:val="0008601E"/>
    <w:rsid w:val="000863ED"/>
    <w:rsid w:val="000865EF"/>
    <w:rsid w:val="00086F73"/>
    <w:rsid w:val="00093808"/>
    <w:rsid w:val="00094218"/>
    <w:rsid w:val="00096A08"/>
    <w:rsid w:val="00096B59"/>
    <w:rsid w:val="00096F4D"/>
    <w:rsid w:val="00097301"/>
    <w:rsid w:val="000A0B88"/>
    <w:rsid w:val="000A150F"/>
    <w:rsid w:val="000A21A6"/>
    <w:rsid w:val="000A3754"/>
    <w:rsid w:val="000A3A53"/>
    <w:rsid w:val="000A3AEB"/>
    <w:rsid w:val="000A55A7"/>
    <w:rsid w:val="000A6B02"/>
    <w:rsid w:val="000A6BCF"/>
    <w:rsid w:val="000A71B7"/>
    <w:rsid w:val="000A7487"/>
    <w:rsid w:val="000A76F1"/>
    <w:rsid w:val="000B0157"/>
    <w:rsid w:val="000B0674"/>
    <w:rsid w:val="000B0DD9"/>
    <w:rsid w:val="000B145F"/>
    <w:rsid w:val="000B1A2A"/>
    <w:rsid w:val="000B40A0"/>
    <w:rsid w:val="000B6F71"/>
    <w:rsid w:val="000C2E1B"/>
    <w:rsid w:val="000C3185"/>
    <w:rsid w:val="000C5D75"/>
    <w:rsid w:val="000C674A"/>
    <w:rsid w:val="000C7217"/>
    <w:rsid w:val="000D1A7F"/>
    <w:rsid w:val="000D55DD"/>
    <w:rsid w:val="000D790E"/>
    <w:rsid w:val="000E0ABB"/>
    <w:rsid w:val="000E0DA5"/>
    <w:rsid w:val="000E22BE"/>
    <w:rsid w:val="000E2D1E"/>
    <w:rsid w:val="000E46D7"/>
    <w:rsid w:val="000E49B9"/>
    <w:rsid w:val="000E4EE4"/>
    <w:rsid w:val="000F09D8"/>
    <w:rsid w:val="000F101C"/>
    <w:rsid w:val="000F16A0"/>
    <w:rsid w:val="000F56D3"/>
    <w:rsid w:val="00101B54"/>
    <w:rsid w:val="001028F2"/>
    <w:rsid w:val="001030D7"/>
    <w:rsid w:val="00104F70"/>
    <w:rsid w:val="00105E0D"/>
    <w:rsid w:val="00105F95"/>
    <w:rsid w:val="00106E13"/>
    <w:rsid w:val="001075F4"/>
    <w:rsid w:val="00107BB6"/>
    <w:rsid w:val="00110348"/>
    <w:rsid w:val="00112631"/>
    <w:rsid w:val="0011533F"/>
    <w:rsid w:val="001166B9"/>
    <w:rsid w:val="0011697B"/>
    <w:rsid w:val="00117C3F"/>
    <w:rsid w:val="0012183D"/>
    <w:rsid w:val="001236CD"/>
    <w:rsid w:val="00124547"/>
    <w:rsid w:val="00124F9B"/>
    <w:rsid w:val="00125A33"/>
    <w:rsid w:val="0012659F"/>
    <w:rsid w:val="00127DB5"/>
    <w:rsid w:val="0013023A"/>
    <w:rsid w:val="00133320"/>
    <w:rsid w:val="001343C0"/>
    <w:rsid w:val="001366D2"/>
    <w:rsid w:val="00136795"/>
    <w:rsid w:val="00137CE0"/>
    <w:rsid w:val="00137F4C"/>
    <w:rsid w:val="00141DA8"/>
    <w:rsid w:val="00145BBF"/>
    <w:rsid w:val="0014724B"/>
    <w:rsid w:val="0014771B"/>
    <w:rsid w:val="0015306F"/>
    <w:rsid w:val="001532D1"/>
    <w:rsid w:val="00153507"/>
    <w:rsid w:val="001561F5"/>
    <w:rsid w:val="00161BB6"/>
    <w:rsid w:val="00161EA3"/>
    <w:rsid w:val="00163A60"/>
    <w:rsid w:val="00164329"/>
    <w:rsid w:val="00166E1E"/>
    <w:rsid w:val="00166EA2"/>
    <w:rsid w:val="00170ECE"/>
    <w:rsid w:val="001719E3"/>
    <w:rsid w:val="00171D17"/>
    <w:rsid w:val="00171D36"/>
    <w:rsid w:val="001730E1"/>
    <w:rsid w:val="001736C5"/>
    <w:rsid w:val="00174AC6"/>
    <w:rsid w:val="00174FB9"/>
    <w:rsid w:val="00175420"/>
    <w:rsid w:val="00176CB2"/>
    <w:rsid w:val="00176DC1"/>
    <w:rsid w:val="001809EE"/>
    <w:rsid w:val="0018277F"/>
    <w:rsid w:val="00182796"/>
    <w:rsid w:val="0018354B"/>
    <w:rsid w:val="00184133"/>
    <w:rsid w:val="001854FC"/>
    <w:rsid w:val="00186946"/>
    <w:rsid w:val="00186AF1"/>
    <w:rsid w:val="00192196"/>
    <w:rsid w:val="00195CC3"/>
    <w:rsid w:val="00196154"/>
    <w:rsid w:val="0019649B"/>
    <w:rsid w:val="001A173B"/>
    <w:rsid w:val="001A30FE"/>
    <w:rsid w:val="001A3439"/>
    <w:rsid w:val="001A6068"/>
    <w:rsid w:val="001A681D"/>
    <w:rsid w:val="001A6A7F"/>
    <w:rsid w:val="001A6DE9"/>
    <w:rsid w:val="001A7231"/>
    <w:rsid w:val="001A7D41"/>
    <w:rsid w:val="001B0AC6"/>
    <w:rsid w:val="001B1210"/>
    <w:rsid w:val="001B2D57"/>
    <w:rsid w:val="001B2FDD"/>
    <w:rsid w:val="001B42C1"/>
    <w:rsid w:val="001B6920"/>
    <w:rsid w:val="001B7A45"/>
    <w:rsid w:val="001C144E"/>
    <w:rsid w:val="001C14B6"/>
    <w:rsid w:val="001C4934"/>
    <w:rsid w:val="001C6B6C"/>
    <w:rsid w:val="001D0E62"/>
    <w:rsid w:val="001D1A0E"/>
    <w:rsid w:val="001D21E5"/>
    <w:rsid w:val="001D42C9"/>
    <w:rsid w:val="001D79DC"/>
    <w:rsid w:val="001E1D5D"/>
    <w:rsid w:val="001E221C"/>
    <w:rsid w:val="001E3C49"/>
    <w:rsid w:val="001E3DE9"/>
    <w:rsid w:val="001E4F58"/>
    <w:rsid w:val="001E69FC"/>
    <w:rsid w:val="001F004D"/>
    <w:rsid w:val="001F0072"/>
    <w:rsid w:val="001F05AA"/>
    <w:rsid w:val="001F3159"/>
    <w:rsid w:val="001F34BB"/>
    <w:rsid w:val="001F37E2"/>
    <w:rsid w:val="001F4640"/>
    <w:rsid w:val="001F5427"/>
    <w:rsid w:val="001F5E1D"/>
    <w:rsid w:val="001F6940"/>
    <w:rsid w:val="0020050C"/>
    <w:rsid w:val="00201828"/>
    <w:rsid w:val="0020233E"/>
    <w:rsid w:val="002030E5"/>
    <w:rsid w:val="00204A32"/>
    <w:rsid w:val="00205591"/>
    <w:rsid w:val="00205CCF"/>
    <w:rsid w:val="00205DB2"/>
    <w:rsid w:val="00205F39"/>
    <w:rsid w:val="00206258"/>
    <w:rsid w:val="0021040D"/>
    <w:rsid w:val="002121D7"/>
    <w:rsid w:val="00212ABB"/>
    <w:rsid w:val="002130ED"/>
    <w:rsid w:val="002133F3"/>
    <w:rsid w:val="00213F48"/>
    <w:rsid w:val="00216A29"/>
    <w:rsid w:val="002207FD"/>
    <w:rsid w:val="0022219E"/>
    <w:rsid w:val="00224488"/>
    <w:rsid w:val="00226073"/>
    <w:rsid w:val="0023149A"/>
    <w:rsid w:val="00232B4D"/>
    <w:rsid w:val="00232EA5"/>
    <w:rsid w:val="00233A1B"/>
    <w:rsid w:val="00233CDB"/>
    <w:rsid w:val="00234A68"/>
    <w:rsid w:val="00235345"/>
    <w:rsid w:val="002361F4"/>
    <w:rsid w:val="0023636B"/>
    <w:rsid w:val="00236887"/>
    <w:rsid w:val="00236E26"/>
    <w:rsid w:val="00244042"/>
    <w:rsid w:val="002441D0"/>
    <w:rsid w:val="002473E7"/>
    <w:rsid w:val="00247807"/>
    <w:rsid w:val="00247EBD"/>
    <w:rsid w:val="00250602"/>
    <w:rsid w:val="002507F6"/>
    <w:rsid w:val="0025090D"/>
    <w:rsid w:val="00250D69"/>
    <w:rsid w:val="00250F7D"/>
    <w:rsid w:val="002529E9"/>
    <w:rsid w:val="00252B3E"/>
    <w:rsid w:val="002532EB"/>
    <w:rsid w:val="00254E00"/>
    <w:rsid w:val="0025789E"/>
    <w:rsid w:val="00270CCE"/>
    <w:rsid w:val="002711CC"/>
    <w:rsid w:val="00271908"/>
    <w:rsid w:val="002731B1"/>
    <w:rsid w:val="0027384E"/>
    <w:rsid w:val="00274308"/>
    <w:rsid w:val="00274A90"/>
    <w:rsid w:val="0027500F"/>
    <w:rsid w:val="00276EAD"/>
    <w:rsid w:val="00277B1F"/>
    <w:rsid w:val="00280188"/>
    <w:rsid w:val="0028065B"/>
    <w:rsid w:val="00282F55"/>
    <w:rsid w:val="00284148"/>
    <w:rsid w:val="00284D83"/>
    <w:rsid w:val="00285418"/>
    <w:rsid w:val="00285BE7"/>
    <w:rsid w:val="00286C3C"/>
    <w:rsid w:val="002871B3"/>
    <w:rsid w:val="00287741"/>
    <w:rsid w:val="0029022A"/>
    <w:rsid w:val="002909AD"/>
    <w:rsid w:val="002926B8"/>
    <w:rsid w:val="00292F92"/>
    <w:rsid w:val="00293272"/>
    <w:rsid w:val="00296224"/>
    <w:rsid w:val="0029664A"/>
    <w:rsid w:val="002A14CE"/>
    <w:rsid w:val="002B36F7"/>
    <w:rsid w:val="002C0DA5"/>
    <w:rsid w:val="002C10EA"/>
    <w:rsid w:val="002C1728"/>
    <w:rsid w:val="002C21ED"/>
    <w:rsid w:val="002C3712"/>
    <w:rsid w:val="002C3769"/>
    <w:rsid w:val="002C42B2"/>
    <w:rsid w:val="002C49D9"/>
    <w:rsid w:val="002C57AF"/>
    <w:rsid w:val="002C5BB1"/>
    <w:rsid w:val="002D0BE4"/>
    <w:rsid w:val="002D1ACD"/>
    <w:rsid w:val="002D1DBA"/>
    <w:rsid w:val="002D1EA4"/>
    <w:rsid w:val="002D3EBD"/>
    <w:rsid w:val="002D5B6F"/>
    <w:rsid w:val="002D6BE5"/>
    <w:rsid w:val="002E1C28"/>
    <w:rsid w:val="002E1DFC"/>
    <w:rsid w:val="002E2B09"/>
    <w:rsid w:val="002E3430"/>
    <w:rsid w:val="002E44B7"/>
    <w:rsid w:val="002F249C"/>
    <w:rsid w:val="002F29D1"/>
    <w:rsid w:val="002F3634"/>
    <w:rsid w:val="002F3C1A"/>
    <w:rsid w:val="002F486B"/>
    <w:rsid w:val="002F5FFE"/>
    <w:rsid w:val="002F700B"/>
    <w:rsid w:val="00300967"/>
    <w:rsid w:val="00301D9D"/>
    <w:rsid w:val="003033B2"/>
    <w:rsid w:val="003052EF"/>
    <w:rsid w:val="00305E8A"/>
    <w:rsid w:val="0031152D"/>
    <w:rsid w:val="00311AFF"/>
    <w:rsid w:val="00314CCD"/>
    <w:rsid w:val="00320C82"/>
    <w:rsid w:val="0032258D"/>
    <w:rsid w:val="00322DFE"/>
    <w:rsid w:val="00325324"/>
    <w:rsid w:val="00326852"/>
    <w:rsid w:val="0032763C"/>
    <w:rsid w:val="00333A9B"/>
    <w:rsid w:val="00335179"/>
    <w:rsid w:val="003355CB"/>
    <w:rsid w:val="00335F6B"/>
    <w:rsid w:val="0034066F"/>
    <w:rsid w:val="00341A60"/>
    <w:rsid w:val="003431BF"/>
    <w:rsid w:val="00343428"/>
    <w:rsid w:val="00344591"/>
    <w:rsid w:val="0035187D"/>
    <w:rsid w:val="00352DF3"/>
    <w:rsid w:val="00353520"/>
    <w:rsid w:val="00355A37"/>
    <w:rsid w:val="00355BB8"/>
    <w:rsid w:val="00360CB5"/>
    <w:rsid w:val="00362CA7"/>
    <w:rsid w:val="003654AA"/>
    <w:rsid w:val="00366177"/>
    <w:rsid w:val="00366622"/>
    <w:rsid w:val="0036755F"/>
    <w:rsid w:val="00370740"/>
    <w:rsid w:val="003714C5"/>
    <w:rsid w:val="003722FD"/>
    <w:rsid w:val="00372F48"/>
    <w:rsid w:val="00375982"/>
    <w:rsid w:val="00375B76"/>
    <w:rsid w:val="003807D5"/>
    <w:rsid w:val="00380812"/>
    <w:rsid w:val="003808AD"/>
    <w:rsid w:val="003811D2"/>
    <w:rsid w:val="0038401B"/>
    <w:rsid w:val="003842AC"/>
    <w:rsid w:val="003848AF"/>
    <w:rsid w:val="00385147"/>
    <w:rsid w:val="003855FF"/>
    <w:rsid w:val="00386316"/>
    <w:rsid w:val="00386D3D"/>
    <w:rsid w:val="00390C40"/>
    <w:rsid w:val="00393CFF"/>
    <w:rsid w:val="0039446F"/>
    <w:rsid w:val="003955DF"/>
    <w:rsid w:val="00396535"/>
    <w:rsid w:val="003A09CA"/>
    <w:rsid w:val="003A1256"/>
    <w:rsid w:val="003A1663"/>
    <w:rsid w:val="003A2457"/>
    <w:rsid w:val="003A4318"/>
    <w:rsid w:val="003B02CB"/>
    <w:rsid w:val="003B1968"/>
    <w:rsid w:val="003B2F31"/>
    <w:rsid w:val="003B362C"/>
    <w:rsid w:val="003B3FFB"/>
    <w:rsid w:val="003B4B9E"/>
    <w:rsid w:val="003B51C7"/>
    <w:rsid w:val="003B6F6D"/>
    <w:rsid w:val="003B74C9"/>
    <w:rsid w:val="003C04B5"/>
    <w:rsid w:val="003C1E4F"/>
    <w:rsid w:val="003C2843"/>
    <w:rsid w:val="003C4962"/>
    <w:rsid w:val="003C78B5"/>
    <w:rsid w:val="003D26CD"/>
    <w:rsid w:val="003D3422"/>
    <w:rsid w:val="003D38D2"/>
    <w:rsid w:val="003D5D9B"/>
    <w:rsid w:val="003D5FA7"/>
    <w:rsid w:val="003D664D"/>
    <w:rsid w:val="003E0BC9"/>
    <w:rsid w:val="003E1193"/>
    <w:rsid w:val="003E2191"/>
    <w:rsid w:val="003E23E2"/>
    <w:rsid w:val="003E4EDD"/>
    <w:rsid w:val="003E5EA0"/>
    <w:rsid w:val="003F124F"/>
    <w:rsid w:val="003F25ED"/>
    <w:rsid w:val="003F4EB3"/>
    <w:rsid w:val="003F545C"/>
    <w:rsid w:val="003F5C23"/>
    <w:rsid w:val="003F7223"/>
    <w:rsid w:val="003F7A4B"/>
    <w:rsid w:val="004001D3"/>
    <w:rsid w:val="0040070B"/>
    <w:rsid w:val="00404FC0"/>
    <w:rsid w:val="00405BC6"/>
    <w:rsid w:val="004140A4"/>
    <w:rsid w:val="004152F7"/>
    <w:rsid w:val="00415F33"/>
    <w:rsid w:val="004229F8"/>
    <w:rsid w:val="00422B09"/>
    <w:rsid w:val="0042348F"/>
    <w:rsid w:val="00423B97"/>
    <w:rsid w:val="004246AB"/>
    <w:rsid w:val="004249A0"/>
    <w:rsid w:val="00424C6A"/>
    <w:rsid w:val="00424F9A"/>
    <w:rsid w:val="00425DD6"/>
    <w:rsid w:val="00425E1F"/>
    <w:rsid w:val="0042678A"/>
    <w:rsid w:val="004278EA"/>
    <w:rsid w:val="00427C14"/>
    <w:rsid w:val="00427F59"/>
    <w:rsid w:val="00430E82"/>
    <w:rsid w:val="004326FC"/>
    <w:rsid w:val="004327F9"/>
    <w:rsid w:val="0043316C"/>
    <w:rsid w:val="00434D12"/>
    <w:rsid w:val="004369B2"/>
    <w:rsid w:val="004402B7"/>
    <w:rsid w:val="00441758"/>
    <w:rsid w:val="004428D4"/>
    <w:rsid w:val="004431BD"/>
    <w:rsid w:val="00443C0C"/>
    <w:rsid w:val="00444F92"/>
    <w:rsid w:val="00445572"/>
    <w:rsid w:val="0044616F"/>
    <w:rsid w:val="0044749C"/>
    <w:rsid w:val="00447E17"/>
    <w:rsid w:val="004544D2"/>
    <w:rsid w:val="004548BB"/>
    <w:rsid w:val="00455CA6"/>
    <w:rsid w:val="0045647D"/>
    <w:rsid w:val="00462F83"/>
    <w:rsid w:val="0046319C"/>
    <w:rsid w:val="004654FF"/>
    <w:rsid w:val="004736AC"/>
    <w:rsid w:val="00473A29"/>
    <w:rsid w:val="00474628"/>
    <w:rsid w:val="00474EEF"/>
    <w:rsid w:val="0047700D"/>
    <w:rsid w:val="00477337"/>
    <w:rsid w:val="00477F6D"/>
    <w:rsid w:val="00477FA6"/>
    <w:rsid w:val="00482278"/>
    <w:rsid w:val="004822D6"/>
    <w:rsid w:val="00485371"/>
    <w:rsid w:val="00485D16"/>
    <w:rsid w:val="00486E31"/>
    <w:rsid w:val="00487A04"/>
    <w:rsid w:val="004900D0"/>
    <w:rsid w:val="00491991"/>
    <w:rsid w:val="004919AC"/>
    <w:rsid w:val="00492774"/>
    <w:rsid w:val="00492DC2"/>
    <w:rsid w:val="0049346C"/>
    <w:rsid w:val="0049352B"/>
    <w:rsid w:val="0049353D"/>
    <w:rsid w:val="004937D3"/>
    <w:rsid w:val="00496C96"/>
    <w:rsid w:val="004A0140"/>
    <w:rsid w:val="004A0FA2"/>
    <w:rsid w:val="004A2762"/>
    <w:rsid w:val="004A30A9"/>
    <w:rsid w:val="004A5AAF"/>
    <w:rsid w:val="004A7542"/>
    <w:rsid w:val="004A758F"/>
    <w:rsid w:val="004A7982"/>
    <w:rsid w:val="004B056A"/>
    <w:rsid w:val="004B06D2"/>
    <w:rsid w:val="004B07EC"/>
    <w:rsid w:val="004B11E1"/>
    <w:rsid w:val="004B1B69"/>
    <w:rsid w:val="004B20FD"/>
    <w:rsid w:val="004B247B"/>
    <w:rsid w:val="004B263A"/>
    <w:rsid w:val="004B3F90"/>
    <w:rsid w:val="004B4B5C"/>
    <w:rsid w:val="004B56B5"/>
    <w:rsid w:val="004B6DCA"/>
    <w:rsid w:val="004B7906"/>
    <w:rsid w:val="004C187A"/>
    <w:rsid w:val="004C3E2A"/>
    <w:rsid w:val="004C5549"/>
    <w:rsid w:val="004C5B55"/>
    <w:rsid w:val="004C67B2"/>
    <w:rsid w:val="004D1C3F"/>
    <w:rsid w:val="004D4E77"/>
    <w:rsid w:val="004D6D5B"/>
    <w:rsid w:val="004E04E9"/>
    <w:rsid w:val="004E08A0"/>
    <w:rsid w:val="004E1770"/>
    <w:rsid w:val="004E2524"/>
    <w:rsid w:val="004E33C8"/>
    <w:rsid w:val="004F06A6"/>
    <w:rsid w:val="004F12C2"/>
    <w:rsid w:val="004F1610"/>
    <w:rsid w:val="004F1F14"/>
    <w:rsid w:val="004F2C94"/>
    <w:rsid w:val="004F527E"/>
    <w:rsid w:val="004F54C7"/>
    <w:rsid w:val="004F6353"/>
    <w:rsid w:val="004F7CF3"/>
    <w:rsid w:val="00500402"/>
    <w:rsid w:val="0050267C"/>
    <w:rsid w:val="00502937"/>
    <w:rsid w:val="00502C30"/>
    <w:rsid w:val="00502F3A"/>
    <w:rsid w:val="00503049"/>
    <w:rsid w:val="00504112"/>
    <w:rsid w:val="00504770"/>
    <w:rsid w:val="0050499F"/>
    <w:rsid w:val="0050629F"/>
    <w:rsid w:val="005103D4"/>
    <w:rsid w:val="005103D8"/>
    <w:rsid w:val="005119D6"/>
    <w:rsid w:val="0051255B"/>
    <w:rsid w:val="00516322"/>
    <w:rsid w:val="00517601"/>
    <w:rsid w:val="00517788"/>
    <w:rsid w:val="00517F51"/>
    <w:rsid w:val="0052051F"/>
    <w:rsid w:val="00521BED"/>
    <w:rsid w:val="005233FA"/>
    <w:rsid w:val="00524E56"/>
    <w:rsid w:val="005252A7"/>
    <w:rsid w:val="005258CC"/>
    <w:rsid w:val="00526D24"/>
    <w:rsid w:val="00526FBB"/>
    <w:rsid w:val="005307DD"/>
    <w:rsid w:val="0053272A"/>
    <w:rsid w:val="00532A1A"/>
    <w:rsid w:val="00533385"/>
    <w:rsid w:val="00534C09"/>
    <w:rsid w:val="00535137"/>
    <w:rsid w:val="00537B3F"/>
    <w:rsid w:val="00540958"/>
    <w:rsid w:val="00541141"/>
    <w:rsid w:val="00541CC6"/>
    <w:rsid w:val="00541F67"/>
    <w:rsid w:val="00542124"/>
    <w:rsid w:val="00543049"/>
    <w:rsid w:val="0054344C"/>
    <w:rsid w:val="00543B65"/>
    <w:rsid w:val="00545E0E"/>
    <w:rsid w:val="00545FF6"/>
    <w:rsid w:val="00546129"/>
    <w:rsid w:val="00550879"/>
    <w:rsid w:val="00551F62"/>
    <w:rsid w:val="0055431F"/>
    <w:rsid w:val="0055506C"/>
    <w:rsid w:val="005561E6"/>
    <w:rsid w:val="00556DBB"/>
    <w:rsid w:val="00556E92"/>
    <w:rsid w:val="00560C94"/>
    <w:rsid w:val="0056254F"/>
    <w:rsid w:val="00566531"/>
    <w:rsid w:val="00575269"/>
    <w:rsid w:val="005769B0"/>
    <w:rsid w:val="005823B3"/>
    <w:rsid w:val="005840B6"/>
    <w:rsid w:val="00584507"/>
    <w:rsid w:val="00584A64"/>
    <w:rsid w:val="00584AA3"/>
    <w:rsid w:val="00585200"/>
    <w:rsid w:val="005852D2"/>
    <w:rsid w:val="00585B64"/>
    <w:rsid w:val="00585F65"/>
    <w:rsid w:val="005906C4"/>
    <w:rsid w:val="00590E95"/>
    <w:rsid w:val="00592A18"/>
    <w:rsid w:val="00592AE3"/>
    <w:rsid w:val="00592B8B"/>
    <w:rsid w:val="0059311E"/>
    <w:rsid w:val="005935A8"/>
    <w:rsid w:val="00593BB7"/>
    <w:rsid w:val="005942DC"/>
    <w:rsid w:val="00596F47"/>
    <w:rsid w:val="00597631"/>
    <w:rsid w:val="005A1D14"/>
    <w:rsid w:val="005A39DF"/>
    <w:rsid w:val="005A5076"/>
    <w:rsid w:val="005A5A37"/>
    <w:rsid w:val="005A5C64"/>
    <w:rsid w:val="005A6697"/>
    <w:rsid w:val="005A70D2"/>
    <w:rsid w:val="005B22B7"/>
    <w:rsid w:val="005B31B5"/>
    <w:rsid w:val="005B32A1"/>
    <w:rsid w:val="005B33EE"/>
    <w:rsid w:val="005B3F9D"/>
    <w:rsid w:val="005B56A2"/>
    <w:rsid w:val="005B6FD3"/>
    <w:rsid w:val="005B7508"/>
    <w:rsid w:val="005C1FE2"/>
    <w:rsid w:val="005C2ABD"/>
    <w:rsid w:val="005C2DF1"/>
    <w:rsid w:val="005C77B9"/>
    <w:rsid w:val="005D136D"/>
    <w:rsid w:val="005D1556"/>
    <w:rsid w:val="005D2F5E"/>
    <w:rsid w:val="005D5BAE"/>
    <w:rsid w:val="005E056B"/>
    <w:rsid w:val="005E1C9C"/>
    <w:rsid w:val="005E26F3"/>
    <w:rsid w:val="005E4388"/>
    <w:rsid w:val="005E6A88"/>
    <w:rsid w:val="005E7B81"/>
    <w:rsid w:val="005F104F"/>
    <w:rsid w:val="005F2BA9"/>
    <w:rsid w:val="005F2D09"/>
    <w:rsid w:val="005F3251"/>
    <w:rsid w:val="005F70D7"/>
    <w:rsid w:val="005F73B9"/>
    <w:rsid w:val="0060138D"/>
    <w:rsid w:val="006051C0"/>
    <w:rsid w:val="00607ECD"/>
    <w:rsid w:val="006107BD"/>
    <w:rsid w:val="006112F6"/>
    <w:rsid w:val="006119A1"/>
    <w:rsid w:val="006170FC"/>
    <w:rsid w:val="00617970"/>
    <w:rsid w:val="006231E5"/>
    <w:rsid w:val="00626387"/>
    <w:rsid w:val="0062651D"/>
    <w:rsid w:val="00632480"/>
    <w:rsid w:val="0063257C"/>
    <w:rsid w:val="00633B07"/>
    <w:rsid w:val="006345DB"/>
    <w:rsid w:val="006358E7"/>
    <w:rsid w:val="00636151"/>
    <w:rsid w:val="0063638D"/>
    <w:rsid w:val="006423B6"/>
    <w:rsid w:val="00643263"/>
    <w:rsid w:val="00645995"/>
    <w:rsid w:val="00646A60"/>
    <w:rsid w:val="006477CB"/>
    <w:rsid w:val="00647CA5"/>
    <w:rsid w:val="00651B2D"/>
    <w:rsid w:val="006547C9"/>
    <w:rsid w:val="006562E0"/>
    <w:rsid w:val="00657B5C"/>
    <w:rsid w:val="006606FF"/>
    <w:rsid w:val="006619FF"/>
    <w:rsid w:val="00662CA0"/>
    <w:rsid w:val="00665314"/>
    <w:rsid w:val="00665490"/>
    <w:rsid w:val="00666C0C"/>
    <w:rsid w:val="006671FC"/>
    <w:rsid w:val="0067092B"/>
    <w:rsid w:val="00670D76"/>
    <w:rsid w:val="00672444"/>
    <w:rsid w:val="00672DAC"/>
    <w:rsid w:val="0067347B"/>
    <w:rsid w:val="0068102D"/>
    <w:rsid w:val="00681548"/>
    <w:rsid w:val="006835B8"/>
    <w:rsid w:val="006837F1"/>
    <w:rsid w:val="006842D6"/>
    <w:rsid w:val="006846F7"/>
    <w:rsid w:val="00686DA3"/>
    <w:rsid w:val="0068735E"/>
    <w:rsid w:val="006878C6"/>
    <w:rsid w:val="0069377B"/>
    <w:rsid w:val="00694926"/>
    <w:rsid w:val="00694976"/>
    <w:rsid w:val="00696872"/>
    <w:rsid w:val="00697228"/>
    <w:rsid w:val="00697891"/>
    <w:rsid w:val="006A11E6"/>
    <w:rsid w:val="006A293E"/>
    <w:rsid w:val="006A2F18"/>
    <w:rsid w:val="006A31F5"/>
    <w:rsid w:val="006A326F"/>
    <w:rsid w:val="006A471E"/>
    <w:rsid w:val="006A58B0"/>
    <w:rsid w:val="006A7F89"/>
    <w:rsid w:val="006B142D"/>
    <w:rsid w:val="006B2115"/>
    <w:rsid w:val="006B2DC9"/>
    <w:rsid w:val="006B3588"/>
    <w:rsid w:val="006B3C6E"/>
    <w:rsid w:val="006B4287"/>
    <w:rsid w:val="006B6186"/>
    <w:rsid w:val="006B79FD"/>
    <w:rsid w:val="006C11EA"/>
    <w:rsid w:val="006C16A2"/>
    <w:rsid w:val="006C377F"/>
    <w:rsid w:val="006C4154"/>
    <w:rsid w:val="006C4D67"/>
    <w:rsid w:val="006C62AB"/>
    <w:rsid w:val="006C6655"/>
    <w:rsid w:val="006C6B48"/>
    <w:rsid w:val="006C6FEF"/>
    <w:rsid w:val="006C719C"/>
    <w:rsid w:val="006D1373"/>
    <w:rsid w:val="006D1FB7"/>
    <w:rsid w:val="006D241E"/>
    <w:rsid w:val="006D2C6F"/>
    <w:rsid w:val="006D3637"/>
    <w:rsid w:val="006D3A64"/>
    <w:rsid w:val="006E2085"/>
    <w:rsid w:val="006E3081"/>
    <w:rsid w:val="006E3BB3"/>
    <w:rsid w:val="006E412A"/>
    <w:rsid w:val="006E5B16"/>
    <w:rsid w:val="006E6432"/>
    <w:rsid w:val="006E7B52"/>
    <w:rsid w:val="006F6EFB"/>
    <w:rsid w:val="006F7CBA"/>
    <w:rsid w:val="00700110"/>
    <w:rsid w:val="00700A10"/>
    <w:rsid w:val="00701D89"/>
    <w:rsid w:val="007036F4"/>
    <w:rsid w:val="007059C6"/>
    <w:rsid w:val="007079D9"/>
    <w:rsid w:val="00714227"/>
    <w:rsid w:val="0071422E"/>
    <w:rsid w:val="007145A7"/>
    <w:rsid w:val="007153BD"/>
    <w:rsid w:val="007159E1"/>
    <w:rsid w:val="007203CF"/>
    <w:rsid w:val="00721279"/>
    <w:rsid w:val="00722425"/>
    <w:rsid w:val="00722824"/>
    <w:rsid w:val="0072329F"/>
    <w:rsid w:val="007253C1"/>
    <w:rsid w:val="0072593D"/>
    <w:rsid w:val="00725C4F"/>
    <w:rsid w:val="00726802"/>
    <w:rsid w:val="007278A4"/>
    <w:rsid w:val="007318A3"/>
    <w:rsid w:val="007319A4"/>
    <w:rsid w:val="00731F56"/>
    <w:rsid w:val="00733A84"/>
    <w:rsid w:val="0073592E"/>
    <w:rsid w:val="0073620D"/>
    <w:rsid w:val="007367C4"/>
    <w:rsid w:val="00740C2D"/>
    <w:rsid w:val="00741C15"/>
    <w:rsid w:val="00742A0A"/>
    <w:rsid w:val="00744560"/>
    <w:rsid w:val="007505EB"/>
    <w:rsid w:val="00752A06"/>
    <w:rsid w:val="00753A6D"/>
    <w:rsid w:val="00754C07"/>
    <w:rsid w:val="00754D3E"/>
    <w:rsid w:val="00756A78"/>
    <w:rsid w:val="00757F1E"/>
    <w:rsid w:val="007608B1"/>
    <w:rsid w:val="00760B27"/>
    <w:rsid w:val="00760D11"/>
    <w:rsid w:val="00760F61"/>
    <w:rsid w:val="007634F8"/>
    <w:rsid w:val="007642C2"/>
    <w:rsid w:val="00765E16"/>
    <w:rsid w:val="00767188"/>
    <w:rsid w:val="00771A61"/>
    <w:rsid w:val="00773677"/>
    <w:rsid w:val="00774E67"/>
    <w:rsid w:val="00775FFD"/>
    <w:rsid w:val="00776E44"/>
    <w:rsid w:val="0077770E"/>
    <w:rsid w:val="00780F05"/>
    <w:rsid w:val="007817A7"/>
    <w:rsid w:val="00783482"/>
    <w:rsid w:val="00783B3F"/>
    <w:rsid w:val="00784413"/>
    <w:rsid w:val="00786848"/>
    <w:rsid w:val="00786BF3"/>
    <w:rsid w:val="00787650"/>
    <w:rsid w:val="00791D9A"/>
    <w:rsid w:val="00792226"/>
    <w:rsid w:val="00793E26"/>
    <w:rsid w:val="00795BDA"/>
    <w:rsid w:val="007967A6"/>
    <w:rsid w:val="00796885"/>
    <w:rsid w:val="00796E59"/>
    <w:rsid w:val="00797147"/>
    <w:rsid w:val="007978A1"/>
    <w:rsid w:val="007A4496"/>
    <w:rsid w:val="007A5414"/>
    <w:rsid w:val="007B0616"/>
    <w:rsid w:val="007B2372"/>
    <w:rsid w:val="007B3532"/>
    <w:rsid w:val="007B3EDF"/>
    <w:rsid w:val="007B668A"/>
    <w:rsid w:val="007B7B6C"/>
    <w:rsid w:val="007C01C3"/>
    <w:rsid w:val="007C042F"/>
    <w:rsid w:val="007C217B"/>
    <w:rsid w:val="007C2883"/>
    <w:rsid w:val="007C3634"/>
    <w:rsid w:val="007C7070"/>
    <w:rsid w:val="007C7500"/>
    <w:rsid w:val="007C7AEC"/>
    <w:rsid w:val="007C7E68"/>
    <w:rsid w:val="007D03DA"/>
    <w:rsid w:val="007D3056"/>
    <w:rsid w:val="007D3073"/>
    <w:rsid w:val="007D4452"/>
    <w:rsid w:val="007D5708"/>
    <w:rsid w:val="007D6146"/>
    <w:rsid w:val="007D703B"/>
    <w:rsid w:val="007E089B"/>
    <w:rsid w:val="007E10B0"/>
    <w:rsid w:val="007E3622"/>
    <w:rsid w:val="007E6C75"/>
    <w:rsid w:val="007E7484"/>
    <w:rsid w:val="007F035D"/>
    <w:rsid w:val="007F047A"/>
    <w:rsid w:val="007F1EDB"/>
    <w:rsid w:val="007F2331"/>
    <w:rsid w:val="007F2A78"/>
    <w:rsid w:val="007F303A"/>
    <w:rsid w:val="007F32B9"/>
    <w:rsid w:val="007F3835"/>
    <w:rsid w:val="007F3911"/>
    <w:rsid w:val="007F3B04"/>
    <w:rsid w:val="007F4447"/>
    <w:rsid w:val="007F632B"/>
    <w:rsid w:val="007F7E98"/>
    <w:rsid w:val="008023D7"/>
    <w:rsid w:val="008024D2"/>
    <w:rsid w:val="008024F1"/>
    <w:rsid w:val="008053B2"/>
    <w:rsid w:val="00805E92"/>
    <w:rsid w:val="00806461"/>
    <w:rsid w:val="00806DBA"/>
    <w:rsid w:val="008079EB"/>
    <w:rsid w:val="00816043"/>
    <w:rsid w:val="0081690F"/>
    <w:rsid w:val="0082303E"/>
    <w:rsid w:val="00823E55"/>
    <w:rsid w:val="0082427C"/>
    <w:rsid w:val="00824B32"/>
    <w:rsid w:val="00826012"/>
    <w:rsid w:val="00827234"/>
    <w:rsid w:val="00827E8D"/>
    <w:rsid w:val="00830282"/>
    <w:rsid w:val="008310F4"/>
    <w:rsid w:val="008313C7"/>
    <w:rsid w:val="0083172A"/>
    <w:rsid w:val="00831928"/>
    <w:rsid w:val="0083222B"/>
    <w:rsid w:val="00832F44"/>
    <w:rsid w:val="008331FB"/>
    <w:rsid w:val="00836902"/>
    <w:rsid w:val="00842A43"/>
    <w:rsid w:val="00843663"/>
    <w:rsid w:val="00843AFD"/>
    <w:rsid w:val="00844B59"/>
    <w:rsid w:val="00844CB7"/>
    <w:rsid w:val="0084646A"/>
    <w:rsid w:val="00851ACB"/>
    <w:rsid w:val="008521EA"/>
    <w:rsid w:val="0085451E"/>
    <w:rsid w:val="00856561"/>
    <w:rsid w:val="00860107"/>
    <w:rsid w:val="008608FC"/>
    <w:rsid w:val="00862FD3"/>
    <w:rsid w:val="00865A36"/>
    <w:rsid w:val="00865C2B"/>
    <w:rsid w:val="00867305"/>
    <w:rsid w:val="00867787"/>
    <w:rsid w:val="008679A3"/>
    <w:rsid w:val="0087076D"/>
    <w:rsid w:val="00870C9D"/>
    <w:rsid w:val="0087130E"/>
    <w:rsid w:val="00871C8D"/>
    <w:rsid w:val="0087400A"/>
    <w:rsid w:val="00874568"/>
    <w:rsid w:val="0087502C"/>
    <w:rsid w:val="008758C0"/>
    <w:rsid w:val="008769A0"/>
    <w:rsid w:val="00876B5D"/>
    <w:rsid w:val="008833EC"/>
    <w:rsid w:val="008845C4"/>
    <w:rsid w:val="00885312"/>
    <w:rsid w:val="008857B9"/>
    <w:rsid w:val="00887FE5"/>
    <w:rsid w:val="008903C5"/>
    <w:rsid w:val="00891580"/>
    <w:rsid w:val="0089242C"/>
    <w:rsid w:val="00892C67"/>
    <w:rsid w:val="00893C1F"/>
    <w:rsid w:val="00894B2E"/>
    <w:rsid w:val="00895BE3"/>
    <w:rsid w:val="008A1801"/>
    <w:rsid w:val="008A3085"/>
    <w:rsid w:val="008A3E11"/>
    <w:rsid w:val="008A5837"/>
    <w:rsid w:val="008A61E0"/>
    <w:rsid w:val="008A68A8"/>
    <w:rsid w:val="008A7536"/>
    <w:rsid w:val="008B0D07"/>
    <w:rsid w:val="008B0F6B"/>
    <w:rsid w:val="008B2F04"/>
    <w:rsid w:val="008B4579"/>
    <w:rsid w:val="008B54E9"/>
    <w:rsid w:val="008B627E"/>
    <w:rsid w:val="008C0582"/>
    <w:rsid w:val="008C245A"/>
    <w:rsid w:val="008C3E41"/>
    <w:rsid w:val="008C434C"/>
    <w:rsid w:val="008C53AF"/>
    <w:rsid w:val="008D4C1F"/>
    <w:rsid w:val="008E1670"/>
    <w:rsid w:val="008E1CDD"/>
    <w:rsid w:val="008E1F3D"/>
    <w:rsid w:val="008E1FAC"/>
    <w:rsid w:val="008E393F"/>
    <w:rsid w:val="008E433C"/>
    <w:rsid w:val="008E441B"/>
    <w:rsid w:val="008E5B18"/>
    <w:rsid w:val="008E731F"/>
    <w:rsid w:val="008F0397"/>
    <w:rsid w:val="008F04F9"/>
    <w:rsid w:val="008F0E08"/>
    <w:rsid w:val="008F2BA8"/>
    <w:rsid w:val="008F3FB9"/>
    <w:rsid w:val="008F6A14"/>
    <w:rsid w:val="008F707A"/>
    <w:rsid w:val="00900304"/>
    <w:rsid w:val="00901B16"/>
    <w:rsid w:val="0090362A"/>
    <w:rsid w:val="00903A2D"/>
    <w:rsid w:val="00904E10"/>
    <w:rsid w:val="00905BC5"/>
    <w:rsid w:val="0090638D"/>
    <w:rsid w:val="00906A42"/>
    <w:rsid w:val="00906D29"/>
    <w:rsid w:val="00907095"/>
    <w:rsid w:val="00907E8C"/>
    <w:rsid w:val="009169E7"/>
    <w:rsid w:val="009170EA"/>
    <w:rsid w:val="00917BD7"/>
    <w:rsid w:val="00920261"/>
    <w:rsid w:val="0092098F"/>
    <w:rsid w:val="00920B21"/>
    <w:rsid w:val="00920E73"/>
    <w:rsid w:val="0092231D"/>
    <w:rsid w:val="009229BD"/>
    <w:rsid w:val="009253C9"/>
    <w:rsid w:val="0092554C"/>
    <w:rsid w:val="00925E34"/>
    <w:rsid w:val="009260B4"/>
    <w:rsid w:val="00926228"/>
    <w:rsid w:val="00930B47"/>
    <w:rsid w:val="00930C42"/>
    <w:rsid w:val="00930DC8"/>
    <w:rsid w:val="009310B9"/>
    <w:rsid w:val="00933948"/>
    <w:rsid w:val="00933EBA"/>
    <w:rsid w:val="00934722"/>
    <w:rsid w:val="0093487E"/>
    <w:rsid w:val="00935ADD"/>
    <w:rsid w:val="009378D9"/>
    <w:rsid w:val="00937D9C"/>
    <w:rsid w:val="00941E63"/>
    <w:rsid w:val="00942B9F"/>
    <w:rsid w:val="009443B0"/>
    <w:rsid w:val="0094686C"/>
    <w:rsid w:val="009526E6"/>
    <w:rsid w:val="009546BF"/>
    <w:rsid w:val="00955714"/>
    <w:rsid w:val="00955D91"/>
    <w:rsid w:val="009564FD"/>
    <w:rsid w:val="00957476"/>
    <w:rsid w:val="00957E98"/>
    <w:rsid w:val="00960E36"/>
    <w:rsid w:val="00961EAB"/>
    <w:rsid w:val="00962EEC"/>
    <w:rsid w:val="00962F99"/>
    <w:rsid w:val="009648F1"/>
    <w:rsid w:val="00964F3B"/>
    <w:rsid w:val="009659E8"/>
    <w:rsid w:val="00965B97"/>
    <w:rsid w:val="00966AE4"/>
    <w:rsid w:val="0097236C"/>
    <w:rsid w:val="0097347F"/>
    <w:rsid w:val="0097402D"/>
    <w:rsid w:val="00980635"/>
    <w:rsid w:val="00983615"/>
    <w:rsid w:val="00991CBE"/>
    <w:rsid w:val="00992B29"/>
    <w:rsid w:val="00993EA7"/>
    <w:rsid w:val="009951D5"/>
    <w:rsid w:val="00995E9B"/>
    <w:rsid w:val="0099648E"/>
    <w:rsid w:val="009A0A1E"/>
    <w:rsid w:val="009A177C"/>
    <w:rsid w:val="009A1BD5"/>
    <w:rsid w:val="009A2F97"/>
    <w:rsid w:val="009A3179"/>
    <w:rsid w:val="009A5674"/>
    <w:rsid w:val="009A7D10"/>
    <w:rsid w:val="009B00CA"/>
    <w:rsid w:val="009B2262"/>
    <w:rsid w:val="009C29C5"/>
    <w:rsid w:val="009C359B"/>
    <w:rsid w:val="009C73A4"/>
    <w:rsid w:val="009C7B2D"/>
    <w:rsid w:val="009D4A99"/>
    <w:rsid w:val="009D51AB"/>
    <w:rsid w:val="009D5A7C"/>
    <w:rsid w:val="009D5C65"/>
    <w:rsid w:val="009D5F0F"/>
    <w:rsid w:val="009D75E6"/>
    <w:rsid w:val="009E0F59"/>
    <w:rsid w:val="009E1574"/>
    <w:rsid w:val="009E229B"/>
    <w:rsid w:val="009E258A"/>
    <w:rsid w:val="009E3041"/>
    <w:rsid w:val="009E3773"/>
    <w:rsid w:val="009E7B4D"/>
    <w:rsid w:val="009E7F6D"/>
    <w:rsid w:val="009F07E5"/>
    <w:rsid w:val="009F0AA4"/>
    <w:rsid w:val="009F0BFB"/>
    <w:rsid w:val="009F1CD7"/>
    <w:rsid w:val="009F21E6"/>
    <w:rsid w:val="009F6226"/>
    <w:rsid w:val="009F6D64"/>
    <w:rsid w:val="009F782F"/>
    <w:rsid w:val="009F7855"/>
    <w:rsid w:val="009F78ED"/>
    <w:rsid w:val="00A01492"/>
    <w:rsid w:val="00A01D9A"/>
    <w:rsid w:val="00A02881"/>
    <w:rsid w:val="00A044C9"/>
    <w:rsid w:val="00A045E2"/>
    <w:rsid w:val="00A05074"/>
    <w:rsid w:val="00A078FF"/>
    <w:rsid w:val="00A103C0"/>
    <w:rsid w:val="00A1093C"/>
    <w:rsid w:val="00A127ED"/>
    <w:rsid w:val="00A14481"/>
    <w:rsid w:val="00A15F45"/>
    <w:rsid w:val="00A2012E"/>
    <w:rsid w:val="00A228C0"/>
    <w:rsid w:val="00A23B32"/>
    <w:rsid w:val="00A259C9"/>
    <w:rsid w:val="00A25AF9"/>
    <w:rsid w:val="00A26A37"/>
    <w:rsid w:val="00A271C7"/>
    <w:rsid w:val="00A30C32"/>
    <w:rsid w:val="00A31627"/>
    <w:rsid w:val="00A3208B"/>
    <w:rsid w:val="00A3699C"/>
    <w:rsid w:val="00A375F9"/>
    <w:rsid w:val="00A413B2"/>
    <w:rsid w:val="00A4155C"/>
    <w:rsid w:val="00A426C3"/>
    <w:rsid w:val="00A429EF"/>
    <w:rsid w:val="00A42F34"/>
    <w:rsid w:val="00A43BAA"/>
    <w:rsid w:val="00A45312"/>
    <w:rsid w:val="00A45722"/>
    <w:rsid w:val="00A46B4F"/>
    <w:rsid w:val="00A47DDC"/>
    <w:rsid w:val="00A47FDA"/>
    <w:rsid w:val="00A50487"/>
    <w:rsid w:val="00A50BF5"/>
    <w:rsid w:val="00A51AE5"/>
    <w:rsid w:val="00A53C4B"/>
    <w:rsid w:val="00A54423"/>
    <w:rsid w:val="00A54E12"/>
    <w:rsid w:val="00A55113"/>
    <w:rsid w:val="00A55BFE"/>
    <w:rsid w:val="00A55D6E"/>
    <w:rsid w:val="00A56E33"/>
    <w:rsid w:val="00A579C5"/>
    <w:rsid w:val="00A6009E"/>
    <w:rsid w:val="00A62884"/>
    <w:rsid w:val="00A63F6D"/>
    <w:rsid w:val="00A65F55"/>
    <w:rsid w:val="00A65F57"/>
    <w:rsid w:val="00A72F64"/>
    <w:rsid w:val="00A7307F"/>
    <w:rsid w:val="00A730F7"/>
    <w:rsid w:val="00A7576D"/>
    <w:rsid w:val="00A83C6A"/>
    <w:rsid w:val="00A83F35"/>
    <w:rsid w:val="00A87078"/>
    <w:rsid w:val="00A87ABE"/>
    <w:rsid w:val="00A907E1"/>
    <w:rsid w:val="00A948F0"/>
    <w:rsid w:val="00A94ADF"/>
    <w:rsid w:val="00A9511E"/>
    <w:rsid w:val="00A9657B"/>
    <w:rsid w:val="00AA1687"/>
    <w:rsid w:val="00AA1C73"/>
    <w:rsid w:val="00AA21AA"/>
    <w:rsid w:val="00AA22DE"/>
    <w:rsid w:val="00AA51D7"/>
    <w:rsid w:val="00AA6F53"/>
    <w:rsid w:val="00AA7C7A"/>
    <w:rsid w:val="00AB3141"/>
    <w:rsid w:val="00AB37EC"/>
    <w:rsid w:val="00AB4526"/>
    <w:rsid w:val="00AB54A5"/>
    <w:rsid w:val="00AB5683"/>
    <w:rsid w:val="00AB57D0"/>
    <w:rsid w:val="00AB5BAD"/>
    <w:rsid w:val="00AB5D42"/>
    <w:rsid w:val="00AB60AC"/>
    <w:rsid w:val="00AB739B"/>
    <w:rsid w:val="00AB79D0"/>
    <w:rsid w:val="00AC7846"/>
    <w:rsid w:val="00AD2645"/>
    <w:rsid w:val="00AD2A97"/>
    <w:rsid w:val="00AD473A"/>
    <w:rsid w:val="00AD5E9A"/>
    <w:rsid w:val="00AE021E"/>
    <w:rsid w:val="00AE03D1"/>
    <w:rsid w:val="00AE1145"/>
    <w:rsid w:val="00AE13EF"/>
    <w:rsid w:val="00AE401B"/>
    <w:rsid w:val="00AE54F6"/>
    <w:rsid w:val="00AE6CE0"/>
    <w:rsid w:val="00AE6E10"/>
    <w:rsid w:val="00AF0385"/>
    <w:rsid w:val="00AF0D18"/>
    <w:rsid w:val="00AF11EB"/>
    <w:rsid w:val="00AF2194"/>
    <w:rsid w:val="00AF424C"/>
    <w:rsid w:val="00AF4CF3"/>
    <w:rsid w:val="00AF509E"/>
    <w:rsid w:val="00AF54D6"/>
    <w:rsid w:val="00AF57D0"/>
    <w:rsid w:val="00AF5F37"/>
    <w:rsid w:val="00AF6121"/>
    <w:rsid w:val="00AF6743"/>
    <w:rsid w:val="00AF6863"/>
    <w:rsid w:val="00AF6AE4"/>
    <w:rsid w:val="00AF7811"/>
    <w:rsid w:val="00AF7BA5"/>
    <w:rsid w:val="00B013C4"/>
    <w:rsid w:val="00B030FC"/>
    <w:rsid w:val="00B034B8"/>
    <w:rsid w:val="00B03690"/>
    <w:rsid w:val="00B03955"/>
    <w:rsid w:val="00B1000C"/>
    <w:rsid w:val="00B1027F"/>
    <w:rsid w:val="00B1096C"/>
    <w:rsid w:val="00B117AF"/>
    <w:rsid w:val="00B118EC"/>
    <w:rsid w:val="00B1193D"/>
    <w:rsid w:val="00B1286E"/>
    <w:rsid w:val="00B12EB3"/>
    <w:rsid w:val="00B13DD0"/>
    <w:rsid w:val="00B16F15"/>
    <w:rsid w:val="00B17F25"/>
    <w:rsid w:val="00B2220E"/>
    <w:rsid w:val="00B222F0"/>
    <w:rsid w:val="00B22707"/>
    <w:rsid w:val="00B23154"/>
    <w:rsid w:val="00B23AC9"/>
    <w:rsid w:val="00B241FD"/>
    <w:rsid w:val="00B24207"/>
    <w:rsid w:val="00B311A4"/>
    <w:rsid w:val="00B34110"/>
    <w:rsid w:val="00B366CA"/>
    <w:rsid w:val="00B37E2C"/>
    <w:rsid w:val="00B42201"/>
    <w:rsid w:val="00B43022"/>
    <w:rsid w:val="00B4681E"/>
    <w:rsid w:val="00B47DEA"/>
    <w:rsid w:val="00B5139D"/>
    <w:rsid w:val="00B51900"/>
    <w:rsid w:val="00B5312E"/>
    <w:rsid w:val="00B5398A"/>
    <w:rsid w:val="00B5506B"/>
    <w:rsid w:val="00B55EB2"/>
    <w:rsid w:val="00B57DF5"/>
    <w:rsid w:val="00B6158B"/>
    <w:rsid w:val="00B626D7"/>
    <w:rsid w:val="00B64BD4"/>
    <w:rsid w:val="00B666B2"/>
    <w:rsid w:val="00B70707"/>
    <w:rsid w:val="00B74830"/>
    <w:rsid w:val="00B74B3E"/>
    <w:rsid w:val="00B74C86"/>
    <w:rsid w:val="00B824EA"/>
    <w:rsid w:val="00B82743"/>
    <w:rsid w:val="00B865E0"/>
    <w:rsid w:val="00B929E6"/>
    <w:rsid w:val="00B95726"/>
    <w:rsid w:val="00B96385"/>
    <w:rsid w:val="00B97A36"/>
    <w:rsid w:val="00BA00E1"/>
    <w:rsid w:val="00BA1E8B"/>
    <w:rsid w:val="00BA27E1"/>
    <w:rsid w:val="00BA4585"/>
    <w:rsid w:val="00BA5462"/>
    <w:rsid w:val="00BA5A82"/>
    <w:rsid w:val="00BA5EB9"/>
    <w:rsid w:val="00BA688B"/>
    <w:rsid w:val="00BB2570"/>
    <w:rsid w:val="00BB3C4C"/>
    <w:rsid w:val="00BB56F3"/>
    <w:rsid w:val="00BB5B31"/>
    <w:rsid w:val="00BB742A"/>
    <w:rsid w:val="00BC10A1"/>
    <w:rsid w:val="00BC1CD3"/>
    <w:rsid w:val="00BC1E8B"/>
    <w:rsid w:val="00BC6F9B"/>
    <w:rsid w:val="00BD20BB"/>
    <w:rsid w:val="00BD2436"/>
    <w:rsid w:val="00BD49E9"/>
    <w:rsid w:val="00BD4A60"/>
    <w:rsid w:val="00BD596A"/>
    <w:rsid w:val="00BD67FD"/>
    <w:rsid w:val="00BD73CA"/>
    <w:rsid w:val="00BE0B3D"/>
    <w:rsid w:val="00BE1116"/>
    <w:rsid w:val="00BE2EA9"/>
    <w:rsid w:val="00BE3938"/>
    <w:rsid w:val="00BE3ED6"/>
    <w:rsid w:val="00BE6496"/>
    <w:rsid w:val="00BE7C4D"/>
    <w:rsid w:val="00BF1573"/>
    <w:rsid w:val="00BF264F"/>
    <w:rsid w:val="00BF4472"/>
    <w:rsid w:val="00BF6CF4"/>
    <w:rsid w:val="00BF6E02"/>
    <w:rsid w:val="00C03E09"/>
    <w:rsid w:val="00C04C4F"/>
    <w:rsid w:val="00C05026"/>
    <w:rsid w:val="00C10625"/>
    <w:rsid w:val="00C1149C"/>
    <w:rsid w:val="00C1284D"/>
    <w:rsid w:val="00C15E62"/>
    <w:rsid w:val="00C171CB"/>
    <w:rsid w:val="00C178F2"/>
    <w:rsid w:val="00C226D6"/>
    <w:rsid w:val="00C22997"/>
    <w:rsid w:val="00C2452E"/>
    <w:rsid w:val="00C262F5"/>
    <w:rsid w:val="00C31B0F"/>
    <w:rsid w:val="00C32E20"/>
    <w:rsid w:val="00C3317F"/>
    <w:rsid w:val="00C3372C"/>
    <w:rsid w:val="00C34A63"/>
    <w:rsid w:val="00C35539"/>
    <w:rsid w:val="00C357B0"/>
    <w:rsid w:val="00C36AD7"/>
    <w:rsid w:val="00C40C4E"/>
    <w:rsid w:val="00C41E79"/>
    <w:rsid w:val="00C43244"/>
    <w:rsid w:val="00C44FCA"/>
    <w:rsid w:val="00C4660C"/>
    <w:rsid w:val="00C47345"/>
    <w:rsid w:val="00C501D4"/>
    <w:rsid w:val="00C54D8F"/>
    <w:rsid w:val="00C607A9"/>
    <w:rsid w:val="00C61AB5"/>
    <w:rsid w:val="00C61E62"/>
    <w:rsid w:val="00C624CB"/>
    <w:rsid w:val="00C634FC"/>
    <w:rsid w:val="00C65499"/>
    <w:rsid w:val="00C65539"/>
    <w:rsid w:val="00C66814"/>
    <w:rsid w:val="00C67CAC"/>
    <w:rsid w:val="00C72DA9"/>
    <w:rsid w:val="00C736C0"/>
    <w:rsid w:val="00C7379D"/>
    <w:rsid w:val="00C73FEB"/>
    <w:rsid w:val="00C76627"/>
    <w:rsid w:val="00C766D3"/>
    <w:rsid w:val="00C774E4"/>
    <w:rsid w:val="00C814F3"/>
    <w:rsid w:val="00C82913"/>
    <w:rsid w:val="00C83A4A"/>
    <w:rsid w:val="00C842B0"/>
    <w:rsid w:val="00C86B50"/>
    <w:rsid w:val="00C8797B"/>
    <w:rsid w:val="00C92867"/>
    <w:rsid w:val="00C930BD"/>
    <w:rsid w:val="00C93E90"/>
    <w:rsid w:val="00C947C2"/>
    <w:rsid w:val="00C94C6E"/>
    <w:rsid w:val="00C94FA1"/>
    <w:rsid w:val="00C95025"/>
    <w:rsid w:val="00C953A3"/>
    <w:rsid w:val="00C95529"/>
    <w:rsid w:val="00CA4123"/>
    <w:rsid w:val="00CA518E"/>
    <w:rsid w:val="00CA54EF"/>
    <w:rsid w:val="00CA6915"/>
    <w:rsid w:val="00CA71F0"/>
    <w:rsid w:val="00CB2E5A"/>
    <w:rsid w:val="00CB67F0"/>
    <w:rsid w:val="00CB779C"/>
    <w:rsid w:val="00CC0DE0"/>
    <w:rsid w:val="00CC2011"/>
    <w:rsid w:val="00CC32BF"/>
    <w:rsid w:val="00CC33CC"/>
    <w:rsid w:val="00CC3C16"/>
    <w:rsid w:val="00CC525F"/>
    <w:rsid w:val="00CC68FE"/>
    <w:rsid w:val="00CC69FE"/>
    <w:rsid w:val="00CC730E"/>
    <w:rsid w:val="00CC7437"/>
    <w:rsid w:val="00CC745B"/>
    <w:rsid w:val="00CD1B47"/>
    <w:rsid w:val="00CD234C"/>
    <w:rsid w:val="00CD6114"/>
    <w:rsid w:val="00CD6BE5"/>
    <w:rsid w:val="00CD6F61"/>
    <w:rsid w:val="00CE07DF"/>
    <w:rsid w:val="00CE12D4"/>
    <w:rsid w:val="00CE1498"/>
    <w:rsid w:val="00CE35D0"/>
    <w:rsid w:val="00CE50DF"/>
    <w:rsid w:val="00CF0360"/>
    <w:rsid w:val="00CF6620"/>
    <w:rsid w:val="00CF6995"/>
    <w:rsid w:val="00D00267"/>
    <w:rsid w:val="00D00A05"/>
    <w:rsid w:val="00D01D49"/>
    <w:rsid w:val="00D025D3"/>
    <w:rsid w:val="00D034FD"/>
    <w:rsid w:val="00D06EA2"/>
    <w:rsid w:val="00D10A68"/>
    <w:rsid w:val="00D1132B"/>
    <w:rsid w:val="00D11633"/>
    <w:rsid w:val="00D13203"/>
    <w:rsid w:val="00D13A0F"/>
    <w:rsid w:val="00D13CA4"/>
    <w:rsid w:val="00D175B3"/>
    <w:rsid w:val="00D20844"/>
    <w:rsid w:val="00D20B04"/>
    <w:rsid w:val="00D2104D"/>
    <w:rsid w:val="00D21EF7"/>
    <w:rsid w:val="00D23C4A"/>
    <w:rsid w:val="00D2400B"/>
    <w:rsid w:val="00D24398"/>
    <w:rsid w:val="00D2597B"/>
    <w:rsid w:val="00D2604E"/>
    <w:rsid w:val="00D279E9"/>
    <w:rsid w:val="00D30B00"/>
    <w:rsid w:val="00D31FDC"/>
    <w:rsid w:val="00D3211B"/>
    <w:rsid w:val="00D366BC"/>
    <w:rsid w:val="00D36792"/>
    <w:rsid w:val="00D36870"/>
    <w:rsid w:val="00D37294"/>
    <w:rsid w:val="00D37AB1"/>
    <w:rsid w:val="00D408A2"/>
    <w:rsid w:val="00D40A94"/>
    <w:rsid w:val="00D42259"/>
    <w:rsid w:val="00D423D1"/>
    <w:rsid w:val="00D42845"/>
    <w:rsid w:val="00D4401A"/>
    <w:rsid w:val="00D445E3"/>
    <w:rsid w:val="00D4599A"/>
    <w:rsid w:val="00D468D7"/>
    <w:rsid w:val="00D46F0A"/>
    <w:rsid w:val="00D5017E"/>
    <w:rsid w:val="00D52381"/>
    <w:rsid w:val="00D54966"/>
    <w:rsid w:val="00D54D4D"/>
    <w:rsid w:val="00D54E17"/>
    <w:rsid w:val="00D56E11"/>
    <w:rsid w:val="00D5758E"/>
    <w:rsid w:val="00D61BBA"/>
    <w:rsid w:val="00D61DE5"/>
    <w:rsid w:val="00D62EEC"/>
    <w:rsid w:val="00D632AF"/>
    <w:rsid w:val="00D632E2"/>
    <w:rsid w:val="00D646B0"/>
    <w:rsid w:val="00D66100"/>
    <w:rsid w:val="00D666B6"/>
    <w:rsid w:val="00D725FE"/>
    <w:rsid w:val="00D73E93"/>
    <w:rsid w:val="00D74099"/>
    <w:rsid w:val="00D75309"/>
    <w:rsid w:val="00D76050"/>
    <w:rsid w:val="00D76ED0"/>
    <w:rsid w:val="00D808EB"/>
    <w:rsid w:val="00D81182"/>
    <w:rsid w:val="00D8244A"/>
    <w:rsid w:val="00D83D23"/>
    <w:rsid w:val="00D84CE6"/>
    <w:rsid w:val="00D84EFA"/>
    <w:rsid w:val="00D85E1A"/>
    <w:rsid w:val="00D86085"/>
    <w:rsid w:val="00D864E4"/>
    <w:rsid w:val="00D870D7"/>
    <w:rsid w:val="00D907FA"/>
    <w:rsid w:val="00D909B1"/>
    <w:rsid w:val="00D916E9"/>
    <w:rsid w:val="00D93111"/>
    <w:rsid w:val="00D954B8"/>
    <w:rsid w:val="00D956B2"/>
    <w:rsid w:val="00D95779"/>
    <w:rsid w:val="00D95A41"/>
    <w:rsid w:val="00D96D1B"/>
    <w:rsid w:val="00D96FCC"/>
    <w:rsid w:val="00DA015A"/>
    <w:rsid w:val="00DA44E2"/>
    <w:rsid w:val="00DA4A19"/>
    <w:rsid w:val="00DA5A1C"/>
    <w:rsid w:val="00DA6C86"/>
    <w:rsid w:val="00DA70BA"/>
    <w:rsid w:val="00DB05EF"/>
    <w:rsid w:val="00DB1D2F"/>
    <w:rsid w:val="00DB315A"/>
    <w:rsid w:val="00DB37E2"/>
    <w:rsid w:val="00DB634B"/>
    <w:rsid w:val="00DC023D"/>
    <w:rsid w:val="00DC0370"/>
    <w:rsid w:val="00DC0895"/>
    <w:rsid w:val="00DC0BE8"/>
    <w:rsid w:val="00DC1273"/>
    <w:rsid w:val="00DC3630"/>
    <w:rsid w:val="00DC735D"/>
    <w:rsid w:val="00DD3C6E"/>
    <w:rsid w:val="00DD4142"/>
    <w:rsid w:val="00DD47C8"/>
    <w:rsid w:val="00DD49B6"/>
    <w:rsid w:val="00DD4AF8"/>
    <w:rsid w:val="00DD58BD"/>
    <w:rsid w:val="00DD5FBD"/>
    <w:rsid w:val="00DD77D8"/>
    <w:rsid w:val="00DD7D20"/>
    <w:rsid w:val="00DE002F"/>
    <w:rsid w:val="00DE2C62"/>
    <w:rsid w:val="00DE3C61"/>
    <w:rsid w:val="00DE3D9C"/>
    <w:rsid w:val="00DE3EE8"/>
    <w:rsid w:val="00DE4554"/>
    <w:rsid w:val="00DE5F35"/>
    <w:rsid w:val="00DE6036"/>
    <w:rsid w:val="00DE6261"/>
    <w:rsid w:val="00DE6610"/>
    <w:rsid w:val="00DE69D0"/>
    <w:rsid w:val="00DF0641"/>
    <w:rsid w:val="00DF0D42"/>
    <w:rsid w:val="00DF136D"/>
    <w:rsid w:val="00DF300E"/>
    <w:rsid w:val="00DF5521"/>
    <w:rsid w:val="00DF6772"/>
    <w:rsid w:val="00E03E5A"/>
    <w:rsid w:val="00E03F19"/>
    <w:rsid w:val="00E0686D"/>
    <w:rsid w:val="00E120A4"/>
    <w:rsid w:val="00E137C0"/>
    <w:rsid w:val="00E141B2"/>
    <w:rsid w:val="00E14B22"/>
    <w:rsid w:val="00E163C4"/>
    <w:rsid w:val="00E208B9"/>
    <w:rsid w:val="00E20CA8"/>
    <w:rsid w:val="00E2316B"/>
    <w:rsid w:val="00E238E6"/>
    <w:rsid w:val="00E26B5A"/>
    <w:rsid w:val="00E30F3C"/>
    <w:rsid w:val="00E3170F"/>
    <w:rsid w:val="00E31DE5"/>
    <w:rsid w:val="00E32DD6"/>
    <w:rsid w:val="00E404DB"/>
    <w:rsid w:val="00E42728"/>
    <w:rsid w:val="00E42794"/>
    <w:rsid w:val="00E42943"/>
    <w:rsid w:val="00E43215"/>
    <w:rsid w:val="00E43E40"/>
    <w:rsid w:val="00E52099"/>
    <w:rsid w:val="00E52FB5"/>
    <w:rsid w:val="00E53113"/>
    <w:rsid w:val="00E53330"/>
    <w:rsid w:val="00E544F6"/>
    <w:rsid w:val="00E5580B"/>
    <w:rsid w:val="00E57FCE"/>
    <w:rsid w:val="00E60904"/>
    <w:rsid w:val="00E60E6E"/>
    <w:rsid w:val="00E63CC0"/>
    <w:rsid w:val="00E64AE7"/>
    <w:rsid w:val="00E64BA4"/>
    <w:rsid w:val="00E66012"/>
    <w:rsid w:val="00E67751"/>
    <w:rsid w:val="00E677B2"/>
    <w:rsid w:val="00E70959"/>
    <w:rsid w:val="00E71B57"/>
    <w:rsid w:val="00E72CE0"/>
    <w:rsid w:val="00E74E50"/>
    <w:rsid w:val="00E7789A"/>
    <w:rsid w:val="00E80A81"/>
    <w:rsid w:val="00E80D3E"/>
    <w:rsid w:val="00E82DCB"/>
    <w:rsid w:val="00E84781"/>
    <w:rsid w:val="00E86166"/>
    <w:rsid w:val="00E862B5"/>
    <w:rsid w:val="00E8633C"/>
    <w:rsid w:val="00E86518"/>
    <w:rsid w:val="00E8652F"/>
    <w:rsid w:val="00E877B0"/>
    <w:rsid w:val="00E87C4A"/>
    <w:rsid w:val="00E940DF"/>
    <w:rsid w:val="00E96220"/>
    <w:rsid w:val="00E962CB"/>
    <w:rsid w:val="00EA09C1"/>
    <w:rsid w:val="00EA176B"/>
    <w:rsid w:val="00EA2C51"/>
    <w:rsid w:val="00EA365B"/>
    <w:rsid w:val="00EA6DDF"/>
    <w:rsid w:val="00EB0EB9"/>
    <w:rsid w:val="00EB1C58"/>
    <w:rsid w:val="00EB230F"/>
    <w:rsid w:val="00EB3C78"/>
    <w:rsid w:val="00EB4BBE"/>
    <w:rsid w:val="00EB5033"/>
    <w:rsid w:val="00EB5637"/>
    <w:rsid w:val="00EB5C61"/>
    <w:rsid w:val="00EC100E"/>
    <w:rsid w:val="00EC31CC"/>
    <w:rsid w:val="00EC574E"/>
    <w:rsid w:val="00EC5E31"/>
    <w:rsid w:val="00ED0552"/>
    <w:rsid w:val="00ED0CC5"/>
    <w:rsid w:val="00ED1244"/>
    <w:rsid w:val="00ED18D8"/>
    <w:rsid w:val="00ED4614"/>
    <w:rsid w:val="00ED49A4"/>
    <w:rsid w:val="00ED53B3"/>
    <w:rsid w:val="00ED5EB3"/>
    <w:rsid w:val="00ED6720"/>
    <w:rsid w:val="00ED7D50"/>
    <w:rsid w:val="00EE1725"/>
    <w:rsid w:val="00EE1D30"/>
    <w:rsid w:val="00EE24A7"/>
    <w:rsid w:val="00EE2D05"/>
    <w:rsid w:val="00EE2F22"/>
    <w:rsid w:val="00EE6D99"/>
    <w:rsid w:val="00EF0F81"/>
    <w:rsid w:val="00EF1B7E"/>
    <w:rsid w:val="00EF1E19"/>
    <w:rsid w:val="00EF256B"/>
    <w:rsid w:val="00EF284B"/>
    <w:rsid w:val="00EF324E"/>
    <w:rsid w:val="00EF7928"/>
    <w:rsid w:val="00EF7B6C"/>
    <w:rsid w:val="00EF7BBB"/>
    <w:rsid w:val="00F01460"/>
    <w:rsid w:val="00F02146"/>
    <w:rsid w:val="00F0244D"/>
    <w:rsid w:val="00F02C8F"/>
    <w:rsid w:val="00F0451B"/>
    <w:rsid w:val="00F04563"/>
    <w:rsid w:val="00F0661D"/>
    <w:rsid w:val="00F10FAF"/>
    <w:rsid w:val="00F1174D"/>
    <w:rsid w:val="00F12A40"/>
    <w:rsid w:val="00F13C13"/>
    <w:rsid w:val="00F143AE"/>
    <w:rsid w:val="00F1495F"/>
    <w:rsid w:val="00F15109"/>
    <w:rsid w:val="00F15718"/>
    <w:rsid w:val="00F16B06"/>
    <w:rsid w:val="00F16D0A"/>
    <w:rsid w:val="00F17392"/>
    <w:rsid w:val="00F17467"/>
    <w:rsid w:val="00F22195"/>
    <w:rsid w:val="00F23785"/>
    <w:rsid w:val="00F2490D"/>
    <w:rsid w:val="00F2710C"/>
    <w:rsid w:val="00F30198"/>
    <w:rsid w:val="00F33780"/>
    <w:rsid w:val="00F359C5"/>
    <w:rsid w:val="00F372C9"/>
    <w:rsid w:val="00F437F3"/>
    <w:rsid w:val="00F43CFB"/>
    <w:rsid w:val="00F44973"/>
    <w:rsid w:val="00F46D80"/>
    <w:rsid w:val="00F51725"/>
    <w:rsid w:val="00F51C2D"/>
    <w:rsid w:val="00F5288B"/>
    <w:rsid w:val="00F537AD"/>
    <w:rsid w:val="00F55737"/>
    <w:rsid w:val="00F5616A"/>
    <w:rsid w:val="00F561D7"/>
    <w:rsid w:val="00F567A4"/>
    <w:rsid w:val="00F56EA8"/>
    <w:rsid w:val="00F57E68"/>
    <w:rsid w:val="00F6079A"/>
    <w:rsid w:val="00F60A33"/>
    <w:rsid w:val="00F611EC"/>
    <w:rsid w:val="00F61F43"/>
    <w:rsid w:val="00F62F8F"/>
    <w:rsid w:val="00F637F1"/>
    <w:rsid w:val="00F66D05"/>
    <w:rsid w:val="00F70A14"/>
    <w:rsid w:val="00F72056"/>
    <w:rsid w:val="00F73424"/>
    <w:rsid w:val="00F74C61"/>
    <w:rsid w:val="00F76B7F"/>
    <w:rsid w:val="00F7708F"/>
    <w:rsid w:val="00F7764D"/>
    <w:rsid w:val="00F779B3"/>
    <w:rsid w:val="00F8093F"/>
    <w:rsid w:val="00F80CE7"/>
    <w:rsid w:val="00F81817"/>
    <w:rsid w:val="00F81A1F"/>
    <w:rsid w:val="00F81E8D"/>
    <w:rsid w:val="00F8287F"/>
    <w:rsid w:val="00F84618"/>
    <w:rsid w:val="00F853CC"/>
    <w:rsid w:val="00F85D47"/>
    <w:rsid w:val="00F87F16"/>
    <w:rsid w:val="00F903C5"/>
    <w:rsid w:val="00F91071"/>
    <w:rsid w:val="00F9126E"/>
    <w:rsid w:val="00F9141E"/>
    <w:rsid w:val="00F92593"/>
    <w:rsid w:val="00F9283B"/>
    <w:rsid w:val="00F92F50"/>
    <w:rsid w:val="00F936FB"/>
    <w:rsid w:val="00F943FB"/>
    <w:rsid w:val="00F9471B"/>
    <w:rsid w:val="00F94831"/>
    <w:rsid w:val="00F95181"/>
    <w:rsid w:val="00F96A43"/>
    <w:rsid w:val="00F977B1"/>
    <w:rsid w:val="00FA2F18"/>
    <w:rsid w:val="00FA487E"/>
    <w:rsid w:val="00FA5E4C"/>
    <w:rsid w:val="00FA679D"/>
    <w:rsid w:val="00FA7EA5"/>
    <w:rsid w:val="00FB3349"/>
    <w:rsid w:val="00FC02B0"/>
    <w:rsid w:val="00FC0FAB"/>
    <w:rsid w:val="00FC183C"/>
    <w:rsid w:val="00FC22D0"/>
    <w:rsid w:val="00FC2354"/>
    <w:rsid w:val="00FC5340"/>
    <w:rsid w:val="00FC5432"/>
    <w:rsid w:val="00FC6921"/>
    <w:rsid w:val="00FD163E"/>
    <w:rsid w:val="00FD2B16"/>
    <w:rsid w:val="00FD2C55"/>
    <w:rsid w:val="00FD37A7"/>
    <w:rsid w:val="00FD3C30"/>
    <w:rsid w:val="00FD48DB"/>
    <w:rsid w:val="00FD581A"/>
    <w:rsid w:val="00FE0966"/>
    <w:rsid w:val="00FE114D"/>
    <w:rsid w:val="00FE1606"/>
    <w:rsid w:val="00FE2432"/>
    <w:rsid w:val="00FE2766"/>
    <w:rsid w:val="00FE3E56"/>
    <w:rsid w:val="00FE478C"/>
    <w:rsid w:val="00FE7968"/>
    <w:rsid w:val="00FF0F13"/>
    <w:rsid w:val="00FF2742"/>
    <w:rsid w:val="00FF3E04"/>
    <w:rsid w:val="00FF5875"/>
    <w:rsid w:val="00FF7023"/>
  </w:rsids>
  <m:mathPr>
    <m:mathFont m:val="Cambria Math"/>
    <m:brkBin m:val="before"/>
    <m:brkBinSub m:val="--"/>
    <m:smallFrac/>
    <m:dispDef/>
    <m:lMargin m:val="0"/>
    <m:rMargin m:val="0"/>
    <m:defJc m:val="centerGroup"/>
    <m:wrapIndent m:val="1440"/>
    <m:intLim m:val="subSup"/>
    <m:naryLim m:val="undOvr"/>
  </m:mathPr>
  <w:themeFontLang w:val="lv-LV" w:bidi="gu-I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FD08F20"/>
  <w15:docId w15:val="{3B9440D5-2431-4630-A782-8670C1B70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1F4"/>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824B32"/>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824B32"/>
    <w:rPr>
      <w:rFonts w:ascii="Times New Roman" w:eastAsiaTheme="minorHAnsi" w:hAnsi="Times New Roman"/>
      <w:sz w:val="20"/>
      <w:szCs w:val="20"/>
      <w:lang w:eastAsia="en-US"/>
    </w:rPr>
  </w:style>
  <w:style w:type="character" w:styleId="FootnoteReference">
    <w:name w:val="footnote reference"/>
    <w:basedOn w:val="DefaultParagraphFont"/>
    <w:semiHidden/>
    <w:unhideWhenUsed/>
    <w:rsid w:val="00824B32"/>
    <w:rPr>
      <w:vertAlign w:val="superscript"/>
    </w:rPr>
  </w:style>
  <w:style w:type="table" w:styleId="TableGrid">
    <w:name w:val="Table Grid"/>
    <w:basedOn w:val="TableNormal"/>
    <w:uiPriority w:val="59"/>
    <w:rsid w:val="00F56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1">
    <w:name w:val="nais1"/>
    <w:basedOn w:val="Normal"/>
    <w:rsid w:val="00E163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pant">
    <w:name w:val="naispant"/>
    <w:basedOn w:val="Normal"/>
    <w:rsid w:val="006C4D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916E9"/>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D916E9"/>
    <w:rPr>
      <w:rFonts w:cstheme="minorBidi"/>
      <w:color w:val="auto"/>
    </w:rPr>
  </w:style>
  <w:style w:type="paragraph" w:customStyle="1" w:styleId="CM3">
    <w:name w:val="CM3"/>
    <w:basedOn w:val="Default"/>
    <w:next w:val="Default"/>
    <w:uiPriority w:val="99"/>
    <w:rsid w:val="00D916E9"/>
    <w:rPr>
      <w:rFonts w:cstheme="minorBidi"/>
      <w:color w:val="auto"/>
    </w:rPr>
  </w:style>
  <w:style w:type="paragraph" w:customStyle="1" w:styleId="Daaarnumuru">
    <w:name w:val="Daļa ar numuru"/>
    <w:basedOn w:val="Normal"/>
    <w:qFormat/>
    <w:rsid w:val="008F707A"/>
    <w:pPr>
      <w:widowControl w:val="0"/>
      <w:tabs>
        <w:tab w:val="left" w:pos="1072"/>
        <w:tab w:val="left" w:pos="1418"/>
      </w:tabs>
      <w:adjustRightInd w:val="0"/>
      <w:spacing w:before="120" w:after="120" w:line="240" w:lineRule="auto"/>
      <w:jc w:val="both"/>
      <w:textAlignment w:val="baseline"/>
    </w:pPr>
    <w:rPr>
      <w:rFonts w:ascii="Times New Roman" w:eastAsia="Times New Roman" w:hAnsi="Times New Roman" w:cs="Times New Roman"/>
      <w:sz w:val="28"/>
      <w:szCs w:val="28"/>
    </w:rPr>
  </w:style>
  <w:style w:type="paragraph" w:customStyle="1" w:styleId="naisc">
    <w:name w:val="naisc"/>
    <w:basedOn w:val="Normal"/>
    <w:rsid w:val="0083222B"/>
    <w:pPr>
      <w:spacing w:before="75" w:after="75" w:line="240" w:lineRule="auto"/>
      <w:jc w:val="center"/>
    </w:pPr>
    <w:rPr>
      <w:rFonts w:ascii="Times New Roman" w:eastAsia="Times New Roman" w:hAnsi="Times New Roman" w:cs="Times New Roman"/>
      <w:sz w:val="24"/>
      <w:szCs w:val="24"/>
    </w:rPr>
  </w:style>
  <w:style w:type="paragraph" w:customStyle="1" w:styleId="tv2131">
    <w:name w:val="tv2131"/>
    <w:basedOn w:val="Normal"/>
    <w:rsid w:val="00F13C13"/>
    <w:pPr>
      <w:spacing w:after="0" w:line="360" w:lineRule="auto"/>
      <w:ind w:firstLine="300"/>
    </w:pPr>
    <w:rPr>
      <w:rFonts w:ascii="Times New Roman" w:eastAsia="Times New Roman" w:hAnsi="Times New Roman" w:cs="Times New Roman"/>
      <w:color w:val="414142"/>
      <w:sz w:val="20"/>
      <w:szCs w:val="20"/>
    </w:rPr>
  </w:style>
  <w:style w:type="paragraph" w:styleId="NoSpacing">
    <w:name w:val="No Spacing"/>
    <w:uiPriority w:val="1"/>
    <w:qFormat/>
    <w:rsid w:val="00957E98"/>
    <w:pPr>
      <w:spacing w:after="0" w:line="240" w:lineRule="auto"/>
    </w:pPr>
  </w:style>
  <w:style w:type="character" w:styleId="Emphasis">
    <w:name w:val="Emphasis"/>
    <w:basedOn w:val="DefaultParagraphFont"/>
    <w:uiPriority w:val="20"/>
    <w:qFormat/>
    <w:rsid w:val="00B74B3E"/>
    <w:rPr>
      <w:i/>
      <w:iCs/>
    </w:rPr>
  </w:style>
  <w:style w:type="paragraph" w:styleId="Subtitle">
    <w:name w:val="Subtitle"/>
    <w:basedOn w:val="Normal"/>
    <w:next w:val="Normal"/>
    <w:link w:val="SubtitleChar"/>
    <w:uiPriority w:val="11"/>
    <w:qFormat/>
    <w:rsid w:val="00B74B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74B3E"/>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7234">
      <w:bodyDiv w:val="1"/>
      <w:marLeft w:val="0"/>
      <w:marRight w:val="0"/>
      <w:marTop w:val="0"/>
      <w:marBottom w:val="0"/>
      <w:divBdr>
        <w:top w:val="none" w:sz="0" w:space="0" w:color="auto"/>
        <w:left w:val="none" w:sz="0" w:space="0" w:color="auto"/>
        <w:bottom w:val="none" w:sz="0" w:space="0" w:color="auto"/>
        <w:right w:val="none" w:sz="0" w:space="0" w:color="auto"/>
      </w:divBdr>
      <w:divsChild>
        <w:div w:id="1664508484">
          <w:marLeft w:val="0"/>
          <w:marRight w:val="0"/>
          <w:marTop w:val="0"/>
          <w:marBottom w:val="0"/>
          <w:divBdr>
            <w:top w:val="none" w:sz="0" w:space="0" w:color="auto"/>
            <w:left w:val="none" w:sz="0" w:space="0" w:color="auto"/>
            <w:bottom w:val="none" w:sz="0" w:space="0" w:color="auto"/>
            <w:right w:val="none" w:sz="0" w:space="0" w:color="auto"/>
          </w:divBdr>
          <w:divsChild>
            <w:div w:id="983386280">
              <w:marLeft w:val="0"/>
              <w:marRight w:val="0"/>
              <w:marTop w:val="0"/>
              <w:marBottom w:val="0"/>
              <w:divBdr>
                <w:top w:val="none" w:sz="0" w:space="0" w:color="auto"/>
                <w:left w:val="none" w:sz="0" w:space="0" w:color="auto"/>
                <w:bottom w:val="none" w:sz="0" w:space="0" w:color="auto"/>
                <w:right w:val="none" w:sz="0" w:space="0" w:color="auto"/>
              </w:divBdr>
              <w:divsChild>
                <w:div w:id="67965137">
                  <w:marLeft w:val="0"/>
                  <w:marRight w:val="0"/>
                  <w:marTop w:val="0"/>
                  <w:marBottom w:val="0"/>
                  <w:divBdr>
                    <w:top w:val="none" w:sz="0" w:space="0" w:color="auto"/>
                    <w:left w:val="none" w:sz="0" w:space="0" w:color="auto"/>
                    <w:bottom w:val="none" w:sz="0" w:space="0" w:color="auto"/>
                    <w:right w:val="none" w:sz="0" w:space="0" w:color="auto"/>
                  </w:divBdr>
                  <w:divsChild>
                    <w:div w:id="1587494212">
                      <w:marLeft w:val="0"/>
                      <w:marRight w:val="0"/>
                      <w:marTop w:val="0"/>
                      <w:marBottom w:val="0"/>
                      <w:divBdr>
                        <w:top w:val="none" w:sz="0" w:space="0" w:color="auto"/>
                        <w:left w:val="none" w:sz="0" w:space="0" w:color="auto"/>
                        <w:bottom w:val="none" w:sz="0" w:space="0" w:color="auto"/>
                        <w:right w:val="none" w:sz="0" w:space="0" w:color="auto"/>
                      </w:divBdr>
                      <w:divsChild>
                        <w:div w:id="950624563">
                          <w:marLeft w:val="0"/>
                          <w:marRight w:val="0"/>
                          <w:marTop w:val="0"/>
                          <w:marBottom w:val="0"/>
                          <w:divBdr>
                            <w:top w:val="none" w:sz="0" w:space="0" w:color="auto"/>
                            <w:left w:val="none" w:sz="0" w:space="0" w:color="auto"/>
                            <w:bottom w:val="none" w:sz="0" w:space="0" w:color="auto"/>
                            <w:right w:val="none" w:sz="0" w:space="0" w:color="auto"/>
                          </w:divBdr>
                          <w:divsChild>
                            <w:div w:id="46419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7302023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266185169">
      <w:bodyDiv w:val="1"/>
      <w:marLeft w:val="0"/>
      <w:marRight w:val="0"/>
      <w:marTop w:val="0"/>
      <w:marBottom w:val="0"/>
      <w:divBdr>
        <w:top w:val="none" w:sz="0" w:space="0" w:color="auto"/>
        <w:left w:val="none" w:sz="0" w:space="0" w:color="auto"/>
        <w:bottom w:val="none" w:sz="0" w:space="0" w:color="auto"/>
        <w:right w:val="none" w:sz="0" w:space="0" w:color="auto"/>
      </w:divBdr>
      <w:divsChild>
        <w:div w:id="444276717">
          <w:marLeft w:val="0"/>
          <w:marRight w:val="0"/>
          <w:marTop w:val="0"/>
          <w:marBottom w:val="0"/>
          <w:divBdr>
            <w:top w:val="none" w:sz="0" w:space="0" w:color="auto"/>
            <w:left w:val="none" w:sz="0" w:space="0" w:color="auto"/>
            <w:bottom w:val="none" w:sz="0" w:space="0" w:color="auto"/>
            <w:right w:val="none" w:sz="0" w:space="0" w:color="auto"/>
          </w:divBdr>
          <w:divsChild>
            <w:div w:id="1487015551">
              <w:marLeft w:val="0"/>
              <w:marRight w:val="0"/>
              <w:marTop w:val="0"/>
              <w:marBottom w:val="0"/>
              <w:divBdr>
                <w:top w:val="none" w:sz="0" w:space="0" w:color="auto"/>
                <w:left w:val="none" w:sz="0" w:space="0" w:color="auto"/>
                <w:bottom w:val="none" w:sz="0" w:space="0" w:color="auto"/>
                <w:right w:val="none" w:sz="0" w:space="0" w:color="auto"/>
              </w:divBdr>
              <w:divsChild>
                <w:div w:id="1456174851">
                  <w:marLeft w:val="0"/>
                  <w:marRight w:val="0"/>
                  <w:marTop w:val="0"/>
                  <w:marBottom w:val="0"/>
                  <w:divBdr>
                    <w:top w:val="none" w:sz="0" w:space="0" w:color="auto"/>
                    <w:left w:val="none" w:sz="0" w:space="0" w:color="auto"/>
                    <w:bottom w:val="none" w:sz="0" w:space="0" w:color="auto"/>
                    <w:right w:val="none" w:sz="0" w:space="0" w:color="auto"/>
                  </w:divBdr>
                  <w:divsChild>
                    <w:div w:id="2093239667">
                      <w:marLeft w:val="0"/>
                      <w:marRight w:val="0"/>
                      <w:marTop w:val="0"/>
                      <w:marBottom w:val="0"/>
                      <w:divBdr>
                        <w:top w:val="none" w:sz="0" w:space="0" w:color="auto"/>
                        <w:left w:val="none" w:sz="0" w:space="0" w:color="auto"/>
                        <w:bottom w:val="none" w:sz="0" w:space="0" w:color="auto"/>
                        <w:right w:val="none" w:sz="0" w:space="0" w:color="auto"/>
                      </w:divBdr>
                      <w:divsChild>
                        <w:div w:id="709837684">
                          <w:marLeft w:val="0"/>
                          <w:marRight w:val="0"/>
                          <w:marTop w:val="0"/>
                          <w:marBottom w:val="0"/>
                          <w:divBdr>
                            <w:top w:val="none" w:sz="0" w:space="0" w:color="auto"/>
                            <w:left w:val="none" w:sz="0" w:space="0" w:color="auto"/>
                            <w:bottom w:val="none" w:sz="0" w:space="0" w:color="auto"/>
                            <w:right w:val="none" w:sz="0" w:space="0" w:color="auto"/>
                          </w:divBdr>
                          <w:divsChild>
                            <w:div w:id="1282760548">
                              <w:marLeft w:val="0"/>
                              <w:marRight w:val="0"/>
                              <w:marTop w:val="0"/>
                              <w:marBottom w:val="0"/>
                              <w:divBdr>
                                <w:top w:val="none" w:sz="0" w:space="0" w:color="auto"/>
                                <w:left w:val="none" w:sz="0" w:space="0" w:color="auto"/>
                                <w:bottom w:val="none" w:sz="0" w:space="0" w:color="auto"/>
                                <w:right w:val="none" w:sz="0" w:space="0" w:color="auto"/>
                              </w:divBdr>
                              <w:divsChild>
                                <w:div w:id="6918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722680">
      <w:bodyDiv w:val="1"/>
      <w:marLeft w:val="0"/>
      <w:marRight w:val="0"/>
      <w:marTop w:val="0"/>
      <w:marBottom w:val="0"/>
      <w:divBdr>
        <w:top w:val="none" w:sz="0" w:space="0" w:color="auto"/>
        <w:left w:val="none" w:sz="0" w:space="0" w:color="auto"/>
        <w:bottom w:val="none" w:sz="0" w:space="0" w:color="auto"/>
        <w:right w:val="none" w:sz="0" w:space="0" w:color="auto"/>
      </w:divBdr>
      <w:divsChild>
        <w:div w:id="1866476716">
          <w:marLeft w:val="0"/>
          <w:marRight w:val="0"/>
          <w:marTop w:val="0"/>
          <w:marBottom w:val="0"/>
          <w:divBdr>
            <w:top w:val="none" w:sz="0" w:space="0" w:color="auto"/>
            <w:left w:val="none" w:sz="0" w:space="0" w:color="auto"/>
            <w:bottom w:val="none" w:sz="0" w:space="0" w:color="auto"/>
            <w:right w:val="none" w:sz="0" w:space="0" w:color="auto"/>
          </w:divBdr>
          <w:divsChild>
            <w:div w:id="549418696">
              <w:marLeft w:val="0"/>
              <w:marRight w:val="0"/>
              <w:marTop w:val="0"/>
              <w:marBottom w:val="0"/>
              <w:divBdr>
                <w:top w:val="none" w:sz="0" w:space="0" w:color="auto"/>
                <w:left w:val="none" w:sz="0" w:space="0" w:color="auto"/>
                <w:bottom w:val="none" w:sz="0" w:space="0" w:color="auto"/>
                <w:right w:val="none" w:sz="0" w:space="0" w:color="auto"/>
              </w:divBdr>
              <w:divsChild>
                <w:div w:id="1840922326">
                  <w:marLeft w:val="0"/>
                  <w:marRight w:val="0"/>
                  <w:marTop w:val="0"/>
                  <w:marBottom w:val="0"/>
                  <w:divBdr>
                    <w:top w:val="none" w:sz="0" w:space="0" w:color="auto"/>
                    <w:left w:val="none" w:sz="0" w:space="0" w:color="auto"/>
                    <w:bottom w:val="none" w:sz="0" w:space="0" w:color="auto"/>
                    <w:right w:val="none" w:sz="0" w:space="0" w:color="auto"/>
                  </w:divBdr>
                  <w:divsChild>
                    <w:div w:id="1635216341">
                      <w:marLeft w:val="0"/>
                      <w:marRight w:val="0"/>
                      <w:marTop w:val="0"/>
                      <w:marBottom w:val="0"/>
                      <w:divBdr>
                        <w:top w:val="none" w:sz="0" w:space="0" w:color="auto"/>
                        <w:left w:val="none" w:sz="0" w:space="0" w:color="auto"/>
                        <w:bottom w:val="none" w:sz="0" w:space="0" w:color="auto"/>
                        <w:right w:val="none" w:sz="0" w:space="0" w:color="auto"/>
                      </w:divBdr>
                      <w:divsChild>
                        <w:div w:id="1823041963">
                          <w:marLeft w:val="0"/>
                          <w:marRight w:val="0"/>
                          <w:marTop w:val="0"/>
                          <w:marBottom w:val="0"/>
                          <w:divBdr>
                            <w:top w:val="none" w:sz="0" w:space="0" w:color="auto"/>
                            <w:left w:val="none" w:sz="0" w:space="0" w:color="auto"/>
                            <w:bottom w:val="none" w:sz="0" w:space="0" w:color="auto"/>
                            <w:right w:val="none" w:sz="0" w:space="0" w:color="auto"/>
                          </w:divBdr>
                          <w:divsChild>
                            <w:div w:id="56730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313985">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495225570">
      <w:bodyDiv w:val="1"/>
      <w:marLeft w:val="0"/>
      <w:marRight w:val="0"/>
      <w:marTop w:val="0"/>
      <w:marBottom w:val="0"/>
      <w:divBdr>
        <w:top w:val="none" w:sz="0" w:space="0" w:color="auto"/>
        <w:left w:val="none" w:sz="0" w:space="0" w:color="auto"/>
        <w:bottom w:val="none" w:sz="0" w:space="0" w:color="auto"/>
        <w:right w:val="none" w:sz="0" w:space="0" w:color="auto"/>
      </w:divBdr>
    </w:div>
    <w:div w:id="1517035825">
      <w:bodyDiv w:val="1"/>
      <w:marLeft w:val="0"/>
      <w:marRight w:val="0"/>
      <w:marTop w:val="0"/>
      <w:marBottom w:val="0"/>
      <w:divBdr>
        <w:top w:val="none" w:sz="0" w:space="0" w:color="auto"/>
        <w:left w:val="none" w:sz="0" w:space="0" w:color="auto"/>
        <w:bottom w:val="none" w:sz="0" w:space="0" w:color="auto"/>
        <w:right w:val="none" w:sz="0" w:space="0" w:color="auto"/>
      </w:divBdr>
    </w:div>
    <w:div w:id="1519005605">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ita.Tomina@f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Likumprojekts</Kategorija>
    <DKP xmlns="2e5bb04e-596e-45bd-9003-43ca78b1ba16">7</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DB80BBC-4542-4F46-A742-D4A846E64D33}">
  <ds:schemaRefs>
    <ds:schemaRef ds:uri="http://schemas.microsoft.com/sharepoint/v3/contenttype/forms"/>
  </ds:schemaRefs>
</ds:datastoreItem>
</file>

<file path=customXml/itemProps2.xml><?xml version="1.0" encoding="utf-8"?>
<ds:datastoreItem xmlns:ds="http://schemas.openxmlformats.org/officeDocument/2006/customXml" ds:itemID="{7B87346C-0C43-4220-866D-05E3652FDA13}">
  <ds:schemaRef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2e5bb04e-596e-45bd-9003-43ca78b1ba16"/>
  </ds:schemaRefs>
</ds:datastoreItem>
</file>

<file path=customXml/itemProps3.xml><?xml version="1.0" encoding="utf-8"?>
<ds:datastoreItem xmlns:ds="http://schemas.openxmlformats.org/officeDocument/2006/customXml" ds:itemID="{0382C207-165A-4319-97B9-16307A865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3BFD20-41A7-44FC-9464-34FE512A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17706</Words>
  <Characters>10093</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MK noteikumu projekts „Grozījumi Ministru kabineta 2010.gada 16.novembra noteikumos Nr.1048 “Noteikumi par vienkāršoto deklarēšanu un vietējo muitošanu, atzītā nosūtītāja un atzītā saņēmēja statusu, vienoto atļauju un atzītā komersanta sertifikātu””</vt:lpstr>
    </vt:vector>
  </TitlesOfParts>
  <Manager>S.Āmare-Pilka</Manager>
  <Company>Finanšu ministrija</Company>
  <LinksUpToDate>false</LinksUpToDate>
  <CharactersWithSpaces>27744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„Grozījumi Ministru kabineta 2010.gada 16.novembra noteikumos Nr.1048 “Noteikumi par vienkāršoto deklarēšanu un vietējo muitošanu, atzītā nosūtītāja un atzītā saņēmēja statusu, vienoto atļauju un atzītā komersanta sertifikātu””</dc:title>
  <dc:subject>Anotācija</dc:subject>
  <dc:creator>I.Tomiņa</dc:creator>
  <dc:description>Irita.Tomina@fm.gov.lv_x000d_
67095566</dc:description>
  <cp:lastModifiedBy>Irita Tomiņa</cp:lastModifiedBy>
  <cp:revision>3</cp:revision>
  <cp:lastPrinted>2014-08-05T06:07:00Z</cp:lastPrinted>
  <dcterms:created xsi:type="dcterms:W3CDTF">2014-09-26T05:57:00Z</dcterms:created>
  <dcterms:modified xsi:type="dcterms:W3CDTF">2014-09-26T06:28:00Z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0x0101001B7EA197AA1D704C9843F1E46D9D5619</vt:lpwstr>
  </property>
</Properties>
</file>