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22" w:rsidRPr="00DD4C79" w:rsidRDefault="00EB44FF" w:rsidP="004857EC">
      <w:pPr>
        <w:pStyle w:val="naisnod"/>
        <w:rPr>
          <w:sz w:val="28"/>
          <w:szCs w:val="28"/>
        </w:rPr>
      </w:pPr>
      <w:r w:rsidRPr="00DD4C79">
        <w:rPr>
          <w:sz w:val="28"/>
          <w:szCs w:val="28"/>
        </w:rPr>
        <w:t>Ministru kabineta noteikumu projekta „Valsts vērtspapīru izlaišanas noteikumi”</w:t>
      </w:r>
      <w:r w:rsidR="00F30374" w:rsidRPr="00DD4C79">
        <w:rPr>
          <w:sz w:val="28"/>
          <w:szCs w:val="28"/>
        </w:rPr>
        <w:t xml:space="preserve"> </w:t>
      </w:r>
      <w:r w:rsidR="00764722" w:rsidRPr="00DD4C79">
        <w:rPr>
          <w:sz w:val="28"/>
          <w:szCs w:val="28"/>
        </w:rPr>
        <w:t>sākotnējās ietekmes novērtējuma ziņojums (anotācija)</w:t>
      </w:r>
    </w:p>
    <w:p w:rsidR="00764722" w:rsidRPr="00DD4C79" w:rsidRDefault="00764722" w:rsidP="004857EC">
      <w:pPr>
        <w:pStyle w:val="naisc"/>
        <w:jc w:val="left"/>
        <w:rPr>
          <w:sz w:val="28"/>
          <w:szCs w:val="28"/>
        </w:rPr>
      </w:pP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1485"/>
        <w:gridCol w:w="7719"/>
      </w:tblGrid>
      <w:tr w:rsidR="00DD4C79" w:rsidRPr="00DD4C79" w:rsidTr="0032587C">
        <w:trPr>
          <w:tblCellSpacing w:w="0" w:type="dxa"/>
        </w:trPr>
        <w:tc>
          <w:tcPr>
            <w:tcW w:w="9654" w:type="dxa"/>
            <w:gridSpan w:val="3"/>
            <w:tcBorders>
              <w:top w:val="outset" w:sz="6" w:space="0" w:color="auto"/>
              <w:left w:val="outset" w:sz="6" w:space="0" w:color="auto"/>
              <w:bottom w:val="outset" w:sz="6" w:space="0" w:color="auto"/>
              <w:right w:val="outset" w:sz="6" w:space="0" w:color="auto"/>
            </w:tcBorders>
            <w:vAlign w:val="center"/>
          </w:tcPr>
          <w:p w:rsidR="00764722" w:rsidRPr="00DD4C79" w:rsidRDefault="00764722" w:rsidP="00E47744">
            <w:pPr>
              <w:pStyle w:val="naisc"/>
              <w:rPr>
                <w:sz w:val="28"/>
                <w:szCs w:val="28"/>
              </w:rPr>
            </w:pPr>
            <w:r w:rsidRPr="00DD4C79">
              <w:rPr>
                <w:b/>
                <w:bCs/>
                <w:sz w:val="28"/>
                <w:szCs w:val="28"/>
              </w:rPr>
              <w:t> I. Tiesību akta projekta izstrādes nepieciešamība</w:t>
            </w:r>
          </w:p>
        </w:tc>
      </w:tr>
      <w:tr w:rsidR="00DD4C79" w:rsidRPr="00DD4C79" w:rsidTr="009E14C9">
        <w:trPr>
          <w:trHeight w:val="630"/>
          <w:tblCellSpacing w:w="0" w:type="dxa"/>
        </w:trPr>
        <w:tc>
          <w:tcPr>
            <w:tcW w:w="450" w:type="dxa"/>
            <w:tcBorders>
              <w:top w:val="outset" w:sz="6" w:space="0" w:color="auto"/>
              <w:left w:val="outset" w:sz="6" w:space="0" w:color="auto"/>
              <w:bottom w:val="outset" w:sz="6" w:space="0" w:color="auto"/>
              <w:right w:val="outset" w:sz="6" w:space="0" w:color="auto"/>
            </w:tcBorders>
          </w:tcPr>
          <w:p w:rsidR="000B001F" w:rsidRPr="00DD4C79" w:rsidRDefault="00764722" w:rsidP="00E47744">
            <w:pPr>
              <w:pStyle w:val="naiskr"/>
              <w:rPr>
                <w:sz w:val="28"/>
                <w:szCs w:val="28"/>
              </w:rPr>
            </w:pPr>
            <w:r w:rsidRPr="00DD4C79">
              <w:rPr>
                <w:sz w:val="28"/>
                <w:szCs w:val="28"/>
              </w:rPr>
              <w:t> </w:t>
            </w:r>
          </w:p>
          <w:p w:rsidR="00764722" w:rsidRPr="00DD4C79" w:rsidRDefault="00764722" w:rsidP="00E47744">
            <w:pPr>
              <w:pStyle w:val="naiskr"/>
              <w:rPr>
                <w:sz w:val="28"/>
                <w:szCs w:val="28"/>
              </w:rPr>
            </w:pPr>
            <w:r w:rsidRPr="00DD4C79">
              <w:rPr>
                <w:sz w:val="28"/>
                <w:szCs w:val="28"/>
              </w:rPr>
              <w:t>1.</w:t>
            </w:r>
          </w:p>
        </w:tc>
        <w:tc>
          <w:tcPr>
            <w:tcW w:w="1485" w:type="dxa"/>
            <w:tcBorders>
              <w:top w:val="outset" w:sz="6" w:space="0" w:color="auto"/>
              <w:left w:val="outset" w:sz="6" w:space="0" w:color="auto"/>
              <w:bottom w:val="outset" w:sz="6" w:space="0" w:color="auto"/>
              <w:right w:val="outset" w:sz="6" w:space="0" w:color="auto"/>
            </w:tcBorders>
          </w:tcPr>
          <w:p w:rsidR="000B001F" w:rsidRPr="00DD4C79" w:rsidRDefault="00764722" w:rsidP="00F30374">
            <w:pPr>
              <w:pStyle w:val="naislab"/>
              <w:jc w:val="left"/>
              <w:rPr>
                <w:sz w:val="28"/>
                <w:szCs w:val="28"/>
              </w:rPr>
            </w:pPr>
            <w:r w:rsidRPr="00DD4C79">
              <w:rPr>
                <w:sz w:val="28"/>
                <w:szCs w:val="28"/>
              </w:rPr>
              <w:t> </w:t>
            </w:r>
          </w:p>
          <w:p w:rsidR="00764722" w:rsidRPr="00DD4C79" w:rsidRDefault="00764722" w:rsidP="00F30374">
            <w:pPr>
              <w:pStyle w:val="naislab"/>
              <w:jc w:val="left"/>
              <w:rPr>
                <w:sz w:val="28"/>
                <w:szCs w:val="28"/>
              </w:rPr>
            </w:pPr>
            <w:r w:rsidRPr="00DD4C79">
              <w:rPr>
                <w:sz w:val="28"/>
                <w:szCs w:val="28"/>
              </w:rPr>
              <w:t>Pamatojums</w:t>
            </w:r>
          </w:p>
        </w:tc>
        <w:tc>
          <w:tcPr>
            <w:tcW w:w="7719" w:type="dxa"/>
            <w:tcBorders>
              <w:top w:val="outset" w:sz="6" w:space="0" w:color="auto"/>
              <w:left w:val="outset" w:sz="6" w:space="0" w:color="auto"/>
              <w:bottom w:val="outset" w:sz="6" w:space="0" w:color="auto"/>
              <w:right w:val="outset" w:sz="6" w:space="0" w:color="auto"/>
            </w:tcBorders>
          </w:tcPr>
          <w:p w:rsidR="000B001F" w:rsidRPr="00DD4C79" w:rsidRDefault="00030D34" w:rsidP="00030D34">
            <w:pPr>
              <w:jc w:val="both"/>
              <w:rPr>
                <w:sz w:val="28"/>
                <w:szCs w:val="28"/>
              </w:rPr>
            </w:pPr>
            <w:r w:rsidRPr="00DD4C79">
              <w:rPr>
                <w:sz w:val="28"/>
                <w:szCs w:val="28"/>
              </w:rPr>
              <w:t xml:space="preserve">     </w:t>
            </w:r>
          </w:p>
          <w:p w:rsidR="00030D34" w:rsidRPr="00DD4C79" w:rsidRDefault="00030D34" w:rsidP="00030D34">
            <w:pPr>
              <w:jc w:val="both"/>
              <w:rPr>
                <w:sz w:val="28"/>
                <w:szCs w:val="28"/>
                <w:lang w:eastAsia="lv-LV"/>
              </w:rPr>
            </w:pPr>
            <w:r w:rsidRPr="00DD4C79">
              <w:rPr>
                <w:sz w:val="28"/>
                <w:szCs w:val="28"/>
              </w:rPr>
              <w:t>Likumprojekts „</w:t>
            </w:r>
            <w:r w:rsidRPr="00DD4C79">
              <w:rPr>
                <w:sz w:val="28"/>
                <w:szCs w:val="28"/>
                <w:lang w:eastAsia="lv-LV"/>
              </w:rPr>
              <w:t>Par Līgumu par Eiropas Stabilitātes mehānisma dibināšanu” kuru Saeimā otrajā lasījumā plānots pieņemt 2014.gada 30.janvārī paredz pieņemt un apstiprināt 2012.gada 2.februārī parakstīto Līgumu par Eiropas Stabilitātes mehānisma dibināšanu (turpmāk – Līgums), Eiropas Stabilitātes mehānisma Valdes  2012.gada 8.oktobra rezolūciju Nr.11 "Maksimālā aizdošanas apjoma noteikšana" un Līguma pielāgojumus, kas veikti tiešā saistībā ar Latvijas Republikas pievienošanos un izstrādāti saskaņā ar Līguma 44.pantu, un apstiprināti ar Valdes 2013.gada 23.oktobra rezolūciju Nr.3 "Par korekcijām Līgumā, kādas tieši izriet no Latvijas pievienošanās".</w:t>
            </w:r>
          </w:p>
          <w:p w:rsidR="00764722" w:rsidRPr="00DD4C79" w:rsidRDefault="00030D34" w:rsidP="00030D34">
            <w:pPr>
              <w:pStyle w:val="naiskr"/>
              <w:ind w:right="126" w:firstLine="410"/>
              <w:jc w:val="both"/>
              <w:rPr>
                <w:sz w:val="28"/>
                <w:szCs w:val="28"/>
              </w:rPr>
            </w:pPr>
            <w:r w:rsidRPr="00DD4C79">
              <w:rPr>
                <w:sz w:val="28"/>
                <w:szCs w:val="28"/>
              </w:rPr>
              <w:t xml:space="preserve">Līguma 12.panta 3.punkts paredz valsts vērtspapīros, kuru dzēšanas termiņš pārsniedz vienu gadu, standartizētas kopējas rīcības klauzulas -  </w:t>
            </w:r>
            <w:proofErr w:type="spellStart"/>
            <w:r w:rsidRPr="00DD4C79">
              <w:rPr>
                <w:i/>
                <w:sz w:val="28"/>
                <w:szCs w:val="28"/>
              </w:rPr>
              <w:t>Collective</w:t>
            </w:r>
            <w:proofErr w:type="spellEnd"/>
            <w:r w:rsidRPr="00DD4C79">
              <w:rPr>
                <w:i/>
                <w:sz w:val="28"/>
                <w:szCs w:val="28"/>
              </w:rPr>
              <w:t xml:space="preserve"> </w:t>
            </w:r>
            <w:proofErr w:type="spellStart"/>
            <w:r w:rsidRPr="00DD4C79">
              <w:rPr>
                <w:i/>
                <w:sz w:val="28"/>
                <w:szCs w:val="28"/>
              </w:rPr>
              <w:t>Action</w:t>
            </w:r>
            <w:proofErr w:type="spellEnd"/>
            <w:r w:rsidRPr="00DD4C79">
              <w:rPr>
                <w:i/>
                <w:sz w:val="28"/>
                <w:szCs w:val="28"/>
              </w:rPr>
              <w:t xml:space="preserve"> </w:t>
            </w:r>
            <w:proofErr w:type="spellStart"/>
            <w:r w:rsidRPr="00DD4C79">
              <w:rPr>
                <w:i/>
                <w:sz w:val="28"/>
                <w:szCs w:val="28"/>
              </w:rPr>
              <w:t>Clauses</w:t>
            </w:r>
            <w:proofErr w:type="spellEnd"/>
            <w:r w:rsidRPr="00DD4C79">
              <w:rPr>
                <w:sz w:val="28"/>
                <w:szCs w:val="28"/>
              </w:rPr>
              <w:t xml:space="preserve"> (turpmāk – CAC</w:t>
            </w:r>
            <w:r w:rsidR="00967E09" w:rsidRPr="00DD4C79">
              <w:rPr>
                <w:sz w:val="28"/>
                <w:szCs w:val="28"/>
              </w:rPr>
              <w:t>),</w:t>
            </w:r>
            <w:r w:rsidRPr="00DD4C79">
              <w:rPr>
                <w:sz w:val="28"/>
                <w:szCs w:val="28"/>
              </w:rPr>
              <w:t xml:space="preserve"> piemērošanu, </w:t>
            </w:r>
            <w:proofErr w:type="spellStart"/>
            <w:r w:rsidRPr="00DD4C79">
              <w:rPr>
                <w:sz w:val="28"/>
                <w:szCs w:val="28"/>
              </w:rPr>
              <w:t>t.sk</w:t>
            </w:r>
            <w:proofErr w:type="spellEnd"/>
            <w:r w:rsidRPr="00DD4C79">
              <w:rPr>
                <w:sz w:val="28"/>
                <w:szCs w:val="28"/>
              </w:rPr>
              <w:t>. nodrošinot noteiktu investoru aizsardzības mehānismu.</w:t>
            </w:r>
            <w:r w:rsidR="009E22E7" w:rsidRPr="00DD4C79">
              <w:rPr>
                <w:sz w:val="28"/>
                <w:szCs w:val="28"/>
              </w:rPr>
              <w:t xml:space="preserve"> CAC oriģināla teksts ir pieejams   http://europa.eu/efc/sub_committee/cac/cac_2012/index_en.htm.</w:t>
            </w:r>
          </w:p>
          <w:p w:rsidR="000B001F" w:rsidRPr="00DD4C79" w:rsidRDefault="000B001F" w:rsidP="00030D34">
            <w:pPr>
              <w:pStyle w:val="naiskr"/>
              <w:ind w:right="126" w:firstLine="410"/>
              <w:jc w:val="both"/>
              <w:rPr>
                <w:sz w:val="28"/>
                <w:szCs w:val="28"/>
              </w:rPr>
            </w:pPr>
          </w:p>
        </w:tc>
      </w:tr>
      <w:tr w:rsidR="00DD4C79" w:rsidRPr="00DD4C79" w:rsidTr="009E14C9">
        <w:trPr>
          <w:trHeight w:val="472"/>
          <w:tblCellSpacing w:w="0" w:type="dxa"/>
        </w:trPr>
        <w:tc>
          <w:tcPr>
            <w:tcW w:w="450" w:type="dxa"/>
            <w:tcBorders>
              <w:top w:val="outset" w:sz="6" w:space="0" w:color="auto"/>
              <w:left w:val="outset" w:sz="6" w:space="0" w:color="auto"/>
              <w:bottom w:val="outset" w:sz="6" w:space="0" w:color="auto"/>
              <w:right w:val="outset" w:sz="6" w:space="0" w:color="auto"/>
            </w:tcBorders>
          </w:tcPr>
          <w:p w:rsidR="000B001F" w:rsidRPr="00DD4C79" w:rsidRDefault="00764722" w:rsidP="00E47744">
            <w:pPr>
              <w:pStyle w:val="naiskr"/>
              <w:rPr>
                <w:sz w:val="28"/>
                <w:szCs w:val="28"/>
              </w:rPr>
            </w:pPr>
            <w:r w:rsidRPr="00DD4C79">
              <w:rPr>
                <w:sz w:val="28"/>
                <w:szCs w:val="28"/>
              </w:rPr>
              <w:t> </w:t>
            </w:r>
          </w:p>
          <w:p w:rsidR="00764722" w:rsidRPr="00DD4C79" w:rsidRDefault="00764722" w:rsidP="00E47744">
            <w:pPr>
              <w:pStyle w:val="naiskr"/>
              <w:rPr>
                <w:sz w:val="28"/>
                <w:szCs w:val="28"/>
              </w:rPr>
            </w:pPr>
            <w:r w:rsidRPr="00DD4C79">
              <w:rPr>
                <w:sz w:val="28"/>
                <w:szCs w:val="28"/>
              </w:rPr>
              <w:t>2.</w:t>
            </w:r>
          </w:p>
        </w:tc>
        <w:tc>
          <w:tcPr>
            <w:tcW w:w="1485" w:type="dxa"/>
            <w:tcBorders>
              <w:top w:val="outset" w:sz="6" w:space="0" w:color="auto"/>
              <w:left w:val="outset" w:sz="6" w:space="0" w:color="auto"/>
              <w:bottom w:val="outset" w:sz="6" w:space="0" w:color="auto"/>
              <w:right w:val="outset" w:sz="6" w:space="0" w:color="auto"/>
            </w:tcBorders>
          </w:tcPr>
          <w:p w:rsidR="000B001F" w:rsidRPr="00DD4C79" w:rsidRDefault="00764722" w:rsidP="00E47744">
            <w:pPr>
              <w:pStyle w:val="naiskr"/>
              <w:rPr>
                <w:sz w:val="28"/>
                <w:szCs w:val="28"/>
              </w:rPr>
            </w:pPr>
            <w:r w:rsidRPr="00DD4C79">
              <w:rPr>
                <w:sz w:val="28"/>
                <w:szCs w:val="28"/>
              </w:rPr>
              <w:t> </w:t>
            </w:r>
          </w:p>
          <w:p w:rsidR="00764722" w:rsidRPr="00DD4C79" w:rsidRDefault="00764722" w:rsidP="00E47744">
            <w:pPr>
              <w:pStyle w:val="naiskr"/>
              <w:rPr>
                <w:sz w:val="28"/>
                <w:szCs w:val="28"/>
              </w:rPr>
            </w:pPr>
            <w:r w:rsidRPr="00DD4C79">
              <w:rPr>
                <w:sz w:val="28"/>
                <w:szCs w:val="28"/>
              </w:rPr>
              <w:t>Pašreizējā situācija un problēmas</w:t>
            </w:r>
            <w:r w:rsidR="005E3C6F" w:rsidRPr="00DD4C79">
              <w:rPr>
                <w:sz w:val="28"/>
                <w:szCs w:val="28"/>
              </w:rPr>
              <w:t>, kuru risināšanai tiesību akta projekts izstrādāts, tiesiskā regulējuma mērķis un būtība</w:t>
            </w:r>
          </w:p>
        </w:tc>
        <w:tc>
          <w:tcPr>
            <w:tcW w:w="7719" w:type="dxa"/>
            <w:tcBorders>
              <w:top w:val="outset" w:sz="6" w:space="0" w:color="auto"/>
              <w:left w:val="outset" w:sz="6" w:space="0" w:color="auto"/>
              <w:bottom w:val="outset" w:sz="6" w:space="0" w:color="auto"/>
              <w:right w:val="outset" w:sz="6" w:space="0" w:color="auto"/>
            </w:tcBorders>
          </w:tcPr>
          <w:p w:rsidR="000B001F" w:rsidRPr="00DD4C79" w:rsidRDefault="005943ED" w:rsidP="00030D34">
            <w:pPr>
              <w:pStyle w:val="naiskr"/>
              <w:ind w:right="126" w:firstLine="552"/>
              <w:jc w:val="both"/>
              <w:rPr>
                <w:sz w:val="28"/>
                <w:szCs w:val="28"/>
              </w:rPr>
            </w:pPr>
            <w:r w:rsidRPr="00DD4C79">
              <w:rPr>
                <w:sz w:val="28"/>
                <w:szCs w:val="28"/>
              </w:rPr>
              <w:t xml:space="preserve">   </w:t>
            </w:r>
          </w:p>
          <w:p w:rsidR="00030D34" w:rsidRPr="00DD4C79" w:rsidRDefault="00030D34" w:rsidP="00030D34">
            <w:pPr>
              <w:pStyle w:val="naiskr"/>
              <w:ind w:right="126" w:firstLine="552"/>
              <w:jc w:val="both"/>
              <w:rPr>
                <w:sz w:val="28"/>
                <w:szCs w:val="28"/>
              </w:rPr>
            </w:pPr>
            <w:r w:rsidRPr="00DD4C79">
              <w:rPr>
                <w:sz w:val="28"/>
                <w:szCs w:val="28"/>
              </w:rPr>
              <w:t xml:space="preserve">Ministru kabineta noteikumu projekts „Valsts vērtspapīru izlaišanas noteikumi” (turpmāk - MK Noteikumu projekts) izstrādāts, lai Latvijas Republikas tiesību aktos ieviestu prasības, kas izriet no Latvijas Republikas starptautiskajām saistībām, kļūstot par </w:t>
            </w:r>
            <w:proofErr w:type="spellStart"/>
            <w:r w:rsidRPr="00DD4C79">
              <w:rPr>
                <w:sz w:val="28"/>
                <w:szCs w:val="28"/>
              </w:rPr>
              <w:t>eurozonas</w:t>
            </w:r>
            <w:proofErr w:type="spellEnd"/>
            <w:r w:rsidRPr="00DD4C79">
              <w:rPr>
                <w:sz w:val="28"/>
                <w:szCs w:val="28"/>
              </w:rPr>
              <w:t xml:space="preserve"> valsti un iestājoties Eiropas Stabilitātes mehānismā. Latvijas saistības ir paredzēt valsts vērtspapīros, kuru dzēšanas termiņš pārsniedz vienu gadu, standartizētas kopējas rīcības klauzulas, </w:t>
            </w:r>
            <w:proofErr w:type="spellStart"/>
            <w:r w:rsidRPr="00DD4C79">
              <w:rPr>
                <w:sz w:val="28"/>
                <w:szCs w:val="28"/>
              </w:rPr>
              <w:t>t.sk</w:t>
            </w:r>
            <w:proofErr w:type="spellEnd"/>
            <w:r w:rsidRPr="00DD4C79">
              <w:rPr>
                <w:sz w:val="28"/>
                <w:szCs w:val="28"/>
              </w:rPr>
              <w:t>. nodrošinot noteiktu investoru aizsardzības mehānismu.</w:t>
            </w:r>
          </w:p>
          <w:p w:rsidR="00030D34" w:rsidRPr="00DD4C79" w:rsidRDefault="00030D34" w:rsidP="00030D34">
            <w:pPr>
              <w:pStyle w:val="naiskr"/>
              <w:ind w:right="126" w:firstLine="552"/>
              <w:jc w:val="both"/>
              <w:rPr>
                <w:sz w:val="28"/>
                <w:szCs w:val="28"/>
              </w:rPr>
            </w:pPr>
            <w:r w:rsidRPr="00DD4C79">
              <w:rPr>
                <w:sz w:val="28"/>
                <w:szCs w:val="28"/>
              </w:rPr>
              <w:t xml:space="preserve">Papildus tam tiek precizētas atsevišķas citas normas, kas nav saistītas ar starptautisku saistību izpildi, bet, piemēram, precizē ar </w:t>
            </w:r>
            <w:r w:rsidR="0096102C" w:rsidRPr="00DD4C79">
              <w:rPr>
                <w:sz w:val="28"/>
                <w:szCs w:val="28"/>
              </w:rPr>
              <w:t xml:space="preserve">valsts vērtspapīru </w:t>
            </w:r>
            <w:r w:rsidRPr="00DD4C79">
              <w:rPr>
                <w:sz w:val="28"/>
                <w:szCs w:val="28"/>
              </w:rPr>
              <w:t>dzēšanu piemērojamos noteikumus.</w:t>
            </w:r>
          </w:p>
          <w:p w:rsidR="00030D34" w:rsidRPr="00DD4C79" w:rsidRDefault="00030D34" w:rsidP="00030D34">
            <w:pPr>
              <w:pStyle w:val="naiskr"/>
              <w:ind w:right="126" w:firstLine="552"/>
              <w:jc w:val="both"/>
              <w:rPr>
                <w:sz w:val="28"/>
                <w:szCs w:val="28"/>
              </w:rPr>
            </w:pPr>
            <w:r w:rsidRPr="00DD4C79">
              <w:rPr>
                <w:sz w:val="28"/>
                <w:szCs w:val="28"/>
              </w:rPr>
              <w:t>Šobrīd valsts vērtspapīru izlaišanas kārtību Latvijas Republikā nosaka 2013.gada 5.marta Ministru kabineta noteikumi Nr.120 „Valsts vērstpapīru izlaišanas noteikumi”.</w:t>
            </w:r>
          </w:p>
          <w:p w:rsidR="00030D34" w:rsidRPr="00DD4C79" w:rsidRDefault="00030D34" w:rsidP="00030D34">
            <w:pPr>
              <w:pStyle w:val="naiskr"/>
              <w:ind w:right="126" w:firstLine="552"/>
              <w:jc w:val="both"/>
              <w:rPr>
                <w:sz w:val="28"/>
                <w:szCs w:val="28"/>
              </w:rPr>
            </w:pPr>
            <w:r w:rsidRPr="00DD4C79">
              <w:rPr>
                <w:sz w:val="28"/>
                <w:szCs w:val="28"/>
              </w:rPr>
              <w:t xml:space="preserve">Ņemot vērā tiesību normu grozījumu apjomu, kas </w:t>
            </w:r>
            <w:r w:rsidRPr="00DD4C79">
              <w:rPr>
                <w:sz w:val="28"/>
                <w:szCs w:val="28"/>
              </w:rPr>
              <w:lastRenderedPageBreak/>
              <w:t>nepieciešams, lai Latvijas Republikas tiesību aktos ieviestu prasības, kas izriet no CAC,</w:t>
            </w:r>
            <w:r w:rsidR="00E30833" w:rsidRPr="00DD4C79">
              <w:rPr>
                <w:sz w:val="28"/>
                <w:szCs w:val="28"/>
              </w:rPr>
              <w:t xml:space="preserve"> precizētu krājobligāciju regulējumu un nodrošinātu citu tehnisko grozījumu veikšanu un terminoloģijas precizēšanu</w:t>
            </w:r>
            <w:r w:rsidRPr="00DD4C79">
              <w:rPr>
                <w:sz w:val="28"/>
                <w:szCs w:val="28"/>
              </w:rPr>
              <w:t xml:space="preserve"> tika izstrādāts jauns Ministru kabineta noteikumu projekts, nevis veikti grozījumi Ministru kabineta noteikumos, ka pašreiz regulē valsts vērtspapīru izlaišanu.</w:t>
            </w:r>
          </w:p>
          <w:p w:rsidR="00030D34" w:rsidRPr="00DD4C79" w:rsidRDefault="00030D34" w:rsidP="00030D34">
            <w:pPr>
              <w:pStyle w:val="naiskr"/>
              <w:ind w:right="126" w:firstLine="552"/>
              <w:jc w:val="both"/>
              <w:rPr>
                <w:sz w:val="28"/>
                <w:szCs w:val="28"/>
              </w:rPr>
            </w:pPr>
          </w:p>
          <w:p w:rsidR="00030D34" w:rsidRPr="00DD4C79" w:rsidRDefault="00030D34" w:rsidP="00030D34">
            <w:pPr>
              <w:pStyle w:val="naiskr"/>
              <w:ind w:right="126" w:firstLine="552"/>
              <w:jc w:val="both"/>
              <w:rPr>
                <w:sz w:val="28"/>
                <w:szCs w:val="28"/>
              </w:rPr>
            </w:pPr>
            <w:r w:rsidRPr="00DD4C79">
              <w:rPr>
                <w:sz w:val="28"/>
                <w:szCs w:val="28"/>
              </w:rPr>
              <w:t>1. Par Latvijas Republikas starptautiskajām saistībām un CAC</w:t>
            </w:r>
            <w:r w:rsidR="004708A9" w:rsidRPr="00DD4C79">
              <w:rPr>
                <w:sz w:val="28"/>
                <w:szCs w:val="28"/>
              </w:rPr>
              <w:t>.</w:t>
            </w:r>
          </w:p>
          <w:p w:rsidR="00030D34" w:rsidRPr="00DD4C79" w:rsidRDefault="00030D34" w:rsidP="00030D34">
            <w:pPr>
              <w:pStyle w:val="naiskr"/>
              <w:ind w:right="126" w:firstLine="552"/>
              <w:jc w:val="both"/>
              <w:rPr>
                <w:sz w:val="28"/>
                <w:szCs w:val="28"/>
              </w:rPr>
            </w:pPr>
            <w:r w:rsidRPr="00DD4C79">
              <w:rPr>
                <w:sz w:val="28"/>
                <w:szCs w:val="28"/>
              </w:rPr>
              <w:t xml:space="preserve">2010. gada 28.novembrī - </w:t>
            </w:r>
            <w:proofErr w:type="spellStart"/>
            <w:r w:rsidRPr="00DD4C79">
              <w:rPr>
                <w:sz w:val="28"/>
                <w:szCs w:val="28"/>
              </w:rPr>
              <w:t>eurozonas</w:t>
            </w:r>
            <w:proofErr w:type="spellEnd"/>
            <w:r w:rsidRPr="00DD4C79">
              <w:rPr>
                <w:sz w:val="28"/>
                <w:szCs w:val="28"/>
              </w:rPr>
              <w:t xml:space="preserve"> finanšu ministri savā paziņojumā norādīja uz vairākiem neatliekamiem pasākumiem, kas īstenojami </w:t>
            </w:r>
            <w:proofErr w:type="spellStart"/>
            <w:r w:rsidRPr="00DD4C79">
              <w:rPr>
                <w:sz w:val="28"/>
                <w:szCs w:val="28"/>
              </w:rPr>
              <w:t>eurozonas</w:t>
            </w:r>
            <w:proofErr w:type="spellEnd"/>
            <w:r w:rsidRPr="00DD4C79">
              <w:rPr>
                <w:sz w:val="28"/>
                <w:szCs w:val="28"/>
              </w:rPr>
              <w:t xml:space="preserve"> finanšu stabilitātes nodrošināšanai, tostarp paziņoja par apņemšanos turpmāk </w:t>
            </w:r>
            <w:proofErr w:type="spellStart"/>
            <w:r w:rsidRPr="00DD4C79">
              <w:rPr>
                <w:sz w:val="28"/>
                <w:szCs w:val="28"/>
              </w:rPr>
              <w:t>eurozonas</w:t>
            </w:r>
            <w:proofErr w:type="spellEnd"/>
            <w:r w:rsidRPr="00DD4C79">
              <w:rPr>
                <w:sz w:val="28"/>
                <w:szCs w:val="28"/>
              </w:rPr>
              <w:t xml:space="preserve"> valstu vērtspapīros, kuru dzēšanas termiņš pārsniedz vienu gadu, iekļaut CAC noteikumus.</w:t>
            </w:r>
          </w:p>
          <w:p w:rsidR="00030D34" w:rsidRPr="00DD4C79" w:rsidRDefault="00030D34" w:rsidP="00030D34">
            <w:pPr>
              <w:pStyle w:val="naiskr"/>
              <w:ind w:right="126" w:firstLine="552"/>
              <w:jc w:val="both"/>
              <w:rPr>
                <w:sz w:val="28"/>
                <w:szCs w:val="28"/>
              </w:rPr>
            </w:pPr>
            <w:r w:rsidRPr="00DD4C79">
              <w:rPr>
                <w:sz w:val="28"/>
                <w:szCs w:val="28"/>
              </w:rPr>
              <w:t xml:space="preserve">2011.gada 24.-25.marta </w:t>
            </w:r>
            <w:proofErr w:type="spellStart"/>
            <w:r w:rsidRPr="00DD4C79">
              <w:rPr>
                <w:sz w:val="28"/>
                <w:szCs w:val="28"/>
              </w:rPr>
              <w:t>Europadomes</w:t>
            </w:r>
            <w:proofErr w:type="spellEnd"/>
            <w:r w:rsidRPr="00DD4C79">
              <w:rPr>
                <w:sz w:val="28"/>
                <w:szCs w:val="28"/>
              </w:rPr>
              <w:t xml:space="preserve"> secinājumos tika atrunāti galvenie principi, uz kuriem jābalsta līgums par Eiropas Stabilizācijas mehānismu (ESM), tostarp arī darbu pie CAC izstrādes. Rezultātā CAC izstrāde tika uzticēta Ekonomikas un finanšu komitejas (EFC) apakškomitejai par ES  valstu vērtspapīru tirgiem (ESDM).</w:t>
            </w:r>
          </w:p>
          <w:p w:rsidR="00030D34" w:rsidRPr="00DD4C79" w:rsidRDefault="00030D34" w:rsidP="00030D34">
            <w:pPr>
              <w:pStyle w:val="naiskr"/>
              <w:ind w:right="126" w:firstLine="552"/>
              <w:jc w:val="both"/>
              <w:rPr>
                <w:sz w:val="28"/>
                <w:szCs w:val="28"/>
              </w:rPr>
            </w:pPr>
            <w:r w:rsidRPr="00DD4C79">
              <w:rPr>
                <w:sz w:val="28"/>
                <w:szCs w:val="28"/>
              </w:rPr>
              <w:t xml:space="preserve">2011.gada 17.-18.novembra sēdē EFC saskaņoja ESDM izstrādātos CAC nosacījumus. </w:t>
            </w:r>
          </w:p>
          <w:p w:rsidR="00030D34" w:rsidRPr="00DD4C79" w:rsidRDefault="00030D34" w:rsidP="00030D34">
            <w:pPr>
              <w:pStyle w:val="naiskr"/>
              <w:ind w:right="126" w:firstLine="552"/>
              <w:jc w:val="both"/>
              <w:rPr>
                <w:sz w:val="28"/>
                <w:szCs w:val="28"/>
              </w:rPr>
            </w:pPr>
            <w:r w:rsidRPr="00DD4C79">
              <w:rPr>
                <w:sz w:val="28"/>
                <w:szCs w:val="28"/>
              </w:rPr>
              <w:t>2012.gada 2.februārī tika parakstīts līgums par ESM izveidošanu, ar kuru ESM/</w:t>
            </w:r>
            <w:proofErr w:type="spellStart"/>
            <w:r w:rsidRPr="00DD4C79">
              <w:rPr>
                <w:sz w:val="28"/>
                <w:szCs w:val="28"/>
              </w:rPr>
              <w:t>eurozonas</w:t>
            </w:r>
            <w:proofErr w:type="spellEnd"/>
            <w:r w:rsidRPr="00DD4C79">
              <w:rPr>
                <w:sz w:val="28"/>
                <w:szCs w:val="28"/>
              </w:rPr>
              <w:t xml:space="preserve"> dalībvalstis apņēmās ar 2013.gada 1.janvāri visiem jaunajiem valsts vērtspapīriem, kuru dzēšanas termiņš ir garāks par vienu gadu, piemērot EFC saskaņotos CAC nosacījumus.</w:t>
            </w:r>
          </w:p>
          <w:p w:rsidR="00030D34" w:rsidRPr="00DD4C79" w:rsidRDefault="00030D34" w:rsidP="00030D34">
            <w:pPr>
              <w:pStyle w:val="naiskr"/>
              <w:ind w:right="126" w:firstLine="552"/>
              <w:jc w:val="both"/>
              <w:rPr>
                <w:sz w:val="28"/>
                <w:szCs w:val="28"/>
              </w:rPr>
            </w:pPr>
            <w:r w:rsidRPr="00DD4C79">
              <w:rPr>
                <w:sz w:val="28"/>
                <w:szCs w:val="28"/>
              </w:rPr>
              <w:t xml:space="preserve">Latvijas Republikai, kļūstot par </w:t>
            </w:r>
            <w:proofErr w:type="spellStart"/>
            <w:r w:rsidRPr="00DD4C79">
              <w:rPr>
                <w:sz w:val="28"/>
                <w:szCs w:val="28"/>
              </w:rPr>
              <w:t>eurozonas</w:t>
            </w:r>
            <w:proofErr w:type="spellEnd"/>
            <w:r w:rsidRPr="00DD4C79">
              <w:rPr>
                <w:sz w:val="28"/>
                <w:szCs w:val="28"/>
              </w:rPr>
              <w:t xml:space="preserve"> dalībvalsti un pievienojoties ESM (likumprojekts „Par Līgumu par Eiropas Stabilitātes mehānisma dibināšanu”), ir saistošs pienākums piemērot ESDM izstrādātos, EFC apstiprinātos CAC nosacījumus. </w:t>
            </w:r>
          </w:p>
          <w:p w:rsidR="00030D34" w:rsidRPr="00DD4C79" w:rsidRDefault="00DE395B" w:rsidP="00030D34">
            <w:pPr>
              <w:pStyle w:val="naiskr"/>
              <w:ind w:right="126" w:firstLine="552"/>
              <w:jc w:val="both"/>
              <w:rPr>
                <w:sz w:val="28"/>
                <w:szCs w:val="28"/>
              </w:rPr>
            </w:pPr>
            <w:r w:rsidRPr="00DD4C79">
              <w:rPr>
                <w:sz w:val="28"/>
                <w:szCs w:val="28"/>
              </w:rPr>
              <w:t>Papildu tiek preciz</w:t>
            </w:r>
            <w:r w:rsidR="00F948B5" w:rsidRPr="00DD4C79">
              <w:rPr>
                <w:sz w:val="28"/>
                <w:szCs w:val="28"/>
              </w:rPr>
              <w:t>ēts</w:t>
            </w:r>
            <w:r w:rsidRPr="00DD4C79">
              <w:rPr>
                <w:sz w:val="28"/>
                <w:szCs w:val="28"/>
              </w:rPr>
              <w:t xml:space="preserve"> tirgus praksē lietotā vērtspapīru dienu skaitīšanas standarta </w:t>
            </w:r>
            <w:proofErr w:type="spellStart"/>
            <w:r w:rsidRPr="00DD4C79">
              <w:rPr>
                <w:sz w:val="28"/>
                <w:szCs w:val="28"/>
              </w:rPr>
              <w:t>izdevējinstitūcijas</w:t>
            </w:r>
            <w:proofErr w:type="spellEnd"/>
            <w:r w:rsidRPr="00DD4C79">
              <w:rPr>
                <w:sz w:val="28"/>
                <w:szCs w:val="28"/>
              </w:rPr>
              <w:t xml:space="preserve"> nosaukums - Starptautiskās kapitāla tirgus asociācijas (ICMA).</w:t>
            </w:r>
          </w:p>
          <w:p w:rsidR="00030D34" w:rsidRPr="00DD4C79" w:rsidRDefault="00030D34" w:rsidP="00030D34">
            <w:pPr>
              <w:pStyle w:val="naiskr"/>
              <w:ind w:right="126" w:firstLine="552"/>
              <w:jc w:val="both"/>
              <w:rPr>
                <w:sz w:val="28"/>
                <w:szCs w:val="28"/>
              </w:rPr>
            </w:pPr>
            <w:r w:rsidRPr="00DD4C79">
              <w:rPr>
                <w:sz w:val="28"/>
                <w:szCs w:val="28"/>
              </w:rPr>
              <w:t>2. Par CAC piemērošanu valsts emitētajām obligācijām</w:t>
            </w:r>
            <w:r w:rsidR="004708A9" w:rsidRPr="00DD4C79">
              <w:rPr>
                <w:sz w:val="28"/>
                <w:szCs w:val="28"/>
              </w:rPr>
              <w:t>.</w:t>
            </w:r>
          </w:p>
          <w:p w:rsidR="00030D34" w:rsidRPr="00DD4C79" w:rsidRDefault="00030D34" w:rsidP="00030D34">
            <w:pPr>
              <w:pStyle w:val="naiskr"/>
              <w:ind w:right="126" w:firstLine="552"/>
              <w:jc w:val="both"/>
              <w:rPr>
                <w:sz w:val="28"/>
                <w:szCs w:val="28"/>
              </w:rPr>
            </w:pPr>
            <w:r w:rsidRPr="00DD4C79">
              <w:rPr>
                <w:sz w:val="28"/>
                <w:szCs w:val="28"/>
              </w:rPr>
              <w:t xml:space="preserve">CAC nosacījumi jāpiemēro visām Latvijas Republikas emitētajām obligācijām, kuru dzēšanas termiņš pārsniedz vienu gadu. Tas nozīmē, ka CAC nosacījumi ir jāattiecina uz </w:t>
            </w:r>
            <w:r w:rsidRPr="00DD4C79">
              <w:rPr>
                <w:sz w:val="28"/>
                <w:szCs w:val="28"/>
              </w:rPr>
              <w:lastRenderedPageBreak/>
              <w:t>vērtspapīriem, kas emitēti saskaņā ar:</w:t>
            </w:r>
          </w:p>
          <w:p w:rsidR="00030D34" w:rsidRPr="00DD4C79" w:rsidRDefault="00030D34" w:rsidP="00030D34">
            <w:pPr>
              <w:pStyle w:val="naiskr"/>
              <w:ind w:right="126" w:firstLine="552"/>
              <w:jc w:val="both"/>
              <w:rPr>
                <w:sz w:val="28"/>
                <w:szCs w:val="28"/>
              </w:rPr>
            </w:pPr>
            <w:r w:rsidRPr="00DD4C79">
              <w:rPr>
                <w:sz w:val="28"/>
                <w:szCs w:val="28"/>
              </w:rPr>
              <w:t>a) Latvijas Republikas normatīviem aktiem Latvijas finanšu tirgū (iekšējie vērtspapīri);</w:t>
            </w:r>
          </w:p>
          <w:p w:rsidR="00030D34" w:rsidRPr="00DD4C79" w:rsidRDefault="00030D34" w:rsidP="00030D34">
            <w:pPr>
              <w:pStyle w:val="naiskr"/>
              <w:ind w:right="126" w:firstLine="552"/>
              <w:jc w:val="both"/>
              <w:rPr>
                <w:sz w:val="28"/>
                <w:szCs w:val="28"/>
              </w:rPr>
            </w:pPr>
            <w:r w:rsidRPr="00DD4C79">
              <w:rPr>
                <w:sz w:val="28"/>
                <w:szCs w:val="28"/>
              </w:rPr>
              <w:t>b) ārvalstu normatīvajos aktos noteiktajām prasībām starptautiskajos finanšu tirgos (ārējie vērtspapīri).</w:t>
            </w:r>
          </w:p>
          <w:p w:rsidR="00030D34" w:rsidRPr="00DD4C79" w:rsidRDefault="00030D34" w:rsidP="00030D34">
            <w:pPr>
              <w:pStyle w:val="naiskr"/>
              <w:ind w:right="126" w:firstLine="552"/>
              <w:jc w:val="both"/>
              <w:rPr>
                <w:sz w:val="28"/>
                <w:szCs w:val="28"/>
              </w:rPr>
            </w:pPr>
            <w:r w:rsidRPr="00DD4C79">
              <w:rPr>
                <w:sz w:val="28"/>
                <w:szCs w:val="28"/>
              </w:rPr>
              <w:t>Kā jau minēts iepriekš, šobrīd Latvijas Republikā obligācijas iekšējā tirgū tiek emitēti saskaņā ar prasībām, ko paredz 2013.gada 5.marta Ministru kabineta noteikumi Nr.120 „Valsts vērstpapīru izlaišanas noteikumi”. MK Noteikumu projekts izstrādāts un papildināts ar tiesību normām, lai CAC tiktu piemērots valsts vērtspapīriem, kas emitēti saskaņā ar Latvijas Republikas normatīviem aktiem (iekšējie vērtspapīri)</w:t>
            </w:r>
            <w:r w:rsidR="004708A9" w:rsidRPr="00DD4C79">
              <w:rPr>
                <w:sz w:val="28"/>
                <w:szCs w:val="28"/>
              </w:rPr>
              <w:t>, izņemot krājobligācijas</w:t>
            </w:r>
            <w:r w:rsidRPr="00DD4C79">
              <w:rPr>
                <w:sz w:val="28"/>
                <w:szCs w:val="28"/>
              </w:rPr>
              <w:t xml:space="preserve">. Attiecībā uz ārējiem vērtspapīriem CAC nosacījumi jau iestrādāti valsts ārējā aizņēmuma vērtspapīru emisijas līgumos. </w:t>
            </w:r>
          </w:p>
          <w:p w:rsidR="00030D34" w:rsidRPr="00DD4C79" w:rsidRDefault="00030D34" w:rsidP="00030D34">
            <w:pPr>
              <w:pStyle w:val="naiskr"/>
              <w:ind w:right="126" w:firstLine="552"/>
              <w:jc w:val="both"/>
              <w:rPr>
                <w:sz w:val="28"/>
                <w:szCs w:val="28"/>
              </w:rPr>
            </w:pPr>
            <w:r w:rsidRPr="00DD4C79">
              <w:rPr>
                <w:sz w:val="28"/>
                <w:szCs w:val="28"/>
              </w:rPr>
              <w:t xml:space="preserve">CAC nosacījumiem, kas regulē obligāciju izlaišanu saskaņā ar Latvijas normatīvajiem aktiem, būtu jāstājas spēkā līdz ar ESM līguma spēkā stāšanās dienu, bet ne vēlāk kā pirmo reizi veicot obligāciju emisijas Latvijas Republikā jau </w:t>
            </w:r>
            <w:proofErr w:type="spellStart"/>
            <w:r w:rsidRPr="00DD4C79">
              <w:rPr>
                <w:sz w:val="28"/>
                <w:szCs w:val="28"/>
              </w:rPr>
              <w:t>eurozonas</w:t>
            </w:r>
            <w:proofErr w:type="spellEnd"/>
            <w:r w:rsidRPr="00DD4C79">
              <w:rPr>
                <w:sz w:val="28"/>
                <w:szCs w:val="28"/>
              </w:rPr>
              <w:t xml:space="preserve"> valsts statusā.</w:t>
            </w:r>
          </w:p>
          <w:p w:rsidR="009F5DA7" w:rsidRPr="00DD4C79" w:rsidRDefault="00030D34" w:rsidP="009F5DA7">
            <w:pPr>
              <w:pStyle w:val="naiskr"/>
              <w:ind w:right="126" w:firstLine="552"/>
              <w:jc w:val="both"/>
              <w:rPr>
                <w:sz w:val="28"/>
                <w:szCs w:val="28"/>
              </w:rPr>
            </w:pPr>
            <w:r w:rsidRPr="00DD4C79">
              <w:rPr>
                <w:sz w:val="28"/>
                <w:szCs w:val="28"/>
              </w:rPr>
              <w:t xml:space="preserve">Lai obligāciju programmām nodrošinātu investoriem būtisko likviditāti, tām obligācijām, kas emitētas pirms </w:t>
            </w:r>
            <w:r w:rsidR="002B68FA" w:rsidRPr="00DD4C79">
              <w:rPr>
                <w:sz w:val="28"/>
                <w:szCs w:val="28"/>
              </w:rPr>
              <w:t>MK noteikumu 7.nodaļas noteikumu stāšanas spēkā</w:t>
            </w:r>
            <w:r w:rsidRPr="00DD4C79">
              <w:rPr>
                <w:sz w:val="28"/>
                <w:szCs w:val="28"/>
              </w:rPr>
              <w:t>, uz noteiktu laiku netiks piemēroti CAC, jo vērtspapīru programmas ietvaros laidienu raksturlielumiem un nosacījumiem jābūt vienādiem. MK noteikumu projekts paredz, ka šādu obligāciju papildu laidieniem attiecīgajā kalendārajā gadā uz noteiktu laiku būs kopēja</w:t>
            </w:r>
            <w:r w:rsidR="008A4FAE" w:rsidRPr="00DD4C79">
              <w:rPr>
                <w:sz w:val="28"/>
                <w:szCs w:val="28"/>
              </w:rPr>
              <w:t xml:space="preserve">is emisijas apjoma ierobežojums. Aprēķinot </w:t>
            </w:r>
            <w:r w:rsidR="00203D87" w:rsidRPr="00DD4C79">
              <w:rPr>
                <w:sz w:val="28"/>
                <w:szCs w:val="28"/>
              </w:rPr>
              <w:t>obl</w:t>
            </w:r>
            <w:r w:rsidR="008A4FAE" w:rsidRPr="00DD4C79">
              <w:rPr>
                <w:sz w:val="28"/>
                <w:szCs w:val="28"/>
              </w:rPr>
              <w:t xml:space="preserve">igāciju bruto emisiju kopējo apjomu </w:t>
            </w:r>
            <w:r w:rsidR="00203D87" w:rsidRPr="00DD4C79">
              <w:rPr>
                <w:sz w:val="28"/>
                <w:szCs w:val="28"/>
              </w:rPr>
              <w:t xml:space="preserve">attiecīgajā gadā, </w:t>
            </w:r>
            <w:r w:rsidR="008A4FAE" w:rsidRPr="00DD4C79">
              <w:rPr>
                <w:sz w:val="28"/>
                <w:szCs w:val="28"/>
              </w:rPr>
              <w:t xml:space="preserve">jāņem vērā visas obligācijas, </w:t>
            </w:r>
            <w:proofErr w:type="spellStart"/>
            <w:r w:rsidR="008A4FAE" w:rsidRPr="00DD4C79">
              <w:rPr>
                <w:sz w:val="28"/>
                <w:szCs w:val="28"/>
              </w:rPr>
              <w:t>t.sk</w:t>
            </w:r>
            <w:proofErr w:type="spellEnd"/>
            <w:r w:rsidR="008A4FAE" w:rsidRPr="00DD4C79">
              <w:rPr>
                <w:sz w:val="28"/>
                <w:szCs w:val="28"/>
              </w:rPr>
              <w:t xml:space="preserve">. arī saskaņā ar Likumu par budžetu un finanšu vadību </w:t>
            </w:r>
            <w:r w:rsidR="002B68FA" w:rsidRPr="00DD4C79">
              <w:rPr>
                <w:sz w:val="28"/>
                <w:szCs w:val="28"/>
              </w:rPr>
              <w:t xml:space="preserve">starptautiskajos finanšu tirgos </w:t>
            </w:r>
            <w:r w:rsidR="008A4FAE" w:rsidRPr="00DD4C79">
              <w:rPr>
                <w:sz w:val="28"/>
                <w:szCs w:val="28"/>
              </w:rPr>
              <w:t>emitētā</w:t>
            </w:r>
            <w:r w:rsidR="002B68FA" w:rsidRPr="00DD4C79">
              <w:rPr>
                <w:sz w:val="28"/>
                <w:szCs w:val="28"/>
              </w:rPr>
              <w:t>s</w:t>
            </w:r>
            <w:r w:rsidR="008A4FAE" w:rsidRPr="00DD4C79">
              <w:rPr>
                <w:sz w:val="28"/>
                <w:szCs w:val="28"/>
              </w:rPr>
              <w:t xml:space="preserve"> obligācijas</w:t>
            </w:r>
            <w:r w:rsidR="00203D87" w:rsidRPr="00DD4C79">
              <w:rPr>
                <w:sz w:val="28"/>
                <w:szCs w:val="28"/>
              </w:rPr>
              <w:t>.</w:t>
            </w:r>
          </w:p>
          <w:p w:rsidR="00030D34" w:rsidRPr="00DD4C79" w:rsidRDefault="00030D34" w:rsidP="00030D34">
            <w:pPr>
              <w:pStyle w:val="naiskr"/>
              <w:ind w:right="126" w:firstLine="552"/>
              <w:jc w:val="both"/>
              <w:rPr>
                <w:sz w:val="28"/>
                <w:szCs w:val="28"/>
              </w:rPr>
            </w:pPr>
          </w:p>
          <w:p w:rsidR="00030D34" w:rsidRPr="00DD4C79" w:rsidRDefault="00030D34" w:rsidP="00030D34">
            <w:pPr>
              <w:pStyle w:val="naiskr"/>
              <w:ind w:right="126" w:firstLine="552"/>
              <w:jc w:val="both"/>
              <w:rPr>
                <w:sz w:val="28"/>
                <w:szCs w:val="28"/>
              </w:rPr>
            </w:pPr>
            <w:r w:rsidRPr="00DD4C79">
              <w:rPr>
                <w:sz w:val="28"/>
                <w:szCs w:val="28"/>
              </w:rPr>
              <w:t xml:space="preserve">3. Par </w:t>
            </w:r>
            <w:proofErr w:type="spellStart"/>
            <w:r w:rsidRPr="00DD4C79">
              <w:rPr>
                <w:sz w:val="28"/>
                <w:szCs w:val="28"/>
              </w:rPr>
              <w:t>krājobligācijām</w:t>
            </w:r>
            <w:proofErr w:type="spellEnd"/>
            <w:r w:rsidRPr="00DD4C79">
              <w:rPr>
                <w:sz w:val="28"/>
                <w:szCs w:val="28"/>
              </w:rPr>
              <w:t xml:space="preserve"> piemērojamiem precizētajiem noteikumiem.</w:t>
            </w:r>
          </w:p>
          <w:p w:rsidR="00E30833" w:rsidRPr="00DD4C79" w:rsidRDefault="00E30833" w:rsidP="00030D34">
            <w:pPr>
              <w:pStyle w:val="naiskr"/>
              <w:ind w:right="126" w:firstLine="552"/>
              <w:jc w:val="both"/>
              <w:rPr>
                <w:sz w:val="28"/>
                <w:szCs w:val="28"/>
              </w:rPr>
            </w:pPr>
            <w:r w:rsidRPr="00DD4C79">
              <w:rPr>
                <w:sz w:val="28"/>
                <w:szCs w:val="28"/>
              </w:rPr>
              <w:t>Šobrīd spēkā esošie Ministru kabineta noteikumos ”Valsts vērtspapīru izlaišanas noteikumi” nav paredzēts regulējums krājobligāciju dzēšanai, ja tās tiek atzītas par bezmantinieka mantu un ir piekritīgas valstij. Tāpat ņemot vērā, ka Latvijā ir katru gadu ar Ministru kabineta rīkojumu tiek pārceltas atsevišķas darba dienas uz sestdienām ir nepieciešams regulējums krājobligāciju (arī citiem valsts vērtspapīriem)  izmaksām, kas iekrīt sestdienās.</w:t>
            </w:r>
          </w:p>
          <w:p w:rsidR="00E30833" w:rsidRPr="00DD4C79" w:rsidRDefault="00030D34" w:rsidP="00B87513">
            <w:pPr>
              <w:pStyle w:val="naiskr"/>
              <w:ind w:right="126" w:firstLine="552"/>
              <w:jc w:val="both"/>
              <w:rPr>
                <w:sz w:val="28"/>
                <w:szCs w:val="28"/>
              </w:rPr>
            </w:pPr>
            <w:r w:rsidRPr="00DD4C79">
              <w:rPr>
                <w:sz w:val="28"/>
                <w:szCs w:val="28"/>
              </w:rPr>
              <w:lastRenderedPageBreak/>
              <w:t xml:space="preserve">Ņemot vērā, ka Valsts kase krājobligāciju turpmākai izplatīšanai ir plānojusi piesaistīt arī izplatīšanas aģentu, tad ar finanšu aģentu tika panākta vienošanās, ka mantojuma lietas tiks kārtotas tikai pie finanšu aģenta, līdz ar to atbilstošas tiesību normas saistībā ar pieteikumu iesniegšanas regulējumu krājobligāciju mantošanas gadījumā ir </w:t>
            </w:r>
            <w:r w:rsidR="00E30833" w:rsidRPr="00DD4C79">
              <w:rPr>
                <w:sz w:val="28"/>
                <w:szCs w:val="28"/>
              </w:rPr>
              <w:t>jāiestrādā</w:t>
            </w:r>
            <w:r w:rsidRPr="00DD4C79">
              <w:rPr>
                <w:sz w:val="28"/>
                <w:szCs w:val="28"/>
              </w:rPr>
              <w:t xml:space="preserve"> MK Noteikumu projektā.</w:t>
            </w:r>
            <w:r w:rsidR="005943ED" w:rsidRPr="00DD4C79">
              <w:rPr>
                <w:sz w:val="28"/>
                <w:szCs w:val="28"/>
              </w:rPr>
              <w:t xml:space="preserve">  </w:t>
            </w:r>
          </w:p>
          <w:p w:rsidR="00F67B92" w:rsidRPr="00DD4C79" w:rsidRDefault="00505317" w:rsidP="00536BCC">
            <w:pPr>
              <w:pStyle w:val="naiskr"/>
              <w:ind w:right="126" w:firstLine="552"/>
              <w:jc w:val="both"/>
              <w:rPr>
                <w:sz w:val="28"/>
                <w:szCs w:val="28"/>
              </w:rPr>
            </w:pPr>
            <w:r w:rsidRPr="00DD4C79">
              <w:rPr>
                <w:sz w:val="28"/>
                <w:szCs w:val="28"/>
              </w:rPr>
              <w:t xml:space="preserve">4. Šobrīd spēkā esošie Ministru kabineta noteikumi ”Valsts vērtspapīru izlaišanas noteikumi” paredz finanšu ministram tiesības attiecībā uz parādzīmju vai obligāciju sākotnējo izvietošanu un publisko piedāvājumu atkāpties no sākotnējās izvietošanas metodēm vai mainīt to nosacījumus. Lai precizētu gadījumus, kādos finanšu ministrs var izmantot šādas tiesības, ir iestrādāta atruna, ka atkāpes īstenojamas, ja </w:t>
            </w:r>
            <w:r w:rsidR="00F67B92" w:rsidRPr="00DD4C79">
              <w:rPr>
                <w:sz w:val="28"/>
                <w:szCs w:val="28"/>
              </w:rPr>
              <w:t>tas</w:t>
            </w:r>
            <w:r w:rsidRPr="00DD4C79">
              <w:rPr>
                <w:sz w:val="28"/>
                <w:szCs w:val="28"/>
              </w:rPr>
              <w:t xml:space="preserve"> var nodrošināt efektīvāku valsts parāda vadības mērķu sasniegšanu. Šāda nepieciešamība </w:t>
            </w:r>
            <w:r w:rsidR="00F67B92" w:rsidRPr="00DD4C79">
              <w:rPr>
                <w:sz w:val="28"/>
                <w:szCs w:val="28"/>
              </w:rPr>
              <w:t>var rasties, piemēram, ja operatīvi jāpielāgojas neparedzētai situācijai finanšu tirgū, neaizkavējot valsts budžeta izpildei nepieciešamo finanšu resursu piesaisti, vai arī cita sākotnējās izvietošanas metode, kas nav noteikta MK noteikumos, pie notei</w:t>
            </w:r>
            <w:r w:rsidR="00E71535" w:rsidRPr="00DD4C79">
              <w:rPr>
                <w:sz w:val="28"/>
                <w:szCs w:val="28"/>
              </w:rPr>
              <w:t>ktiem finanšu tirgus apstākļiem un</w:t>
            </w:r>
            <w:r w:rsidR="00F67B92" w:rsidRPr="00DD4C79">
              <w:rPr>
                <w:sz w:val="28"/>
                <w:szCs w:val="28"/>
              </w:rPr>
              <w:t xml:space="preserve"> investoru pieprasījuma var izrādīties efektīvāka un var nodrošināt finanšu resursu piesaisti uz optimālākiem nosacījumiem.</w:t>
            </w:r>
          </w:p>
          <w:p w:rsidR="00F67B92" w:rsidRPr="00DD4C79" w:rsidRDefault="00F67B92" w:rsidP="00536BCC">
            <w:pPr>
              <w:pStyle w:val="naiskr"/>
              <w:ind w:right="126" w:firstLine="552"/>
              <w:jc w:val="both"/>
              <w:rPr>
                <w:sz w:val="28"/>
                <w:szCs w:val="28"/>
              </w:rPr>
            </w:pPr>
          </w:p>
          <w:p w:rsidR="00536BCC" w:rsidRPr="00DD4C79" w:rsidRDefault="00536BCC" w:rsidP="00536BCC">
            <w:pPr>
              <w:pStyle w:val="naiskr"/>
              <w:ind w:right="126" w:firstLine="552"/>
              <w:jc w:val="both"/>
              <w:rPr>
                <w:sz w:val="28"/>
                <w:szCs w:val="28"/>
              </w:rPr>
            </w:pPr>
            <w:r w:rsidRPr="00DD4C79">
              <w:rPr>
                <w:sz w:val="28"/>
                <w:szCs w:val="28"/>
              </w:rPr>
              <w:t>Galvenokārt MK noteikumu projekta mērķis ir nodrošināt CAC ieviešanu un piemērošanu attiecīgajiem valsts vērstpapīriem, tādējādi nodrošināt investoriem skaidru un savlaicīgu iespējamās rīcības aprakstu (</w:t>
            </w:r>
            <w:proofErr w:type="spellStart"/>
            <w:r w:rsidRPr="00DD4C79">
              <w:rPr>
                <w:sz w:val="28"/>
                <w:szCs w:val="28"/>
              </w:rPr>
              <w:t>t.sk</w:t>
            </w:r>
            <w:proofErr w:type="spellEnd"/>
            <w:r w:rsidRPr="00DD4C79">
              <w:rPr>
                <w:sz w:val="28"/>
                <w:szCs w:val="28"/>
              </w:rPr>
              <w:t xml:space="preserve">. pušu tiesības un pienākumu) sarunu procesa organizēšanai starp emitentu un vērtspapīru investoriem par izmaiņām vērtspapīru nosacījumos (piemēram, vērtspapīru nominālvērtībā, fiksētā ienākuma likmē, maksājumu datumos </w:t>
            </w:r>
            <w:proofErr w:type="spellStart"/>
            <w:r w:rsidRPr="00DD4C79">
              <w:rPr>
                <w:sz w:val="28"/>
                <w:szCs w:val="28"/>
              </w:rPr>
              <w:t>u.c</w:t>
            </w:r>
            <w:proofErr w:type="spellEnd"/>
            <w:r w:rsidRPr="00DD4C79">
              <w:rPr>
                <w:sz w:val="28"/>
                <w:szCs w:val="28"/>
              </w:rPr>
              <w:t xml:space="preserve">.), ja emitents ir nonācis nopietnās finanšu grūtībās un ilgstoši nespēj nokārtot savas parāda saistības. </w:t>
            </w:r>
          </w:p>
          <w:p w:rsidR="00536BCC" w:rsidRPr="00DD4C79" w:rsidRDefault="00536BCC" w:rsidP="00536BCC">
            <w:pPr>
              <w:pStyle w:val="naiskr"/>
              <w:ind w:right="126" w:firstLine="400"/>
              <w:jc w:val="both"/>
              <w:rPr>
                <w:sz w:val="28"/>
                <w:szCs w:val="28"/>
              </w:rPr>
            </w:pPr>
            <w:r w:rsidRPr="00DD4C79">
              <w:rPr>
                <w:sz w:val="28"/>
                <w:szCs w:val="28"/>
              </w:rPr>
              <w:t xml:space="preserve">CAC nosacījumu iedarbināšana ir uzskatāma par ārkārtas situāciju, kad tiek uzsāktas sarunas par valsts parāda restrukturizāciju. CAC nosacījumu piemērošana valsts vērtspapīriem neveicina valsts maksātnespējas iestāšanos, bet gan savlaicīgi atrunā procedūru kā risināt ar valsts maksātnespēju saistītos </w:t>
            </w:r>
            <w:proofErr w:type="spellStart"/>
            <w:r w:rsidRPr="00DD4C79">
              <w:rPr>
                <w:sz w:val="28"/>
                <w:szCs w:val="28"/>
              </w:rPr>
              <w:t>problēmjautājumus</w:t>
            </w:r>
            <w:proofErr w:type="spellEnd"/>
            <w:r w:rsidRPr="00DD4C79">
              <w:rPr>
                <w:sz w:val="28"/>
                <w:szCs w:val="28"/>
              </w:rPr>
              <w:t xml:space="preserve">.  </w:t>
            </w:r>
          </w:p>
          <w:p w:rsidR="009F5DA7" w:rsidRPr="00DD4C79" w:rsidRDefault="00CD77A0" w:rsidP="009F5DA7">
            <w:pPr>
              <w:pStyle w:val="naiskr"/>
              <w:ind w:right="126" w:firstLine="400"/>
              <w:jc w:val="both"/>
              <w:rPr>
                <w:sz w:val="28"/>
                <w:szCs w:val="28"/>
              </w:rPr>
            </w:pPr>
            <w:r w:rsidRPr="00DD4C79">
              <w:rPr>
                <w:sz w:val="28"/>
                <w:szCs w:val="28"/>
              </w:rPr>
              <w:t>P</w:t>
            </w:r>
            <w:r w:rsidR="009F5DA7" w:rsidRPr="00DD4C79">
              <w:rPr>
                <w:sz w:val="28"/>
                <w:szCs w:val="28"/>
              </w:rPr>
              <w:t xml:space="preserve">asaulē parāda restrukturizācijas jautājumi ir bijuši aktuāli jau vairākus gadus, bet tās kulminācija </w:t>
            </w:r>
            <w:proofErr w:type="spellStart"/>
            <w:r w:rsidR="009F5DA7" w:rsidRPr="00DD4C79">
              <w:rPr>
                <w:sz w:val="28"/>
                <w:szCs w:val="28"/>
              </w:rPr>
              <w:t>eirozonā</w:t>
            </w:r>
            <w:proofErr w:type="spellEnd"/>
            <w:r w:rsidR="009F5DA7" w:rsidRPr="00DD4C79">
              <w:rPr>
                <w:sz w:val="28"/>
                <w:szCs w:val="28"/>
              </w:rPr>
              <w:t xml:space="preserve"> bija saistīta ar </w:t>
            </w:r>
            <w:r w:rsidR="009F5DA7" w:rsidRPr="00DD4C79">
              <w:rPr>
                <w:sz w:val="28"/>
                <w:szCs w:val="28"/>
              </w:rPr>
              <w:lastRenderedPageBreak/>
              <w:t>Grieķijas maksātnespēju, kuras laikā arī tika izmantotas kolektīvas investoru rīcības klauzulas, lai vienotos par jauniem Grieķijas vērtspapīru nosacījumiem, jeb valsts parāda restrukturizāciju.</w:t>
            </w:r>
          </w:p>
          <w:p w:rsidR="009F5DA7" w:rsidRPr="00DD4C79" w:rsidRDefault="009F5DA7" w:rsidP="00ED0BCD">
            <w:pPr>
              <w:pStyle w:val="naiskr"/>
              <w:ind w:right="126" w:firstLine="400"/>
              <w:jc w:val="both"/>
              <w:rPr>
                <w:sz w:val="28"/>
                <w:szCs w:val="28"/>
              </w:rPr>
            </w:pPr>
            <w:r w:rsidRPr="00DD4C79">
              <w:rPr>
                <w:sz w:val="28"/>
                <w:szCs w:val="28"/>
              </w:rPr>
              <w:t xml:space="preserve">Ņemot vērā, ka valstis galvenokārt finanšu resursu piesaisti nodrošina </w:t>
            </w:r>
            <w:r w:rsidR="00ED0BCD" w:rsidRPr="00DD4C79">
              <w:rPr>
                <w:sz w:val="28"/>
                <w:szCs w:val="28"/>
              </w:rPr>
              <w:t xml:space="preserve">parāda vērtspapīru veidā, bet arī var </w:t>
            </w:r>
            <w:r w:rsidRPr="00DD4C79">
              <w:rPr>
                <w:sz w:val="28"/>
                <w:szCs w:val="28"/>
              </w:rPr>
              <w:t>būt div</w:t>
            </w:r>
            <w:r w:rsidR="00ED0BCD" w:rsidRPr="00DD4C79">
              <w:rPr>
                <w:sz w:val="28"/>
                <w:szCs w:val="28"/>
              </w:rPr>
              <w:t xml:space="preserve">pusēji aizņēmuma līgumi, tad </w:t>
            </w:r>
            <w:r w:rsidRPr="00DD4C79">
              <w:rPr>
                <w:sz w:val="28"/>
                <w:szCs w:val="28"/>
              </w:rPr>
              <w:t>investoru kolektīvās rīcības procedūras ir attiecināmas tikai u</w:t>
            </w:r>
            <w:r w:rsidR="00CD77A0" w:rsidRPr="00DD4C79">
              <w:rPr>
                <w:sz w:val="28"/>
                <w:szCs w:val="28"/>
              </w:rPr>
              <w:t>z vērtspapīriem</w:t>
            </w:r>
            <w:r w:rsidR="00B87513" w:rsidRPr="00DD4C79">
              <w:rPr>
                <w:sz w:val="28"/>
                <w:szCs w:val="28"/>
              </w:rPr>
              <w:t xml:space="preserve">. </w:t>
            </w:r>
            <w:r w:rsidR="00ED0BCD" w:rsidRPr="00DD4C79">
              <w:rPr>
                <w:sz w:val="28"/>
                <w:szCs w:val="28"/>
              </w:rPr>
              <w:t>Latvija, līdzīgi kā arī citas valsti</w:t>
            </w:r>
            <w:r w:rsidRPr="00DD4C79">
              <w:rPr>
                <w:sz w:val="28"/>
                <w:szCs w:val="28"/>
              </w:rPr>
              <w:t>s, pamatā finansēšanas nepieciešamību nodrošina nevis ar īstermiņa vērtspapīriem, bet gan vidēja un ilgtermiņa instr</w:t>
            </w:r>
            <w:r w:rsidR="00ED0BCD" w:rsidRPr="00DD4C79">
              <w:rPr>
                <w:sz w:val="28"/>
                <w:szCs w:val="28"/>
              </w:rPr>
              <w:t>umentiem, un šādi vērtspapīri tiek saukti par obligācijām. Tas izskaidro arī CAC principu, ka kolektīvās rīcības nosacījumi (</w:t>
            </w:r>
            <w:r w:rsidRPr="00DD4C79">
              <w:rPr>
                <w:sz w:val="28"/>
                <w:szCs w:val="28"/>
              </w:rPr>
              <w:t>7.nodaļa</w:t>
            </w:r>
            <w:r w:rsidR="00ED0BCD" w:rsidRPr="00DD4C79">
              <w:rPr>
                <w:sz w:val="28"/>
                <w:szCs w:val="28"/>
              </w:rPr>
              <w:t>s</w:t>
            </w:r>
            <w:r w:rsidRPr="00DD4C79">
              <w:rPr>
                <w:sz w:val="28"/>
                <w:szCs w:val="28"/>
              </w:rPr>
              <w:t xml:space="preserve"> noteikumi</w:t>
            </w:r>
            <w:r w:rsidR="00ED0BCD" w:rsidRPr="00DD4C79">
              <w:rPr>
                <w:sz w:val="28"/>
                <w:szCs w:val="28"/>
              </w:rPr>
              <w:t xml:space="preserve">) ir </w:t>
            </w:r>
            <w:r w:rsidRPr="00DD4C79">
              <w:rPr>
                <w:sz w:val="28"/>
                <w:szCs w:val="28"/>
              </w:rPr>
              <w:t>attiecināmi uz obligācijām.</w:t>
            </w:r>
          </w:p>
          <w:p w:rsidR="00536BCC" w:rsidRPr="00DD4C79" w:rsidRDefault="00536BCC" w:rsidP="00536BCC">
            <w:pPr>
              <w:pStyle w:val="naiskr"/>
              <w:ind w:right="126" w:firstLine="400"/>
              <w:jc w:val="both"/>
              <w:rPr>
                <w:sz w:val="28"/>
                <w:szCs w:val="28"/>
              </w:rPr>
            </w:pPr>
            <w:r w:rsidRPr="00DD4C79">
              <w:rPr>
                <w:sz w:val="28"/>
                <w:szCs w:val="28"/>
              </w:rPr>
              <w:t xml:space="preserve">Ņemot vērā augstāk minēto MK noteikumu projektā ir paredzēta jauna 7.nodaļa par obligāciju noteikumu grozījumu veikšanu, </w:t>
            </w:r>
            <w:proofErr w:type="spellStart"/>
            <w:r w:rsidRPr="00DD4C79">
              <w:rPr>
                <w:sz w:val="28"/>
                <w:szCs w:val="28"/>
              </w:rPr>
              <w:t>t.sk</w:t>
            </w:r>
            <w:proofErr w:type="spellEnd"/>
            <w:r w:rsidRPr="00DD4C79">
              <w:rPr>
                <w:sz w:val="28"/>
                <w:szCs w:val="28"/>
              </w:rPr>
              <w:t>. nosakot kārtību kādā tiks sasauktas obligacionāru sapulces; kārtība, kādā tiks pieņemti lēmumi, nesasaucot obligacionāru sapulces; ar balsu skaitīšanu saistītie jautājumi (piemēram, nepieciešamais vairākums lēmuma pieņemšanai atkarībā no izskatāmā jautājuma); un ar paziņojumu un informācijas publicēšanu saistītie jautājumi.</w:t>
            </w:r>
          </w:p>
          <w:p w:rsidR="00B87513" w:rsidRPr="00DD4C79" w:rsidRDefault="00B87513" w:rsidP="00B87513">
            <w:pPr>
              <w:pStyle w:val="naiskr"/>
              <w:ind w:right="126" w:firstLine="400"/>
              <w:jc w:val="both"/>
              <w:rPr>
                <w:sz w:val="28"/>
                <w:szCs w:val="28"/>
              </w:rPr>
            </w:pPr>
            <w:r w:rsidRPr="00DD4C79">
              <w:rPr>
                <w:sz w:val="28"/>
                <w:szCs w:val="28"/>
              </w:rPr>
              <w:t>Ja obligacionārs par oblig</w:t>
            </w:r>
            <w:r w:rsidR="00CD77A0" w:rsidRPr="00DD4C79">
              <w:rPr>
                <w:sz w:val="28"/>
                <w:szCs w:val="28"/>
              </w:rPr>
              <w:t>āciju noteikumu grozījumiem</w:t>
            </w:r>
            <w:r w:rsidRPr="00DD4C79">
              <w:rPr>
                <w:sz w:val="28"/>
                <w:szCs w:val="28"/>
              </w:rPr>
              <w:t xml:space="preserve"> nevar personīgi nobalsot (sapulcē vai rakstveida  lēmuma pieņemšanas procedūrā)</w:t>
            </w:r>
            <w:r w:rsidR="009B53F3" w:rsidRPr="00DD4C79">
              <w:rPr>
                <w:sz w:val="28"/>
                <w:szCs w:val="28"/>
              </w:rPr>
              <w:t xml:space="preserve">, </w:t>
            </w:r>
            <w:r w:rsidR="00CD77A0" w:rsidRPr="00DD4C79">
              <w:rPr>
                <w:sz w:val="28"/>
                <w:szCs w:val="28"/>
              </w:rPr>
              <w:t>tas</w:t>
            </w:r>
            <w:r w:rsidR="009B53F3" w:rsidRPr="00DD4C79">
              <w:rPr>
                <w:sz w:val="28"/>
                <w:szCs w:val="28"/>
              </w:rPr>
              <w:t xml:space="preserve"> ieceļ pilnvaroto pārstāvi. Tā kā o</w:t>
            </w:r>
            <w:r w:rsidRPr="00DD4C79">
              <w:rPr>
                <w:sz w:val="28"/>
                <w:szCs w:val="28"/>
              </w:rPr>
              <w:t>riģinālā CAC teksta 4.10.punktā ir noteikts, ka pilnvarojums jānodrošina ne vēlāk kā 48 stundas pirm</w:t>
            </w:r>
            <w:r w:rsidR="009B53F3" w:rsidRPr="00DD4C79">
              <w:rPr>
                <w:sz w:val="28"/>
                <w:szCs w:val="28"/>
              </w:rPr>
              <w:t>s obligacionāru sapulces sākuma, tad attiecīgi šāds regulējums ir iestrādāts MK noteikumu projektā.</w:t>
            </w:r>
          </w:p>
          <w:p w:rsidR="00122971" w:rsidRPr="00DD4C79" w:rsidRDefault="00CD77A0" w:rsidP="009F5DA7">
            <w:pPr>
              <w:pStyle w:val="naiskr"/>
              <w:ind w:right="126" w:firstLine="400"/>
              <w:jc w:val="both"/>
              <w:rPr>
                <w:sz w:val="28"/>
                <w:szCs w:val="28"/>
              </w:rPr>
            </w:pPr>
            <w:r w:rsidRPr="00DD4C79">
              <w:rPr>
                <w:sz w:val="28"/>
                <w:szCs w:val="28"/>
              </w:rPr>
              <w:t xml:space="preserve">Tā kā </w:t>
            </w:r>
            <w:r w:rsidR="009F5DA7" w:rsidRPr="00DD4C79">
              <w:rPr>
                <w:sz w:val="28"/>
                <w:szCs w:val="28"/>
              </w:rPr>
              <w:t>CAC nosacījumi izmantojami parāda re</w:t>
            </w:r>
            <w:r w:rsidR="00ED0BCD" w:rsidRPr="00DD4C79">
              <w:rPr>
                <w:sz w:val="28"/>
                <w:szCs w:val="28"/>
              </w:rPr>
              <w:t xml:space="preserve">strukturizācijas situācijās, </w:t>
            </w:r>
            <w:r w:rsidR="009F5DA7" w:rsidRPr="00DD4C79">
              <w:rPr>
                <w:sz w:val="28"/>
                <w:szCs w:val="28"/>
              </w:rPr>
              <w:t>ir jābūt skaidri noteiktiem kritērijiem jeb priekšnosacījumiem, kuriem iestājoties CAC vispār var</w:t>
            </w:r>
            <w:r w:rsidRPr="00DD4C79">
              <w:rPr>
                <w:sz w:val="28"/>
                <w:szCs w:val="28"/>
              </w:rPr>
              <w:t xml:space="preserve"> tikt izmantoti.  Un vienīgais </w:t>
            </w:r>
            <w:r w:rsidR="009F5DA7" w:rsidRPr="00DD4C79">
              <w:rPr>
                <w:sz w:val="28"/>
                <w:szCs w:val="28"/>
              </w:rPr>
              <w:t xml:space="preserve">priekšnosacījums ir saistību neizpilde ilgāku laika periodu, </w:t>
            </w:r>
            <w:r w:rsidRPr="00DD4C79">
              <w:rPr>
                <w:sz w:val="28"/>
                <w:szCs w:val="28"/>
              </w:rPr>
              <w:t>kas izslēdz dažādus operacionālo</w:t>
            </w:r>
            <w:r w:rsidR="009F5DA7" w:rsidRPr="00DD4C79">
              <w:rPr>
                <w:sz w:val="28"/>
                <w:szCs w:val="28"/>
              </w:rPr>
              <w:t xml:space="preserve">s riskus, kad  maksājums zināmu, bet risināmu apstākļu dēļ nav veikts. </w:t>
            </w:r>
            <w:r w:rsidR="00ED0BCD" w:rsidRPr="00DD4C79">
              <w:rPr>
                <w:sz w:val="28"/>
                <w:szCs w:val="28"/>
              </w:rPr>
              <w:t xml:space="preserve">Līdz a ar to </w:t>
            </w:r>
            <w:r w:rsidR="00122971" w:rsidRPr="00DD4C79">
              <w:rPr>
                <w:sz w:val="28"/>
                <w:szCs w:val="28"/>
              </w:rPr>
              <w:t>MK noteikumu projekts nodefinē periodu, kas uzskatāms par ilgstošu valsts saistību neizpildes periodu par emitētajiem obligācijām, un tas ir 30 kalendārās dienas. Šāds dienu skaits ir noteikts, lai ievērotu vienlīdzības principu attiecībā pret investoriem, kas iegādājušies Latvijas emitētos vērtspapīrus starptautiskajos tirgos, kā arī balstoties uz citu valstu praksi.</w:t>
            </w:r>
          </w:p>
          <w:p w:rsidR="00FB33BA" w:rsidRPr="00DD4C79" w:rsidRDefault="00FB33BA" w:rsidP="009B53F3">
            <w:pPr>
              <w:pStyle w:val="naiskr"/>
              <w:ind w:right="126" w:firstLine="400"/>
              <w:jc w:val="both"/>
              <w:rPr>
                <w:sz w:val="28"/>
                <w:szCs w:val="28"/>
              </w:rPr>
            </w:pPr>
            <w:r w:rsidRPr="00DD4C79">
              <w:rPr>
                <w:sz w:val="28"/>
                <w:szCs w:val="28"/>
              </w:rPr>
              <w:t xml:space="preserve">No jauna izstrādātā MK noteikumu 7.nodaļa stāsies spēkā un būs piemērojama tikai obligācijām, kas būs emitētas pēc Latvijas </w:t>
            </w:r>
            <w:r w:rsidRPr="00DD4C79">
              <w:rPr>
                <w:sz w:val="28"/>
                <w:szCs w:val="28"/>
              </w:rPr>
              <w:lastRenderedPageBreak/>
              <w:t xml:space="preserve">pievienošanās ESM, kas izriet no likumprojekta „Par Līgumu par Eiropas Stabilitātes mehānisma dibināšanu”, un tas ir paredzēts MK noteikumu projekta noslēguma jautājumos. </w:t>
            </w:r>
            <w:r w:rsidR="009B53F3" w:rsidRPr="00DD4C79">
              <w:rPr>
                <w:sz w:val="28"/>
                <w:szCs w:val="28"/>
              </w:rPr>
              <w:t>Saskaņā ar ES Padomes ģenerālsekretariāta 2014.gada 28.februāra paziņojumu (</w:t>
            </w:r>
            <w:proofErr w:type="spellStart"/>
            <w:r w:rsidR="009B53F3" w:rsidRPr="00DD4C79">
              <w:rPr>
                <w:i/>
                <w:sz w:val="28"/>
                <w:szCs w:val="28"/>
              </w:rPr>
              <w:t>Note</w:t>
            </w:r>
            <w:proofErr w:type="spellEnd"/>
            <w:r w:rsidR="009B53F3" w:rsidRPr="00DD4C79">
              <w:rPr>
                <w:i/>
                <w:sz w:val="28"/>
                <w:szCs w:val="28"/>
              </w:rPr>
              <w:t xml:space="preserve"> </w:t>
            </w:r>
            <w:proofErr w:type="spellStart"/>
            <w:r w:rsidR="009B53F3" w:rsidRPr="00DD4C79">
              <w:rPr>
                <w:i/>
                <w:sz w:val="28"/>
                <w:szCs w:val="28"/>
              </w:rPr>
              <w:t>Verbale</w:t>
            </w:r>
            <w:proofErr w:type="spellEnd"/>
            <w:r w:rsidR="009B53F3" w:rsidRPr="00DD4C79">
              <w:rPr>
                <w:sz w:val="28"/>
                <w:szCs w:val="28"/>
              </w:rPr>
              <w:t>) Latvija 2014.gada 13.martā</w:t>
            </w:r>
            <w:r w:rsidR="00505317" w:rsidRPr="00DD4C79">
              <w:rPr>
                <w:sz w:val="28"/>
                <w:szCs w:val="28"/>
              </w:rPr>
              <w:t xml:space="preserve"> kļuva</w:t>
            </w:r>
            <w:r w:rsidR="009B53F3" w:rsidRPr="00DD4C79">
              <w:rPr>
                <w:sz w:val="28"/>
                <w:szCs w:val="28"/>
              </w:rPr>
              <w:t xml:space="preserve"> par ESM dalībvalsti.  </w:t>
            </w:r>
            <w:r w:rsidRPr="00DD4C79">
              <w:rPr>
                <w:sz w:val="28"/>
                <w:szCs w:val="28"/>
              </w:rPr>
              <w:t xml:space="preserve">Pārējie MK noteikumu precizējumi un papildinājumu stāsies spēkā pēc MK noteikumu publicēšanas.    </w:t>
            </w:r>
          </w:p>
          <w:p w:rsidR="00122971" w:rsidRPr="00DD4C79" w:rsidRDefault="00122971" w:rsidP="00122971">
            <w:pPr>
              <w:pStyle w:val="naiskr"/>
              <w:ind w:right="126" w:firstLine="400"/>
              <w:jc w:val="both"/>
              <w:rPr>
                <w:sz w:val="28"/>
                <w:szCs w:val="28"/>
              </w:rPr>
            </w:pPr>
          </w:p>
          <w:p w:rsidR="00122971" w:rsidRPr="00DD4C79" w:rsidRDefault="00122971" w:rsidP="00122971">
            <w:pPr>
              <w:pStyle w:val="naiskr"/>
              <w:ind w:right="126" w:firstLine="400"/>
              <w:jc w:val="both"/>
              <w:rPr>
                <w:sz w:val="28"/>
                <w:szCs w:val="28"/>
              </w:rPr>
            </w:pPr>
            <w:r w:rsidRPr="00DD4C79">
              <w:rPr>
                <w:sz w:val="28"/>
                <w:szCs w:val="28"/>
              </w:rPr>
              <w:t xml:space="preserve">Ar 2013. gada 17. janvāra likumu „Grozījumi Tiesu izpildītāju likumā” zvērinātiem tiesu izpildītājiem noteikta jauna funkcija - normatīvajos aktos noteikto darbību īstenošana, administrējot bezmantinieku mantas pārņemšanas un pārdošanas procesu. 2013.gada 24.jūlijā stājās spēkā Ministru kabineta 2013.gada 2.jūlija noteikumi Nr.364 „Noteikumi par zvērināta tiesu izpildītāja rīcību ar bezmantinieka mantu”. Minētajos noteikumos jau ir paredzēts, ka zvērinātam tiesu izpildītājam nav tiesības pārdot krājobligācijas, tādēļ </w:t>
            </w:r>
            <w:r w:rsidR="00536BCC" w:rsidRPr="00DD4C79">
              <w:rPr>
                <w:sz w:val="28"/>
                <w:szCs w:val="28"/>
              </w:rPr>
              <w:t xml:space="preserve">noteikumu projekts reglamentēs krājobligāciju dzēšanas kārtību, kad tās tiks atzītas par bezmantinieka mantu un būs piekritīgas valstij. </w:t>
            </w:r>
          </w:p>
          <w:p w:rsidR="00122971" w:rsidRPr="00DD4C79" w:rsidRDefault="00122971" w:rsidP="00122971">
            <w:pPr>
              <w:pStyle w:val="naiskr"/>
              <w:ind w:right="126" w:firstLine="400"/>
              <w:jc w:val="both"/>
              <w:rPr>
                <w:sz w:val="28"/>
                <w:szCs w:val="28"/>
              </w:rPr>
            </w:pPr>
            <w:r w:rsidRPr="00DD4C79">
              <w:rPr>
                <w:sz w:val="28"/>
                <w:szCs w:val="28"/>
              </w:rPr>
              <w:t>Saskaņā ar 2013.gada 26.novembra Ministru kabineta noteikumiem Nr.1354 „Kārtība, kādā veicama valstij piekritīgās mantas uzskaite, novērtēšana, realizācija, nodošana bez maksas, iznīcināšana un realizācijas ieņēmumu ieskaitīšana valsts budžetā” gadījumos, kad aktā par mantojuma lietas izbeigšanu nav norādītas kreditoru pretenzijas visas darbības ar mantu veic Valsts ieņēmumu dienests.</w:t>
            </w:r>
          </w:p>
          <w:p w:rsidR="00536BCC" w:rsidRPr="00DD4C79" w:rsidRDefault="00122971" w:rsidP="00122971">
            <w:pPr>
              <w:pStyle w:val="naiskr"/>
              <w:ind w:right="126" w:firstLine="400"/>
              <w:jc w:val="both"/>
              <w:rPr>
                <w:sz w:val="28"/>
                <w:szCs w:val="28"/>
              </w:rPr>
            </w:pPr>
            <w:r w:rsidRPr="00DD4C79">
              <w:rPr>
                <w:sz w:val="28"/>
                <w:szCs w:val="28"/>
              </w:rPr>
              <w:t xml:space="preserve">Līdz ar to </w:t>
            </w:r>
            <w:r w:rsidR="00536BCC" w:rsidRPr="00DD4C79">
              <w:rPr>
                <w:sz w:val="28"/>
                <w:szCs w:val="28"/>
              </w:rPr>
              <w:t>MK Noteikumu projektā ir iekļauta jauna tiesību nor</w:t>
            </w:r>
            <w:r w:rsidR="004B381F" w:rsidRPr="00DD4C79">
              <w:rPr>
                <w:sz w:val="28"/>
                <w:szCs w:val="28"/>
              </w:rPr>
              <w:t>ma</w:t>
            </w:r>
            <w:r w:rsidR="00D13C47" w:rsidRPr="00DD4C79">
              <w:rPr>
                <w:sz w:val="28"/>
                <w:szCs w:val="28"/>
              </w:rPr>
              <w:t>,</w:t>
            </w:r>
            <w:r w:rsidR="004B381F" w:rsidRPr="00DD4C79">
              <w:rPr>
                <w:sz w:val="28"/>
                <w:szCs w:val="28"/>
              </w:rPr>
              <w:t xml:space="preserve"> paredzot pienākumu tiesu izpildītājiem vai Valsts ieņēmumu dienestam iesniegt attiecīgu </w:t>
            </w:r>
            <w:r w:rsidRPr="00DD4C79">
              <w:rPr>
                <w:sz w:val="28"/>
                <w:szCs w:val="28"/>
              </w:rPr>
              <w:t>informāciju</w:t>
            </w:r>
            <w:r w:rsidR="004B381F" w:rsidRPr="00DD4C79">
              <w:rPr>
                <w:sz w:val="28"/>
                <w:szCs w:val="28"/>
              </w:rPr>
              <w:t xml:space="preserve"> Latvijas Centrālajam depozitārijam krājobligāciju dzēšanai.</w:t>
            </w:r>
          </w:p>
          <w:p w:rsidR="00536BCC" w:rsidRPr="00DD4C79" w:rsidRDefault="00536BCC" w:rsidP="00536BCC">
            <w:pPr>
              <w:pStyle w:val="naiskr"/>
              <w:ind w:right="126" w:firstLine="473"/>
              <w:jc w:val="both"/>
              <w:rPr>
                <w:sz w:val="28"/>
                <w:szCs w:val="28"/>
              </w:rPr>
            </w:pPr>
            <w:r w:rsidRPr="00DD4C79">
              <w:rPr>
                <w:sz w:val="28"/>
                <w:szCs w:val="28"/>
              </w:rPr>
              <w:t>Lai nodrošinātu, ka pieteikumi par krājobligāciju mantošanu tiktu iesniegti tikai pie finanšu aģenta, MK noteikumu projektā vairs neparedzēs to iesniegšanu izplatīšanas aģentam.</w:t>
            </w:r>
          </w:p>
          <w:p w:rsidR="003F3E5A" w:rsidRPr="00DD4C79" w:rsidRDefault="003F3E5A" w:rsidP="00536BCC">
            <w:pPr>
              <w:pStyle w:val="naiskr"/>
              <w:ind w:right="126" w:firstLine="473"/>
              <w:jc w:val="both"/>
              <w:rPr>
                <w:sz w:val="28"/>
                <w:szCs w:val="28"/>
              </w:rPr>
            </w:pPr>
            <w:r w:rsidRPr="00DD4C79">
              <w:rPr>
                <w:sz w:val="28"/>
                <w:szCs w:val="28"/>
              </w:rPr>
              <w:t xml:space="preserve">MK Noteikumu projekta Pārejas noteikumu nodaļa ir papildināta ar jaunu tiesību normu attiecībā uz </w:t>
            </w:r>
            <w:r w:rsidR="00717474" w:rsidRPr="00DD4C79">
              <w:rPr>
                <w:sz w:val="28"/>
                <w:szCs w:val="28"/>
              </w:rPr>
              <w:t>valsts vērtspapīriem, kas emitēti pirms šo noteikumu stāšanās spēkā</w:t>
            </w:r>
            <w:r w:rsidRPr="00DD4C79">
              <w:rPr>
                <w:sz w:val="28"/>
                <w:szCs w:val="28"/>
              </w:rPr>
              <w:t xml:space="preserve">, paredzot, ka fiksētais ienākums, dzēšanas un pēdējā fiksētā ienākuma izmaksa veicama saskaņā ar MK </w:t>
            </w:r>
            <w:r w:rsidR="00A1054F" w:rsidRPr="00DD4C79">
              <w:rPr>
                <w:sz w:val="28"/>
                <w:szCs w:val="28"/>
              </w:rPr>
              <w:t xml:space="preserve">Noteikumu </w:t>
            </w:r>
            <w:r w:rsidRPr="00DD4C79">
              <w:rPr>
                <w:sz w:val="28"/>
                <w:szCs w:val="28"/>
              </w:rPr>
              <w:t>projektā noteikto kārtīb</w:t>
            </w:r>
            <w:r w:rsidR="00A1054F" w:rsidRPr="00DD4C79">
              <w:rPr>
                <w:sz w:val="28"/>
                <w:szCs w:val="28"/>
              </w:rPr>
              <w:t>u</w:t>
            </w:r>
            <w:r w:rsidR="009E3C9E" w:rsidRPr="00DD4C79">
              <w:rPr>
                <w:sz w:val="28"/>
                <w:szCs w:val="28"/>
              </w:rPr>
              <w:t xml:space="preserve"> – kas paredz, ka </w:t>
            </w:r>
            <w:r w:rsidR="00E81577" w:rsidRPr="00DD4C79">
              <w:rPr>
                <w:sz w:val="28"/>
                <w:szCs w:val="28"/>
              </w:rPr>
              <w:t xml:space="preserve">minētās </w:t>
            </w:r>
            <w:r w:rsidR="009E3C9E" w:rsidRPr="00DD4C79">
              <w:rPr>
                <w:sz w:val="28"/>
                <w:szCs w:val="28"/>
              </w:rPr>
              <w:t xml:space="preserve">izmaksas </w:t>
            </w:r>
            <w:r w:rsidR="00E81577" w:rsidRPr="00DD4C79">
              <w:rPr>
                <w:sz w:val="28"/>
                <w:szCs w:val="28"/>
              </w:rPr>
              <w:t xml:space="preserve">netiks </w:t>
            </w:r>
            <w:r w:rsidR="009E3C9E" w:rsidRPr="00DD4C79">
              <w:rPr>
                <w:sz w:val="28"/>
                <w:szCs w:val="28"/>
              </w:rPr>
              <w:t>veikt</w:t>
            </w:r>
            <w:r w:rsidR="00E81577" w:rsidRPr="00DD4C79">
              <w:rPr>
                <w:sz w:val="28"/>
                <w:szCs w:val="28"/>
              </w:rPr>
              <w:t>as</w:t>
            </w:r>
            <w:r w:rsidR="009E3C9E" w:rsidRPr="00DD4C79">
              <w:rPr>
                <w:sz w:val="28"/>
                <w:szCs w:val="28"/>
              </w:rPr>
              <w:t xml:space="preserve"> sestdienās svētdienās, valsts </w:t>
            </w:r>
            <w:r w:rsidR="00442CB8" w:rsidRPr="00DD4C79">
              <w:rPr>
                <w:sz w:val="28"/>
                <w:szCs w:val="28"/>
              </w:rPr>
              <w:t xml:space="preserve">noteiktās </w:t>
            </w:r>
            <w:r w:rsidR="009E3C9E" w:rsidRPr="00DD4C79">
              <w:rPr>
                <w:sz w:val="28"/>
                <w:szCs w:val="28"/>
              </w:rPr>
              <w:t>svētku dienās un brīvdienās</w:t>
            </w:r>
            <w:r w:rsidRPr="00DD4C79">
              <w:rPr>
                <w:sz w:val="28"/>
                <w:szCs w:val="28"/>
              </w:rPr>
              <w:t xml:space="preserve">. </w:t>
            </w:r>
            <w:r w:rsidRPr="00DD4C79">
              <w:rPr>
                <w:sz w:val="28"/>
                <w:szCs w:val="28"/>
              </w:rPr>
              <w:lastRenderedPageBreak/>
              <w:t xml:space="preserve">Šī tiesību norma </w:t>
            </w:r>
            <w:r w:rsidR="005F3555" w:rsidRPr="00DD4C79">
              <w:rPr>
                <w:sz w:val="28"/>
                <w:szCs w:val="28"/>
              </w:rPr>
              <w:t xml:space="preserve">būtiski </w:t>
            </w:r>
            <w:r w:rsidRPr="00DD4C79">
              <w:rPr>
                <w:sz w:val="28"/>
                <w:szCs w:val="28"/>
              </w:rPr>
              <w:t>nepasliktina ieguldītāja finansiālo stāvokli un ir nepieciešama</w:t>
            </w:r>
            <w:r w:rsidR="005F3555" w:rsidRPr="00DD4C79">
              <w:rPr>
                <w:sz w:val="28"/>
                <w:szCs w:val="28"/>
              </w:rPr>
              <w:t xml:space="preserve">, jo nebūs iespējams nodrošināt fiksētā ienākuma, dzēšanas un pēdējā fiksētā ienākuma izmaksas </w:t>
            </w:r>
            <w:r w:rsidR="00442CB8" w:rsidRPr="00DD4C79">
              <w:rPr>
                <w:sz w:val="28"/>
                <w:szCs w:val="28"/>
              </w:rPr>
              <w:t>sestdienās</w:t>
            </w:r>
            <w:r w:rsidR="00701A9C" w:rsidRPr="00DD4C79">
              <w:rPr>
                <w:sz w:val="28"/>
                <w:szCs w:val="28"/>
              </w:rPr>
              <w:t>,</w:t>
            </w:r>
            <w:r w:rsidR="005F3555" w:rsidRPr="00DD4C79">
              <w:rPr>
                <w:sz w:val="28"/>
                <w:szCs w:val="28"/>
              </w:rPr>
              <w:t xml:space="preserve"> uz kurām ir pārcelta darba diena saskaņā ar</w:t>
            </w:r>
            <w:r w:rsidR="009E3C9E" w:rsidRPr="00DD4C79">
              <w:rPr>
                <w:sz w:val="28"/>
                <w:szCs w:val="28"/>
              </w:rPr>
              <w:t xml:space="preserve"> attiecīgo</w:t>
            </w:r>
            <w:r w:rsidR="005F3555" w:rsidRPr="00DD4C79">
              <w:rPr>
                <w:sz w:val="28"/>
                <w:szCs w:val="28"/>
              </w:rPr>
              <w:t xml:space="preserve"> M</w:t>
            </w:r>
            <w:r w:rsidR="009E3C9E" w:rsidRPr="00DD4C79">
              <w:rPr>
                <w:sz w:val="28"/>
                <w:szCs w:val="28"/>
              </w:rPr>
              <w:t>inistru kabineta</w:t>
            </w:r>
            <w:r w:rsidR="005F3555" w:rsidRPr="00DD4C79">
              <w:rPr>
                <w:sz w:val="28"/>
                <w:szCs w:val="28"/>
              </w:rPr>
              <w:t xml:space="preserve"> rīkojumu</w:t>
            </w:r>
            <w:r w:rsidR="009E3C9E" w:rsidRPr="00DD4C79">
              <w:rPr>
                <w:sz w:val="28"/>
                <w:szCs w:val="28"/>
              </w:rPr>
              <w:t xml:space="preserve"> par darba dienu pārcelšanu</w:t>
            </w:r>
            <w:r w:rsidR="005F3555" w:rsidRPr="00DD4C79">
              <w:rPr>
                <w:sz w:val="28"/>
                <w:szCs w:val="28"/>
              </w:rPr>
              <w:t xml:space="preserve">. </w:t>
            </w:r>
            <w:r w:rsidR="009E3C9E" w:rsidRPr="00DD4C79">
              <w:rPr>
                <w:sz w:val="28"/>
                <w:szCs w:val="28"/>
              </w:rPr>
              <w:t xml:space="preserve">Piemēram 2014.gadā plānots pārcelt divas darba dienas - piektdienu, 2.maiju, plānots pārcelt uz sestdienu, 17.maiju, un pirmdienu, 17.novembri, uz sestdienu, 22.novembri. Šādu darba dienu pārcelšana notiek gadu no gada, tāpat atsevišķām emitētām </w:t>
            </w:r>
            <w:proofErr w:type="spellStart"/>
            <w:r w:rsidR="009E3C9E" w:rsidRPr="00DD4C79">
              <w:rPr>
                <w:sz w:val="28"/>
                <w:szCs w:val="28"/>
              </w:rPr>
              <w:t>krājobligācijām</w:t>
            </w:r>
            <w:proofErr w:type="spellEnd"/>
            <w:r w:rsidR="009E3C9E" w:rsidRPr="00DD4C79">
              <w:rPr>
                <w:sz w:val="28"/>
                <w:szCs w:val="28"/>
              </w:rPr>
              <w:t xml:space="preserve"> jau šobrīd nākotnē iekrīt izmaksas datums sestdienā</w:t>
            </w:r>
            <w:r w:rsidR="00442CB8" w:rsidRPr="00DD4C79">
              <w:rPr>
                <w:sz w:val="28"/>
                <w:szCs w:val="28"/>
              </w:rPr>
              <w:t>. Šobrī</w:t>
            </w:r>
            <w:r w:rsidR="00D65A5E" w:rsidRPr="00DD4C79">
              <w:rPr>
                <w:sz w:val="28"/>
                <w:szCs w:val="28"/>
              </w:rPr>
              <w:t>d</w:t>
            </w:r>
            <w:r w:rsidR="00442CB8" w:rsidRPr="00DD4C79">
              <w:rPr>
                <w:sz w:val="28"/>
                <w:szCs w:val="28"/>
              </w:rPr>
              <w:t xml:space="preserve"> </w:t>
            </w:r>
            <w:r w:rsidR="00701A9C" w:rsidRPr="00DD4C79">
              <w:rPr>
                <w:sz w:val="28"/>
                <w:szCs w:val="28"/>
              </w:rPr>
              <w:t xml:space="preserve">saskaņā ar </w:t>
            </w:r>
            <w:r w:rsidR="00A1054F" w:rsidRPr="00DD4C79">
              <w:rPr>
                <w:sz w:val="28"/>
                <w:szCs w:val="28"/>
              </w:rPr>
              <w:t>Latvijas Bankas elektroniskā klīringa sistēma</w:t>
            </w:r>
            <w:r w:rsidR="00701A9C" w:rsidRPr="00DD4C79">
              <w:rPr>
                <w:sz w:val="28"/>
                <w:szCs w:val="28"/>
              </w:rPr>
              <w:t xml:space="preserve">s </w:t>
            </w:r>
            <w:r w:rsidR="00A1054F" w:rsidRPr="00DD4C79">
              <w:rPr>
                <w:sz w:val="28"/>
                <w:szCs w:val="28"/>
              </w:rPr>
              <w:t>(EKS)</w:t>
            </w:r>
            <w:r w:rsidR="00701A9C" w:rsidRPr="00DD4C79">
              <w:rPr>
                <w:sz w:val="28"/>
                <w:szCs w:val="28"/>
              </w:rPr>
              <w:t xml:space="preserve">, </w:t>
            </w:r>
            <w:r w:rsidR="00442CB8" w:rsidRPr="00DD4C79">
              <w:rPr>
                <w:sz w:val="28"/>
                <w:szCs w:val="28"/>
              </w:rPr>
              <w:t>caur kuru tiek nodrošināt</w:t>
            </w:r>
            <w:r w:rsidR="00031345" w:rsidRPr="00DD4C79">
              <w:rPr>
                <w:sz w:val="28"/>
                <w:szCs w:val="28"/>
              </w:rPr>
              <w:t>i</w:t>
            </w:r>
            <w:r w:rsidR="00442CB8" w:rsidRPr="00DD4C79">
              <w:rPr>
                <w:sz w:val="28"/>
                <w:szCs w:val="28"/>
              </w:rPr>
              <w:t xml:space="preserve"> norēķin</w:t>
            </w:r>
            <w:r w:rsidR="00031345" w:rsidRPr="00DD4C79">
              <w:rPr>
                <w:sz w:val="28"/>
                <w:szCs w:val="28"/>
              </w:rPr>
              <w:t xml:space="preserve">i par </w:t>
            </w:r>
            <w:proofErr w:type="spellStart"/>
            <w:r w:rsidR="00031345" w:rsidRPr="00DD4C79">
              <w:rPr>
                <w:sz w:val="28"/>
                <w:szCs w:val="28"/>
              </w:rPr>
              <w:t>krājobligācijām</w:t>
            </w:r>
            <w:proofErr w:type="spellEnd"/>
            <w:r w:rsidR="00701A9C" w:rsidRPr="00DD4C79">
              <w:rPr>
                <w:sz w:val="28"/>
                <w:szCs w:val="28"/>
              </w:rPr>
              <w:t xml:space="preserve">, darba grafiku </w:t>
            </w:r>
            <w:r w:rsidR="00B61ECF" w:rsidRPr="00DD4C79">
              <w:rPr>
                <w:sz w:val="28"/>
                <w:szCs w:val="28"/>
              </w:rPr>
              <w:t xml:space="preserve">sestdienās </w:t>
            </w:r>
            <w:r w:rsidR="00701A9C" w:rsidRPr="00DD4C79">
              <w:rPr>
                <w:sz w:val="28"/>
                <w:szCs w:val="28"/>
              </w:rPr>
              <w:t>nenotiek klīrings</w:t>
            </w:r>
            <w:r w:rsidR="008D11CF" w:rsidRPr="00DD4C79">
              <w:rPr>
                <w:sz w:val="28"/>
                <w:szCs w:val="28"/>
              </w:rPr>
              <w:t xml:space="preserve"> jeb maksājumu informācijas apmaiņa starp Latvijas Bankas elektroniskā klīringa sistēmas dalībniekiem</w:t>
            </w:r>
            <w:r w:rsidR="00442CB8" w:rsidRPr="00DD4C79">
              <w:rPr>
                <w:sz w:val="28"/>
                <w:szCs w:val="28"/>
              </w:rPr>
              <w:t xml:space="preserve">. </w:t>
            </w:r>
            <w:r w:rsidR="00717474" w:rsidRPr="00DD4C79">
              <w:rPr>
                <w:sz w:val="28"/>
                <w:szCs w:val="28"/>
              </w:rPr>
              <w:t>Arī TARGET-2 Latvija sistēm</w:t>
            </w:r>
            <w:r w:rsidR="00FC2171" w:rsidRPr="00DD4C79">
              <w:rPr>
                <w:sz w:val="28"/>
                <w:szCs w:val="28"/>
              </w:rPr>
              <w:t>a</w:t>
            </w:r>
            <w:r w:rsidR="00717474" w:rsidRPr="00DD4C79">
              <w:rPr>
                <w:sz w:val="28"/>
                <w:szCs w:val="28"/>
              </w:rPr>
              <w:t xml:space="preserve">, caur kuru tiek veikti </w:t>
            </w:r>
            <w:r w:rsidR="00FC2171" w:rsidRPr="00DD4C79">
              <w:rPr>
                <w:sz w:val="28"/>
                <w:szCs w:val="28"/>
              </w:rPr>
              <w:t>norēķini</w:t>
            </w:r>
            <w:r w:rsidR="00717474" w:rsidRPr="00DD4C79">
              <w:rPr>
                <w:sz w:val="28"/>
                <w:szCs w:val="28"/>
              </w:rPr>
              <w:t xml:space="preserve"> par obligācijām un parādzīmēm, </w:t>
            </w:r>
            <w:r w:rsidR="00FC2171" w:rsidRPr="00DD4C79">
              <w:rPr>
                <w:sz w:val="28"/>
                <w:szCs w:val="28"/>
              </w:rPr>
              <w:t>nav atvērta sestdienās un svētdienās</w:t>
            </w:r>
            <w:r w:rsidR="00717474" w:rsidRPr="00DD4C79">
              <w:rPr>
                <w:sz w:val="28"/>
                <w:szCs w:val="28"/>
              </w:rPr>
              <w:t xml:space="preserve">. </w:t>
            </w:r>
            <w:r w:rsidR="00442CB8" w:rsidRPr="00DD4C79">
              <w:rPr>
                <w:sz w:val="28"/>
                <w:szCs w:val="28"/>
              </w:rPr>
              <w:t>Ieguldītāji</w:t>
            </w:r>
            <w:r w:rsidR="00DA53DC" w:rsidRPr="00DD4C79">
              <w:rPr>
                <w:sz w:val="28"/>
                <w:szCs w:val="28"/>
              </w:rPr>
              <w:t>,</w:t>
            </w:r>
            <w:r w:rsidR="00442CB8" w:rsidRPr="00DD4C79">
              <w:rPr>
                <w:sz w:val="28"/>
                <w:szCs w:val="28"/>
              </w:rPr>
              <w:t xml:space="preserve"> kuriem </w:t>
            </w:r>
            <w:r w:rsidR="00717474" w:rsidRPr="00DD4C79">
              <w:rPr>
                <w:sz w:val="28"/>
                <w:szCs w:val="28"/>
              </w:rPr>
              <w:t xml:space="preserve">valsts vērtspapīru </w:t>
            </w:r>
            <w:r w:rsidR="00E81577" w:rsidRPr="00DD4C79">
              <w:rPr>
                <w:sz w:val="28"/>
                <w:szCs w:val="28"/>
              </w:rPr>
              <w:t xml:space="preserve">fiksētā ienākuma, dzēšanas un pēdējā fiksētā ienākuma izmaksas </w:t>
            </w:r>
            <w:r w:rsidR="00442CB8" w:rsidRPr="00DD4C79">
              <w:rPr>
                <w:sz w:val="28"/>
                <w:szCs w:val="28"/>
              </w:rPr>
              <w:t>iekrīt sestdienā, svētdienā vai valsts noteiktā svētku dienā vai brīvdienā</w:t>
            </w:r>
            <w:r w:rsidR="00E81577" w:rsidRPr="00DD4C79">
              <w:rPr>
                <w:sz w:val="28"/>
                <w:szCs w:val="28"/>
              </w:rPr>
              <w:t>,</w:t>
            </w:r>
            <w:r w:rsidR="00442CB8" w:rsidRPr="00DD4C79">
              <w:rPr>
                <w:sz w:val="28"/>
                <w:szCs w:val="28"/>
              </w:rPr>
              <w:t xml:space="preserve"> naudu saņems nākamajā darbdienā</w:t>
            </w:r>
            <w:r w:rsidR="00A1054F" w:rsidRPr="00DD4C79">
              <w:rPr>
                <w:sz w:val="28"/>
                <w:szCs w:val="28"/>
              </w:rPr>
              <w:t>.</w:t>
            </w:r>
          </w:p>
          <w:p w:rsidR="00C74057" w:rsidRPr="00DD4C79" w:rsidRDefault="00536BCC" w:rsidP="00B7285D">
            <w:pPr>
              <w:pStyle w:val="naiskr"/>
              <w:ind w:right="126"/>
              <w:jc w:val="both"/>
              <w:rPr>
                <w:sz w:val="28"/>
                <w:szCs w:val="28"/>
              </w:rPr>
            </w:pPr>
            <w:r w:rsidRPr="00DD4C79">
              <w:rPr>
                <w:sz w:val="28"/>
                <w:szCs w:val="28"/>
              </w:rPr>
              <w:t xml:space="preserve"> </w:t>
            </w:r>
          </w:p>
          <w:p w:rsidR="008475CA" w:rsidRPr="00DD4C79" w:rsidRDefault="008475CA" w:rsidP="00D456C3">
            <w:pPr>
              <w:pStyle w:val="naiskr"/>
              <w:ind w:right="126" w:firstLine="580"/>
              <w:jc w:val="both"/>
              <w:rPr>
                <w:sz w:val="28"/>
                <w:szCs w:val="28"/>
              </w:rPr>
            </w:pPr>
            <w:r w:rsidRPr="00DD4C79">
              <w:rPr>
                <w:sz w:val="28"/>
                <w:szCs w:val="28"/>
              </w:rPr>
              <w:t>L</w:t>
            </w:r>
            <w:r w:rsidR="00C90492" w:rsidRPr="00DD4C79">
              <w:rPr>
                <w:sz w:val="28"/>
                <w:szCs w:val="28"/>
              </w:rPr>
              <w:t>īdz ar to, lai nodro</w:t>
            </w:r>
            <w:r w:rsidR="008625ED" w:rsidRPr="00DD4C79">
              <w:rPr>
                <w:sz w:val="28"/>
                <w:szCs w:val="28"/>
              </w:rPr>
              <w:t>šinātu atbilstošu tiesisko</w:t>
            </w:r>
            <w:r w:rsidR="00C90492" w:rsidRPr="00DD4C79">
              <w:rPr>
                <w:sz w:val="28"/>
                <w:szCs w:val="28"/>
              </w:rPr>
              <w:t xml:space="preserve"> regulējumu</w:t>
            </w:r>
            <w:r w:rsidR="002C72CE" w:rsidRPr="00DD4C79">
              <w:rPr>
                <w:sz w:val="28"/>
                <w:szCs w:val="28"/>
              </w:rPr>
              <w:t xml:space="preserve"> un nodrošinātu starptautisko saistību i</w:t>
            </w:r>
            <w:r w:rsidR="00D456C3" w:rsidRPr="00DD4C79">
              <w:rPr>
                <w:sz w:val="28"/>
                <w:szCs w:val="28"/>
              </w:rPr>
              <w:t>zpildi</w:t>
            </w:r>
            <w:r w:rsidR="00C57795" w:rsidRPr="00DD4C79">
              <w:rPr>
                <w:sz w:val="28"/>
                <w:szCs w:val="28"/>
              </w:rPr>
              <w:t xml:space="preserve">, kas izriet no Latvijas pievienošanās </w:t>
            </w:r>
            <w:r w:rsidR="001E4449" w:rsidRPr="00DD4C79">
              <w:rPr>
                <w:sz w:val="28"/>
                <w:szCs w:val="28"/>
              </w:rPr>
              <w:t>ESM (likumprojekts „Par Līgumu p</w:t>
            </w:r>
            <w:r w:rsidR="00C57795" w:rsidRPr="00DD4C79">
              <w:rPr>
                <w:sz w:val="28"/>
                <w:szCs w:val="28"/>
              </w:rPr>
              <w:t>ar Eiropas Stabilitātes mehānisma dibināšanu”)</w:t>
            </w:r>
            <w:r w:rsidR="002F7154" w:rsidRPr="00DD4C79">
              <w:rPr>
                <w:sz w:val="28"/>
                <w:szCs w:val="28"/>
              </w:rPr>
              <w:t>,</w:t>
            </w:r>
            <w:r w:rsidR="00D82C08" w:rsidRPr="00DD4C79">
              <w:rPr>
                <w:sz w:val="28"/>
                <w:szCs w:val="28"/>
              </w:rPr>
              <w:t xml:space="preserve"> </w:t>
            </w:r>
            <w:r w:rsidR="005943ED" w:rsidRPr="00DD4C79">
              <w:rPr>
                <w:sz w:val="28"/>
                <w:szCs w:val="28"/>
              </w:rPr>
              <w:t xml:space="preserve">ir </w:t>
            </w:r>
            <w:r w:rsidR="00D456C3" w:rsidRPr="00DD4C79">
              <w:rPr>
                <w:sz w:val="28"/>
                <w:szCs w:val="28"/>
              </w:rPr>
              <w:t>iz</w:t>
            </w:r>
            <w:r w:rsidR="002F7154" w:rsidRPr="00DD4C79">
              <w:rPr>
                <w:sz w:val="28"/>
                <w:szCs w:val="28"/>
              </w:rPr>
              <w:t xml:space="preserve">strādāts MK noteikumu projekts, </w:t>
            </w:r>
            <w:r w:rsidR="005656A9" w:rsidRPr="00DD4C79">
              <w:rPr>
                <w:sz w:val="28"/>
                <w:szCs w:val="28"/>
              </w:rPr>
              <w:t>un</w:t>
            </w:r>
            <w:r w:rsidR="00D456C3" w:rsidRPr="00DD4C79">
              <w:rPr>
                <w:sz w:val="28"/>
                <w:szCs w:val="28"/>
              </w:rPr>
              <w:t xml:space="preserve"> nepieciešams</w:t>
            </w:r>
            <w:r w:rsidR="005656A9" w:rsidRPr="00DD4C79">
              <w:rPr>
                <w:sz w:val="28"/>
                <w:szCs w:val="28"/>
              </w:rPr>
              <w:t xml:space="preserve"> atzīt par spēku zaudējušiem</w:t>
            </w:r>
            <w:r w:rsidR="008625ED" w:rsidRPr="00DD4C79">
              <w:rPr>
                <w:sz w:val="28"/>
                <w:szCs w:val="28"/>
              </w:rPr>
              <w:t xml:space="preserve"> </w:t>
            </w:r>
            <w:r w:rsidR="00D456C3" w:rsidRPr="00DD4C79">
              <w:rPr>
                <w:sz w:val="28"/>
                <w:szCs w:val="28"/>
              </w:rPr>
              <w:t xml:space="preserve">2013.gada 5.marta </w:t>
            </w:r>
            <w:r w:rsidR="005943ED" w:rsidRPr="00DD4C79">
              <w:rPr>
                <w:sz w:val="28"/>
                <w:szCs w:val="28"/>
              </w:rPr>
              <w:t>Ministru kabineta noteikum</w:t>
            </w:r>
            <w:r w:rsidR="005656A9" w:rsidRPr="00DD4C79">
              <w:rPr>
                <w:sz w:val="28"/>
                <w:szCs w:val="28"/>
              </w:rPr>
              <w:t>us</w:t>
            </w:r>
            <w:r w:rsidR="00D82C08" w:rsidRPr="00DD4C79">
              <w:rPr>
                <w:sz w:val="28"/>
                <w:szCs w:val="28"/>
              </w:rPr>
              <w:t xml:space="preserve"> Nr.120</w:t>
            </w:r>
            <w:r w:rsidR="005943ED" w:rsidRPr="00DD4C79">
              <w:rPr>
                <w:sz w:val="28"/>
                <w:szCs w:val="28"/>
              </w:rPr>
              <w:t xml:space="preserve"> „Valsts vē</w:t>
            </w:r>
            <w:r w:rsidR="00D82C08" w:rsidRPr="00DD4C79">
              <w:rPr>
                <w:sz w:val="28"/>
                <w:szCs w:val="28"/>
              </w:rPr>
              <w:t>rstpapīru izlaišanas noteikumi”</w:t>
            </w:r>
            <w:r w:rsidR="005943ED" w:rsidRPr="00DD4C79">
              <w:rPr>
                <w:sz w:val="28"/>
                <w:szCs w:val="28"/>
              </w:rPr>
              <w:t>.</w:t>
            </w:r>
            <w:r w:rsidR="008625ED" w:rsidRPr="00DD4C79">
              <w:rPr>
                <w:sz w:val="28"/>
                <w:szCs w:val="28"/>
              </w:rPr>
              <w:t xml:space="preserve"> </w:t>
            </w:r>
          </w:p>
          <w:p w:rsidR="000B001F" w:rsidRPr="00DD4C79" w:rsidRDefault="000B001F" w:rsidP="00D456C3">
            <w:pPr>
              <w:pStyle w:val="naiskr"/>
              <w:ind w:right="126" w:firstLine="580"/>
              <w:jc w:val="both"/>
              <w:rPr>
                <w:sz w:val="28"/>
                <w:szCs w:val="28"/>
              </w:rPr>
            </w:pPr>
          </w:p>
        </w:tc>
      </w:tr>
      <w:tr w:rsidR="00DD4C79" w:rsidRPr="00DD4C79" w:rsidTr="009E14C9">
        <w:trPr>
          <w:trHeight w:val="476"/>
          <w:tblCellSpacing w:w="0" w:type="dxa"/>
        </w:trPr>
        <w:tc>
          <w:tcPr>
            <w:tcW w:w="450"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lastRenderedPageBreak/>
              <w:t> </w:t>
            </w:r>
            <w:r w:rsidR="005E3C6F" w:rsidRPr="00DD4C79">
              <w:rPr>
                <w:sz w:val="28"/>
                <w:szCs w:val="28"/>
              </w:rPr>
              <w:t>3</w:t>
            </w:r>
            <w:r w:rsidRPr="00DD4C79">
              <w:rPr>
                <w:sz w:val="28"/>
                <w:szCs w:val="28"/>
              </w:rPr>
              <w:t>.</w:t>
            </w:r>
          </w:p>
        </w:tc>
        <w:tc>
          <w:tcPr>
            <w:tcW w:w="1485" w:type="dxa"/>
            <w:tcBorders>
              <w:top w:val="outset" w:sz="6" w:space="0" w:color="auto"/>
              <w:left w:val="outset" w:sz="6" w:space="0" w:color="auto"/>
              <w:bottom w:val="outset" w:sz="6" w:space="0" w:color="auto"/>
              <w:right w:val="outset" w:sz="6" w:space="0" w:color="auto"/>
            </w:tcBorders>
          </w:tcPr>
          <w:p w:rsidR="000B001F" w:rsidRPr="00DD4C79" w:rsidRDefault="000B001F" w:rsidP="00E47744">
            <w:pPr>
              <w:pStyle w:val="naiskr"/>
              <w:rPr>
                <w:sz w:val="28"/>
                <w:szCs w:val="28"/>
              </w:rPr>
            </w:pPr>
          </w:p>
          <w:p w:rsidR="00764722" w:rsidRPr="00DD4C79" w:rsidRDefault="00764722" w:rsidP="00E47744">
            <w:pPr>
              <w:pStyle w:val="naiskr"/>
              <w:rPr>
                <w:sz w:val="28"/>
                <w:szCs w:val="28"/>
              </w:rPr>
            </w:pPr>
            <w:r w:rsidRPr="00DD4C79">
              <w:rPr>
                <w:sz w:val="28"/>
                <w:szCs w:val="28"/>
              </w:rPr>
              <w:t> Projekta izstrādē iesaistītās institūcijas</w:t>
            </w:r>
          </w:p>
        </w:tc>
        <w:tc>
          <w:tcPr>
            <w:tcW w:w="7719" w:type="dxa"/>
            <w:tcBorders>
              <w:top w:val="outset" w:sz="6" w:space="0" w:color="auto"/>
              <w:left w:val="outset" w:sz="6" w:space="0" w:color="auto"/>
              <w:bottom w:val="outset" w:sz="6" w:space="0" w:color="auto"/>
              <w:right w:val="outset" w:sz="6" w:space="0" w:color="auto"/>
            </w:tcBorders>
          </w:tcPr>
          <w:p w:rsidR="000B001F" w:rsidRPr="00DD4C79" w:rsidRDefault="000B001F" w:rsidP="007574A3">
            <w:pPr>
              <w:pStyle w:val="naiskr"/>
              <w:spacing w:before="0" w:after="0"/>
              <w:ind w:firstLine="425"/>
              <w:rPr>
                <w:sz w:val="28"/>
                <w:szCs w:val="28"/>
              </w:rPr>
            </w:pPr>
          </w:p>
          <w:p w:rsidR="007574A3" w:rsidRPr="00DD4C79" w:rsidRDefault="007574A3" w:rsidP="007574A3">
            <w:pPr>
              <w:pStyle w:val="naiskr"/>
              <w:spacing w:before="0" w:after="0"/>
              <w:ind w:firstLine="425"/>
              <w:rPr>
                <w:sz w:val="28"/>
                <w:szCs w:val="28"/>
              </w:rPr>
            </w:pPr>
            <w:r w:rsidRPr="00DD4C79">
              <w:rPr>
                <w:sz w:val="28"/>
                <w:szCs w:val="28"/>
              </w:rPr>
              <w:t>Valsts kase</w:t>
            </w:r>
          </w:p>
          <w:p w:rsidR="007574A3" w:rsidRPr="00DD4C79" w:rsidRDefault="00575972" w:rsidP="007574A3">
            <w:pPr>
              <w:pStyle w:val="naiskr"/>
              <w:spacing w:before="0" w:after="0"/>
              <w:ind w:firstLine="425"/>
              <w:rPr>
                <w:sz w:val="28"/>
                <w:szCs w:val="28"/>
              </w:rPr>
            </w:pPr>
            <w:r w:rsidRPr="00DD4C79">
              <w:rPr>
                <w:sz w:val="28"/>
                <w:szCs w:val="28"/>
              </w:rPr>
              <w:t>AS „</w:t>
            </w:r>
            <w:r w:rsidR="007574A3" w:rsidRPr="00DD4C79">
              <w:rPr>
                <w:sz w:val="28"/>
                <w:szCs w:val="28"/>
              </w:rPr>
              <w:t>Latvijas Centrālais depozitārijs</w:t>
            </w:r>
            <w:r w:rsidRPr="00DD4C79">
              <w:rPr>
                <w:sz w:val="28"/>
                <w:szCs w:val="28"/>
              </w:rPr>
              <w:t>”</w:t>
            </w:r>
          </w:p>
          <w:p w:rsidR="007574A3" w:rsidRPr="00DD4C79" w:rsidRDefault="00575972" w:rsidP="007574A3">
            <w:pPr>
              <w:pStyle w:val="naiskr"/>
              <w:spacing w:before="0" w:after="0"/>
              <w:ind w:firstLine="425"/>
              <w:rPr>
                <w:sz w:val="28"/>
                <w:szCs w:val="28"/>
              </w:rPr>
            </w:pPr>
            <w:r w:rsidRPr="00DD4C79">
              <w:rPr>
                <w:sz w:val="28"/>
                <w:szCs w:val="28"/>
              </w:rPr>
              <w:t>AS „</w:t>
            </w:r>
            <w:r w:rsidR="007574A3" w:rsidRPr="00DD4C79">
              <w:rPr>
                <w:sz w:val="28"/>
                <w:szCs w:val="28"/>
              </w:rPr>
              <w:t xml:space="preserve">NASDAQ OMX </w:t>
            </w:r>
            <w:proofErr w:type="spellStart"/>
            <w:r w:rsidR="007574A3" w:rsidRPr="00DD4C79">
              <w:rPr>
                <w:sz w:val="28"/>
                <w:szCs w:val="28"/>
              </w:rPr>
              <w:t>Riga</w:t>
            </w:r>
            <w:proofErr w:type="spellEnd"/>
            <w:r w:rsidRPr="00DD4C79">
              <w:rPr>
                <w:sz w:val="28"/>
                <w:szCs w:val="28"/>
              </w:rPr>
              <w:t>”</w:t>
            </w:r>
          </w:p>
          <w:p w:rsidR="007574A3" w:rsidRPr="00DD4C79" w:rsidRDefault="007574A3" w:rsidP="007574A3">
            <w:pPr>
              <w:pStyle w:val="naiskr"/>
              <w:spacing w:before="0" w:after="0"/>
              <w:ind w:firstLine="425"/>
              <w:rPr>
                <w:sz w:val="28"/>
                <w:szCs w:val="28"/>
              </w:rPr>
            </w:pPr>
            <w:r w:rsidRPr="00DD4C79">
              <w:rPr>
                <w:sz w:val="28"/>
                <w:szCs w:val="28"/>
              </w:rPr>
              <w:t>Finanšu un kapitāla tirgus komisija</w:t>
            </w:r>
          </w:p>
          <w:p w:rsidR="000B001F" w:rsidRPr="00DD4C79" w:rsidRDefault="000B001F">
            <w:pPr>
              <w:pStyle w:val="naiskr"/>
              <w:spacing w:before="0" w:after="0"/>
              <w:ind w:firstLine="425"/>
              <w:rPr>
                <w:sz w:val="28"/>
                <w:szCs w:val="28"/>
              </w:rPr>
            </w:pPr>
          </w:p>
        </w:tc>
      </w:tr>
      <w:tr w:rsidR="00DD4C79" w:rsidRPr="00DD4C79" w:rsidTr="009E14C9">
        <w:trPr>
          <w:tblCellSpacing w:w="0" w:type="dxa"/>
        </w:trPr>
        <w:tc>
          <w:tcPr>
            <w:tcW w:w="450"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t> </w:t>
            </w:r>
            <w:r w:rsidR="005E3C6F" w:rsidRPr="00DD4C79">
              <w:rPr>
                <w:sz w:val="28"/>
                <w:szCs w:val="28"/>
              </w:rPr>
              <w:t>4</w:t>
            </w:r>
            <w:r w:rsidRPr="00DD4C79">
              <w:rPr>
                <w:sz w:val="28"/>
                <w:szCs w:val="28"/>
              </w:rPr>
              <w:t>.</w:t>
            </w:r>
          </w:p>
        </w:tc>
        <w:tc>
          <w:tcPr>
            <w:tcW w:w="1485" w:type="dxa"/>
            <w:tcBorders>
              <w:top w:val="outset" w:sz="6" w:space="0" w:color="auto"/>
              <w:left w:val="outset" w:sz="6" w:space="0" w:color="auto"/>
              <w:bottom w:val="outset" w:sz="6" w:space="0" w:color="auto"/>
              <w:right w:val="outset" w:sz="6" w:space="0" w:color="auto"/>
            </w:tcBorders>
          </w:tcPr>
          <w:p w:rsidR="000B001F" w:rsidRPr="00DD4C79" w:rsidRDefault="00764722" w:rsidP="00E47744">
            <w:pPr>
              <w:pStyle w:val="naiskr"/>
              <w:rPr>
                <w:sz w:val="28"/>
                <w:szCs w:val="28"/>
              </w:rPr>
            </w:pPr>
            <w:r w:rsidRPr="00DD4C79">
              <w:rPr>
                <w:sz w:val="28"/>
                <w:szCs w:val="28"/>
              </w:rPr>
              <w:t> </w:t>
            </w:r>
          </w:p>
          <w:p w:rsidR="00764722" w:rsidRPr="00DD4C79" w:rsidRDefault="00764722" w:rsidP="00E47744">
            <w:pPr>
              <w:pStyle w:val="naiskr"/>
              <w:rPr>
                <w:sz w:val="28"/>
                <w:szCs w:val="28"/>
              </w:rPr>
            </w:pPr>
            <w:r w:rsidRPr="00DD4C79">
              <w:rPr>
                <w:sz w:val="28"/>
                <w:szCs w:val="28"/>
              </w:rPr>
              <w:t>Cita informācija</w:t>
            </w:r>
          </w:p>
        </w:tc>
        <w:tc>
          <w:tcPr>
            <w:tcW w:w="7719" w:type="dxa"/>
            <w:tcBorders>
              <w:top w:val="outset" w:sz="6" w:space="0" w:color="auto"/>
              <w:left w:val="outset" w:sz="6" w:space="0" w:color="auto"/>
              <w:bottom w:val="outset" w:sz="6" w:space="0" w:color="auto"/>
              <w:right w:val="outset" w:sz="6" w:space="0" w:color="auto"/>
            </w:tcBorders>
          </w:tcPr>
          <w:p w:rsidR="000B001F" w:rsidRPr="00DD4C79" w:rsidRDefault="000B001F" w:rsidP="00D456C3">
            <w:pPr>
              <w:pStyle w:val="naiskr"/>
              <w:ind w:right="126" w:firstLine="552"/>
              <w:jc w:val="both"/>
              <w:rPr>
                <w:sz w:val="28"/>
                <w:szCs w:val="28"/>
              </w:rPr>
            </w:pPr>
          </w:p>
          <w:p w:rsidR="009B53F3" w:rsidRPr="00DD4C79" w:rsidRDefault="00E347B6" w:rsidP="009B53F3">
            <w:pPr>
              <w:pStyle w:val="naiskr"/>
              <w:ind w:right="126" w:firstLine="552"/>
              <w:jc w:val="both"/>
              <w:rPr>
                <w:sz w:val="28"/>
                <w:szCs w:val="28"/>
              </w:rPr>
            </w:pPr>
            <w:r w:rsidRPr="00DD4C79">
              <w:rPr>
                <w:sz w:val="28"/>
                <w:szCs w:val="28"/>
              </w:rPr>
              <w:t xml:space="preserve">Par CAC ieviešanu būs jāsniedz juridiskais atzinums un jānosūta ESM, apliecinot, ka CAC ieviesti pilnā apmērā un attiecīgais normatīvais akts ir tiesisks, spēkā esošs, </w:t>
            </w:r>
            <w:r w:rsidR="009B53F3" w:rsidRPr="00DD4C79">
              <w:rPr>
                <w:sz w:val="28"/>
                <w:szCs w:val="28"/>
              </w:rPr>
              <w:t xml:space="preserve">nekonfliktē ar dalībvalsts normatīvajiem aktiem, </w:t>
            </w:r>
            <w:r w:rsidRPr="00DD4C79">
              <w:rPr>
                <w:sz w:val="28"/>
                <w:szCs w:val="28"/>
              </w:rPr>
              <w:t>pusēm saistošs un realizējams.</w:t>
            </w:r>
          </w:p>
          <w:p w:rsidR="00E347B6" w:rsidRPr="00DD4C79" w:rsidRDefault="00E05187" w:rsidP="00676FB4">
            <w:pPr>
              <w:pStyle w:val="naiskr"/>
              <w:ind w:right="126" w:firstLine="552"/>
              <w:jc w:val="both"/>
              <w:rPr>
                <w:sz w:val="28"/>
                <w:szCs w:val="28"/>
              </w:rPr>
            </w:pPr>
            <w:r w:rsidRPr="00DD4C79">
              <w:rPr>
                <w:sz w:val="28"/>
                <w:szCs w:val="28"/>
              </w:rPr>
              <w:lastRenderedPageBreak/>
              <w:t xml:space="preserve">ESM </w:t>
            </w:r>
            <w:r w:rsidR="00676FB4" w:rsidRPr="00DD4C79">
              <w:rPr>
                <w:sz w:val="28"/>
                <w:szCs w:val="28"/>
              </w:rPr>
              <w:t xml:space="preserve">piesaistītais </w:t>
            </w:r>
            <w:r w:rsidRPr="00DD4C79">
              <w:rPr>
                <w:sz w:val="28"/>
                <w:szCs w:val="28"/>
              </w:rPr>
              <w:t>konsultan</w:t>
            </w:r>
            <w:r w:rsidR="00676FB4" w:rsidRPr="00DD4C79">
              <w:rPr>
                <w:sz w:val="28"/>
                <w:szCs w:val="28"/>
              </w:rPr>
              <w:t xml:space="preserve">ts par CAC jautājumiem papildus sniedza skaidrojumu, ka neskatoties, ka </w:t>
            </w:r>
            <w:r w:rsidRPr="00DD4C79">
              <w:rPr>
                <w:sz w:val="28"/>
                <w:szCs w:val="28"/>
              </w:rPr>
              <w:t xml:space="preserve">kāda </w:t>
            </w:r>
            <w:proofErr w:type="spellStart"/>
            <w:r w:rsidRPr="00DD4C79">
              <w:rPr>
                <w:sz w:val="28"/>
                <w:szCs w:val="28"/>
              </w:rPr>
              <w:t>eurozonas</w:t>
            </w:r>
            <w:proofErr w:type="spellEnd"/>
            <w:r w:rsidRPr="00DD4C79">
              <w:rPr>
                <w:sz w:val="28"/>
                <w:szCs w:val="28"/>
              </w:rPr>
              <w:t xml:space="preserve"> valsts neizmanto </w:t>
            </w:r>
            <w:r w:rsidR="00676FB4" w:rsidRPr="00DD4C79">
              <w:rPr>
                <w:sz w:val="28"/>
                <w:szCs w:val="28"/>
              </w:rPr>
              <w:t>vienu vai vairākus</w:t>
            </w:r>
            <w:r w:rsidRPr="00DD4C79">
              <w:rPr>
                <w:sz w:val="28"/>
                <w:szCs w:val="28"/>
              </w:rPr>
              <w:t xml:space="preserve"> no CAC standarta tekstā aprakstītajiem vērtspapīru veidiem, tomēr procedūra par to, kā notiek sarunas star</w:t>
            </w:r>
            <w:r w:rsidR="00D456C3" w:rsidRPr="00DD4C79">
              <w:rPr>
                <w:sz w:val="28"/>
                <w:szCs w:val="28"/>
              </w:rPr>
              <w:t>p</w:t>
            </w:r>
            <w:r w:rsidR="00676FB4" w:rsidRPr="00DD4C79">
              <w:rPr>
                <w:sz w:val="28"/>
                <w:szCs w:val="28"/>
              </w:rPr>
              <w:t xml:space="preserve"> </w:t>
            </w:r>
            <w:r w:rsidRPr="00DD4C79">
              <w:rPr>
                <w:sz w:val="28"/>
                <w:szCs w:val="28"/>
              </w:rPr>
              <w:t>valsti un in</w:t>
            </w:r>
            <w:r w:rsidR="00676FB4" w:rsidRPr="00DD4C79">
              <w:rPr>
                <w:sz w:val="28"/>
                <w:szCs w:val="28"/>
              </w:rPr>
              <w:t>vestoriem, obligacionāriem ir jābūt zināmiem</w:t>
            </w:r>
            <w:r w:rsidRPr="00DD4C79">
              <w:rPr>
                <w:sz w:val="28"/>
                <w:szCs w:val="28"/>
              </w:rPr>
              <w:t xml:space="preserve">, </w:t>
            </w:r>
            <w:r w:rsidR="00676FB4" w:rsidRPr="00DD4C79">
              <w:rPr>
                <w:sz w:val="28"/>
                <w:szCs w:val="28"/>
              </w:rPr>
              <w:t xml:space="preserve"> un lai nodrošinātu</w:t>
            </w:r>
            <w:r w:rsidRPr="00DD4C79">
              <w:rPr>
                <w:sz w:val="28"/>
                <w:szCs w:val="28"/>
              </w:rPr>
              <w:t xml:space="preserve"> identisku CAC ieviešanu visās </w:t>
            </w:r>
            <w:proofErr w:type="spellStart"/>
            <w:r w:rsidRPr="00DD4C79">
              <w:rPr>
                <w:sz w:val="28"/>
                <w:szCs w:val="28"/>
              </w:rPr>
              <w:t>eurozonas</w:t>
            </w:r>
            <w:proofErr w:type="spellEnd"/>
            <w:r w:rsidRPr="00DD4C79">
              <w:rPr>
                <w:sz w:val="28"/>
                <w:szCs w:val="28"/>
              </w:rPr>
              <w:t xml:space="preserve"> valstīs. </w:t>
            </w:r>
            <w:r w:rsidR="00676FB4" w:rsidRPr="00DD4C79">
              <w:rPr>
                <w:sz w:val="28"/>
                <w:szCs w:val="28"/>
              </w:rPr>
              <w:t xml:space="preserve">Izvērtējot situāciju Latvijā un to, ka </w:t>
            </w:r>
            <w:r w:rsidRPr="00DD4C79">
              <w:rPr>
                <w:sz w:val="28"/>
                <w:szCs w:val="28"/>
              </w:rPr>
              <w:t>līdz šim un tuvākajā laikā netiek plānots emitēt</w:t>
            </w:r>
            <w:r w:rsidR="00676FB4" w:rsidRPr="00DD4C79">
              <w:rPr>
                <w:sz w:val="28"/>
                <w:szCs w:val="28"/>
              </w:rPr>
              <w:t xml:space="preserve"> valsts</w:t>
            </w:r>
            <w:r w:rsidRPr="00DD4C79">
              <w:rPr>
                <w:sz w:val="28"/>
                <w:szCs w:val="28"/>
              </w:rPr>
              <w:t xml:space="preserve"> obligācijas, kuru fiksētais ienākums ir piesaistīts indeksam</w:t>
            </w:r>
            <w:r w:rsidR="001E128C" w:rsidRPr="00DD4C79">
              <w:rPr>
                <w:sz w:val="28"/>
                <w:szCs w:val="28"/>
              </w:rPr>
              <w:t xml:space="preserve"> (</w:t>
            </w:r>
            <w:proofErr w:type="spellStart"/>
            <w:r w:rsidR="00085B65" w:rsidRPr="00DD4C79">
              <w:rPr>
                <w:i/>
                <w:sz w:val="28"/>
                <w:szCs w:val="28"/>
              </w:rPr>
              <w:t>Index-Linked</w:t>
            </w:r>
            <w:proofErr w:type="spellEnd"/>
            <w:r w:rsidR="00085B65" w:rsidRPr="00DD4C79">
              <w:rPr>
                <w:i/>
                <w:sz w:val="28"/>
                <w:szCs w:val="28"/>
              </w:rPr>
              <w:t xml:space="preserve"> </w:t>
            </w:r>
            <w:proofErr w:type="spellStart"/>
            <w:r w:rsidR="00085B65" w:rsidRPr="00DD4C79">
              <w:rPr>
                <w:i/>
                <w:sz w:val="28"/>
                <w:szCs w:val="28"/>
              </w:rPr>
              <w:t>o</w:t>
            </w:r>
            <w:r w:rsidR="001E128C" w:rsidRPr="00DD4C79">
              <w:rPr>
                <w:i/>
                <w:sz w:val="28"/>
                <w:szCs w:val="28"/>
              </w:rPr>
              <w:t>bligations</w:t>
            </w:r>
            <w:proofErr w:type="spellEnd"/>
            <w:r w:rsidR="001E128C" w:rsidRPr="00DD4C79">
              <w:rPr>
                <w:sz w:val="28"/>
                <w:szCs w:val="28"/>
              </w:rPr>
              <w:t>)</w:t>
            </w:r>
            <w:r w:rsidRPr="00DD4C79">
              <w:rPr>
                <w:sz w:val="28"/>
                <w:szCs w:val="28"/>
              </w:rPr>
              <w:t>, vai obligācijas ar diskontu</w:t>
            </w:r>
            <w:r w:rsidR="001E128C" w:rsidRPr="00DD4C79">
              <w:rPr>
                <w:sz w:val="28"/>
                <w:szCs w:val="28"/>
              </w:rPr>
              <w:t xml:space="preserve"> (</w:t>
            </w:r>
            <w:proofErr w:type="spellStart"/>
            <w:r w:rsidR="00085B65" w:rsidRPr="00DD4C79">
              <w:rPr>
                <w:i/>
                <w:sz w:val="28"/>
                <w:szCs w:val="28"/>
              </w:rPr>
              <w:t>Zero-Coupon</w:t>
            </w:r>
            <w:proofErr w:type="spellEnd"/>
            <w:r w:rsidR="00085B65" w:rsidRPr="00DD4C79">
              <w:rPr>
                <w:i/>
                <w:sz w:val="28"/>
                <w:szCs w:val="28"/>
              </w:rPr>
              <w:t xml:space="preserve"> </w:t>
            </w:r>
            <w:proofErr w:type="spellStart"/>
            <w:r w:rsidR="00085B65" w:rsidRPr="00DD4C79">
              <w:rPr>
                <w:i/>
                <w:sz w:val="28"/>
                <w:szCs w:val="28"/>
              </w:rPr>
              <w:t>o</w:t>
            </w:r>
            <w:r w:rsidR="001E128C" w:rsidRPr="00DD4C79">
              <w:rPr>
                <w:i/>
                <w:sz w:val="28"/>
                <w:szCs w:val="28"/>
              </w:rPr>
              <w:t>bligations</w:t>
            </w:r>
            <w:proofErr w:type="spellEnd"/>
            <w:r w:rsidR="001E128C" w:rsidRPr="00DD4C79">
              <w:rPr>
                <w:sz w:val="28"/>
                <w:szCs w:val="28"/>
              </w:rPr>
              <w:t>), vai vairāku valūtu obligāciju laidieni (</w:t>
            </w:r>
            <w:proofErr w:type="spellStart"/>
            <w:r w:rsidR="001E128C" w:rsidRPr="00DD4C79">
              <w:rPr>
                <w:i/>
                <w:sz w:val="28"/>
                <w:szCs w:val="28"/>
              </w:rPr>
              <w:t>Multiple</w:t>
            </w:r>
            <w:proofErr w:type="spellEnd"/>
            <w:r w:rsidR="001E128C" w:rsidRPr="00DD4C79">
              <w:rPr>
                <w:i/>
                <w:sz w:val="28"/>
                <w:szCs w:val="28"/>
              </w:rPr>
              <w:t xml:space="preserve"> </w:t>
            </w:r>
            <w:proofErr w:type="spellStart"/>
            <w:r w:rsidR="001E128C" w:rsidRPr="00DD4C79">
              <w:rPr>
                <w:i/>
                <w:sz w:val="28"/>
                <w:szCs w:val="28"/>
              </w:rPr>
              <w:t>Currencies</w:t>
            </w:r>
            <w:proofErr w:type="spellEnd"/>
            <w:r w:rsidR="001E128C" w:rsidRPr="00DD4C79">
              <w:rPr>
                <w:i/>
                <w:sz w:val="28"/>
                <w:szCs w:val="28"/>
              </w:rPr>
              <w:t xml:space="preserve"> </w:t>
            </w:r>
            <w:proofErr w:type="spellStart"/>
            <w:r w:rsidR="00085B65" w:rsidRPr="00DD4C79">
              <w:rPr>
                <w:i/>
                <w:sz w:val="28"/>
                <w:szCs w:val="28"/>
              </w:rPr>
              <w:t>o</w:t>
            </w:r>
            <w:r w:rsidR="001E128C" w:rsidRPr="00DD4C79">
              <w:rPr>
                <w:i/>
                <w:sz w:val="28"/>
                <w:szCs w:val="28"/>
              </w:rPr>
              <w:t>bligations</w:t>
            </w:r>
            <w:proofErr w:type="spellEnd"/>
            <w:r w:rsidR="001E128C" w:rsidRPr="00DD4C79">
              <w:rPr>
                <w:sz w:val="28"/>
                <w:szCs w:val="28"/>
              </w:rPr>
              <w:t>)</w:t>
            </w:r>
            <w:r w:rsidRPr="00DD4C79">
              <w:rPr>
                <w:sz w:val="28"/>
                <w:szCs w:val="28"/>
              </w:rPr>
              <w:t xml:space="preserve">, </w:t>
            </w:r>
            <w:r w:rsidR="00971C1B" w:rsidRPr="00DD4C79">
              <w:rPr>
                <w:sz w:val="28"/>
                <w:szCs w:val="28"/>
              </w:rPr>
              <w:t xml:space="preserve">tāpat </w:t>
            </w:r>
            <w:r w:rsidRPr="00DD4C79">
              <w:rPr>
                <w:sz w:val="28"/>
                <w:szCs w:val="28"/>
              </w:rPr>
              <w:t>n</w:t>
            </w:r>
            <w:r w:rsidR="001E128C" w:rsidRPr="00DD4C79">
              <w:rPr>
                <w:sz w:val="28"/>
                <w:szCs w:val="28"/>
              </w:rPr>
              <w:t>etiek plānots</w:t>
            </w:r>
            <w:r w:rsidRPr="00DD4C79">
              <w:rPr>
                <w:sz w:val="28"/>
                <w:szCs w:val="28"/>
              </w:rPr>
              <w:t xml:space="preserve"> emit</w:t>
            </w:r>
            <w:r w:rsidR="00971C1B" w:rsidRPr="00DD4C79">
              <w:rPr>
                <w:sz w:val="28"/>
                <w:szCs w:val="28"/>
              </w:rPr>
              <w:t xml:space="preserve">ēts obligācijas </w:t>
            </w:r>
            <w:r w:rsidRPr="00DD4C79">
              <w:rPr>
                <w:sz w:val="28"/>
                <w:szCs w:val="28"/>
              </w:rPr>
              <w:t>ar papildu nodrošin</w:t>
            </w:r>
            <w:r w:rsidR="00A02B5D" w:rsidRPr="00DD4C79">
              <w:rPr>
                <w:sz w:val="28"/>
                <w:szCs w:val="28"/>
              </w:rPr>
              <w:t>ājumu (</w:t>
            </w:r>
            <w:proofErr w:type="spellStart"/>
            <w:r w:rsidR="00A02B5D" w:rsidRPr="00DD4C79">
              <w:rPr>
                <w:i/>
                <w:sz w:val="28"/>
                <w:szCs w:val="28"/>
              </w:rPr>
              <w:t>security</w:t>
            </w:r>
            <w:proofErr w:type="spellEnd"/>
            <w:r w:rsidR="00A02B5D" w:rsidRPr="00DD4C79">
              <w:rPr>
                <w:i/>
                <w:sz w:val="28"/>
                <w:szCs w:val="28"/>
              </w:rPr>
              <w:t xml:space="preserve"> </w:t>
            </w:r>
            <w:proofErr w:type="spellStart"/>
            <w:r w:rsidR="00A02B5D" w:rsidRPr="00DD4C79">
              <w:rPr>
                <w:i/>
                <w:sz w:val="28"/>
                <w:szCs w:val="28"/>
              </w:rPr>
              <w:t>agreement</w:t>
            </w:r>
            <w:proofErr w:type="spellEnd"/>
            <w:r w:rsidR="00A02B5D" w:rsidRPr="00DD4C79">
              <w:rPr>
                <w:i/>
                <w:sz w:val="28"/>
                <w:szCs w:val="28"/>
              </w:rPr>
              <w:t xml:space="preserve">, </w:t>
            </w:r>
            <w:proofErr w:type="spellStart"/>
            <w:r w:rsidR="00A02B5D" w:rsidRPr="00DD4C79">
              <w:rPr>
                <w:i/>
                <w:sz w:val="28"/>
                <w:szCs w:val="28"/>
              </w:rPr>
              <w:t>collateral</w:t>
            </w:r>
            <w:proofErr w:type="spellEnd"/>
            <w:r w:rsidR="00A02B5D" w:rsidRPr="00DD4C79">
              <w:rPr>
                <w:sz w:val="28"/>
                <w:szCs w:val="28"/>
              </w:rPr>
              <w:t>) vai galvojum</w:t>
            </w:r>
            <w:r w:rsidR="00676FB4" w:rsidRPr="00DD4C79">
              <w:rPr>
                <w:sz w:val="28"/>
                <w:szCs w:val="28"/>
              </w:rPr>
              <w:t>u</w:t>
            </w:r>
            <w:r w:rsidR="00085B65" w:rsidRPr="00DD4C79">
              <w:rPr>
                <w:sz w:val="28"/>
                <w:szCs w:val="28"/>
              </w:rPr>
              <w:t xml:space="preserve"> (</w:t>
            </w:r>
            <w:proofErr w:type="spellStart"/>
            <w:r w:rsidR="00085B65" w:rsidRPr="00DD4C79">
              <w:rPr>
                <w:i/>
                <w:sz w:val="28"/>
                <w:szCs w:val="28"/>
              </w:rPr>
              <w:t>guarantee</w:t>
            </w:r>
            <w:proofErr w:type="spellEnd"/>
            <w:r w:rsidR="00085B65" w:rsidRPr="00DD4C79">
              <w:rPr>
                <w:sz w:val="28"/>
                <w:szCs w:val="28"/>
              </w:rPr>
              <w:t>)</w:t>
            </w:r>
            <w:r w:rsidRPr="00DD4C79">
              <w:rPr>
                <w:sz w:val="28"/>
                <w:szCs w:val="28"/>
              </w:rPr>
              <w:t xml:space="preserve">, vai </w:t>
            </w:r>
            <w:r w:rsidR="00085B65" w:rsidRPr="00DD4C79">
              <w:rPr>
                <w:sz w:val="28"/>
                <w:szCs w:val="28"/>
              </w:rPr>
              <w:t xml:space="preserve">arī </w:t>
            </w:r>
            <w:r w:rsidRPr="00DD4C79">
              <w:rPr>
                <w:sz w:val="28"/>
                <w:szCs w:val="28"/>
              </w:rPr>
              <w:t xml:space="preserve">iestrādātas pirmstermiņa atpirkšanas opcijas, </w:t>
            </w:r>
            <w:r w:rsidR="001E128C" w:rsidRPr="00DD4C79">
              <w:rPr>
                <w:sz w:val="28"/>
                <w:szCs w:val="28"/>
              </w:rPr>
              <w:t>tad</w:t>
            </w:r>
            <w:r w:rsidRPr="00DD4C79">
              <w:rPr>
                <w:sz w:val="28"/>
                <w:szCs w:val="28"/>
              </w:rPr>
              <w:t xml:space="preserve"> </w:t>
            </w:r>
            <w:r w:rsidR="00971C1B" w:rsidRPr="00DD4C79">
              <w:rPr>
                <w:sz w:val="28"/>
                <w:szCs w:val="28"/>
              </w:rPr>
              <w:t xml:space="preserve">MK noteikumu projektā nav </w:t>
            </w:r>
            <w:r w:rsidR="001E128C" w:rsidRPr="00DD4C79">
              <w:rPr>
                <w:sz w:val="28"/>
                <w:szCs w:val="28"/>
              </w:rPr>
              <w:t>iestrādāta</w:t>
            </w:r>
            <w:r w:rsidR="00971C1B" w:rsidRPr="00DD4C79">
              <w:rPr>
                <w:sz w:val="28"/>
                <w:szCs w:val="28"/>
              </w:rPr>
              <w:t xml:space="preserve"> procedūra par to, kā</w:t>
            </w:r>
            <w:r w:rsidRPr="00DD4C79">
              <w:rPr>
                <w:sz w:val="28"/>
                <w:szCs w:val="28"/>
              </w:rPr>
              <w:t xml:space="preserve"> tiek izmantotas CAC nosacījumos noteiktās tiesības un pienākumi šādiem </w:t>
            </w:r>
            <w:r w:rsidR="00676FB4" w:rsidRPr="00DD4C79">
              <w:rPr>
                <w:sz w:val="28"/>
                <w:szCs w:val="28"/>
              </w:rPr>
              <w:t>(Latvijas valsts vērtspapīru tirgū neeksistējošiem</w:t>
            </w:r>
            <w:r w:rsidR="00971C1B" w:rsidRPr="00DD4C79">
              <w:rPr>
                <w:sz w:val="28"/>
                <w:szCs w:val="28"/>
              </w:rPr>
              <w:t xml:space="preserve">) </w:t>
            </w:r>
            <w:r w:rsidRPr="00DD4C79">
              <w:rPr>
                <w:sz w:val="28"/>
                <w:szCs w:val="28"/>
              </w:rPr>
              <w:t>oblig</w:t>
            </w:r>
            <w:r w:rsidR="00676FB4" w:rsidRPr="00DD4C79">
              <w:rPr>
                <w:sz w:val="28"/>
                <w:szCs w:val="28"/>
              </w:rPr>
              <w:t>āciju veidiem.</w:t>
            </w:r>
            <w:r w:rsidRPr="00DD4C79">
              <w:rPr>
                <w:sz w:val="28"/>
                <w:szCs w:val="28"/>
              </w:rPr>
              <w:t xml:space="preserve"> </w:t>
            </w:r>
            <w:r w:rsidR="00676FB4" w:rsidRPr="00DD4C79">
              <w:rPr>
                <w:sz w:val="28"/>
                <w:szCs w:val="28"/>
              </w:rPr>
              <w:t>Ja Valsts kase pēc izvērtējuma secinās, ka attiecīgo obligāciju veidu un struktūras emisijas ir jāievieš Latvijā, jo tās ir finansiāli un ekonomiski izdevīgas, tiks veikti atbilstoši MK noteikumu grozījumi, lai iekļautu investoru aizsardzības noteikumus šādu jaunu obligāciju noteikumos.</w:t>
            </w:r>
          </w:p>
          <w:p w:rsidR="002C72CE" w:rsidRPr="00DD4C79" w:rsidRDefault="00676FB4" w:rsidP="00575972">
            <w:pPr>
              <w:pStyle w:val="naiskr"/>
              <w:ind w:right="126" w:firstLine="552"/>
              <w:jc w:val="both"/>
              <w:rPr>
                <w:sz w:val="28"/>
                <w:szCs w:val="28"/>
              </w:rPr>
            </w:pPr>
            <w:r w:rsidRPr="00DD4C79">
              <w:rPr>
                <w:sz w:val="28"/>
                <w:szCs w:val="28"/>
              </w:rPr>
              <w:t xml:space="preserve">CAC nosacījumi paredz, ka lemšanai var tikt izvirzīti jautājumi, kas Latvijas gadījumā faktiski ir atrunāti MK noteikumos. Tāpēc MK noteikumu projektā ir </w:t>
            </w:r>
            <w:r w:rsidR="00575972" w:rsidRPr="00DD4C79">
              <w:rPr>
                <w:sz w:val="28"/>
                <w:szCs w:val="28"/>
              </w:rPr>
              <w:t>atrunāts</w:t>
            </w:r>
            <w:r w:rsidRPr="00DD4C79">
              <w:rPr>
                <w:sz w:val="28"/>
                <w:szCs w:val="28"/>
              </w:rPr>
              <w:t xml:space="preserve">, ka pirms tiek izsludināta obligacionāru sanāksme, </w:t>
            </w:r>
            <w:r w:rsidR="00575972" w:rsidRPr="00DD4C79">
              <w:rPr>
                <w:sz w:val="28"/>
                <w:szCs w:val="28"/>
              </w:rPr>
              <w:t>emitentam</w:t>
            </w:r>
            <w:r w:rsidRPr="00DD4C79">
              <w:rPr>
                <w:sz w:val="28"/>
                <w:szCs w:val="28"/>
              </w:rPr>
              <w:t xml:space="preserve"> par virkni sanāksmes darba kārtībā iekļaujamiem jautājumi</w:t>
            </w:r>
            <w:r w:rsidR="00575972" w:rsidRPr="00DD4C79">
              <w:rPr>
                <w:sz w:val="28"/>
                <w:szCs w:val="28"/>
              </w:rPr>
              <w:t>em</w:t>
            </w:r>
            <w:r w:rsidRPr="00DD4C79">
              <w:rPr>
                <w:sz w:val="28"/>
                <w:szCs w:val="28"/>
              </w:rPr>
              <w:t xml:space="preserve">, kā piemēram </w:t>
            </w:r>
            <w:r w:rsidR="002D30FB" w:rsidRPr="00DD4C79">
              <w:rPr>
                <w:sz w:val="28"/>
                <w:szCs w:val="28"/>
              </w:rPr>
              <w:t>–</w:t>
            </w:r>
            <w:r w:rsidR="00575972" w:rsidRPr="00DD4C79">
              <w:rPr>
                <w:sz w:val="28"/>
                <w:szCs w:val="28"/>
              </w:rPr>
              <w:t xml:space="preserve"> nosacījumiem, kad obligacionārs nevar izmantot no</w:t>
            </w:r>
            <w:r w:rsidR="002D30FB" w:rsidRPr="00DD4C79">
              <w:rPr>
                <w:sz w:val="28"/>
                <w:szCs w:val="28"/>
              </w:rPr>
              <w:t xml:space="preserve"> oblig</w:t>
            </w:r>
            <w:r w:rsidR="00575972" w:rsidRPr="00DD4C79">
              <w:rPr>
                <w:sz w:val="28"/>
                <w:szCs w:val="28"/>
              </w:rPr>
              <w:t xml:space="preserve">ācijām izrietošās tiesības, </w:t>
            </w:r>
            <w:r w:rsidR="002D30FB" w:rsidRPr="00DD4C79">
              <w:rPr>
                <w:sz w:val="28"/>
                <w:szCs w:val="28"/>
              </w:rPr>
              <w:t xml:space="preserve"> balsu vairākum</w:t>
            </w:r>
            <w:r w:rsidR="00575972" w:rsidRPr="00DD4C79">
              <w:rPr>
                <w:sz w:val="28"/>
                <w:szCs w:val="28"/>
              </w:rPr>
              <w:t>u attiecīgajos jautājumos</w:t>
            </w:r>
            <w:r w:rsidR="002D30FB" w:rsidRPr="00DD4C79">
              <w:rPr>
                <w:sz w:val="28"/>
                <w:szCs w:val="28"/>
              </w:rPr>
              <w:t xml:space="preserve">, vai arī </w:t>
            </w:r>
            <w:r w:rsidR="00575972" w:rsidRPr="00DD4C79">
              <w:rPr>
                <w:sz w:val="28"/>
                <w:szCs w:val="28"/>
              </w:rPr>
              <w:t>grozījumiem MK noteikumos,</w:t>
            </w:r>
            <w:r w:rsidRPr="00DD4C79">
              <w:rPr>
                <w:sz w:val="28"/>
                <w:szCs w:val="28"/>
              </w:rPr>
              <w:t xml:space="preserve"> ir jāsaņem MK atbalsts, un tikai tad sanāksme ar darba kārtības projektu </w:t>
            </w:r>
            <w:r w:rsidR="00575972" w:rsidRPr="00DD4C79">
              <w:rPr>
                <w:sz w:val="28"/>
                <w:szCs w:val="28"/>
              </w:rPr>
              <w:t>var tikt</w:t>
            </w:r>
            <w:r w:rsidRPr="00DD4C79">
              <w:rPr>
                <w:sz w:val="28"/>
                <w:szCs w:val="28"/>
              </w:rPr>
              <w:t xml:space="preserve"> izsludināta.   </w:t>
            </w:r>
          </w:p>
        </w:tc>
      </w:tr>
    </w:tbl>
    <w:p w:rsidR="00764722" w:rsidRPr="00DD4C79" w:rsidRDefault="00764722" w:rsidP="006E51C7">
      <w:pPr>
        <w:pStyle w:val="naisf"/>
        <w:tabs>
          <w:tab w:val="left" w:pos="3324"/>
        </w:tabs>
        <w:rPr>
          <w:sz w:val="28"/>
          <w:szCs w:val="28"/>
        </w:rPr>
      </w:pPr>
      <w:r w:rsidRPr="00DD4C79">
        <w:rPr>
          <w:sz w:val="28"/>
          <w:szCs w:val="28"/>
        </w:rPr>
        <w:lastRenderedPageBreak/>
        <w:t> </w:t>
      </w:r>
      <w:r w:rsidR="006E51C7" w:rsidRPr="00DD4C79">
        <w:rPr>
          <w:sz w:val="28"/>
          <w:szCs w:val="28"/>
        </w:rPr>
        <w:tab/>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81"/>
        <w:gridCol w:w="2511"/>
        <w:gridCol w:w="6662"/>
      </w:tblGrid>
      <w:tr w:rsidR="00DD4C79" w:rsidRPr="00DD4C79" w:rsidTr="0032587C">
        <w:trPr>
          <w:tblCellSpacing w:w="0" w:type="dxa"/>
        </w:trPr>
        <w:tc>
          <w:tcPr>
            <w:tcW w:w="9654" w:type="dxa"/>
            <w:gridSpan w:val="3"/>
            <w:tcBorders>
              <w:top w:val="outset" w:sz="6" w:space="0" w:color="auto"/>
              <w:left w:val="outset" w:sz="6" w:space="0" w:color="auto"/>
              <w:bottom w:val="outset" w:sz="6" w:space="0" w:color="auto"/>
              <w:right w:val="outset" w:sz="6" w:space="0" w:color="auto"/>
            </w:tcBorders>
            <w:vAlign w:val="center"/>
          </w:tcPr>
          <w:p w:rsidR="00764722" w:rsidRPr="00DD4C79" w:rsidRDefault="00764722" w:rsidP="00E47744">
            <w:pPr>
              <w:pStyle w:val="naisnod"/>
              <w:rPr>
                <w:sz w:val="28"/>
                <w:szCs w:val="28"/>
              </w:rPr>
            </w:pPr>
            <w:r w:rsidRPr="00DD4C79">
              <w:rPr>
                <w:sz w:val="28"/>
                <w:szCs w:val="28"/>
              </w:rPr>
              <w:t> II. Tiesību akta projekta ietekme uz sabiedrību</w:t>
            </w:r>
            <w:r w:rsidR="005D18C0" w:rsidRPr="00DD4C79">
              <w:rPr>
                <w:sz w:val="28"/>
                <w:szCs w:val="28"/>
              </w:rPr>
              <w:t>, tautsaimniecības attīstību un administratīvo slogu</w:t>
            </w:r>
          </w:p>
        </w:tc>
      </w:tr>
      <w:tr w:rsidR="00DD4C79" w:rsidRPr="00DD4C79" w:rsidTr="0032587C">
        <w:trPr>
          <w:trHeight w:val="467"/>
          <w:tblCellSpacing w:w="0" w:type="dxa"/>
        </w:trPr>
        <w:tc>
          <w:tcPr>
            <w:tcW w:w="481"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t> 1.</w:t>
            </w:r>
          </w:p>
        </w:tc>
        <w:tc>
          <w:tcPr>
            <w:tcW w:w="2511"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t xml:space="preserve">Sabiedrības </w:t>
            </w:r>
            <w:proofErr w:type="spellStart"/>
            <w:r w:rsidRPr="00DD4C79">
              <w:rPr>
                <w:sz w:val="28"/>
                <w:szCs w:val="28"/>
              </w:rPr>
              <w:t>mērķgrupa</w:t>
            </w:r>
            <w:r w:rsidR="00363520" w:rsidRPr="00DD4C79">
              <w:rPr>
                <w:sz w:val="28"/>
                <w:szCs w:val="28"/>
              </w:rPr>
              <w:t>s</w:t>
            </w:r>
            <w:proofErr w:type="spellEnd"/>
            <w:r w:rsidR="00363520" w:rsidRPr="00DD4C79">
              <w:rPr>
                <w:sz w:val="28"/>
                <w:szCs w:val="28"/>
              </w:rPr>
              <w:t xml:space="preserve">, kuras tiesiskais regulējums ietekmē vai varētu </w:t>
            </w:r>
            <w:r w:rsidR="00363520" w:rsidRPr="00DD4C79">
              <w:rPr>
                <w:sz w:val="28"/>
                <w:szCs w:val="28"/>
              </w:rPr>
              <w:lastRenderedPageBreak/>
              <w:t>ietekmēt</w:t>
            </w:r>
          </w:p>
        </w:tc>
        <w:tc>
          <w:tcPr>
            <w:tcW w:w="6662" w:type="dxa"/>
            <w:tcBorders>
              <w:top w:val="outset" w:sz="6" w:space="0" w:color="auto"/>
              <w:left w:val="outset" w:sz="6" w:space="0" w:color="auto"/>
              <w:bottom w:val="outset" w:sz="6" w:space="0" w:color="auto"/>
              <w:right w:val="outset" w:sz="6" w:space="0" w:color="auto"/>
            </w:tcBorders>
          </w:tcPr>
          <w:p w:rsidR="00764722" w:rsidRPr="00DD4C79" w:rsidRDefault="00D77384" w:rsidP="0032587C">
            <w:pPr>
              <w:pStyle w:val="naiskr"/>
              <w:ind w:right="126" w:firstLine="459"/>
              <w:jc w:val="both"/>
              <w:rPr>
                <w:sz w:val="28"/>
                <w:szCs w:val="28"/>
              </w:rPr>
            </w:pPr>
            <w:r w:rsidRPr="00DD4C79">
              <w:rPr>
                <w:sz w:val="28"/>
                <w:szCs w:val="28"/>
              </w:rPr>
              <w:lastRenderedPageBreak/>
              <w:t>Fiziskas un juridiskas p</w:t>
            </w:r>
            <w:r w:rsidR="00977483" w:rsidRPr="00DD4C79">
              <w:rPr>
                <w:sz w:val="28"/>
                <w:szCs w:val="28"/>
              </w:rPr>
              <w:t>ersonas, kuras vēlas iegādāties  valsts vērtspapīrus</w:t>
            </w:r>
            <w:r w:rsidR="00B61ECF" w:rsidRPr="00DD4C79">
              <w:rPr>
                <w:sz w:val="28"/>
                <w:szCs w:val="28"/>
              </w:rPr>
              <w:t xml:space="preserve">, </w:t>
            </w:r>
            <w:proofErr w:type="spellStart"/>
            <w:r w:rsidR="00B61ECF" w:rsidRPr="00DD4C79">
              <w:rPr>
                <w:sz w:val="28"/>
                <w:szCs w:val="28"/>
              </w:rPr>
              <w:t>t.i</w:t>
            </w:r>
            <w:proofErr w:type="spellEnd"/>
            <w:r w:rsidR="00B61ECF" w:rsidRPr="00DD4C79">
              <w:rPr>
                <w:sz w:val="28"/>
                <w:szCs w:val="28"/>
              </w:rPr>
              <w:t>. obligācijas</w:t>
            </w:r>
            <w:r w:rsidR="00EA38F8" w:rsidRPr="00DD4C79">
              <w:rPr>
                <w:sz w:val="28"/>
                <w:szCs w:val="28"/>
              </w:rPr>
              <w:t xml:space="preserve"> – potenciālie valsts vērtspapīru ieguldītāji</w:t>
            </w:r>
            <w:r w:rsidRPr="00DD4C79">
              <w:rPr>
                <w:sz w:val="28"/>
                <w:szCs w:val="28"/>
              </w:rPr>
              <w:t xml:space="preserve">, kā arī licencētie finanšu tirgus dalībnieki, kas veic operācijas ar valsts </w:t>
            </w:r>
            <w:r w:rsidRPr="00DD4C79">
              <w:rPr>
                <w:sz w:val="28"/>
                <w:szCs w:val="28"/>
              </w:rPr>
              <w:lastRenderedPageBreak/>
              <w:t xml:space="preserve">vērtspapīriem savā vai klientu vārdā vai nodrošina valsts vērtspapīru sākotnējai izvietošanai un apgrozībai nepieciešamās infrastruktūras uzturēšanu. </w:t>
            </w:r>
          </w:p>
          <w:p w:rsidR="000B001F" w:rsidRPr="00DD4C79" w:rsidRDefault="000B001F" w:rsidP="0032587C">
            <w:pPr>
              <w:pStyle w:val="naiskr"/>
              <w:ind w:right="126" w:firstLine="459"/>
              <w:jc w:val="both"/>
              <w:rPr>
                <w:sz w:val="28"/>
                <w:szCs w:val="28"/>
              </w:rPr>
            </w:pPr>
          </w:p>
        </w:tc>
      </w:tr>
      <w:tr w:rsidR="00DD4C79" w:rsidRPr="00DD4C79" w:rsidTr="0032587C">
        <w:trPr>
          <w:trHeight w:val="517"/>
          <w:tblCellSpacing w:w="0" w:type="dxa"/>
        </w:trPr>
        <w:tc>
          <w:tcPr>
            <w:tcW w:w="481" w:type="dxa"/>
            <w:tcBorders>
              <w:top w:val="outset" w:sz="6" w:space="0" w:color="auto"/>
              <w:left w:val="outset" w:sz="6" w:space="0" w:color="auto"/>
              <w:bottom w:val="outset" w:sz="6" w:space="0" w:color="auto"/>
              <w:right w:val="outset" w:sz="6" w:space="0" w:color="auto"/>
            </w:tcBorders>
          </w:tcPr>
          <w:p w:rsidR="00764722" w:rsidRPr="00DD4C79" w:rsidRDefault="005D18C0" w:rsidP="00E47744">
            <w:pPr>
              <w:pStyle w:val="naiskr"/>
              <w:rPr>
                <w:sz w:val="28"/>
                <w:szCs w:val="28"/>
              </w:rPr>
            </w:pPr>
            <w:r w:rsidRPr="00DD4C79">
              <w:rPr>
                <w:sz w:val="28"/>
                <w:szCs w:val="28"/>
              </w:rPr>
              <w:lastRenderedPageBreak/>
              <w:t>2</w:t>
            </w:r>
            <w:r w:rsidR="00764722" w:rsidRPr="00DD4C79">
              <w:rPr>
                <w:sz w:val="28"/>
                <w:szCs w:val="28"/>
              </w:rPr>
              <w:t>.</w:t>
            </w:r>
          </w:p>
        </w:tc>
        <w:tc>
          <w:tcPr>
            <w:tcW w:w="2511"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t> Tiesiskā regulējuma ietekme</w:t>
            </w:r>
            <w:r w:rsidR="005074BC" w:rsidRPr="00DD4C79">
              <w:rPr>
                <w:sz w:val="28"/>
                <w:szCs w:val="28"/>
              </w:rPr>
              <w:t xml:space="preserve"> uz tautsaimniecību un administratīvo slogu</w:t>
            </w:r>
          </w:p>
        </w:tc>
        <w:tc>
          <w:tcPr>
            <w:tcW w:w="6662" w:type="dxa"/>
            <w:tcBorders>
              <w:top w:val="outset" w:sz="6" w:space="0" w:color="auto"/>
              <w:left w:val="outset" w:sz="6" w:space="0" w:color="auto"/>
              <w:bottom w:val="outset" w:sz="6" w:space="0" w:color="auto"/>
              <w:right w:val="outset" w:sz="6" w:space="0" w:color="auto"/>
            </w:tcBorders>
          </w:tcPr>
          <w:p w:rsidR="007F2712" w:rsidRPr="00DD4C79" w:rsidRDefault="007F2712" w:rsidP="0032587C">
            <w:pPr>
              <w:pStyle w:val="naiskr"/>
              <w:ind w:right="126" w:firstLine="459"/>
              <w:jc w:val="both"/>
              <w:rPr>
                <w:sz w:val="28"/>
                <w:szCs w:val="28"/>
              </w:rPr>
            </w:pPr>
            <w:r w:rsidRPr="00DD4C79">
              <w:rPr>
                <w:sz w:val="28"/>
                <w:szCs w:val="28"/>
              </w:rPr>
              <w:t>Ar CAC nosacījumu ievie</w:t>
            </w:r>
            <w:r w:rsidR="00490194" w:rsidRPr="00DD4C79">
              <w:rPr>
                <w:sz w:val="28"/>
                <w:szCs w:val="28"/>
              </w:rPr>
              <w:t>šanu</w:t>
            </w:r>
            <w:r w:rsidR="00F713BE" w:rsidRPr="00DD4C79">
              <w:rPr>
                <w:sz w:val="28"/>
                <w:szCs w:val="28"/>
              </w:rPr>
              <w:t xml:space="preserve"> tiks</w:t>
            </w:r>
            <w:r w:rsidRPr="00DD4C79">
              <w:rPr>
                <w:sz w:val="28"/>
                <w:szCs w:val="28"/>
              </w:rPr>
              <w:t xml:space="preserve"> </w:t>
            </w:r>
            <w:r w:rsidR="00F713BE" w:rsidRPr="00DD4C79">
              <w:rPr>
                <w:sz w:val="28"/>
                <w:szCs w:val="28"/>
              </w:rPr>
              <w:t>nostiprināta</w:t>
            </w:r>
            <w:r w:rsidRPr="00DD4C79">
              <w:rPr>
                <w:sz w:val="28"/>
                <w:szCs w:val="28"/>
              </w:rPr>
              <w:t xml:space="preserve"> procedūra sarunu organizēšanai starp investoriem un emitentu</w:t>
            </w:r>
            <w:r w:rsidR="00490194" w:rsidRPr="00DD4C79">
              <w:rPr>
                <w:sz w:val="28"/>
                <w:szCs w:val="28"/>
              </w:rPr>
              <w:t xml:space="preserve">, </w:t>
            </w:r>
            <w:r w:rsidR="00BC1445" w:rsidRPr="00DD4C79">
              <w:rPr>
                <w:sz w:val="28"/>
                <w:szCs w:val="28"/>
              </w:rPr>
              <w:t xml:space="preserve">izveidojot investoru aizsardzības mehānismu, </w:t>
            </w:r>
            <w:r w:rsidR="00F713BE" w:rsidRPr="00DD4C79">
              <w:rPr>
                <w:sz w:val="28"/>
                <w:szCs w:val="28"/>
              </w:rPr>
              <w:t xml:space="preserve">situācijā, kad </w:t>
            </w:r>
            <w:r w:rsidR="00490194" w:rsidRPr="00DD4C79">
              <w:rPr>
                <w:sz w:val="28"/>
                <w:szCs w:val="28"/>
              </w:rPr>
              <w:t xml:space="preserve">valsts </w:t>
            </w:r>
            <w:r w:rsidR="00575972" w:rsidRPr="00DD4C79">
              <w:rPr>
                <w:sz w:val="28"/>
                <w:szCs w:val="28"/>
              </w:rPr>
              <w:t xml:space="preserve">ilgstoši </w:t>
            </w:r>
            <w:r w:rsidR="00490194" w:rsidRPr="00DD4C79">
              <w:rPr>
                <w:sz w:val="28"/>
                <w:szCs w:val="28"/>
              </w:rPr>
              <w:t>nevar nokārtot parāda saistības un ir jāvienojas par parāda restrukturizāciju.</w:t>
            </w:r>
          </w:p>
          <w:p w:rsidR="008A18AB" w:rsidRPr="00DD4C79" w:rsidRDefault="008A18AB" w:rsidP="0032587C">
            <w:pPr>
              <w:pStyle w:val="naiskr"/>
              <w:ind w:right="126" w:firstLine="459"/>
              <w:jc w:val="both"/>
              <w:rPr>
                <w:sz w:val="28"/>
                <w:szCs w:val="28"/>
              </w:rPr>
            </w:pPr>
            <w:r w:rsidRPr="00DD4C79">
              <w:rPr>
                <w:sz w:val="28"/>
                <w:szCs w:val="28"/>
              </w:rPr>
              <w:t xml:space="preserve">CAC nosacījumu izmantošana </w:t>
            </w:r>
            <w:r w:rsidR="008E1145" w:rsidRPr="00DD4C79">
              <w:rPr>
                <w:sz w:val="28"/>
                <w:szCs w:val="28"/>
              </w:rPr>
              <w:t xml:space="preserve"> valsts </w:t>
            </w:r>
            <w:r w:rsidRPr="00DD4C79">
              <w:rPr>
                <w:sz w:val="28"/>
                <w:szCs w:val="28"/>
              </w:rPr>
              <w:t>saistību neizpildes gadījumā emitentam radīs papildu administratīvo slogu. Arī investoriem</w:t>
            </w:r>
            <w:r w:rsidR="00515845" w:rsidRPr="00DD4C79">
              <w:rPr>
                <w:sz w:val="28"/>
                <w:szCs w:val="28"/>
              </w:rPr>
              <w:t xml:space="preserve"> CAC normas</w:t>
            </w:r>
            <w:r w:rsidRPr="00DD4C79">
              <w:rPr>
                <w:sz w:val="28"/>
                <w:szCs w:val="28"/>
              </w:rPr>
              <w:t xml:space="preserve"> būs papildu administratīvais slogs, tomēr </w:t>
            </w:r>
            <w:r w:rsidR="00515845" w:rsidRPr="00DD4C79">
              <w:rPr>
                <w:sz w:val="28"/>
                <w:szCs w:val="28"/>
              </w:rPr>
              <w:t xml:space="preserve">vienlaicīgi tās dod </w:t>
            </w:r>
            <w:r w:rsidRPr="00DD4C79">
              <w:rPr>
                <w:sz w:val="28"/>
                <w:szCs w:val="28"/>
              </w:rPr>
              <w:t xml:space="preserve">zināmu noteiktību par </w:t>
            </w:r>
            <w:r w:rsidR="00515845" w:rsidRPr="00DD4C79">
              <w:rPr>
                <w:sz w:val="28"/>
                <w:szCs w:val="28"/>
              </w:rPr>
              <w:t xml:space="preserve">sagaidāmo </w:t>
            </w:r>
            <w:r w:rsidRPr="00DD4C79">
              <w:rPr>
                <w:sz w:val="28"/>
                <w:szCs w:val="28"/>
              </w:rPr>
              <w:t>rīcību</w:t>
            </w:r>
            <w:r w:rsidR="00515845" w:rsidRPr="00DD4C79">
              <w:rPr>
                <w:sz w:val="28"/>
                <w:szCs w:val="28"/>
              </w:rPr>
              <w:t>, tiesībām un pienākumiem, kā arī  procesa gaitu.</w:t>
            </w:r>
          </w:p>
          <w:p w:rsidR="008D2AD2" w:rsidRPr="00DD4C79" w:rsidRDefault="00490194" w:rsidP="0032587C">
            <w:pPr>
              <w:pStyle w:val="naiskr"/>
              <w:ind w:right="126" w:firstLine="459"/>
              <w:jc w:val="both"/>
              <w:rPr>
                <w:sz w:val="28"/>
                <w:szCs w:val="28"/>
              </w:rPr>
            </w:pPr>
            <w:r w:rsidRPr="00DD4C79">
              <w:rPr>
                <w:sz w:val="28"/>
                <w:szCs w:val="28"/>
              </w:rPr>
              <w:t>Attiecīb</w:t>
            </w:r>
            <w:r w:rsidR="00B61ECF" w:rsidRPr="00DD4C79">
              <w:rPr>
                <w:sz w:val="28"/>
                <w:szCs w:val="28"/>
              </w:rPr>
              <w:t>ā</w:t>
            </w:r>
            <w:r w:rsidRPr="00DD4C79">
              <w:rPr>
                <w:sz w:val="28"/>
                <w:szCs w:val="28"/>
              </w:rPr>
              <w:t xml:space="preserve"> uz </w:t>
            </w:r>
            <w:proofErr w:type="spellStart"/>
            <w:r w:rsidRPr="00DD4C79">
              <w:rPr>
                <w:sz w:val="28"/>
                <w:szCs w:val="28"/>
              </w:rPr>
              <w:t>krājobligācijām</w:t>
            </w:r>
            <w:proofErr w:type="spellEnd"/>
            <w:r w:rsidRPr="00DD4C79">
              <w:rPr>
                <w:sz w:val="28"/>
                <w:szCs w:val="28"/>
              </w:rPr>
              <w:t xml:space="preserve"> </w:t>
            </w:r>
            <w:r w:rsidR="00D456C3" w:rsidRPr="00DD4C79">
              <w:rPr>
                <w:sz w:val="28"/>
                <w:szCs w:val="28"/>
              </w:rPr>
              <w:t xml:space="preserve">jaunās tiesību normas </w:t>
            </w:r>
            <w:r w:rsidRPr="00DD4C79">
              <w:rPr>
                <w:sz w:val="28"/>
                <w:szCs w:val="28"/>
              </w:rPr>
              <w:t xml:space="preserve"> </w:t>
            </w:r>
            <w:r w:rsidR="00F713BE" w:rsidRPr="00DD4C79">
              <w:rPr>
                <w:sz w:val="28"/>
                <w:szCs w:val="28"/>
              </w:rPr>
              <w:t>nodrošin</w:t>
            </w:r>
            <w:r w:rsidR="00B61ECF" w:rsidRPr="00DD4C79">
              <w:rPr>
                <w:sz w:val="28"/>
                <w:szCs w:val="28"/>
              </w:rPr>
              <w:t>ās</w:t>
            </w:r>
            <w:r w:rsidR="00F713BE" w:rsidRPr="00DD4C79">
              <w:rPr>
                <w:sz w:val="28"/>
                <w:szCs w:val="28"/>
              </w:rPr>
              <w:t xml:space="preserve"> normatīvo regulējumu krājobligāciju dzēšanai, kad tās tiek atzītas par bezmantinieka mantu un ir piekritīgas valstij.</w:t>
            </w:r>
          </w:p>
          <w:p w:rsidR="008A18AB" w:rsidRPr="00DD4C79" w:rsidRDefault="008E1145" w:rsidP="008E1145">
            <w:pPr>
              <w:pStyle w:val="naiskr"/>
              <w:ind w:right="126" w:firstLine="459"/>
              <w:jc w:val="both"/>
              <w:rPr>
                <w:sz w:val="28"/>
                <w:szCs w:val="28"/>
              </w:rPr>
            </w:pPr>
            <w:r w:rsidRPr="00DD4C79">
              <w:rPr>
                <w:sz w:val="28"/>
                <w:szCs w:val="28"/>
              </w:rPr>
              <w:t>T</w:t>
            </w:r>
            <w:r w:rsidR="008A18AB" w:rsidRPr="00DD4C79">
              <w:rPr>
                <w:sz w:val="28"/>
                <w:szCs w:val="28"/>
              </w:rPr>
              <w:t>iesiskais regulējums attiecībā uz</w:t>
            </w:r>
            <w:r w:rsidRPr="00DD4C79">
              <w:rPr>
                <w:sz w:val="28"/>
                <w:szCs w:val="28"/>
              </w:rPr>
              <w:t xml:space="preserve"> </w:t>
            </w:r>
            <w:proofErr w:type="spellStart"/>
            <w:r w:rsidRPr="00DD4C79">
              <w:rPr>
                <w:sz w:val="28"/>
                <w:szCs w:val="28"/>
              </w:rPr>
              <w:t>krājobligācijām</w:t>
            </w:r>
            <w:proofErr w:type="spellEnd"/>
            <w:r w:rsidR="008A18AB" w:rsidRPr="00DD4C79">
              <w:rPr>
                <w:sz w:val="28"/>
                <w:szCs w:val="28"/>
              </w:rPr>
              <w:t xml:space="preserve"> </w:t>
            </w:r>
            <w:r w:rsidRPr="00DD4C79">
              <w:rPr>
                <w:sz w:val="28"/>
                <w:szCs w:val="28"/>
              </w:rPr>
              <w:t>šajā noteikumu projektā nemainīs administratīvo slogu</w:t>
            </w:r>
            <w:r w:rsidR="008A18AB" w:rsidRPr="00DD4C79">
              <w:rPr>
                <w:sz w:val="28"/>
                <w:szCs w:val="28"/>
              </w:rPr>
              <w:t>.</w:t>
            </w:r>
          </w:p>
        </w:tc>
      </w:tr>
      <w:tr w:rsidR="00DD4C79" w:rsidRPr="00DD4C79" w:rsidTr="0032587C">
        <w:trPr>
          <w:trHeight w:val="357"/>
          <w:tblCellSpacing w:w="0" w:type="dxa"/>
        </w:trPr>
        <w:tc>
          <w:tcPr>
            <w:tcW w:w="481"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t> </w:t>
            </w:r>
            <w:r w:rsidR="005074BC" w:rsidRPr="00DD4C79">
              <w:rPr>
                <w:sz w:val="28"/>
                <w:szCs w:val="28"/>
              </w:rPr>
              <w:t>3</w:t>
            </w:r>
            <w:r w:rsidRPr="00DD4C79">
              <w:rPr>
                <w:sz w:val="28"/>
                <w:szCs w:val="28"/>
              </w:rPr>
              <w:t>.</w:t>
            </w:r>
          </w:p>
        </w:tc>
        <w:tc>
          <w:tcPr>
            <w:tcW w:w="2511" w:type="dxa"/>
            <w:tcBorders>
              <w:top w:val="outset" w:sz="6" w:space="0" w:color="auto"/>
              <w:left w:val="outset" w:sz="6" w:space="0" w:color="auto"/>
              <w:bottom w:val="outset" w:sz="6" w:space="0" w:color="auto"/>
              <w:right w:val="outset" w:sz="6" w:space="0" w:color="auto"/>
            </w:tcBorders>
          </w:tcPr>
          <w:p w:rsidR="000B001F" w:rsidRPr="00DD4C79" w:rsidRDefault="00764722" w:rsidP="00E47744">
            <w:pPr>
              <w:pStyle w:val="naiskr"/>
              <w:rPr>
                <w:sz w:val="28"/>
                <w:szCs w:val="28"/>
              </w:rPr>
            </w:pPr>
            <w:r w:rsidRPr="00DD4C79">
              <w:rPr>
                <w:sz w:val="28"/>
                <w:szCs w:val="28"/>
              </w:rPr>
              <w:t> </w:t>
            </w:r>
          </w:p>
          <w:p w:rsidR="00764722" w:rsidRPr="00DD4C79" w:rsidRDefault="00764722" w:rsidP="00E47744">
            <w:pPr>
              <w:pStyle w:val="naiskr"/>
              <w:rPr>
                <w:sz w:val="28"/>
                <w:szCs w:val="28"/>
              </w:rPr>
            </w:pPr>
            <w:r w:rsidRPr="00DD4C79">
              <w:rPr>
                <w:sz w:val="28"/>
                <w:szCs w:val="28"/>
              </w:rPr>
              <w:t>Administratīvo izmaksu monetārs novērtējums</w:t>
            </w:r>
          </w:p>
        </w:tc>
        <w:tc>
          <w:tcPr>
            <w:tcW w:w="6662" w:type="dxa"/>
            <w:tcBorders>
              <w:top w:val="outset" w:sz="6" w:space="0" w:color="auto"/>
              <w:left w:val="outset" w:sz="6" w:space="0" w:color="auto"/>
              <w:bottom w:val="outset" w:sz="6" w:space="0" w:color="auto"/>
              <w:right w:val="outset" w:sz="6" w:space="0" w:color="auto"/>
            </w:tcBorders>
          </w:tcPr>
          <w:p w:rsidR="000B001F" w:rsidRPr="00DD4C79" w:rsidRDefault="000B001F" w:rsidP="006E1E51">
            <w:pPr>
              <w:pStyle w:val="naiskr"/>
              <w:ind w:firstLine="459"/>
              <w:jc w:val="both"/>
              <w:rPr>
                <w:sz w:val="28"/>
                <w:szCs w:val="28"/>
              </w:rPr>
            </w:pPr>
          </w:p>
          <w:p w:rsidR="008A18AB" w:rsidRPr="00DD4C79" w:rsidRDefault="00764722" w:rsidP="006E1E51">
            <w:pPr>
              <w:pStyle w:val="naiskr"/>
              <w:ind w:firstLine="459"/>
              <w:jc w:val="both"/>
              <w:rPr>
                <w:sz w:val="28"/>
                <w:szCs w:val="28"/>
              </w:rPr>
            </w:pPr>
            <w:r w:rsidRPr="00DD4C79">
              <w:rPr>
                <w:sz w:val="28"/>
                <w:szCs w:val="28"/>
              </w:rPr>
              <w:t> </w:t>
            </w:r>
            <w:r w:rsidR="008A18AB" w:rsidRPr="00DD4C79">
              <w:rPr>
                <w:sz w:val="28"/>
                <w:szCs w:val="28"/>
              </w:rPr>
              <w:t xml:space="preserve">Ņemot vērā mazo varbūtību, ka </w:t>
            </w:r>
            <w:r w:rsidR="00406A5E" w:rsidRPr="00DD4C79">
              <w:rPr>
                <w:sz w:val="28"/>
                <w:szCs w:val="28"/>
              </w:rPr>
              <w:t xml:space="preserve">emitentam </w:t>
            </w:r>
            <w:r w:rsidR="008A18AB" w:rsidRPr="00DD4C79">
              <w:rPr>
                <w:sz w:val="28"/>
                <w:szCs w:val="28"/>
              </w:rPr>
              <w:t xml:space="preserve">iestāsies saistību neizpilde </w:t>
            </w:r>
            <w:r w:rsidR="00406A5E" w:rsidRPr="00DD4C79">
              <w:rPr>
                <w:sz w:val="28"/>
                <w:szCs w:val="28"/>
              </w:rPr>
              <w:t>gadījums</w:t>
            </w:r>
            <w:r w:rsidR="008A18AB" w:rsidRPr="00DD4C79">
              <w:rPr>
                <w:sz w:val="28"/>
                <w:szCs w:val="28"/>
              </w:rPr>
              <w:t xml:space="preserve">, tad ir apgrūtināti veikt </w:t>
            </w:r>
            <w:r w:rsidR="00406A5E" w:rsidRPr="00DD4C79">
              <w:rPr>
                <w:sz w:val="28"/>
                <w:szCs w:val="28"/>
              </w:rPr>
              <w:t>visu administratīvo</w:t>
            </w:r>
            <w:r w:rsidR="008A18AB" w:rsidRPr="00DD4C79">
              <w:rPr>
                <w:sz w:val="28"/>
                <w:szCs w:val="28"/>
              </w:rPr>
              <w:t xml:space="preserve"> izmaksu monetāro novērtējumu. </w:t>
            </w:r>
          </w:p>
          <w:p w:rsidR="00764722" w:rsidRPr="00DD4C79" w:rsidRDefault="008A18AB" w:rsidP="006E1E51">
            <w:pPr>
              <w:pStyle w:val="naiskr"/>
              <w:ind w:firstLine="459"/>
              <w:jc w:val="both"/>
              <w:rPr>
                <w:sz w:val="28"/>
                <w:szCs w:val="28"/>
              </w:rPr>
            </w:pPr>
            <w:r w:rsidRPr="00DD4C79">
              <w:rPr>
                <w:sz w:val="28"/>
                <w:szCs w:val="28"/>
              </w:rPr>
              <w:t xml:space="preserve">Ar </w:t>
            </w:r>
            <w:proofErr w:type="spellStart"/>
            <w:r w:rsidRPr="00DD4C79">
              <w:rPr>
                <w:sz w:val="28"/>
                <w:szCs w:val="28"/>
              </w:rPr>
              <w:t>krājobligācijām</w:t>
            </w:r>
            <w:proofErr w:type="spellEnd"/>
            <w:r w:rsidRPr="00DD4C79">
              <w:rPr>
                <w:sz w:val="28"/>
                <w:szCs w:val="28"/>
              </w:rPr>
              <w:t xml:space="preserve"> saistītās jaunās tiesību normas neradīs papildu administratīvās izmaksas. </w:t>
            </w:r>
          </w:p>
          <w:p w:rsidR="000B001F" w:rsidRPr="00DD4C79" w:rsidRDefault="000B001F" w:rsidP="006E1E51">
            <w:pPr>
              <w:pStyle w:val="naiskr"/>
              <w:ind w:firstLine="459"/>
              <w:jc w:val="both"/>
              <w:rPr>
                <w:sz w:val="28"/>
                <w:szCs w:val="28"/>
              </w:rPr>
            </w:pPr>
          </w:p>
        </w:tc>
      </w:tr>
      <w:tr w:rsidR="00DD4C79" w:rsidRPr="00DD4C79" w:rsidTr="0032587C">
        <w:trPr>
          <w:tblCellSpacing w:w="0" w:type="dxa"/>
        </w:trPr>
        <w:tc>
          <w:tcPr>
            <w:tcW w:w="481"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t> </w:t>
            </w:r>
            <w:r w:rsidR="00363520" w:rsidRPr="00DD4C79">
              <w:rPr>
                <w:sz w:val="28"/>
                <w:szCs w:val="28"/>
              </w:rPr>
              <w:t>4</w:t>
            </w:r>
            <w:r w:rsidRPr="00DD4C79">
              <w:rPr>
                <w:sz w:val="28"/>
                <w:szCs w:val="28"/>
              </w:rPr>
              <w:t>.</w:t>
            </w:r>
          </w:p>
        </w:tc>
        <w:tc>
          <w:tcPr>
            <w:tcW w:w="2511"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t> Cita informācija</w:t>
            </w:r>
          </w:p>
        </w:tc>
        <w:tc>
          <w:tcPr>
            <w:tcW w:w="6662" w:type="dxa"/>
            <w:tcBorders>
              <w:top w:val="outset" w:sz="6" w:space="0" w:color="auto"/>
              <w:left w:val="outset" w:sz="6" w:space="0" w:color="auto"/>
              <w:bottom w:val="outset" w:sz="6" w:space="0" w:color="auto"/>
              <w:right w:val="outset" w:sz="6" w:space="0" w:color="auto"/>
            </w:tcBorders>
          </w:tcPr>
          <w:p w:rsidR="00764722" w:rsidRPr="00DD4C79" w:rsidRDefault="00764722" w:rsidP="00D7531E">
            <w:pPr>
              <w:pStyle w:val="naiskr"/>
              <w:ind w:firstLine="459"/>
              <w:rPr>
                <w:sz w:val="28"/>
                <w:szCs w:val="28"/>
              </w:rPr>
            </w:pPr>
            <w:r w:rsidRPr="00DD4C79">
              <w:rPr>
                <w:sz w:val="28"/>
                <w:szCs w:val="28"/>
              </w:rPr>
              <w:t> </w:t>
            </w:r>
            <w:r w:rsidR="00742CB1" w:rsidRPr="00DD4C79">
              <w:rPr>
                <w:sz w:val="28"/>
                <w:szCs w:val="28"/>
              </w:rPr>
              <w:t>Nav</w:t>
            </w:r>
          </w:p>
        </w:tc>
      </w:tr>
    </w:tbl>
    <w:p w:rsidR="00D60C6F" w:rsidRPr="00DD4C79" w:rsidRDefault="00D60C6F" w:rsidP="00764722">
      <w:pPr>
        <w:pStyle w:val="naiskr"/>
        <w:rPr>
          <w:i/>
          <w:iCs/>
          <w:sz w:val="28"/>
          <w:szCs w:val="28"/>
        </w:rPr>
        <w:sectPr w:rsidR="00D60C6F" w:rsidRPr="00DD4C79" w:rsidSect="00715B06">
          <w:headerReference w:type="default" r:id="rId9"/>
          <w:footerReference w:type="default" r:id="rId10"/>
          <w:footerReference w:type="first" r:id="rId11"/>
          <w:type w:val="continuous"/>
          <w:pgSz w:w="11906" w:h="16838"/>
          <w:pgMar w:top="851" w:right="567" w:bottom="851" w:left="1418" w:header="709" w:footer="709" w:gutter="0"/>
          <w:cols w:space="708"/>
          <w:titlePg/>
          <w:docGrid w:linePitch="360"/>
        </w:sectPr>
      </w:pPr>
    </w:p>
    <w:p w:rsidR="00764722" w:rsidRPr="00DD4C79" w:rsidRDefault="00764722" w:rsidP="00764722">
      <w:pPr>
        <w:pStyle w:val="naiskr"/>
        <w:rPr>
          <w:i/>
          <w:iCs/>
          <w:sz w:val="28"/>
          <w:szCs w:val="28"/>
        </w:rPr>
      </w:pPr>
    </w:p>
    <w:tbl>
      <w:tblPr>
        <w:tblW w:w="9782"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94"/>
        <w:gridCol w:w="4131"/>
        <w:gridCol w:w="4257"/>
      </w:tblGrid>
      <w:tr w:rsidR="00DD4C79" w:rsidRPr="00DD4C79" w:rsidTr="00715B06">
        <w:trPr>
          <w:tblCellSpacing w:w="0" w:type="dxa"/>
        </w:trPr>
        <w:tc>
          <w:tcPr>
            <w:tcW w:w="9782" w:type="dxa"/>
            <w:gridSpan w:val="3"/>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nod"/>
              <w:rPr>
                <w:sz w:val="28"/>
                <w:szCs w:val="28"/>
              </w:rPr>
            </w:pPr>
            <w:r w:rsidRPr="00DD4C79">
              <w:rPr>
                <w:sz w:val="28"/>
                <w:szCs w:val="28"/>
              </w:rPr>
              <w:t> IV. Tiesību akta projekta ietekme uz spēkā esošo tiesību normu sistēmu</w:t>
            </w:r>
          </w:p>
        </w:tc>
      </w:tr>
      <w:tr w:rsidR="00DD4C79" w:rsidRPr="00DD4C79" w:rsidTr="00715B06">
        <w:trPr>
          <w:tblCellSpacing w:w="0" w:type="dxa"/>
        </w:trPr>
        <w:tc>
          <w:tcPr>
            <w:tcW w:w="1394"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t> 1.</w:t>
            </w:r>
          </w:p>
        </w:tc>
        <w:tc>
          <w:tcPr>
            <w:tcW w:w="4131"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t>Nepieciešamie saistītie tiesību aktu projekti</w:t>
            </w:r>
          </w:p>
        </w:tc>
        <w:tc>
          <w:tcPr>
            <w:tcW w:w="4257" w:type="dxa"/>
            <w:tcBorders>
              <w:top w:val="outset" w:sz="6" w:space="0" w:color="auto"/>
              <w:left w:val="outset" w:sz="6" w:space="0" w:color="auto"/>
              <w:bottom w:val="outset" w:sz="6" w:space="0" w:color="auto"/>
              <w:right w:val="outset" w:sz="6" w:space="0" w:color="auto"/>
            </w:tcBorders>
          </w:tcPr>
          <w:p w:rsidR="00764722" w:rsidRPr="00DD4C79" w:rsidRDefault="00104776" w:rsidP="00D7531E">
            <w:pPr>
              <w:pStyle w:val="naiskr"/>
              <w:ind w:firstLine="386"/>
              <w:rPr>
                <w:sz w:val="28"/>
                <w:szCs w:val="28"/>
              </w:rPr>
            </w:pPr>
            <w:r w:rsidRPr="00DD4C79">
              <w:rPr>
                <w:sz w:val="28"/>
                <w:szCs w:val="28"/>
              </w:rPr>
              <w:t xml:space="preserve">Nav </w:t>
            </w:r>
          </w:p>
        </w:tc>
      </w:tr>
      <w:tr w:rsidR="00DD4C79" w:rsidRPr="00DD4C79" w:rsidTr="00715B06">
        <w:trPr>
          <w:tblCellSpacing w:w="0" w:type="dxa"/>
        </w:trPr>
        <w:tc>
          <w:tcPr>
            <w:tcW w:w="1394" w:type="dxa"/>
            <w:tcBorders>
              <w:top w:val="outset" w:sz="6" w:space="0" w:color="auto"/>
              <w:left w:val="outset" w:sz="6" w:space="0" w:color="auto"/>
              <w:bottom w:val="outset" w:sz="6" w:space="0" w:color="auto"/>
              <w:right w:val="outset" w:sz="6" w:space="0" w:color="auto"/>
            </w:tcBorders>
          </w:tcPr>
          <w:p w:rsidR="00906B36" w:rsidRPr="00DD4C79" w:rsidRDefault="00906B36" w:rsidP="00E47744">
            <w:pPr>
              <w:pStyle w:val="naiskr"/>
              <w:rPr>
                <w:sz w:val="28"/>
                <w:szCs w:val="28"/>
              </w:rPr>
            </w:pPr>
            <w:r w:rsidRPr="00DD4C79">
              <w:rPr>
                <w:sz w:val="28"/>
                <w:szCs w:val="28"/>
              </w:rPr>
              <w:t>2.</w:t>
            </w:r>
          </w:p>
        </w:tc>
        <w:tc>
          <w:tcPr>
            <w:tcW w:w="4131" w:type="dxa"/>
            <w:tcBorders>
              <w:top w:val="outset" w:sz="6" w:space="0" w:color="auto"/>
              <w:left w:val="outset" w:sz="6" w:space="0" w:color="auto"/>
              <w:bottom w:val="outset" w:sz="6" w:space="0" w:color="auto"/>
              <w:right w:val="outset" w:sz="6" w:space="0" w:color="auto"/>
            </w:tcBorders>
          </w:tcPr>
          <w:p w:rsidR="00906B36" w:rsidRPr="00DD4C79" w:rsidRDefault="00906B36" w:rsidP="00E47744">
            <w:pPr>
              <w:pStyle w:val="naiskr"/>
              <w:rPr>
                <w:sz w:val="28"/>
                <w:szCs w:val="28"/>
              </w:rPr>
            </w:pPr>
            <w:r w:rsidRPr="00DD4C79">
              <w:rPr>
                <w:sz w:val="28"/>
                <w:szCs w:val="28"/>
              </w:rPr>
              <w:t>Atbildīgā institūcija</w:t>
            </w:r>
          </w:p>
        </w:tc>
        <w:tc>
          <w:tcPr>
            <w:tcW w:w="4257" w:type="dxa"/>
            <w:tcBorders>
              <w:top w:val="outset" w:sz="6" w:space="0" w:color="auto"/>
              <w:left w:val="outset" w:sz="6" w:space="0" w:color="auto"/>
              <w:bottom w:val="outset" w:sz="6" w:space="0" w:color="auto"/>
              <w:right w:val="outset" w:sz="6" w:space="0" w:color="auto"/>
            </w:tcBorders>
          </w:tcPr>
          <w:p w:rsidR="00906B36" w:rsidRPr="00DD4C79" w:rsidRDefault="00906B36" w:rsidP="00D7531E">
            <w:pPr>
              <w:pStyle w:val="naiskr"/>
              <w:ind w:firstLine="386"/>
              <w:rPr>
                <w:sz w:val="28"/>
                <w:szCs w:val="28"/>
              </w:rPr>
            </w:pPr>
            <w:r w:rsidRPr="00DD4C79">
              <w:rPr>
                <w:sz w:val="28"/>
                <w:szCs w:val="28"/>
              </w:rPr>
              <w:t>Valsts kase</w:t>
            </w:r>
          </w:p>
        </w:tc>
      </w:tr>
      <w:tr w:rsidR="00DD4C79" w:rsidRPr="00DD4C79" w:rsidTr="00715B06">
        <w:trPr>
          <w:tblCellSpacing w:w="0" w:type="dxa"/>
        </w:trPr>
        <w:tc>
          <w:tcPr>
            <w:tcW w:w="1394"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t> </w:t>
            </w:r>
            <w:r w:rsidR="00906B36" w:rsidRPr="00DD4C79">
              <w:rPr>
                <w:sz w:val="28"/>
                <w:szCs w:val="28"/>
              </w:rPr>
              <w:t>3</w:t>
            </w:r>
            <w:r w:rsidRPr="00DD4C79">
              <w:rPr>
                <w:sz w:val="28"/>
                <w:szCs w:val="28"/>
              </w:rPr>
              <w:t>.</w:t>
            </w:r>
          </w:p>
        </w:tc>
        <w:tc>
          <w:tcPr>
            <w:tcW w:w="4131"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t> Cita informācija</w:t>
            </w:r>
          </w:p>
        </w:tc>
        <w:tc>
          <w:tcPr>
            <w:tcW w:w="4257" w:type="dxa"/>
            <w:tcBorders>
              <w:top w:val="outset" w:sz="6" w:space="0" w:color="auto"/>
              <w:left w:val="outset" w:sz="6" w:space="0" w:color="auto"/>
              <w:bottom w:val="outset" w:sz="6" w:space="0" w:color="auto"/>
              <w:right w:val="outset" w:sz="6" w:space="0" w:color="auto"/>
            </w:tcBorders>
          </w:tcPr>
          <w:p w:rsidR="00764722" w:rsidRPr="00DD4C79" w:rsidRDefault="00764722" w:rsidP="00783B12">
            <w:pPr>
              <w:pStyle w:val="naiskr"/>
              <w:ind w:firstLine="386"/>
              <w:jc w:val="both"/>
              <w:rPr>
                <w:sz w:val="28"/>
                <w:szCs w:val="28"/>
              </w:rPr>
            </w:pPr>
          </w:p>
        </w:tc>
      </w:tr>
    </w:tbl>
    <w:p w:rsidR="00764722" w:rsidRPr="00DD4C79" w:rsidRDefault="00764722" w:rsidP="00D74460">
      <w:pPr>
        <w:pStyle w:val="naiskr"/>
        <w:rPr>
          <w:sz w:val="28"/>
          <w:szCs w:val="28"/>
        </w:rPr>
      </w:pPr>
      <w:r w:rsidRPr="00DD4C79">
        <w:rPr>
          <w:sz w:val="28"/>
          <w:szCs w:val="28"/>
        </w:rPr>
        <w:lastRenderedPageBreak/>
        <w:t> </w:t>
      </w:r>
      <w:r w:rsidRPr="00DD4C79">
        <w:rPr>
          <w:b/>
          <w:bCs/>
          <w:sz w:val="28"/>
          <w:szCs w:val="28"/>
        </w:rPr>
        <w:t> </w:t>
      </w:r>
      <w:r w:rsidRPr="00DD4C79">
        <w:rPr>
          <w:sz w:val="28"/>
          <w:szCs w:val="28"/>
        </w:rPr>
        <w:t> </w:t>
      </w: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99"/>
        <w:gridCol w:w="2996"/>
        <w:gridCol w:w="5542"/>
      </w:tblGrid>
      <w:tr w:rsidR="00DD4C79" w:rsidRPr="00DD4C79" w:rsidTr="00715B06">
        <w:trPr>
          <w:tblCellSpacing w:w="0" w:type="dxa"/>
        </w:trPr>
        <w:tc>
          <w:tcPr>
            <w:tcW w:w="9937" w:type="dxa"/>
            <w:gridSpan w:val="3"/>
            <w:tcBorders>
              <w:top w:val="outset" w:sz="6" w:space="0" w:color="auto"/>
              <w:left w:val="outset" w:sz="6" w:space="0" w:color="auto"/>
              <w:bottom w:val="outset" w:sz="6" w:space="0" w:color="auto"/>
              <w:right w:val="outset" w:sz="6" w:space="0" w:color="auto"/>
            </w:tcBorders>
          </w:tcPr>
          <w:p w:rsidR="003342F9" w:rsidRPr="00DD4C79" w:rsidRDefault="003342F9" w:rsidP="002724B6">
            <w:pPr>
              <w:pStyle w:val="naisnod"/>
              <w:rPr>
                <w:sz w:val="28"/>
                <w:szCs w:val="28"/>
              </w:rPr>
            </w:pPr>
            <w:r w:rsidRPr="00DD4C79">
              <w:rPr>
                <w:sz w:val="28"/>
                <w:szCs w:val="28"/>
              </w:rPr>
              <w:t> V. Tiesību akta projekta atbilstība Latvijas Republikas starptautiskajām saistībām</w:t>
            </w:r>
          </w:p>
        </w:tc>
      </w:tr>
      <w:tr w:rsidR="00DD4C79" w:rsidRPr="00DD4C79" w:rsidTr="00715B06">
        <w:trPr>
          <w:tblCellSpacing w:w="0" w:type="dxa"/>
        </w:trPr>
        <w:tc>
          <w:tcPr>
            <w:tcW w:w="1399" w:type="dxa"/>
            <w:tcBorders>
              <w:top w:val="outset" w:sz="6" w:space="0" w:color="auto"/>
              <w:left w:val="outset" w:sz="6" w:space="0" w:color="auto"/>
              <w:bottom w:val="outset" w:sz="6" w:space="0" w:color="auto"/>
              <w:right w:val="outset" w:sz="6" w:space="0" w:color="auto"/>
            </w:tcBorders>
          </w:tcPr>
          <w:p w:rsidR="003342F9" w:rsidRPr="00DD4C79" w:rsidRDefault="003342F9" w:rsidP="002724B6">
            <w:pPr>
              <w:pStyle w:val="naiskr"/>
            </w:pPr>
            <w:r w:rsidRPr="00DD4C79">
              <w:t> 1.</w:t>
            </w:r>
          </w:p>
        </w:tc>
        <w:tc>
          <w:tcPr>
            <w:tcW w:w="2996" w:type="dxa"/>
            <w:tcBorders>
              <w:top w:val="outset" w:sz="6" w:space="0" w:color="auto"/>
              <w:left w:val="outset" w:sz="6" w:space="0" w:color="auto"/>
              <w:bottom w:val="outset" w:sz="6" w:space="0" w:color="auto"/>
              <w:right w:val="outset" w:sz="6" w:space="0" w:color="auto"/>
            </w:tcBorders>
          </w:tcPr>
          <w:p w:rsidR="003342F9" w:rsidRPr="00DD4C79" w:rsidRDefault="003342F9" w:rsidP="002724B6">
            <w:pPr>
              <w:pStyle w:val="naiskr"/>
              <w:rPr>
                <w:sz w:val="28"/>
                <w:szCs w:val="28"/>
              </w:rPr>
            </w:pPr>
            <w:r w:rsidRPr="00DD4C79">
              <w:rPr>
                <w:sz w:val="28"/>
                <w:szCs w:val="28"/>
              </w:rPr>
              <w:t> Saistības pret Eiropas Savienību</w:t>
            </w:r>
          </w:p>
        </w:tc>
        <w:tc>
          <w:tcPr>
            <w:tcW w:w="5542" w:type="dxa"/>
            <w:tcBorders>
              <w:top w:val="outset" w:sz="6" w:space="0" w:color="auto"/>
              <w:left w:val="outset" w:sz="6" w:space="0" w:color="auto"/>
              <w:bottom w:val="outset" w:sz="6" w:space="0" w:color="auto"/>
              <w:right w:val="outset" w:sz="6" w:space="0" w:color="auto"/>
            </w:tcBorders>
          </w:tcPr>
          <w:p w:rsidR="003342F9" w:rsidRPr="00DD4C79" w:rsidRDefault="003342F9" w:rsidP="002724B6">
            <w:pPr>
              <w:pStyle w:val="naiskr"/>
              <w:rPr>
                <w:sz w:val="28"/>
                <w:szCs w:val="28"/>
              </w:rPr>
            </w:pPr>
            <w:r w:rsidRPr="00DD4C79">
              <w:rPr>
                <w:sz w:val="28"/>
                <w:szCs w:val="28"/>
              </w:rPr>
              <w:t> Projekts šo jomu neskar</w:t>
            </w:r>
          </w:p>
        </w:tc>
      </w:tr>
      <w:tr w:rsidR="00DD4C79" w:rsidRPr="00DD4C79" w:rsidTr="00715B06">
        <w:trPr>
          <w:tblCellSpacing w:w="0" w:type="dxa"/>
        </w:trPr>
        <w:tc>
          <w:tcPr>
            <w:tcW w:w="1399" w:type="dxa"/>
            <w:tcBorders>
              <w:top w:val="outset" w:sz="6" w:space="0" w:color="auto"/>
              <w:left w:val="outset" w:sz="6" w:space="0" w:color="auto"/>
              <w:bottom w:val="outset" w:sz="6" w:space="0" w:color="auto"/>
              <w:right w:val="outset" w:sz="6" w:space="0" w:color="auto"/>
            </w:tcBorders>
          </w:tcPr>
          <w:p w:rsidR="003342F9" w:rsidRPr="00DD4C79" w:rsidRDefault="003342F9" w:rsidP="002724B6">
            <w:pPr>
              <w:pStyle w:val="naiskr"/>
            </w:pPr>
            <w:r w:rsidRPr="00DD4C79">
              <w:t> 2.</w:t>
            </w:r>
          </w:p>
        </w:tc>
        <w:tc>
          <w:tcPr>
            <w:tcW w:w="2996" w:type="dxa"/>
            <w:tcBorders>
              <w:top w:val="outset" w:sz="6" w:space="0" w:color="auto"/>
              <w:left w:val="outset" w:sz="6" w:space="0" w:color="auto"/>
              <w:bottom w:val="outset" w:sz="6" w:space="0" w:color="auto"/>
              <w:right w:val="outset" w:sz="6" w:space="0" w:color="auto"/>
            </w:tcBorders>
          </w:tcPr>
          <w:p w:rsidR="003342F9" w:rsidRPr="00DD4C79" w:rsidRDefault="003342F9" w:rsidP="002724B6">
            <w:pPr>
              <w:pStyle w:val="naiskr"/>
              <w:rPr>
                <w:sz w:val="28"/>
                <w:szCs w:val="28"/>
              </w:rPr>
            </w:pPr>
            <w:r w:rsidRPr="00DD4C79">
              <w:rPr>
                <w:sz w:val="28"/>
                <w:szCs w:val="28"/>
              </w:rPr>
              <w:t> Citas starptautiskās saistības</w:t>
            </w:r>
          </w:p>
        </w:tc>
        <w:tc>
          <w:tcPr>
            <w:tcW w:w="5542" w:type="dxa"/>
            <w:tcBorders>
              <w:top w:val="outset" w:sz="6" w:space="0" w:color="auto"/>
              <w:left w:val="outset" w:sz="6" w:space="0" w:color="auto"/>
              <w:bottom w:val="outset" w:sz="6" w:space="0" w:color="auto"/>
              <w:right w:val="outset" w:sz="6" w:space="0" w:color="auto"/>
            </w:tcBorders>
          </w:tcPr>
          <w:p w:rsidR="003342F9" w:rsidRPr="00DD4C79" w:rsidRDefault="003342F9" w:rsidP="002C0892">
            <w:pPr>
              <w:pStyle w:val="naiskr"/>
              <w:jc w:val="both"/>
              <w:rPr>
                <w:sz w:val="28"/>
                <w:szCs w:val="28"/>
              </w:rPr>
            </w:pPr>
            <w:r w:rsidRPr="00DD4C79">
              <w:rPr>
                <w:sz w:val="28"/>
                <w:szCs w:val="28"/>
              </w:rPr>
              <w:t xml:space="preserve">Līguma 12. panta 3. punkts. </w:t>
            </w:r>
          </w:p>
        </w:tc>
      </w:tr>
      <w:tr w:rsidR="00DD4C79" w:rsidRPr="00DD4C79" w:rsidTr="00715B06">
        <w:trPr>
          <w:tblCellSpacing w:w="0" w:type="dxa"/>
        </w:trPr>
        <w:tc>
          <w:tcPr>
            <w:tcW w:w="1399" w:type="dxa"/>
            <w:tcBorders>
              <w:top w:val="outset" w:sz="6" w:space="0" w:color="auto"/>
              <w:left w:val="outset" w:sz="6" w:space="0" w:color="auto"/>
              <w:bottom w:val="outset" w:sz="6" w:space="0" w:color="auto"/>
              <w:right w:val="outset" w:sz="6" w:space="0" w:color="auto"/>
            </w:tcBorders>
          </w:tcPr>
          <w:p w:rsidR="003342F9" w:rsidRPr="00DD4C79" w:rsidRDefault="003342F9" w:rsidP="002724B6">
            <w:pPr>
              <w:pStyle w:val="naiskr"/>
            </w:pPr>
            <w:r w:rsidRPr="00DD4C79">
              <w:t> 3.</w:t>
            </w:r>
          </w:p>
        </w:tc>
        <w:tc>
          <w:tcPr>
            <w:tcW w:w="2996" w:type="dxa"/>
            <w:tcBorders>
              <w:top w:val="outset" w:sz="6" w:space="0" w:color="auto"/>
              <w:left w:val="outset" w:sz="6" w:space="0" w:color="auto"/>
              <w:bottom w:val="outset" w:sz="6" w:space="0" w:color="auto"/>
              <w:right w:val="outset" w:sz="6" w:space="0" w:color="auto"/>
            </w:tcBorders>
          </w:tcPr>
          <w:p w:rsidR="003342F9" w:rsidRPr="00DD4C79" w:rsidRDefault="003342F9" w:rsidP="002724B6">
            <w:pPr>
              <w:pStyle w:val="naiskr"/>
              <w:rPr>
                <w:sz w:val="28"/>
                <w:szCs w:val="28"/>
              </w:rPr>
            </w:pPr>
            <w:r w:rsidRPr="00DD4C79">
              <w:rPr>
                <w:sz w:val="28"/>
                <w:szCs w:val="28"/>
              </w:rPr>
              <w:t> Cita informācija</w:t>
            </w:r>
          </w:p>
        </w:tc>
        <w:tc>
          <w:tcPr>
            <w:tcW w:w="5542" w:type="dxa"/>
            <w:tcBorders>
              <w:top w:val="outset" w:sz="6" w:space="0" w:color="auto"/>
              <w:left w:val="outset" w:sz="6" w:space="0" w:color="auto"/>
              <w:bottom w:val="outset" w:sz="6" w:space="0" w:color="auto"/>
              <w:right w:val="outset" w:sz="6" w:space="0" w:color="auto"/>
            </w:tcBorders>
          </w:tcPr>
          <w:p w:rsidR="003342F9" w:rsidRPr="00DD4C79" w:rsidRDefault="002C0892" w:rsidP="002C0892">
            <w:pPr>
              <w:pStyle w:val="naiskr"/>
              <w:rPr>
                <w:sz w:val="28"/>
                <w:szCs w:val="28"/>
              </w:rPr>
            </w:pPr>
            <w:r w:rsidRPr="00DD4C79">
              <w:rPr>
                <w:sz w:val="28"/>
                <w:szCs w:val="28"/>
              </w:rPr>
              <w:t>Latvijas Republikai jānodrošina Līguma 12. panta 3. punkts izpilde</w:t>
            </w:r>
            <w:r w:rsidR="00E71535" w:rsidRPr="00DD4C79">
              <w:rPr>
                <w:sz w:val="28"/>
                <w:szCs w:val="28"/>
              </w:rPr>
              <w:t>,</w:t>
            </w:r>
            <w:r w:rsidRPr="00DD4C79">
              <w:rPr>
                <w:sz w:val="28"/>
                <w:szCs w:val="28"/>
              </w:rPr>
              <w:t xml:space="preserve"> sākot ar Līguma spēkā stāšanos dienu.</w:t>
            </w:r>
          </w:p>
          <w:p w:rsidR="000B001F" w:rsidRPr="00DD4C79" w:rsidRDefault="000B001F" w:rsidP="002C0892">
            <w:pPr>
              <w:pStyle w:val="naiskr"/>
              <w:rPr>
                <w:sz w:val="28"/>
                <w:szCs w:val="28"/>
              </w:rPr>
            </w:pPr>
          </w:p>
        </w:tc>
      </w:tr>
    </w:tbl>
    <w:p w:rsidR="003342F9" w:rsidRPr="00DD4C79" w:rsidRDefault="003342F9" w:rsidP="003342F9">
      <w:pPr>
        <w:pStyle w:val="naisf"/>
      </w:pPr>
      <w:r w:rsidRPr="00DD4C79">
        <w:t> </w:t>
      </w: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923"/>
      </w:tblGrid>
      <w:tr w:rsidR="00DD4C79" w:rsidRPr="00DD4C79" w:rsidTr="00715B06">
        <w:trPr>
          <w:trHeight w:val="523"/>
          <w:tblCellSpacing w:w="0" w:type="dxa"/>
        </w:trPr>
        <w:tc>
          <w:tcPr>
            <w:tcW w:w="9923" w:type="dxa"/>
            <w:tcBorders>
              <w:top w:val="outset" w:sz="6" w:space="0" w:color="auto"/>
              <w:left w:val="outset" w:sz="6" w:space="0" w:color="auto"/>
              <w:bottom w:val="outset" w:sz="6" w:space="0" w:color="auto"/>
              <w:right w:val="outset" w:sz="6" w:space="0" w:color="auto"/>
            </w:tcBorders>
            <w:vAlign w:val="center"/>
          </w:tcPr>
          <w:p w:rsidR="003342F9" w:rsidRPr="00DD4C79" w:rsidRDefault="003342F9" w:rsidP="002E32A4">
            <w:pPr>
              <w:pStyle w:val="naisnod"/>
              <w:spacing w:before="0" w:after="0"/>
            </w:pPr>
            <w:r w:rsidRPr="00DD4C79">
              <w:rPr>
                <w:sz w:val="28"/>
                <w:szCs w:val="28"/>
              </w:rPr>
              <w:t> </w:t>
            </w:r>
            <w:r w:rsidRPr="00DD4C79">
              <w:t>1.tabula</w:t>
            </w:r>
          </w:p>
          <w:p w:rsidR="003342F9" w:rsidRPr="00DD4C79" w:rsidRDefault="003342F9" w:rsidP="002724B6">
            <w:pPr>
              <w:pStyle w:val="naisnod"/>
              <w:rPr>
                <w:sz w:val="28"/>
                <w:szCs w:val="28"/>
              </w:rPr>
            </w:pPr>
            <w:r w:rsidRPr="00DD4C79">
              <w:t>Tiesību akta projekta atbilstība ES tiesību aktiem</w:t>
            </w:r>
          </w:p>
        </w:tc>
      </w:tr>
      <w:tr w:rsidR="00DD4C79" w:rsidRPr="00DD4C79" w:rsidTr="00715B06">
        <w:trPr>
          <w:trHeight w:val="482"/>
          <w:tblCellSpacing w:w="0" w:type="dxa"/>
        </w:trPr>
        <w:tc>
          <w:tcPr>
            <w:tcW w:w="9923" w:type="dxa"/>
            <w:tcBorders>
              <w:top w:val="outset" w:sz="6" w:space="0" w:color="auto"/>
              <w:left w:val="outset" w:sz="6" w:space="0" w:color="auto"/>
              <w:bottom w:val="outset" w:sz="6" w:space="0" w:color="auto"/>
              <w:right w:val="outset" w:sz="6" w:space="0" w:color="auto"/>
            </w:tcBorders>
            <w:vAlign w:val="center"/>
          </w:tcPr>
          <w:p w:rsidR="00F10123" w:rsidRPr="00DD4C79" w:rsidRDefault="00F10123" w:rsidP="00F10123">
            <w:pPr>
              <w:pStyle w:val="naisc"/>
              <w:rPr>
                <w:sz w:val="28"/>
                <w:szCs w:val="28"/>
              </w:rPr>
            </w:pPr>
            <w:r w:rsidRPr="00DD4C79">
              <w:rPr>
                <w:sz w:val="28"/>
                <w:szCs w:val="28"/>
              </w:rPr>
              <w:t>Nav attiecināms</w:t>
            </w:r>
          </w:p>
        </w:tc>
      </w:tr>
    </w:tbl>
    <w:p w:rsidR="003342F9" w:rsidRPr="00DD4C79" w:rsidRDefault="003342F9" w:rsidP="00D74460">
      <w:pPr>
        <w:pStyle w:val="naiskr"/>
        <w:rPr>
          <w:sz w:val="28"/>
          <w:szCs w:val="28"/>
        </w:rPr>
      </w:pPr>
    </w:p>
    <w:tbl>
      <w:tblPr>
        <w:tblW w:w="0" w:type="auto"/>
        <w:tblCellSpacing w:w="0" w:type="dxa"/>
        <w:tblInd w:w="-54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3"/>
        <w:gridCol w:w="671"/>
        <w:gridCol w:w="1682"/>
        <w:gridCol w:w="849"/>
        <w:gridCol w:w="2432"/>
        <w:gridCol w:w="3875"/>
        <w:gridCol w:w="333"/>
      </w:tblGrid>
      <w:tr w:rsidR="00DD4C79" w:rsidRPr="00DD4C79" w:rsidTr="00D96704">
        <w:trPr>
          <w:gridBefore w:val="1"/>
          <w:wBefore w:w="273" w:type="dxa"/>
          <w:trHeight w:val="792"/>
          <w:tblCellSpacing w:w="0" w:type="dxa"/>
        </w:trPr>
        <w:tc>
          <w:tcPr>
            <w:tcW w:w="9842" w:type="dxa"/>
            <w:gridSpan w:val="6"/>
            <w:tcBorders>
              <w:top w:val="outset" w:sz="6" w:space="0" w:color="auto"/>
              <w:left w:val="outset" w:sz="6" w:space="0" w:color="auto"/>
              <w:bottom w:val="outset" w:sz="6" w:space="0" w:color="auto"/>
              <w:right w:val="outset" w:sz="6" w:space="0" w:color="auto"/>
            </w:tcBorders>
            <w:vAlign w:val="center"/>
          </w:tcPr>
          <w:p w:rsidR="003342F9" w:rsidRPr="00DD4C79" w:rsidRDefault="003342F9" w:rsidP="002E32A4">
            <w:pPr>
              <w:pStyle w:val="naisnod"/>
              <w:spacing w:before="0" w:after="0"/>
            </w:pPr>
            <w:r w:rsidRPr="00DD4C79">
              <w:rPr>
                <w:sz w:val="28"/>
                <w:szCs w:val="28"/>
              </w:rPr>
              <w:t> </w:t>
            </w:r>
            <w:r w:rsidRPr="00DD4C79">
              <w:t>2.tabula</w:t>
            </w:r>
          </w:p>
          <w:p w:rsidR="003342F9" w:rsidRPr="00DD4C79" w:rsidRDefault="003342F9" w:rsidP="002E32A4">
            <w:pPr>
              <w:pStyle w:val="naisnod"/>
              <w:spacing w:before="0" w:after="0"/>
            </w:pPr>
            <w:r w:rsidRPr="00DD4C79">
              <w:t>Ar tiesību akta projektu uzņemtās saistības, kas izriet no starptautiskajiem tiesību aktiem vai starptautiskas institūcijas vai organizācijas dokumentiem</w:t>
            </w:r>
          </w:p>
          <w:p w:rsidR="003342F9" w:rsidRPr="00DD4C79" w:rsidRDefault="003342F9" w:rsidP="002E32A4">
            <w:pPr>
              <w:pStyle w:val="naisnod"/>
              <w:spacing w:before="0" w:after="0"/>
            </w:pPr>
            <w:r w:rsidRPr="00DD4C79">
              <w:t>Pasākumi šo saistību izpildei</w:t>
            </w:r>
          </w:p>
          <w:p w:rsidR="000B001F" w:rsidRPr="00DD4C79" w:rsidRDefault="000B001F" w:rsidP="002E32A4">
            <w:pPr>
              <w:pStyle w:val="naisnod"/>
              <w:spacing w:before="0" w:after="0"/>
              <w:rPr>
                <w:sz w:val="28"/>
                <w:szCs w:val="28"/>
              </w:rPr>
            </w:pPr>
          </w:p>
        </w:tc>
      </w:tr>
      <w:tr w:rsidR="00DD4C79" w:rsidRPr="00DD4C79" w:rsidTr="00D96704">
        <w:trPr>
          <w:gridBefore w:val="1"/>
          <w:wBefore w:w="273" w:type="dxa"/>
          <w:trHeight w:val="1596"/>
          <w:tblCellSpacing w:w="0" w:type="dxa"/>
        </w:trPr>
        <w:tc>
          <w:tcPr>
            <w:tcW w:w="5634" w:type="dxa"/>
            <w:gridSpan w:val="4"/>
            <w:tcBorders>
              <w:top w:val="outset" w:sz="6" w:space="0" w:color="auto"/>
              <w:left w:val="outset" w:sz="6" w:space="0" w:color="auto"/>
              <w:bottom w:val="outset" w:sz="6" w:space="0" w:color="auto"/>
              <w:right w:val="outset" w:sz="6" w:space="0" w:color="auto"/>
            </w:tcBorders>
            <w:vAlign w:val="center"/>
          </w:tcPr>
          <w:p w:rsidR="003342F9" w:rsidRPr="00DD4C79" w:rsidRDefault="003342F9" w:rsidP="002724B6">
            <w:pPr>
              <w:pStyle w:val="naiskr"/>
              <w:rPr>
                <w:sz w:val="28"/>
                <w:szCs w:val="28"/>
              </w:rPr>
            </w:pPr>
            <w:r w:rsidRPr="00DD4C79">
              <w:rPr>
                <w:sz w:val="28"/>
                <w:szCs w:val="28"/>
              </w:rPr>
              <w:t>Attiecīgā starptautiskā tiesību akta vai starptautiskas institūcijas vai organizācijas dokumenta (turpmāk – starptautiskais dokuments) datums, numurs un nosaukums</w:t>
            </w:r>
          </w:p>
        </w:tc>
        <w:tc>
          <w:tcPr>
            <w:tcW w:w="4208" w:type="dxa"/>
            <w:gridSpan w:val="2"/>
            <w:tcBorders>
              <w:top w:val="outset" w:sz="6" w:space="0" w:color="auto"/>
              <w:left w:val="outset" w:sz="6" w:space="0" w:color="auto"/>
              <w:bottom w:val="outset" w:sz="6" w:space="0" w:color="auto"/>
              <w:right w:val="outset" w:sz="6" w:space="0" w:color="auto"/>
            </w:tcBorders>
          </w:tcPr>
          <w:p w:rsidR="003342F9" w:rsidRPr="00DD4C79" w:rsidRDefault="003342F9" w:rsidP="00F10123">
            <w:pPr>
              <w:pStyle w:val="naiskr"/>
              <w:rPr>
                <w:sz w:val="28"/>
                <w:szCs w:val="28"/>
              </w:rPr>
            </w:pPr>
            <w:r w:rsidRPr="00DD4C79">
              <w:rPr>
                <w:sz w:val="28"/>
                <w:szCs w:val="28"/>
              </w:rPr>
              <w:t> </w:t>
            </w:r>
            <w:r w:rsidR="00F10123" w:rsidRPr="00DD4C79">
              <w:rPr>
                <w:sz w:val="28"/>
                <w:szCs w:val="28"/>
              </w:rPr>
              <w:t>Līguma 12. panta 3. punkts.</w:t>
            </w:r>
          </w:p>
        </w:tc>
      </w:tr>
      <w:tr w:rsidR="00DD4C79" w:rsidRPr="00DD4C79" w:rsidTr="00D96704">
        <w:trPr>
          <w:gridBefore w:val="1"/>
          <w:wBefore w:w="273" w:type="dxa"/>
          <w:trHeight w:val="163"/>
          <w:tblCellSpacing w:w="0" w:type="dxa"/>
        </w:trPr>
        <w:tc>
          <w:tcPr>
            <w:tcW w:w="9842" w:type="dxa"/>
            <w:gridSpan w:val="6"/>
            <w:tcBorders>
              <w:top w:val="outset" w:sz="6" w:space="0" w:color="auto"/>
              <w:left w:val="outset" w:sz="6" w:space="0" w:color="auto"/>
              <w:bottom w:val="outset" w:sz="6" w:space="0" w:color="auto"/>
              <w:right w:val="outset" w:sz="6" w:space="0" w:color="auto"/>
            </w:tcBorders>
            <w:vAlign w:val="center"/>
          </w:tcPr>
          <w:p w:rsidR="003342F9" w:rsidRPr="00DD4C79" w:rsidRDefault="003342F9" w:rsidP="002724B6">
            <w:pPr>
              <w:pStyle w:val="naiskr"/>
              <w:spacing w:line="163" w:lineRule="atLeast"/>
            </w:pPr>
            <w:r w:rsidRPr="00DD4C79">
              <w:t>  </w:t>
            </w:r>
          </w:p>
        </w:tc>
      </w:tr>
      <w:tr w:rsidR="00DD4C79" w:rsidRPr="00DD4C79" w:rsidTr="00D96704">
        <w:trPr>
          <w:gridBefore w:val="1"/>
          <w:wBefore w:w="273" w:type="dxa"/>
          <w:trHeight w:val="341"/>
          <w:tblCellSpacing w:w="0" w:type="dxa"/>
        </w:trPr>
        <w:tc>
          <w:tcPr>
            <w:tcW w:w="2353" w:type="dxa"/>
            <w:gridSpan w:val="2"/>
            <w:tcBorders>
              <w:top w:val="outset" w:sz="6" w:space="0" w:color="auto"/>
              <w:left w:val="outset" w:sz="6" w:space="0" w:color="auto"/>
              <w:bottom w:val="outset" w:sz="6" w:space="0" w:color="auto"/>
              <w:right w:val="outset" w:sz="6" w:space="0" w:color="auto"/>
            </w:tcBorders>
            <w:vAlign w:val="center"/>
          </w:tcPr>
          <w:p w:rsidR="003342F9" w:rsidRPr="00DD4C79" w:rsidRDefault="003342F9" w:rsidP="002724B6">
            <w:pPr>
              <w:pStyle w:val="naisc"/>
            </w:pPr>
            <w:r w:rsidRPr="00DD4C79">
              <w:t> A</w:t>
            </w:r>
          </w:p>
        </w:tc>
        <w:tc>
          <w:tcPr>
            <w:tcW w:w="3281" w:type="dxa"/>
            <w:gridSpan w:val="2"/>
            <w:tcBorders>
              <w:top w:val="outset" w:sz="6" w:space="0" w:color="auto"/>
              <w:left w:val="outset" w:sz="6" w:space="0" w:color="auto"/>
              <w:bottom w:val="outset" w:sz="6" w:space="0" w:color="auto"/>
              <w:right w:val="outset" w:sz="6" w:space="0" w:color="auto"/>
            </w:tcBorders>
            <w:vAlign w:val="center"/>
          </w:tcPr>
          <w:p w:rsidR="003342F9" w:rsidRPr="00DD4C79" w:rsidRDefault="003342F9" w:rsidP="002724B6">
            <w:pPr>
              <w:pStyle w:val="naisc"/>
            </w:pPr>
            <w:r w:rsidRPr="00DD4C79">
              <w:t> B</w:t>
            </w:r>
          </w:p>
        </w:tc>
        <w:tc>
          <w:tcPr>
            <w:tcW w:w="4208" w:type="dxa"/>
            <w:gridSpan w:val="2"/>
            <w:tcBorders>
              <w:top w:val="outset" w:sz="6" w:space="0" w:color="auto"/>
              <w:left w:val="outset" w:sz="6" w:space="0" w:color="auto"/>
              <w:bottom w:val="outset" w:sz="6" w:space="0" w:color="auto"/>
              <w:right w:val="outset" w:sz="6" w:space="0" w:color="auto"/>
            </w:tcBorders>
            <w:vAlign w:val="center"/>
          </w:tcPr>
          <w:p w:rsidR="003342F9" w:rsidRPr="00DD4C79" w:rsidRDefault="003342F9" w:rsidP="002724B6">
            <w:pPr>
              <w:pStyle w:val="naisc"/>
            </w:pPr>
            <w:r w:rsidRPr="00DD4C79">
              <w:t> C</w:t>
            </w:r>
          </w:p>
        </w:tc>
      </w:tr>
      <w:tr w:rsidR="00DD4C79" w:rsidRPr="00DD4C79" w:rsidTr="00D96704">
        <w:trPr>
          <w:gridBefore w:val="1"/>
          <w:wBefore w:w="273" w:type="dxa"/>
          <w:trHeight w:val="341"/>
          <w:tblCellSpacing w:w="0" w:type="dxa"/>
        </w:trPr>
        <w:tc>
          <w:tcPr>
            <w:tcW w:w="2353" w:type="dxa"/>
            <w:gridSpan w:val="2"/>
            <w:tcBorders>
              <w:top w:val="outset" w:sz="6" w:space="0" w:color="auto"/>
              <w:left w:val="outset" w:sz="6" w:space="0" w:color="auto"/>
              <w:bottom w:val="outset" w:sz="6" w:space="0" w:color="auto"/>
              <w:right w:val="outset" w:sz="6" w:space="0" w:color="auto"/>
            </w:tcBorders>
          </w:tcPr>
          <w:p w:rsidR="003342F9" w:rsidRPr="00DD4C79" w:rsidRDefault="003342F9" w:rsidP="002724B6">
            <w:pPr>
              <w:pStyle w:val="naiskr"/>
            </w:pPr>
            <w:r w:rsidRPr="00DD4C79">
              <w:t>Starptautiskās saistības (pēc būtības), kas izriet no norādītā starptautiskā dokumenta.</w:t>
            </w:r>
          </w:p>
          <w:p w:rsidR="003342F9" w:rsidRPr="00DD4C79" w:rsidRDefault="003342F9" w:rsidP="002724B6">
            <w:pPr>
              <w:pStyle w:val="naiskr"/>
            </w:pPr>
            <w:r w:rsidRPr="00DD4C79">
              <w:t> </w:t>
            </w:r>
          </w:p>
          <w:p w:rsidR="003342F9" w:rsidRPr="00DD4C79" w:rsidRDefault="003342F9" w:rsidP="002724B6">
            <w:pPr>
              <w:pStyle w:val="naiskr"/>
            </w:pPr>
            <w:r w:rsidRPr="00DD4C79">
              <w:t xml:space="preserve">Konkrēti veicamie pasākumi vai </w:t>
            </w:r>
            <w:r w:rsidRPr="00DD4C79">
              <w:lastRenderedPageBreak/>
              <w:t>uzdevumi, kas nepieciešami šo starptautisko saistību izpildei</w:t>
            </w:r>
          </w:p>
        </w:tc>
        <w:tc>
          <w:tcPr>
            <w:tcW w:w="3281" w:type="dxa"/>
            <w:gridSpan w:val="2"/>
            <w:tcBorders>
              <w:top w:val="outset" w:sz="6" w:space="0" w:color="auto"/>
              <w:left w:val="outset" w:sz="6" w:space="0" w:color="auto"/>
              <w:bottom w:val="outset" w:sz="6" w:space="0" w:color="auto"/>
              <w:right w:val="outset" w:sz="6" w:space="0" w:color="auto"/>
            </w:tcBorders>
          </w:tcPr>
          <w:p w:rsidR="003342F9" w:rsidRPr="00DD4C79" w:rsidRDefault="003342F9" w:rsidP="002724B6">
            <w:pPr>
              <w:pStyle w:val="naiskr"/>
            </w:pPr>
            <w:r w:rsidRPr="00DD4C79">
              <w:lastRenderedPageBreak/>
              <w:t> Ja pasākumi vai uzdevumi, ar ko tiks izpildītas starptautiskās saistības, tiek noteikti projektā, norāda attiecīgo projekta vienību.</w:t>
            </w:r>
          </w:p>
          <w:p w:rsidR="003342F9" w:rsidRPr="00DD4C79" w:rsidRDefault="003342F9" w:rsidP="002724B6">
            <w:pPr>
              <w:pStyle w:val="naiskr"/>
            </w:pPr>
            <w:r w:rsidRPr="00DD4C79">
              <w:t> </w:t>
            </w:r>
          </w:p>
          <w:p w:rsidR="003342F9" w:rsidRPr="00DD4C79" w:rsidRDefault="003342F9" w:rsidP="002724B6">
            <w:pPr>
              <w:pStyle w:val="naiskr"/>
            </w:pPr>
            <w:r w:rsidRPr="00DD4C79">
              <w:t xml:space="preserve">Vai arī norāda dokumentu, kurā sniegts izvērsts skaidrojums, kādā veidā tiks nodrošināta </w:t>
            </w:r>
            <w:r w:rsidRPr="00DD4C79">
              <w:lastRenderedPageBreak/>
              <w:t>starptautisko saistību izpilde</w:t>
            </w:r>
          </w:p>
        </w:tc>
        <w:tc>
          <w:tcPr>
            <w:tcW w:w="4208" w:type="dxa"/>
            <w:gridSpan w:val="2"/>
            <w:tcBorders>
              <w:top w:val="outset" w:sz="6" w:space="0" w:color="auto"/>
              <w:left w:val="outset" w:sz="6" w:space="0" w:color="auto"/>
              <w:bottom w:val="outset" w:sz="6" w:space="0" w:color="auto"/>
              <w:right w:val="outset" w:sz="6" w:space="0" w:color="auto"/>
            </w:tcBorders>
          </w:tcPr>
          <w:p w:rsidR="003342F9" w:rsidRPr="00DD4C79" w:rsidRDefault="003342F9" w:rsidP="002724B6">
            <w:pPr>
              <w:pStyle w:val="naiskr"/>
            </w:pPr>
            <w:r w:rsidRPr="00DD4C79">
              <w:lastRenderedPageBreak/>
              <w:t> Informācija par to, vai starptautiskās saistības, kas minētas šīs tabulas A ailē, tiek izpildītas pilnībā vai daļēji.</w:t>
            </w:r>
          </w:p>
          <w:p w:rsidR="003342F9" w:rsidRPr="00DD4C79" w:rsidRDefault="003342F9" w:rsidP="002724B6">
            <w:pPr>
              <w:pStyle w:val="naiskr"/>
            </w:pPr>
            <w:r w:rsidRPr="00DD4C79">
              <w:t> </w:t>
            </w:r>
          </w:p>
          <w:p w:rsidR="003342F9" w:rsidRPr="00DD4C79" w:rsidRDefault="003342F9" w:rsidP="002724B6">
            <w:pPr>
              <w:pStyle w:val="naiskr"/>
            </w:pPr>
            <w:r w:rsidRPr="00DD4C79">
              <w:t xml:space="preserve">Ja attiecīgās starptautiskās saistības tiek izpildītas daļēji, sniedz attiecīgu skaidrojumu, kā arī precīzi norāda, kad un kādā veidā starptautiskās saistības tiks </w:t>
            </w:r>
            <w:r w:rsidRPr="00DD4C79">
              <w:lastRenderedPageBreak/>
              <w:t>izpildītas pilnībā.</w:t>
            </w:r>
          </w:p>
          <w:p w:rsidR="003342F9" w:rsidRPr="00DD4C79" w:rsidRDefault="003342F9" w:rsidP="002724B6">
            <w:pPr>
              <w:pStyle w:val="naiskr"/>
            </w:pPr>
            <w:r w:rsidRPr="00DD4C79">
              <w:t> </w:t>
            </w:r>
          </w:p>
          <w:p w:rsidR="003342F9" w:rsidRPr="00DD4C79" w:rsidRDefault="003342F9" w:rsidP="002724B6">
            <w:pPr>
              <w:pStyle w:val="naiskr"/>
            </w:pPr>
            <w:r w:rsidRPr="00DD4C79">
              <w:t>Norāda institūciju, kas ir atbildīga par šo saistību izpildi pilnībā</w:t>
            </w:r>
          </w:p>
        </w:tc>
      </w:tr>
      <w:tr w:rsidR="00DD4C79" w:rsidRPr="00DD4C79" w:rsidTr="00D96704">
        <w:trPr>
          <w:gridBefore w:val="1"/>
          <w:wBefore w:w="273" w:type="dxa"/>
          <w:trHeight w:val="1163"/>
          <w:tblCellSpacing w:w="0" w:type="dxa"/>
        </w:trPr>
        <w:tc>
          <w:tcPr>
            <w:tcW w:w="2353" w:type="dxa"/>
            <w:gridSpan w:val="2"/>
            <w:tcBorders>
              <w:top w:val="outset" w:sz="6" w:space="0" w:color="auto"/>
              <w:left w:val="outset" w:sz="6" w:space="0" w:color="auto"/>
              <w:bottom w:val="outset" w:sz="6" w:space="0" w:color="auto"/>
              <w:right w:val="outset" w:sz="6" w:space="0" w:color="auto"/>
            </w:tcBorders>
          </w:tcPr>
          <w:p w:rsidR="003342F9" w:rsidRPr="00DD4C79" w:rsidRDefault="00F10123" w:rsidP="00FC78BA">
            <w:pPr>
              <w:pStyle w:val="naiskr"/>
            </w:pPr>
            <w:r w:rsidRPr="00DD4C79">
              <w:lastRenderedPageBreak/>
              <w:t xml:space="preserve">Līguma 12.panta 3.punkts </w:t>
            </w:r>
            <w:r w:rsidR="00FC78BA" w:rsidRPr="00DD4C79">
              <w:t>paredz, ka L</w:t>
            </w:r>
            <w:r w:rsidRPr="00DD4C79">
              <w:t xml:space="preserve">atvijas Republikai, kļūstot par </w:t>
            </w:r>
            <w:proofErr w:type="spellStart"/>
            <w:r w:rsidRPr="00DD4C79">
              <w:rPr>
                <w:i/>
              </w:rPr>
              <w:t>euro</w:t>
            </w:r>
            <w:proofErr w:type="spellEnd"/>
            <w:r w:rsidRPr="00DD4C79">
              <w:t xml:space="preserve"> zon</w:t>
            </w:r>
            <w:r w:rsidR="00FC78BA" w:rsidRPr="00DD4C79">
              <w:t>as dalībvalsti un stājoties spēkā Līgumam</w:t>
            </w:r>
            <w:r w:rsidRPr="00DD4C79">
              <w:t>, ir saistošs pienākums piemērot ESDM izstrādātos, EFC apstiprinātos CAC nosacījumu visiem Latvijas Republikas emitētajiem vērtspapīriem, kuru dzēšanas termiņš pārsniedz vienu gadu.</w:t>
            </w:r>
          </w:p>
        </w:tc>
        <w:tc>
          <w:tcPr>
            <w:tcW w:w="3281" w:type="dxa"/>
            <w:gridSpan w:val="2"/>
            <w:tcBorders>
              <w:top w:val="outset" w:sz="6" w:space="0" w:color="auto"/>
              <w:left w:val="outset" w:sz="6" w:space="0" w:color="auto"/>
              <w:bottom w:val="outset" w:sz="6" w:space="0" w:color="auto"/>
              <w:right w:val="outset" w:sz="6" w:space="0" w:color="auto"/>
            </w:tcBorders>
          </w:tcPr>
          <w:p w:rsidR="003342F9" w:rsidRPr="00DD4C79" w:rsidRDefault="00FC78BA" w:rsidP="00575972">
            <w:pPr>
              <w:pStyle w:val="naiskr"/>
              <w:rPr>
                <w:sz w:val="28"/>
                <w:szCs w:val="28"/>
              </w:rPr>
            </w:pPr>
            <w:r w:rsidRPr="00DD4C79">
              <w:rPr>
                <w:sz w:val="28"/>
                <w:szCs w:val="28"/>
              </w:rPr>
              <w:t>Starptautisko saistību izpilde tiks nodrošināta ar MK projekta</w:t>
            </w:r>
            <w:r w:rsidR="00E14AF0" w:rsidRPr="00DD4C79">
              <w:rPr>
                <w:sz w:val="28"/>
                <w:szCs w:val="28"/>
              </w:rPr>
              <w:t xml:space="preserve"> un attiecīgā tā 7.nodaļas</w:t>
            </w:r>
            <w:r w:rsidRPr="00DD4C79">
              <w:rPr>
                <w:sz w:val="28"/>
                <w:szCs w:val="28"/>
              </w:rPr>
              <w:t xml:space="preserve"> pieņemšanu, kas paredz CAC piemērošanu obligācijām</w:t>
            </w:r>
            <w:r w:rsidR="00575972" w:rsidRPr="00DD4C79">
              <w:rPr>
                <w:sz w:val="28"/>
                <w:szCs w:val="28"/>
              </w:rPr>
              <w:t xml:space="preserve">, </w:t>
            </w:r>
            <w:r w:rsidRPr="00DD4C79">
              <w:rPr>
                <w:sz w:val="28"/>
                <w:szCs w:val="28"/>
              </w:rPr>
              <w:t>kuru dzēšanas termiņš ir garāks par vienu gadu.</w:t>
            </w:r>
          </w:p>
        </w:tc>
        <w:tc>
          <w:tcPr>
            <w:tcW w:w="4208" w:type="dxa"/>
            <w:gridSpan w:val="2"/>
            <w:tcBorders>
              <w:top w:val="outset" w:sz="6" w:space="0" w:color="auto"/>
              <w:left w:val="outset" w:sz="6" w:space="0" w:color="auto"/>
              <w:bottom w:val="outset" w:sz="6" w:space="0" w:color="auto"/>
              <w:right w:val="outset" w:sz="6" w:space="0" w:color="auto"/>
            </w:tcBorders>
          </w:tcPr>
          <w:p w:rsidR="003342F9" w:rsidRPr="00DD4C79" w:rsidRDefault="00FC78BA" w:rsidP="00FC78BA">
            <w:pPr>
              <w:pStyle w:val="naiskr"/>
              <w:rPr>
                <w:sz w:val="28"/>
                <w:szCs w:val="28"/>
              </w:rPr>
            </w:pPr>
            <w:r w:rsidRPr="00DD4C79">
              <w:rPr>
                <w:sz w:val="28"/>
                <w:szCs w:val="28"/>
              </w:rPr>
              <w:t>Starptautiskās saistības, kas minētas šīs tabulas A ailē, tiek izpildītas pilnībā</w:t>
            </w:r>
            <w:r w:rsidR="00575972" w:rsidRPr="00DD4C79">
              <w:rPr>
                <w:sz w:val="28"/>
                <w:szCs w:val="28"/>
              </w:rPr>
              <w:t>.</w:t>
            </w:r>
            <w:r w:rsidR="00E14AF0" w:rsidRPr="00DD4C79">
              <w:rPr>
                <w:lang w:eastAsia="en-US"/>
              </w:rPr>
              <w:t xml:space="preserve"> </w:t>
            </w:r>
            <w:r w:rsidR="00E14AF0" w:rsidRPr="00DD4C79">
              <w:rPr>
                <w:sz w:val="28"/>
                <w:szCs w:val="28"/>
              </w:rPr>
              <w:t>Valsts kase ir atbildīga par šo saistību izpildi pilnībā</w:t>
            </w:r>
            <w:r w:rsidR="009C5C50" w:rsidRPr="00DD4C79">
              <w:rPr>
                <w:sz w:val="28"/>
                <w:szCs w:val="28"/>
              </w:rPr>
              <w:t>.</w:t>
            </w:r>
          </w:p>
        </w:tc>
      </w:tr>
      <w:tr w:rsidR="00DD4C79" w:rsidRPr="00DD4C79" w:rsidTr="00D96704">
        <w:trPr>
          <w:gridBefore w:val="1"/>
          <w:wBefore w:w="273" w:type="dxa"/>
          <w:trHeight w:val="161"/>
          <w:tblCellSpacing w:w="0" w:type="dxa"/>
        </w:trPr>
        <w:tc>
          <w:tcPr>
            <w:tcW w:w="2353" w:type="dxa"/>
            <w:gridSpan w:val="2"/>
            <w:tcBorders>
              <w:top w:val="outset" w:sz="6" w:space="0" w:color="auto"/>
              <w:left w:val="outset" w:sz="6" w:space="0" w:color="auto"/>
              <w:bottom w:val="outset" w:sz="6" w:space="0" w:color="auto"/>
              <w:right w:val="outset" w:sz="6" w:space="0" w:color="auto"/>
            </w:tcBorders>
            <w:vAlign w:val="center"/>
          </w:tcPr>
          <w:p w:rsidR="003342F9" w:rsidRPr="00DD4C79" w:rsidRDefault="003342F9" w:rsidP="002724B6">
            <w:pPr>
              <w:pStyle w:val="naisc"/>
              <w:spacing w:line="161" w:lineRule="atLeast"/>
            </w:pPr>
            <w:r w:rsidRPr="00DD4C79">
              <w:t>  </w:t>
            </w:r>
          </w:p>
        </w:tc>
        <w:tc>
          <w:tcPr>
            <w:tcW w:w="3281" w:type="dxa"/>
            <w:gridSpan w:val="2"/>
            <w:tcBorders>
              <w:top w:val="outset" w:sz="6" w:space="0" w:color="auto"/>
              <w:left w:val="outset" w:sz="6" w:space="0" w:color="auto"/>
              <w:bottom w:val="outset" w:sz="6" w:space="0" w:color="auto"/>
              <w:right w:val="outset" w:sz="6" w:space="0" w:color="auto"/>
            </w:tcBorders>
            <w:vAlign w:val="center"/>
          </w:tcPr>
          <w:p w:rsidR="003342F9" w:rsidRPr="00DD4C79" w:rsidRDefault="003342F9" w:rsidP="002724B6">
            <w:pPr>
              <w:pStyle w:val="naisc"/>
              <w:spacing w:line="161" w:lineRule="atLeast"/>
            </w:pPr>
            <w:r w:rsidRPr="00DD4C79">
              <w:t>  </w:t>
            </w:r>
          </w:p>
        </w:tc>
        <w:tc>
          <w:tcPr>
            <w:tcW w:w="4208" w:type="dxa"/>
            <w:gridSpan w:val="2"/>
            <w:tcBorders>
              <w:top w:val="outset" w:sz="6" w:space="0" w:color="auto"/>
              <w:left w:val="outset" w:sz="6" w:space="0" w:color="auto"/>
              <w:bottom w:val="outset" w:sz="6" w:space="0" w:color="auto"/>
              <w:right w:val="outset" w:sz="6" w:space="0" w:color="auto"/>
            </w:tcBorders>
            <w:vAlign w:val="center"/>
          </w:tcPr>
          <w:p w:rsidR="003342F9" w:rsidRPr="00DD4C79" w:rsidRDefault="003342F9" w:rsidP="002724B6">
            <w:pPr>
              <w:pStyle w:val="naisc"/>
              <w:spacing w:line="161" w:lineRule="atLeast"/>
            </w:pPr>
            <w:r w:rsidRPr="00DD4C79">
              <w:t>  </w:t>
            </w:r>
          </w:p>
        </w:tc>
      </w:tr>
      <w:tr w:rsidR="00DD4C79" w:rsidRPr="00DD4C79" w:rsidTr="00D96704">
        <w:trPr>
          <w:gridBefore w:val="1"/>
          <w:wBefore w:w="273" w:type="dxa"/>
          <w:trHeight w:val="161"/>
          <w:tblCellSpacing w:w="0" w:type="dxa"/>
        </w:trPr>
        <w:tc>
          <w:tcPr>
            <w:tcW w:w="2353" w:type="dxa"/>
            <w:gridSpan w:val="2"/>
            <w:tcBorders>
              <w:top w:val="outset" w:sz="6" w:space="0" w:color="auto"/>
              <w:left w:val="outset" w:sz="6" w:space="0" w:color="auto"/>
              <w:bottom w:val="outset" w:sz="6" w:space="0" w:color="auto"/>
              <w:right w:val="outset" w:sz="6" w:space="0" w:color="auto"/>
            </w:tcBorders>
            <w:vAlign w:val="center"/>
          </w:tcPr>
          <w:p w:rsidR="003342F9" w:rsidRPr="00DD4C79" w:rsidRDefault="003342F9" w:rsidP="002724B6">
            <w:pPr>
              <w:pStyle w:val="naiskr"/>
              <w:spacing w:line="161" w:lineRule="atLeast"/>
            </w:pPr>
            <w:r w:rsidRPr="00DD4C79">
              <w:t> Vai starptautiskajā dokumentā paredzētās saistības nav pretrunā ar jau esošajām Latvijas Republikas starptautiskajām saistībām</w:t>
            </w:r>
          </w:p>
        </w:tc>
        <w:tc>
          <w:tcPr>
            <w:tcW w:w="7489" w:type="dxa"/>
            <w:gridSpan w:val="4"/>
            <w:tcBorders>
              <w:top w:val="outset" w:sz="6" w:space="0" w:color="auto"/>
              <w:left w:val="outset" w:sz="6" w:space="0" w:color="auto"/>
              <w:bottom w:val="outset" w:sz="6" w:space="0" w:color="auto"/>
              <w:right w:val="outset" w:sz="6" w:space="0" w:color="auto"/>
            </w:tcBorders>
          </w:tcPr>
          <w:p w:rsidR="000B001F" w:rsidRPr="00DD4C79" w:rsidRDefault="000B001F" w:rsidP="00FC78BA">
            <w:pPr>
              <w:pStyle w:val="naiskr"/>
              <w:spacing w:line="161" w:lineRule="atLeast"/>
              <w:rPr>
                <w:sz w:val="28"/>
                <w:szCs w:val="28"/>
              </w:rPr>
            </w:pPr>
          </w:p>
          <w:p w:rsidR="003342F9" w:rsidRPr="00DD4C79" w:rsidRDefault="00FC78BA" w:rsidP="00FC78BA">
            <w:pPr>
              <w:pStyle w:val="naiskr"/>
              <w:spacing w:line="161" w:lineRule="atLeast"/>
              <w:rPr>
                <w:sz w:val="28"/>
                <w:szCs w:val="28"/>
              </w:rPr>
            </w:pPr>
            <w:r w:rsidRPr="00DD4C79">
              <w:rPr>
                <w:sz w:val="28"/>
                <w:szCs w:val="28"/>
              </w:rPr>
              <w:t>Paredzētās saistības nav pretrunā ar jau esošajām Latvijas Republikas starptautiskajām saistībām.</w:t>
            </w:r>
          </w:p>
        </w:tc>
      </w:tr>
      <w:tr w:rsidR="00DD4C79" w:rsidRPr="00DD4C79" w:rsidTr="00D96704">
        <w:trPr>
          <w:gridBefore w:val="1"/>
          <w:wBefore w:w="273" w:type="dxa"/>
          <w:trHeight w:val="388"/>
          <w:tblCellSpacing w:w="0" w:type="dxa"/>
        </w:trPr>
        <w:tc>
          <w:tcPr>
            <w:tcW w:w="2353" w:type="dxa"/>
            <w:gridSpan w:val="2"/>
            <w:tcBorders>
              <w:top w:val="outset" w:sz="6" w:space="0" w:color="auto"/>
              <w:left w:val="outset" w:sz="6" w:space="0" w:color="auto"/>
              <w:bottom w:val="outset" w:sz="6" w:space="0" w:color="auto"/>
              <w:right w:val="outset" w:sz="6" w:space="0" w:color="auto"/>
            </w:tcBorders>
          </w:tcPr>
          <w:p w:rsidR="003342F9" w:rsidRPr="00DD4C79" w:rsidRDefault="003342F9" w:rsidP="002724B6">
            <w:pPr>
              <w:pStyle w:val="naiskr"/>
            </w:pPr>
            <w:r w:rsidRPr="00DD4C79">
              <w:t> Cita informācija</w:t>
            </w:r>
          </w:p>
        </w:tc>
        <w:tc>
          <w:tcPr>
            <w:tcW w:w="7489" w:type="dxa"/>
            <w:gridSpan w:val="4"/>
            <w:tcBorders>
              <w:top w:val="outset" w:sz="6" w:space="0" w:color="auto"/>
              <w:left w:val="outset" w:sz="6" w:space="0" w:color="auto"/>
              <w:bottom w:val="outset" w:sz="6" w:space="0" w:color="auto"/>
              <w:right w:val="outset" w:sz="6" w:space="0" w:color="auto"/>
            </w:tcBorders>
          </w:tcPr>
          <w:p w:rsidR="003342F9" w:rsidRPr="00DD4C79" w:rsidRDefault="003342F9" w:rsidP="00FC78BA">
            <w:pPr>
              <w:pStyle w:val="naiskr"/>
              <w:rPr>
                <w:sz w:val="28"/>
                <w:szCs w:val="28"/>
              </w:rPr>
            </w:pPr>
            <w:r w:rsidRPr="00DD4C79">
              <w:rPr>
                <w:sz w:val="28"/>
                <w:szCs w:val="28"/>
              </w:rPr>
              <w:t> Nav</w:t>
            </w:r>
          </w:p>
        </w:tc>
      </w:tr>
      <w:tr w:rsidR="00DD4C79" w:rsidRPr="00DD4C79" w:rsidTr="00D96704">
        <w:trPr>
          <w:gridBefore w:val="1"/>
          <w:wBefore w:w="273" w:type="dxa"/>
          <w:trHeight w:val="388"/>
          <w:tblCellSpacing w:w="0" w:type="dxa"/>
        </w:trPr>
        <w:tc>
          <w:tcPr>
            <w:tcW w:w="2353" w:type="dxa"/>
            <w:gridSpan w:val="2"/>
            <w:tcBorders>
              <w:top w:val="outset" w:sz="6" w:space="0" w:color="auto"/>
              <w:left w:val="outset" w:sz="6" w:space="0" w:color="auto"/>
              <w:bottom w:val="outset" w:sz="6" w:space="0" w:color="auto"/>
              <w:right w:val="outset" w:sz="6" w:space="0" w:color="auto"/>
            </w:tcBorders>
          </w:tcPr>
          <w:p w:rsidR="00D96704" w:rsidRPr="00DD4C79" w:rsidRDefault="00D96704" w:rsidP="002724B6">
            <w:pPr>
              <w:pStyle w:val="naiskr"/>
            </w:pPr>
          </w:p>
        </w:tc>
        <w:tc>
          <w:tcPr>
            <w:tcW w:w="7489" w:type="dxa"/>
            <w:gridSpan w:val="4"/>
            <w:tcBorders>
              <w:top w:val="outset" w:sz="6" w:space="0" w:color="auto"/>
              <w:left w:val="outset" w:sz="6" w:space="0" w:color="auto"/>
              <w:bottom w:val="outset" w:sz="6" w:space="0" w:color="auto"/>
              <w:right w:val="outset" w:sz="6" w:space="0" w:color="auto"/>
            </w:tcBorders>
          </w:tcPr>
          <w:p w:rsidR="00D96704" w:rsidRPr="00DD4C79" w:rsidRDefault="00D96704" w:rsidP="00FC78BA">
            <w:pPr>
              <w:pStyle w:val="naiskr"/>
              <w:rPr>
                <w:sz w:val="28"/>
                <w:szCs w:val="28"/>
              </w:rPr>
            </w:pPr>
          </w:p>
        </w:tc>
      </w:tr>
      <w:tr w:rsidR="00DD4C79" w:rsidRPr="00DD4C79" w:rsidTr="00D96704">
        <w:tblPrEx>
          <w:jc w:val="center"/>
          <w:tblCellSpacing w:w="15" w:type="dxa"/>
          <w:tblCellMar>
            <w:top w:w="30" w:type="dxa"/>
            <w:left w:w="30" w:type="dxa"/>
            <w:bottom w:w="30" w:type="dxa"/>
            <w:right w:w="30" w:type="dxa"/>
          </w:tblCellMar>
          <w:tblLook w:val="04A0" w:firstRow="1" w:lastRow="0" w:firstColumn="1" w:lastColumn="0" w:noHBand="0" w:noVBand="1"/>
        </w:tblPrEx>
        <w:trPr>
          <w:gridAfter w:val="1"/>
          <w:wAfter w:w="333" w:type="dxa"/>
          <w:trHeight w:val="420"/>
          <w:tblCellSpacing w:w="15" w:type="dxa"/>
          <w:jc w:val="center"/>
        </w:trPr>
        <w:tc>
          <w:tcPr>
            <w:tcW w:w="9782" w:type="dxa"/>
            <w:gridSpan w:val="6"/>
            <w:tcBorders>
              <w:top w:val="outset" w:sz="6" w:space="0" w:color="auto"/>
              <w:left w:val="outset" w:sz="6" w:space="0" w:color="auto"/>
              <w:bottom w:val="outset" w:sz="6" w:space="0" w:color="auto"/>
              <w:right w:val="outset" w:sz="6" w:space="0" w:color="auto"/>
            </w:tcBorders>
            <w:vAlign w:val="center"/>
            <w:hideMark/>
          </w:tcPr>
          <w:p w:rsidR="00D96704" w:rsidRPr="00DD4C79" w:rsidRDefault="00D96704" w:rsidP="00D96704">
            <w:pPr>
              <w:pStyle w:val="naiskr"/>
              <w:jc w:val="center"/>
              <w:rPr>
                <w:b/>
                <w:bCs/>
                <w:sz w:val="28"/>
                <w:szCs w:val="28"/>
              </w:rPr>
            </w:pPr>
            <w:r w:rsidRPr="00DD4C79">
              <w:rPr>
                <w:b/>
                <w:bCs/>
                <w:sz w:val="28"/>
                <w:szCs w:val="28"/>
              </w:rPr>
              <w:t>VI. Sabiedrības līdzdalība un komunikācijas aktivitātes</w:t>
            </w:r>
          </w:p>
        </w:tc>
      </w:tr>
      <w:tr w:rsidR="00DD4C79" w:rsidRPr="00DD4C79" w:rsidTr="00D96704">
        <w:tblPrEx>
          <w:jc w:val="center"/>
          <w:tblCellSpacing w:w="15" w:type="dxa"/>
          <w:tblCellMar>
            <w:top w:w="30" w:type="dxa"/>
            <w:left w:w="30" w:type="dxa"/>
            <w:bottom w:w="30" w:type="dxa"/>
            <w:right w:w="30" w:type="dxa"/>
          </w:tblCellMar>
          <w:tblLook w:val="04A0" w:firstRow="1" w:lastRow="0" w:firstColumn="1" w:lastColumn="0" w:noHBand="0" w:noVBand="1"/>
        </w:tblPrEx>
        <w:trPr>
          <w:gridAfter w:val="1"/>
          <w:wAfter w:w="333" w:type="dxa"/>
          <w:trHeight w:val="540"/>
          <w:tblCellSpacing w:w="15" w:type="dxa"/>
          <w:jc w:val="center"/>
        </w:trPr>
        <w:tc>
          <w:tcPr>
            <w:tcW w:w="944" w:type="dxa"/>
            <w:gridSpan w:val="2"/>
            <w:tcBorders>
              <w:top w:val="outset" w:sz="6" w:space="0" w:color="auto"/>
              <w:left w:val="outset" w:sz="6" w:space="0" w:color="auto"/>
              <w:bottom w:val="outset" w:sz="6" w:space="0" w:color="auto"/>
              <w:right w:val="outset" w:sz="6" w:space="0" w:color="auto"/>
            </w:tcBorders>
            <w:hideMark/>
          </w:tcPr>
          <w:p w:rsidR="00D96704" w:rsidRPr="00DD4C79" w:rsidRDefault="00D96704" w:rsidP="00D96704">
            <w:pPr>
              <w:pStyle w:val="naiskr"/>
              <w:rPr>
                <w:sz w:val="28"/>
                <w:szCs w:val="28"/>
              </w:rPr>
            </w:pPr>
            <w:r w:rsidRPr="00DD4C79">
              <w:rPr>
                <w:sz w:val="28"/>
                <w:szCs w:val="28"/>
              </w:rPr>
              <w:t>1.</w:t>
            </w:r>
          </w:p>
        </w:tc>
        <w:tc>
          <w:tcPr>
            <w:tcW w:w="2531" w:type="dxa"/>
            <w:gridSpan w:val="2"/>
            <w:tcBorders>
              <w:top w:val="outset" w:sz="6" w:space="0" w:color="auto"/>
              <w:left w:val="outset" w:sz="6" w:space="0" w:color="auto"/>
              <w:bottom w:val="outset" w:sz="6" w:space="0" w:color="auto"/>
              <w:right w:val="outset" w:sz="6" w:space="0" w:color="auto"/>
            </w:tcBorders>
            <w:hideMark/>
          </w:tcPr>
          <w:p w:rsidR="00D96704" w:rsidRPr="00DD4C79" w:rsidRDefault="00D96704" w:rsidP="00D96704">
            <w:pPr>
              <w:pStyle w:val="naiskr"/>
              <w:rPr>
                <w:sz w:val="28"/>
                <w:szCs w:val="28"/>
              </w:rPr>
            </w:pPr>
            <w:r w:rsidRPr="00DD4C79">
              <w:rPr>
                <w:sz w:val="28"/>
                <w:szCs w:val="28"/>
              </w:rPr>
              <w:t>Plānotās sabiedrības līdzdalības un komunikācijas aktivitātes saistībā ar projektu</w:t>
            </w:r>
          </w:p>
        </w:tc>
        <w:tc>
          <w:tcPr>
            <w:tcW w:w="6307" w:type="dxa"/>
            <w:gridSpan w:val="2"/>
            <w:tcBorders>
              <w:top w:val="outset" w:sz="6" w:space="0" w:color="auto"/>
              <w:left w:val="outset" w:sz="6" w:space="0" w:color="auto"/>
              <w:bottom w:val="outset" w:sz="6" w:space="0" w:color="auto"/>
              <w:right w:val="outset" w:sz="6" w:space="0" w:color="auto"/>
            </w:tcBorders>
            <w:hideMark/>
          </w:tcPr>
          <w:p w:rsidR="00D96704" w:rsidRPr="00DD4C79" w:rsidRDefault="00D96704" w:rsidP="00D96704">
            <w:pPr>
              <w:pStyle w:val="naiskr"/>
              <w:rPr>
                <w:sz w:val="28"/>
                <w:szCs w:val="28"/>
              </w:rPr>
            </w:pPr>
            <w:r w:rsidRPr="00DD4C79">
              <w:rPr>
                <w:sz w:val="28"/>
                <w:szCs w:val="28"/>
              </w:rPr>
              <w:t xml:space="preserve">Noteikumu projekts pēc izsludināšanas VSS būs pieejams Ministru kabineta mājas lapā </w:t>
            </w:r>
            <w:proofErr w:type="spellStart"/>
            <w:r w:rsidR="000B001F" w:rsidRPr="00DD4C79">
              <w:rPr>
                <w:sz w:val="28"/>
                <w:szCs w:val="28"/>
              </w:rPr>
              <w:t>www.mk.gov.lv</w:t>
            </w:r>
            <w:proofErr w:type="spellEnd"/>
          </w:p>
          <w:p w:rsidR="00D96704" w:rsidRPr="00DD4C79" w:rsidRDefault="00D96704" w:rsidP="00D96704">
            <w:pPr>
              <w:pStyle w:val="naiskr"/>
              <w:rPr>
                <w:sz w:val="28"/>
                <w:szCs w:val="28"/>
              </w:rPr>
            </w:pPr>
          </w:p>
          <w:p w:rsidR="00D96704" w:rsidRPr="00DD4C79" w:rsidRDefault="00D96704" w:rsidP="00D96704">
            <w:pPr>
              <w:pStyle w:val="naiskr"/>
              <w:rPr>
                <w:sz w:val="28"/>
                <w:szCs w:val="28"/>
              </w:rPr>
            </w:pPr>
          </w:p>
        </w:tc>
      </w:tr>
      <w:tr w:rsidR="00DD4C79" w:rsidRPr="00DD4C79" w:rsidTr="00D96704">
        <w:tblPrEx>
          <w:jc w:val="center"/>
          <w:tblCellSpacing w:w="15" w:type="dxa"/>
          <w:tblCellMar>
            <w:top w:w="30" w:type="dxa"/>
            <w:left w:w="30" w:type="dxa"/>
            <w:bottom w:w="30" w:type="dxa"/>
            <w:right w:w="30" w:type="dxa"/>
          </w:tblCellMar>
          <w:tblLook w:val="04A0" w:firstRow="1" w:lastRow="0" w:firstColumn="1" w:lastColumn="0" w:noHBand="0" w:noVBand="1"/>
        </w:tblPrEx>
        <w:trPr>
          <w:gridAfter w:val="1"/>
          <w:wAfter w:w="333" w:type="dxa"/>
          <w:trHeight w:val="330"/>
          <w:tblCellSpacing w:w="15" w:type="dxa"/>
          <w:jc w:val="center"/>
        </w:trPr>
        <w:tc>
          <w:tcPr>
            <w:tcW w:w="944" w:type="dxa"/>
            <w:gridSpan w:val="2"/>
            <w:tcBorders>
              <w:top w:val="outset" w:sz="6" w:space="0" w:color="auto"/>
              <w:left w:val="outset" w:sz="6" w:space="0" w:color="auto"/>
              <w:bottom w:val="outset" w:sz="6" w:space="0" w:color="auto"/>
              <w:right w:val="outset" w:sz="6" w:space="0" w:color="auto"/>
            </w:tcBorders>
            <w:hideMark/>
          </w:tcPr>
          <w:p w:rsidR="00D96704" w:rsidRPr="00DD4C79" w:rsidRDefault="00D96704" w:rsidP="00D96704">
            <w:pPr>
              <w:pStyle w:val="naiskr"/>
              <w:rPr>
                <w:sz w:val="28"/>
                <w:szCs w:val="28"/>
              </w:rPr>
            </w:pPr>
            <w:r w:rsidRPr="00DD4C79">
              <w:rPr>
                <w:sz w:val="28"/>
                <w:szCs w:val="28"/>
              </w:rPr>
              <w:t>2.</w:t>
            </w:r>
          </w:p>
        </w:tc>
        <w:tc>
          <w:tcPr>
            <w:tcW w:w="2531" w:type="dxa"/>
            <w:gridSpan w:val="2"/>
            <w:tcBorders>
              <w:top w:val="outset" w:sz="6" w:space="0" w:color="auto"/>
              <w:left w:val="outset" w:sz="6" w:space="0" w:color="auto"/>
              <w:bottom w:val="outset" w:sz="6" w:space="0" w:color="auto"/>
              <w:right w:val="outset" w:sz="6" w:space="0" w:color="auto"/>
            </w:tcBorders>
            <w:hideMark/>
          </w:tcPr>
          <w:p w:rsidR="00D96704" w:rsidRPr="00DD4C79" w:rsidRDefault="00D96704" w:rsidP="00D96704">
            <w:pPr>
              <w:pStyle w:val="naiskr"/>
              <w:rPr>
                <w:sz w:val="28"/>
                <w:szCs w:val="28"/>
              </w:rPr>
            </w:pPr>
            <w:r w:rsidRPr="00DD4C79">
              <w:rPr>
                <w:sz w:val="28"/>
                <w:szCs w:val="28"/>
              </w:rPr>
              <w:t>Sabiedrības līdzdalība projekta izstrādē</w:t>
            </w:r>
          </w:p>
        </w:tc>
        <w:tc>
          <w:tcPr>
            <w:tcW w:w="6307" w:type="dxa"/>
            <w:gridSpan w:val="2"/>
            <w:tcBorders>
              <w:top w:val="outset" w:sz="6" w:space="0" w:color="auto"/>
              <w:left w:val="outset" w:sz="6" w:space="0" w:color="auto"/>
              <w:bottom w:val="outset" w:sz="6" w:space="0" w:color="auto"/>
              <w:right w:val="outset" w:sz="6" w:space="0" w:color="auto"/>
            </w:tcBorders>
            <w:hideMark/>
          </w:tcPr>
          <w:p w:rsidR="00D96704" w:rsidRPr="00DD4C79" w:rsidRDefault="00D96704" w:rsidP="00D96704">
            <w:pPr>
              <w:pStyle w:val="naiskr"/>
              <w:rPr>
                <w:sz w:val="28"/>
                <w:szCs w:val="28"/>
              </w:rPr>
            </w:pPr>
            <w:r w:rsidRPr="00DD4C79">
              <w:rPr>
                <w:sz w:val="28"/>
                <w:szCs w:val="28"/>
              </w:rPr>
              <w:t>Nav</w:t>
            </w:r>
          </w:p>
        </w:tc>
      </w:tr>
      <w:tr w:rsidR="00DD4C79" w:rsidRPr="00DD4C79" w:rsidTr="00D96704">
        <w:tblPrEx>
          <w:jc w:val="center"/>
          <w:tblCellSpacing w:w="15" w:type="dxa"/>
          <w:tblCellMar>
            <w:top w:w="30" w:type="dxa"/>
            <w:left w:w="30" w:type="dxa"/>
            <w:bottom w:w="30" w:type="dxa"/>
            <w:right w:w="30" w:type="dxa"/>
          </w:tblCellMar>
          <w:tblLook w:val="04A0" w:firstRow="1" w:lastRow="0" w:firstColumn="1" w:lastColumn="0" w:noHBand="0" w:noVBand="1"/>
        </w:tblPrEx>
        <w:trPr>
          <w:gridAfter w:val="1"/>
          <w:wAfter w:w="333" w:type="dxa"/>
          <w:trHeight w:val="465"/>
          <w:tblCellSpacing w:w="15" w:type="dxa"/>
          <w:jc w:val="center"/>
        </w:trPr>
        <w:tc>
          <w:tcPr>
            <w:tcW w:w="944" w:type="dxa"/>
            <w:gridSpan w:val="2"/>
            <w:tcBorders>
              <w:top w:val="outset" w:sz="6" w:space="0" w:color="auto"/>
              <w:left w:val="outset" w:sz="6" w:space="0" w:color="auto"/>
              <w:bottom w:val="outset" w:sz="6" w:space="0" w:color="auto"/>
              <w:right w:val="outset" w:sz="6" w:space="0" w:color="auto"/>
            </w:tcBorders>
            <w:hideMark/>
          </w:tcPr>
          <w:p w:rsidR="00D96704" w:rsidRPr="00DD4C79" w:rsidRDefault="00D96704" w:rsidP="00D96704">
            <w:pPr>
              <w:pStyle w:val="naiskr"/>
              <w:rPr>
                <w:sz w:val="28"/>
                <w:szCs w:val="28"/>
              </w:rPr>
            </w:pPr>
            <w:r w:rsidRPr="00DD4C79">
              <w:rPr>
                <w:sz w:val="28"/>
                <w:szCs w:val="28"/>
              </w:rPr>
              <w:lastRenderedPageBreak/>
              <w:t>3.</w:t>
            </w:r>
          </w:p>
        </w:tc>
        <w:tc>
          <w:tcPr>
            <w:tcW w:w="2531" w:type="dxa"/>
            <w:gridSpan w:val="2"/>
            <w:tcBorders>
              <w:top w:val="outset" w:sz="6" w:space="0" w:color="auto"/>
              <w:left w:val="outset" w:sz="6" w:space="0" w:color="auto"/>
              <w:bottom w:val="outset" w:sz="6" w:space="0" w:color="auto"/>
              <w:right w:val="outset" w:sz="6" w:space="0" w:color="auto"/>
            </w:tcBorders>
            <w:hideMark/>
          </w:tcPr>
          <w:p w:rsidR="00D96704" w:rsidRPr="00DD4C79" w:rsidRDefault="00D96704" w:rsidP="00D96704">
            <w:pPr>
              <w:pStyle w:val="naiskr"/>
              <w:rPr>
                <w:sz w:val="28"/>
                <w:szCs w:val="28"/>
              </w:rPr>
            </w:pPr>
            <w:r w:rsidRPr="00DD4C79">
              <w:rPr>
                <w:sz w:val="28"/>
                <w:szCs w:val="28"/>
              </w:rPr>
              <w:t>Sabiedrības līdzdalības rezultāti</w:t>
            </w:r>
          </w:p>
        </w:tc>
        <w:tc>
          <w:tcPr>
            <w:tcW w:w="6307" w:type="dxa"/>
            <w:gridSpan w:val="2"/>
            <w:tcBorders>
              <w:top w:val="outset" w:sz="6" w:space="0" w:color="auto"/>
              <w:left w:val="outset" w:sz="6" w:space="0" w:color="auto"/>
              <w:bottom w:val="outset" w:sz="6" w:space="0" w:color="auto"/>
              <w:right w:val="outset" w:sz="6" w:space="0" w:color="auto"/>
            </w:tcBorders>
            <w:hideMark/>
          </w:tcPr>
          <w:p w:rsidR="00D96704" w:rsidRPr="00DD4C79" w:rsidRDefault="00D96704" w:rsidP="00D96704">
            <w:pPr>
              <w:pStyle w:val="naiskr"/>
              <w:rPr>
                <w:sz w:val="28"/>
                <w:szCs w:val="28"/>
              </w:rPr>
            </w:pPr>
            <w:r w:rsidRPr="00DD4C79">
              <w:rPr>
                <w:sz w:val="28"/>
                <w:szCs w:val="28"/>
              </w:rPr>
              <w:t>Nav</w:t>
            </w:r>
          </w:p>
        </w:tc>
      </w:tr>
      <w:tr w:rsidR="00DD4C79" w:rsidRPr="00DD4C79" w:rsidTr="00D96704">
        <w:tblPrEx>
          <w:jc w:val="center"/>
          <w:tblCellSpacing w:w="15" w:type="dxa"/>
          <w:tblCellMar>
            <w:top w:w="30" w:type="dxa"/>
            <w:left w:w="30" w:type="dxa"/>
            <w:bottom w:w="30" w:type="dxa"/>
            <w:right w:w="30" w:type="dxa"/>
          </w:tblCellMar>
          <w:tblLook w:val="04A0" w:firstRow="1" w:lastRow="0" w:firstColumn="1" w:lastColumn="0" w:noHBand="0" w:noVBand="1"/>
        </w:tblPrEx>
        <w:trPr>
          <w:gridAfter w:val="1"/>
          <w:wAfter w:w="333" w:type="dxa"/>
          <w:trHeight w:val="465"/>
          <w:tblCellSpacing w:w="15" w:type="dxa"/>
          <w:jc w:val="center"/>
        </w:trPr>
        <w:tc>
          <w:tcPr>
            <w:tcW w:w="944" w:type="dxa"/>
            <w:gridSpan w:val="2"/>
            <w:tcBorders>
              <w:top w:val="outset" w:sz="6" w:space="0" w:color="auto"/>
              <w:left w:val="outset" w:sz="6" w:space="0" w:color="auto"/>
              <w:bottom w:val="outset" w:sz="6" w:space="0" w:color="auto"/>
              <w:right w:val="outset" w:sz="6" w:space="0" w:color="auto"/>
            </w:tcBorders>
            <w:hideMark/>
          </w:tcPr>
          <w:p w:rsidR="00D96704" w:rsidRPr="00DD4C79" w:rsidRDefault="00D96704" w:rsidP="00D96704">
            <w:pPr>
              <w:pStyle w:val="naiskr"/>
              <w:rPr>
                <w:sz w:val="28"/>
                <w:szCs w:val="28"/>
              </w:rPr>
            </w:pPr>
            <w:r w:rsidRPr="00DD4C79">
              <w:rPr>
                <w:sz w:val="28"/>
                <w:szCs w:val="28"/>
              </w:rPr>
              <w:t>4.</w:t>
            </w:r>
          </w:p>
        </w:tc>
        <w:tc>
          <w:tcPr>
            <w:tcW w:w="2531" w:type="dxa"/>
            <w:gridSpan w:val="2"/>
            <w:tcBorders>
              <w:top w:val="outset" w:sz="6" w:space="0" w:color="auto"/>
              <w:left w:val="outset" w:sz="6" w:space="0" w:color="auto"/>
              <w:bottom w:val="outset" w:sz="6" w:space="0" w:color="auto"/>
              <w:right w:val="outset" w:sz="6" w:space="0" w:color="auto"/>
            </w:tcBorders>
            <w:hideMark/>
          </w:tcPr>
          <w:p w:rsidR="00D96704" w:rsidRPr="00DD4C79" w:rsidRDefault="00D96704" w:rsidP="00D96704">
            <w:pPr>
              <w:pStyle w:val="naiskr"/>
              <w:rPr>
                <w:sz w:val="28"/>
                <w:szCs w:val="28"/>
              </w:rPr>
            </w:pPr>
            <w:r w:rsidRPr="00DD4C79">
              <w:rPr>
                <w:sz w:val="28"/>
                <w:szCs w:val="28"/>
              </w:rPr>
              <w:t>Cita informācija</w:t>
            </w:r>
          </w:p>
        </w:tc>
        <w:tc>
          <w:tcPr>
            <w:tcW w:w="6307" w:type="dxa"/>
            <w:gridSpan w:val="2"/>
            <w:tcBorders>
              <w:top w:val="outset" w:sz="6" w:space="0" w:color="auto"/>
              <w:left w:val="outset" w:sz="6" w:space="0" w:color="auto"/>
              <w:bottom w:val="outset" w:sz="6" w:space="0" w:color="auto"/>
              <w:right w:val="outset" w:sz="6" w:space="0" w:color="auto"/>
            </w:tcBorders>
            <w:hideMark/>
          </w:tcPr>
          <w:p w:rsidR="00D96704" w:rsidRPr="00DD4C79" w:rsidRDefault="00D96704" w:rsidP="00D96704">
            <w:pPr>
              <w:pStyle w:val="naiskr"/>
              <w:rPr>
                <w:sz w:val="28"/>
                <w:szCs w:val="28"/>
              </w:rPr>
            </w:pPr>
            <w:r w:rsidRPr="00DD4C79">
              <w:rPr>
                <w:sz w:val="28"/>
                <w:szCs w:val="28"/>
              </w:rPr>
              <w:t>Nav</w:t>
            </w:r>
          </w:p>
        </w:tc>
      </w:tr>
    </w:tbl>
    <w:p w:rsidR="003342F9" w:rsidRPr="00DD4C79" w:rsidRDefault="003342F9" w:rsidP="00D74460">
      <w:pPr>
        <w:pStyle w:val="naiskr"/>
        <w:rPr>
          <w:sz w:val="28"/>
          <w:szCs w:val="28"/>
        </w:rPr>
      </w:pPr>
    </w:p>
    <w:tbl>
      <w:tblPr>
        <w:tblW w:w="9782"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46"/>
        <w:gridCol w:w="3082"/>
        <w:gridCol w:w="5954"/>
      </w:tblGrid>
      <w:tr w:rsidR="00DD4C79" w:rsidRPr="00DD4C79" w:rsidTr="00715B06">
        <w:trPr>
          <w:tblCellSpacing w:w="0" w:type="dxa"/>
        </w:trPr>
        <w:tc>
          <w:tcPr>
            <w:tcW w:w="9782" w:type="dxa"/>
            <w:gridSpan w:val="3"/>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c"/>
              <w:rPr>
                <w:sz w:val="28"/>
                <w:szCs w:val="28"/>
              </w:rPr>
            </w:pPr>
            <w:r w:rsidRPr="00DD4C79">
              <w:rPr>
                <w:b/>
                <w:bCs/>
                <w:sz w:val="28"/>
                <w:szCs w:val="28"/>
              </w:rPr>
              <w:t> VII. Tiesību akta projekta izpildes nodrošināšana un tās ietekme uz institūcijām</w:t>
            </w:r>
          </w:p>
        </w:tc>
      </w:tr>
      <w:tr w:rsidR="00DD4C79" w:rsidRPr="00DD4C79" w:rsidTr="00715B06">
        <w:trPr>
          <w:trHeight w:val="427"/>
          <w:tblCellSpacing w:w="0" w:type="dxa"/>
        </w:trPr>
        <w:tc>
          <w:tcPr>
            <w:tcW w:w="746"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t> 1.</w:t>
            </w:r>
          </w:p>
        </w:tc>
        <w:tc>
          <w:tcPr>
            <w:tcW w:w="3082"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t>Projekta izpildē iesaistītās institūcijas</w:t>
            </w:r>
          </w:p>
        </w:tc>
        <w:tc>
          <w:tcPr>
            <w:tcW w:w="5954" w:type="dxa"/>
            <w:tcBorders>
              <w:top w:val="outset" w:sz="6" w:space="0" w:color="auto"/>
              <w:left w:val="outset" w:sz="6" w:space="0" w:color="auto"/>
              <w:bottom w:val="outset" w:sz="6" w:space="0" w:color="auto"/>
              <w:right w:val="outset" w:sz="6" w:space="0" w:color="auto"/>
            </w:tcBorders>
          </w:tcPr>
          <w:p w:rsidR="00764722" w:rsidRPr="00DD4C79" w:rsidRDefault="00D74460" w:rsidP="00F713BE">
            <w:pPr>
              <w:pStyle w:val="naiskr"/>
              <w:spacing w:before="0" w:after="0"/>
              <w:ind w:firstLine="425"/>
              <w:rPr>
                <w:sz w:val="28"/>
                <w:szCs w:val="28"/>
              </w:rPr>
            </w:pPr>
            <w:r w:rsidRPr="00DD4C79">
              <w:rPr>
                <w:sz w:val="28"/>
                <w:szCs w:val="28"/>
              </w:rPr>
              <w:t>Valsts kase</w:t>
            </w:r>
          </w:p>
          <w:p w:rsidR="00575972" w:rsidRPr="00DD4C79" w:rsidRDefault="00575972" w:rsidP="00575972">
            <w:pPr>
              <w:pStyle w:val="naiskr"/>
              <w:spacing w:before="0" w:after="0"/>
              <w:ind w:firstLine="425"/>
              <w:rPr>
                <w:sz w:val="28"/>
                <w:szCs w:val="28"/>
              </w:rPr>
            </w:pPr>
            <w:r w:rsidRPr="00DD4C79">
              <w:rPr>
                <w:sz w:val="28"/>
                <w:szCs w:val="28"/>
              </w:rPr>
              <w:t>Finanšu un kapitāla tirgus komisija</w:t>
            </w:r>
          </w:p>
          <w:p w:rsidR="00575972" w:rsidRPr="00DD4C79" w:rsidRDefault="00575972" w:rsidP="00575972">
            <w:pPr>
              <w:pStyle w:val="naiskr"/>
              <w:spacing w:before="0" w:after="0"/>
              <w:ind w:left="410" w:firstLine="15"/>
              <w:rPr>
                <w:sz w:val="28"/>
                <w:szCs w:val="28"/>
              </w:rPr>
            </w:pPr>
            <w:r w:rsidRPr="00DD4C79">
              <w:rPr>
                <w:sz w:val="28"/>
                <w:szCs w:val="28"/>
              </w:rPr>
              <w:t>Tieslietu ministrija</w:t>
            </w:r>
          </w:p>
          <w:p w:rsidR="004757D9" w:rsidRPr="00DD4C79" w:rsidRDefault="00575972" w:rsidP="00575972">
            <w:pPr>
              <w:pStyle w:val="naiskr"/>
              <w:spacing w:before="0" w:after="0"/>
              <w:ind w:left="410" w:firstLine="15"/>
              <w:rPr>
                <w:sz w:val="28"/>
                <w:szCs w:val="28"/>
              </w:rPr>
            </w:pPr>
            <w:r w:rsidRPr="00DD4C79">
              <w:rPr>
                <w:sz w:val="28"/>
                <w:szCs w:val="28"/>
              </w:rPr>
              <w:t>AS „</w:t>
            </w:r>
            <w:r w:rsidR="004757D9" w:rsidRPr="00DD4C79">
              <w:rPr>
                <w:sz w:val="28"/>
                <w:szCs w:val="28"/>
              </w:rPr>
              <w:t>Latvijas Centrālais depozitārijs</w:t>
            </w:r>
            <w:r w:rsidRPr="00DD4C79">
              <w:rPr>
                <w:sz w:val="28"/>
                <w:szCs w:val="28"/>
              </w:rPr>
              <w:t>”</w:t>
            </w:r>
          </w:p>
          <w:p w:rsidR="007574A3" w:rsidRPr="00DD4C79" w:rsidRDefault="00D456C3" w:rsidP="00715B06">
            <w:pPr>
              <w:pStyle w:val="naiskr"/>
              <w:spacing w:before="0" w:after="0"/>
              <w:ind w:left="410" w:firstLine="15"/>
              <w:rPr>
                <w:sz w:val="28"/>
                <w:szCs w:val="28"/>
              </w:rPr>
            </w:pPr>
            <w:r w:rsidRPr="00DD4C79">
              <w:rPr>
                <w:sz w:val="28"/>
                <w:szCs w:val="28"/>
              </w:rPr>
              <w:t>AS „</w:t>
            </w:r>
            <w:r w:rsidR="00F713BE" w:rsidRPr="00DD4C79">
              <w:rPr>
                <w:sz w:val="28"/>
                <w:szCs w:val="28"/>
              </w:rPr>
              <w:t xml:space="preserve">NASDAQ OMX </w:t>
            </w:r>
            <w:proofErr w:type="spellStart"/>
            <w:r w:rsidR="00F713BE" w:rsidRPr="00DD4C79">
              <w:rPr>
                <w:sz w:val="28"/>
                <w:szCs w:val="28"/>
              </w:rPr>
              <w:t>Riga</w:t>
            </w:r>
            <w:proofErr w:type="spellEnd"/>
            <w:r w:rsidR="00DE3A0D" w:rsidRPr="00DD4C79">
              <w:rPr>
                <w:sz w:val="28"/>
                <w:szCs w:val="28"/>
              </w:rPr>
              <w:t>”</w:t>
            </w:r>
          </w:p>
          <w:p w:rsidR="000B001F" w:rsidRPr="00DD4C79" w:rsidRDefault="000B001F" w:rsidP="00715B06">
            <w:pPr>
              <w:pStyle w:val="naiskr"/>
              <w:spacing w:before="0" w:after="0"/>
              <w:ind w:left="410" w:firstLine="15"/>
              <w:rPr>
                <w:sz w:val="28"/>
                <w:szCs w:val="28"/>
              </w:rPr>
            </w:pPr>
          </w:p>
        </w:tc>
      </w:tr>
      <w:tr w:rsidR="00DD4C79" w:rsidRPr="00DD4C79" w:rsidTr="00715B06">
        <w:trPr>
          <w:trHeight w:val="3215"/>
          <w:tblCellSpacing w:w="0" w:type="dxa"/>
        </w:trPr>
        <w:tc>
          <w:tcPr>
            <w:tcW w:w="746"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t> 2.</w:t>
            </w:r>
          </w:p>
        </w:tc>
        <w:tc>
          <w:tcPr>
            <w:tcW w:w="3082" w:type="dxa"/>
            <w:tcBorders>
              <w:top w:val="outset" w:sz="6" w:space="0" w:color="auto"/>
              <w:left w:val="outset" w:sz="6" w:space="0" w:color="auto"/>
              <w:bottom w:val="outset" w:sz="6" w:space="0" w:color="auto"/>
              <w:right w:val="outset" w:sz="6" w:space="0" w:color="auto"/>
            </w:tcBorders>
          </w:tcPr>
          <w:p w:rsidR="00906B36" w:rsidRPr="00DD4C79" w:rsidRDefault="00764722" w:rsidP="00906B36">
            <w:pPr>
              <w:pStyle w:val="naiskr"/>
              <w:rPr>
                <w:sz w:val="28"/>
                <w:szCs w:val="28"/>
              </w:rPr>
            </w:pPr>
            <w:r w:rsidRPr="00DD4C79">
              <w:rPr>
                <w:sz w:val="28"/>
                <w:szCs w:val="28"/>
              </w:rPr>
              <w:t>Projekta izpildes ietekme uz pārvaldes funkcijām</w:t>
            </w:r>
            <w:r w:rsidR="00906B36" w:rsidRPr="00DD4C79">
              <w:rPr>
                <w:sz w:val="28"/>
                <w:szCs w:val="28"/>
              </w:rPr>
              <w:t xml:space="preserve"> un institucionālo struktūru. </w:t>
            </w:r>
          </w:p>
          <w:p w:rsidR="00906B36" w:rsidRPr="00DD4C79" w:rsidRDefault="00906B36" w:rsidP="00E47744">
            <w:pPr>
              <w:pStyle w:val="naiskr"/>
              <w:rPr>
                <w:sz w:val="28"/>
                <w:szCs w:val="28"/>
              </w:rPr>
            </w:pPr>
            <w:r w:rsidRPr="00DD4C79">
              <w:rPr>
                <w:sz w:val="28"/>
                <w:szCs w:val="28"/>
              </w:rPr>
              <w:t>Jaunu institūciju izveide, esošu institūciju likvidācija vai reorganizācija, to ietekme uz institūcijas cilvēkresursiem</w:t>
            </w:r>
          </w:p>
          <w:p w:rsidR="000B001F" w:rsidRPr="00DD4C79" w:rsidRDefault="000B001F" w:rsidP="00E47744">
            <w:pPr>
              <w:pStyle w:val="naiskr"/>
              <w:rPr>
                <w:sz w:val="28"/>
                <w:szCs w:val="28"/>
              </w:rPr>
            </w:pPr>
          </w:p>
        </w:tc>
        <w:tc>
          <w:tcPr>
            <w:tcW w:w="5954" w:type="dxa"/>
            <w:tcBorders>
              <w:top w:val="outset" w:sz="6" w:space="0" w:color="auto"/>
              <w:left w:val="outset" w:sz="6" w:space="0" w:color="auto"/>
              <w:bottom w:val="outset" w:sz="6" w:space="0" w:color="auto"/>
              <w:right w:val="outset" w:sz="6" w:space="0" w:color="auto"/>
            </w:tcBorders>
          </w:tcPr>
          <w:p w:rsidR="00764722" w:rsidRPr="00DD4C79" w:rsidRDefault="00FA2EA5" w:rsidP="00E71535">
            <w:pPr>
              <w:pStyle w:val="naiskr"/>
              <w:ind w:left="410" w:firstLine="15"/>
              <w:rPr>
                <w:sz w:val="28"/>
                <w:szCs w:val="28"/>
              </w:rPr>
            </w:pPr>
            <w:r w:rsidRPr="00DD4C79">
              <w:rPr>
                <w:sz w:val="28"/>
                <w:szCs w:val="28"/>
              </w:rPr>
              <w:t>Projekta izpilde notiks esošo pārvaldes funkciju ietvaros.</w:t>
            </w:r>
          </w:p>
        </w:tc>
      </w:tr>
      <w:tr w:rsidR="00DD4C79" w:rsidRPr="00DD4C79" w:rsidTr="00715B06">
        <w:trPr>
          <w:trHeight w:val="476"/>
          <w:tblCellSpacing w:w="0" w:type="dxa"/>
        </w:trPr>
        <w:tc>
          <w:tcPr>
            <w:tcW w:w="746"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t> </w:t>
            </w:r>
            <w:r w:rsidR="00906B36" w:rsidRPr="00DD4C79">
              <w:rPr>
                <w:sz w:val="28"/>
                <w:szCs w:val="28"/>
              </w:rPr>
              <w:t>3</w:t>
            </w:r>
            <w:r w:rsidRPr="00DD4C79">
              <w:rPr>
                <w:sz w:val="28"/>
                <w:szCs w:val="28"/>
              </w:rPr>
              <w:t>.</w:t>
            </w:r>
          </w:p>
        </w:tc>
        <w:tc>
          <w:tcPr>
            <w:tcW w:w="3082" w:type="dxa"/>
            <w:tcBorders>
              <w:top w:val="outset" w:sz="6" w:space="0" w:color="auto"/>
              <w:left w:val="outset" w:sz="6" w:space="0" w:color="auto"/>
              <w:bottom w:val="outset" w:sz="6" w:space="0" w:color="auto"/>
              <w:right w:val="outset" w:sz="6" w:space="0" w:color="auto"/>
            </w:tcBorders>
          </w:tcPr>
          <w:p w:rsidR="00764722" w:rsidRPr="00DD4C79" w:rsidRDefault="00764722" w:rsidP="00E47744">
            <w:pPr>
              <w:pStyle w:val="naiskr"/>
              <w:rPr>
                <w:sz w:val="28"/>
                <w:szCs w:val="28"/>
              </w:rPr>
            </w:pPr>
            <w:r w:rsidRPr="00DD4C79">
              <w:rPr>
                <w:sz w:val="28"/>
                <w:szCs w:val="28"/>
              </w:rPr>
              <w:t> Cita informācija</w:t>
            </w:r>
          </w:p>
        </w:tc>
        <w:tc>
          <w:tcPr>
            <w:tcW w:w="5954" w:type="dxa"/>
            <w:tcBorders>
              <w:top w:val="outset" w:sz="6" w:space="0" w:color="auto"/>
              <w:left w:val="outset" w:sz="6" w:space="0" w:color="auto"/>
              <w:bottom w:val="outset" w:sz="6" w:space="0" w:color="auto"/>
              <w:right w:val="outset" w:sz="6" w:space="0" w:color="auto"/>
            </w:tcBorders>
          </w:tcPr>
          <w:p w:rsidR="00764722" w:rsidRPr="00DD4C79" w:rsidRDefault="00764722" w:rsidP="00D7531E">
            <w:pPr>
              <w:pStyle w:val="naiskr"/>
              <w:ind w:firstLine="425"/>
              <w:rPr>
                <w:sz w:val="28"/>
                <w:szCs w:val="28"/>
              </w:rPr>
            </w:pPr>
            <w:r w:rsidRPr="00DD4C79">
              <w:rPr>
                <w:sz w:val="28"/>
                <w:szCs w:val="28"/>
              </w:rPr>
              <w:t> </w:t>
            </w:r>
            <w:r w:rsidR="00D74460" w:rsidRPr="00DD4C79">
              <w:rPr>
                <w:sz w:val="28"/>
                <w:szCs w:val="28"/>
              </w:rPr>
              <w:t>Nav</w:t>
            </w:r>
          </w:p>
        </w:tc>
      </w:tr>
    </w:tbl>
    <w:p w:rsidR="00D74460" w:rsidRPr="00DD4C79" w:rsidRDefault="00764722" w:rsidP="00D74460">
      <w:pPr>
        <w:pStyle w:val="naisf"/>
        <w:rPr>
          <w:i/>
          <w:sz w:val="28"/>
          <w:szCs w:val="28"/>
        </w:rPr>
      </w:pPr>
      <w:r w:rsidRPr="00DD4C79">
        <w:rPr>
          <w:sz w:val="28"/>
          <w:szCs w:val="28"/>
        </w:rPr>
        <w:t> </w:t>
      </w:r>
      <w:r w:rsidR="00D74460" w:rsidRPr="00DD4C79">
        <w:rPr>
          <w:i/>
          <w:sz w:val="28"/>
          <w:szCs w:val="28"/>
        </w:rPr>
        <w:t xml:space="preserve">Anotācijas </w:t>
      </w:r>
      <w:r w:rsidR="00104776" w:rsidRPr="00DD4C79">
        <w:rPr>
          <w:i/>
          <w:sz w:val="28"/>
          <w:szCs w:val="28"/>
        </w:rPr>
        <w:t>III</w:t>
      </w:r>
      <w:r w:rsidR="00D74460" w:rsidRPr="00DD4C79">
        <w:rPr>
          <w:i/>
          <w:sz w:val="28"/>
          <w:szCs w:val="28"/>
        </w:rPr>
        <w:t xml:space="preserve"> sadaļa – projekts šo jomu neskar.</w:t>
      </w:r>
    </w:p>
    <w:p w:rsidR="00715B06" w:rsidRPr="00DD4C79" w:rsidRDefault="00715B06" w:rsidP="004857EC">
      <w:pPr>
        <w:pStyle w:val="naisf"/>
        <w:ind w:firstLine="0"/>
        <w:rPr>
          <w:sz w:val="28"/>
          <w:szCs w:val="28"/>
        </w:rPr>
      </w:pPr>
    </w:p>
    <w:p w:rsidR="000B001F" w:rsidRPr="00DD4C79" w:rsidRDefault="000B001F" w:rsidP="004857EC">
      <w:pPr>
        <w:pStyle w:val="naisf"/>
        <w:ind w:firstLine="0"/>
        <w:rPr>
          <w:sz w:val="28"/>
          <w:szCs w:val="28"/>
        </w:rPr>
      </w:pPr>
    </w:p>
    <w:p w:rsidR="00E21F24" w:rsidRPr="00F4714F" w:rsidRDefault="00E21F24" w:rsidP="00E21F24">
      <w:pPr>
        <w:tabs>
          <w:tab w:val="left" w:pos="7854"/>
        </w:tabs>
        <w:rPr>
          <w:sz w:val="28"/>
          <w:szCs w:val="28"/>
          <w:lang w:eastAsia="lv-LV"/>
        </w:rPr>
      </w:pPr>
      <w:r w:rsidRPr="00F4714F">
        <w:rPr>
          <w:sz w:val="28"/>
          <w:szCs w:val="28"/>
          <w:lang w:eastAsia="lv-LV"/>
        </w:rPr>
        <w:t xml:space="preserve">Finanšu ministra vietā - </w:t>
      </w:r>
    </w:p>
    <w:p w:rsidR="00E21F24" w:rsidRDefault="00E21F24" w:rsidP="00E21F24">
      <w:pPr>
        <w:tabs>
          <w:tab w:val="left" w:pos="7854"/>
        </w:tabs>
        <w:rPr>
          <w:sz w:val="28"/>
          <w:szCs w:val="28"/>
          <w:lang w:eastAsia="lv-LV"/>
        </w:rPr>
      </w:pPr>
      <w:r w:rsidRPr="00F4714F">
        <w:rPr>
          <w:sz w:val="28"/>
          <w:szCs w:val="28"/>
          <w:lang w:eastAsia="lv-LV"/>
        </w:rPr>
        <w:t xml:space="preserve">veselības ministre </w:t>
      </w:r>
      <w:r>
        <w:rPr>
          <w:sz w:val="28"/>
          <w:szCs w:val="28"/>
          <w:lang w:eastAsia="lv-LV"/>
        </w:rPr>
        <w:tab/>
      </w:r>
      <w:r>
        <w:rPr>
          <w:sz w:val="28"/>
          <w:szCs w:val="28"/>
          <w:lang w:eastAsia="lv-LV"/>
        </w:rPr>
        <w:tab/>
        <w:t xml:space="preserve">    </w:t>
      </w:r>
      <w:proofErr w:type="spellStart"/>
      <w:r w:rsidRPr="00F4714F">
        <w:rPr>
          <w:sz w:val="28"/>
          <w:szCs w:val="28"/>
          <w:lang w:eastAsia="lv-LV"/>
        </w:rPr>
        <w:t>I.Circene</w:t>
      </w:r>
      <w:proofErr w:type="spellEnd"/>
    </w:p>
    <w:p w:rsidR="00715B06" w:rsidRPr="00DD4C79" w:rsidRDefault="00715B06"/>
    <w:p w:rsidR="00E71535" w:rsidRPr="00DD4C79" w:rsidRDefault="00E71535"/>
    <w:p w:rsidR="00E71535" w:rsidRPr="00DD4C79" w:rsidRDefault="00E71535"/>
    <w:p w:rsidR="00E71535" w:rsidRPr="00DD4C79" w:rsidRDefault="00E71535"/>
    <w:p w:rsidR="00764722" w:rsidRPr="00DD4C79" w:rsidRDefault="00E71535" w:rsidP="00764722">
      <w:pPr>
        <w:rPr>
          <w:sz w:val="18"/>
        </w:rPr>
      </w:pPr>
      <w:r w:rsidRPr="00DD4C79">
        <w:rPr>
          <w:sz w:val="18"/>
        </w:rPr>
        <w:t>28</w:t>
      </w:r>
      <w:r w:rsidR="001C5DAD" w:rsidRPr="00DD4C79">
        <w:rPr>
          <w:sz w:val="18"/>
        </w:rPr>
        <w:t>.</w:t>
      </w:r>
      <w:r w:rsidR="00CD77A0" w:rsidRPr="00DD4C79">
        <w:rPr>
          <w:sz w:val="18"/>
        </w:rPr>
        <w:t>03</w:t>
      </w:r>
      <w:r w:rsidR="001C5DAD" w:rsidRPr="00DD4C79">
        <w:rPr>
          <w:sz w:val="18"/>
        </w:rPr>
        <w:t>.201</w:t>
      </w:r>
      <w:r w:rsidR="00906B36" w:rsidRPr="00DD4C79">
        <w:rPr>
          <w:sz w:val="18"/>
        </w:rPr>
        <w:t>4</w:t>
      </w:r>
      <w:r w:rsidRPr="00DD4C79">
        <w:rPr>
          <w:sz w:val="18"/>
        </w:rPr>
        <w:t xml:space="preserve">  10:09</w:t>
      </w:r>
    </w:p>
    <w:p w:rsidR="00630C5B" w:rsidRPr="00DD4C79" w:rsidRDefault="0082052D" w:rsidP="00764722">
      <w:pPr>
        <w:rPr>
          <w:sz w:val="18"/>
        </w:rPr>
      </w:pPr>
      <w:r w:rsidRPr="00DD4C79">
        <w:rPr>
          <w:sz w:val="18"/>
        </w:rPr>
        <w:t>2</w:t>
      </w:r>
      <w:r w:rsidR="002877E0">
        <w:rPr>
          <w:sz w:val="18"/>
        </w:rPr>
        <w:t>830</w:t>
      </w:r>
      <w:bookmarkStart w:id="0" w:name="_GoBack"/>
      <w:bookmarkEnd w:id="0"/>
    </w:p>
    <w:p w:rsidR="00764722" w:rsidRPr="00DD4C79" w:rsidRDefault="00104776" w:rsidP="00764722">
      <w:pPr>
        <w:rPr>
          <w:sz w:val="18"/>
        </w:rPr>
      </w:pPr>
      <w:r w:rsidRPr="00DD4C79">
        <w:rPr>
          <w:sz w:val="18"/>
        </w:rPr>
        <w:t>I.Sudare</w:t>
      </w:r>
    </w:p>
    <w:p w:rsidR="00764722" w:rsidRPr="00DD4C79" w:rsidRDefault="00764722" w:rsidP="00715B06">
      <w:pPr>
        <w:pStyle w:val="naisf"/>
        <w:spacing w:before="0" w:after="0"/>
        <w:ind w:firstLine="0"/>
      </w:pPr>
      <w:r w:rsidRPr="00DD4C79">
        <w:rPr>
          <w:sz w:val="18"/>
        </w:rPr>
        <w:t>67094</w:t>
      </w:r>
      <w:r w:rsidR="00104776" w:rsidRPr="00DD4C79">
        <w:rPr>
          <w:sz w:val="18"/>
        </w:rPr>
        <w:t>388</w:t>
      </w:r>
      <w:r w:rsidRPr="00DD4C79">
        <w:rPr>
          <w:sz w:val="18"/>
        </w:rPr>
        <w:t xml:space="preserve">, </w:t>
      </w:r>
      <w:hyperlink r:id="rId12" w:history="1">
        <w:r w:rsidR="00104776" w:rsidRPr="00DD4C79">
          <w:rPr>
            <w:rStyle w:val="Hyperlink"/>
            <w:color w:val="auto"/>
            <w:sz w:val="18"/>
          </w:rPr>
          <w:t>Inese.Sudare@kase.gov.lv</w:t>
        </w:r>
      </w:hyperlink>
    </w:p>
    <w:sectPr w:rsidR="00764722" w:rsidRPr="00DD4C79" w:rsidSect="00715B06">
      <w:type w:val="continuous"/>
      <w:pgSz w:w="11906" w:h="16838"/>
      <w:pgMar w:top="1418"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15" w:rsidRDefault="00B24C15" w:rsidP="00E47744">
      <w:r>
        <w:separator/>
      </w:r>
    </w:p>
  </w:endnote>
  <w:endnote w:type="continuationSeparator" w:id="0">
    <w:p w:rsidR="00B24C15" w:rsidRDefault="00B24C15" w:rsidP="00E4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CE" w:rsidRPr="002C72CE" w:rsidRDefault="00871781" w:rsidP="002C72CE">
    <w:pPr>
      <w:pStyle w:val="naisnod"/>
      <w:jc w:val="both"/>
      <w:rPr>
        <w:b w:val="0"/>
        <w:sz w:val="20"/>
        <w:szCs w:val="20"/>
      </w:rPr>
    </w:pPr>
    <w:r w:rsidRPr="002C72CE">
      <w:rPr>
        <w:b w:val="0"/>
        <w:sz w:val="20"/>
        <w:szCs w:val="20"/>
      </w:rPr>
      <w:t>F</w:t>
    </w:r>
    <w:r w:rsidR="0032587C">
      <w:rPr>
        <w:b w:val="0"/>
        <w:sz w:val="20"/>
        <w:szCs w:val="20"/>
      </w:rPr>
      <w:t>MAnot_</w:t>
    </w:r>
    <w:r w:rsidR="00E71535">
      <w:rPr>
        <w:b w:val="0"/>
        <w:sz w:val="20"/>
        <w:szCs w:val="20"/>
      </w:rPr>
      <w:t>28</w:t>
    </w:r>
    <w:r w:rsidR="00CD77A0">
      <w:rPr>
        <w:b w:val="0"/>
        <w:sz w:val="20"/>
        <w:szCs w:val="20"/>
      </w:rPr>
      <w:t>03</w:t>
    </w:r>
    <w:r w:rsidR="00536BCC">
      <w:rPr>
        <w:b w:val="0"/>
        <w:sz w:val="20"/>
        <w:szCs w:val="20"/>
      </w:rPr>
      <w:t>14</w:t>
    </w:r>
    <w:r w:rsidRPr="002C72CE">
      <w:rPr>
        <w:b w:val="0"/>
        <w:sz w:val="20"/>
        <w:szCs w:val="20"/>
      </w:rPr>
      <w:t xml:space="preserve">_CAC; </w:t>
    </w:r>
    <w:r w:rsidR="002C72CE" w:rsidRPr="002C72CE">
      <w:rPr>
        <w:b w:val="0"/>
        <w:sz w:val="20"/>
        <w:szCs w:val="20"/>
      </w:rPr>
      <w:t>Ministru kabineta noteikumu projekta „Valsts vērtspapīru izlaišanas noteikumi” sākotnējās ietekmes novērtējuma ziņojums (anotācija)</w:t>
    </w:r>
  </w:p>
  <w:p w:rsidR="00871781" w:rsidRDefault="00871781" w:rsidP="004857EC">
    <w:pPr>
      <w:pStyle w:val="Footer"/>
      <w:tabs>
        <w:tab w:val="clear" w:pos="8306"/>
        <w:tab w:val="right" w:pos="9498"/>
      </w:tabs>
      <w:ind w:right="-9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7C" w:rsidRPr="002C72CE" w:rsidRDefault="0032587C" w:rsidP="0032587C">
    <w:pPr>
      <w:pStyle w:val="naisnod"/>
      <w:jc w:val="both"/>
      <w:rPr>
        <w:b w:val="0"/>
        <w:sz w:val="20"/>
        <w:szCs w:val="20"/>
      </w:rPr>
    </w:pPr>
    <w:r w:rsidRPr="002C72CE">
      <w:rPr>
        <w:b w:val="0"/>
        <w:sz w:val="20"/>
        <w:szCs w:val="20"/>
      </w:rPr>
      <w:t>F</w:t>
    </w:r>
    <w:r>
      <w:rPr>
        <w:b w:val="0"/>
        <w:sz w:val="20"/>
        <w:szCs w:val="20"/>
      </w:rPr>
      <w:t>MAnot_</w:t>
    </w:r>
    <w:r w:rsidR="00E71535">
      <w:rPr>
        <w:b w:val="0"/>
        <w:sz w:val="20"/>
        <w:szCs w:val="20"/>
      </w:rPr>
      <w:t>28</w:t>
    </w:r>
    <w:r w:rsidR="00CD77A0">
      <w:rPr>
        <w:b w:val="0"/>
        <w:sz w:val="20"/>
        <w:szCs w:val="20"/>
      </w:rPr>
      <w:t>03</w:t>
    </w:r>
    <w:r w:rsidR="00536BCC">
      <w:rPr>
        <w:b w:val="0"/>
        <w:sz w:val="20"/>
        <w:szCs w:val="20"/>
      </w:rPr>
      <w:t>14</w:t>
    </w:r>
    <w:r w:rsidRPr="002C72CE">
      <w:rPr>
        <w:b w:val="0"/>
        <w:sz w:val="20"/>
        <w:szCs w:val="20"/>
      </w:rPr>
      <w:t>_CAC; Ministru kabineta noteikumu projekta „Valsts vērtspapīru izlaišanas noteikumi” sākotnējās ietekmes novērtējuma ziņojums (anotācija)</w:t>
    </w:r>
  </w:p>
  <w:p w:rsidR="002C72CE" w:rsidRDefault="002C7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15" w:rsidRDefault="00B24C15" w:rsidP="00E47744">
      <w:r>
        <w:separator/>
      </w:r>
    </w:p>
  </w:footnote>
  <w:footnote w:type="continuationSeparator" w:id="0">
    <w:p w:rsidR="00B24C15" w:rsidRDefault="00B24C15" w:rsidP="00E47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81" w:rsidRDefault="00871781">
    <w:pPr>
      <w:pStyle w:val="Header"/>
      <w:jc w:val="center"/>
    </w:pPr>
    <w:r>
      <w:fldChar w:fldCharType="begin"/>
    </w:r>
    <w:r>
      <w:instrText xml:space="preserve"> PAGE   \* MERGEFORMAT </w:instrText>
    </w:r>
    <w:r>
      <w:fldChar w:fldCharType="separate"/>
    </w:r>
    <w:r w:rsidR="002877E0">
      <w:rPr>
        <w:noProof/>
      </w:rPr>
      <w:t>12</w:t>
    </w:r>
    <w:r>
      <w:rPr>
        <w:noProof/>
      </w:rPr>
      <w:fldChar w:fldCharType="end"/>
    </w:r>
  </w:p>
  <w:p w:rsidR="00871781" w:rsidRDefault="00871781">
    <w:pPr>
      <w:pStyle w:val="Header"/>
    </w:pPr>
  </w:p>
  <w:p w:rsidR="003F61FE" w:rsidRDefault="003F61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687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EC77C1"/>
    <w:multiLevelType w:val="hybridMultilevel"/>
    <w:tmpl w:val="F190C5E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B71AC3"/>
    <w:multiLevelType w:val="hybridMultilevel"/>
    <w:tmpl w:val="D2BE6298"/>
    <w:lvl w:ilvl="0" w:tplc="DA4665A2">
      <w:start w:val="1"/>
      <w:numFmt w:val="bullet"/>
      <w:lvlText w:val=""/>
      <w:lvlJc w:val="left"/>
      <w:pPr>
        <w:ind w:left="785"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B965572"/>
    <w:multiLevelType w:val="hybridMultilevel"/>
    <w:tmpl w:val="BBC85A1C"/>
    <w:lvl w:ilvl="0" w:tplc="33BC249C">
      <w:start w:val="1"/>
      <w:numFmt w:val="lowerLetter"/>
      <w:lvlText w:val="%1)"/>
      <w:lvlJc w:val="left"/>
      <w:pPr>
        <w:ind w:left="912" w:hanging="360"/>
      </w:pPr>
      <w:rPr>
        <w:rFonts w:hint="default"/>
      </w:rPr>
    </w:lvl>
    <w:lvl w:ilvl="1" w:tplc="04260019" w:tentative="1">
      <w:start w:val="1"/>
      <w:numFmt w:val="lowerLetter"/>
      <w:lvlText w:val="%2."/>
      <w:lvlJc w:val="left"/>
      <w:pPr>
        <w:ind w:left="1632" w:hanging="360"/>
      </w:pPr>
    </w:lvl>
    <w:lvl w:ilvl="2" w:tplc="0426001B" w:tentative="1">
      <w:start w:val="1"/>
      <w:numFmt w:val="lowerRoman"/>
      <w:lvlText w:val="%3."/>
      <w:lvlJc w:val="right"/>
      <w:pPr>
        <w:ind w:left="2352" w:hanging="180"/>
      </w:pPr>
    </w:lvl>
    <w:lvl w:ilvl="3" w:tplc="0426000F" w:tentative="1">
      <w:start w:val="1"/>
      <w:numFmt w:val="decimal"/>
      <w:lvlText w:val="%4."/>
      <w:lvlJc w:val="left"/>
      <w:pPr>
        <w:ind w:left="3072" w:hanging="360"/>
      </w:pPr>
    </w:lvl>
    <w:lvl w:ilvl="4" w:tplc="04260019" w:tentative="1">
      <w:start w:val="1"/>
      <w:numFmt w:val="lowerLetter"/>
      <w:lvlText w:val="%5."/>
      <w:lvlJc w:val="left"/>
      <w:pPr>
        <w:ind w:left="3792" w:hanging="360"/>
      </w:pPr>
    </w:lvl>
    <w:lvl w:ilvl="5" w:tplc="0426001B" w:tentative="1">
      <w:start w:val="1"/>
      <w:numFmt w:val="lowerRoman"/>
      <w:lvlText w:val="%6."/>
      <w:lvlJc w:val="right"/>
      <w:pPr>
        <w:ind w:left="4512" w:hanging="180"/>
      </w:pPr>
    </w:lvl>
    <w:lvl w:ilvl="6" w:tplc="0426000F" w:tentative="1">
      <w:start w:val="1"/>
      <w:numFmt w:val="decimal"/>
      <w:lvlText w:val="%7."/>
      <w:lvlJc w:val="left"/>
      <w:pPr>
        <w:ind w:left="5232" w:hanging="360"/>
      </w:pPr>
    </w:lvl>
    <w:lvl w:ilvl="7" w:tplc="04260019" w:tentative="1">
      <w:start w:val="1"/>
      <w:numFmt w:val="lowerLetter"/>
      <w:lvlText w:val="%8."/>
      <w:lvlJc w:val="left"/>
      <w:pPr>
        <w:ind w:left="5952" w:hanging="360"/>
      </w:pPr>
    </w:lvl>
    <w:lvl w:ilvl="8" w:tplc="0426001B" w:tentative="1">
      <w:start w:val="1"/>
      <w:numFmt w:val="lowerRoman"/>
      <w:lvlText w:val="%9."/>
      <w:lvlJc w:val="right"/>
      <w:pPr>
        <w:ind w:left="6672" w:hanging="180"/>
      </w:pPr>
    </w:lvl>
  </w:abstractNum>
  <w:abstractNum w:abstractNumId="4">
    <w:nsid w:val="3540140B"/>
    <w:multiLevelType w:val="hybridMultilevel"/>
    <w:tmpl w:val="57D881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EC37F49"/>
    <w:multiLevelType w:val="hybridMultilevel"/>
    <w:tmpl w:val="97D2DF34"/>
    <w:lvl w:ilvl="0" w:tplc="FE4A0FE8">
      <w:start w:val="1"/>
      <w:numFmt w:val="decimal"/>
      <w:lvlText w:val="%1."/>
      <w:lvlJc w:val="left"/>
      <w:pPr>
        <w:ind w:left="912" w:hanging="360"/>
      </w:pPr>
      <w:rPr>
        <w:rFonts w:hint="default"/>
      </w:rPr>
    </w:lvl>
    <w:lvl w:ilvl="1" w:tplc="04260019" w:tentative="1">
      <w:start w:val="1"/>
      <w:numFmt w:val="lowerLetter"/>
      <w:lvlText w:val="%2."/>
      <w:lvlJc w:val="left"/>
      <w:pPr>
        <w:ind w:left="1632" w:hanging="360"/>
      </w:pPr>
    </w:lvl>
    <w:lvl w:ilvl="2" w:tplc="0426001B" w:tentative="1">
      <w:start w:val="1"/>
      <w:numFmt w:val="lowerRoman"/>
      <w:lvlText w:val="%3."/>
      <w:lvlJc w:val="right"/>
      <w:pPr>
        <w:ind w:left="2352" w:hanging="180"/>
      </w:pPr>
    </w:lvl>
    <w:lvl w:ilvl="3" w:tplc="0426000F" w:tentative="1">
      <w:start w:val="1"/>
      <w:numFmt w:val="decimal"/>
      <w:lvlText w:val="%4."/>
      <w:lvlJc w:val="left"/>
      <w:pPr>
        <w:ind w:left="3072" w:hanging="360"/>
      </w:pPr>
    </w:lvl>
    <w:lvl w:ilvl="4" w:tplc="04260019" w:tentative="1">
      <w:start w:val="1"/>
      <w:numFmt w:val="lowerLetter"/>
      <w:lvlText w:val="%5."/>
      <w:lvlJc w:val="left"/>
      <w:pPr>
        <w:ind w:left="3792" w:hanging="360"/>
      </w:pPr>
    </w:lvl>
    <w:lvl w:ilvl="5" w:tplc="0426001B" w:tentative="1">
      <w:start w:val="1"/>
      <w:numFmt w:val="lowerRoman"/>
      <w:lvlText w:val="%6."/>
      <w:lvlJc w:val="right"/>
      <w:pPr>
        <w:ind w:left="4512" w:hanging="180"/>
      </w:pPr>
    </w:lvl>
    <w:lvl w:ilvl="6" w:tplc="0426000F" w:tentative="1">
      <w:start w:val="1"/>
      <w:numFmt w:val="decimal"/>
      <w:lvlText w:val="%7."/>
      <w:lvlJc w:val="left"/>
      <w:pPr>
        <w:ind w:left="5232" w:hanging="360"/>
      </w:pPr>
    </w:lvl>
    <w:lvl w:ilvl="7" w:tplc="04260019" w:tentative="1">
      <w:start w:val="1"/>
      <w:numFmt w:val="lowerLetter"/>
      <w:lvlText w:val="%8."/>
      <w:lvlJc w:val="left"/>
      <w:pPr>
        <w:ind w:left="5952" w:hanging="360"/>
      </w:pPr>
    </w:lvl>
    <w:lvl w:ilvl="8" w:tplc="0426001B" w:tentative="1">
      <w:start w:val="1"/>
      <w:numFmt w:val="lowerRoman"/>
      <w:lvlText w:val="%9."/>
      <w:lvlJc w:val="right"/>
      <w:pPr>
        <w:ind w:left="6672" w:hanging="180"/>
      </w:pPr>
    </w:lvl>
  </w:abstractNum>
  <w:abstractNum w:abstractNumId="6">
    <w:nsid w:val="4A185065"/>
    <w:multiLevelType w:val="hybridMultilevel"/>
    <w:tmpl w:val="0226B088"/>
    <w:lvl w:ilvl="0" w:tplc="04260015">
      <w:start w:val="1"/>
      <w:numFmt w:val="upperLetter"/>
      <w:lvlText w:val="%1."/>
      <w:lvlJc w:val="left"/>
      <w:pPr>
        <w:ind w:left="1272" w:hanging="360"/>
      </w:pPr>
    </w:lvl>
    <w:lvl w:ilvl="1" w:tplc="04260019" w:tentative="1">
      <w:start w:val="1"/>
      <w:numFmt w:val="lowerLetter"/>
      <w:lvlText w:val="%2."/>
      <w:lvlJc w:val="left"/>
      <w:pPr>
        <w:ind w:left="1992" w:hanging="360"/>
      </w:pPr>
    </w:lvl>
    <w:lvl w:ilvl="2" w:tplc="0426001B" w:tentative="1">
      <w:start w:val="1"/>
      <w:numFmt w:val="lowerRoman"/>
      <w:lvlText w:val="%3."/>
      <w:lvlJc w:val="right"/>
      <w:pPr>
        <w:ind w:left="2712" w:hanging="180"/>
      </w:pPr>
    </w:lvl>
    <w:lvl w:ilvl="3" w:tplc="0426000F" w:tentative="1">
      <w:start w:val="1"/>
      <w:numFmt w:val="decimal"/>
      <w:lvlText w:val="%4."/>
      <w:lvlJc w:val="left"/>
      <w:pPr>
        <w:ind w:left="3432" w:hanging="360"/>
      </w:pPr>
    </w:lvl>
    <w:lvl w:ilvl="4" w:tplc="04260019" w:tentative="1">
      <w:start w:val="1"/>
      <w:numFmt w:val="lowerLetter"/>
      <w:lvlText w:val="%5."/>
      <w:lvlJc w:val="left"/>
      <w:pPr>
        <w:ind w:left="4152" w:hanging="360"/>
      </w:pPr>
    </w:lvl>
    <w:lvl w:ilvl="5" w:tplc="0426001B" w:tentative="1">
      <w:start w:val="1"/>
      <w:numFmt w:val="lowerRoman"/>
      <w:lvlText w:val="%6."/>
      <w:lvlJc w:val="right"/>
      <w:pPr>
        <w:ind w:left="4872" w:hanging="180"/>
      </w:pPr>
    </w:lvl>
    <w:lvl w:ilvl="6" w:tplc="0426000F" w:tentative="1">
      <w:start w:val="1"/>
      <w:numFmt w:val="decimal"/>
      <w:lvlText w:val="%7."/>
      <w:lvlJc w:val="left"/>
      <w:pPr>
        <w:ind w:left="5592" w:hanging="360"/>
      </w:pPr>
    </w:lvl>
    <w:lvl w:ilvl="7" w:tplc="04260019" w:tentative="1">
      <w:start w:val="1"/>
      <w:numFmt w:val="lowerLetter"/>
      <w:lvlText w:val="%8."/>
      <w:lvlJc w:val="left"/>
      <w:pPr>
        <w:ind w:left="6312" w:hanging="360"/>
      </w:pPr>
    </w:lvl>
    <w:lvl w:ilvl="8" w:tplc="0426001B" w:tentative="1">
      <w:start w:val="1"/>
      <w:numFmt w:val="lowerRoman"/>
      <w:lvlText w:val="%9."/>
      <w:lvlJc w:val="right"/>
      <w:pPr>
        <w:ind w:left="7032" w:hanging="180"/>
      </w:pPr>
    </w:lvl>
  </w:abstractNum>
  <w:abstractNum w:abstractNumId="7">
    <w:nsid w:val="4CE7773C"/>
    <w:multiLevelType w:val="hybridMultilevel"/>
    <w:tmpl w:val="6C5C728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E5D6B2D"/>
    <w:multiLevelType w:val="hybridMultilevel"/>
    <w:tmpl w:val="C62E6876"/>
    <w:lvl w:ilvl="0" w:tplc="04260017">
      <w:start w:val="1"/>
      <w:numFmt w:val="lowerLetter"/>
      <w:lvlText w:val="%1)"/>
      <w:lvlJc w:val="left"/>
      <w:pPr>
        <w:ind w:left="1272" w:hanging="360"/>
      </w:pPr>
    </w:lvl>
    <w:lvl w:ilvl="1" w:tplc="04260019" w:tentative="1">
      <w:start w:val="1"/>
      <w:numFmt w:val="lowerLetter"/>
      <w:lvlText w:val="%2."/>
      <w:lvlJc w:val="left"/>
      <w:pPr>
        <w:ind w:left="1992" w:hanging="360"/>
      </w:pPr>
    </w:lvl>
    <w:lvl w:ilvl="2" w:tplc="0426001B" w:tentative="1">
      <w:start w:val="1"/>
      <w:numFmt w:val="lowerRoman"/>
      <w:lvlText w:val="%3."/>
      <w:lvlJc w:val="right"/>
      <w:pPr>
        <w:ind w:left="2712" w:hanging="180"/>
      </w:pPr>
    </w:lvl>
    <w:lvl w:ilvl="3" w:tplc="0426000F" w:tentative="1">
      <w:start w:val="1"/>
      <w:numFmt w:val="decimal"/>
      <w:lvlText w:val="%4."/>
      <w:lvlJc w:val="left"/>
      <w:pPr>
        <w:ind w:left="3432" w:hanging="360"/>
      </w:pPr>
    </w:lvl>
    <w:lvl w:ilvl="4" w:tplc="04260019" w:tentative="1">
      <w:start w:val="1"/>
      <w:numFmt w:val="lowerLetter"/>
      <w:lvlText w:val="%5."/>
      <w:lvlJc w:val="left"/>
      <w:pPr>
        <w:ind w:left="4152" w:hanging="360"/>
      </w:pPr>
    </w:lvl>
    <w:lvl w:ilvl="5" w:tplc="0426001B" w:tentative="1">
      <w:start w:val="1"/>
      <w:numFmt w:val="lowerRoman"/>
      <w:lvlText w:val="%6."/>
      <w:lvlJc w:val="right"/>
      <w:pPr>
        <w:ind w:left="4872" w:hanging="180"/>
      </w:pPr>
    </w:lvl>
    <w:lvl w:ilvl="6" w:tplc="0426000F" w:tentative="1">
      <w:start w:val="1"/>
      <w:numFmt w:val="decimal"/>
      <w:lvlText w:val="%7."/>
      <w:lvlJc w:val="left"/>
      <w:pPr>
        <w:ind w:left="5592" w:hanging="360"/>
      </w:pPr>
    </w:lvl>
    <w:lvl w:ilvl="7" w:tplc="04260019" w:tentative="1">
      <w:start w:val="1"/>
      <w:numFmt w:val="lowerLetter"/>
      <w:lvlText w:val="%8."/>
      <w:lvlJc w:val="left"/>
      <w:pPr>
        <w:ind w:left="6312" w:hanging="360"/>
      </w:pPr>
    </w:lvl>
    <w:lvl w:ilvl="8" w:tplc="0426001B" w:tentative="1">
      <w:start w:val="1"/>
      <w:numFmt w:val="lowerRoman"/>
      <w:lvlText w:val="%9."/>
      <w:lvlJc w:val="right"/>
      <w:pPr>
        <w:ind w:left="7032" w:hanging="180"/>
      </w:pPr>
    </w:lvl>
  </w:abstractNum>
  <w:num w:numId="1">
    <w:abstractNumId w:val="3"/>
  </w:num>
  <w:num w:numId="2">
    <w:abstractNumId w:val="6"/>
  </w:num>
  <w:num w:numId="3">
    <w:abstractNumId w:val="4"/>
  </w:num>
  <w:num w:numId="4">
    <w:abstractNumId w:val="2"/>
  </w:num>
  <w:num w:numId="5">
    <w:abstractNumId w:val="0"/>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22"/>
    <w:rsid w:val="00023074"/>
    <w:rsid w:val="000263C8"/>
    <w:rsid w:val="00030D34"/>
    <w:rsid w:val="00031345"/>
    <w:rsid w:val="00031442"/>
    <w:rsid w:val="00042F8F"/>
    <w:rsid w:val="00045AEB"/>
    <w:rsid w:val="00057B1D"/>
    <w:rsid w:val="00060B02"/>
    <w:rsid w:val="00066BE5"/>
    <w:rsid w:val="00070E4C"/>
    <w:rsid w:val="00081861"/>
    <w:rsid w:val="000833B2"/>
    <w:rsid w:val="00085B65"/>
    <w:rsid w:val="00093531"/>
    <w:rsid w:val="000B001F"/>
    <w:rsid w:val="000B5C9D"/>
    <w:rsid w:val="000C3757"/>
    <w:rsid w:val="000D2687"/>
    <w:rsid w:val="000E1744"/>
    <w:rsid w:val="000E6559"/>
    <w:rsid w:val="000F19D5"/>
    <w:rsid w:val="000F5FB0"/>
    <w:rsid w:val="00104776"/>
    <w:rsid w:val="00115F8E"/>
    <w:rsid w:val="00122971"/>
    <w:rsid w:val="00124C19"/>
    <w:rsid w:val="00133F64"/>
    <w:rsid w:val="001446BA"/>
    <w:rsid w:val="00146420"/>
    <w:rsid w:val="00157D9F"/>
    <w:rsid w:val="00167B2E"/>
    <w:rsid w:val="001842E3"/>
    <w:rsid w:val="00184812"/>
    <w:rsid w:val="001908C0"/>
    <w:rsid w:val="00191388"/>
    <w:rsid w:val="00195816"/>
    <w:rsid w:val="001A78A5"/>
    <w:rsid w:val="001B4CCF"/>
    <w:rsid w:val="001B5B52"/>
    <w:rsid w:val="001C5DAD"/>
    <w:rsid w:val="001D0411"/>
    <w:rsid w:val="001E128C"/>
    <w:rsid w:val="001E146C"/>
    <w:rsid w:val="001E4449"/>
    <w:rsid w:val="001E770F"/>
    <w:rsid w:val="001F1E2B"/>
    <w:rsid w:val="00203D87"/>
    <w:rsid w:val="00204801"/>
    <w:rsid w:val="002236D3"/>
    <w:rsid w:val="00231CC7"/>
    <w:rsid w:val="00252AF0"/>
    <w:rsid w:val="00263CC3"/>
    <w:rsid w:val="00276919"/>
    <w:rsid w:val="0028639C"/>
    <w:rsid w:val="002877E0"/>
    <w:rsid w:val="0029179B"/>
    <w:rsid w:val="002979AB"/>
    <w:rsid w:val="002B68FA"/>
    <w:rsid w:val="002C0892"/>
    <w:rsid w:val="002C72CE"/>
    <w:rsid w:val="002D2C61"/>
    <w:rsid w:val="002D30FB"/>
    <w:rsid w:val="002D72EF"/>
    <w:rsid w:val="002E32A4"/>
    <w:rsid w:val="002F2023"/>
    <w:rsid w:val="002F56A9"/>
    <w:rsid w:val="002F7154"/>
    <w:rsid w:val="003013FE"/>
    <w:rsid w:val="00314AA7"/>
    <w:rsid w:val="003171A2"/>
    <w:rsid w:val="0032587C"/>
    <w:rsid w:val="00327D27"/>
    <w:rsid w:val="003342F9"/>
    <w:rsid w:val="003372F4"/>
    <w:rsid w:val="003565A0"/>
    <w:rsid w:val="0035660C"/>
    <w:rsid w:val="00360404"/>
    <w:rsid w:val="00363520"/>
    <w:rsid w:val="00365C2B"/>
    <w:rsid w:val="0039066F"/>
    <w:rsid w:val="0039384F"/>
    <w:rsid w:val="003950B8"/>
    <w:rsid w:val="003A332D"/>
    <w:rsid w:val="003C17AE"/>
    <w:rsid w:val="003C71B0"/>
    <w:rsid w:val="003E4ED5"/>
    <w:rsid w:val="003F3E5A"/>
    <w:rsid w:val="003F61FE"/>
    <w:rsid w:val="0040548B"/>
    <w:rsid w:val="00406A5E"/>
    <w:rsid w:val="00423239"/>
    <w:rsid w:val="00430501"/>
    <w:rsid w:val="004361C0"/>
    <w:rsid w:val="0043777D"/>
    <w:rsid w:val="00440839"/>
    <w:rsid w:val="00442CB8"/>
    <w:rsid w:val="004528D5"/>
    <w:rsid w:val="004544ED"/>
    <w:rsid w:val="00463688"/>
    <w:rsid w:val="004677BF"/>
    <w:rsid w:val="004708A9"/>
    <w:rsid w:val="00474E63"/>
    <w:rsid w:val="004757D9"/>
    <w:rsid w:val="00476E00"/>
    <w:rsid w:val="004857EC"/>
    <w:rsid w:val="00487652"/>
    <w:rsid w:val="00487768"/>
    <w:rsid w:val="00490194"/>
    <w:rsid w:val="00494EE9"/>
    <w:rsid w:val="004A2BE1"/>
    <w:rsid w:val="004B1819"/>
    <w:rsid w:val="004B2853"/>
    <w:rsid w:val="004B381F"/>
    <w:rsid w:val="004C6379"/>
    <w:rsid w:val="004D1D3C"/>
    <w:rsid w:val="004D51D4"/>
    <w:rsid w:val="004D61F1"/>
    <w:rsid w:val="004E3106"/>
    <w:rsid w:val="004E7303"/>
    <w:rsid w:val="004F2BA7"/>
    <w:rsid w:val="0050154A"/>
    <w:rsid w:val="00505317"/>
    <w:rsid w:val="00506F76"/>
    <w:rsid w:val="005074BC"/>
    <w:rsid w:val="00515845"/>
    <w:rsid w:val="005220B9"/>
    <w:rsid w:val="00525512"/>
    <w:rsid w:val="00535E53"/>
    <w:rsid w:val="00536BCC"/>
    <w:rsid w:val="00540DD2"/>
    <w:rsid w:val="00541331"/>
    <w:rsid w:val="00561082"/>
    <w:rsid w:val="005656A9"/>
    <w:rsid w:val="00575972"/>
    <w:rsid w:val="00585BA1"/>
    <w:rsid w:val="005943ED"/>
    <w:rsid w:val="005A5FD9"/>
    <w:rsid w:val="005B4F71"/>
    <w:rsid w:val="005B7EA6"/>
    <w:rsid w:val="005C0C29"/>
    <w:rsid w:val="005D18C0"/>
    <w:rsid w:val="005E3C6F"/>
    <w:rsid w:val="005E486F"/>
    <w:rsid w:val="005E66E5"/>
    <w:rsid w:val="005F2FA4"/>
    <w:rsid w:val="005F3555"/>
    <w:rsid w:val="005F56AB"/>
    <w:rsid w:val="005F5D44"/>
    <w:rsid w:val="00605D7E"/>
    <w:rsid w:val="006241B3"/>
    <w:rsid w:val="00630C5B"/>
    <w:rsid w:val="00655EC2"/>
    <w:rsid w:val="00664B4D"/>
    <w:rsid w:val="0066582E"/>
    <w:rsid w:val="00676FB4"/>
    <w:rsid w:val="0068725F"/>
    <w:rsid w:val="006927DA"/>
    <w:rsid w:val="00697C14"/>
    <w:rsid w:val="006A6566"/>
    <w:rsid w:val="006B2E36"/>
    <w:rsid w:val="006C441C"/>
    <w:rsid w:val="006C5A33"/>
    <w:rsid w:val="006E1E51"/>
    <w:rsid w:val="006E51C7"/>
    <w:rsid w:val="006F4901"/>
    <w:rsid w:val="006F7B1C"/>
    <w:rsid w:val="00701A9C"/>
    <w:rsid w:val="00702CD6"/>
    <w:rsid w:val="00703B31"/>
    <w:rsid w:val="00712E3C"/>
    <w:rsid w:val="00715B06"/>
    <w:rsid w:val="007166B9"/>
    <w:rsid w:val="00717474"/>
    <w:rsid w:val="00725473"/>
    <w:rsid w:val="007271B7"/>
    <w:rsid w:val="00735113"/>
    <w:rsid w:val="00742CB1"/>
    <w:rsid w:val="00756AF2"/>
    <w:rsid w:val="007574A3"/>
    <w:rsid w:val="00757EE3"/>
    <w:rsid w:val="007627C8"/>
    <w:rsid w:val="00764722"/>
    <w:rsid w:val="0077102E"/>
    <w:rsid w:val="00773430"/>
    <w:rsid w:val="00783B12"/>
    <w:rsid w:val="00794827"/>
    <w:rsid w:val="007B1952"/>
    <w:rsid w:val="007B3AF2"/>
    <w:rsid w:val="007C4B90"/>
    <w:rsid w:val="007C7474"/>
    <w:rsid w:val="007D4D81"/>
    <w:rsid w:val="007D609F"/>
    <w:rsid w:val="007E30ED"/>
    <w:rsid w:val="007E357E"/>
    <w:rsid w:val="007F2712"/>
    <w:rsid w:val="0082007A"/>
    <w:rsid w:val="0082052D"/>
    <w:rsid w:val="00825D65"/>
    <w:rsid w:val="00825FBC"/>
    <w:rsid w:val="00836674"/>
    <w:rsid w:val="00840243"/>
    <w:rsid w:val="00841A08"/>
    <w:rsid w:val="008475CA"/>
    <w:rsid w:val="00852EB6"/>
    <w:rsid w:val="00860CC5"/>
    <w:rsid w:val="00861DF8"/>
    <w:rsid w:val="008625ED"/>
    <w:rsid w:val="008626B7"/>
    <w:rsid w:val="0086678D"/>
    <w:rsid w:val="00871781"/>
    <w:rsid w:val="00873A73"/>
    <w:rsid w:val="008858DE"/>
    <w:rsid w:val="008A18AB"/>
    <w:rsid w:val="008A4FAE"/>
    <w:rsid w:val="008A743A"/>
    <w:rsid w:val="008B2890"/>
    <w:rsid w:val="008B2F32"/>
    <w:rsid w:val="008C22F2"/>
    <w:rsid w:val="008D11CF"/>
    <w:rsid w:val="008D2AD2"/>
    <w:rsid w:val="008E1145"/>
    <w:rsid w:val="008F3C0F"/>
    <w:rsid w:val="00906B36"/>
    <w:rsid w:val="00910070"/>
    <w:rsid w:val="00916E9A"/>
    <w:rsid w:val="00926AE3"/>
    <w:rsid w:val="00930487"/>
    <w:rsid w:val="009571CE"/>
    <w:rsid w:val="00960BEB"/>
    <w:rsid w:val="0096102C"/>
    <w:rsid w:val="00967E09"/>
    <w:rsid w:val="00971C1B"/>
    <w:rsid w:val="00975B01"/>
    <w:rsid w:val="00977483"/>
    <w:rsid w:val="00977BAD"/>
    <w:rsid w:val="00986D6B"/>
    <w:rsid w:val="009A04F9"/>
    <w:rsid w:val="009A6072"/>
    <w:rsid w:val="009A6632"/>
    <w:rsid w:val="009B53F3"/>
    <w:rsid w:val="009B690F"/>
    <w:rsid w:val="009C5C50"/>
    <w:rsid w:val="009D5EA2"/>
    <w:rsid w:val="009E14C9"/>
    <w:rsid w:val="009E22E7"/>
    <w:rsid w:val="009E3C9E"/>
    <w:rsid w:val="009E7215"/>
    <w:rsid w:val="009F1A63"/>
    <w:rsid w:val="009F5DA7"/>
    <w:rsid w:val="009F7C29"/>
    <w:rsid w:val="00A01D3E"/>
    <w:rsid w:val="00A02B5D"/>
    <w:rsid w:val="00A1054F"/>
    <w:rsid w:val="00A1117D"/>
    <w:rsid w:val="00A21A76"/>
    <w:rsid w:val="00A25F6C"/>
    <w:rsid w:val="00A4023F"/>
    <w:rsid w:val="00A40A6E"/>
    <w:rsid w:val="00A52845"/>
    <w:rsid w:val="00A559F7"/>
    <w:rsid w:val="00A56BD6"/>
    <w:rsid w:val="00A671C6"/>
    <w:rsid w:val="00A729A0"/>
    <w:rsid w:val="00A75261"/>
    <w:rsid w:val="00A83600"/>
    <w:rsid w:val="00A84DA7"/>
    <w:rsid w:val="00A84F92"/>
    <w:rsid w:val="00A85C1A"/>
    <w:rsid w:val="00A9309C"/>
    <w:rsid w:val="00AA1729"/>
    <w:rsid w:val="00AA443B"/>
    <w:rsid w:val="00AA61BF"/>
    <w:rsid w:val="00AB7A2F"/>
    <w:rsid w:val="00AC1C68"/>
    <w:rsid w:val="00AE0B94"/>
    <w:rsid w:val="00AF2754"/>
    <w:rsid w:val="00AF41D9"/>
    <w:rsid w:val="00B02778"/>
    <w:rsid w:val="00B05D25"/>
    <w:rsid w:val="00B06E54"/>
    <w:rsid w:val="00B20AA0"/>
    <w:rsid w:val="00B24C15"/>
    <w:rsid w:val="00B300E7"/>
    <w:rsid w:val="00B4039D"/>
    <w:rsid w:val="00B45CDE"/>
    <w:rsid w:val="00B61ECF"/>
    <w:rsid w:val="00B62B40"/>
    <w:rsid w:val="00B6465B"/>
    <w:rsid w:val="00B7285D"/>
    <w:rsid w:val="00B76817"/>
    <w:rsid w:val="00B85BD2"/>
    <w:rsid w:val="00B87513"/>
    <w:rsid w:val="00BA3949"/>
    <w:rsid w:val="00BC1445"/>
    <w:rsid w:val="00BC404C"/>
    <w:rsid w:val="00C06E04"/>
    <w:rsid w:val="00C10F5C"/>
    <w:rsid w:val="00C20CE3"/>
    <w:rsid w:val="00C2633E"/>
    <w:rsid w:val="00C47746"/>
    <w:rsid w:val="00C57795"/>
    <w:rsid w:val="00C6318D"/>
    <w:rsid w:val="00C7384A"/>
    <w:rsid w:val="00C74057"/>
    <w:rsid w:val="00C84D86"/>
    <w:rsid w:val="00C90492"/>
    <w:rsid w:val="00C95EAD"/>
    <w:rsid w:val="00C9673E"/>
    <w:rsid w:val="00CA09FF"/>
    <w:rsid w:val="00CA59BD"/>
    <w:rsid w:val="00CC50BB"/>
    <w:rsid w:val="00CC5B40"/>
    <w:rsid w:val="00CD77A0"/>
    <w:rsid w:val="00CE0400"/>
    <w:rsid w:val="00D13C47"/>
    <w:rsid w:val="00D2466F"/>
    <w:rsid w:val="00D344B7"/>
    <w:rsid w:val="00D44BE7"/>
    <w:rsid w:val="00D456C3"/>
    <w:rsid w:val="00D5592D"/>
    <w:rsid w:val="00D604A2"/>
    <w:rsid w:val="00D60C6F"/>
    <w:rsid w:val="00D65A5E"/>
    <w:rsid w:val="00D74460"/>
    <w:rsid w:val="00D7531E"/>
    <w:rsid w:val="00D77384"/>
    <w:rsid w:val="00D80675"/>
    <w:rsid w:val="00D82C08"/>
    <w:rsid w:val="00D96704"/>
    <w:rsid w:val="00DA3E45"/>
    <w:rsid w:val="00DA50C2"/>
    <w:rsid w:val="00DA53DC"/>
    <w:rsid w:val="00DC3453"/>
    <w:rsid w:val="00DD184E"/>
    <w:rsid w:val="00DD4C79"/>
    <w:rsid w:val="00DD53E7"/>
    <w:rsid w:val="00DD621F"/>
    <w:rsid w:val="00DE395B"/>
    <w:rsid w:val="00DE3A0D"/>
    <w:rsid w:val="00DE3C4E"/>
    <w:rsid w:val="00DE73D0"/>
    <w:rsid w:val="00DF4A3F"/>
    <w:rsid w:val="00E05187"/>
    <w:rsid w:val="00E122DE"/>
    <w:rsid w:val="00E14AF0"/>
    <w:rsid w:val="00E21B45"/>
    <w:rsid w:val="00E21F24"/>
    <w:rsid w:val="00E30833"/>
    <w:rsid w:val="00E347B6"/>
    <w:rsid w:val="00E36E4F"/>
    <w:rsid w:val="00E47744"/>
    <w:rsid w:val="00E55C90"/>
    <w:rsid w:val="00E573AD"/>
    <w:rsid w:val="00E63E39"/>
    <w:rsid w:val="00E70A2A"/>
    <w:rsid w:val="00E71535"/>
    <w:rsid w:val="00E81577"/>
    <w:rsid w:val="00E93F2C"/>
    <w:rsid w:val="00EA38F8"/>
    <w:rsid w:val="00EA7A11"/>
    <w:rsid w:val="00EB2E45"/>
    <w:rsid w:val="00EB41EA"/>
    <w:rsid w:val="00EB44FF"/>
    <w:rsid w:val="00EB6A17"/>
    <w:rsid w:val="00ED0BCD"/>
    <w:rsid w:val="00ED27AA"/>
    <w:rsid w:val="00EE2658"/>
    <w:rsid w:val="00F03011"/>
    <w:rsid w:val="00F10123"/>
    <w:rsid w:val="00F30374"/>
    <w:rsid w:val="00F45551"/>
    <w:rsid w:val="00F55769"/>
    <w:rsid w:val="00F656A7"/>
    <w:rsid w:val="00F6695C"/>
    <w:rsid w:val="00F67B92"/>
    <w:rsid w:val="00F713BE"/>
    <w:rsid w:val="00F730CE"/>
    <w:rsid w:val="00F83A56"/>
    <w:rsid w:val="00F84843"/>
    <w:rsid w:val="00F948B5"/>
    <w:rsid w:val="00FA2EA5"/>
    <w:rsid w:val="00FA6A13"/>
    <w:rsid w:val="00FB33BA"/>
    <w:rsid w:val="00FC0B5F"/>
    <w:rsid w:val="00FC2171"/>
    <w:rsid w:val="00FC5C6F"/>
    <w:rsid w:val="00FC78BA"/>
    <w:rsid w:val="00FD4A86"/>
    <w:rsid w:val="00FE18AE"/>
    <w:rsid w:val="00FE6247"/>
    <w:rsid w:val="00FF5D1B"/>
    <w:rsid w:val="00FF73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2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64722"/>
    <w:pPr>
      <w:spacing w:before="75" w:after="75"/>
      <w:ind w:firstLine="375"/>
      <w:jc w:val="both"/>
    </w:pPr>
    <w:rPr>
      <w:lang w:eastAsia="lv-LV"/>
    </w:rPr>
  </w:style>
  <w:style w:type="paragraph" w:customStyle="1" w:styleId="naisnod">
    <w:name w:val="naisnod"/>
    <w:basedOn w:val="Normal"/>
    <w:rsid w:val="00764722"/>
    <w:pPr>
      <w:spacing w:before="150" w:after="150"/>
      <w:jc w:val="center"/>
    </w:pPr>
    <w:rPr>
      <w:b/>
      <w:bCs/>
      <w:lang w:eastAsia="lv-LV"/>
    </w:rPr>
  </w:style>
  <w:style w:type="paragraph" w:customStyle="1" w:styleId="naislab">
    <w:name w:val="naislab"/>
    <w:basedOn w:val="Normal"/>
    <w:rsid w:val="00764722"/>
    <w:pPr>
      <w:spacing w:before="75" w:after="75"/>
      <w:jc w:val="right"/>
    </w:pPr>
    <w:rPr>
      <w:lang w:eastAsia="lv-LV"/>
    </w:rPr>
  </w:style>
  <w:style w:type="paragraph" w:customStyle="1" w:styleId="naiskr">
    <w:name w:val="naiskr"/>
    <w:basedOn w:val="Normal"/>
    <w:rsid w:val="00764722"/>
    <w:pPr>
      <w:spacing w:before="75" w:after="75"/>
    </w:pPr>
    <w:rPr>
      <w:lang w:eastAsia="lv-LV"/>
    </w:rPr>
  </w:style>
  <w:style w:type="paragraph" w:customStyle="1" w:styleId="naisc">
    <w:name w:val="naisc"/>
    <w:basedOn w:val="Normal"/>
    <w:rsid w:val="00764722"/>
    <w:pPr>
      <w:spacing w:before="75" w:after="75"/>
      <w:jc w:val="center"/>
    </w:pPr>
    <w:rPr>
      <w:lang w:eastAsia="lv-LV"/>
    </w:rPr>
  </w:style>
  <w:style w:type="character" w:styleId="Hyperlink">
    <w:name w:val="Hyperlink"/>
    <w:rsid w:val="00764722"/>
    <w:rPr>
      <w:color w:val="0000FF"/>
      <w:u w:val="single"/>
    </w:rPr>
  </w:style>
  <w:style w:type="paragraph" w:styleId="Header">
    <w:name w:val="header"/>
    <w:basedOn w:val="Normal"/>
    <w:link w:val="HeaderChar"/>
    <w:uiPriority w:val="99"/>
    <w:rsid w:val="00F03011"/>
    <w:pPr>
      <w:tabs>
        <w:tab w:val="center" w:pos="4153"/>
        <w:tab w:val="right" w:pos="8306"/>
      </w:tabs>
    </w:pPr>
    <w:rPr>
      <w:lang w:val="x-none"/>
    </w:rPr>
  </w:style>
  <w:style w:type="paragraph" w:styleId="Footer">
    <w:name w:val="footer"/>
    <w:basedOn w:val="Normal"/>
    <w:link w:val="FooterChar"/>
    <w:uiPriority w:val="99"/>
    <w:rsid w:val="00F03011"/>
    <w:pPr>
      <w:tabs>
        <w:tab w:val="center" w:pos="4153"/>
        <w:tab w:val="right" w:pos="8306"/>
      </w:tabs>
    </w:pPr>
  </w:style>
  <w:style w:type="character" w:styleId="CommentReference">
    <w:name w:val="annotation reference"/>
    <w:uiPriority w:val="99"/>
    <w:rsid w:val="00CC50BB"/>
    <w:rPr>
      <w:sz w:val="16"/>
      <w:szCs w:val="16"/>
    </w:rPr>
  </w:style>
  <w:style w:type="paragraph" w:styleId="CommentText">
    <w:name w:val="annotation text"/>
    <w:basedOn w:val="Normal"/>
    <w:link w:val="CommentTextChar"/>
    <w:rsid w:val="00CC50BB"/>
    <w:rPr>
      <w:sz w:val="20"/>
      <w:szCs w:val="20"/>
      <w:lang w:val="x-none"/>
    </w:rPr>
  </w:style>
  <w:style w:type="character" w:customStyle="1" w:styleId="CommentTextChar">
    <w:name w:val="Comment Text Char"/>
    <w:link w:val="CommentText"/>
    <w:rsid w:val="00CC50BB"/>
    <w:rPr>
      <w:lang w:eastAsia="en-US"/>
    </w:rPr>
  </w:style>
  <w:style w:type="paragraph" w:styleId="CommentSubject">
    <w:name w:val="annotation subject"/>
    <w:basedOn w:val="CommentText"/>
    <w:next w:val="CommentText"/>
    <w:link w:val="CommentSubjectChar"/>
    <w:rsid w:val="00CC50BB"/>
    <w:rPr>
      <w:b/>
      <w:bCs/>
    </w:rPr>
  </w:style>
  <w:style w:type="character" w:customStyle="1" w:styleId="CommentSubjectChar">
    <w:name w:val="Comment Subject Char"/>
    <w:link w:val="CommentSubject"/>
    <w:rsid w:val="00CC50BB"/>
    <w:rPr>
      <w:b/>
      <w:bCs/>
      <w:lang w:eastAsia="en-US"/>
    </w:rPr>
  </w:style>
  <w:style w:type="paragraph" w:styleId="BalloonText">
    <w:name w:val="Balloon Text"/>
    <w:basedOn w:val="Normal"/>
    <w:link w:val="BalloonTextChar"/>
    <w:rsid w:val="00CC50BB"/>
    <w:rPr>
      <w:rFonts w:ascii="Tahoma" w:hAnsi="Tahoma"/>
      <w:sz w:val="16"/>
      <w:szCs w:val="16"/>
      <w:lang w:val="x-none"/>
    </w:rPr>
  </w:style>
  <w:style w:type="character" w:customStyle="1" w:styleId="BalloonTextChar">
    <w:name w:val="Balloon Text Char"/>
    <w:link w:val="BalloonText"/>
    <w:rsid w:val="00CC50BB"/>
    <w:rPr>
      <w:rFonts w:ascii="Tahoma" w:hAnsi="Tahoma" w:cs="Tahoma"/>
      <w:sz w:val="16"/>
      <w:szCs w:val="16"/>
      <w:lang w:eastAsia="en-US"/>
    </w:rPr>
  </w:style>
  <w:style w:type="paragraph" w:styleId="BodyTextIndent">
    <w:name w:val="Body Text Indent"/>
    <w:basedOn w:val="Normal"/>
    <w:link w:val="BodyTextIndentChar"/>
    <w:rsid w:val="00D74460"/>
    <w:pPr>
      <w:spacing w:after="120"/>
      <w:ind w:left="283"/>
    </w:pPr>
    <w:rPr>
      <w:lang w:val="x-none"/>
    </w:rPr>
  </w:style>
  <w:style w:type="character" w:customStyle="1" w:styleId="BodyTextIndentChar">
    <w:name w:val="Body Text Indent Char"/>
    <w:link w:val="BodyTextIndent"/>
    <w:rsid w:val="00D74460"/>
    <w:rPr>
      <w:sz w:val="24"/>
      <w:szCs w:val="24"/>
      <w:lang w:eastAsia="en-US"/>
    </w:rPr>
  </w:style>
  <w:style w:type="character" w:customStyle="1" w:styleId="spelle">
    <w:name w:val="spelle"/>
    <w:rsid w:val="00712E3C"/>
  </w:style>
  <w:style w:type="paragraph" w:styleId="BlockText">
    <w:name w:val="Block Text"/>
    <w:basedOn w:val="Normal"/>
    <w:rsid w:val="00861DF8"/>
    <w:pPr>
      <w:spacing w:after="120"/>
      <w:ind w:left="1440" w:right="1440"/>
    </w:pPr>
  </w:style>
  <w:style w:type="character" w:styleId="FollowedHyperlink">
    <w:name w:val="FollowedHyperlink"/>
    <w:rsid w:val="00070E4C"/>
    <w:rPr>
      <w:color w:val="800080"/>
      <w:u w:val="single"/>
    </w:rPr>
  </w:style>
  <w:style w:type="paragraph" w:styleId="Revision">
    <w:name w:val="Revision"/>
    <w:hidden/>
    <w:uiPriority w:val="99"/>
    <w:semiHidden/>
    <w:rsid w:val="00B6465B"/>
    <w:rPr>
      <w:sz w:val="24"/>
      <w:szCs w:val="24"/>
      <w:lang w:eastAsia="en-US"/>
    </w:rPr>
  </w:style>
  <w:style w:type="character" w:customStyle="1" w:styleId="HeaderChar">
    <w:name w:val="Header Char"/>
    <w:link w:val="Header"/>
    <w:uiPriority w:val="99"/>
    <w:rsid w:val="004857EC"/>
    <w:rPr>
      <w:sz w:val="24"/>
      <w:szCs w:val="24"/>
      <w:lang w:eastAsia="en-US"/>
    </w:rPr>
  </w:style>
  <w:style w:type="paragraph" w:customStyle="1" w:styleId="tv2131">
    <w:name w:val="tv2131"/>
    <w:basedOn w:val="Normal"/>
    <w:rsid w:val="000E6559"/>
    <w:pPr>
      <w:spacing w:line="360" w:lineRule="auto"/>
      <w:ind w:firstLine="300"/>
    </w:pPr>
    <w:rPr>
      <w:color w:val="414142"/>
      <w:sz w:val="20"/>
      <w:szCs w:val="20"/>
      <w:lang w:eastAsia="lv-LV"/>
    </w:rPr>
  </w:style>
  <w:style w:type="paragraph" w:styleId="FootnoteText">
    <w:name w:val="footnote text"/>
    <w:basedOn w:val="Normal"/>
    <w:link w:val="FootnoteTextChar"/>
    <w:uiPriority w:val="99"/>
    <w:rsid w:val="003342F9"/>
    <w:rPr>
      <w:sz w:val="20"/>
      <w:szCs w:val="20"/>
      <w:lang w:eastAsia="lv-LV"/>
    </w:rPr>
  </w:style>
  <w:style w:type="character" w:customStyle="1" w:styleId="FootnoteTextChar">
    <w:name w:val="Footnote Text Char"/>
    <w:basedOn w:val="DefaultParagraphFont"/>
    <w:link w:val="FootnoteText"/>
    <w:uiPriority w:val="99"/>
    <w:rsid w:val="003342F9"/>
  </w:style>
  <w:style w:type="character" w:customStyle="1" w:styleId="FooterChar">
    <w:name w:val="Footer Char"/>
    <w:basedOn w:val="DefaultParagraphFont"/>
    <w:link w:val="Footer"/>
    <w:uiPriority w:val="99"/>
    <w:rsid w:val="00715B06"/>
    <w:rPr>
      <w:sz w:val="24"/>
      <w:szCs w:val="24"/>
      <w:lang w:eastAsia="en-US"/>
    </w:rPr>
  </w:style>
  <w:style w:type="paragraph" w:styleId="ListParagraph">
    <w:name w:val="List Paragraph"/>
    <w:basedOn w:val="Normal"/>
    <w:uiPriority w:val="34"/>
    <w:qFormat/>
    <w:rsid w:val="00D96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2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64722"/>
    <w:pPr>
      <w:spacing w:before="75" w:after="75"/>
      <w:ind w:firstLine="375"/>
      <w:jc w:val="both"/>
    </w:pPr>
    <w:rPr>
      <w:lang w:eastAsia="lv-LV"/>
    </w:rPr>
  </w:style>
  <w:style w:type="paragraph" w:customStyle="1" w:styleId="naisnod">
    <w:name w:val="naisnod"/>
    <w:basedOn w:val="Normal"/>
    <w:rsid w:val="00764722"/>
    <w:pPr>
      <w:spacing w:before="150" w:after="150"/>
      <w:jc w:val="center"/>
    </w:pPr>
    <w:rPr>
      <w:b/>
      <w:bCs/>
      <w:lang w:eastAsia="lv-LV"/>
    </w:rPr>
  </w:style>
  <w:style w:type="paragraph" w:customStyle="1" w:styleId="naislab">
    <w:name w:val="naislab"/>
    <w:basedOn w:val="Normal"/>
    <w:rsid w:val="00764722"/>
    <w:pPr>
      <w:spacing w:before="75" w:after="75"/>
      <w:jc w:val="right"/>
    </w:pPr>
    <w:rPr>
      <w:lang w:eastAsia="lv-LV"/>
    </w:rPr>
  </w:style>
  <w:style w:type="paragraph" w:customStyle="1" w:styleId="naiskr">
    <w:name w:val="naiskr"/>
    <w:basedOn w:val="Normal"/>
    <w:rsid w:val="00764722"/>
    <w:pPr>
      <w:spacing w:before="75" w:after="75"/>
    </w:pPr>
    <w:rPr>
      <w:lang w:eastAsia="lv-LV"/>
    </w:rPr>
  </w:style>
  <w:style w:type="paragraph" w:customStyle="1" w:styleId="naisc">
    <w:name w:val="naisc"/>
    <w:basedOn w:val="Normal"/>
    <w:rsid w:val="00764722"/>
    <w:pPr>
      <w:spacing w:before="75" w:after="75"/>
      <w:jc w:val="center"/>
    </w:pPr>
    <w:rPr>
      <w:lang w:eastAsia="lv-LV"/>
    </w:rPr>
  </w:style>
  <w:style w:type="character" w:styleId="Hyperlink">
    <w:name w:val="Hyperlink"/>
    <w:rsid w:val="00764722"/>
    <w:rPr>
      <w:color w:val="0000FF"/>
      <w:u w:val="single"/>
    </w:rPr>
  </w:style>
  <w:style w:type="paragraph" w:styleId="Header">
    <w:name w:val="header"/>
    <w:basedOn w:val="Normal"/>
    <w:link w:val="HeaderChar"/>
    <w:uiPriority w:val="99"/>
    <w:rsid w:val="00F03011"/>
    <w:pPr>
      <w:tabs>
        <w:tab w:val="center" w:pos="4153"/>
        <w:tab w:val="right" w:pos="8306"/>
      </w:tabs>
    </w:pPr>
    <w:rPr>
      <w:lang w:val="x-none"/>
    </w:rPr>
  </w:style>
  <w:style w:type="paragraph" w:styleId="Footer">
    <w:name w:val="footer"/>
    <w:basedOn w:val="Normal"/>
    <w:link w:val="FooterChar"/>
    <w:uiPriority w:val="99"/>
    <w:rsid w:val="00F03011"/>
    <w:pPr>
      <w:tabs>
        <w:tab w:val="center" w:pos="4153"/>
        <w:tab w:val="right" w:pos="8306"/>
      </w:tabs>
    </w:pPr>
  </w:style>
  <w:style w:type="character" w:styleId="CommentReference">
    <w:name w:val="annotation reference"/>
    <w:uiPriority w:val="99"/>
    <w:rsid w:val="00CC50BB"/>
    <w:rPr>
      <w:sz w:val="16"/>
      <w:szCs w:val="16"/>
    </w:rPr>
  </w:style>
  <w:style w:type="paragraph" w:styleId="CommentText">
    <w:name w:val="annotation text"/>
    <w:basedOn w:val="Normal"/>
    <w:link w:val="CommentTextChar"/>
    <w:rsid w:val="00CC50BB"/>
    <w:rPr>
      <w:sz w:val="20"/>
      <w:szCs w:val="20"/>
      <w:lang w:val="x-none"/>
    </w:rPr>
  </w:style>
  <w:style w:type="character" w:customStyle="1" w:styleId="CommentTextChar">
    <w:name w:val="Comment Text Char"/>
    <w:link w:val="CommentText"/>
    <w:rsid w:val="00CC50BB"/>
    <w:rPr>
      <w:lang w:eastAsia="en-US"/>
    </w:rPr>
  </w:style>
  <w:style w:type="paragraph" w:styleId="CommentSubject">
    <w:name w:val="annotation subject"/>
    <w:basedOn w:val="CommentText"/>
    <w:next w:val="CommentText"/>
    <w:link w:val="CommentSubjectChar"/>
    <w:rsid w:val="00CC50BB"/>
    <w:rPr>
      <w:b/>
      <w:bCs/>
    </w:rPr>
  </w:style>
  <w:style w:type="character" w:customStyle="1" w:styleId="CommentSubjectChar">
    <w:name w:val="Comment Subject Char"/>
    <w:link w:val="CommentSubject"/>
    <w:rsid w:val="00CC50BB"/>
    <w:rPr>
      <w:b/>
      <w:bCs/>
      <w:lang w:eastAsia="en-US"/>
    </w:rPr>
  </w:style>
  <w:style w:type="paragraph" w:styleId="BalloonText">
    <w:name w:val="Balloon Text"/>
    <w:basedOn w:val="Normal"/>
    <w:link w:val="BalloonTextChar"/>
    <w:rsid w:val="00CC50BB"/>
    <w:rPr>
      <w:rFonts w:ascii="Tahoma" w:hAnsi="Tahoma"/>
      <w:sz w:val="16"/>
      <w:szCs w:val="16"/>
      <w:lang w:val="x-none"/>
    </w:rPr>
  </w:style>
  <w:style w:type="character" w:customStyle="1" w:styleId="BalloonTextChar">
    <w:name w:val="Balloon Text Char"/>
    <w:link w:val="BalloonText"/>
    <w:rsid w:val="00CC50BB"/>
    <w:rPr>
      <w:rFonts w:ascii="Tahoma" w:hAnsi="Tahoma" w:cs="Tahoma"/>
      <w:sz w:val="16"/>
      <w:szCs w:val="16"/>
      <w:lang w:eastAsia="en-US"/>
    </w:rPr>
  </w:style>
  <w:style w:type="paragraph" w:styleId="BodyTextIndent">
    <w:name w:val="Body Text Indent"/>
    <w:basedOn w:val="Normal"/>
    <w:link w:val="BodyTextIndentChar"/>
    <w:rsid w:val="00D74460"/>
    <w:pPr>
      <w:spacing w:after="120"/>
      <w:ind w:left="283"/>
    </w:pPr>
    <w:rPr>
      <w:lang w:val="x-none"/>
    </w:rPr>
  </w:style>
  <w:style w:type="character" w:customStyle="1" w:styleId="BodyTextIndentChar">
    <w:name w:val="Body Text Indent Char"/>
    <w:link w:val="BodyTextIndent"/>
    <w:rsid w:val="00D74460"/>
    <w:rPr>
      <w:sz w:val="24"/>
      <w:szCs w:val="24"/>
      <w:lang w:eastAsia="en-US"/>
    </w:rPr>
  </w:style>
  <w:style w:type="character" w:customStyle="1" w:styleId="spelle">
    <w:name w:val="spelle"/>
    <w:rsid w:val="00712E3C"/>
  </w:style>
  <w:style w:type="paragraph" w:styleId="BlockText">
    <w:name w:val="Block Text"/>
    <w:basedOn w:val="Normal"/>
    <w:rsid w:val="00861DF8"/>
    <w:pPr>
      <w:spacing w:after="120"/>
      <w:ind w:left="1440" w:right="1440"/>
    </w:pPr>
  </w:style>
  <w:style w:type="character" w:styleId="FollowedHyperlink">
    <w:name w:val="FollowedHyperlink"/>
    <w:rsid w:val="00070E4C"/>
    <w:rPr>
      <w:color w:val="800080"/>
      <w:u w:val="single"/>
    </w:rPr>
  </w:style>
  <w:style w:type="paragraph" w:styleId="Revision">
    <w:name w:val="Revision"/>
    <w:hidden/>
    <w:uiPriority w:val="99"/>
    <w:semiHidden/>
    <w:rsid w:val="00B6465B"/>
    <w:rPr>
      <w:sz w:val="24"/>
      <w:szCs w:val="24"/>
      <w:lang w:eastAsia="en-US"/>
    </w:rPr>
  </w:style>
  <w:style w:type="character" w:customStyle="1" w:styleId="HeaderChar">
    <w:name w:val="Header Char"/>
    <w:link w:val="Header"/>
    <w:uiPriority w:val="99"/>
    <w:rsid w:val="004857EC"/>
    <w:rPr>
      <w:sz w:val="24"/>
      <w:szCs w:val="24"/>
      <w:lang w:eastAsia="en-US"/>
    </w:rPr>
  </w:style>
  <w:style w:type="paragraph" w:customStyle="1" w:styleId="tv2131">
    <w:name w:val="tv2131"/>
    <w:basedOn w:val="Normal"/>
    <w:rsid w:val="000E6559"/>
    <w:pPr>
      <w:spacing w:line="360" w:lineRule="auto"/>
      <w:ind w:firstLine="300"/>
    </w:pPr>
    <w:rPr>
      <w:color w:val="414142"/>
      <w:sz w:val="20"/>
      <w:szCs w:val="20"/>
      <w:lang w:eastAsia="lv-LV"/>
    </w:rPr>
  </w:style>
  <w:style w:type="paragraph" w:styleId="FootnoteText">
    <w:name w:val="footnote text"/>
    <w:basedOn w:val="Normal"/>
    <w:link w:val="FootnoteTextChar"/>
    <w:uiPriority w:val="99"/>
    <w:rsid w:val="003342F9"/>
    <w:rPr>
      <w:sz w:val="20"/>
      <w:szCs w:val="20"/>
      <w:lang w:eastAsia="lv-LV"/>
    </w:rPr>
  </w:style>
  <w:style w:type="character" w:customStyle="1" w:styleId="FootnoteTextChar">
    <w:name w:val="Footnote Text Char"/>
    <w:basedOn w:val="DefaultParagraphFont"/>
    <w:link w:val="FootnoteText"/>
    <w:uiPriority w:val="99"/>
    <w:rsid w:val="003342F9"/>
  </w:style>
  <w:style w:type="character" w:customStyle="1" w:styleId="FooterChar">
    <w:name w:val="Footer Char"/>
    <w:basedOn w:val="DefaultParagraphFont"/>
    <w:link w:val="Footer"/>
    <w:uiPriority w:val="99"/>
    <w:rsid w:val="00715B06"/>
    <w:rPr>
      <w:sz w:val="24"/>
      <w:szCs w:val="24"/>
      <w:lang w:eastAsia="en-US"/>
    </w:rPr>
  </w:style>
  <w:style w:type="paragraph" w:styleId="ListParagraph">
    <w:name w:val="List Paragraph"/>
    <w:basedOn w:val="Normal"/>
    <w:uiPriority w:val="34"/>
    <w:qFormat/>
    <w:rsid w:val="00D96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1211">
      <w:bodyDiv w:val="1"/>
      <w:marLeft w:val="0"/>
      <w:marRight w:val="0"/>
      <w:marTop w:val="0"/>
      <w:marBottom w:val="0"/>
      <w:divBdr>
        <w:top w:val="none" w:sz="0" w:space="0" w:color="auto"/>
        <w:left w:val="none" w:sz="0" w:space="0" w:color="auto"/>
        <w:bottom w:val="none" w:sz="0" w:space="0" w:color="auto"/>
        <w:right w:val="none" w:sz="0" w:space="0" w:color="auto"/>
      </w:divBdr>
    </w:div>
    <w:div w:id="454980067">
      <w:bodyDiv w:val="1"/>
      <w:marLeft w:val="0"/>
      <w:marRight w:val="0"/>
      <w:marTop w:val="0"/>
      <w:marBottom w:val="0"/>
      <w:divBdr>
        <w:top w:val="none" w:sz="0" w:space="0" w:color="auto"/>
        <w:left w:val="none" w:sz="0" w:space="0" w:color="auto"/>
        <w:bottom w:val="none" w:sz="0" w:space="0" w:color="auto"/>
        <w:right w:val="none" w:sz="0" w:space="0" w:color="auto"/>
      </w:divBdr>
      <w:divsChild>
        <w:div w:id="1064834811">
          <w:marLeft w:val="0"/>
          <w:marRight w:val="0"/>
          <w:marTop w:val="0"/>
          <w:marBottom w:val="0"/>
          <w:divBdr>
            <w:top w:val="none" w:sz="0" w:space="0" w:color="auto"/>
            <w:left w:val="none" w:sz="0" w:space="0" w:color="auto"/>
            <w:bottom w:val="none" w:sz="0" w:space="0" w:color="auto"/>
            <w:right w:val="none" w:sz="0" w:space="0" w:color="auto"/>
          </w:divBdr>
          <w:divsChild>
            <w:div w:id="1850363818">
              <w:marLeft w:val="0"/>
              <w:marRight w:val="0"/>
              <w:marTop w:val="0"/>
              <w:marBottom w:val="0"/>
              <w:divBdr>
                <w:top w:val="none" w:sz="0" w:space="0" w:color="auto"/>
                <w:left w:val="none" w:sz="0" w:space="0" w:color="auto"/>
                <w:bottom w:val="none" w:sz="0" w:space="0" w:color="auto"/>
                <w:right w:val="none" w:sz="0" w:space="0" w:color="auto"/>
              </w:divBdr>
              <w:divsChild>
                <w:div w:id="341904591">
                  <w:marLeft w:val="0"/>
                  <w:marRight w:val="0"/>
                  <w:marTop w:val="0"/>
                  <w:marBottom w:val="0"/>
                  <w:divBdr>
                    <w:top w:val="none" w:sz="0" w:space="0" w:color="auto"/>
                    <w:left w:val="none" w:sz="0" w:space="0" w:color="auto"/>
                    <w:bottom w:val="none" w:sz="0" w:space="0" w:color="auto"/>
                    <w:right w:val="none" w:sz="0" w:space="0" w:color="auto"/>
                  </w:divBdr>
                  <w:divsChild>
                    <w:div w:id="703865058">
                      <w:marLeft w:val="0"/>
                      <w:marRight w:val="0"/>
                      <w:marTop w:val="0"/>
                      <w:marBottom w:val="0"/>
                      <w:divBdr>
                        <w:top w:val="none" w:sz="0" w:space="0" w:color="auto"/>
                        <w:left w:val="none" w:sz="0" w:space="0" w:color="auto"/>
                        <w:bottom w:val="none" w:sz="0" w:space="0" w:color="auto"/>
                        <w:right w:val="none" w:sz="0" w:space="0" w:color="auto"/>
                      </w:divBdr>
                      <w:divsChild>
                        <w:div w:id="256718092">
                          <w:marLeft w:val="0"/>
                          <w:marRight w:val="0"/>
                          <w:marTop w:val="300"/>
                          <w:marBottom w:val="0"/>
                          <w:divBdr>
                            <w:top w:val="none" w:sz="0" w:space="0" w:color="auto"/>
                            <w:left w:val="none" w:sz="0" w:space="0" w:color="auto"/>
                            <w:bottom w:val="none" w:sz="0" w:space="0" w:color="auto"/>
                            <w:right w:val="none" w:sz="0" w:space="0" w:color="auto"/>
                          </w:divBdr>
                          <w:divsChild>
                            <w:div w:id="1304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88693">
      <w:bodyDiv w:val="1"/>
      <w:marLeft w:val="0"/>
      <w:marRight w:val="0"/>
      <w:marTop w:val="0"/>
      <w:marBottom w:val="0"/>
      <w:divBdr>
        <w:top w:val="none" w:sz="0" w:space="0" w:color="auto"/>
        <w:left w:val="none" w:sz="0" w:space="0" w:color="auto"/>
        <w:bottom w:val="none" w:sz="0" w:space="0" w:color="auto"/>
        <w:right w:val="none" w:sz="0" w:space="0" w:color="auto"/>
      </w:divBdr>
      <w:divsChild>
        <w:div w:id="461002763">
          <w:marLeft w:val="0"/>
          <w:marRight w:val="0"/>
          <w:marTop w:val="0"/>
          <w:marBottom w:val="0"/>
          <w:divBdr>
            <w:top w:val="none" w:sz="0" w:space="0" w:color="auto"/>
            <w:left w:val="none" w:sz="0" w:space="0" w:color="auto"/>
            <w:bottom w:val="none" w:sz="0" w:space="0" w:color="auto"/>
            <w:right w:val="none" w:sz="0" w:space="0" w:color="auto"/>
          </w:divBdr>
          <w:divsChild>
            <w:div w:id="1941524600">
              <w:marLeft w:val="0"/>
              <w:marRight w:val="0"/>
              <w:marTop w:val="0"/>
              <w:marBottom w:val="0"/>
              <w:divBdr>
                <w:top w:val="none" w:sz="0" w:space="0" w:color="auto"/>
                <w:left w:val="none" w:sz="0" w:space="0" w:color="auto"/>
                <w:bottom w:val="none" w:sz="0" w:space="0" w:color="auto"/>
                <w:right w:val="none" w:sz="0" w:space="0" w:color="auto"/>
              </w:divBdr>
              <w:divsChild>
                <w:div w:id="2138065117">
                  <w:marLeft w:val="0"/>
                  <w:marRight w:val="0"/>
                  <w:marTop w:val="0"/>
                  <w:marBottom w:val="0"/>
                  <w:divBdr>
                    <w:top w:val="none" w:sz="0" w:space="0" w:color="auto"/>
                    <w:left w:val="none" w:sz="0" w:space="0" w:color="auto"/>
                    <w:bottom w:val="none" w:sz="0" w:space="0" w:color="auto"/>
                    <w:right w:val="none" w:sz="0" w:space="0" w:color="auto"/>
                  </w:divBdr>
                  <w:divsChild>
                    <w:div w:id="1440373633">
                      <w:marLeft w:val="0"/>
                      <w:marRight w:val="0"/>
                      <w:marTop w:val="0"/>
                      <w:marBottom w:val="0"/>
                      <w:divBdr>
                        <w:top w:val="none" w:sz="0" w:space="0" w:color="auto"/>
                        <w:left w:val="none" w:sz="0" w:space="0" w:color="auto"/>
                        <w:bottom w:val="none" w:sz="0" w:space="0" w:color="auto"/>
                        <w:right w:val="none" w:sz="0" w:space="0" w:color="auto"/>
                      </w:divBdr>
                      <w:divsChild>
                        <w:div w:id="2016416122">
                          <w:marLeft w:val="0"/>
                          <w:marRight w:val="0"/>
                          <w:marTop w:val="300"/>
                          <w:marBottom w:val="0"/>
                          <w:divBdr>
                            <w:top w:val="none" w:sz="0" w:space="0" w:color="auto"/>
                            <w:left w:val="none" w:sz="0" w:space="0" w:color="auto"/>
                            <w:bottom w:val="none" w:sz="0" w:space="0" w:color="auto"/>
                            <w:right w:val="none" w:sz="0" w:space="0" w:color="auto"/>
                          </w:divBdr>
                          <w:divsChild>
                            <w:div w:id="15062407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464743">
      <w:bodyDiv w:val="1"/>
      <w:marLeft w:val="0"/>
      <w:marRight w:val="0"/>
      <w:marTop w:val="0"/>
      <w:marBottom w:val="0"/>
      <w:divBdr>
        <w:top w:val="none" w:sz="0" w:space="0" w:color="auto"/>
        <w:left w:val="none" w:sz="0" w:space="0" w:color="auto"/>
        <w:bottom w:val="none" w:sz="0" w:space="0" w:color="auto"/>
        <w:right w:val="none" w:sz="0" w:space="0" w:color="auto"/>
      </w:divBdr>
      <w:divsChild>
        <w:div w:id="1780367474">
          <w:marLeft w:val="0"/>
          <w:marRight w:val="0"/>
          <w:marTop w:val="0"/>
          <w:marBottom w:val="0"/>
          <w:divBdr>
            <w:top w:val="none" w:sz="0" w:space="0" w:color="auto"/>
            <w:left w:val="none" w:sz="0" w:space="0" w:color="auto"/>
            <w:bottom w:val="none" w:sz="0" w:space="0" w:color="auto"/>
            <w:right w:val="none" w:sz="0" w:space="0" w:color="auto"/>
          </w:divBdr>
          <w:divsChild>
            <w:div w:id="4916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3765">
      <w:bodyDiv w:val="1"/>
      <w:marLeft w:val="0"/>
      <w:marRight w:val="0"/>
      <w:marTop w:val="795"/>
      <w:marBottom w:val="0"/>
      <w:divBdr>
        <w:top w:val="none" w:sz="0" w:space="0" w:color="auto"/>
        <w:left w:val="none" w:sz="0" w:space="0" w:color="auto"/>
        <w:bottom w:val="none" w:sz="0" w:space="0" w:color="auto"/>
        <w:right w:val="none" w:sz="0" w:space="0" w:color="auto"/>
      </w:divBdr>
      <w:divsChild>
        <w:div w:id="376321911">
          <w:marLeft w:val="0"/>
          <w:marRight w:val="0"/>
          <w:marTop w:val="0"/>
          <w:marBottom w:val="0"/>
          <w:divBdr>
            <w:top w:val="none" w:sz="0" w:space="0" w:color="auto"/>
            <w:left w:val="none" w:sz="0" w:space="0" w:color="auto"/>
            <w:bottom w:val="none" w:sz="0" w:space="0" w:color="auto"/>
            <w:right w:val="none" w:sz="0" w:space="0" w:color="auto"/>
          </w:divBdr>
          <w:divsChild>
            <w:div w:id="114713467">
              <w:marLeft w:val="270"/>
              <w:marRight w:val="210"/>
              <w:marTop w:val="0"/>
              <w:marBottom w:val="0"/>
              <w:divBdr>
                <w:top w:val="none" w:sz="0" w:space="0" w:color="auto"/>
                <w:left w:val="none" w:sz="0" w:space="0" w:color="auto"/>
                <w:bottom w:val="none" w:sz="0" w:space="0" w:color="auto"/>
                <w:right w:val="none" w:sz="0" w:space="0" w:color="auto"/>
              </w:divBdr>
              <w:divsChild>
                <w:div w:id="778986386">
                  <w:marLeft w:val="0"/>
                  <w:marRight w:val="0"/>
                  <w:marTop w:val="0"/>
                  <w:marBottom w:val="225"/>
                  <w:divBdr>
                    <w:top w:val="none" w:sz="0" w:space="0" w:color="auto"/>
                    <w:left w:val="none" w:sz="0" w:space="0" w:color="auto"/>
                    <w:bottom w:val="none" w:sz="0" w:space="0" w:color="auto"/>
                    <w:right w:val="none" w:sz="0" w:space="0" w:color="auto"/>
                  </w:divBdr>
                  <w:divsChild>
                    <w:div w:id="1977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637">
      <w:bodyDiv w:val="1"/>
      <w:marLeft w:val="0"/>
      <w:marRight w:val="0"/>
      <w:marTop w:val="0"/>
      <w:marBottom w:val="0"/>
      <w:divBdr>
        <w:top w:val="none" w:sz="0" w:space="0" w:color="auto"/>
        <w:left w:val="none" w:sz="0" w:space="0" w:color="auto"/>
        <w:bottom w:val="none" w:sz="0" w:space="0" w:color="auto"/>
        <w:right w:val="none" w:sz="0" w:space="0" w:color="auto"/>
      </w:divBdr>
      <w:divsChild>
        <w:div w:id="1998726450">
          <w:marLeft w:val="0"/>
          <w:marRight w:val="0"/>
          <w:marTop w:val="0"/>
          <w:marBottom w:val="0"/>
          <w:divBdr>
            <w:top w:val="none" w:sz="0" w:space="0" w:color="auto"/>
            <w:left w:val="none" w:sz="0" w:space="0" w:color="auto"/>
            <w:bottom w:val="none" w:sz="0" w:space="0" w:color="auto"/>
            <w:right w:val="none" w:sz="0" w:space="0" w:color="auto"/>
          </w:divBdr>
          <w:divsChild>
            <w:div w:id="747846480">
              <w:marLeft w:val="0"/>
              <w:marRight w:val="0"/>
              <w:marTop w:val="0"/>
              <w:marBottom w:val="0"/>
              <w:divBdr>
                <w:top w:val="none" w:sz="0" w:space="0" w:color="auto"/>
                <w:left w:val="none" w:sz="0" w:space="0" w:color="auto"/>
                <w:bottom w:val="none" w:sz="0" w:space="0" w:color="auto"/>
                <w:right w:val="none" w:sz="0" w:space="0" w:color="auto"/>
              </w:divBdr>
              <w:divsChild>
                <w:div w:id="1611349888">
                  <w:marLeft w:val="0"/>
                  <w:marRight w:val="0"/>
                  <w:marTop w:val="0"/>
                  <w:marBottom w:val="0"/>
                  <w:divBdr>
                    <w:top w:val="none" w:sz="0" w:space="0" w:color="auto"/>
                    <w:left w:val="none" w:sz="0" w:space="0" w:color="auto"/>
                    <w:bottom w:val="none" w:sz="0" w:space="0" w:color="auto"/>
                    <w:right w:val="none" w:sz="0" w:space="0" w:color="auto"/>
                  </w:divBdr>
                  <w:divsChild>
                    <w:div w:id="307900168">
                      <w:marLeft w:val="0"/>
                      <w:marRight w:val="0"/>
                      <w:marTop w:val="0"/>
                      <w:marBottom w:val="0"/>
                      <w:divBdr>
                        <w:top w:val="none" w:sz="0" w:space="0" w:color="auto"/>
                        <w:left w:val="none" w:sz="0" w:space="0" w:color="auto"/>
                        <w:bottom w:val="none" w:sz="0" w:space="0" w:color="auto"/>
                        <w:right w:val="none" w:sz="0" w:space="0" w:color="auto"/>
                      </w:divBdr>
                      <w:divsChild>
                        <w:div w:id="644356102">
                          <w:marLeft w:val="0"/>
                          <w:marRight w:val="0"/>
                          <w:marTop w:val="300"/>
                          <w:marBottom w:val="0"/>
                          <w:divBdr>
                            <w:top w:val="none" w:sz="0" w:space="0" w:color="auto"/>
                            <w:left w:val="none" w:sz="0" w:space="0" w:color="auto"/>
                            <w:bottom w:val="none" w:sz="0" w:space="0" w:color="auto"/>
                            <w:right w:val="none" w:sz="0" w:space="0" w:color="auto"/>
                          </w:divBdr>
                          <w:divsChild>
                            <w:div w:id="8665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42748">
      <w:bodyDiv w:val="1"/>
      <w:marLeft w:val="0"/>
      <w:marRight w:val="0"/>
      <w:marTop w:val="0"/>
      <w:marBottom w:val="0"/>
      <w:divBdr>
        <w:top w:val="none" w:sz="0" w:space="0" w:color="auto"/>
        <w:left w:val="none" w:sz="0" w:space="0" w:color="auto"/>
        <w:bottom w:val="none" w:sz="0" w:space="0" w:color="auto"/>
        <w:right w:val="none" w:sz="0" w:space="0" w:color="auto"/>
      </w:divBdr>
      <w:divsChild>
        <w:div w:id="1103265010">
          <w:marLeft w:val="0"/>
          <w:marRight w:val="0"/>
          <w:marTop w:val="0"/>
          <w:marBottom w:val="0"/>
          <w:divBdr>
            <w:top w:val="none" w:sz="0" w:space="0" w:color="auto"/>
            <w:left w:val="none" w:sz="0" w:space="0" w:color="auto"/>
            <w:bottom w:val="none" w:sz="0" w:space="0" w:color="auto"/>
            <w:right w:val="none" w:sz="0" w:space="0" w:color="auto"/>
          </w:divBdr>
          <w:divsChild>
            <w:div w:id="1899700815">
              <w:marLeft w:val="0"/>
              <w:marRight w:val="0"/>
              <w:marTop w:val="0"/>
              <w:marBottom w:val="0"/>
              <w:divBdr>
                <w:top w:val="none" w:sz="0" w:space="0" w:color="auto"/>
                <w:left w:val="none" w:sz="0" w:space="0" w:color="auto"/>
                <w:bottom w:val="none" w:sz="0" w:space="0" w:color="auto"/>
                <w:right w:val="none" w:sz="0" w:space="0" w:color="auto"/>
              </w:divBdr>
              <w:divsChild>
                <w:div w:id="1366826166">
                  <w:marLeft w:val="0"/>
                  <w:marRight w:val="0"/>
                  <w:marTop w:val="0"/>
                  <w:marBottom w:val="0"/>
                  <w:divBdr>
                    <w:top w:val="none" w:sz="0" w:space="0" w:color="auto"/>
                    <w:left w:val="none" w:sz="0" w:space="0" w:color="auto"/>
                    <w:bottom w:val="none" w:sz="0" w:space="0" w:color="auto"/>
                    <w:right w:val="none" w:sz="0" w:space="0" w:color="auto"/>
                  </w:divBdr>
                  <w:divsChild>
                    <w:div w:id="307710823">
                      <w:marLeft w:val="0"/>
                      <w:marRight w:val="0"/>
                      <w:marTop w:val="0"/>
                      <w:marBottom w:val="0"/>
                      <w:divBdr>
                        <w:top w:val="none" w:sz="0" w:space="0" w:color="auto"/>
                        <w:left w:val="none" w:sz="0" w:space="0" w:color="auto"/>
                        <w:bottom w:val="none" w:sz="0" w:space="0" w:color="auto"/>
                        <w:right w:val="none" w:sz="0" w:space="0" w:color="auto"/>
                      </w:divBdr>
                      <w:divsChild>
                        <w:div w:id="1840264599">
                          <w:marLeft w:val="0"/>
                          <w:marRight w:val="0"/>
                          <w:marTop w:val="300"/>
                          <w:marBottom w:val="0"/>
                          <w:divBdr>
                            <w:top w:val="none" w:sz="0" w:space="0" w:color="auto"/>
                            <w:left w:val="none" w:sz="0" w:space="0" w:color="auto"/>
                            <w:bottom w:val="none" w:sz="0" w:space="0" w:color="auto"/>
                            <w:right w:val="none" w:sz="0" w:space="0" w:color="auto"/>
                          </w:divBdr>
                          <w:divsChild>
                            <w:div w:id="7373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7459">
      <w:bodyDiv w:val="1"/>
      <w:marLeft w:val="0"/>
      <w:marRight w:val="0"/>
      <w:marTop w:val="0"/>
      <w:marBottom w:val="0"/>
      <w:divBdr>
        <w:top w:val="none" w:sz="0" w:space="0" w:color="auto"/>
        <w:left w:val="none" w:sz="0" w:space="0" w:color="auto"/>
        <w:bottom w:val="none" w:sz="0" w:space="0" w:color="auto"/>
        <w:right w:val="none" w:sz="0" w:space="0" w:color="auto"/>
      </w:divBdr>
      <w:divsChild>
        <w:div w:id="482359163">
          <w:marLeft w:val="0"/>
          <w:marRight w:val="0"/>
          <w:marTop w:val="0"/>
          <w:marBottom w:val="0"/>
          <w:divBdr>
            <w:top w:val="none" w:sz="0" w:space="0" w:color="auto"/>
            <w:left w:val="none" w:sz="0" w:space="0" w:color="auto"/>
            <w:bottom w:val="none" w:sz="0" w:space="0" w:color="auto"/>
            <w:right w:val="none" w:sz="0" w:space="0" w:color="auto"/>
          </w:divBdr>
          <w:divsChild>
            <w:div w:id="264701259">
              <w:marLeft w:val="0"/>
              <w:marRight w:val="0"/>
              <w:marTop w:val="0"/>
              <w:marBottom w:val="0"/>
              <w:divBdr>
                <w:top w:val="none" w:sz="0" w:space="0" w:color="auto"/>
                <w:left w:val="none" w:sz="0" w:space="0" w:color="auto"/>
                <w:bottom w:val="none" w:sz="0" w:space="0" w:color="auto"/>
                <w:right w:val="none" w:sz="0" w:space="0" w:color="auto"/>
              </w:divBdr>
              <w:divsChild>
                <w:div w:id="2033258674">
                  <w:marLeft w:val="0"/>
                  <w:marRight w:val="0"/>
                  <w:marTop w:val="0"/>
                  <w:marBottom w:val="0"/>
                  <w:divBdr>
                    <w:top w:val="none" w:sz="0" w:space="0" w:color="auto"/>
                    <w:left w:val="none" w:sz="0" w:space="0" w:color="auto"/>
                    <w:bottom w:val="none" w:sz="0" w:space="0" w:color="auto"/>
                    <w:right w:val="none" w:sz="0" w:space="0" w:color="auto"/>
                  </w:divBdr>
                  <w:divsChild>
                    <w:div w:id="191842986">
                      <w:marLeft w:val="0"/>
                      <w:marRight w:val="0"/>
                      <w:marTop w:val="0"/>
                      <w:marBottom w:val="0"/>
                      <w:divBdr>
                        <w:top w:val="none" w:sz="0" w:space="0" w:color="auto"/>
                        <w:left w:val="none" w:sz="0" w:space="0" w:color="auto"/>
                        <w:bottom w:val="none" w:sz="0" w:space="0" w:color="auto"/>
                        <w:right w:val="none" w:sz="0" w:space="0" w:color="auto"/>
                      </w:divBdr>
                      <w:divsChild>
                        <w:div w:id="2034644276">
                          <w:marLeft w:val="0"/>
                          <w:marRight w:val="0"/>
                          <w:marTop w:val="300"/>
                          <w:marBottom w:val="0"/>
                          <w:divBdr>
                            <w:top w:val="none" w:sz="0" w:space="0" w:color="auto"/>
                            <w:left w:val="none" w:sz="0" w:space="0" w:color="auto"/>
                            <w:bottom w:val="none" w:sz="0" w:space="0" w:color="auto"/>
                            <w:right w:val="none" w:sz="0" w:space="0" w:color="auto"/>
                          </w:divBdr>
                          <w:divsChild>
                            <w:div w:id="2686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ese.Sudare@kase.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1504-AD5C-4D20-8623-153A084B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2830</Words>
  <Characters>20388</Characters>
  <Application>Microsoft Office Word</Application>
  <DocSecurity>0</DocSecurity>
  <Lines>169</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„Valsts vērtspapīru izlaišanas noteikumi” sākotnējās ietekmes novērtējuma ziņojums (anotācija)</vt:lpstr>
      <vt:lpstr>Noteikumu projekta "Grozījumi Ministru kabineta 2013.gada 5.marta noteikumos Nr.120 "Valsts vērtspapīru izlaišanas noteikumi" sākotnējās ietekmes novērtējuma ziņojums (anotācija)</vt:lpstr>
    </vt:vector>
  </TitlesOfParts>
  <Manager>Valsts kases finanšu resursu departamenta direktors Ģirts Helmanis</Manager>
  <Company>Valsts kase</Company>
  <LinksUpToDate>false</LinksUpToDate>
  <CharactersWithSpaces>23172</CharactersWithSpaces>
  <SharedDoc>false</SharedDoc>
  <HLinks>
    <vt:vector size="6" baseType="variant">
      <vt:variant>
        <vt:i4>5701759</vt:i4>
      </vt:variant>
      <vt:variant>
        <vt:i4>0</vt:i4>
      </vt:variant>
      <vt:variant>
        <vt:i4>0</vt:i4>
      </vt:variant>
      <vt:variant>
        <vt:i4>5</vt:i4>
      </vt:variant>
      <vt:variant>
        <vt:lpwstr>mailto:Inese.Sudare@kase.gov.lv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vērtspapīru izlaišanas noteikumi” sākotnējās ietekmes novērtējuma ziņojums (anotācija)</dc:title>
  <dc:subject>Anotācija</dc:subject>
  <dc:creator>Valsts kases Finanšu resursu departamenta derektora vietniece Inese Sudare</dc:creator>
  <dc:description>Inese Sudare
tālr.67094388
inese.sudare@kase.gov.lv</dc:description>
  <cp:lastModifiedBy>Inese Sudare</cp:lastModifiedBy>
  <cp:revision>8</cp:revision>
  <cp:lastPrinted>2014-03-31T13:34:00Z</cp:lastPrinted>
  <dcterms:created xsi:type="dcterms:W3CDTF">2014-03-25T08:52:00Z</dcterms:created>
  <dcterms:modified xsi:type="dcterms:W3CDTF">2014-03-31T13:34:00Z</dcterms:modified>
</cp:coreProperties>
</file>