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76711" w14:textId="77777777" w:rsidR="00B5469C" w:rsidRPr="0057226A" w:rsidRDefault="00B5469C">
      <w:pPr>
        <w:rPr>
          <w:rFonts w:ascii="Times New Roman" w:hAnsi="Times New Roman" w:cs="Times New Roman"/>
          <w:color w:val="808080" w:themeColor="background1" w:themeShade="80"/>
        </w:rPr>
      </w:pPr>
    </w:p>
    <w:p w14:paraId="0E69EBFE" w14:textId="3BB21E62" w:rsidR="0057226A" w:rsidRPr="0057226A" w:rsidRDefault="0057226A" w:rsidP="0057226A">
      <w:pPr>
        <w:spacing w:after="0" w:line="240" w:lineRule="auto"/>
        <w:jc w:val="center"/>
        <w:rPr>
          <w:rFonts w:ascii="Times New Roman" w:eastAsia="Times New Roman" w:hAnsi="Times New Roman" w:cs="Times New Roman"/>
          <w:b/>
          <w:bCs/>
          <w:sz w:val="28"/>
          <w:szCs w:val="28"/>
        </w:rPr>
      </w:pPr>
      <w:r w:rsidRPr="0057226A">
        <w:rPr>
          <w:rFonts w:ascii="Times New Roman" w:hAnsi="Times New Roman" w:cs="Times New Roman"/>
          <w:b/>
          <w:bCs/>
          <w:color w:val="000000"/>
          <w:sz w:val="28"/>
          <w:szCs w:val="28"/>
        </w:rPr>
        <w:t xml:space="preserve">Ministru </w:t>
      </w:r>
      <w:r w:rsidRPr="0057226A">
        <w:rPr>
          <w:rFonts w:ascii="Times New Roman" w:hAnsi="Times New Roman" w:cs="Times New Roman"/>
          <w:b/>
          <w:bCs/>
          <w:sz w:val="28"/>
          <w:szCs w:val="28"/>
        </w:rPr>
        <w:t>kabineta noteikumu „</w:t>
      </w:r>
      <w:r w:rsidR="00CD23F6" w:rsidRPr="00CD23F6">
        <w:rPr>
          <w:rFonts w:ascii="Times New Roman" w:eastAsia="Times New Roman" w:hAnsi="Times New Roman" w:cs="Times New Roman"/>
          <w:b/>
          <w:bCs/>
          <w:sz w:val="28"/>
          <w:szCs w:val="28"/>
        </w:rPr>
        <w:t xml:space="preserve"> </w:t>
      </w:r>
      <w:r w:rsidR="00CD23F6" w:rsidRPr="00CD23F6">
        <w:rPr>
          <w:rFonts w:ascii="Times New Roman" w:hAnsi="Times New Roman" w:cs="Times New Roman"/>
          <w:b/>
          <w:sz w:val="28"/>
          <w:szCs w:val="28"/>
        </w:rPr>
        <w:t>Revīzijas iestādes funkciju nodrošināšanas kārtība Eiropas Savienības struktūrfondu un Kohēzijas fonda 2014.-2020.gada plānošanas periodā</w:t>
      </w:r>
      <w:r w:rsidRPr="0057226A">
        <w:rPr>
          <w:rFonts w:ascii="Times New Roman" w:hAnsi="Times New Roman" w:cs="Times New Roman"/>
          <w:b/>
          <w:bCs/>
          <w:sz w:val="28"/>
          <w:szCs w:val="28"/>
        </w:rPr>
        <w:t>” projekta sākotnējās ietekmes novērtējuma ziņojums</w:t>
      </w:r>
      <w:r w:rsidRPr="0057226A">
        <w:rPr>
          <w:rFonts w:ascii="Times New Roman" w:hAnsi="Times New Roman" w:cs="Times New Roman"/>
          <w:b/>
          <w:bCs/>
          <w:color w:val="000000"/>
          <w:sz w:val="28"/>
          <w:szCs w:val="28"/>
        </w:rPr>
        <w:t xml:space="preserve"> (anotācija)</w:t>
      </w:r>
      <w:r w:rsidRPr="0057226A">
        <w:rPr>
          <w:rFonts w:ascii="Times New Roman" w:hAnsi="Times New Roman" w:cs="Times New Roman"/>
          <w:bCs/>
          <w:sz w:val="28"/>
          <w:szCs w:val="28"/>
        </w:rPr>
        <w:t xml:space="preserve"> </w:t>
      </w:r>
    </w:p>
    <w:p w14:paraId="108F29A5" w14:textId="77777777" w:rsidR="002929D9" w:rsidRPr="00976BB3" w:rsidRDefault="002929D9" w:rsidP="002929D9">
      <w:pPr>
        <w:pStyle w:val="naisf"/>
        <w:spacing w:before="0" w:beforeAutospacing="0" w:after="0" w:afterAutospacing="0"/>
        <w:jc w:val="right"/>
        <w:rPr>
          <w:color w:val="808080" w:themeColor="background1" w:themeShade="80"/>
          <w:sz w:val="28"/>
          <w:szCs w:val="28"/>
        </w:rPr>
      </w:pPr>
    </w:p>
    <w:tbl>
      <w:tblPr>
        <w:tblpPr w:leftFromText="180" w:rightFromText="180" w:vertAnchor="text" w:horzAnchor="margin" w:tblpXSpec="center" w:tblpY="149"/>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
        <w:gridCol w:w="3113"/>
        <w:gridCol w:w="5401"/>
      </w:tblGrid>
      <w:tr w:rsidR="00976BB3" w:rsidRPr="00976BB3" w14:paraId="516CA390" w14:textId="77777777" w:rsidTr="002929D9">
        <w:trPr>
          <w:trHeight w:val="419"/>
        </w:trPr>
        <w:tc>
          <w:tcPr>
            <w:tcW w:w="5000" w:type="pct"/>
            <w:gridSpan w:val="3"/>
            <w:vAlign w:val="center"/>
          </w:tcPr>
          <w:p w14:paraId="5F3D6586" w14:textId="77777777" w:rsidR="002929D9" w:rsidRPr="00397A2A" w:rsidRDefault="002929D9" w:rsidP="002929D9">
            <w:pPr>
              <w:pStyle w:val="naisnod"/>
              <w:spacing w:before="0" w:beforeAutospacing="0" w:after="0" w:afterAutospacing="0"/>
              <w:ind w:right="57"/>
              <w:jc w:val="center"/>
              <w:rPr>
                <w:b/>
              </w:rPr>
            </w:pPr>
            <w:r w:rsidRPr="00397A2A">
              <w:rPr>
                <w:b/>
              </w:rPr>
              <w:t>I. Tiesību akta projekta izstrādes nepieciešamība</w:t>
            </w:r>
          </w:p>
        </w:tc>
      </w:tr>
      <w:tr w:rsidR="00976BB3" w:rsidRPr="00976BB3" w14:paraId="7B096C14" w14:textId="77777777" w:rsidTr="002929D9">
        <w:trPr>
          <w:trHeight w:val="415"/>
        </w:trPr>
        <w:tc>
          <w:tcPr>
            <w:tcW w:w="217" w:type="pct"/>
          </w:tcPr>
          <w:p w14:paraId="4FCBBC01" w14:textId="77777777" w:rsidR="002929D9" w:rsidRPr="00397A2A" w:rsidRDefault="002929D9" w:rsidP="002929D9">
            <w:pPr>
              <w:pStyle w:val="naiskr"/>
              <w:spacing w:before="0" w:beforeAutospacing="0" w:after="0" w:afterAutospacing="0"/>
              <w:ind w:right="57"/>
              <w:jc w:val="center"/>
            </w:pPr>
            <w:r w:rsidRPr="00397A2A">
              <w:t>1.</w:t>
            </w:r>
          </w:p>
        </w:tc>
        <w:tc>
          <w:tcPr>
            <w:tcW w:w="1749" w:type="pct"/>
          </w:tcPr>
          <w:p w14:paraId="55F85365" w14:textId="77777777" w:rsidR="002929D9" w:rsidRPr="00397A2A" w:rsidRDefault="002929D9" w:rsidP="002929D9">
            <w:pPr>
              <w:pStyle w:val="naiskr"/>
              <w:spacing w:before="0" w:beforeAutospacing="0" w:after="0" w:afterAutospacing="0"/>
              <w:ind w:left="57" w:right="57"/>
            </w:pPr>
            <w:r w:rsidRPr="00397A2A">
              <w:t>Pamatojums</w:t>
            </w:r>
          </w:p>
          <w:p w14:paraId="32A42C26" w14:textId="77777777" w:rsidR="002929D9" w:rsidRPr="00397A2A" w:rsidRDefault="002929D9" w:rsidP="002929D9">
            <w:pPr>
              <w:ind w:firstLine="720"/>
            </w:pPr>
          </w:p>
        </w:tc>
        <w:tc>
          <w:tcPr>
            <w:tcW w:w="3034" w:type="pct"/>
          </w:tcPr>
          <w:p w14:paraId="1A2DC198" w14:textId="5DF332F3" w:rsidR="001F4E98" w:rsidRDefault="001F4E98" w:rsidP="001F4E98">
            <w:pPr>
              <w:pStyle w:val="Heading3"/>
              <w:shd w:val="clear" w:color="auto" w:fill="FFFFFF"/>
              <w:spacing w:after="120" w:line="276" w:lineRule="auto"/>
              <w:ind w:left="57" w:right="57"/>
              <w:jc w:val="both"/>
              <w:rPr>
                <w:b w:val="0"/>
                <w:sz w:val="24"/>
                <w:szCs w:val="24"/>
              </w:rPr>
            </w:pPr>
            <w:r w:rsidRPr="00B36F75">
              <w:rPr>
                <w:b w:val="0"/>
                <w:iCs/>
                <w:sz w:val="24"/>
                <w:szCs w:val="24"/>
              </w:rPr>
              <w:t>Eiropas Savienības struktūrfondu un Kohēzijas fonda 2014.-2020.gada plānošanas perioda vadības likuma</w:t>
            </w:r>
            <w:r w:rsidR="002C4DEC">
              <w:rPr>
                <w:b w:val="0"/>
                <w:iCs/>
                <w:sz w:val="24"/>
                <w:szCs w:val="24"/>
              </w:rPr>
              <w:t xml:space="preserve"> </w:t>
            </w:r>
            <w:r w:rsidR="002C4DEC" w:rsidRPr="00B36F75">
              <w:rPr>
                <w:b w:val="0"/>
                <w:sz w:val="24"/>
                <w:szCs w:val="24"/>
              </w:rPr>
              <w:t xml:space="preserve">(turpmāk </w:t>
            </w:r>
            <w:r w:rsidR="002C4DEC">
              <w:rPr>
                <w:b w:val="0"/>
                <w:sz w:val="24"/>
                <w:szCs w:val="24"/>
              </w:rPr>
              <w:t xml:space="preserve">– </w:t>
            </w:r>
            <w:r w:rsidR="002C4DEC" w:rsidRPr="00B36F75">
              <w:rPr>
                <w:b w:val="0"/>
                <w:sz w:val="24"/>
                <w:szCs w:val="24"/>
              </w:rPr>
              <w:t>Likums</w:t>
            </w:r>
            <w:r w:rsidR="002C4DEC">
              <w:rPr>
                <w:b w:val="0"/>
                <w:sz w:val="24"/>
                <w:szCs w:val="24"/>
              </w:rPr>
              <w:t>)</w:t>
            </w:r>
            <w:r w:rsidRPr="00B36F75">
              <w:rPr>
                <w:b w:val="0"/>
                <w:iCs/>
                <w:sz w:val="24"/>
                <w:szCs w:val="24"/>
              </w:rPr>
              <w:t xml:space="preserve"> 20.panta 5.punkts </w:t>
            </w:r>
            <w:r w:rsidRPr="00B36F75">
              <w:rPr>
                <w:b w:val="0"/>
                <w:sz w:val="24"/>
                <w:szCs w:val="24"/>
              </w:rPr>
              <w:t xml:space="preserve">paredz, ka Ministru kabinets nosaka kārtību, kādā nodrošina revīzijas iestādes funkcijas  Eiropas Savienības struktūrfondu un Kohēzijas fonda (turpmāk - </w:t>
            </w:r>
            <w:r>
              <w:rPr>
                <w:b w:val="0"/>
                <w:sz w:val="24"/>
                <w:szCs w:val="24"/>
              </w:rPr>
              <w:t>ES</w:t>
            </w:r>
            <w:r w:rsidRPr="00B36F75">
              <w:rPr>
                <w:b w:val="0"/>
                <w:sz w:val="24"/>
                <w:szCs w:val="24"/>
              </w:rPr>
              <w:t xml:space="preserve"> fondu) vadībā.</w:t>
            </w:r>
          </w:p>
          <w:p w14:paraId="5F3E7B34" w14:textId="006768D7" w:rsidR="00F501F0" w:rsidRPr="00B36F75" w:rsidRDefault="00B36F75" w:rsidP="001F4E98">
            <w:pPr>
              <w:pStyle w:val="Heading3"/>
              <w:shd w:val="clear" w:color="auto" w:fill="FFFFFF"/>
              <w:spacing w:after="120" w:line="276" w:lineRule="auto"/>
              <w:ind w:left="57" w:right="57"/>
              <w:jc w:val="both"/>
              <w:rPr>
                <w:b w:val="0"/>
                <w:sz w:val="24"/>
                <w:szCs w:val="24"/>
              </w:rPr>
            </w:pPr>
            <w:r w:rsidRPr="00B36F75">
              <w:rPr>
                <w:b w:val="0"/>
                <w:sz w:val="24"/>
                <w:szCs w:val="24"/>
              </w:rPr>
              <w:t>Ministru kabineta 2013.gada 4.jūnija rīkojuma Nr.230 „Par Koncepciju par Eiropas Reģionālās attīstības fonda, Eiropas Sociālā fonda, Kohēzijas fonda, Eiropas Lauksaimniecības fonda lauku attīstībai un Eiropas Jūrlietu un zivsaimniecības fonda ieviešanu 2014.-2020.gadā Latvijā” 3.3.apakšpunkts, kurā Finanšu ministrijai uzdots izstrādāt normatīvo aktu projektus par ES fondu vadību 2014.-2020.gada plānošanas periodam.</w:t>
            </w:r>
          </w:p>
        </w:tc>
      </w:tr>
      <w:tr w:rsidR="00976BB3" w:rsidRPr="00976BB3" w14:paraId="3F2D71B4" w14:textId="77777777" w:rsidTr="002929D9">
        <w:trPr>
          <w:trHeight w:val="472"/>
        </w:trPr>
        <w:tc>
          <w:tcPr>
            <w:tcW w:w="217" w:type="pct"/>
          </w:tcPr>
          <w:p w14:paraId="33843493" w14:textId="77777777" w:rsidR="002929D9" w:rsidRPr="00397A2A" w:rsidRDefault="002929D9" w:rsidP="002929D9">
            <w:pPr>
              <w:pStyle w:val="naiskr"/>
              <w:spacing w:before="0" w:beforeAutospacing="0" w:after="0" w:afterAutospacing="0"/>
              <w:ind w:right="57"/>
              <w:jc w:val="center"/>
            </w:pPr>
            <w:r w:rsidRPr="00397A2A">
              <w:t>2.</w:t>
            </w:r>
          </w:p>
        </w:tc>
        <w:tc>
          <w:tcPr>
            <w:tcW w:w="1749" w:type="pct"/>
          </w:tcPr>
          <w:p w14:paraId="71E1C83C" w14:textId="77777777" w:rsidR="002929D9" w:rsidRPr="00397A2A" w:rsidRDefault="002929D9" w:rsidP="002929D9">
            <w:pPr>
              <w:pStyle w:val="naiskr"/>
              <w:tabs>
                <w:tab w:val="left" w:pos="170"/>
              </w:tabs>
              <w:spacing w:before="0" w:beforeAutospacing="0" w:after="0" w:afterAutospacing="0"/>
              <w:ind w:left="57" w:right="57"/>
            </w:pPr>
            <w:r w:rsidRPr="00397A2A">
              <w:t>Pašreizējā situācija un problēmas, kuru risināšanai tiesību akta projekts izstrādāts, tiesiskā regulējuma mērķis un būtība</w:t>
            </w:r>
          </w:p>
        </w:tc>
        <w:tc>
          <w:tcPr>
            <w:tcW w:w="3034" w:type="pct"/>
          </w:tcPr>
          <w:p w14:paraId="62A760BC" w14:textId="27D65467" w:rsidR="00B36F75" w:rsidRDefault="00864ABB" w:rsidP="001F4E98">
            <w:pPr>
              <w:pStyle w:val="Heading3"/>
              <w:shd w:val="clear" w:color="auto" w:fill="FFFFFF"/>
              <w:spacing w:after="120" w:line="276" w:lineRule="auto"/>
              <w:ind w:left="57" w:right="57"/>
              <w:jc w:val="both"/>
              <w:rPr>
                <w:b w:val="0"/>
                <w:sz w:val="24"/>
                <w:szCs w:val="24"/>
              </w:rPr>
            </w:pPr>
            <w:r w:rsidRPr="00FB1032">
              <w:rPr>
                <w:b w:val="0"/>
                <w:sz w:val="24"/>
                <w:szCs w:val="24"/>
              </w:rPr>
              <w:t>Ministru kabineta noteikumu projekts „</w:t>
            </w:r>
            <w:r w:rsidR="00CD23F6" w:rsidRPr="00CD23F6">
              <w:rPr>
                <w:b w:val="0"/>
                <w:sz w:val="24"/>
                <w:szCs w:val="24"/>
              </w:rPr>
              <w:t>Revīzijas iestādes funkciju nodrošināšanas kārtība Eiropas Savienības struktūrfondu un Kohēzijas fonda 2014.-2020.gada plānošanas periodā</w:t>
            </w:r>
            <w:r w:rsidRPr="00FB1032">
              <w:rPr>
                <w:b w:val="0"/>
                <w:sz w:val="24"/>
                <w:szCs w:val="24"/>
              </w:rPr>
              <w:t>”  (turpmāk – MK noteikumu projekts)</w:t>
            </w:r>
            <w:r w:rsidR="00B34805" w:rsidRPr="00FB1032">
              <w:rPr>
                <w:b w:val="0"/>
                <w:sz w:val="24"/>
                <w:szCs w:val="24"/>
              </w:rPr>
              <w:t xml:space="preserve"> pēc būtības ir</w:t>
            </w:r>
            <w:r w:rsidRPr="00FB1032">
              <w:rPr>
                <w:b w:val="0"/>
                <w:sz w:val="24"/>
                <w:szCs w:val="24"/>
              </w:rPr>
              <w:t xml:space="preserve"> līdzīgs </w:t>
            </w:r>
            <w:r w:rsidR="001F4E98">
              <w:rPr>
                <w:b w:val="0"/>
                <w:sz w:val="24"/>
                <w:szCs w:val="24"/>
              </w:rPr>
              <w:t>ES fondu</w:t>
            </w:r>
            <w:r w:rsidRPr="00FB1032">
              <w:rPr>
                <w:b w:val="0"/>
                <w:sz w:val="24"/>
                <w:szCs w:val="24"/>
              </w:rPr>
              <w:t xml:space="preserve"> 2007.-2013.gada plānošanas perioda </w:t>
            </w:r>
            <w:r w:rsidR="001F4E98">
              <w:rPr>
                <w:b w:val="0"/>
                <w:sz w:val="24"/>
                <w:szCs w:val="24"/>
              </w:rPr>
              <w:t xml:space="preserve">(turpmāk – iepriekšējais plānošanas periods) </w:t>
            </w:r>
            <w:r w:rsidRPr="00FB1032">
              <w:rPr>
                <w:b w:val="0"/>
                <w:sz w:val="24"/>
                <w:szCs w:val="24"/>
              </w:rPr>
              <w:t>Ministru kabineta 2012.gada 24.jūlija noteikumiem Nr.501 „Kārtība, kādā nodrošina revīzijas iestādes funkcijas Eiropas Savienības struktūrfondu un Kohēzijas fonda vadībā” (turpmāk – MK noteikumi Nr.501). MK noteikumu projektā tiek regulēti šādi jautājumi:</w:t>
            </w:r>
          </w:p>
          <w:p w14:paraId="22A05FBA" w14:textId="4EB727C1" w:rsidR="00FB1032" w:rsidRPr="00025B19" w:rsidRDefault="00B34805" w:rsidP="001F4E98">
            <w:pPr>
              <w:pStyle w:val="Heading3"/>
              <w:numPr>
                <w:ilvl w:val="0"/>
                <w:numId w:val="28"/>
              </w:numPr>
              <w:shd w:val="clear" w:color="auto" w:fill="FFFFFF"/>
              <w:spacing w:after="120" w:line="276" w:lineRule="auto"/>
              <w:ind w:right="57"/>
              <w:jc w:val="both"/>
              <w:rPr>
                <w:sz w:val="24"/>
                <w:szCs w:val="24"/>
              </w:rPr>
            </w:pPr>
            <w:r w:rsidRPr="00025B19">
              <w:rPr>
                <w:sz w:val="24"/>
                <w:szCs w:val="24"/>
              </w:rPr>
              <w:t>Revīzijas iestādei iesniedzamā informācija</w:t>
            </w:r>
          </w:p>
          <w:p w14:paraId="4B94D0CB" w14:textId="6E4219DC" w:rsidR="00FB1032" w:rsidRPr="00FB1032" w:rsidRDefault="00A26378" w:rsidP="001F4E98">
            <w:pPr>
              <w:pStyle w:val="Heading3"/>
              <w:shd w:val="clear" w:color="auto" w:fill="FFFFFF"/>
              <w:spacing w:after="120" w:line="276" w:lineRule="auto"/>
              <w:ind w:left="57" w:right="57"/>
              <w:jc w:val="both"/>
              <w:rPr>
                <w:b w:val="0"/>
                <w:sz w:val="24"/>
                <w:szCs w:val="24"/>
              </w:rPr>
            </w:pPr>
            <w:r w:rsidRPr="00FB1032">
              <w:rPr>
                <w:b w:val="0"/>
                <w:sz w:val="24"/>
                <w:szCs w:val="24"/>
              </w:rPr>
              <w:t xml:space="preserve">Tāpat kā MK noteikumi Nr.501, MK noteikumu projekts paredz, ka revīzijas iestāde saņem no vadošās iestādes un sertifikācijas iestādes </w:t>
            </w:r>
            <w:r w:rsidR="00FB1032" w:rsidRPr="00FB1032">
              <w:rPr>
                <w:b w:val="0"/>
                <w:sz w:val="24"/>
                <w:szCs w:val="24"/>
              </w:rPr>
              <w:t>dokumentus un</w:t>
            </w:r>
            <w:r w:rsidRPr="00FB1032">
              <w:rPr>
                <w:b w:val="0"/>
                <w:sz w:val="24"/>
                <w:szCs w:val="24"/>
              </w:rPr>
              <w:t xml:space="preserve"> </w:t>
            </w:r>
            <w:r w:rsidRPr="00FB1032">
              <w:rPr>
                <w:b w:val="0"/>
                <w:sz w:val="24"/>
                <w:szCs w:val="24"/>
              </w:rPr>
              <w:lastRenderedPageBreak/>
              <w:t>informāciju, par kur</w:t>
            </w:r>
            <w:r w:rsidR="00FB1032" w:rsidRPr="00FB1032">
              <w:rPr>
                <w:b w:val="0"/>
                <w:sz w:val="24"/>
                <w:szCs w:val="24"/>
              </w:rPr>
              <w:t>iem</w:t>
            </w:r>
            <w:r w:rsidRPr="00FB1032">
              <w:rPr>
                <w:b w:val="0"/>
                <w:sz w:val="24"/>
                <w:szCs w:val="24"/>
              </w:rPr>
              <w:t xml:space="preserve"> tiek sniegts revīzijas iestādes atzinums.</w:t>
            </w:r>
          </w:p>
          <w:p w14:paraId="278D544B" w14:textId="30358E99" w:rsidR="00D83E30" w:rsidRDefault="00AA74C8" w:rsidP="001F4E98">
            <w:pPr>
              <w:pStyle w:val="Heading3"/>
              <w:shd w:val="clear" w:color="auto" w:fill="FFFFFF"/>
              <w:spacing w:after="120" w:line="276" w:lineRule="auto"/>
              <w:ind w:left="57" w:right="57"/>
              <w:jc w:val="both"/>
              <w:rPr>
                <w:b w:val="0"/>
                <w:iCs/>
                <w:sz w:val="24"/>
                <w:szCs w:val="24"/>
              </w:rPr>
            </w:pPr>
            <w:r>
              <w:rPr>
                <w:b w:val="0"/>
                <w:sz w:val="24"/>
                <w:szCs w:val="24"/>
              </w:rPr>
              <w:t>MK noteikumu</w:t>
            </w:r>
            <w:r w:rsidRPr="00FB1032">
              <w:rPr>
                <w:b w:val="0"/>
                <w:sz w:val="24"/>
                <w:szCs w:val="24"/>
              </w:rPr>
              <w:t xml:space="preserve"> </w:t>
            </w:r>
            <w:r w:rsidR="00B35671">
              <w:rPr>
                <w:b w:val="0"/>
                <w:sz w:val="24"/>
                <w:szCs w:val="24"/>
              </w:rPr>
              <w:t>projekta</w:t>
            </w:r>
            <w:r>
              <w:rPr>
                <w:b w:val="0"/>
                <w:iCs/>
                <w:sz w:val="24"/>
                <w:szCs w:val="24"/>
              </w:rPr>
              <w:t xml:space="preserve"> </w:t>
            </w:r>
            <w:r w:rsidR="00203E98">
              <w:rPr>
                <w:b w:val="0"/>
                <w:iCs/>
                <w:sz w:val="24"/>
                <w:szCs w:val="24"/>
              </w:rPr>
              <w:t>3</w:t>
            </w:r>
            <w:r>
              <w:rPr>
                <w:b w:val="0"/>
                <w:iCs/>
                <w:sz w:val="24"/>
                <w:szCs w:val="24"/>
              </w:rPr>
              <w:t xml:space="preserve">.2. un </w:t>
            </w:r>
            <w:r w:rsidR="00203E98">
              <w:rPr>
                <w:b w:val="0"/>
                <w:iCs/>
                <w:sz w:val="24"/>
                <w:szCs w:val="24"/>
              </w:rPr>
              <w:t>4</w:t>
            </w:r>
            <w:r>
              <w:rPr>
                <w:b w:val="0"/>
                <w:iCs/>
                <w:sz w:val="24"/>
                <w:szCs w:val="24"/>
              </w:rPr>
              <w:t>.2.apakšpunktā tiek noteikta</w:t>
            </w:r>
            <w:r w:rsidR="00CF2635" w:rsidRPr="00FB1032">
              <w:rPr>
                <w:b w:val="0"/>
                <w:iCs/>
                <w:sz w:val="24"/>
                <w:szCs w:val="24"/>
              </w:rPr>
              <w:t xml:space="preserve"> </w:t>
            </w:r>
            <w:r>
              <w:rPr>
                <w:b w:val="0"/>
                <w:iCs/>
                <w:sz w:val="24"/>
                <w:szCs w:val="24"/>
              </w:rPr>
              <w:t>divu</w:t>
            </w:r>
            <w:r w:rsidR="00FB1032" w:rsidRPr="00FB1032">
              <w:rPr>
                <w:b w:val="0"/>
                <w:iCs/>
                <w:sz w:val="24"/>
                <w:szCs w:val="24"/>
              </w:rPr>
              <w:t xml:space="preserve"> </w:t>
            </w:r>
            <w:r>
              <w:rPr>
                <w:b w:val="0"/>
                <w:iCs/>
                <w:sz w:val="24"/>
                <w:szCs w:val="24"/>
              </w:rPr>
              <w:t xml:space="preserve">jaunu dokumentu </w:t>
            </w:r>
            <w:r w:rsidRPr="00FB1032">
              <w:rPr>
                <w:b w:val="0"/>
                <w:iCs/>
                <w:sz w:val="24"/>
                <w:szCs w:val="24"/>
              </w:rPr>
              <w:t xml:space="preserve">– </w:t>
            </w:r>
            <w:r w:rsidR="002B1379">
              <w:rPr>
                <w:b w:val="0"/>
                <w:sz w:val="24"/>
                <w:szCs w:val="24"/>
              </w:rPr>
              <w:t>kontu slēguma (</w:t>
            </w:r>
            <w:r>
              <w:rPr>
                <w:b w:val="0"/>
                <w:sz w:val="24"/>
                <w:szCs w:val="24"/>
              </w:rPr>
              <w:t>pārskata</w:t>
            </w:r>
            <w:r w:rsidRPr="00FB1032">
              <w:rPr>
                <w:b w:val="0"/>
                <w:sz w:val="24"/>
                <w:szCs w:val="24"/>
              </w:rPr>
              <w:t xml:space="preserve"> par </w:t>
            </w:r>
            <w:r w:rsidRPr="002B1379">
              <w:rPr>
                <w:b w:val="0"/>
                <w:sz w:val="24"/>
                <w:szCs w:val="24"/>
              </w:rPr>
              <w:t>izdevumiem</w:t>
            </w:r>
            <w:r w:rsidR="002B1379">
              <w:rPr>
                <w:b w:val="0"/>
                <w:sz w:val="24"/>
                <w:szCs w:val="24"/>
              </w:rPr>
              <w:t>,</w:t>
            </w:r>
            <w:r w:rsidR="002B1379" w:rsidRPr="002B1379">
              <w:rPr>
                <w:b w:val="0"/>
                <w:sz w:val="24"/>
                <w:szCs w:val="24"/>
              </w:rPr>
              <w:t xml:space="preserve"> kas minēts regulas Nr.1303/2013 137.panta 1.punktā)</w:t>
            </w:r>
            <w:r w:rsidRPr="002B1379">
              <w:rPr>
                <w:b w:val="0"/>
                <w:sz w:val="24"/>
                <w:szCs w:val="24"/>
              </w:rPr>
              <w:t xml:space="preserve"> un</w:t>
            </w:r>
            <w:r w:rsidRPr="00FB1032">
              <w:rPr>
                <w:b w:val="0"/>
                <w:sz w:val="24"/>
                <w:szCs w:val="24"/>
              </w:rPr>
              <w:t xml:space="preserve"> </w:t>
            </w:r>
            <w:r w:rsidRPr="00FB1032">
              <w:rPr>
                <w:b w:val="0"/>
                <w:iCs/>
                <w:sz w:val="24"/>
                <w:szCs w:val="24"/>
              </w:rPr>
              <w:t>pārvaldības deklarācija</w:t>
            </w:r>
            <w:r>
              <w:rPr>
                <w:b w:val="0"/>
                <w:iCs/>
                <w:sz w:val="24"/>
                <w:szCs w:val="24"/>
              </w:rPr>
              <w:t xml:space="preserve">s </w:t>
            </w:r>
            <w:r w:rsidR="002C4DEC">
              <w:rPr>
                <w:b w:val="0"/>
                <w:iCs/>
                <w:sz w:val="24"/>
                <w:szCs w:val="24"/>
              </w:rPr>
              <w:t xml:space="preserve">(tai skaitā, gada kopsavilkuma) </w:t>
            </w:r>
            <w:r>
              <w:rPr>
                <w:b w:val="0"/>
                <w:iCs/>
                <w:sz w:val="24"/>
                <w:szCs w:val="24"/>
              </w:rPr>
              <w:t>iesniegšana revīzijas iestādē,</w:t>
            </w:r>
            <w:r w:rsidR="00CF2635" w:rsidRPr="00FB1032">
              <w:rPr>
                <w:b w:val="0"/>
                <w:iCs/>
                <w:sz w:val="24"/>
                <w:szCs w:val="24"/>
              </w:rPr>
              <w:t xml:space="preserve"> </w:t>
            </w:r>
            <w:r>
              <w:rPr>
                <w:b w:val="0"/>
                <w:iCs/>
                <w:sz w:val="24"/>
                <w:szCs w:val="24"/>
              </w:rPr>
              <w:t xml:space="preserve">jo </w:t>
            </w:r>
            <w:r w:rsidR="00CF2635" w:rsidRPr="00FB1032">
              <w:rPr>
                <w:b w:val="0"/>
                <w:iCs/>
                <w:sz w:val="24"/>
                <w:szCs w:val="24"/>
              </w:rPr>
              <w:t>par</w:t>
            </w:r>
            <w:r>
              <w:rPr>
                <w:b w:val="0"/>
                <w:iCs/>
                <w:sz w:val="24"/>
                <w:szCs w:val="24"/>
              </w:rPr>
              <w:t xml:space="preserve"> t</w:t>
            </w:r>
            <w:r w:rsidR="00CF2635" w:rsidRPr="00FB1032">
              <w:rPr>
                <w:b w:val="0"/>
                <w:iCs/>
                <w:sz w:val="24"/>
                <w:szCs w:val="24"/>
              </w:rPr>
              <w:t>iem ir jāsniedz revīzijas iestādes viedoklis</w:t>
            </w:r>
            <w:r w:rsidR="001F4E98" w:rsidRPr="00FB1032">
              <w:rPr>
                <w:b w:val="0"/>
                <w:sz w:val="24"/>
                <w:szCs w:val="24"/>
              </w:rPr>
              <w:t xml:space="preserve"> </w:t>
            </w:r>
            <w:r w:rsidR="001F4E98">
              <w:rPr>
                <w:b w:val="0"/>
                <w:sz w:val="24"/>
                <w:szCs w:val="24"/>
              </w:rPr>
              <w:t>s</w:t>
            </w:r>
            <w:r w:rsidR="001F4E98" w:rsidRPr="00FB1032">
              <w:rPr>
                <w:b w:val="0"/>
                <w:sz w:val="24"/>
                <w:szCs w:val="24"/>
              </w:rPr>
              <w:t xml:space="preserve">askaņā ar Eiropas Parlamenta un Padomes 2013.gada 25.oktobra regulas </w:t>
            </w:r>
            <w:r w:rsidR="001F4E98" w:rsidRPr="00FB1032">
              <w:rPr>
                <w:b w:val="0"/>
                <w:bCs w:val="0"/>
                <w:color w:val="000000"/>
                <w:sz w:val="24"/>
                <w:szCs w:val="24"/>
              </w:rPr>
              <w:t xml:space="preserve">(ES, EURATOM) Nr.966/2012 par finanšu noteikumiem, ko piemēro Savienības vispārējam budžetam, un par Padomes Regulas (EK, </w:t>
            </w:r>
            <w:r w:rsidR="001F4E98" w:rsidRPr="00FB1032">
              <w:rPr>
                <w:b w:val="0"/>
                <w:bCs w:val="0"/>
                <w:sz w:val="24"/>
                <w:szCs w:val="24"/>
              </w:rPr>
              <w:t>Euratom) Nr.</w:t>
            </w:r>
            <w:r w:rsidR="001F4E98" w:rsidRPr="00FB1032">
              <w:rPr>
                <w:b w:val="0"/>
                <w:bCs w:val="0"/>
                <w:color w:val="000000"/>
                <w:sz w:val="24"/>
                <w:szCs w:val="24"/>
              </w:rPr>
              <w:t>1605/2002 atcelšanu</w:t>
            </w:r>
            <w:r w:rsidR="001F4E98" w:rsidRPr="00FB1032">
              <w:rPr>
                <w:b w:val="0"/>
                <w:bCs w:val="0"/>
                <w:sz w:val="24"/>
                <w:szCs w:val="24"/>
              </w:rPr>
              <w:t xml:space="preserve"> </w:t>
            </w:r>
            <w:r w:rsidR="001F4E98">
              <w:rPr>
                <w:b w:val="0"/>
                <w:bCs w:val="0"/>
                <w:sz w:val="24"/>
                <w:szCs w:val="24"/>
              </w:rPr>
              <w:t>(</w:t>
            </w:r>
            <w:r w:rsidR="001F4E98" w:rsidRPr="00263AB0">
              <w:rPr>
                <w:b w:val="0"/>
                <w:sz w:val="24"/>
                <w:szCs w:val="24"/>
              </w:rPr>
              <w:t>turpmāk – regula Nr.</w:t>
            </w:r>
            <w:r w:rsidR="001F4E98">
              <w:rPr>
                <w:b w:val="0"/>
                <w:bCs w:val="0"/>
                <w:color w:val="000000"/>
                <w:sz w:val="24"/>
                <w:szCs w:val="24"/>
              </w:rPr>
              <w:t>966/2012</w:t>
            </w:r>
            <w:r w:rsidR="001F4E98">
              <w:rPr>
                <w:b w:val="0"/>
                <w:bCs w:val="0"/>
                <w:sz w:val="24"/>
                <w:szCs w:val="24"/>
              </w:rPr>
              <w:t xml:space="preserve">) </w:t>
            </w:r>
            <w:r w:rsidR="001F4E98" w:rsidRPr="00FB1032">
              <w:rPr>
                <w:b w:val="0"/>
                <w:sz w:val="24"/>
                <w:szCs w:val="24"/>
              </w:rPr>
              <w:t>59.panta 5.punkta otro daļu</w:t>
            </w:r>
            <w:r w:rsidR="001F4E98">
              <w:rPr>
                <w:b w:val="0"/>
                <w:sz w:val="24"/>
                <w:szCs w:val="24"/>
              </w:rPr>
              <w:t>.</w:t>
            </w:r>
          </w:p>
          <w:p w14:paraId="4863971D" w14:textId="0FC6A485" w:rsidR="00263AB0" w:rsidRDefault="00D83E30" w:rsidP="001F4E98">
            <w:pPr>
              <w:pStyle w:val="Heading3"/>
              <w:numPr>
                <w:ilvl w:val="0"/>
                <w:numId w:val="28"/>
              </w:numPr>
              <w:shd w:val="clear" w:color="auto" w:fill="FFFFFF"/>
              <w:spacing w:after="120" w:line="276" w:lineRule="auto"/>
              <w:ind w:right="57"/>
              <w:jc w:val="both"/>
              <w:rPr>
                <w:sz w:val="24"/>
                <w:szCs w:val="24"/>
              </w:rPr>
            </w:pPr>
            <w:r w:rsidRPr="00263AB0">
              <w:rPr>
                <w:sz w:val="24"/>
                <w:szCs w:val="24"/>
              </w:rPr>
              <w:t>Revīzijas stratēģijas sagatavošanas kārtība</w:t>
            </w:r>
          </w:p>
          <w:p w14:paraId="6928BC91" w14:textId="4DF4E538" w:rsidR="00E2023F" w:rsidRDefault="00263AB0" w:rsidP="001F4E98">
            <w:pPr>
              <w:pStyle w:val="Heading3"/>
              <w:shd w:val="clear" w:color="auto" w:fill="FFFFFF"/>
              <w:spacing w:after="120" w:line="276" w:lineRule="auto"/>
              <w:ind w:left="57" w:right="57"/>
              <w:jc w:val="both"/>
              <w:rPr>
                <w:b w:val="0"/>
                <w:sz w:val="24"/>
                <w:szCs w:val="24"/>
              </w:rPr>
            </w:pPr>
            <w:r w:rsidRPr="00263AB0">
              <w:rPr>
                <w:b w:val="0"/>
                <w:sz w:val="24"/>
                <w:szCs w:val="24"/>
              </w:rPr>
              <w:t>Tāpa</w:t>
            </w:r>
            <w:r w:rsidR="00A454EF">
              <w:rPr>
                <w:b w:val="0"/>
                <w:sz w:val="24"/>
                <w:szCs w:val="24"/>
              </w:rPr>
              <w:t>t kā iepriekšējā plānošanas periodā</w:t>
            </w:r>
            <w:r w:rsidRPr="00263AB0">
              <w:rPr>
                <w:b w:val="0"/>
                <w:sz w:val="24"/>
                <w:szCs w:val="24"/>
              </w:rPr>
              <w:t xml:space="preserve">, MK noteikumu projekts </w:t>
            </w:r>
            <w:r w:rsidR="00E2023F">
              <w:rPr>
                <w:b w:val="0"/>
                <w:sz w:val="24"/>
                <w:szCs w:val="24"/>
              </w:rPr>
              <w:t>nodrošina</w:t>
            </w:r>
            <w:r w:rsidRPr="00263AB0">
              <w:rPr>
                <w:b w:val="0"/>
                <w:sz w:val="24"/>
                <w:szCs w:val="24"/>
              </w:rPr>
              <w:t xml:space="preserve"> revīzijas iestāde</w:t>
            </w:r>
            <w:r>
              <w:rPr>
                <w:b w:val="0"/>
                <w:sz w:val="24"/>
                <w:szCs w:val="24"/>
              </w:rPr>
              <w:t>s</w:t>
            </w:r>
            <w:r w:rsidRPr="00263AB0">
              <w:rPr>
                <w:b w:val="0"/>
                <w:sz w:val="24"/>
                <w:szCs w:val="24"/>
              </w:rPr>
              <w:t xml:space="preserve"> pārbaužu </w:t>
            </w:r>
            <w:r>
              <w:rPr>
                <w:b w:val="0"/>
                <w:sz w:val="24"/>
                <w:szCs w:val="24"/>
              </w:rPr>
              <w:t>neatkarīgu</w:t>
            </w:r>
            <w:r w:rsidR="00A454EF">
              <w:rPr>
                <w:b w:val="0"/>
                <w:sz w:val="24"/>
                <w:szCs w:val="24"/>
              </w:rPr>
              <w:t xml:space="preserve"> un patstāvīgu</w:t>
            </w:r>
            <w:r>
              <w:rPr>
                <w:b w:val="0"/>
                <w:sz w:val="24"/>
                <w:szCs w:val="24"/>
              </w:rPr>
              <w:t xml:space="preserve"> </w:t>
            </w:r>
            <w:r w:rsidRPr="00263AB0">
              <w:rPr>
                <w:b w:val="0"/>
                <w:sz w:val="24"/>
                <w:szCs w:val="24"/>
              </w:rPr>
              <w:t>plānošan</w:t>
            </w:r>
            <w:r w:rsidR="00A454EF">
              <w:rPr>
                <w:b w:val="0"/>
                <w:sz w:val="24"/>
                <w:szCs w:val="24"/>
              </w:rPr>
              <w:t xml:space="preserve">u, sagatavojot </w:t>
            </w:r>
            <w:r w:rsidRPr="00263AB0">
              <w:rPr>
                <w:b w:val="0"/>
                <w:sz w:val="24"/>
                <w:szCs w:val="24"/>
              </w:rPr>
              <w:t>Eiropas Parlamenta un Pado</w:t>
            </w:r>
            <w:r w:rsidR="002C4DEC">
              <w:rPr>
                <w:b w:val="0"/>
                <w:sz w:val="24"/>
                <w:szCs w:val="24"/>
              </w:rPr>
              <w:t>mes 2013.gada 17.decembra regulas</w:t>
            </w:r>
            <w:r w:rsidRPr="00263AB0">
              <w:rPr>
                <w:b w:val="0"/>
                <w:sz w:val="24"/>
                <w:szCs w:val="24"/>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w:t>
            </w:r>
            <w:r w:rsidR="00975EA2">
              <w:rPr>
                <w:b w:val="0"/>
                <w:sz w:val="24"/>
                <w:szCs w:val="24"/>
              </w:rPr>
              <w:t>adomes Regulu (EK) Nr.1083/2006</w:t>
            </w:r>
            <w:r w:rsidRPr="00263AB0">
              <w:rPr>
                <w:b w:val="0"/>
                <w:sz w:val="24"/>
                <w:szCs w:val="24"/>
              </w:rPr>
              <w:t xml:space="preserve"> 127.panta 4.punktā noteikt</w:t>
            </w:r>
            <w:r w:rsidR="00A454EF">
              <w:rPr>
                <w:b w:val="0"/>
                <w:sz w:val="24"/>
                <w:szCs w:val="24"/>
              </w:rPr>
              <w:t>o</w:t>
            </w:r>
            <w:r>
              <w:rPr>
                <w:b w:val="0"/>
                <w:sz w:val="24"/>
                <w:szCs w:val="24"/>
              </w:rPr>
              <w:t xml:space="preserve"> </w:t>
            </w:r>
            <w:r w:rsidRPr="00263AB0">
              <w:rPr>
                <w:b w:val="0"/>
                <w:sz w:val="24"/>
                <w:szCs w:val="24"/>
              </w:rPr>
              <w:t>revīzijas stra</w:t>
            </w:r>
            <w:r w:rsidR="00A454EF">
              <w:rPr>
                <w:b w:val="0"/>
                <w:sz w:val="24"/>
                <w:szCs w:val="24"/>
              </w:rPr>
              <w:t>tēģij</w:t>
            </w:r>
            <w:r>
              <w:rPr>
                <w:b w:val="0"/>
                <w:sz w:val="24"/>
                <w:szCs w:val="24"/>
              </w:rPr>
              <w:t>u</w:t>
            </w:r>
            <w:r w:rsidRPr="00263AB0">
              <w:rPr>
                <w:b w:val="0"/>
                <w:sz w:val="24"/>
                <w:szCs w:val="24"/>
              </w:rPr>
              <w:t xml:space="preserve">. </w:t>
            </w:r>
          </w:p>
          <w:p w14:paraId="4E6D1FB3" w14:textId="2394ABF8" w:rsidR="00E2023F" w:rsidRDefault="00E2023F" w:rsidP="001F4E98">
            <w:pPr>
              <w:pStyle w:val="Heading3"/>
              <w:numPr>
                <w:ilvl w:val="0"/>
                <w:numId w:val="28"/>
              </w:numPr>
              <w:shd w:val="clear" w:color="auto" w:fill="FFFFFF"/>
              <w:spacing w:after="120" w:line="276" w:lineRule="auto"/>
              <w:ind w:right="57"/>
              <w:jc w:val="both"/>
              <w:rPr>
                <w:sz w:val="24"/>
                <w:szCs w:val="24"/>
              </w:rPr>
            </w:pPr>
            <w:r w:rsidRPr="00B34805">
              <w:rPr>
                <w:sz w:val="24"/>
                <w:szCs w:val="24"/>
              </w:rPr>
              <w:t>ES fondu vadības un kontroles sistēmas audita veikšanas kārtība</w:t>
            </w:r>
          </w:p>
          <w:p w14:paraId="1A71ECE7" w14:textId="03A024E9" w:rsidR="00E2023F" w:rsidRDefault="00E2023F" w:rsidP="001F4E98">
            <w:pPr>
              <w:pStyle w:val="Heading3"/>
              <w:shd w:val="clear" w:color="auto" w:fill="FFFFFF"/>
              <w:spacing w:after="120" w:line="276" w:lineRule="auto"/>
              <w:ind w:left="57" w:right="57"/>
              <w:jc w:val="both"/>
              <w:rPr>
                <w:b w:val="0"/>
                <w:sz w:val="24"/>
                <w:szCs w:val="24"/>
              </w:rPr>
            </w:pPr>
            <w:r w:rsidRPr="00967E9B">
              <w:rPr>
                <w:b w:val="0"/>
                <w:sz w:val="24"/>
                <w:szCs w:val="24"/>
              </w:rPr>
              <w:t xml:space="preserve">Lai novērtētu ES fondu vadības un kontroles sistēmas efektivitāti un </w:t>
            </w:r>
            <w:r w:rsidR="00760A92">
              <w:rPr>
                <w:b w:val="0"/>
                <w:sz w:val="24"/>
                <w:szCs w:val="24"/>
              </w:rPr>
              <w:t xml:space="preserve">revīzijas iestāde </w:t>
            </w:r>
            <w:r w:rsidRPr="00967E9B">
              <w:rPr>
                <w:b w:val="0"/>
                <w:sz w:val="24"/>
                <w:szCs w:val="24"/>
              </w:rPr>
              <w:t xml:space="preserve">sniegtu atzinumā </w:t>
            </w:r>
            <w:r w:rsidR="00760A92">
              <w:rPr>
                <w:b w:val="0"/>
                <w:sz w:val="24"/>
                <w:szCs w:val="24"/>
              </w:rPr>
              <w:t xml:space="preserve">pamatotu </w:t>
            </w:r>
            <w:r w:rsidRPr="00967E9B">
              <w:rPr>
                <w:b w:val="0"/>
                <w:sz w:val="24"/>
                <w:szCs w:val="24"/>
              </w:rPr>
              <w:t>viedokli, vai ieviestās kontroles sistēmas darbojas atbilstoši</w:t>
            </w:r>
            <w:r w:rsidR="00760A92">
              <w:rPr>
                <w:b w:val="0"/>
                <w:sz w:val="24"/>
                <w:szCs w:val="24"/>
              </w:rPr>
              <w:t xml:space="preserve"> -</w:t>
            </w:r>
            <w:r w:rsidRPr="00967E9B">
              <w:rPr>
                <w:b w:val="0"/>
                <w:sz w:val="24"/>
                <w:szCs w:val="24"/>
              </w:rPr>
              <w:t xml:space="preserve"> kā tas ir noteikts regulas Nr.</w:t>
            </w:r>
            <w:r w:rsidRPr="00967E9B">
              <w:rPr>
                <w:b w:val="0"/>
                <w:bCs w:val="0"/>
                <w:color w:val="000000"/>
                <w:sz w:val="24"/>
                <w:szCs w:val="24"/>
              </w:rPr>
              <w:t>966/2012</w:t>
            </w:r>
            <w:r w:rsidRPr="00967E9B">
              <w:rPr>
                <w:b w:val="0"/>
                <w:bCs w:val="0"/>
                <w:sz w:val="24"/>
                <w:szCs w:val="24"/>
              </w:rPr>
              <w:t xml:space="preserve"> </w:t>
            </w:r>
            <w:r w:rsidRPr="00967E9B">
              <w:rPr>
                <w:b w:val="0"/>
                <w:sz w:val="24"/>
                <w:szCs w:val="24"/>
              </w:rPr>
              <w:t>59.panta 5.punkta otrajā daļā</w:t>
            </w:r>
            <w:r w:rsidR="00B35671">
              <w:rPr>
                <w:b w:val="0"/>
                <w:sz w:val="24"/>
                <w:szCs w:val="24"/>
              </w:rPr>
              <w:t>, MK noteikumu projektā</w:t>
            </w:r>
            <w:r w:rsidR="00B35671" w:rsidRPr="00967E9B">
              <w:rPr>
                <w:b w:val="0"/>
                <w:sz w:val="24"/>
                <w:szCs w:val="24"/>
              </w:rPr>
              <w:t xml:space="preserve">, </w:t>
            </w:r>
            <w:r w:rsidR="00B35671">
              <w:rPr>
                <w:b w:val="0"/>
                <w:sz w:val="24"/>
                <w:szCs w:val="24"/>
              </w:rPr>
              <w:t>tāpat kā iepriekšējā</w:t>
            </w:r>
            <w:r w:rsidR="00B35671" w:rsidRPr="00967E9B">
              <w:rPr>
                <w:b w:val="0"/>
                <w:sz w:val="24"/>
                <w:szCs w:val="24"/>
              </w:rPr>
              <w:t xml:space="preserve"> plānošanas </w:t>
            </w:r>
            <w:r w:rsidR="00B35671" w:rsidRPr="00967E9B">
              <w:rPr>
                <w:b w:val="0"/>
                <w:sz w:val="24"/>
                <w:szCs w:val="24"/>
              </w:rPr>
              <w:lastRenderedPageBreak/>
              <w:t>periodā,</w:t>
            </w:r>
            <w:r w:rsidR="00B35671">
              <w:rPr>
                <w:b w:val="0"/>
                <w:sz w:val="24"/>
                <w:szCs w:val="24"/>
              </w:rPr>
              <w:t xml:space="preserve"> tiek noteikta</w:t>
            </w:r>
            <w:r w:rsidR="00967E9B" w:rsidRPr="00967E9B">
              <w:rPr>
                <w:b w:val="0"/>
                <w:sz w:val="24"/>
                <w:szCs w:val="24"/>
              </w:rPr>
              <w:t xml:space="preserve"> ES fondu vadības un kontroles sistēmas audit</w:t>
            </w:r>
            <w:r w:rsidR="00760A92">
              <w:rPr>
                <w:b w:val="0"/>
                <w:sz w:val="24"/>
                <w:szCs w:val="24"/>
              </w:rPr>
              <w:t>u</w:t>
            </w:r>
            <w:r w:rsidR="00967E9B" w:rsidRPr="00967E9B">
              <w:rPr>
                <w:b w:val="0"/>
                <w:sz w:val="24"/>
                <w:szCs w:val="24"/>
              </w:rPr>
              <w:t xml:space="preserve"> </w:t>
            </w:r>
            <w:r w:rsidR="00371C2A">
              <w:rPr>
                <w:b w:val="0"/>
                <w:sz w:val="24"/>
                <w:szCs w:val="24"/>
              </w:rPr>
              <w:t xml:space="preserve">(turpmāk - auditi) </w:t>
            </w:r>
            <w:r w:rsidR="00967E9B" w:rsidRPr="00967E9B">
              <w:rPr>
                <w:b w:val="0"/>
                <w:sz w:val="24"/>
                <w:szCs w:val="24"/>
              </w:rPr>
              <w:t>veikšan</w:t>
            </w:r>
            <w:r w:rsidR="001F4E98">
              <w:rPr>
                <w:b w:val="0"/>
                <w:sz w:val="24"/>
                <w:szCs w:val="24"/>
              </w:rPr>
              <w:t>a</w:t>
            </w:r>
            <w:r w:rsidR="00967E9B" w:rsidRPr="00967E9B">
              <w:rPr>
                <w:b w:val="0"/>
                <w:sz w:val="24"/>
                <w:szCs w:val="24"/>
              </w:rPr>
              <w:t xml:space="preserve">. </w:t>
            </w:r>
          </w:p>
          <w:p w14:paraId="1B2D6AD5" w14:textId="373C47D4" w:rsidR="004E4C58" w:rsidRPr="00087167" w:rsidRDefault="004E4C58" w:rsidP="001F4E98">
            <w:pPr>
              <w:pStyle w:val="Heading3"/>
              <w:shd w:val="clear" w:color="auto" w:fill="FFFFFF"/>
              <w:spacing w:after="120" w:line="276" w:lineRule="auto"/>
              <w:ind w:left="57" w:right="57"/>
              <w:jc w:val="both"/>
              <w:rPr>
                <w:b w:val="0"/>
                <w:sz w:val="24"/>
                <w:szCs w:val="24"/>
              </w:rPr>
            </w:pPr>
            <w:r w:rsidRPr="00087167">
              <w:rPr>
                <w:b w:val="0"/>
                <w:sz w:val="24"/>
                <w:szCs w:val="24"/>
              </w:rPr>
              <w:t xml:space="preserve">Noteikumu projekta 9.punktā noteikto iesaistāmo institūciju loks ES fondu vadības un kontroles sistēmas audita ziņojuma projekta komentēšanā tiks papildināts ar atbildīgo iestādi un tā tiks pielīdzināta auditētās iestādes statusam, ja audita ietvaros tiks skarti jautājumi par tās pārraudzībā esošo </w:t>
            </w:r>
            <w:r w:rsidRPr="00087167">
              <w:rPr>
                <w:b w:val="0"/>
                <w:bCs w:val="0"/>
                <w:sz w:val="24"/>
                <w:szCs w:val="24"/>
              </w:rPr>
              <w:t>ES fondu specifisko atbalsta mērķu uzraudzību</w:t>
            </w:r>
            <w:r w:rsidR="00026833" w:rsidRPr="00087167">
              <w:rPr>
                <w:b w:val="0"/>
                <w:bCs w:val="0"/>
                <w:sz w:val="24"/>
                <w:szCs w:val="24"/>
              </w:rPr>
              <w:t xml:space="preserve"> un atbildīgā iestāde var tikt iesaistīta ieteikuma ieviešanā.</w:t>
            </w:r>
          </w:p>
          <w:p w14:paraId="3131D175" w14:textId="4BBE0FCC" w:rsidR="00F1554B" w:rsidRPr="00F1554B" w:rsidRDefault="00F1554B" w:rsidP="001F4E98">
            <w:pPr>
              <w:pStyle w:val="PlainText"/>
              <w:numPr>
                <w:ilvl w:val="0"/>
                <w:numId w:val="28"/>
              </w:numPr>
              <w:spacing w:line="276" w:lineRule="auto"/>
              <w:jc w:val="both"/>
              <w:rPr>
                <w:rFonts w:ascii="Times New Roman" w:eastAsia="Times New Roman" w:hAnsi="Times New Roman"/>
                <w:b/>
                <w:sz w:val="24"/>
                <w:szCs w:val="24"/>
                <w:lang w:eastAsia="lv-LV"/>
              </w:rPr>
            </w:pPr>
            <w:r w:rsidRPr="00F1554B">
              <w:rPr>
                <w:rFonts w:ascii="Times New Roman" w:eastAsia="Times New Roman" w:hAnsi="Times New Roman"/>
                <w:b/>
                <w:bCs/>
                <w:sz w:val="24"/>
                <w:szCs w:val="24"/>
                <w:lang w:eastAsia="lv-LV"/>
              </w:rPr>
              <w:t xml:space="preserve">Darbību revīziju veikšanas </w:t>
            </w:r>
            <w:r w:rsidRPr="00F1554B">
              <w:rPr>
                <w:rFonts w:ascii="Times New Roman" w:hAnsi="Times New Roman"/>
                <w:b/>
                <w:sz w:val="24"/>
                <w:szCs w:val="24"/>
              </w:rPr>
              <w:t>kārtība</w:t>
            </w:r>
          </w:p>
          <w:p w14:paraId="5F3D3F9B" w14:textId="2E2B6EA6" w:rsidR="00F1554B" w:rsidRDefault="00F1554B" w:rsidP="001F4E98">
            <w:pPr>
              <w:pStyle w:val="Heading3"/>
              <w:shd w:val="clear" w:color="auto" w:fill="FFFFFF"/>
              <w:spacing w:after="120" w:line="276" w:lineRule="auto"/>
              <w:ind w:left="57" w:right="57"/>
              <w:jc w:val="both"/>
              <w:rPr>
                <w:b w:val="0"/>
                <w:sz w:val="24"/>
                <w:szCs w:val="24"/>
              </w:rPr>
            </w:pPr>
            <w:r w:rsidRPr="00967E9B">
              <w:rPr>
                <w:b w:val="0"/>
                <w:sz w:val="24"/>
                <w:szCs w:val="24"/>
              </w:rPr>
              <w:t xml:space="preserve">Lai </w:t>
            </w:r>
            <w:r>
              <w:rPr>
                <w:b w:val="0"/>
                <w:sz w:val="24"/>
                <w:szCs w:val="24"/>
              </w:rPr>
              <w:t xml:space="preserve">revīzijas iestāde </w:t>
            </w:r>
            <w:r w:rsidRPr="00967E9B">
              <w:rPr>
                <w:b w:val="0"/>
                <w:sz w:val="24"/>
                <w:szCs w:val="24"/>
              </w:rPr>
              <w:t xml:space="preserve">sniegtu atzinumā </w:t>
            </w:r>
            <w:r>
              <w:rPr>
                <w:b w:val="0"/>
                <w:sz w:val="24"/>
                <w:szCs w:val="24"/>
              </w:rPr>
              <w:t xml:space="preserve">pamatotu </w:t>
            </w:r>
            <w:r w:rsidRPr="00967E9B">
              <w:rPr>
                <w:b w:val="0"/>
                <w:sz w:val="24"/>
                <w:szCs w:val="24"/>
              </w:rPr>
              <w:t xml:space="preserve">viedokli, vai </w:t>
            </w:r>
            <w:r>
              <w:rPr>
                <w:b w:val="0"/>
                <w:sz w:val="24"/>
                <w:szCs w:val="24"/>
              </w:rPr>
              <w:t>Eiropas Komisijai iesniegtais pieprasījums par izdevumu atmaksāšanu ir likumīgs un pareizs -</w:t>
            </w:r>
            <w:r w:rsidRPr="00967E9B">
              <w:rPr>
                <w:b w:val="0"/>
                <w:sz w:val="24"/>
                <w:szCs w:val="24"/>
              </w:rPr>
              <w:t xml:space="preserve"> kā tas ir noteikts regulas Nr.</w:t>
            </w:r>
            <w:r w:rsidRPr="00967E9B">
              <w:rPr>
                <w:b w:val="0"/>
                <w:bCs w:val="0"/>
                <w:color w:val="000000"/>
                <w:sz w:val="24"/>
                <w:szCs w:val="24"/>
              </w:rPr>
              <w:t>966/2012</w:t>
            </w:r>
            <w:r w:rsidRPr="00967E9B">
              <w:rPr>
                <w:b w:val="0"/>
                <w:bCs w:val="0"/>
                <w:sz w:val="24"/>
                <w:szCs w:val="24"/>
              </w:rPr>
              <w:t xml:space="preserve"> </w:t>
            </w:r>
            <w:r w:rsidRPr="00967E9B">
              <w:rPr>
                <w:b w:val="0"/>
                <w:sz w:val="24"/>
                <w:szCs w:val="24"/>
              </w:rPr>
              <w:t>59.panta 5.punkta otrajā daļā</w:t>
            </w:r>
            <w:r w:rsidR="00B35671">
              <w:rPr>
                <w:b w:val="0"/>
                <w:sz w:val="24"/>
                <w:szCs w:val="24"/>
              </w:rPr>
              <w:t xml:space="preserve"> MK noteikumu projektā</w:t>
            </w:r>
            <w:r w:rsidR="00B35671" w:rsidRPr="00967E9B">
              <w:rPr>
                <w:b w:val="0"/>
                <w:sz w:val="24"/>
                <w:szCs w:val="24"/>
              </w:rPr>
              <w:t xml:space="preserve">, </w:t>
            </w:r>
            <w:r w:rsidR="00B35671">
              <w:rPr>
                <w:b w:val="0"/>
                <w:sz w:val="24"/>
                <w:szCs w:val="24"/>
              </w:rPr>
              <w:t>tāpat kā iepriekšējā</w:t>
            </w:r>
            <w:r w:rsidR="00B35671" w:rsidRPr="00967E9B">
              <w:rPr>
                <w:b w:val="0"/>
                <w:sz w:val="24"/>
                <w:szCs w:val="24"/>
              </w:rPr>
              <w:t xml:space="preserve"> plānošanas periodā,</w:t>
            </w:r>
            <w:r w:rsidR="00B35671">
              <w:rPr>
                <w:b w:val="0"/>
                <w:sz w:val="24"/>
                <w:szCs w:val="24"/>
              </w:rPr>
              <w:t xml:space="preserve"> tiek noteikta</w:t>
            </w:r>
            <w:r w:rsidRPr="00967E9B">
              <w:rPr>
                <w:b w:val="0"/>
                <w:sz w:val="24"/>
                <w:szCs w:val="24"/>
              </w:rPr>
              <w:t xml:space="preserve"> </w:t>
            </w:r>
            <w:r>
              <w:rPr>
                <w:b w:val="0"/>
                <w:sz w:val="24"/>
                <w:szCs w:val="24"/>
              </w:rPr>
              <w:t>darbību revīziju</w:t>
            </w:r>
            <w:r w:rsidR="001F4E98">
              <w:rPr>
                <w:b w:val="0"/>
                <w:sz w:val="24"/>
                <w:szCs w:val="24"/>
              </w:rPr>
              <w:t xml:space="preserve"> veikšana</w:t>
            </w:r>
            <w:r w:rsidRPr="00967E9B">
              <w:rPr>
                <w:b w:val="0"/>
                <w:sz w:val="24"/>
                <w:szCs w:val="24"/>
              </w:rPr>
              <w:t xml:space="preserve">. </w:t>
            </w:r>
          </w:p>
          <w:p w14:paraId="6F44E48E" w14:textId="2B25CB0B" w:rsidR="00760A92" w:rsidRDefault="00760A92" w:rsidP="001F4E98">
            <w:pPr>
              <w:pStyle w:val="Heading3"/>
              <w:shd w:val="clear" w:color="auto" w:fill="FFFFFF"/>
              <w:spacing w:after="120" w:line="276" w:lineRule="auto"/>
              <w:ind w:left="57" w:right="57"/>
              <w:jc w:val="both"/>
              <w:rPr>
                <w:b w:val="0"/>
                <w:sz w:val="24"/>
                <w:szCs w:val="24"/>
              </w:rPr>
            </w:pPr>
            <w:r>
              <w:rPr>
                <w:b w:val="0"/>
                <w:sz w:val="24"/>
                <w:szCs w:val="24"/>
              </w:rPr>
              <w:t xml:space="preserve">Gan auditu, gan darbību revīziju veikšanas kārtība pamatā ir līdzīga iepriekšējai, </w:t>
            </w:r>
            <w:r w:rsidR="00975EA2">
              <w:rPr>
                <w:b w:val="0"/>
                <w:sz w:val="24"/>
                <w:szCs w:val="24"/>
              </w:rPr>
              <w:t>tomēr</w:t>
            </w:r>
            <w:r>
              <w:rPr>
                <w:b w:val="0"/>
                <w:sz w:val="24"/>
                <w:szCs w:val="24"/>
              </w:rPr>
              <w:t xml:space="preserve"> attiecībā uz </w:t>
            </w:r>
            <w:r w:rsidR="00647CD0">
              <w:rPr>
                <w:b w:val="0"/>
                <w:sz w:val="24"/>
                <w:szCs w:val="24"/>
              </w:rPr>
              <w:t xml:space="preserve">abiem procesiem </w:t>
            </w:r>
            <w:r w:rsidR="00975EA2">
              <w:rPr>
                <w:b w:val="0"/>
                <w:sz w:val="24"/>
                <w:szCs w:val="24"/>
              </w:rPr>
              <w:t>tiek noteiktas</w:t>
            </w:r>
            <w:r w:rsidR="00647CD0">
              <w:rPr>
                <w:b w:val="0"/>
                <w:sz w:val="24"/>
                <w:szCs w:val="24"/>
              </w:rPr>
              <w:t xml:space="preserve"> šādas izmaiņas</w:t>
            </w:r>
            <w:r>
              <w:rPr>
                <w:b w:val="0"/>
                <w:sz w:val="24"/>
                <w:szCs w:val="24"/>
              </w:rPr>
              <w:t>:</w:t>
            </w:r>
          </w:p>
          <w:p w14:paraId="084B1450" w14:textId="6470CDEE" w:rsidR="002C7C3F" w:rsidRDefault="00B35671" w:rsidP="001F4E98">
            <w:pPr>
              <w:pStyle w:val="Heading3"/>
              <w:shd w:val="clear" w:color="auto" w:fill="FFFFFF"/>
              <w:spacing w:after="120" w:line="276" w:lineRule="auto"/>
              <w:ind w:left="57" w:right="57"/>
              <w:jc w:val="both"/>
              <w:rPr>
                <w:b w:val="0"/>
                <w:sz w:val="24"/>
                <w:szCs w:val="24"/>
              </w:rPr>
            </w:pPr>
            <w:r>
              <w:rPr>
                <w:b w:val="0"/>
                <w:sz w:val="24"/>
                <w:szCs w:val="24"/>
              </w:rPr>
              <w:t xml:space="preserve">4.1. </w:t>
            </w:r>
            <w:r w:rsidR="00967E9B">
              <w:rPr>
                <w:b w:val="0"/>
                <w:sz w:val="24"/>
                <w:szCs w:val="24"/>
              </w:rPr>
              <w:t>P</w:t>
            </w:r>
            <w:r w:rsidR="00760A92">
              <w:rPr>
                <w:b w:val="0"/>
                <w:sz w:val="24"/>
                <w:szCs w:val="24"/>
              </w:rPr>
              <w:t>apildus</w:t>
            </w:r>
            <w:r w:rsidR="00967E9B" w:rsidRPr="00967E9B">
              <w:rPr>
                <w:b w:val="0"/>
                <w:sz w:val="24"/>
                <w:szCs w:val="24"/>
              </w:rPr>
              <w:t xml:space="preserve"> iepriekšējā plānošanas periodā noteiktajai komunikācijai</w:t>
            </w:r>
            <w:r w:rsidR="002C7C3F">
              <w:rPr>
                <w:b w:val="0"/>
                <w:sz w:val="24"/>
                <w:szCs w:val="24"/>
              </w:rPr>
              <w:t>,</w:t>
            </w:r>
            <w:r w:rsidR="00967E9B" w:rsidRPr="00967E9B">
              <w:rPr>
                <w:b w:val="0"/>
                <w:sz w:val="24"/>
                <w:szCs w:val="24"/>
              </w:rPr>
              <w:t xml:space="preserve"> MK noteikumu </w:t>
            </w:r>
            <w:r w:rsidR="00967E9B" w:rsidRPr="00647CD0">
              <w:rPr>
                <w:b w:val="0"/>
                <w:sz w:val="24"/>
                <w:szCs w:val="24"/>
              </w:rPr>
              <w:t xml:space="preserve">projekta </w:t>
            </w:r>
            <w:r w:rsidR="00726AE3" w:rsidRPr="00647CD0">
              <w:rPr>
                <w:b w:val="0"/>
                <w:sz w:val="24"/>
                <w:szCs w:val="24"/>
              </w:rPr>
              <w:t>13</w:t>
            </w:r>
            <w:r w:rsidR="00967E9B" w:rsidRPr="00647CD0">
              <w:rPr>
                <w:b w:val="0"/>
                <w:sz w:val="24"/>
                <w:szCs w:val="24"/>
              </w:rPr>
              <w:t>.</w:t>
            </w:r>
            <w:r w:rsidR="00726AE3" w:rsidRPr="00647CD0">
              <w:rPr>
                <w:b w:val="0"/>
                <w:sz w:val="24"/>
                <w:szCs w:val="24"/>
              </w:rPr>
              <w:t xml:space="preserve"> un 2</w:t>
            </w:r>
            <w:r w:rsidR="00C24B79">
              <w:rPr>
                <w:b w:val="0"/>
                <w:sz w:val="24"/>
                <w:szCs w:val="24"/>
              </w:rPr>
              <w:t>8</w:t>
            </w:r>
            <w:r w:rsidR="00726AE3" w:rsidRPr="00647CD0">
              <w:rPr>
                <w:b w:val="0"/>
                <w:sz w:val="24"/>
                <w:szCs w:val="24"/>
              </w:rPr>
              <w:t>.</w:t>
            </w:r>
            <w:r w:rsidR="00967E9B" w:rsidRPr="00647CD0">
              <w:rPr>
                <w:b w:val="0"/>
                <w:sz w:val="24"/>
                <w:szCs w:val="24"/>
              </w:rPr>
              <w:t>punktā</w:t>
            </w:r>
            <w:r w:rsidR="0083115F">
              <w:rPr>
                <w:b w:val="0"/>
                <w:sz w:val="24"/>
                <w:szCs w:val="24"/>
              </w:rPr>
              <w:t xml:space="preserve">, </w:t>
            </w:r>
            <w:r w:rsidR="0083115F" w:rsidRPr="00D56A6A">
              <w:rPr>
                <w:b w:val="0"/>
                <w:sz w:val="24"/>
                <w:szCs w:val="24"/>
              </w:rPr>
              <w:t>gadījum</w:t>
            </w:r>
            <w:r w:rsidR="0083115F">
              <w:rPr>
                <w:b w:val="0"/>
                <w:sz w:val="24"/>
                <w:szCs w:val="24"/>
              </w:rPr>
              <w:t>os</w:t>
            </w:r>
            <w:r w:rsidR="0083115F" w:rsidRPr="00D56A6A">
              <w:rPr>
                <w:b w:val="0"/>
                <w:sz w:val="24"/>
                <w:szCs w:val="24"/>
              </w:rPr>
              <w:t xml:space="preserve">, ja </w:t>
            </w:r>
            <w:r w:rsidR="0083115F">
              <w:rPr>
                <w:b w:val="0"/>
                <w:sz w:val="24"/>
                <w:szCs w:val="24"/>
              </w:rPr>
              <w:t>revīzijas iestādes</w:t>
            </w:r>
            <w:r w:rsidR="0083115F" w:rsidRPr="00D56A6A">
              <w:rPr>
                <w:b w:val="0"/>
                <w:sz w:val="24"/>
                <w:szCs w:val="24"/>
              </w:rPr>
              <w:t xml:space="preserve"> minētajiem</w:t>
            </w:r>
            <w:r w:rsidR="0083115F">
              <w:rPr>
                <w:b w:val="0"/>
                <w:sz w:val="24"/>
                <w:szCs w:val="24"/>
              </w:rPr>
              <w:t xml:space="preserve"> trūkumu novēršanas</w:t>
            </w:r>
            <w:r w:rsidR="0083115F" w:rsidRPr="00D56A6A">
              <w:rPr>
                <w:b w:val="0"/>
                <w:sz w:val="24"/>
                <w:szCs w:val="24"/>
              </w:rPr>
              <w:t xml:space="preserve"> ieteikumiem ir iespējama finansiāla ietekme konkrētā projektā</w:t>
            </w:r>
            <w:r w:rsidR="0083115F">
              <w:rPr>
                <w:b w:val="0"/>
                <w:sz w:val="24"/>
                <w:szCs w:val="24"/>
              </w:rPr>
              <w:t>,</w:t>
            </w:r>
            <w:r w:rsidR="00967E9B" w:rsidRPr="00647CD0">
              <w:rPr>
                <w:b w:val="0"/>
                <w:sz w:val="24"/>
                <w:szCs w:val="24"/>
              </w:rPr>
              <w:t xml:space="preserve"> </w:t>
            </w:r>
            <w:r w:rsidR="005C4D05" w:rsidRPr="00647CD0">
              <w:rPr>
                <w:b w:val="0"/>
                <w:sz w:val="24"/>
                <w:szCs w:val="24"/>
              </w:rPr>
              <w:t>sadarbības iestāde kā vienas</w:t>
            </w:r>
            <w:r w:rsidR="005C4D05">
              <w:rPr>
                <w:b w:val="0"/>
                <w:sz w:val="24"/>
                <w:szCs w:val="24"/>
              </w:rPr>
              <w:t xml:space="preserve"> pieturas aģentūra un atbildīg</w:t>
            </w:r>
            <w:r w:rsidR="0083115F">
              <w:rPr>
                <w:b w:val="0"/>
                <w:sz w:val="24"/>
                <w:szCs w:val="24"/>
              </w:rPr>
              <w:t>ā</w:t>
            </w:r>
            <w:r w:rsidR="005C4D05">
              <w:rPr>
                <w:b w:val="0"/>
                <w:sz w:val="24"/>
                <w:szCs w:val="24"/>
              </w:rPr>
              <w:t xml:space="preserve"> par</w:t>
            </w:r>
            <w:r w:rsidR="002C7C3F">
              <w:rPr>
                <w:b w:val="0"/>
                <w:sz w:val="24"/>
                <w:szCs w:val="24"/>
              </w:rPr>
              <w:t xml:space="preserve"> attiecināmo izdevumu apstiprināšanu</w:t>
            </w:r>
            <w:r w:rsidR="00967E9B">
              <w:rPr>
                <w:b w:val="0"/>
                <w:sz w:val="24"/>
                <w:szCs w:val="24"/>
              </w:rPr>
              <w:t xml:space="preserve"> </w:t>
            </w:r>
            <w:r w:rsidR="0083115F">
              <w:rPr>
                <w:b w:val="0"/>
                <w:sz w:val="24"/>
                <w:szCs w:val="24"/>
              </w:rPr>
              <w:t xml:space="preserve">informē </w:t>
            </w:r>
            <w:r w:rsidR="00967E9B">
              <w:rPr>
                <w:b w:val="0"/>
                <w:sz w:val="24"/>
                <w:szCs w:val="24"/>
              </w:rPr>
              <w:t>finansējuma saņēmēju</w:t>
            </w:r>
            <w:r w:rsidR="0083115F">
              <w:rPr>
                <w:b w:val="0"/>
                <w:sz w:val="24"/>
                <w:szCs w:val="24"/>
              </w:rPr>
              <w:t xml:space="preserve"> </w:t>
            </w:r>
            <w:r w:rsidR="0083115F" w:rsidRPr="008B76A7">
              <w:rPr>
                <w:b w:val="0"/>
                <w:sz w:val="24"/>
                <w:szCs w:val="24"/>
              </w:rPr>
              <w:t>par konstatētā trūkuma</w:t>
            </w:r>
            <w:r w:rsidR="0083115F">
              <w:rPr>
                <w:b w:val="0"/>
                <w:sz w:val="24"/>
                <w:szCs w:val="24"/>
              </w:rPr>
              <w:t xml:space="preserve"> iespējamās</w:t>
            </w:r>
            <w:r w:rsidR="0083115F" w:rsidRPr="008B76A7">
              <w:rPr>
                <w:b w:val="0"/>
                <w:sz w:val="24"/>
                <w:szCs w:val="24"/>
              </w:rPr>
              <w:t xml:space="preserve"> finansiālās ietekmes apmēru </w:t>
            </w:r>
            <w:r w:rsidR="0083115F">
              <w:rPr>
                <w:b w:val="0"/>
                <w:sz w:val="24"/>
                <w:szCs w:val="24"/>
              </w:rPr>
              <w:t>un tai ir tiesības finansējuma saņēmējam</w:t>
            </w:r>
            <w:r w:rsidR="0083115F" w:rsidRPr="008B76A7">
              <w:rPr>
                <w:b w:val="0"/>
                <w:sz w:val="24"/>
                <w:szCs w:val="24"/>
              </w:rPr>
              <w:t xml:space="preserve"> pieprasīt papildu informāciju</w:t>
            </w:r>
            <w:r w:rsidR="002C7C3F">
              <w:rPr>
                <w:b w:val="0"/>
                <w:sz w:val="24"/>
                <w:szCs w:val="24"/>
              </w:rPr>
              <w:t xml:space="preserve">. Revīzijas iestāde </w:t>
            </w:r>
            <w:r w:rsidR="0083115F">
              <w:rPr>
                <w:b w:val="0"/>
                <w:sz w:val="24"/>
                <w:szCs w:val="24"/>
              </w:rPr>
              <w:t xml:space="preserve">pirms </w:t>
            </w:r>
            <w:r w:rsidR="002C7C3F">
              <w:rPr>
                <w:b w:val="0"/>
                <w:sz w:val="24"/>
                <w:szCs w:val="24"/>
              </w:rPr>
              <w:t xml:space="preserve">audita </w:t>
            </w:r>
            <w:r w:rsidR="00975EA2">
              <w:rPr>
                <w:b w:val="0"/>
                <w:sz w:val="24"/>
                <w:szCs w:val="24"/>
              </w:rPr>
              <w:t xml:space="preserve">un revīzijas </w:t>
            </w:r>
            <w:r w:rsidR="002C7C3F">
              <w:rPr>
                <w:b w:val="0"/>
                <w:sz w:val="24"/>
                <w:szCs w:val="24"/>
              </w:rPr>
              <w:t xml:space="preserve">ziņojuma </w:t>
            </w:r>
            <w:r w:rsidR="0083115F">
              <w:rPr>
                <w:b w:val="0"/>
                <w:sz w:val="24"/>
                <w:szCs w:val="24"/>
              </w:rPr>
              <w:t xml:space="preserve">projekta </w:t>
            </w:r>
            <w:r w:rsidR="002C7C3F">
              <w:rPr>
                <w:b w:val="0"/>
                <w:sz w:val="24"/>
                <w:szCs w:val="24"/>
              </w:rPr>
              <w:t>sagata</w:t>
            </w:r>
            <w:r w:rsidR="00975EA2">
              <w:rPr>
                <w:b w:val="0"/>
                <w:sz w:val="24"/>
                <w:szCs w:val="24"/>
              </w:rPr>
              <w:t xml:space="preserve">vošanas </w:t>
            </w:r>
            <w:r w:rsidR="002C7C3F">
              <w:rPr>
                <w:b w:val="0"/>
                <w:sz w:val="24"/>
                <w:szCs w:val="24"/>
              </w:rPr>
              <w:t xml:space="preserve">noskaidro, vai finansējuma saņēmēja rīcībā nav papildus informācija, kas netika sniegta iepriekš revīzijas iestādes pārbaudes ietvaros. </w:t>
            </w:r>
          </w:p>
          <w:p w14:paraId="58300EB5" w14:textId="56990D7C" w:rsidR="001F4E98" w:rsidRDefault="00B35671" w:rsidP="001F4E98">
            <w:pPr>
              <w:pStyle w:val="Heading3"/>
              <w:shd w:val="clear" w:color="auto" w:fill="FFFFFF"/>
              <w:spacing w:after="120" w:line="276" w:lineRule="auto"/>
              <w:ind w:left="57" w:right="57"/>
              <w:jc w:val="both"/>
              <w:rPr>
                <w:b w:val="0"/>
                <w:sz w:val="24"/>
                <w:szCs w:val="24"/>
              </w:rPr>
            </w:pPr>
            <w:r>
              <w:rPr>
                <w:b w:val="0"/>
                <w:sz w:val="24"/>
                <w:szCs w:val="24"/>
              </w:rPr>
              <w:t xml:space="preserve">4.2. </w:t>
            </w:r>
            <w:r w:rsidR="00647CD0" w:rsidRPr="00967E9B">
              <w:rPr>
                <w:b w:val="0"/>
                <w:sz w:val="24"/>
                <w:szCs w:val="24"/>
              </w:rPr>
              <w:t>MK noteikumu projekt</w:t>
            </w:r>
            <w:r w:rsidR="00647CD0">
              <w:rPr>
                <w:b w:val="0"/>
                <w:sz w:val="24"/>
                <w:szCs w:val="24"/>
              </w:rPr>
              <w:t xml:space="preserve">a </w:t>
            </w:r>
            <w:r w:rsidR="00133FF9">
              <w:rPr>
                <w:b w:val="0"/>
                <w:sz w:val="24"/>
                <w:szCs w:val="24"/>
              </w:rPr>
              <w:t>2</w:t>
            </w:r>
            <w:r w:rsidR="0016033F">
              <w:rPr>
                <w:b w:val="0"/>
                <w:sz w:val="24"/>
                <w:szCs w:val="24"/>
              </w:rPr>
              <w:t>1</w:t>
            </w:r>
            <w:r w:rsidR="00133FF9">
              <w:rPr>
                <w:b w:val="0"/>
                <w:sz w:val="24"/>
                <w:szCs w:val="24"/>
              </w:rPr>
              <w:t>. un 3</w:t>
            </w:r>
            <w:r w:rsidR="00C24B79">
              <w:rPr>
                <w:b w:val="0"/>
                <w:sz w:val="24"/>
                <w:szCs w:val="24"/>
              </w:rPr>
              <w:t>6</w:t>
            </w:r>
            <w:r w:rsidR="00133FF9">
              <w:rPr>
                <w:b w:val="0"/>
                <w:sz w:val="24"/>
                <w:szCs w:val="24"/>
              </w:rPr>
              <w:t>.punktā</w:t>
            </w:r>
            <w:r w:rsidR="00647CD0" w:rsidRPr="00967E9B">
              <w:rPr>
                <w:b w:val="0"/>
                <w:sz w:val="24"/>
                <w:szCs w:val="24"/>
              </w:rPr>
              <w:t xml:space="preserve"> </w:t>
            </w:r>
            <w:r w:rsidR="00760A92">
              <w:rPr>
                <w:b w:val="0"/>
                <w:sz w:val="24"/>
                <w:szCs w:val="24"/>
              </w:rPr>
              <w:t>revīzijas iestādes veikto auditu</w:t>
            </w:r>
            <w:r w:rsidR="00133FF9">
              <w:rPr>
                <w:b w:val="0"/>
                <w:sz w:val="24"/>
                <w:szCs w:val="24"/>
              </w:rPr>
              <w:t xml:space="preserve"> un darbību revīziju</w:t>
            </w:r>
            <w:r w:rsidR="00760A92">
              <w:rPr>
                <w:b w:val="0"/>
                <w:sz w:val="24"/>
                <w:szCs w:val="24"/>
              </w:rPr>
              <w:t xml:space="preserve"> ieteikumu </w:t>
            </w:r>
            <w:r w:rsidR="00760A92">
              <w:rPr>
                <w:b w:val="0"/>
                <w:sz w:val="24"/>
                <w:szCs w:val="24"/>
              </w:rPr>
              <w:lastRenderedPageBreak/>
              <w:t>ieviešanas uzraudzība paredz lielā</w:t>
            </w:r>
            <w:r w:rsidR="00133FF9">
              <w:rPr>
                <w:b w:val="0"/>
                <w:sz w:val="24"/>
                <w:szCs w:val="24"/>
              </w:rPr>
              <w:t xml:space="preserve">ku vadošās iestādes </w:t>
            </w:r>
            <w:r w:rsidR="00760A92">
              <w:rPr>
                <w:b w:val="0"/>
                <w:sz w:val="24"/>
                <w:szCs w:val="24"/>
              </w:rPr>
              <w:t>dalību</w:t>
            </w:r>
            <w:r w:rsidR="008A2A4A">
              <w:rPr>
                <w:b w:val="0"/>
                <w:sz w:val="24"/>
                <w:szCs w:val="24"/>
              </w:rPr>
              <w:t xml:space="preserve"> (</w:t>
            </w:r>
            <w:r w:rsidR="008278E2">
              <w:rPr>
                <w:b w:val="0"/>
                <w:sz w:val="24"/>
                <w:szCs w:val="24"/>
              </w:rPr>
              <w:t>r</w:t>
            </w:r>
            <w:r w:rsidR="008A2A4A">
              <w:rPr>
                <w:b w:val="0"/>
                <w:sz w:val="24"/>
                <w:szCs w:val="24"/>
              </w:rPr>
              <w:t xml:space="preserve">evīzijas iestādes izteikto ieteikumu ieviešanas uzraudzība un statusa </w:t>
            </w:r>
            <w:r w:rsidR="008A2A4A" w:rsidRPr="00FF64F3">
              <w:rPr>
                <w:b w:val="0"/>
                <w:sz w:val="24"/>
                <w:szCs w:val="24"/>
              </w:rPr>
              <w:t xml:space="preserve">atjaunināšana </w:t>
            </w:r>
            <w:r w:rsidR="00FF64F3" w:rsidRPr="00FF64F3">
              <w:rPr>
                <w:b w:val="0"/>
                <w:sz w:val="24"/>
                <w:szCs w:val="24"/>
              </w:rPr>
              <w:t>Kohēzijas politikas fondu vadības informācijas sistēmā 2014.-2020.gadam</w:t>
            </w:r>
            <w:r w:rsidR="008A2A4A" w:rsidRPr="00FF64F3">
              <w:rPr>
                <w:b w:val="0"/>
                <w:sz w:val="24"/>
                <w:szCs w:val="24"/>
              </w:rPr>
              <w:t>)</w:t>
            </w:r>
            <w:r w:rsidR="00133FF9">
              <w:rPr>
                <w:b w:val="0"/>
                <w:sz w:val="24"/>
                <w:szCs w:val="24"/>
              </w:rPr>
              <w:t>, nekā iepriekšējā plānošanas periodā</w:t>
            </w:r>
            <w:r w:rsidR="00760A92">
              <w:rPr>
                <w:b w:val="0"/>
                <w:sz w:val="24"/>
                <w:szCs w:val="24"/>
              </w:rPr>
              <w:t xml:space="preserve">, kas ir </w:t>
            </w:r>
            <w:r w:rsidR="00133FF9">
              <w:rPr>
                <w:b w:val="0"/>
                <w:sz w:val="24"/>
                <w:szCs w:val="24"/>
              </w:rPr>
              <w:t>saistīts</w:t>
            </w:r>
            <w:r w:rsidR="00760A92">
              <w:rPr>
                <w:b w:val="0"/>
                <w:sz w:val="24"/>
                <w:szCs w:val="24"/>
              </w:rPr>
              <w:t xml:space="preserve"> ar </w:t>
            </w:r>
            <w:r w:rsidR="00647CD0">
              <w:rPr>
                <w:b w:val="0"/>
                <w:sz w:val="24"/>
                <w:szCs w:val="24"/>
              </w:rPr>
              <w:t xml:space="preserve">vadošās iestādes </w:t>
            </w:r>
            <w:r w:rsidR="00133FF9">
              <w:rPr>
                <w:b w:val="0"/>
                <w:sz w:val="24"/>
                <w:szCs w:val="24"/>
              </w:rPr>
              <w:t xml:space="preserve">atbildību pārvaldības deklarācijas ietvaros. </w:t>
            </w:r>
          </w:p>
          <w:p w14:paraId="20E8CA29" w14:textId="48A728B6" w:rsidR="005F020B" w:rsidRPr="001F4E98" w:rsidRDefault="00976242" w:rsidP="001F4E98">
            <w:pPr>
              <w:pStyle w:val="Heading3"/>
              <w:shd w:val="clear" w:color="auto" w:fill="FFFFFF"/>
              <w:spacing w:after="120" w:line="276" w:lineRule="auto"/>
              <w:ind w:left="57" w:right="57"/>
              <w:jc w:val="both"/>
              <w:rPr>
                <w:b w:val="0"/>
                <w:sz w:val="24"/>
                <w:szCs w:val="24"/>
              </w:rPr>
            </w:pPr>
            <w:r w:rsidRPr="00B35671">
              <w:rPr>
                <w:b w:val="0"/>
                <w:bCs w:val="0"/>
                <w:iCs/>
                <w:sz w:val="24"/>
                <w:szCs w:val="24"/>
              </w:rPr>
              <w:t>S</w:t>
            </w:r>
            <w:r w:rsidR="00B35671">
              <w:rPr>
                <w:b w:val="0"/>
                <w:bCs w:val="0"/>
                <w:iCs/>
                <w:sz w:val="24"/>
                <w:szCs w:val="24"/>
              </w:rPr>
              <w:t>askaņā ar L</w:t>
            </w:r>
            <w:r w:rsidR="005F020B" w:rsidRPr="00B35671">
              <w:rPr>
                <w:b w:val="0"/>
                <w:bCs w:val="0"/>
                <w:iCs/>
                <w:sz w:val="24"/>
                <w:szCs w:val="24"/>
              </w:rPr>
              <w:t xml:space="preserve">ikuma </w:t>
            </w:r>
            <w:r w:rsidRPr="00B35671">
              <w:rPr>
                <w:b w:val="0"/>
                <w:bCs w:val="0"/>
                <w:iCs/>
                <w:sz w:val="24"/>
                <w:szCs w:val="24"/>
              </w:rPr>
              <w:t>13.</w:t>
            </w:r>
            <w:r w:rsidR="005F020B" w:rsidRPr="00B35671">
              <w:rPr>
                <w:b w:val="0"/>
                <w:bCs w:val="0"/>
                <w:iCs/>
                <w:sz w:val="24"/>
                <w:szCs w:val="24"/>
              </w:rPr>
              <w:t xml:space="preserve">panta </w:t>
            </w:r>
            <w:r w:rsidRPr="00B35671">
              <w:rPr>
                <w:b w:val="0"/>
                <w:bCs w:val="0"/>
                <w:iCs/>
                <w:sz w:val="24"/>
                <w:szCs w:val="24"/>
              </w:rPr>
              <w:t>otrās daļas 6.</w:t>
            </w:r>
            <w:r w:rsidR="005F020B" w:rsidRPr="00B35671">
              <w:rPr>
                <w:b w:val="0"/>
                <w:bCs w:val="0"/>
                <w:iCs/>
                <w:sz w:val="24"/>
                <w:szCs w:val="24"/>
              </w:rPr>
              <w:t>p</w:t>
            </w:r>
            <w:r w:rsidRPr="00B35671">
              <w:rPr>
                <w:b w:val="0"/>
                <w:bCs w:val="0"/>
                <w:iCs/>
                <w:sz w:val="24"/>
                <w:szCs w:val="24"/>
              </w:rPr>
              <w:t>unktu</w:t>
            </w:r>
            <w:r w:rsidR="005F020B" w:rsidRPr="00B35671">
              <w:rPr>
                <w:b w:val="0"/>
                <w:bCs w:val="0"/>
                <w:iCs/>
                <w:sz w:val="24"/>
                <w:szCs w:val="24"/>
              </w:rPr>
              <w:t xml:space="preserve"> revīzijas iestādes pienākums ir ziņot M</w:t>
            </w:r>
            <w:r w:rsidR="00B35671" w:rsidRPr="00B35671">
              <w:rPr>
                <w:b w:val="0"/>
                <w:bCs w:val="0"/>
                <w:iCs/>
                <w:sz w:val="24"/>
                <w:szCs w:val="24"/>
              </w:rPr>
              <w:t>inistru kabinetam</w:t>
            </w:r>
            <w:r w:rsidR="005F020B" w:rsidRPr="00B35671">
              <w:rPr>
                <w:b w:val="0"/>
                <w:bCs w:val="0"/>
                <w:iCs/>
                <w:sz w:val="24"/>
                <w:szCs w:val="24"/>
              </w:rPr>
              <w:t>, ja revīzijas iestādes rīcībā ir ziņas, ka ES fondu ievie</w:t>
            </w:r>
            <w:r w:rsidR="002C4DEC">
              <w:rPr>
                <w:b w:val="0"/>
                <w:bCs w:val="0"/>
                <w:iCs/>
                <w:sz w:val="24"/>
                <w:szCs w:val="24"/>
              </w:rPr>
              <w:t>šana var tikt būtiski ietekmēta;</w:t>
            </w:r>
            <w:r w:rsidR="005F020B" w:rsidRPr="00B35671">
              <w:rPr>
                <w:b w:val="0"/>
                <w:bCs w:val="0"/>
                <w:iCs/>
                <w:sz w:val="24"/>
                <w:szCs w:val="24"/>
              </w:rPr>
              <w:t xml:space="preserve"> neizslēdzot citus gadījumus, </w:t>
            </w:r>
            <w:r w:rsidR="00B35671" w:rsidRPr="00B35671">
              <w:rPr>
                <w:b w:val="0"/>
                <w:sz w:val="24"/>
                <w:szCs w:val="24"/>
              </w:rPr>
              <w:t>MK noteikumu projekta 2</w:t>
            </w:r>
            <w:r w:rsidR="00543D07">
              <w:rPr>
                <w:b w:val="0"/>
                <w:sz w:val="24"/>
                <w:szCs w:val="24"/>
              </w:rPr>
              <w:t>2</w:t>
            </w:r>
            <w:r w:rsidR="00B35671" w:rsidRPr="00B35671">
              <w:rPr>
                <w:b w:val="0"/>
                <w:sz w:val="24"/>
                <w:szCs w:val="24"/>
              </w:rPr>
              <w:t>. un 3</w:t>
            </w:r>
            <w:r w:rsidR="00C24B79">
              <w:rPr>
                <w:b w:val="0"/>
                <w:sz w:val="24"/>
                <w:szCs w:val="24"/>
              </w:rPr>
              <w:t>7</w:t>
            </w:r>
            <w:r w:rsidR="00B35671" w:rsidRPr="00B35671">
              <w:rPr>
                <w:b w:val="0"/>
                <w:sz w:val="24"/>
                <w:szCs w:val="24"/>
              </w:rPr>
              <w:t xml:space="preserve">.punktā </w:t>
            </w:r>
            <w:r w:rsidR="001F4E98">
              <w:rPr>
                <w:b w:val="0"/>
                <w:bCs w:val="0"/>
                <w:iCs/>
                <w:sz w:val="24"/>
                <w:szCs w:val="24"/>
              </w:rPr>
              <w:t>tiek</w:t>
            </w:r>
            <w:r w:rsidR="005F020B" w:rsidRPr="00B35671">
              <w:rPr>
                <w:b w:val="0"/>
                <w:bCs w:val="0"/>
                <w:iCs/>
                <w:sz w:val="24"/>
                <w:szCs w:val="24"/>
              </w:rPr>
              <w:t xml:space="preserve"> noteikti </w:t>
            </w:r>
            <w:r w:rsidR="00B35671" w:rsidRPr="00B35671">
              <w:rPr>
                <w:b w:val="0"/>
                <w:bCs w:val="0"/>
                <w:iCs/>
                <w:sz w:val="24"/>
                <w:szCs w:val="24"/>
              </w:rPr>
              <w:t xml:space="preserve">gadījumi, kad revīzijas iestāde </w:t>
            </w:r>
            <w:r w:rsidR="005F020B" w:rsidRPr="00B35671">
              <w:rPr>
                <w:b w:val="0"/>
                <w:bCs w:val="0"/>
                <w:iCs/>
                <w:sz w:val="24"/>
                <w:szCs w:val="24"/>
              </w:rPr>
              <w:t>izvērtē šāda</w:t>
            </w:r>
            <w:r w:rsidR="00B35671" w:rsidRPr="00B35671">
              <w:rPr>
                <w:b w:val="0"/>
                <w:bCs w:val="0"/>
                <w:iCs/>
                <w:sz w:val="24"/>
                <w:szCs w:val="24"/>
              </w:rPr>
              <w:t>s</w:t>
            </w:r>
            <w:r w:rsidR="005F020B" w:rsidRPr="00B35671">
              <w:rPr>
                <w:b w:val="0"/>
                <w:bCs w:val="0"/>
                <w:iCs/>
                <w:sz w:val="24"/>
                <w:szCs w:val="24"/>
              </w:rPr>
              <w:t xml:space="preserve"> ziņošanas nepieciešamīb</w:t>
            </w:r>
            <w:r w:rsidR="00B35671" w:rsidRPr="00B35671">
              <w:rPr>
                <w:b w:val="0"/>
                <w:bCs w:val="0"/>
                <w:iCs/>
                <w:sz w:val="24"/>
                <w:szCs w:val="24"/>
              </w:rPr>
              <w:t>u</w:t>
            </w:r>
            <w:r w:rsidR="005F020B" w:rsidRPr="00B35671">
              <w:rPr>
                <w:b w:val="0"/>
                <w:bCs w:val="0"/>
                <w:iCs/>
                <w:sz w:val="24"/>
                <w:szCs w:val="24"/>
              </w:rPr>
              <w:t>.</w:t>
            </w:r>
            <w:r w:rsidR="005F020B" w:rsidRPr="005F020B">
              <w:rPr>
                <w:b w:val="0"/>
                <w:bCs w:val="0"/>
                <w:iCs/>
                <w:sz w:val="24"/>
                <w:szCs w:val="24"/>
              </w:rPr>
              <w:t xml:space="preserve"> </w:t>
            </w:r>
          </w:p>
          <w:p w14:paraId="6E2789CF" w14:textId="7DDEC35B" w:rsidR="00300BD0" w:rsidRPr="00B44704" w:rsidRDefault="00300BD0" w:rsidP="001F4E98">
            <w:pPr>
              <w:pStyle w:val="PlainText"/>
              <w:numPr>
                <w:ilvl w:val="0"/>
                <w:numId w:val="28"/>
              </w:numPr>
              <w:spacing w:line="276" w:lineRule="auto"/>
              <w:jc w:val="both"/>
              <w:rPr>
                <w:rFonts w:ascii="Times New Roman" w:eastAsia="Times New Roman" w:hAnsi="Times New Roman"/>
                <w:b/>
                <w:sz w:val="24"/>
                <w:szCs w:val="24"/>
                <w:lang w:eastAsia="lv-LV"/>
              </w:rPr>
            </w:pPr>
            <w:r w:rsidRPr="00B44704">
              <w:rPr>
                <w:rFonts w:ascii="Times New Roman" w:eastAsia="Times New Roman" w:hAnsi="Times New Roman"/>
                <w:b/>
                <w:sz w:val="24"/>
                <w:szCs w:val="24"/>
                <w:lang w:eastAsia="lv-LV"/>
              </w:rPr>
              <w:t>Pārskatu</w:t>
            </w:r>
            <w:r w:rsidRPr="00B44704">
              <w:rPr>
                <w:rFonts w:ascii="Times New Roman" w:eastAsia="Times New Roman" w:hAnsi="Times New Roman"/>
                <w:b/>
                <w:bCs/>
                <w:sz w:val="24"/>
                <w:szCs w:val="24"/>
                <w:lang w:eastAsia="lv-LV"/>
              </w:rPr>
              <w:t xml:space="preserve"> revīzijas veikšanas </w:t>
            </w:r>
            <w:r w:rsidRPr="00B44704">
              <w:rPr>
                <w:rFonts w:ascii="Times New Roman" w:hAnsi="Times New Roman"/>
                <w:b/>
                <w:sz w:val="24"/>
                <w:szCs w:val="24"/>
              </w:rPr>
              <w:t>kārtība</w:t>
            </w:r>
          </w:p>
          <w:p w14:paraId="643520BE" w14:textId="154DCFEB" w:rsidR="00B44704" w:rsidRDefault="00396F7C" w:rsidP="001F4E98">
            <w:pPr>
              <w:pStyle w:val="Heading3"/>
              <w:shd w:val="clear" w:color="auto" w:fill="FFFFFF"/>
              <w:spacing w:after="120" w:line="276" w:lineRule="auto"/>
              <w:ind w:left="57" w:right="57"/>
              <w:jc w:val="both"/>
              <w:rPr>
                <w:b w:val="0"/>
                <w:sz w:val="24"/>
                <w:szCs w:val="24"/>
              </w:rPr>
            </w:pPr>
            <w:r>
              <w:rPr>
                <w:b w:val="0"/>
                <w:sz w:val="24"/>
                <w:szCs w:val="24"/>
              </w:rPr>
              <w:t xml:space="preserve">Šajā plānošanas periodā </w:t>
            </w:r>
            <w:r w:rsidR="00B44704" w:rsidRPr="00967E9B">
              <w:rPr>
                <w:b w:val="0"/>
                <w:sz w:val="24"/>
                <w:szCs w:val="24"/>
              </w:rPr>
              <w:t>regulas Nr.</w:t>
            </w:r>
            <w:r w:rsidR="00B44704" w:rsidRPr="00967E9B">
              <w:rPr>
                <w:b w:val="0"/>
                <w:bCs w:val="0"/>
                <w:color w:val="000000"/>
                <w:sz w:val="24"/>
                <w:szCs w:val="24"/>
              </w:rPr>
              <w:t>966/2012</w:t>
            </w:r>
            <w:r w:rsidR="00B44704" w:rsidRPr="00967E9B">
              <w:rPr>
                <w:b w:val="0"/>
                <w:bCs w:val="0"/>
                <w:sz w:val="24"/>
                <w:szCs w:val="24"/>
              </w:rPr>
              <w:t xml:space="preserve"> </w:t>
            </w:r>
            <w:r w:rsidR="00B44704" w:rsidRPr="00967E9B">
              <w:rPr>
                <w:b w:val="0"/>
                <w:sz w:val="24"/>
                <w:szCs w:val="24"/>
              </w:rPr>
              <w:t>59.panta 5.punkta</w:t>
            </w:r>
            <w:r w:rsidR="00B44704">
              <w:rPr>
                <w:b w:val="0"/>
                <w:sz w:val="24"/>
                <w:szCs w:val="24"/>
              </w:rPr>
              <w:t xml:space="preserve"> a) apakšpunktā ir noteikti dokumenti, kas nebija paredzēti iepriekšējā plānošanas periodā:</w:t>
            </w:r>
            <w:r w:rsidR="00B44704" w:rsidRPr="00967E9B">
              <w:rPr>
                <w:b w:val="0"/>
                <w:sz w:val="24"/>
                <w:szCs w:val="24"/>
              </w:rPr>
              <w:t xml:space="preserve"> </w:t>
            </w:r>
            <w:r w:rsidR="00B44704">
              <w:rPr>
                <w:b w:val="0"/>
                <w:sz w:val="24"/>
                <w:szCs w:val="24"/>
              </w:rPr>
              <w:t xml:space="preserve">sertifikācijas iestādes sagatavots </w:t>
            </w:r>
            <w:r w:rsidR="002B1379">
              <w:rPr>
                <w:b w:val="0"/>
                <w:sz w:val="24"/>
                <w:szCs w:val="24"/>
              </w:rPr>
              <w:t>kontu slēgums (</w:t>
            </w:r>
            <w:r w:rsidR="00B44704">
              <w:rPr>
                <w:b w:val="0"/>
                <w:sz w:val="24"/>
                <w:szCs w:val="24"/>
              </w:rPr>
              <w:t>pārskats</w:t>
            </w:r>
            <w:r w:rsidR="002B1379">
              <w:rPr>
                <w:b w:val="0"/>
                <w:sz w:val="24"/>
                <w:szCs w:val="24"/>
              </w:rPr>
              <w:t>,</w:t>
            </w:r>
            <w:r w:rsidR="002B1379" w:rsidRPr="002B1379">
              <w:rPr>
                <w:b w:val="0"/>
                <w:sz w:val="24"/>
                <w:szCs w:val="24"/>
              </w:rPr>
              <w:t xml:space="preserve"> kas minēts regulas Nr.1303/2013 137.panta 1.punktā</w:t>
            </w:r>
            <w:r w:rsidR="002B1379">
              <w:rPr>
                <w:b w:val="0"/>
                <w:sz w:val="24"/>
                <w:szCs w:val="24"/>
              </w:rPr>
              <w:t>)</w:t>
            </w:r>
            <w:r w:rsidR="00B44704" w:rsidRPr="00967E9B">
              <w:rPr>
                <w:b w:val="0"/>
                <w:sz w:val="24"/>
                <w:szCs w:val="24"/>
              </w:rPr>
              <w:t xml:space="preserve"> </w:t>
            </w:r>
            <w:r w:rsidR="00B44704">
              <w:rPr>
                <w:b w:val="0"/>
                <w:sz w:val="24"/>
                <w:szCs w:val="24"/>
              </w:rPr>
              <w:t>un vadošās iestādes sagatavota pārvaldības deklarācij</w:t>
            </w:r>
            <w:r w:rsidR="002C4DEC">
              <w:rPr>
                <w:b w:val="0"/>
                <w:sz w:val="24"/>
                <w:szCs w:val="24"/>
              </w:rPr>
              <w:t>a</w:t>
            </w:r>
            <w:r w:rsidR="00B44704">
              <w:rPr>
                <w:b w:val="0"/>
                <w:sz w:val="24"/>
                <w:szCs w:val="24"/>
              </w:rPr>
              <w:t>. Šie dokumenti dalībvalstij ir jāiesniedz Eiropas Komisijā kopā ar neatkarīgas revīzijas iestādes atzinumu par tiem.</w:t>
            </w:r>
          </w:p>
          <w:p w14:paraId="6124F2BD" w14:textId="70126CB6" w:rsidR="00396F7C" w:rsidRDefault="00396F7C" w:rsidP="001F4E98">
            <w:pPr>
              <w:pStyle w:val="Heading3"/>
              <w:shd w:val="clear" w:color="auto" w:fill="FFFFFF"/>
              <w:spacing w:after="120" w:line="276" w:lineRule="auto"/>
              <w:ind w:left="57" w:right="57"/>
              <w:jc w:val="both"/>
              <w:rPr>
                <w:b w:val="0"/>
                <w:sz w:val="24"/>
                <w:szCs w:val="24"/>
              </w:rPr>
            </w:pPr>
            <w:r w:rsidRPr="00967E9B">
              <w:rPr>
                <w:b w:val="0"/>
                <w:sz w:val="24"/>
                <w:szCs w:val="24"/>
              </w:rPr>
              <w:t xml:space="preserve">Lai </w:t>
            </w:r>
            <w:r>
              <w:rPr>
                <w:b w:val="0"/>
                <w:sz w:val="24"/>
                <w:szCs w:val="24"/>
              </w:rPr>
              <w:t xml:space="preserve">revīzijas iestāde </w:t>
            </w:r>
            <w:r w:rsidRPr="00967E9B">
              <w:rPr>
                <w:b w:val="0"/>
                <w:sz w:val="24"/>
                <w:szCs w:val="24"/>
              </w:rPr>
              <w:t xml:space="preserve">sniegtu atzinumā </w:t>
            </w:r>
            <w:r>
              <w:rPr>
                <w:b w:val="0"/>
                <w:sz w:val="24"/>
                <w:szCs w:val="24"/>
              </w:rPr>
              <w:t xml:space="preserve">pamatotu </w:t>
            </w:r>
            <w:r w:rsidRPr="00967E9B">
              <w:rPr>
                <w:b w:val="0"/>
                <w:sz w:val="24"/>
                <w:szCs w:val="24"/>
              </w:rPr>
              <w:t>viedokli</w:t>
            </w:r>
            <w:r>
              <w:rPr>
                <w:b w:val="0"/>
                <w:sz w:val="24"/>
                <w:szCs w:val="24"/>
              </w:rPr>
              <w:t xml:space="preserve"> par </w:t>
            </w:r>
            <w:r w:rsidRPr="00967E9B">
              <w:rPr>
                <w:b w:val="0"/>
                <w:sz w:val="24"/>
                <w:szCs w:val="24"/>
              </w:rPr>
              <w:t>regulas Nr.</w:t>
            </w:r>
            <w:r w:rsidRPr="00967E9B">
              <w:rPr>
                <w:b w:val="0"/>
                <w:bCs w:val="0"/>
                <w:color w:val="000000"/>
                <w:sz w:val="24"/>
                <w:szCs w:val="24"/>
              </w:rPr>
              <w:t>966/2012</w:t>
            </w:r>
            <w:r w:rsidRPr="00967E9B">
              <w:rPr>
                <w:b w:val="0"/>
                <w:bCs w:val="0"/>
                <w:sz w:val="24"/>
                <w:szCs w:val="24"/>
              </w:rPr>
              <w:t xml:space="preserve"> </w:t>
            </w:r>
            <w:r w:rsidRPr="00967E9B">
              <w:rPr>
                <w:b w:val="0"/>
                <w:sz w:val="24"/>
                <w:szCs w:val="24"/>
              </w:rPr>
              <w:t>59.panta 5.punkta</w:t>
            </w:r>
            <w:r>
              <w:rPr>
                <w:b w:val="0"/>
                <w:sz w:val="24"/>
                <w:szCs w:val="24"/>
              </w:rPr>
              <w:t xml:space="preserve"> a) apakšpunktā minētajiem dokumentiem </w:t>
            </w:r>
            <w:r w:rsidRPr="00967E9B">
              <w:rPr>
                <w:b w:val="0"/>
                <w:sz w:val="24"/>
                <w:szCs w:val="24"/>
              </w:rPr>
              <w:t>kā tas ir noteikts regulas Nr.</w:t>
            </w:r>
            <w:r w:rsidRPr="00967E9B">
              <w:rPr>
                <w:b w:val="0"/>
                <w:bCs w:val="0"/>
                <w:color w:val="000000"/>
                <w:sz w:val="24"/>
                <w:szCs w:val="24"/>
              </w:rPr>
              <w:t>966/2012</w:t>
            </w:r>
            <w:r w:rsidRPr="00967E9B">
              <w:rPr>
                <w:b w:val="0"/>
                <w:bCs w:val="0"/>
                <w:sz w:val="24"/>
                <w:szCs w:val="24"/>
              </w:rPr>
              <w:t xml:space="preserve"> </w:t>
            </w:r>
            <w:r w:rsidRPr="00967E9B">
              <w:rPr>
                <w:b w:val="0"/>
                <w:sz w:val="24"/>
                <w:szCs w:val="24"/>
              </w:rPr>
              <w:t>59.panta 5.punkta otrajā daļā</w:t>
            </w:r>
            <w:r>
              <w:rPr>
                <w:b w:val="0"/>
                <w:sz w:val="24"/>
                <w:szCs w:val="24"/>
              </w:rPr>
              <w:t xml:space="preserve">, </w:t>
            </w:r>
            <w:r w:rsidRPr="00967E9B">
              <w:rPr>
                <w:b w:val="0"/>
                <w:sz w:val="24"/>
                <w:szCs w:val="24"/>
              </w:rPr>
              <w:t xml:space="preserve"> MK noteikumu </w:t>
            </w:r>
            <w:r w:rsidR="001F4E98">
              <w:rPr>
                <w:b w:val="0"/>
                <w:sz w:val="24"/>
                <w:szCs w:val="24"/>
              </w:rPr>
              <w:t>projektā tiek noteikts</w:t>
            </w:r>
            <w:r>
              <w:rPr>
                <w:b w:val="0"/>
                <w:sz w:val="24"/>
                <w:szCs w:val="24"/>
              </w:rPr>
              <w:t xml:space="preserve"> revīzijas iestādei pārbaudīt šos dokumentus un izdarīt secinājumus par to saturu.  </w:t>
            </w:r>
          </w:p>
          <w:p w14:paraId="10DE2312" w14:textId="34F42914" w:rsidR="00B44704" w:rsidRPr="00B44704" w:rsidRDefault="00B44704" w:rsidP="001F4E98">
            <w:pPr>
              <w:pStyle w:val="Heading3"/>
              <w:numPr>
                <w:ilvl w:val="0"/>
                <w:numId w:val="28"/>
              </w:numPr>
              <w:shd w:val="clear" w:color="auto" w:fill="FFFFFF"/>
              <w:spacing w:before="0" w:beforeAutospacing="0" w:after="120" w:afterAutospacing="0" w:line="276" w:lineRule="auto"/>
              <w:ind w:right="57"/>
              <w:jc w:val="both"/>
              <w:rPr>
                <w:sz w:val="24"/>
                <w:szCs w:val="24"/>
              </w:rPr>
            </w:pPr>
            <w:r w:rsidRPr="00B44704">
              <w:rPr>
                <w:bCs w:val="0"/>
                <w:sz w:val="24"/>
                <w:szCs w:val="24"/>
              </w:rPr>
              <w:t xml:space="preserve">Atzinuma un gada kontroles ziņojuma sagatavošanas </w:t>
            </w:r>
            <w:r w:rsidRPr="00B44704">
              <w:rPr>
                <w:sz w:val="24"/>
                <w:szCs w:val="24"/>
              </w:rPr>
              <w:t>kārtība</w:t>
            </w:r>
          </w:p>
          <w:p w14:paraId="6DD9B071" w14:textId="36528E0D" w:rsidR="002929D9" w:rsidRDefault="003721B6" w:rsidP="001F4E98">
            <w:pPr>
              <w:pStyle w:val="Heading3"/>
              <w:shd w:val="clear" w:color="auto" w:fill="FFFFFF"/>
              <w:spacing w:before="0" w:beforeAutospacing="0" w:after="120" w:afterAutospacing="0" w:line="276" w:lineRule="auto"/>
              <w:ind w:left="57" w:right="57"/>
              <w:jc w:val="both"/>
              <w:rPr>
                <w:b w:val="0"/>
                <w:sz w:val="24"/>
                <w:szCs w:val="24"/>
              </w:rPr>
            </w:pPr>
            <w:r>
              <w:rPr>
                <w:b w:val="0"/>
                <w:sz w:val="24"/>
                <w:szCs w:val="24"/>
              </w:rPr>
              <w:t xml:space="preserve">Pamatojoties uz revīzijas iestādes veiktajām  pārbaudēm un to rezultātā izdarītajiem secinājumiem, revīzijas iestāde sagatavo gada kontroles ziņojumu un atzinumu, </w:t>
            </w:r>
            <w:r w:rsidRPr="003721B6">
              <w:rPr>
                <w:b w:val="0"/>
                <w:sz w:val="24"/>
                <w:szCs w:val="24"/>
              </w:rPr>
              <w:t>kurā sniedz Eiropas Komisijai neatkarīgu revidenta viedokli saskaņā ar regulas Nr.</w:t>
            </w:r>
            <w:r w:rsidRPr="003721B6">
              <w:rPr>
                <w:b w:val="0"/>
                <w:bCs w:val="0"/>
                <w:color w:val="000000"/>
                <w:sz w:val="24"/>
                <w:szCs w:val="24"/>
              </w:rPr>
              <w:t>966/2012</w:t>
            </w:r>
            <w:r w:rsidRPr="003721B6">
              <w:rPr>
                <w:b w:val="0"/>
                <w:bCs w:val="0"/>
                <w:sz w:val="24"/>
                <w:szCs w:val="24"/>
              </w:rPr>
              <w:t xml:space="preserve"> </w:t>
            </w:r>
            <w:r w:rsidRPr="003721B6">
              <w:rPr>
                <w:b w:val="0"/>
                <w:sz w:val="24"/>
                <w:szCs w:val="24"/>
              </w:rPr>
              <w:t xml:space="preserve">59.panta 5.punkta otro daļu. Revīzijas iestāde atzinumu </w:t>
            </w:r>
            <w:r w:rsidRPr="003721B6">
              <w:rPr>
                <w:b w:val="0"/>
                <w:sz w:val="24"/>
                <w:szCs w:val="24"/>
              </w:rPr>
              <w:lastRenderedPageBreak/>
              <w:t xml:space="preserve">sagatavo saskaņā ar </w:t>
            </w:r>
            <w:r w:rsidR="00976242">
              <w:rPr>
                <w:b w:val="0"/>
                <w:sz w:val="24"/>
                <w:szCs w:val="24"/>
              </w:rPr>
              <w:t xml:space="preserve">starptautiski atzītiem revīzijas standartiem - </w:t>
            </w:r>
            <w:r w:rsidRPr="003721B6">
              <w:rPr>
                <w:b w:val="0"/>
                <w:sz w:val="24"/>
                <w:szCs w:val="24"/>
              </w:rPr>
              <w:t>Starptautiskās Grāmatvežu federācijas (IFAC) izdotajiem starptautiskiem revīzijas standartiem</w:t>
            </w:r>
            <w:r w:rsidR="00976242">
              <w:rPr>
                <w:b w:val="0"/>
                <w:sz w:val="24"/>
                <w:szCs w:val="24"/>
              </w:rPr>
              <w:t xml:space="preserve"> un Eiropas Komisijas izdotajām vadlīnijām un skaidrojumiem</w:t>
            </w:r>
            <w:r w:rsidRPr="003721B6">
              <w:rPr>
                <w:b w:val="0"/>
                <w:sz w:val="24"/>
                <w:szCs w:val="24"/>
              </w:rPr>
              <w:t>.</w:t>
            </w:r>
          </w:p>
          <w:p w14:paraId="5352CF11" w14:textId="1133134C" w:rsidR="00AA74C8" w:rsidRDefault="00467D4C" w:rsidP="001F4E98">
            <w:pPr>
              <w:pStyle w:val="Heading3"/>
              <w:shd w:val="clear" w:color="auto" w:fill="FFFFFF"/>
              <w:spacing w:before="0" w:beforeAutospacing="0" w:after="120" w:afterAutospacing="0" w:line="276" w:lineRule="auto"/>
              <w:ind w:left="57" w:right="57"/>
              <w:jc w:val="both"/>
              <w:rPr>
                <w:b w:val="0"/>
                <w:sz w:val="24"/>
                <w:szCs w:val="24"/>
              </w:rPr>
            </w:pPr>
            <w:r>
              <w:rPr>
                <w:b w:val="0"/>
                <w:sz w:val="24"/>
                <w:szCs w:val="24"/>
              </w:rPr>
              <w:t>Revīzijas iestāde sagatavo gada kontroles ziņojuma un atzinuma projektus, lai vadošā iestāde sagatavojot pārvaldības deklarāciju, var ņemt vērā revīzijas iestādes viedokli.</w:t>
            </w:r>
          </w:p>
          <w:p w14:paraId="6B51E0E4" w14:textId="278FC559" w:rsidR="00AA74C8" w:rsidRPr="005F020B" w:rsidRDefault="00B35671" w:rsidP="002C4DEC">
            <w:pPr>
              <w:pStyle w:val="Heading3"/>
              <w:shd w:val="clear" w:color="auto" w:fill="FFFFFF"/>
              <w:spacing w:before="0" w:beforeAutospacing="0" w:after="120" w:afterAutospacing="0" w:line="276" w:lineRule="auto"/>
              <w:ind w:left="57" w:right="57"/>
              <w:jc w:val="both"/>
              <w:rPr>
                <w:b w:val="0"/>
                <w:sz w:val="24"/>
                <w:szCs w:val="24"/>
              </w:rPr>
            </w:pPr>
            <w:r>
              <w:rPr>
                <w:b w:val="0"/>
                <w:sz w:val="24"/>
                <w:szCs w:val="24"/>
              </w:rPr>
              <w:t>MK noteikumu projektā</w:t>
            </w:r>
            <w:r w:rsidR="00AA74C8" w:rsidRPr="00FB1032">
              <w:rPr>
                <w:b w:val="0"/>
                <w:sz w:val="24"/>
                <w:szCs w:val="24"/>
              </w:rPr>
              <w:t xml:space="preserve"> </w:t>
            </w:r>
            <w:r w:rsidR="00AA74C8">
              <w:rPr>
                <w:b w:val="0"/>
                <w:sz w:val="24"/>
                <w:szCs w:val="24"/>
              </w:rPr>
              <w:t>tiek noteikti dokumentu sagatavošanas un komunikācijas termiņi, nodrošinot, ka revīzijas iestādes atzinums tiek sagatavots savlaicīgi un iesniegts Eiropas Komis</w:t>
            </w:r>
            <w:r w:rsidR="00976242">
              <w:rPr>
                <w:b w:val="0"/>
                <w:sz w:val="24"/>
                <w:szCs w:val="24"/>
              </w:rPr>
              <w:t>i</w:t>
            </w:r>
            <w:r w:rsidR="00AA74C8">
              <w:rPr>
                <w:b w:val="0"/>
                <w:sz w:val="24"/>
                <w:szCs w:val="24"/>
              </w:rPr>
              <w:t>jā saskaņā ar regul</w:t>
            </w:r>
            <w:r w:rsidR="00976242">
              <w:rPr>
                <w:b w:val="0"/>
                <w:sz w:val="24"/>
                <w:szCs w:val="24"/>
              </w:rPr>
              <w:t xml:space="preserve">as </w:t>
            </w:r>
            <w:r w:rsidR="00976242" w:rsidRPr="00967E9B">
              <w:rPr>
                <w:b w:val="0"/>
                <w:sz w:val="24"/>
                <w:szCs w:val="24"/>
              </w:rPr>
              <w:t xml:space="preserve"> Nr.</w:t>
            </w:r>
            <w:r w:rsidR="00976242" w:rsidRPr="00967E9B">
              <w:rPr>
                <w:b w:val="0"/>
                <w:bCs w:val="0"/>
                <w:color w:val="000000"/>
                <w:sz w:val="24"/>
                <w:szCs w:val="24"/>
              </w:rPr>
              <w:t>966/2012</w:t>
            </w:r>
            <w:r w:rsidR="00976242" w:rsidRPr="00967E9B">
              <w:rPr>
                <w:b w:val="0"/>
                <w:bCs w:val="0"/>
                <w:sz w:val="24"/>
                <w:szCs w:val="24"/>
              </w:rPr>
              <w:t xml:space="preserve"> </w:t>
            </w:r>
            <w:r w:rsidR="00976242">
              <w:rPr>
                <w:b w:val="0"/>
                <w:sz w:val="24"/>
                <w:szCs w:val="24"/>
              </w:rPr>
              <w:t xml:space="preserve">59.panta 5.punkta </w:t>
            </w:r>
            <w:r w:rsidR="002C4DEC">
              <w:rPr>
                <w:b w:val="0"/>
                <w:sz w:val="24"/>
                <w:szCs w:val="24"/>
              </w:rPr>
              <w:t>pirmajā</w:t>
            </w:r>
            <w:r w:rsidR="00976242" w:rsidRPr="00967E9B">
              <w:rPr>
                <w:b w:val="0"/>
                <w:sz w:val="24"/>
                <w:szCs w:val="24"/>
              </w:rPr>
              <w:t xml:space="preserve"> daļā</w:t>
            </w:r>
            <w:r w:rsidR="00976242">
              <w:rPr>
                <w:b w:val="0"/>
                <w:sz w:val="24"/>
                <w:szCs w:val="24"/>
              </w:rPr>
              <w:t xml:space="preserve"> </w:t>
            </w:r>
            <w:r w:rsidR="00AA74C8">
              <w:rPr>
                <w:b w:val="0"/>
                <w:sz w:val="24"/>
                <w:szCs w:val="24"/>
              </w:rPr>
              <w:t>paredzēto termiņu.</w:t>
            </w:r>
          </w:p>
        </w:tc>
      </w:tr>
      <w:tr w:rsidR="00976BB3" w:rsidRPr="00976BB3" w14:paraId="6F62FDB5" w14:textId="77777777" w:rsidTr="002929D9">
        <w:trPr>
          <w:trHeight w:val="476"/>
        </w:trPr>
        <w:tc>
          <w:tcPr>
            <w:tcW w:w="217" w:type="pct"/>
          </w:tcPr>
          <w:p w14:paraId="4D6FEF5D" w14:textId="6FF18F1E" w:rsidR="002929D9" w:rsidRPr="00397A2A" w:rsidRDefault="002929D9" w:rsidP="002929D9">
            <w:pPr>
              <w:pStyle w:val="naiskr"/>
              <w:spacing w:before="0" w:beforeAutospacing="0" w:after="0" w:afterAutospacing="0"/>
              <w:ind w:right="57"/>
              <w:jc w:val="center"/>
            </w:pPr>
            <w:r w:rsidRPr="00397A2A">
              <w:lastRenderedPageBreak/>
              <w:t>3.</w:t>
            </w:r>
          </w:p>
        </w:tc>
        <w:tc>
          <w:tcPr>
            <w:tcW w:w="1749" w:type="pct"/>
          </w:tcPr>
          <w:p w14:paraId="5A3EAEFB" w14:textId="77777777" w:rsidR="002929D9" w:rsidRPr="00397A2A" w:rsidRDefault="002929D9" w:rsidP="002929D9">
            <w:pPr>
              <w:pStyle w:val="naiskr"/>
              <w:spacing w:before="0" w:beforeAutospacing="0" w:after="0" w:afterAutospacing="0"/>
              <w:ind w:left="57" w:right="57"/>
            </w:pPr>
            <w:r w:rsidRPr="00397A2A">
              <w:t>Projekta izstrādē iesaistītās institūcijas</w:t>
            </w:r>
          </w:p>
        </w:tc>
        <w:tc>
          <w:tcPr>
            <w:tcW w:w="3034" w:type="pct"/>
          </w:tcPr>
          <w:p w14:paraId="31CBB81D" w14:textId="77777777" w:rsidR="002929D9" w:rsidRPr="0095313F" w:rsidRDefault="002929D9" w:rsidP="001F4E98">
            <w:pPr>
              <w:spacing w:before="120" w:after="120"/>
              <w:ind w:left="57" w:right="57"/>
              <w:jc w:val="both"/>
              <w:rPr>
                <w:rFonts w:ascii="Times New Roman" w:hAnsi="Times New Roman" w:cs="Times New Roman"/>
                <w:sz w:val="24"/>
                <w:szCs w:val="24"/>
              </w:rPr>
            </w:pPr>
            <w:r w:rsidRPr="0095313F">
              <w:rPr>
                <w:rFonts w:ascii="Times New Roman" w:hAnsi="Times New Roman" w:cs="Times New Roman"/>
                <w:sz w:val="24"/>
                <w:szCs w:val="24"/>
              </w:rPr>
              <w:t>Finanšu ministrija, Centrālā finanšu un līgumu aģentūra, Valsts kase,</w:t>
            </w:r>
            <w:r w:rsidR="0095313F" w:rsidRPr="0095313F">
              <w:rPr>
                <w:rFonts w:ascii="Times New Roman" w:hAnsi="Times New Roman" w:cs="Times New Roman"/>
                <w:sz w:val="24"/>
                <w:szCs w:val="24"/>
              </w:rPr>
              <w:t xml:space="preserve"> Iepirkumu uzraudzības birojs</w:t>
            </w:r>
            <w:r w:rsidRPr="0095313F">
              <w:rPr>
                <w:rFonts w:ascii="Times New Roman" w:hAnsi="Times New Roman" w:cs="Times New Roman"/>
                <w:sz w:val="24"/>
                <w:szCs w:val="24"/>
              </w:rPr>
              <w:t>.</w:t>
            </w:r>
          </w:p>
        </w:tc>
      </w:tr>
      <w:tr w:rsidR="00976BB3" w:rsidRPr="00976BB3" w14:paraId="7374A39A" w14:textId="77777777" w:rsidTr="002929D9">
        <w:trPr>
          <w:trHeight w:val="581"/>
        </w:trPr>
        <w:tc>
          <w:tcPr>
            <w:tcW w:w="217" w:type="pct"/>
          </w:tcPr>
          <w:p w14:paraId="43AC0C67" w14:textId="77777777" w:rsidR="002929D9" w:rsidRPr="00397A2A" w:rsidRDefault="002929D9" w:rsidP="002929D9">
            <w:pPr>
              <w:pStyle w:val="naiskr"/>
              <w:spacing w:before="0" w:beforeAutospacing="0" w:after="0" w:afterAutospacing="0"/>
              <w:ind w:right="57"/>
              <w:jc w:val="center"/>
            </w:pPr>
            <w:r w:rsidRPr="00397A2A">
              <w:t>4.</w:t>
            </w:r>
          </w:p>
        </w:tc>
        <w:tc>
          <w:tcPr>
            <w:tcW w:w="1749" w:type="pct"/>
          </w:tcPr>
          <w:p w14:paraId="3A64AACD" w14:textId="77777777" w:rsidR="002929D9" w:rsidRPr="00397A2A" w:rsidRDefault="002929D9" w:rsidP="002929D9">
            <w:pPr>
              <w:pStyle w:val="naiskr"/>
              <w:spacing w:before="0" w:beforeAutospacing="0" w:after="0" w:afterAutospacing="0"/>
              <w:ind w:left="57" w:right="57"/>
            </w:pPr>
            <w:r w:rsidRPr="00397A2A">
              <w:t>Cita informācija</w:t>
            </w:r>
          </w:p>
        </w:tc>
        <w:tc>
          <w:tcPr>
            <w:tcW w:w="3034" w:type="pct"/>
          </w:tcPr>
          <w:p w14:paraId="42F95D14" w14:textId="77777777" w:rsidR="002929D9" w:rsidRPr="00397A2A" w:rsidRDefault="002929D9" w:rsidP="001F4E98">
            <w:pPr>
              <w:pStyle w:val="naiskr"/>
              <w:spacing w:before="0" w:beforeAutospacing="0" w:after="0" w:afterAutospacing="0" w:line="276" w:lineRule="auto"/>
              <w:ind w:left="57" w:right="57"/>
            </w:pPr>
            <w:r w:rsidRPr="00397A2A">
              <w:t>Nav.</w:t>
            </w:r>
          </w:p>
        </w:tc>
      </w:tr>
    </w:tbl>
    <w:tbl>
      <w:tblPr>
        <w:tblStyle w:val="TableGrid"/>
        <w:tblW w:w="9073" w:type="dxa"/>
        <w:tblInd w:w="-274" w:type="dxa"/>
        <w:tblLook w:val="04A0" w:firstRow="1" w:lastRow="0" w:firstColumn="1" w:lastColumn="0" w:noHBand="0" w:noVBand="1"/>
      </w:tblPr>
      <w:tblGrid>
        <w:gridCol w:w="539"/>
        <w:gridCol w:w="3402"/>
        <w:gridCol w:w="5132"/>
      </w:tblGrid>
      <w:tr w:rsidR="00BB522D" w14:paraId="09C32AE8" w14:textId="77777777" w:rsidTr="0095313F">
        <w:tc>
          <w:tcPr>
            <w:tcW w:w="9073" w:type="dxa"/>
            <w:gridSpan w:val="3"/>
            <w:tcBorders>
              <w:top w:val="nil"/>
              <w:left w:val="nil"/>
              <w:bottom w:val="single" w:sz="4" w:space="0" w:color="auto"/>
              <w:right w:val="nil"/>
            </w:tcBorders>
          </w:tcPr>
          <w:p w14:paraId="585681EC" w14:textId="77777777" w:rsidR="00BB522D" w:rsidRPr="00F56EA8" w:rsidRDefault="00BB522D" w:rsidP="00BB522D">
            <w:pPr>
              <w:ind w:right="57"/>
              <w:rPr>
                <w:rFonts w:ascii="Times New Roman" w:eastAsia="Times New Roman" w:hAnsi="Times New Roman" w:cs="Times New Roman"/>
                <w:b/>
                <w:sz w:val="24"/>
                <w:szCs w:val="24"/>
              </w:rPr>
            </w:pPr>
          </w:p>
        </w:tc>
      </w:tr>
      <w:tr w:rsidR="00BB522D" w14:paraId="1F0DD6E6" w14:textId="77777777" w:rsidTr="0095313F">
        <w:tc>
          <w:tcPr>
            <w:tcW w:w="9073" w:type="dxa"/>
            <w:gridSpan w:val="3"/>
            <w:tcBorders>
              <w:top w:val="single" w:sz="4" w:space="0" w:color="auto"/>
            </w:tcBorders>
          </w:tcPr>
          <w:p w14:paraId="1F51B68A" w14:textId="77777777" w:rsidR="00BB522D" w:rsidRPr="00F56EA8" w:rsidRDefault="00BB522D" w:rsidP="00BB522D">
            <w:pPr>
              <w:spacing w:after="0" w:line="240" w:lineRule="auto"/>
              <w:ind w:right="57"/>
              <w:jc w:val="center"/>
              <w:rPr>
                <w:rFonts w:ascii="Times New Roman" w:eastAsia="Times New Roman" w:hAnsi="Times New Roman" w:cs="Times New Roman"/>
                <w:b/>
                <w:sz w:val="24"/>
                <w:szCs w:val="24"/>
              </w:rPr>
            </w:pPr>
            <w:r w:rsidRPr="00F56EA8">
              <w:rPr>
                <w:rFonts w:ascii="Times New Roman" w:eastAsia="Times New Roman" w:hAnsi="Times New Roman" w:cs="Times New Roman"/>
                <w:b/>
                <w:sz w:val="24"/>
                <w:szCs w:val="24"/>
              </w:rPr>
              <w:t>II. Tiesību akta projekta ietekme uz sabiedrību, tautsaimniecības attīstību</w:t>
            </w:r>
          </w:p>
          <w:p w14:paraId="1CD47EB6" w14:textId="77777777" w:rsidR="00BB522D" w:rsidRDefault="00BB522D" w:rsidP="00BB522D">
            <w:pPr>
              <w:spacing w:after="0" w:line="240" w:lineRule="auto"/>
              <w:jc w:val="center"/>
              <w:rPr>
                <w:rFonts w:ascii="Times New Roman" w:hAnsi="Times New Roman" w:cs="Times New Roman"/>
                <w:sz w:val="24"/>
                <w:szCs w:val="24"/>
              </w:rPr>
            </w:pPr>
            <w:r w:rsidRPr="00F56EA8">
              <w:rPr>
                <w:rFonts w:ascii="Times New Roman" w:eastAsia="Times New Roman" w:hAnsi="Times New Roman" w:cs="Times New Roman"/>
                <w:b/>
                <w:sz w:val="24"/>
                <w:szCs w:val="24"/>
              </w:rPr>
              <w:t>un administratīvo slogu</w:t>
            </w:r>
          </w:p>
        </w:tc>
      </w:tr>
      <w:tr w:rsidR="00BB522D" w14:paraId="572489E5" w14:textId="77777777" w:rsidTr="0095313F">
        <w:tc>
          <w:tcPr>
            <w:tcW w:w="539" w:type="dxa"/>
          </w:tcPr>
          <w:p w14:paraId="70F9F3AB" w14:textId="77777777" w:rsidR="00BB522D" w:rsidRDefault="00BB522D" w:rsidP="00BB522D">
            <w:pPr>
              <w:rPr>
                <w:rFonts w:ascii="Times New Roman" w:hAnsi="Times New Roman" w:cs="Times New Roman"/>
                <w:sz w:val="24"/>
                <w:szCs w:val="24"/>
              </w:rPr>
            </w:pPr>
            <w:r w:rsidRPr="00F56EA8">
              <w:rPr>
                <w:rFonts w:ascii="Times New Roman" w:eastAsia="Times New Roman" w:hAnsi="Times New Roman" w:cs="Times New Roman"/>
                <w:sz w:val="24"/>
                <w:szCs w:val="24"/>
              </w:rPr>
              <w:t>1.</w:t>
            </w:r>
          </w:p>
        </w:tc>
        <w:tc>
          <w:tcPr>
            <w:tcW w:w="3402" w:type="dxa"/>
          </w:tcPr>
          <w:p w14:paraId="4005D737" w14:textId="77777777" w:rsidR="00BB522D" w:rsidRDefault="00BB522D" w:rsidP="00BB522D">
            <w:pPr>
              <w:rPr>
                <w:rFonts w:ascii="Times New Roman" w:hAnsi="Times New Roman" w:cs="Times New Roman"/>
                <w:sz w:val="24"/>
                <w:szCs w:val="24"/>
              </w:rPr>
            </w:pPr>
            <w:r w:rsidRPr="00F56EA8">
              <w:rPr>
                <w:rFonts w:ascii="Times New Roman" w:eastAsia="Times New Roman" w:hAnsi="Times New Roman" w:cs="Times New Roman"/>
                <w:sz w:val="24"/>
                <w:szCs w:val="24"/>
              </w:rPr>
              <w:t xml:space="preserve">Sabiedrības </w:t>
            </w:r>
            <w:proofErr w:type="spellStart"/>
            <w:r w:rsidRPr="00F56EA8">
              <w:rPr>
                <w:rFonts w:ascii="Times New Roman" w:eastAsia="Times New Roman" w:hAnsi="Times New Roman" w:cs="Times New Roman"/>
                <w:sz w:val="24"/>
                <w:szCs w:val="24"/>
              </w:rPr>
              <w:t>mērķgrupas</w:t>
            </w:r>
            <w:proofErr w:type="spellEnd"/>
            <w:r w:rsidRPr="00F56EA8">
              <w:rPr>
                <w:rFonts w:ascii="Times New Roman" w:eastAsia="Times New Roman" w:hAnsi="Times New Roman" w:cs="Times New Roman"/>
                <w:sz w:val="24"/>
                <w:szCs w:val="24"/>
              </w:rPr>
              <w:t>, kuras tiesiskais regulējums ietekmē vai varētu ietekmēt</w:t>
            </w:r>
          </w:p>
        </w:tc>
        <w:tc>
          <w:tcPr>
            <w:tcW w:w="5132" w:type="dxa"/>
          </w:tcPr>
          <w:p w14:paraId="2C0BAE25" w14:textId="14557510" w:rsidR="005643C2" w:rsidRPr="00F04CCC" w:rsidRDefault="00377BA7" w:rsidP="001F4E98">
            <w:pPr>
              <w:pStyle w:val="Text3"/>
              <w:tabs>
                <w:tab w:val="clear" w:pos="2302"/>
                <w:tab w:val="left" w:pos="320"/>
              </w:tabs>
              <w:spacing w:line="276" w:lineRule="auto"/>
              <w:ind w:left="0"/>
              <w:rPr>
                <w:lang w:val="lv-LV"/>
              </w:rPr>
            </w:pPr>
            <w:proofErr w:type="spellStart"/>
            <w:r w:rsidRPr="00A44554">
              <w:t>Eiropas</w:t>
            </w:r>
            <w:proofErr w:type="spellEnd"/>
            <w:r w:rsidRPr="00A44554">
              <w:t xml:space="preserve"> </w:t>
            </w:r>
            <w:proofErr w:type="spellStart"/>
            <w:r w:rsidRPr="00A44554">
              <w:t>Savienības</w:t>
            </w:r>
            <w:proofErr w:type="spellEnd"/>
            <w:r w:rsidRPr="00A44554">
              <w:t xml:space="preserve"> </w:t>
            </w:r>
            <w:proofErr w:type="spellStart"/>
            <w:r w:rsidRPr="00A44554">
              <w:t>fondu</w:t>
            </w:r>
            <w:proofErr w:type="spellEnd"/>
            <w:r w:rsidRPr="00A44554">
              <w:t xml:space="preserve"> </w:t>
            </w:r>
            <w:proofErr w:type="spellStart"/>
            <w:r w:rsidRPr="00A44554">
              <w:t>vadībā</w:t>
            </w:r>
            <w:proofErr w:type="spellEnd"/>
            <w:r w:rsidRPr="00A44554">
              <w:t xml:space="preserve"> </w:t>
            </w:r>
            <w:proofErr w:type="spellStart"/>
            <w:r w:rsidRPr="00A44554">
              <w:t>iesaistītās</w:t>
            </w:r>
            <w:proofErr w:type="spellEnd"/>
            <w:r w:rsidRPr="00A44554">
              <w:t xml:space="preserve"> </w:t>
            </w:r>
            <w:proofErr w:type="spellStart"/>
            <w:r w:rsidRPr="00A44554">
              <w:t>institūcijas</w:t>
            </w:r>
            <w:proofErr w:type="spellEnd"/>
            <w:r>
              <w:t xml:space="preserve"> un </w:t>
            </w:r>
            <w:proofErr w:type="spellStart"/>
            <w:r w:rsidR="00F04CCC" w:rsidRPr="00F04CCC">
              <w:t>finansējuma</w:t>
            </w:r>
            <w:proofErr w:type="spellEnd"/>
            <w:r w:rsidR="00F04CCC" w:rsidRPr="00F04CCC">
              <w:t xml:space="preserve"> </w:t>
            </w:r>
            <w:proofErr w:type="spellStart"/>
            <w:r w:rsidR="00F04CCC" w:rsidRPr="00F04CCC">
              <w:t>saņēmēji</w:t>
            </w:r>
            <w:proofErr w:type="spellEnd"/>
            <w:r w:rsidR="00F04CCC" w:rsidRPr="00F04CCC">
              <w:rPr>
                <w:color w:val="808080" w:themeColor="background1" w:themeShade="80"/>
              </w:rPr>
              <w:t>.</w:t>
            </w:r>
          </w:p>
        </w:tc>
      </w:tr>
      <w:tr w:rsidR="00BB522D" w14:paraId="7519E472" w14:textId="77777777" w:rsidTr="0095313F">
        <w:tc>
          <w:tcPr>
            <w:tcW w:w="539" w:type="dxa"/>
          </w:tcPr>
          <w:p w14:paraId="2FCB08D5" w14:textId="77777777" w:rsidR="00BB522D" w:rsidRDefault="00BB522D" w:rsidP="00BB522D">
            <w:pPr>
              <w:rPr>
                <w:rFonts w:ascii="Times New Roman" w:hAnsi="Times New Roman" w:cs="Times New Roman"/>
                <w:sz w:val="24"/>
                <w:szCs w:val="24"/>
              </w:rPr>
            </w:pPr>
            <w:r w:rsidRPr="00F56EA8">
              <w:rPr>
                <w:rFonts w:ascii="Times New Roman" w:eastAsia="Times New Roman" w:hAnsi="Times New Roman" w:cs="Times New Roman"/>
                <w:sz w:val="24"/>
                <w:szCs w:val="24"/>
              </w:rPr>
              <w:t>2.</w:t>
            </w:r>
          </w:p>
        </w:tc>
        <w:tc>
          <w:tcPr>
            <w:tcW w:w="3402" w:type="dxa"/>
          </w:tcPr>
          <w:p w14:paraId="1B1EA9C6" w14:textId="77777777" w:rsidR="00BB522D" w:rsidRDefault="00BB522D" w:rsidP="00BB522D">
            <w:pPr>
              <w:rPr>
                <w:rFonts w:ascii="Times New Roman" w:hAnsi="Times New Roman" w:cs="Times New Roman"/>
                <w:sz w:val="24"/>
                <w:szCs w:val="24"/>
              </w:rPr>
            </w:pPr>
            <w:r w:rsidRPr="00F56EA8">
              <w:rPr>
                <w:rFonts w:ascii="Times New Roman" w:eastAsia="Times New Roman" w:hAnsi="Times New Roman" w:cs="Times New Roman"/>
                <w:sz w:val="24"/>
                <w:szCs w:val="24"/>
              </w:rPr>
              <w:t>Tiesiskā regulējuma ietekme uz tautsaimniecību un administratīvo slogu</w:t>
            </w:r>
          </w:p>
        </w:tc>
        <w:tc>
          <w:tcPr>
            <w:tcW w:w="5132" w:type="dxa"/>
          </w:tcPr>
          <w:p w14:paraId="18C3E5CE" w14:textId="77777777" w:rsidR="00BB522D" w:rsidRDefault="00BB522D" w:rsidP="00377BA7">
            <w:pPr>
              <w:shd w:val="clear" w:color="auto" w:fill="FFFFFF"/>
              <w:jc w:val="both"/>
              <w:rPr>
                <w:rFonts w:ascii="Times New Roman" w:hAnsi="Times New Roman" w:cs="Times New Roman"/>
                <w:sz w:val="24"/>
                <w:szCs w:val="24"/>
              </w:rPr>
            </w:pPr>
            <w:r w:rsidRPr="00377BA7">
              <w:rPr>
                <w:rFonts w:ascii="Times New Roman" w:hAnsi="Times New Roman" w:cs="Times New Roman"/>
                <w:sz w:val="24"/>
                <w:szCs w:val="24"/>
              </w:rPr>
              <w:t xml:space="preserve">Ņemot vērā plānotās ES fondu investīcijas 4,4 </w:t>
            </w:r>
            <w:proofErr w:type="spellStart"/>
            <w:r w:rsidRPr="00377BA7">
              <w:rPr>
                <w:rFonts w:ascii="Times New Roman" w:hAnsi="Times New Roman" w:cs="Times New Roman"/>
                <w:sz w:val="24"/>
                <w:szCs w:val="24"/>
              </w:rPr>
              <w:t>miljd</w:t>
            </w:r>
            <w:proofErr w:type="spellEnd"/>
            <w:r w:rsidRPr="00377BA7">
              <w:rPr>
                <w:rFonts w:ascii="Times New Roman" w:hAnsi="Times New Roman" w:cs="Times New Roman"/>
                <w:sz w:val="24"/>
                <w:szCs w:val="24"/>
              </w:rPr>
              <w:t xml:space="preserve">. </w:t>
            </w:r>
            <w:proofErr w:type="spellStart"/>
            <w:r w:rsidRPr="00377BA7">
              <w:rPr>
                <w:rFonts w:ascii="Times New Roman" w:hAnsi="Times New Roman" w:cs="Times New Roman"/>
                <w:sz w:val="24"/>
                <w:szCs w:val="24"/>
              </w:rPr>
              <w:t>euro</w:t>
            </w:r>
            <w:proofErr w:type="spellEnd"/>
            <w:r w:rsidRPr="00377BA7">
              <w:rPr>
                <w:rFonts w:ascii="Times New Roman" w:hAnsi="Times New Roman" w:cs="Times New Roman"/>
                <w:sz w:val="24"/>
                <w:szCs w:val="24"/>
              </w:rPr>
              <w:t xml:space="preserve"> apmērā laika posmā no 2014. līdz 2020.gadam, tiesiskais regulējums pozitīvi ietekmēs visas tautsaimniecības jomas, jo īpaši pētniecības, informācijas komunikāciju tehnoloģiju, uzņēmējdarbības, enerģētikas, vides, transporta, nodarbinātības, sociālās iekļaušanas un izglītības jomās, kā arī minētās investīcijas veicinās teritoriju līdzsvarotu attīstību.</w:t>
            </w:r>
          </w:p>
          <w:p w14:paraId="6E2AA571" w14:textId="16EFC823" w:rsidR="00A124B4" w:rsidRPr="00937887" w:rsidRDefault="00937887" w:rsidP="00937887">
            <w:pPr>
              <w:shd w:val="clear" w:color="auto" w:fill="FFFFFF"/>
              <w:jc w:val="both"/>
              <w:rPr>
                <w:rFonts w:ascii="Times New Roman" w:hAnsi="Times New Roman" w:cs="Times New Roman"/>
                <w:sz w:val="24"/>
                <w:szCs w:val="24"/>
              </w:rPr>
            </w:pPr>
            <w:r w:rsidRPr="00937887">
              <w:rPr>
                <w:rFonts w:ascii="Times New Roman" w:hAnsi="Times New Roman" w:cs="Times New Roman"/>
                <w:sz w:val="24"/>
                <w:szCs w:val="24"/>
              </w:rPr>
              <w:t xml:space="preserve">Anotācijas I </w:t>
            </w:r>
            <w:r w:rsidR="00BC34CE">
              <w:rPr>
                <w:rFonts w:ascii="Times New Roman" w:hAnsi="Times New Roman" w:cs="Times New Roman"/>
                <w:sz w:val="24"/>
                <w:szCs w:val="24"/>
              </w:rPr>
              <w:t>sa</w:t>
            </w:r>
            <w:r w:rsidRPr="00937887">
              <w:rPr>
                <w:rFonts w:ascii="Times New Roman" w:hAnsi="Times New Roman" w:cs="Times New Roman"/>
                <w:sz w:val="24"/>
                <w:szCs w:val="24"/>
              </w:rPr>
              <w:t>daļas 2.punktā ir norādīts, ka “projekta</w:t>
            </w:r>
            <w:r w:rsidRPr="00937887">
              <w:rPr>
                <w:rFonts w:ascii="Times New Roman" w:hAnsi="Times New Roman" w:cs="Times New Roman"/>
                <w:iCs/>
                <w:sz w:val="24"/>
                <w:szCs w:val="24"/>
              </w:rPr>
              <w:t xml:space="preserve"> 3.2. un 4.2.apakšpunktā tiek noteikta divu jaunu dokumentu – </w:t>
            </w:r>
            <w:r w:rsidRPr="00937887">
              <w:rPr>
                <w:rFonts w:ascii="Times New Roman" w:hAnsi="Times New Roman" w:cs="Times New Roman"/>
                <w:sz w:val="24"/>
                <w:szCs w:val="24"/>
              </w:rPr>
              <w:t xml:space="preserve">kontu slēguma (pārskata par izdevumiem, kas minēts regulas Nr.1303/2013 137.panta 1.punktā) un </w:t>
            </w:r>
            <w:r w:rsidRPr="00937887">
              <w:rPr>
                <w:rFonts w:ascii="Times New Roman" w:hAnsi="Times New Roman" w:cs="Times New Roman"/>
                <w:iCs/>
                <w:sz w:val="24"/>
                <w:szCs w:val="24"/>
              </w:rPr>
              <w:t xml:space="preserve">pārvaldības deklarācijas (tai skaitā, gada kopsavilkuma) iesniegšana revīzijas </w:t>
            </w:r>
            <w:r w:rsidRPr="00937887">
              <w:rPr>
                <w:rFonts w:ascii="Times New Roman" w:hAnsi="Times New Roman" w:cs="Times New Roman"/>
                <w:iCs/>
                <w:sz w:val="24"/>
                <w:szCs w:val="24"/>
              </w:rPr>
              <w:lastRenderedPageBreak/>
              <w:t>iestādē</w:t>
            </w:r>
            <w:r w:rsidRPr="00937887">
              <w:rPr>
                <w:rFonts w:ascii="Times New Roman" w:hAnsi="Times New Roman" w:cs="Times New Roman"/>
                <w:sz w:val="24"/>
                <w:szCs w:val="24"/>
              </w:rPr>
              <w:t xml:space="preserve">”. Šie dokumenti ir saturiski jauni un to sagatavošanas pienākumu nosaka Likums, bet attiecībā uz </w:t>
            </w:r>
            <w:r w:rsidRPr="00937887">
              <w:rPr>
                <w:rFonts w:ascii="Times New Roman" w:hAnsi="Times New Roman" w:cs="Times New Roman"/>
                <w:sz w:val="24"/>
                <w:szCs w:val="24"/>
                <w:u w:val="single"/>
              </w:rPr>
              <w:t>iesniegšanas prasību</w:t>
            </w:r>
            <w:r w:rsidRPr="00937887">
              <w:rPr>
                <w:rFonts w:ascii="Times New Roman" w:hAnsi="Times New Roman" w:cs="Times New Roman"/>
                <w:sz w:val="24"/>
                <w:szCs w:val="24"/>
              </w:rPr>
              <w:t xml:space="preserve"> revīzijas iestādē dokumentu apjoms </w:t>
            </w:r>
            <w:r>
              <w:rPr>
                <w:rFonts w:ascii="Times New Roman" w:hAnsi="Times New Roman" w:cs="Times New Roman"/>
                <w:sz w:val="24"/>
                <w:szCs w:val="24"/>
              </w:rPr>
              <w:t xml:space="preserve">un biežums </w:t>
            </w:r>
            <w:r w:rsidRPr="00937887">
              <w:rPr>
                <w:rFonts w:ascii="Times New Roman" w:hAnsi="Times New Roman" w:cs="Times New Roman"/>
                <w:sz w:val="24"/>
                <w:szCs w:val="24"/>
              </w:rPr>
              <w:t xml:space="preserve">nepalielinās, jo iepriekšējo Ministru kabineta 2012.gada 24.jūlija noteikumu Nr.501 „Kārtība, kādā nodrošina revīzijas iestādes funkcijas Eiropas Savienības struktūrfondu un Kohēzijas fonda vadībā” (MK noteikumi Nr.501) 9. un 10.punktā bija noteikts tāds pats skaits (2 dokumentus iesniedz vadošā iestāde un 2 dokumentus iesniedz sertifikācijas iestāde) un ar līdzīgu regularitāti revīzijas iestādē iesniedzamo dokumentu. Līdz ar to regulējums pēc būtības nav mainījies, bet gan izteikts jaunā redakcijā – projekta </w:t>
            </w:r>
            <w:r w:rsidRPr="00937887">
              <w:rPr>
                <w:rFonts w:ascii="Times New Roman" w:hAnsi="Times New Roman" w:cs="Times New Roman"/>
                <w:iCs/>
                <w:sz w:val="24"/>
                <w:szCs w:val="24"/>
              </w:rPr>
              <w:t xml:space="preserve">3.2. un 4.2.apakšpunktā </w:t>
            </w:r>
            <w:r w:rsidRPr="00937887">
              <w:rPr>
                <w:rFonts w:ascii="Times New Roman" w:hAnsi="Times New Roman" w:cs="Times New Roman"/>
                <w:sz w:val="24"/>
                <w:szCs w:val="24"/>
              </w:rPr>
              <w:t>minētie  dokumenti aizstāj MK noteikumu Nr.501 (10.1. un 9.2.apakšpunktā) paredzētos dokumentus, kuru iesniegšana vairs nav paredzēta šajos jaunajos noteikumos. Tādējādi administratīvais slogs nav mainījies attiecībā pret MK noteikumos Nr.501 ietvertajām prasībām.</w:t>
            </w:r>
          </w:p>
        </w:tc>
      </w:tr>
      <w:tr w:rsidR="00377BA7" w14:paraId="2E3131B9" w14:textId="77777777" w:rsidTr="0095313F">
        <w:tc>
          <w:tcPr>
            <w:tcW w:w="539" w:type="dxa"/>
          </w:tcPr>
          <w:p w14:paraId="7D5DE81D" w14:textId="77777777" w:rsidR="00377BA7" w:rsidRDefault="00377BA7" w:rsidP="00377BA7">
            <w:pPr>
              <w:rPr>
                <w:rFonts w:ascii="Times New Roman" w:hAnsi="Times New Roman" w:cs="Times New Roman"/>
                <w:sz w:val="24"/>
                <w:szCs w:val="24"/>
              </w:rPr>
            </w:pPr>
            <w:r w:rsidRPr="00F56EA8">
              <w:rPr>
                <w:rFonts w:ascii="Times New Roman" w:eastAsia="Times New Roman" w:hAnsi="Times New Roman" w:cs="Times New Roman"/>
                <w:sz w:val="24"/>
                <w:szCs w:val="24"/>
              </w:rPr>
              <w:lastRenderedPageBreak/>
              <w:t>3.</w:t>
            </w:r>
          </w:p>
        </w:tc>
        <w:tc>
          <w:tcPr>
            <w:tcW w:w="3402" w:type="dxa"/>
          </w:tcPr>
          <w:p w14:paraId="169EA6BC" w14:textId="77777777" w:rsidR="00377BA7" w:rsidRDefault="00377BA7" w:rsidP="00377BA7">
            <w:pPr>
              <w:rPr>
                <w:rFonts w:ascii="Times New Roman" w:hAnsi="Times New Roman" w:cs="Times New Roman"/>
                <w:sz w:val="24"/>
                <w:szCs w:val="24"/>
              </w:rPr>
            </w:pPr>
            <w:r w:rsidRPr="00F56EA8">
              <w:rPr>
                <w:rFonts w:ascii="Times New Roman" w:eastAsia="Times New Roman" w:hAnsi="Times New Roman" w:cs="Times New Roman"/>
                <w:sz w:val="24"/>
                <w:szCs w:val="24"/>
              </w:rPr>
              <w:t>Administratīvo izmaksu monetārs novērtējums</w:t>
            </w:r>
          </w:p>
        </w:tc>
        <w:tc>
          <w:tcPr>
            <w:tcW w:w="5132" w:type="dxa"/>
          </w:tcPr>
          <w:p w14:paraId="02C08168" w14:textId="100B7C14" w:rsidR="00377BA7" w:rsidRPr="00BB522D" w:rsidRDefault="00377BA7" w:rsidP="00377BA7">
            <w:pPr>
              <w:jc w:val="both"/>
              <w:rPr>
                <w:rFonts w:ascii="Times New Roman" w:hAnsi="Times New Roman" w:cs="Times New Roman"/>
                <w:color w:val="808080" w:themeColor="background1" w:themeShade="80"/>
                <w:sz w:val="24"/>
                <w:szCs w:val="24"/>
              </w:rPr>
            </w:pPr>
            <w:r>
              <w:rPr>
                <w:rFonts w:ascii="Times New Roman" w:hAnsi="Times New Roman" w:cs="Times New Roman"/>
                <w:sz w:val="24"/>
                <w:szCs w:val="24"/>
              </w:rPr>
              <w:t>Nav attiecināms</w:t>
            </w:r>
          </w:p>
        </w:tc>
      </w:tr>
      <w:tr w:rsidR="00377BA7" w14:paraId="6AAACC78" w14:textId="77777777" w:rsidTr="0095313F">
        <w:tc>
          <w:tcPr>
            <w:tcW w:w="539" w:type="dxa"/>
          </w:tcPr>
          <w:p w14:paraId="304D4FDD" w14:textId="77777777" w:rsidR="00377BA7" w:rsidRDefault="00377BA7" w:rsidP="00377BA7">
            <w:pPr>
              <w:rPr>
                <w:rFonts w:ascii="Times New Roman" w:hAnsi="Times New Roman" w:cs="Times New Roman"/>
                <w:sz w:val="24"/>
                <w:szCs w:val="24"/>
              </w:rPr>
            </w:pPr>
            <w:r w:rsidRPr="00F56EA8">
              <w:rPr>
                <w:rFonts w:ascii="Times New Roman" w:eastAsia="Times New Roman" w:hAnsi="Times New Roman" w:cs="Times New Roman"/>
                <w:sz w:val="24"/>
                <w:szCs w:val="24"/>
              </w:rPr>
              <w:t>4.</w:t>
            </w:r>
          </w:p>
        </w:tc>
        <w:tc>
          <w:tcPr>
            <w:tcW w:w="3402" w:type="dxa"/>
          </w:tcPr>
          <w:p w14:paraId="20FDB0F9" w14:textId="77777777" w:rsidR="00377BA7" w:rsidRDefault="00377BA7" w:rsidP="00377BA7">
            <w:pPr>
              <w:rPr>
                <w:rFonts w:ascii="Times New Roman" w:hAnsi="Times New Roman" w:cs="Times New Roman"/>
                <w:sz w:val="24"/>
                <w:szCs w:val="24"/>
              </w:rPr>
            </w:pPr>
            <w:r w:rsidRPr="00F56EA8">
              <w:rPr>
                <w:rFonts w:ascii="Times New Roman" w:eastAsia="Times New Roman" w:hAnsi="Times New Roman" w:cs="Times New Roman"/>
                <w:sz w:val="24"/>
                <w:szCs w:val="24"/>
              </w:rPr>
              <w:t>Cita informācija</w:t>
            </w:r>
          </w:p>
        </w:tc>
        <w:tc>
          <w:tcPr>
            <w:tcW w:w="5132" w:type="dxa"/>
          </w:tcPr>
          <w:p w14:paraId="3F7AF236" w14:textId="1503B7A3" w:rsidR="00377BA7" w:rsidRDefault="00377BA7" w:rsidP="00377BA7">
            <w:pPr>
              <w:jc w:val="both"/>
              <w:rPr>
                <w:rFonts w:ascii="Times New Roman" w:hAnsi="Times New Roman" w:cs="Times New Roman"/>
                <w:sz w:val="24"/>
                <w:szCs w:val="24"/>
              </w:rPr>
            </w:pPr>
            <w:r w:rsidRPr="000C14C1">
              <w:rPr>
                <w:rFonts w:ascii="Times New Roman" w:hAnsi="Times New Roman" w:cs="Times New Roman"/>
                <w:sz w:val="24"/>
                <w:szCs w:val="24"/>
              </w:rPr>
              <w:t>Eiropas Savienības struktūrfondu un Kohēzijas fonda 2014.-2020.gada plānošanas perioda vadības likums, kas paredz ES fondu  tiesisko regulējumu un tā anotācij</w:t>
            </w:r>
            <w:r w:rsidR="001F4E98">
              <w:rPr>
                <w:rFonts w:ascii="Times New Roman" w:hAnsi="Times New Roman" w:cs="Times New Roman"/>
                <w:sz w:val="24"/>
                <w:szCs w:val="24"/>
              </w:rPr>
              <w:t>a ar</w:t>
            </w:r>
            <w:r w:rsidRPr="000C14C1">
              <w:rPr>
                <w:rFonts w:ascii="Times New Roman" w:hAnsi="Times New Roman" w:cs="Times New Roman"/>
                <w:sz w:val="24"/>
                <w:szCs w:val="24"/>
              </w:rPr>
              <w:t xml:space="preserve"> iekļaut</w:t>
            </w:r>
            <w:r>
              <w:rPr>
                <w:rFonts w:ascii="Times New Roman" w:hAnsi="Times New Roman" w:cs="Times New Roman"/>
                <w:sz w:val="24"/>
                <w:szCs w:val="24"/>
              </w:rPr>
              <w:t xml:space="preserve">o </w:t>
            </w:r>
            <w:r w:rsidRPr="000C14C1">
              <w:rPr>
                <w:rFonts w:ascii="Times New Roman" w:hAnsi="Times New Roman" w:cs="Times New Roman"/>
                <w:sz w:val="24"/>
                <w:szCs w:val="24"/>
              </w:rPr>
              <w:t>informācij</w:t>
            </w:r>
            <w:r>
              <w:rPr>
                <w:rFonts w:ascii="Times New Roman" w:hAnsi="Times New Roman" w:cs="Times New Roman"/>
                <w:sz w:val="24"/>
                <w:szCs w:val="24"/>
              </w:rPr>
              <w:t>u</w:t>
            </w:r>
            <w:r w:rsidRPr="000C14C1">
              <w:rPr>
                <w:rFonts w:ascii="Times New Roman" w:hAnsi="Times New Roman" w:cs="Times New Roman"/>
                <w:sz w:val="24"/>
                <w:szCs w:val="24"/>
              </w:rPr>
              <w:t xml:space="preserve"> par administratīvo izmaksu monetāro novērtējumu un</w:t>
            </w:r>
            <w:r w:rsidRPr="000C14C1">
              <w:t xml:space="preserve">  </w:t>
            </w:r>
            <w:r w:rsidRPr="000C14C1">
              <w:rPr>
                <w:rFonts w:ascii="Times New Roman" w:hAnsi="Times New Roman" w:cs="Times New Roman"/>
                <w:sz w:val="24"/>
                <w:szCs w:val="24"/>
              </w:rPr>
              <w:t>ietekmi uz valsts budžetu un pašvaldību budžetiem, tika pieņemt</w:t>
            </w:r>
            <w:r>
              <w:rPr>
                <w:rFonts w:ascii="Times New Roman" w:hAnsi="Times New Roman" w:cs="Times New Roman"/>
                <w:sz w:val="24"/>
                <w:szCs w:val="24"/>
              </w:rPr>
              <w:t>s</w:t>
            </w:r>
            <w:r w:rsidRPr="000C14C1">
              <w:rPr>
                <w:rFonts w:ascii="Times New Roman" w:hAnsi="Times New Roman" w:cs="Times New Roman"/>
                <w:sz w:val="24"/>
                <w:szCs w:val="24"/>
              </w:rPr>
              <w:t xml:space="preserve"> Saeimā un tā kā MK noteikumu  projekts paredz noteikt  tikai procedūru un kārtību</w:t>
            </w:r>
            <w:r>
              <w:rPr>
                <w:rFonts w:ascii="Times New Roman" w:hAnsi="Times New Roman" w:cs="Times New Roman"/>
                <w:sz w:val="24"/>
                <w:szCs w:val="24"/>
              </w:rPr>
              <w:t xml:space="preserve"> jau paredzētajam regulējumam,</w:t>
            </w:r>
            <w:r w:rsidRPr="000C14C1">
              <w:rPr>
                <w:rFonts w:ascii="Times New Roman" w:hAnsi="Times New Roman" w:cs="Times New Roman"/>
                <w:sz w:val="24"/>
                <w:szCs w:val="24"/>
              </w:rPr>
              <w:t xml:space="preserve"> atsevišķs </w:t>
            </w:r>
            <w:r>
              <w:rPr>
                <w:rFonts w:ascii="Times New Roman" w:hAnsi="Times New Roman" w:cs="Times New Roman"/>
                <w:sz w:val="24"/>
                <w:szCs w:val="24"/>
              </w:rPr>
              <w:t xml:space="preserve">ietekmes </w:t>
            </w:r>
            <w:proofErr w:type="spellStart"/>
            <w:r w:rsidRPr="000C14C1">
              <w:rPr>
                <w:rFonts w:ascii="Times New Roman" w:hAnsi="Times New Roman" w:cs="Times New Roman"/>
                <w:sz w:val="24"/>
                <w:szCs w:val="24"/>
              </w:rPr>
              <w:t>izvērtējums</w:t>
            </w:r>
            <w:proofErr w:type="spellEnd"/>
            <w:r w:rsidRPr="000C14C1">
              <w:rPr>
                <w:rFonts w:ascii="Times New Roman" w:hAnsi="Times New Roman" w:cs="Times New Roman"/>
                <w:sz w:val="24"/>
                <w:szCs w:val="24"/>
              </w:rPr>
              <w:t xml:space="preserve"> nav nepieciešams.</w:t>
            </w:r>
          </w:p>
        </w:tc>
      </w:tr>
    </w:tbl>
    <w:p w14:paraId="1848829B" w14:textId="77777777" w:rsidR="00BB522D" w:rsidRDefault="00BB522D" w:rsidP="002929D9">
      <w:pPr>
        <w:spacing w:after="0" w:line="240" w:lineRule="auto"/>
        <w:rPr>
          <w:rFonts w:ascii="Times New Roman" w:hAnsi="Times New Roman" w:cs="Times New Roman"/>
          <w:color w:val="808080" w:themeColor="background1" w:themeShade="80"/>
          <w:sz w:val="24"/>
          <w:szCs w:val="24"/>
        </w:rPr>
      </w:pPr>
    </w:p>
    <w:p w14:paraId="266BBD78" w14:textId="2039A352" w:rsidR="002929D9" w:rsidRPr="00E12596" w:rsidRDefault="00377BA7" w:rsidP="002929D9">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sadaļa – MK noteikumu projekts šo jomu neskar.</w:t>
      </w:r>
    </w:p>
    <w:tbl>
      <w:tblPr>
        <w:tblW w:w="9200" w:type="dxa"/>
        <w:tblCellSpacing w:w="0" w:type="dxa"/>
        <w:tblInd w:w="-2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5"/>
        <w:gridCol w:w="3543"/>
        <w:gridCol w:w="4962"/>
      </w:tblGrid>
      <w:tr w:rsidR="00E159BA" w:rsidRPr="007101ED" w14:paraId="0AE58799" w14:textId="77777777" w:rsidTr="00E159BA">
        <w:trPr>
          <w:tblCellSpacing w:w="0" w:type="dxa"/>
        </w:trPr>
        <w:tc>
          <w:tcPr>
            <w:tcW w:w="9200" w:type="dxa"/>
            <w:gridSpan w:val="3"/>
            <w:hideMark/>
          </w:tcPr>
          <w:p w14:paraId="4B36A85B" w14:textId="77777777" w:rsidR="00E159BA" w:rsidRPr="00E159BA" w:rsidRDefault="00E159BA" w:rsidP="00282669">
            <w:pPr>
              <w:spacing w:before="100" w:beforeAutospacing="1" w:after="100" w:afterAutospacing="1"/>
              <w:rPr>
                <w:rFonts w:ascii="Times New Roman" w:hAnsi="Times New Roman" w:cs="Times New Roman"/>
                <w:b/>
                <w:sz w:val="24"/>
                <w:szCs w:val="24"/>
              </w:rPr>
            </w:pPr>
            <w:r w:rsidRPr="00E159BA">
              <w:rPr>
                <w:rFonts w:ascii="Times New Roman" w:hAnsi="Times New Roman" w:cs="Times New Roman"/>
                <w:sz w:val="24"/>
                <w:szCs w:val="24"/>
              </w:rPr>
              <w:t> </w:t>
            </w:r>
            <w:r w:rsidRPr="00E159BA">
              <w:rPr>
                <w:rFonts w:ascii="Times New Roman" w:hAnsi="Times New Roman" w:cs="Times New Roman"/>
                <w:b/>
                <w:sz w:val="24"/>
                <w:szCs w:val="24"/>
              </w:rPr>
              <w:t>IV. Tiesību akta projekta ietekme uz spēkā esošo tiesību normu sistēmu</w:t>
            </w:r>
          </w:p>
        </w:tc>
      </w:tr>
      <w:tr w:rsidR="00E159BA" w:rsidRPr="007101ED" w14:paraId="6C8CA1C1" w14:textId="77777777" w:rsidTr="00423C29">
        <w:trPr>
          <w:trHeight w:val="1223"/>
          <w:tblCellSpacing w:w="0" w:type="dxa"/>
        </w:trPr>
        <w:tc>
          <w:tcPr>
            <w:tcW w:w="695" w:type="dxa"/>
            <w:hideMark/>
          </w:tcPr>
          <w:p w14:paraId="228FB893" w14:textId="77777777" w:rsidR="00E159BA" w:rsidRPr="007101ED" w:rsidRDefault="00E159BA" w:rsidP="00282669">
            <w:pPr>
              <w:spacing w:before="100" w:beforeAutospacing="1" w:after="100" w:afterAutospacing="1"/>
            </w:pPr>
            <w:r w:rsidRPr="007101ED">
              <w:t> 1.</w:t>
            </w:r>
          </w:p>
        </w:tc>
        <w:tc>
          <w:tcPr>
            <w:tcW w:w="3543" w:type="dxa"/>
            <w:hideMark/>
          </w:tcPr>
          <w:p w14:paraId="7EA89785" w14:textId="77777777" w:rsidR="00E159BA" w:rsidRPr="00E159BA" w:rsidRDefault="00E159BA" w:rsidP="00282669">
            <w:pPr>
              <w:spacing w:before="100" w:beforeAutospacing="1" w:after="100" w:afterAutospacing="1"/>
              <w:rPr>
                <w:rFonts w:ascii="Times New Roman" w:hAnsi="Times New Roman" w:cs="Times New Roman"/>
                <w:sz w:val="24"/>
                <w:szCs w:val="24"/>
              </w:rPr>
            </w:pPr>
            <w:r w:rsidRPr="00E159BA">
              <w:rPr>
                <w:rFonts w:ascii="Times New Roman" w:hAnsi="Times New Roman" w:cs="Times New Roman"/>
                <w:sz w:val="24"/>
                <w:szCs w:val="24"/>
              </w:rPr>
              <w:t> Nepieciešamie saistītie tiesību aktu projekti</w:t>
            </w:r>
          </w:p>
        </w:tc>
        <w:tc>
          <w:tcPr>
            <w:tcW w:w="4962" w:type="dxa"/>
            <w:hideMark/>
          </w:tcPr>
          <w:p w14:paraId="367B3EFA" w14:textId="4E94B171" w:rsidR="00FC02E5" w:rsidRPr="00670909" w:rsidRDefault="00FC02E5" w:rsidP="00FC02E5">
            <w:pPr>
              <w:pStyle w:val="PlainText"/>
              <w:jc w:val="both"/>
              <w:rPr>
                <w:rFonts w:ascii="Times New Roman" w:hAnsi="Times New Roman"/>
                <w:sz w:val="24"/>
                <w:szCs w:val="24"/>
              </w:rPr>
            </w:pPr>
            <w:r>
              <w:rPr>
                <w:rFonts w:ascii="Times New Roman" w:hAnsi="Times New Roman"/>
                <w:sz w:val="24"/>
                <w:szCs w:val="24"/>
              </w:rPr>
              <w:t>Korupcijas</w:t>
            </w:r>
            <w:r w:rsidRPr="00670909">
              <w:rPr>
                <w:rFonts w:ascii="Times New Roman" w:hAnsi="Times New Roman"/>
                <w:sz w:val="24"/>
                <w:szCs w:val="24"/>
              </w:rPr>
              <w:t xml:space="preserve"> novēršanas un apkarošanas birojs (turpmāk - KNAB) ir norādījis uz būtiskiem interešu  konflikta  riskiem,  ja  gan revīzijas iestāde, gan vadošā iestāde vienlaikus atradīsies  finanšu  ministra  padotībā. KNAB ieskatā pirms grozījumu Ministru kabineta 2003.gada   29.aprīļa   noteikumu  </w:t>
            </w:r>
            <w:r w:rsidRPr="00670909">
              <w:rPr>
                <w:rFonts w:ascii="Times New Roman" w:hAnsi="Times New Roman"/>
                <w:sz w:val="24"/>
                <w:szCs w:val="24"/>
              </w:rPr>
              <w:lastRenderedPageBreak/>
              <w:t xml:space="preserve">Nr.239  „Finanšu  ministrijas  nolikums”  12.1.apakšpunktā veikšanas,  ar  kuriem  tiks nodrošināta revīzijas iestādes vadītāja pakļautība Finanšu ministram,   Finanšu   ministrijai  sadarbībā  </w:t>
            </w:r>
            <w:r w:rsidR="00D469D6">
              <w:rPr>
                <w:rFonts w:ascii="Times New Roman" w:hAnsi="Times New Roman"/>
                <w:sz w:val="24"/>
                <w:szCs w:val="24"/>
              </w:rPr>
              <w:t xml:space="preserve">ar </w:t>
            </w:r>
            <w:r w:rsidRPr="00670909">
              <w:rPr>
                <w:rFonts w:ascii="Times New Roman" w:hAnsi="Times New Roman"/>
                <w:sz w:val="24"/>
                <w:szCs w:val="24"/>
              </w:rPr>
              <w:t xml:space="preserve">KNAB  būtu  jāveic  papildu  </w:t>
            </w:r>
            <w:proofErr w:type="spellStart"/>
            <w:r w:rsidRPr="00670909">
              <w:rPr>
                <w:rFonts w:ascii="Times New Roman" w:hAnsi="Times New Roman"/>
                <w:sz w:val="24"/>
                <w:szCs w:val="24"/>
              </w:rPr>
              <w:t>izvērtējums</w:t>
            </w:r>
            <w:proofErr w:type="spellEnd"/>
            <w:r w:rsidRPr="00670909">
              <w:rPr>
                <w:rFonts w:ascii="Times New Roman" w:hAnsi="Times New Roman"/>
                <w:sz w:val="24"/>
                <w:szCs w:val="24"/>
              </w:rPr>
              <w:t xml:space="preserve"> iespējamai  revīzijas  iestādes  funkciju nodalīšanai no vadošās iestādes, vai, ja šāds nodalījums  nav  iespējams,  izveidot  efektīvu  mehānismu pastāvošo interešu konflikta risku novēršanai, saglabājot esošo strukturālo modeli.</w:t>
            </w:r>
          </w:p>
          <w:p w14:paraId="312BD9BC" w14:textId="77777777" w:rsidR="00FC02E5" w:rsidRPr="00670909" w:rsidRDefault="00FC02E5" w:rsidP="00FC02E5">
            <w:pPr>
              <w:pStyle w:val="PlainText"/>
              <w:jc w:val="both"/>
              <w:rPr>
                <w:rFonts w:ascii="Times New Roman" w:hAnsi="Times New Roman"/>
                <w:sz w:val="24"/>
                <w:szCs w:val="24"/>
              </w:rPr>
            </w:pPr>
            <w:r w:rsidRPr="00670909">
              <w:rPr>
                <w:rFonts w:ascii="Times New Roman" w:hAnsi="Times New Roman"/>
                <w:sz w:val="24"/>
                <w:szCs w:val="24"/>
              </w:rPr>
              <w:t xml:space="preserve">               </w:t>
            </w:r>
          </w:p>
          <w:p w14:paraId="24C9CB65" w14:textId="6D18D214" w:rsidR="00193BA3" w:rsidRPr="00213D1F" w:rsidRDefault="00FC02E5" w:rsidP="00FC02E5">
            <w:pPr>
              <w:pStyle w:val="PlainText"/>
              <w:jc w:val="both"/>
              <w:rPr>
                <w:rFonts w:ascii="Times New Roman" w:hAnsi="Times New Roman"/>
                <w:sz w:val="24"/>
                <w:szCs w:val="24"/>
              </w:rPr>
            </w:pPr>
            <w:r>
              <w:rPr>
                <w:rFonts w:ascii="Times New Roman" w:hAnsi="Times New Roman"/>
                <w:bCs/>
                <w:sz w:val="24"/>
                <w:szCs w:val="24"/>
              </w:rPr>
              <w:t>2014.gada 24.</w:t>
            </w:r>
            <w:r w:rsidRPr="00670909">
              <w:rPr>
                <w:rFonts w:ascii="Times New Roman" w:hAnsi="Times New Roman"/>
                <w:bCs/>
                <w:sz w:val="24"/>
                <w:szCs w:val="24"/>
              </w:rPr>
              <w:t>jūlijā Valsts sekretāru sanāksmē tika izsludināts noteikumu projekts "Grozījumi Ministru kabineta 2010. gada 30. novembra noteikumos Nr. 1075 "Valsts un pašvaldību institūciju amatu katalogs"" (VSS-693), kurš tostarp paredz papildināt minēto noteikumu 1.pielikuma II nodaļas 44.punktu „Ārvalstu finanšu instrumentu vadība” ar VII D līmeni.</w:t>
            </w:r>
          </w:p>
        </w:tc>
      </w:tr>
      <w:tr w:rsidR="00E159BA" w:rsidRPr="007101ED" w14:paraId="48188D93" w14:textId="77777777" w:rsidTr="00423C29">
        <w:trPr>
          <w:tblCellSpacing w:w="0" w:type="dxa"/>
        </w:trPr>
        <w:tc>
          <w:tcPr>
            <w:tcW w:w="695" w:type="dxa"/>
            <w:hideMark/>
          </w:tcPr>
          <w:p w14:paraId="6A264E90" w14:textId="77777777" w:rsidR="00E159BA" w:rsidRPr="007101ED" w:rsidRDefault="00E159BA" w:rsidP="00282669">
            <w:pPr>
              <w:spacing w:before="100" w:beforeAutospacing="1" w:after="100" w:afterAutospacing="1"/>
            </w:pPr>
            <w:r w:rsidRPr="007101ED">
              <w:lastRenderedPageBreak/>
              <w:t> 2.</w:t>
            </w:r>
          </w:p>
        </w:tc>
        <w:tc>
          <w:tcPr>
            <w:tcW w:w="3543" w:type="dxa"/>
            <w:hideMark/>
          </w:tcPr>
          <w:p w14:paraId="5AA0E86A" w14:textId="77777777" w:rsidR="00E159BA" w:rsidRPr="00E159BA" w:rsidRDefault="00E159BA" w:rsidP="00282669">
            <w:pPr>
              <w:spacing w:before="100" w:beforeAutospacing="1" w:after="100" w:afterAutospacing="1"/>
              <w:rPr>
                <w:rFonts w:ascii="Times New Roman" w:hAnsi="Times New Roman" w:cs="Times New Roman"/>
                <w:sz w:val="24"/>
                <w:szCs w:val="24"/>
              </w:rPr>
            </w:pPr>
            <w:r w:rsidRPr="00E159BA">
              <w:rPr>
                <w:rFonts w:ascii="Times New Roman" w:hAnsi="Times New Roman" w:cs="Times New Roman"/>
                <w:sz w:val="24"/>
                <w:szCs w:val="24"/>
              </w:rPr>
              <w:t> Cita informācija</w:t>
            </w:r>
          </w:p>
        </w:tc>
        <w:tc>
          <w:tcPr>
            <w:tcW w:w="4962" w:type="dxa"/>
            <w:hideMark/>
          </w:tcPr>
          <w:p w14:paraId="6A011F3E" w14:textId="77777777" w:rsidR="00E159BA" w:rsidRPr="00E159BA" w:rsidRDefault="00E159BA" w:rsidP="00282669">
            <w:pPr>
              <w:pStyle w:val="naispant"/>
              <w:snapToGrid w:val="0"/>
              <w:spacing w:before="0" w:after="0"/>
              <w:ind w:right="188"/>
              <w:jc w:val="both"/>
              <w:rPr>
                <w:bCs/>
              </w:rPr>
            </w:pPr>
            <w:r w:rsidRPr="00E159BA">
              <w:rPr>
                <w:bCs/>
              </w:rPr>
              <w:t>Nav</w:t>
            </w:r>
          </w:p>
        </w:tc>
      </w:tr>
    </w:tbl>
    <w:p w14:paraId="4940E225" w14:textId="77777777" w:rsidR="00E159BA" w:rsidRPr="00976BB3" w:rsidRDefault="00E159BA" w:rsidP="002929D9">
      <w:pPr>
        <w:spacing w:after="0" w:line="240" w:lineRule="auto"/>
        <w:rPr>
          <w:rFonts w:ascii="Times New Roman" w:hAnsi="Times New Roman" w:cs="Times New Roman"/>
          <w:color w:val="808080" w:themeColor="background1" w:themeShade="80"/>
          <w:sz w:val="24"/>
          <w:szCs w:val="24"/>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1007"/>
        <w:gridCol w:w="1083"/>
        <w:gridCol w:w="2657"/>
        <w:gridCol w:w="2585"/>
      </w:tblGrid>
      <w:tr w:rsidR="00976BB3" w:rsidRPr="00976BB3" w14:paraId="7734AC93" w14:textId="77777777" w:rsidTr="002929D9">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394A6C97" w14:textId="77777777" w:rsidR="002929D9" w:rsidRPr="00BB522D" w:rsidRDefault="002929D9" w:rsidP="002929D9">
            <w:pPr>
              <w:spacing w:after="0" w:line="240" w:lineRule="auto"/>
              <w:jc w:val="center"/>
              <w:rPr>
                <w:rFonts w:ascii="Times New Roman" w:hAnsi="Times New Roman" w:cs="Times New Roman"/>
                <w:b/>
                <w:sz w:val="24"/>
                <w:szCs w:val="24"/>
              </w:rPr>
            </w:pPr>
            <w:r w:rsidRPr="00BB522D">
              <w:rPr>
                <w:rFonts w:ascii="Times New Roman" w:hAnsi="Times New Roman" w:cs="Times New Roman"/>
                <w:b/>
                <w:sz w:val="24"/>
                <w:szCs w:val="24"/>
              </w:rPr>
              <w:t>V. Tiesību akta projekta atbilstība Latvijas Republikas starptautiskajām saistībām</w:t>
            </w:r>
          </w:p>
        </w:tc>
      </w:tr>
      <w:tr w:rsidR="00976BB3" w:rsidRPr="00976BB3" w14:paraId="621FD613" w14:textId="77777777" w:rsidTr="002929D9">
        <w:trPr>
          <w:jc w:val="center"/>
        </w:trPr>
        <w:tc>
          <w:tcPr>
            <w:tcW w:w="497" w:type="dxa"/>
            <w:tcBorders>
              <w:top w:val="outset" w:sz="6" w:space="0" w:color="auto"/>
              <w:left w:val="outset" w:sz="6" w:space="0" w:color="auto"/>
              <w:bottom w:val="outset" w:sz="6" w:space="0" w:color="auto"/>
              <w:right w:val="outset" w:sz="6" w:space="0" w:color="auto"/>
            </w:tcBorders>
          </w:tcPr>
          <w:p w14:paraId="3ACD8DCC" w14:textId="77777777" w:rsidR="002929D9" w:rsidRPr="00BB522D" w:rsidRDefault="002929D9" w:rsidP="002929D9">
            <w:pPr>
              <w:spacing w:after="0" w:line="240" w:lineRule="auto"/>
              <w:ind w:left="57"/>
              <w:rPr>
                <w:rFonts w:ascii="Times New Roman" w:hAnsi="Times New Roman" w:cs="Times New Roman"/>
                <w:sz w:val="24"/>
                <w:szCs w:val="24"/>
              </w:rPr>
            </w:pPr>
            <w:r w:rsidRPr="00BB522D">
              <w:rPr>
                <w:rFonts w:ascii="Times New Roman" w:hAnsi="Times New Roman" w:cs="Times New Roman"/>
                <w:sz w:val="24"/>
                <w:szCs w:val="24"/>
              </w:rPr>
              <w:t>1.</w:t>
            </w:r>
          </w:p>
        </w:tc>
        <w:tc>
          <w:tcPr>
            <w:tcW w:w="2713" w:type="dxa"/>
            <w:gridSpan w:val="2"/>
            <w:tcBorders>
              <w:top w:val="outset" w:sz="6" w:space="0" w:color="auto"/>
              <w:left w:val="outset" w:sz="6" w:space="0" w:color="auto"/>
              <w:bottom w:val="outset" w:sz="6" w:space="0" w:color="auto"/>
              <w:right w:val="outset" w:sz="6" w:space="0" w:color="auto"/>
            </w:tcBorders>
          </w:tcPr>
          <w:p w14:paraId="7AC59177" w14:textId="77777777" w:rsidR="002929D9" w:rsidRPr="00BB522D" w:rsidRDefault="002929D9" w:rsidP="002929D9">
            <w:pPr>
              <w:spacing w:after="0" w:line="240" w:lineRule="auto"/>
              <w:ind w:left="57"/>
              <w:rPr>
                <w:rFonts w:ascii="Times New Roman" w:hAnsi="Times New Roman" w:cs="Times New Roman"/>
                <w:sz w:val="24"/>
                <w:szCs w:val="24"/>
              </w:rPr>
            </w:pPr>
            <w:r w:rsidRPr="00BB522D">
              <w:rPr>
                <w:rFonts w:ascii="Times New Roman" w:hAnsi="Times New Roman" w:cs="Times New Roman"/>
                <w:sz w:val="24"/>
                <w:szCs w:val="24"/>
              </w:rPr>
              <w:t>Saistības pret Eiropas Savienību</w:t>
            </w:r>
          </w:p>
        </w:tc>
        <w:tc>
          <w:tcPr>
            <w:tcW w:w="6325" w:type="dxa"/>
            <w:gridSpan w:val="3"/>
            <w:tcBorders>
              <w:top w:val="outset" w:sz="6" w:space="0" w:color="auto"/>
              <w:left w:val="outset" w:sz="6" w:space="0" w:color="auto"/>
              <w:bottom w:val="outset" w:sz="6" w:space="0" w:color="auto"/>
              <w:right w:val="outset" w:sz="6" w:space="0" w:color="auto"/>
            </w:tcBorders>
          </w:tcPr>
          <w:p w14:paraId="7340FA3C" w14:textId="77777777" w:rsidR="002929D9" w:rsidRDefault="00D85B77" w:rsidP="00D85B77">
            <w:pPr>
              <w:spacing w:after="0" w:line="240" w:lineRule="auto"/>
              <w:ind w:left="57"/>
              <w:jc w:val="both"/>
              <w:rPr>
                <w:rFonts w:ascii="Times New Roman" w:hAnsi="Times New Roman" w:cs="Times New Roman"/>
                <w:sz w:val="24"/>
                <w:szCs w:val="24"/>
              </w:rPr>
            </w:pPr>
            <w:r w:rsidRPr="00D85B77">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p w14:paraId="1ECCBAF2" w14:textId="77777777" w:rsidR="00D85B77" w:rsidRDefault="00D85B77" w:rsidP="00D85B77">
            <w:pPr>
              <w:spacing w:after="0" w:line="240" w:lineRule="auto"/>
              <w:ind w:left="57"/>
              <w:jc w:val="both"/>
              <w:rPr>
                <w:rFonts w:ascii="Times New Roman" w:hAnsi="Times New Roman" w:cs="Times New Roman"/>
                <w:sz w:val="24"/>
                <w:szCs w:val="24"/>
              </w:rPr>
            </w:pPr>
          </w:p>
          <w:p w14:paraId="23B4975F" w14:textId="2F2CA62A" w:rsidR="00D85B77" w:rsidRPr="00D85B77" w:rsidRDefault="00D85B77" w:rsidP="00D85B77">
            <w:pPr>
              <w:spacing w:after="0" w:line="240" w:lineRule="auto"/>
              <w:ind w:left="57"/>
              <w:jc w:val="both"/>
              <w:rPr>
                <w:rFonts w:ascii="Times New Roman" w:hAnsi="Times New Roman" w:cs="Times New Roman"/>
                <w:sz w:val="24"/>
                <w:szCs w:val="24"/>
              </w:rPr>
            </w:pPr>
            <w:r>
              <w:rPr>
                <w:rFonts w:ascii="Times New Roman" w:hAnsi="Times New Roman" w:cs="Times New Roman"/>
                <w:noProof/>
                <w:snapToGrid w:val="0"/>
                <w:sz w:val="24"/>
              </w:rPr>
              <w:t>Regulā nav noteikts termiņš, kādā jāpieņem nacionālie normatīvie akti ES fondu ieviešanai.</w:t>
            </w:r>
          </w:p>
        </w:tc>
      </w:tr>
      <w:tr w:rsidR="00976BB3" w:rsidRPr="00976BB3" w14:paraId="721434CE" w14:textId="77777777" w:rsidTr="002929D9">
        <w:trPr>
          <w:jc w:val="center"/>
        </w:trPr>
        <w:tc>
          <w:tcPr>
            <w:tcW w:w="497" w:type="dxa"/>
            <w:tcBorders>
              <w:top w:val="outset" w:sz="6" w:space="0" w:color="auto"/>
              <w:left w:val="outset" w:sz="6" w:space="0" w:color="auto"/>
              <w:bottom w:val="outset" w:sz="6" w:space="0" w:color="auto"/>
              <w:right w:val="outset" w:sz="6" w:space="0" w:color="auto"/>
            </w:tcBorders>
          </w:tcPr>
          <w:p w14:paraId="7A648A70" w14:textId="77777777" w:rsidR="002929D9" w:rsidRPr="00BB522D" w:rsidRDefault="002929D9" w:rsidP="002929D9">
            <w:pPr>
              <w:spacing w:after="0" w:line="240" w:lineRule="auto"/>
              <w:ind w:left="57"/>
              <w:rPr>
                <w:rFonts w:ascii="Times New Roman" w:hAnsi="Times New Roman" w:cs="Times New Roman"/>
                <w:sz w:val="24"/>
                <w:szCs w:val="24"/>
              </w:rPr>
            </w:pPr>
            <w:r w:rsidRPr="00BB522D">
              <w:rPr>
                <w:rFonts w:ascii="Times New Roman" w:hAnsi="Times New Roman" w:cs="Times New Roman"/>
                <w:sz w:val="24"/>
                <w:szCs w:val="24"/>
              </w:rPr>
              <w:t>2.</w:t>
            </w:r>
          </w:p>
        </w:tc>
        <w:tc>
          <w:tcPr>
            <w:tcW w:w="2713" w:type="dxa"/>
            <w:gridSpan w:val="2"/>
            <w:tcBorders>
              <w:top w:val="outset" w:sz="6" w:space="0" w:color="auto"/>
              <w:left w:val="outset" w:sz="6" w:space="0" w:color="auto"/>
              <w:bottom w:val="outset" w:sz="6" w:space="0" w:color="auto"/>
              <w:right w:val="outset" w:sz="6" w:space="0" w:color="auto"/>
            </w:tcBorders>
          </w:tcPr>
          <w:p w14:paraId="7E1FEE55" w14:textId="77777777" w:rsidR="002929D9" w:rsidRPr="00BB522D" w:rsidRDefault="002929D9" w:rsidP="002929D9">
            <w:pPr>
              <w:spacing w:after="0" w:line="240" w:lineRule="auto"/>
              <w:ind w:left="57"/>
              <w:rPr>
                <w:rFonts w:ascii="Times New Roman" w:hAnsi="Times New Roman" w:cs="Times New Roman"/>
                <w:sz w:val="24"/>
                <w:szCs w:val="24"/>
              </w:rPr>
            </w:pPr>
            <w:r w:rsidRPr="00BB522D">
              <w:rPr>
                <w:rFonts w:ascii="Times New Roman" w:hAnsi="Times New Roman" w:cs="Times New Roman"/>
                <w:sz w:val="24"/>
                <w:szCs w:val="24"/>
              </w:rPr>
              <w:t>Citas starptautiskās saistības</w:t>
            </w:r>
          </w:p>
        </w:tc>
        <w:tc>
          <w:tcPr>
            <w:tcW w:w="6325" w:type="dxa"/>
            <w:gridSpan w:val="3"/>
            <w:tcBorders>
              <w:top w:val="outset" w:sz="6" w:space="0" w:color="auto"/>
              <w:left w:val="outset" w:sz="6" w:space="0" w:color="auto"/>
              <w:bottom w:val="outset" w:sz="6" w:space="0" w:color="auto"/>
              <w:right w:val="outset" w:sz="6" w:space="0" w:color="auto"/>
            </w:tcBorders>
          </w:tcPr>
          <w:p w14:paraId="2A0738A1" w14:textId="77777777" w:rsidR="002929D9" w:rsidRPr="00BB522D" w:rsidRDefault="002929D9" w:rsidP="002929D9">
            <w:pPr>
              <w:spacing w:after="0" w:line="240" w:lineRule="auto"/>
              <w:ind w:left="57"/>
              <w:jc w:val="both"/>
              <w:rPr>
                <w:rFonts w:ascii="Times New Roman" w:hAnsi="Times New Roman" w:cs="Times New Roman"/>
                <w:sz w:val="24"/>
                <w:szCs w:val="24"/>
              </w:rPr>
            </w:pPr>
            <w:r w:rsidRPr="00BB522D">
              <w:rPr>
                <w:rFonts w:ascii="Times New Roman" w:hAnsi="Times New Roman" w:cs="Times New Roman"/>
                <w:sz w:val="24"/>
                <w:szCs w:val="24"/>
              </w:rPr>
              <w:t>Nav</w:t>
            </w:r>
          </w:p>
        </w:tc>
      </w:tr>
      <w:tr w:rsidR="00976BB3" w:rsidRPr="00976BB3" w14:paraId="10FFD9E5" w14:textId="77777777" w:rsidTr="002929D9">
        <w:trPr>
          <w:jc w:val="center"/>
        </w:trPr>
        <w:tc>
          <w:tcPr>
            <w:tcW w:w="497" w:type="dxa"/>
            <w:tcBorders>
              <w:top w:val="outset" w:sz="6" w:space="0" w:color="auto"/>
              <w:left w:val="outset" w:sz="6" w:space="0" w:color="auto"/>
              <w:bottom w:val="outset" w:sz="6" w:space="0" w:color="auto"/>
              <w:right w:val="outset" w:sz="6" w:space="0" w:color="auto"/>
            </w:tcBorders>
          </w:tcPr>
          <w:p w14:paraId="0C3AA525" w14:textId="77777777" w:rsidR="002929D9" w:rsidRPr="00BB522D" w:rsidRDefault="002929D9" w:rsidP="002929D9">
            <w:pPr>
              <w:spacing w:after="0" w:line="240" w:lineRule="auto"/>
              <w:ind w:left="57"/>
              <w:rPr>
                <w:rFonts w:ascii="Times New Roman" w:hAnsi="Times New Roman" w:cs="Times New Roman"/>
                <w:sz w:val="24"/>
                <w:szCs w:val="24"/>
              </w:rPr>
            </w:pPr>
            <w:r w:rsidRPr="00BB522D">
              <w:rPr>
                <w:rFonts w:ascii="Times New Roman" w:hAnsi="Times New Roman" w:cs="Times New Roman"/>
                <w:sz w:val="24"/>
                <w:szCs w:val="24"/>
              </w:rPr>
              <w:t>3.</w:t>
            </w:r>
          </w:p>
        </w:tc>
        <w:tc>
          <w:tcPr>
            <w:tcW w:w="2713" w:type="dxa"/>
            <w:gridSpan w:val="2"/>
            <w:tcBorders>
              <w:top w:val="outset" w:sz="6" w:space="0" w:color="auto"/>
              <w:left w:val="outset" w:sz="6" w:space="0" w:color="auto"/>
              <w:bottom w:val="outset" w:sz="6" w:space="0" w:color="auto"/>
              <w:right w:val="outset" w:sz="6" w:space="0" w:color="auto"/>
            </w:tcBorders>
          </w:tcPr>
          <w:p w14:paraId="40DE3BE8" w14:textId="77777777" w:rsidR="002929D9" w:rsidRPr="00BB522D" w:rsidRDefault="002929D9" w:rsidP="002929D9">
            <w:pPr>
              <w:spacing w:after="0" w:line="240" w:lineRule="auto"/>
              <w:ind w:left="57"/>
              <w:rPr>
                <w:rFonts w:ascii="Times New Roman" w:hAnsi="Times New Roman" w:cs="Times New Roman"/>
                <w:sz w:val="24"/>
                <w:szCs w:val="24"/>
              </w:rPr>
            </w:pPr>
            <w:r w:rsidRPr="00BB522D">
              <w:rPr>
                <w:rFonts w:ascii="Times New Roman" w:hAnsi="Times New Roman" w:cs="Times New Roman"/>
                <w:sz w:val="24"/>
                <w:szCs w:val="24"/>
              </w:rPr>
              <w:t>Cita informācija</w:t>
            </w:r>
          </w:p>
        </w:tc>
        <w:tc>
          <w:tcPr>
            <w:tcW w:w="6325" w:type="dxa"/>
            <w:gridSpan w:val="3"/>
            <w:tcBorders>
              <w:top w:val="outset" w:sz="6" w:space="0" w:color="auto"/>
              <w:left w:val="outset" w:sz="6" w:space="0" w:color="auto"/>
              <w:bottom w:val="outset" w:sz="6" w:space="0" w:color="auto"/>
              <w:right w:val="outset" w:sz="6" w:space="0" w:color="auto"/>
            </w:tcBorders>
          </w:tcPr>
          <w:p w14:paraId="28AD075A" w14:textId="77777777" w:rsidR="002929D9" w:rsidRPr="00BB522D" w:rsidRDefault="002929D9" w:rsidP="002929D9">
            <w:pPr>
              <w:spacing w:after="0" w:line="240" w:lineRule="auto"/>
              <w:ind w:left="57"/>
              <w:jc w:val="both"/>
              <w:rPr>
                <w:rFonts w:ascii="Times New Roman" w:hAnsi="Times New Roman" w:cs="Times New Roman"/>
                <w:sz w:val="24"/>
                <w:szCs w:val="24"/>
              </w:rPr>
            </w:pPr>
            <w:r w:rsidRPr="00BB522D">
              <w:rPr>
                <w:rFonts w:ascii="Times New Roman" w:hAnsi="Times New Roman" w:cs="Times New Roman"/>
                <w:sz w:val="24"/>
                <w:szCs w:val="24"/>
              </w:rPr>
              <w:t>Nav</w:t>
            </w:r>
          </w:p>
        </w:tc>
      </w:tr>
      <w:tr w:rsidR="00976BB3" w:rsidRPr="00976BB3" w14:paraId="12E2B699" w14:textId="77777777" w:rsidTr="002929D9">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4256E3A2" w14:textId="77777777" w:rsidR="002929D9" w:rsidRPr="00BB522D" w:rsidRDefault="002929D9" w:rsidP="002929D9">
            <w:pPr>
              <w:spacing w:after="0" w:line="240" w:lineRule="auto"/>
              <w:ind w:left="57"/>
              <w:jc w:val="center"/>
              <w:rPr>
                <w:rFonts w:ascii="Times New Roman" w:hAnsi="Times New Roman" w:cs="Times New Roman"/>
                <w:b/>
                <w:sz w:val="24"/>
                <w:szCs w:val="24"/>
              </w:rPr>
            </w:pPr>
            <w:r w:rsidRPr="00BB522D">
              <w:rPr>
                <w:rFonts w:ascii="Times New Roman" w:hAnsi="Times New Roman" w:cs="Times New Roman"/>
                <w:b/>
                <w:sz w:val="24"/>
                <w:szCs w:val="24"/>
              </w:rPr>
              <w:t>1.tabula</w:t>
            </w:r>
          </w:p>
          <w:p w14:paraId="1A679598" w14:textId="77777777" w:rsidR="002929D9" w:rsidRPr="00976BB3" w:rsidRDefault="002929D9" w:rsidP="002929D9">
            <w:pPr>
              <w:spacing w:after="0" w:line="240" w:lineRule="auto"/>
              <w:ind w:left="57"/>
              <w:jc w:val="center"/>
              <w:rPr>
                <w:rFonts w:ascii="Times New Roman" w:hAnsi="Times New Roman" w:cs="Times New Roman"/>
                <w:color w:val="808080" w:themeColor="background1" w:themeShade="80"/>
                <w:sz w:val="24"/>
                <w:szCs w:val="24"/>
              </w:rPr>
            </w:pPr>
            <w:r w:rsidRPr="00BB522D">
              <w:rPr>
                <w:rFonts w:ascii="Times New Roman" w:hAnsi="Times New Roman" w:cs="Times New Roman"/>
                <w:b/>
                <w:sz w:val="24"/>
                <w:szCs w:val="24"/>
              </w:rPr>
              <w:t>Tiesību akta projekta atbilstība ES tiesību aktiem</w:t>
            </w:r>
          </w:p>
        </w:tc>
      </w:tr>
      <w:tr w:rsidR="00976BB3" w:rsidRPr="00976BB3" w14:paraId="09F7CEE0" w14:textId="77777777" w:rsidTr="002929D9">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E83BEE9" w14:textId="77777777" w:rsidR="002929D9" w:rsidRPr="00BB522D" w:rsidRDefault="002929D9" w:rsidP="002929D9">
            <w:pPr>
              <w:spacing w:after="0" w:line="240" w:lineRule="auto"/>
              <w:ind w:left="57"/>
              <w:rPr>
                <w:rFonts w:ascii="Times New Roman" w:hAnsi="Times New Roman" w:cs="Times New Roman"/>
                <w:sz w:val="24"/>
                <w:szCs w:val="24"/>
              </w:rPr>
            </w:pPr>
            <w:r w:rsidRPr="00BB522D">
              <w:rPr>
                <w:rFonts w:ascii="Times New Roman" w:hAnsi="Times New Roman" w:cs="Times New Roman"/>
                <w:sz w:val="24"/>
                <w:szCs w:val="24"/>
              </w:rPr>
              <w:t>Attiecīgā ES tiesību akta datums, numurs un nosaukums</w:t>
            </w:r>
          </w:p>
        </w:tc>
        <w:tc>
          <w:tcPr>
            <w:tcW w:w="7332" w:type="dxa"/>
            <w:gridSpan w:val="4"/>
            <w:tcBorders>
              <w:top w:val="outset" w:sz="6" w:space="0" w:color="auto"/>
              <w:left w:val="outset" w:sz="6" w:space="0" w:color="auto"/>
              <w:bottom w:val="outset" w:sz="6" w:space="0" w:color="auto"/>
              <w:right w:val="outset" w:sz="6" w:space="0" w:color="auto"/>
            </w:tcBorders>
          </w:tcPr>
          <w:p w14:paraId="3F3FB461" w14:textId="1DD8F2BC" w:rsidR="002929D9" w:rsidRPr="00C60066" w:rsidRDefault="00D85B77" w:rsidP="00D85B77">
            <w:pPr>
              <w:spacing w:after="0" w:line="240" w:lineRule="auto"/>
              <w:ind w:left="57"/>
              <w:jc w:val="both"/>
              <w:rPr>
                <w:rFonts w:ascii="Times New Roman" w:hAnsi="Times New Roman" w:cs="Times New Roman"/>
                <w:sz w:val="24"/>
                <w:szCs w:val="24"/>
              </w:rPr>
            </w:pPr>
            <w:r w:rsidRPr="00D85B77">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tc>
      </w:tr>
      <w:tr w:rsidR="00976BB3" w:rsidRPr="00976BB3" w14:paraId="5E87993C" w14:textId="77777777" w:rsidTr="002929D9">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02C80E7E" w14:textId="77777777" w:rsidR="002929D9" w:rsidRPr="00BB522D" w:rsidRDefault="002929D9" w:rsidP="002929D9">
            <w:pPr>
              <w:spacing w:after="0" w:line="240" w:lineRule="auto"/>
              <w:ind w:left="57"/>
              <w:jc w:val="center"/>
              <w:rPr>
                <w:rFonts w:ascii="Times New Roman" w:hAnsi="Times New Roman" w:cs="Times New Roman"/>
                <w:sz w:val="24"/>
                <w:szCs w:val="24"/>
              </w:rPr>
            </w:pPr>
            <w:r w:rsidRPr="00BB522D">
              <w:rPr>
                <w:rFonts w:ascii="Times New Roman" w:hAnsi="Times New Roman" w:cs="Times New Roman"/>
                <w:sz w:val="24"/>
                <w:szCs w:val="24"/>
              </w:rPr>
              <w:t>A</w:t>
            </w:r>
          </w:p>
        </w:tc>
        <w:tc>
          <w:tcPr>
            <w:tcW w:w="2090" w:type="dxa"/>
            <w:gridSpan w:val="2"/>
            <w:tcBorders>
              <w:top w:val="outset" w:sz="6" w:space="0" w:color="auto"/>
              <w:left w:val="outset" w:sz="6" w:space="0" w:color="auto"/>
              <w:bottom w:val="outset" w:sz="6" w:space="0" w:color="auto"/>
              <w:right w:val="outset" w:sz="6" w:space="0" w:color="auto"/>
            </w:tcBorders>
            <w:vAlign w:val="center"/>
          </w:tcPr>
          <w:p w14:paraId="4FE0A435" w14:textId="77777777" w:rsidR="002929D9" w:rsidRPr="00BB522D" w:rsidRDefault="002929D9" w:rsidP="002929D9">
            <w:pPr>
              <w:spacing w:after="0" w:line="240" w:lineRule="auto"/>
              <w:ind w:left="57"/>
              <w:jc w:val="center"/>
              <w:rPr>
                <w:rFonts w:ascii="Times New Roman" w:hAnsi="Times New Roman" w:cs="Times New Roman"/>
                <w:sz w:val="24"/>
                <w:szCs w:val="24"/>
              </w:rPr>
            </w:pPr>
            <w:r w:rsidRPr="00BB522D">
              <w:rPr>
                <w:rFonts w:ascii="Times New Roman" w:hAnsi="Times New Roman" w:cs="Times New Roman"/>
                <w:sz w:val="24"/>
                <w:szCs w:val="24"/>
              </w:rPr>
              <w:t>B</w:t>
            </w:r>
          </w:p>
        </w:tc>
        <w:tc>
          <w:tcPr>
            <w:tcW w:w="2657" w:type="dxa"/>
            <w:tcBorders>
              <w:top w:val="outset" w:sz="6" w:space="0" w:color="auto"/>
              <w:left w:val="outset" w:sz="6" w:space="0" w:color="auto"/>
              <w:bottom w:val="outset" w:sz="6" w:space="0" w:color="auto"/>
              <w:right w:val="outset" w:sz="6" w:space="0" w:color="auto"/>
            </w:tcBorders>
            <w:vAlign w:val="center"/>
          </w:tcPr>
          <w:p w14:paraId="78085414" w14:textId="77777777" w:rsidR="002929D9" w:rsidRPr="00BB522D" w:rsidRDefault="002929D9" w:rsidP="002929D9">
            <w:pPr>
              <w:spacing w:after="0" w:line="240" w:lineRule="auto"/>
              <w:ind w:left="57"/>
              <w:jc w:val="center"/>
              <w:rPr>
                <w:rFonts w:ascii="Times New Roman" w:hAnsi="Times New Roman" w:cs="Times New Roman"/>
                <w:sz w:val="24"/>
                <w:szCs w:val="24"/>
              </w:rPr>
            </w:pPr>
            <w:r w:rsidRPr="00BB522D">
              <w:rPr>
                <w:rFonts w:ascii="Times New Roman" w:hAnsi="Times New Roman" w:cs="Times New Roman"/>
                <w:sz w:val="24"/>
                <w:szCs w:val="24"/>
              </w:rPr>
              <w:t>C</w:t>
            </w:r>
          </w:p>
        </w:tc>
        <w:tc>
          <w:tcPr>
            <w:tcW w:w="2585" w:type="dxa"/>
            <w:tcBorders>
              <w:top w:val="outset" w:sz="6" w:space="0" w:color="auto"/>
              <w:left w:val="outset" w:sz="6" w:space="0" w:color="auto"/>
              <w:bottom w:val="outset" w:sz="6" w:space="0" w:color="auto"/>
              <w:right w:val="outset" w:sz="6" w:space="0" w:color="auto"/>
            </w:tcBorders>
            <w:vAlign w:val="center"/>
          </w:tcPr>
          <w:p w14:paraId="728E7767" w14:textId="77777777" w:rsidR="002929D9" w:rsidRPr="00BB522D" w:rsidRDefault="002929D9" w:rsidP="002929D9">
            <w:pPr>
              <w:spacing w:after="0" w:line="240" w:lineRule="auto"/>
              <w:ind w:left="57"/>
              <w:jc w:val="center"/>
              <w:rPr>
                <w:rFonts w:ascii="Times New Roman" w:hAnsi="Times New Roman" w:cs="Times New Roman"/>
                <w:sz w:val="24"/>
                <w:szCs w:val="24"/>
              </w:rPr>
            </w:pPr>
            <w:r w:rsidRPr="00BB522D">
              <w:rPr>
                <w:rFonts w:ascii="Times New Roman" w:hAnsi="Times New Roman" w:cs="Times New Roman"/>
                <w:sz w:val="24"/>
                <w:szCs w:val="24"/>
              </w:rPr>
              <w:t>D</w:t>
            </w:r>
          </w:p>
        </w:tc>
      </w:tr>
      <w:tr w:rsidR="00274B94" w:rsidRPr="00976BB3" w14:paraId="341B2751" w14:textId="77777777" w:rsidTr="002929D9">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30E8584" w14:textId="77777777" w:rsidR="00274B94" w:rsidRPr="00D85B77" w:rsidRDefault="00274B94" w:rsidP="00C60066">
            <w:pPr>
              <w:spacing w:after="0" w:line="240" w:lineRule="auto"/>
              <w:ind w:left="57"/>
              <w:rPr>
                <w:rFonts w:ascii="Times New Roman" w:hAnsi="Times New Roman" w:cs="Times New Roman"/>
                <w:spacing w:val="-2"/>
                <w:sz w:val="24"/>
                <w:szCs w:val="24"/>
              </w:rPr>
            </w:pPr>
            <w:r w:rsidRPr="00D85B77">
              <w:rPr>
                <w:rFonts w:ascii="Times New Roman" w:hAnsi="Times New Roman" w:cs="Times New Roman"/>
                <w:sz w:val="24"/>
                <w:szCs w:val="28"/>
              </w:rPr>
              <w:lastRenderedPageBreak/>
              <w:t>Regula</w:t>
            </w:r>
            <w:r w:rsidR="00C60066" w:rsidRPr="00D85B77">
              <w:rPr>
                <w:rFonts w:ascii="Times New Roman" w:hAnsi="Times New Roman" w:cs="Times New Roman"/>
                <w:sz w:val="24"/>
                <w:szCs w:val="28"/>
              </w:rPr>
              <w:t xml:space="preserve">s 127.pants </w:t>
            </w:r>
          </w:p>
        </w:tc>
        <w:tc>
          <w:tcPr>
            <w:tcW w:w="2090" w:type="dxa"/>
            <w:gridSpan w:val="2"/>
            <w:tcBorders>
              <w:top w:val="outset" w:sz="6" w:space="0" w:color="auto"/>
              <w:left w:val="outset" w:sz="6" w:space="0" w:color="auto"/>
              <w:bottom w:val="outset" w:sz="6" w:space="0" w:color="auto"/>
              <w:right w:val="outset" w:sz="6" w:space="0" w:color="auto"/>
            </w:tcBorders>
          </w:tcPr>
          <w:p w14:paraId="2F24CFF4" w14:textId="77777777" w:rsidR="00274B94" w:rsidRPr="00274B94" w:rsidRDefault="00274B94" w:rsidP="00274B94">
            <w:pPr>
              <w:spacing w:before="100" w:beforeAutospacing="1" w:after="100" w:afterAutospacing="1"/>
              <w:rPr>
                <w:rFonts w:ascii="Times New Roman" w:hAnsi="Times New Roman" w:cs="Times New Roman"/>
                <w:sz w:val="24"/>
                <w:szCs w:val="24"/>
              </w:rPr>
            </w:pPr>
            <w:r w:rsidRPr="00274B94">
              <w:rPr>
                <w:rFonts w:ascii="Times New Roman" w:hAnsi="Times New Roman" w:cs="Times New Roman"/>
                <w:sz w:val="24"/>
                <w:szCs w:val="24"/>
              </w:rPr>
              <w:t>Viss projekts.</w:t>
            </w:r>
          </w:p>
        </w:tc>
        <w:tc>
          <w:tcPr>
            <w:tcW w:w="2657" w:type="dxa"/>
            <w:tcBorders>
              <w:top w:val="outset" w:sz="6" w:space="0" w:color="auto"/>
              <w:left w:val="outset" w:sz="6" w:space="0" w:color="auto"/>
              <w:bottom w:val="outset" w:sz="6" w:space="0" w:color="auto"/>
              <w:right w:val="outset" w:sz="6" w:space="0" w:color="auto"/>
            </w:tcBorders>
          </w:tcPr>
          <w:p w14:paraId="324A838E" w14:textId="77777777" w:rsidR="00274B94" w:rsidRDefault="00274B94" w:rsidP="00C60066">
            <w:pPr>
              <w:spacing w:after="0" w:line="240" w:lineRule="auto"/>
              <w:rPr>
                <w:rFonts w:ascii="Times New Roman" w:hAnsi="Times New Roman" w:cs="Times New Roman"/>
                <w:sz w:val="24"/>
                <w:szCs w:val="24"/>
              </w:rPr>
            </w:pPr>
            <w:r w:rsidRPr="00274B94">
              <w:rPr>
                <w:rFonts w:ascii="Times New Roman" w:hAnsi="Times New Roman" w:cs="Times New Roman"/>
                <w:sz w:val="24"/>
                <w:szCs w:val="24"/>
              </w:rPr>
              <w:t>A ailē minētās ES tiesību akta vienības tiek ieviestas pilnībā.</w:t>
            </w:r>
          </w:p>
          <w:p w14:paraId="6FA5B619" w14:textId="77777777" w:rsidR="00C60066" w:rsidRPr="00274B94" w:rsidRDefault="00C60066" w:rsidP="00C60066">
            <w:pPr>
              <w:spacing w:after="0" w:line="240" w:lineRule="auto"/>
              <w:rPr>
                <w:rFonts w:ascii="Times New Roman" w:hAnsi="Times New Roman" w:cs="Times New Roman"/>
                <w:sz w:val="24"/>
                <w:szCs w:val="24"/>
              </w:rPr>
            </w:pPr>
          </w:p>
          <w:p w14:paraId="4347E347" w14:textId="77777777" w:rsidR="00274B94" w:rsidRPr="00274B94" w:rsidRDefault="00274B94" w:rsidP="00C60066">
            <w:pPr>
              <w:spacing w:after="0" w:line="240" w:lineRule="auto"/>
              <w:rPr>
                <w:rFonts w:ascii="Times New Roman" w:hAnsi="Times New Roman" w:cs="Times New Roman"/>
                <w:sz w:val="24"/>
                <w:szCs w:val="24"/>
              </w:rPr>
            </w:pPr>
            <w:r w:rsidRPr="00274B94">
              <w:rPr>
                <w:rFonts w:ascii="Times New Roman" w:hAnsi="Times New Roman" w:cs="Times New Roman"/>
                <w:sz w:val="24"/>
                <w:szCs w:val="24"/>
              </w:rPr>
              <w:t>Finanšu ministrija ir institūcija, kas ir atbildīga par šo saistību izpildi pilnībā</w:t>
            </w:r>
            <w:r>
              <w:rPr>
                <w:rFonts w:ascii="Times New Roman" w:hAnsi="Times New Roman" w:cs="Times New Roman"/>
                <w:sz w:val="24"/>
                <w:szCs w:val="24"/>
              </w:rPr>
              <w:t>.</w:t>
            </w:r>
          </w:p>
        </w:tc>
        <w:tc>
          <w:tcPr>
            <w:tcW w:w="2585" w:type="dxa"/>
            <w:tcBorders>
              <w:top w:val="outset" w:sz="6" w:space="0" w:color="auto"/>
              <w:left w:val="outset" w:sz="6" w:space="0" w:color="auto"/>
              <w:bottom w:val="outset" w:sz="6" w:space="0" w:color="auto"/>
              <w:right w:val="outset" w:sz="6" w:space="0" w:color="auto"/>
            </w:tcBorders>
          </w:tcPr>
          <w:p w14:paraId="37E700EC" w14:textId="77777777" w:rsidR="00274B94" w:rsidRPr="00274B94" w:rsidRDefault="00274B94" w:rsidP="00C60066">
            <w:pPr>
              <w:spacing w:after="0" w:line="240" w:lineRule="auto"/>
              <w:rPr>
                <w:rFonts w:ascii="Times New Roman" w:hAnsi="Times New Roman" w:cs="Times New Roman"/>
                <w:sz w:val="24"/>
                <w:szCs w:val="24"/>
              </w:rPr>
            </w:pPr>
            <w:r w:rsidRPr="00274B94">
              <w:rPr>
                <w:rFonts w:ascii="Times New Roman" w:hAnsi="Times New Roman" w:cs="Times New Roman"/>
                <w:sz w:val="24"/>
                <w:szCs w:val="24"/>
              </w:rPr>
              <w:t>Šīs tabulas B ailē minētās projekta vienības neparedz stingrākas prasības nekā šīs tabulas A ailē minētās ES tiesību akta vienības.</w:t>
            </w:r>
          </w:p>
        </w:tc>
      </w:tr>
      <w:tr w:rsidR="00976BB3" w:rsidRPr="00976BB3" w14:paraId="037243A4" w14:textId="77777777" w:rsidTr="002929D9">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0C01024" w14:textId="77777777" w:rsidR="002929D9" w:rsidRPr="00CD520B" w:rsidRDefault="002929D9" w:rsidP="002929D9">
            <w:pPr>
              <w:spacing w:after="0" w:line="240" w:lineRule="auto"/>
              <w:ind w:left="57"/>
              <w:rPr>
                <w:rFonts w:ascii="Times New Roman" w:hAnsi="Times New Roman" w:cs="Times New Roman"/>
                <w:spacing w:val="-3"/>
                <w:sz w:val="24"/>
                <w:szCs w:val="24"/>
              </w:rPr>
            </w:pPr>
            <w:r w:rsidRPr="00CD520B">
              <w:rPr>
                <w:rFonts w:ascii="Times New Roman" w:hAnsi="Times New Roman" w:cs="Times New Roman"/>
                <w:spacing w:val="-3"/>
                <w:sz w:val="24"/>
                <w:szCs w:val="24"/>
              </w:rPr>
              <w:t>Kā ir izmantota ES tiesību aktā paredzētā rīcības brīvība dalīb</w:t>
            </w:r>
            <w:r w:rsidRPr="00CD520B">
              <w:rPr>
                <w:rFonts w:ascii="Times New Roman" w:hAnsi="Times New Roman" w:cs="Times New Roman"/>
                <w:spacing w:val="-3"/>
                <w:sz w:val="24"/>
                <w:szCs w:val="24"/>
              </w:rPr>
              <w:softHyphen/>
              <w:t>valstij pārņemt vai ieviest noteiktas ES tiesību akta normas?</w:t>
            </w:r>
          </w:p>
          <w:p w14:paraId="3337F405" w14:textId="77777777" w:rsidR="002929D9" w:rsidRPr="00CD520B" w:rsidRDefault="002929D9" w:rsidP="002929D9">
            <w:pPr>
              <w:spacing w:after="0" w:line="240" w:lineRule="auto"/>
              <w:ind w:left="57"/>
              <w:rPr>
                <w:rFonts w:ascii="Times New Roman" w:hAnsi="Times New Roman" w:cs="Times New Roman"/>
                <w:spacing w:val="-3"/>
                <w:sz w:val="24"/>
                <w:szCs w:val="24"/>
              </w:rPr>
            </w:pPr>
            <w:r w:rsidRPr="00CD520B">
              <w:rPr>
                <w:rFonts w:ascii="Times New Roman" w:hAnsi="Times New Roman" w:cs="Times New Roman"/>
                <w:spacing w:val="-3"/>
                <w:sz w:val="24"/>
                <w:szCs w:val="24"/>
              </w:rPr>
              <w:t>Kādēļ?</w:t>
            </w:r>
          </w:p>
        </w:tc>
        <w:tc>
          <w:tcPr>
            <w:tcW w:w="7332" w:type="dxa"/>
            <w:gridSpan w:val="4"/>
            <w:tcBorders>
              <w:top w:val="outset" w:sz="6" w:space="0" w:color="auto"/>
              <w:left w:val="outset" w:sz="6" w:space="0" w:color="auto"/>
              <w:bottom w:val="outset" w:sz="6" w:space="0" w:color="auto"/>
              <w:right w:val="outset" w:sz="6" w:space="0" w:color="auto"/>
            </w:tcBorders>
          </w:tcPr>
          <w:p w14:paraId="04992D7A" w14:textId="77777777" w:rsidR="002929D9" w:rsidRPr="00CD520B" w:rsidRDefault="002929D9" w:rsidP="002929D9">
            <w:pPr>
              <w:spacing w:after="0" w:line="240" w:lineRule="auto"/>
              <w:ind w:left="57"/>
              <w:rPr>
                <w:rFonts w:ascii="Times New Roman" w:hAnsi="Times New Roman" w:cs="Times New Roman"/>
                <w:sz w:val="24"/>
                <w:szCs w:val="24"/>
              </w:rPr>
            </w:pPr>
            <w:r w:rsidRPr="00CD520B">
              <w:rPr>
                <w:rFonts w:ascii="Times New Roman" w:hAnsi="Times New Roman" w:cs="Times New Roman"/>
                <w:sz w:val="24"/>
                <w:szCs w:val="24"/>
              </w:rPr>
              <w:t>Projekts šo jomu neskar.</w:t>
            </w:r>
          </w:p>
        </w:tc>
      </w:tr>
      <w:tr w:rsidR="00976BB3" w:rsidRPr="00976BB3" w14:paraId="3A888527" w14:textId="77777777" w:rsidTr="002929D9">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199A565" w14:textId="77777777" w:rsidR="002929D9" w:rsidRPr="00563A31" w:rsidRDefault="002929D9" w:rsidP="002929D9">
            <w:pPr>
              <w:spacing w:after="0" w:line="240" w:lineRule="auto"/>
              <w:ind w:left="57"/>
              <w:rPr>
                <w:rFonts w:ascii="Times New Roman" w:hAnsi="Times New Roman" w:cs="Times New Roman"/>
                <w:spacing w:val="-3"/>
                <w:sz w:val="24"/>
                <w:szCs w:val="24"/>
              </w:rPr>
            </w:pPr>
            <w:r w:rsidRPr="00563A31">
              <w:rPr>
                <w:rFonts w:ascii="Times New Roman" w:hAnsi="Times New Roman" w:cs="Times New Roman"/>
                <w:spacing w:val="-4"/>
                <w:sz w:val="24"/>
                <w:szCs w:val="24"/>
              </w:rPr>
              <w:t>Saistības sniegt paziņojumu ES insti</w:t>
            </w:r>
            <w:r w:rsidRPr="00563A31">
              <w:rPr>
                <w:rFonts w:ascii="Times New Roman" w:hAnsi="Times New Roman" w:cs="Times New Roman"/>
                <w:spacing w:val="-4"/>
                <w:sz w:val="24"/>
                <w:szCs w:val="24"/>
              </w:rPr>
              <w:softHyphen/>
              <w:t>tūcijām un ES dalīb</w:t>
            </w:r>
            <w:r w:rsidRPr="00563A31">
              <w:rPr>
                <w:rFonts w:ascii="Times New Roman" w:hAnsi="Times New Roman" w:cs="Times New Roman"/>
                <w:spacing w:val="-4"/>
                <w:sz w:val="24"/>
                <w:szCs w:val="24"/>
              </w:rPr>
              <w:softHyphen/>
              <w:t>valstīm atbilstoši normatīvajiem aktiem, kas regulē informā</w:t>
            </w:r>
            <w:r w:rsidRPr="00563A31">
              <w:rPr>
                <w:rFonts w:ascii="Times New Roman" w:hAnsi="Times New Roman" w:cs="Times New Roman"/>
                <w:spacing w:val="-4"/>
                <w:sz w:val="24"/>
                <w:szCs w:val="24"/>
              </w:rPr>
              <w:softHyphen/>
              <w:t>cijas sniegšanu par tehnisko noteikumu, valsts atbalsta piešķir</w:t>
            </w:r>
            <w:r w:rsidRPr="00563A31">
              <w:rPr>
                <w:rFonts w:ascii="Times New Roman" w:hAnsi="Times New Roman" w:cs="Times New Roman"/>
                <w:spacing w:val="-4"/>
                <w:sz w:val="24"/>
                <w:szCs w:val="24"/>
              </w:rPr>
              <w:softHyphen/>
              <w:t>šanas un finanšu noteikumu (attiecībā uz monetāro politiku) projektiem</w:t>
            </w:r>
          </w:p>
        </w:tc>
        <w:tc>
          <w:tcPr>
            <w:tcW w:w="7332" w:type="dxa"/>
            <w:gridSpan w:val="4"/>
            <w:tcBorders>
              <w:top w:val="outset" w:sz="6" w:space="0" w:color="auto"/>
              <w:left w:val="outset" w:sz="6" w:space="0" w:color="auto"/>
              <w:bottom w:val="outset" w:sz="6" w:space="0" w:color="auto"/>
              <w:right w:val="outset" w:sz="6" w:space="0" w:color="auto"/>
            </w:tcBorders>
          </w:tcPr>
          <w:p w14:paraId="0E6B0416" w14:textId="77777777" w:rsidR="002929D9" w:rsidRPr="00563A31" w:rsidRDefault="002929D9" w:rsidP="002929D9">
            <w:pPr>
              <w:spacing w:after="0" w:line="240" w:lineRule="auto"/>
              <w:ind w:left="57"/>
              <w:rPr>
                <w:rFonts w:ascii="Times New Roman" w:hAnsi="Times New Roman" w:cs="Times New Roman"/>
                <w:sz w:val="24"/>
                <w:szCs w:val="24"/>
              </w:rPr>
            </w:pPr>
            <w:r w:rsidRPr="00563A31">
              <w:rPr>
                <w:rFonts w:ascii="Times New Roman" w:hAnsi="Times New Roman" w:cs="Times New Roman"/>
                <w:sz w:val="24"/>
                <w:szCs w:val="24"/>
              </w:rPr>
              <w:t>Projekts šo jomu neskar.</w:t>
            </w:r>
          </w:p>
        </w:tc>
      </w:tr>
      <w:tr w:rsidR="00976BB3" w:rsidRPr="00976BB3" w14:paraId="6B4F2CCB" w14:textId="77777777" w:rsidTr="002929D9">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268F5BF" w14:textId="77777777" w:rsidR="002929D9" w:rsidRPr="00CD520B" w:rsidRDefault="002929D9" w:rsidP="002929D9">
            <w:pPr>
              <w:spacing w:after="0" w:line="240" w:lineRule="auto"/>
              <w:ind w:left="57"/>
              <w:rPr>
                <w:rFonts w:ascii="Times New Roman" w:hAnsi="Times New Roman" w:cs="Times New Roman"/>
                <w:sz w:val="24"/>
                <w:szCs w:val="24"/>
              </w:rPr>
            </w:pPr>
            <w:r w:rsidRPr="00CD520B">
              <w:rPr>
                <w:rFonts w:ascii="Times New Roman" w:hAnsi="Times New Roman" w:cs="Times New Roman"/>
                <w:sz w:val="24"/>
                <w:szCs w:val="24"/>
              </w:rPr>
              <w:t>Cita informācija</w:t>
            </w:r>
          </w:p>
        </w:tc>
        <w:tc>
          <w:tcPr>
            <w:tcW w:w="7332" w:type="dxa"/>
            <w:gridSpan w:val="4"/>
            <w:tcBorders>
              <w:top w:val="outset" w:sz="6" w:space="0" w:color="auto"/>
              <w:left w:val="outset" w:sz="6" w:space="0" w:color="auto"/>
              <w:bottom w:val="outset" w:sz="6" w:space="0" w:color="auto"/>
              <w:right w:val="outset" w:sz="6" w:space="0" w:color="auto"/>
            </w:tcBorders>
          </w:tcPr>
          <w:p w14:paraId="2FA86C4A" w14:textId="77777777" w:rsidR="002929D9" w:rsidRPr="00CD520B" w:rsidRDefault="002929D9" w:rsidP="002929D9">
            <w:pPr>
              <w:spacing w:after="0" w:line="240" w:lineRule="auto"/>
              <w:ind w:left="57"/>
              <w:rPr>
                <w:rFonts w:ascii="Times New Roman" w:hAnsi="Times New Roman" w:cs="Times New Roman"/>
                <w:sz w:val="24"/>
                <w:szCs w:val="24"/>
              </w:rPr>
            </w:pPr>
            <w:r w:rsidRPr="00CD520B">
              <w:rPr>
                <w:rFonts w:ascii="Times New Roman" w:hAnsi="Times New Roman" w:cs="Times New Roman"/>
                <w:sz w:val="24"/>
                <w:szCs w:val="24"/>
              </w:rPr>
              <w:t>Nav</w:t>
            </w:r>
          </w:p>
        </w:tc>
      </w:tr>
      <w:tr w:rsidR="00976BB3" w:rsidRPr="00976BB3" w14:paraId="577D8224" w14:textId="77777777" w:rsidTr="002929D9">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577666C0" w14:textId="77777777" w:rsidR="002929D9" w:rsidRPr="00CD520B" w:rsidRDefault="002929D9" w:rsidP="002929D9">
            <w:pPr>
              <w:spacing w:after="0" w:line="240" w:lineRule="auto"/>
              <w:ind w:left="57"/>
              <w:jc w:val="center"/>
              <w:rPr>
                <w:rFonts w:ascii="Times New Roman" w:hAnsi="Times New Roman" w:cs="Times New Roman"/>
                <w:b/>
                <w:sz w:val="24"/>
                <w:szCs w:val="24"/>
              </w:rPr>
            </w:pPr>
            <w:r w:rsidRPr="00CD520B">
              <w:rPr>
                <w:rFonts w:ascii="Times New Roman" w:hAnsi="Times New Roman" w:cs="Times New Roman"/>
                <w:b/>
                <w:sz w:val="24"/>
                <w:szCs w:val="24"/>
              </w:rPr>
              <w:t>2.tabula</w:t>
            </w:r>
          </w:p>
          <w:p w14:paraId="7450A917" w14:textId="77777777" w:rsidR="002929D9" w:rsidRPr="00CD520B" w:rsidRDefault="002929D9" w:rsidP="002929D9">
            <w:pPr>
              <w:spacing w:after="0" w:line="240" w:lineRule="auto"/>
              <w:ind w:left="57"/>
              <w:jc w:val="center"/>
              <w:rPr>
                <w:rFonts w:ascii="Times New Roman" w:hAnsi="Times New Roman" w:cs="Times New Roman"/>
                <w:b/>
                <w:sz w:val="24"/>
                <w:szCs w:val="24"/>
              </w:rPr>
            </w:pPr>
            <w:r w:rsidRPr="00CD520B">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5573D349" w14:textId="77777777" w:rsidR="002929D9" w:rsidRPr="00CD520B" w:rsidRDefault="002929D9" w:rsidP="002929D9">
            <w:pPr>
              <w:spacing w:after="0" w:line="240" w:lineRule="auto"/>
              <w:ind w:left="57"/>
              <w:jc w:val="center"/>
              <w:rPr>
                <w:rFonts w:ascii="Times New Roman" w:hAnsi="Times New Roman" w:cs="Times New Roman"/>
                <w:b/>
                <w:sz w:val="24"/>
                <w:szCs w:val="24"/>
              </w:rPr>
            </w:pPr>
            <w:r w:rsidRPr="00CD520B">
              <w:rPr>
                <w:rFonts w:ascii="Times New Roman" w:hAnsi="Times New Roman" w:cs="Times New Roman"/>
                <w:b/>
                <w:sz w:val="24"/>
                <w:szCs w:val="24"/>
              </w:rPr>
              <w:t>Pasākumi šo saistību izpildei</w:t>
            </w:r>
          </w:p>
        </w:tc>
      </w:tr>
      <w:tr w:rsidR="009E32FB" w:rsidRPr="00976BB3" w14:paraId="2DCA7FD1" w14:textId="77777777" w:rsidTr="00B01AC5">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0144219F" w14:textId="77777777" w:rsidR="009E32FB" w:rsidRPr="00CD520B" w:rsidRDefault="009E32FB" w:rsidP="009E32FB">
            <w:pPr>
              <w:spacing w:after="0" w:line="240" w:lineRule="auto"/>
              <w:ind w:left="57"/>
              <w:jc w:val="center"/>
              <w:rPr>
                <w:rFonts w:ascii="Times New Roman" w:hAnsi="Times New Roman" w:cs="Times New Roman"/>
                <w:sz w:val="24"/>
                <w:szCs w:val="24"/>
              </w:rPr>
            </w:pPr>
            <w:r w:rsidRPr="00CD520B">
              <w:rPr>
                <w:rFonts w:ascii="Times New Roman" w:hAnsi="Times New Roman" w:cs="Times New Roman"/>
                <w:sz w:val="24"/>
                <w:szCs w:val="24"/>
              </w:rPr>
              <w:t>Projekts šo jomu neskar.</w:t>
            </w:r>
          </w:p>
        </w:tc>
      </w:tr>
    </w:tbl>
    <w:p w14:paraId="17457125" w14:textId="77777777" w:rsidR="002929D9" w:rsidRPr="00976BB3" w:rsidRDefault="002929D9" w:rsidP="002929D9">
      <w:pPr>
        <w:spacing w:after="0" w:line="240" w:lineRule="auto"/>
        <w:rPr>
          <w:rFonts w:ascii="Times New Roman" w:hAnsi="Times New Roman" w:cs="Times New Roman"/>
          <w:color w:val="808080" w:themeColor="background1" w:themeShade="80"/>
          <w:sz w:val="24"/>
          <w:szCs w:val="24"/>
        </w:rPr>
      </w:pPr>
    </w:p>
    <w:p w14:paraId="5E125AC0" w14:textId="77777777" w:rsidR="002929D9" w:rsidRPr="00976BB3" w:rsidDel="009D1634" w:rsidRDefault="002929D9" w:rsidP="002929D9">
      <w:pPr>
        <w:spacing w:after="0" w:line="240" w:lineRule="auto"/>
        <w:rPr>
          <w:rFonts w:ascii="Times New Roman" w:hAnsi="Times New Roman" w:cs="Times New Roman"/>
          <w:color w:val="808080" w:themeColor="background1" w:themeShade="80"/>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976BB3" w:rsidRPr="00976BB3" w14:paraId="3A098DBD" w14:textId="77777777" w:rsidTr="002929D9">
        <w:trPr>
          <w:trHeight w:val="421"/>
          <w:jc w:val="center"/>
        </w:trPr>
        <w:tc>
          <w:tcPr>
            <w:tcW w:w="9524" w:type="dxa"/>
            <w:gridSpan w:val="3"/>
            <w:vAlign w:val="center"/>
          </w:tcPr>
          <w:p w14:paraId="01306E71" w14:textId="77777777" w:rsidR="002929D9" w:rsidRPr="00CD520B" w:rsidRDefault="002929D9" w:rsidP="002929D9">
            <w:pPr>
              <w:pStyle w:val="naisnod"/>
              <w:spacing w:before="0" w:beforeAutospacing="0" w:after="0" w:afterAutospacing="0"/>
              <w:ind w:left="57" w:right="57"/>
              <w:jc w:val="center"/>
            </w:pPr>
            <w:r w:rsidRPr="00CD520B">
              <w:rPr>
                <w:b/>
              </w:rPr>
              <w:t>VI. Sabiedrības līdzdalība un komunikācijas aktivitātes</w:t>
            </w:r>
          </w:p>
        </w:tc>
      </w:tr>
      <w:tr w:rsidR="00976BB3" w:rsidRPr="00976BB3" w14:paraId="08844A0D" w14:textId="77777777" w:rsidTr="002929D9">
        <w:trPr>
          <w:trHeight w:val="553"/>
          <w:jc w:val="center"/>
        </w:trPr>
        <w:tc>
          <w:tcPr>
            <w:tcW w:w="476" w:type="dxa"/>
          </w:tcPr>
          <w:p w14:paraId="1B8F5757" w14:textId="77777777" w:rsidR="002929D9" w:rsidRPr="00CD520B" w:rsidRDefault="002929D9" w:rsidP="002929D9">
            <w:pPr>
              <w:spacing w:after="0" w:line="240" w:lineRule="auto"/>
              <w:ind w:left="57" w:right="57"/>
              <w:jc w:val="both"/>
              <w:rPr>
                <w:rFonts w:ascii="Times New Roman" w:hAnsi="Times New Roman" w:cs="Times New Roman"/>
                <w:bCs/>
                <w:sz w:val="24"/>
                <w:szCs w:val="24"/>
              </w:rPr>
            </w:pPr>
            <w:r w:rsidRPr="00CD520B">
              <w:rPr>
                <w:rFonts w:ascii="Times New Roman" w:hAnsi="Times New Roman" w:cs="Times New Roman"/>
                <w:bCs/>
                <w:sz w:val="24"/>
                <w:szCs w:val="24"/>
              </w:rPr>
              <w:t>1.</w:t>
            </w:r>
          </w:p>
        </w:tc>
        <w:tc>
          <w:tcPr>
            <w:tcW w:w="2842" w:type="dxa"/>
          </w:tcPr>
          <w:p w14:paraId="65167514" w14:textId="77777777" w:rsidR="002929D9" w:rsidRPr="00CD520B" w:rsidRDefault="002929D9" w:rsidP="002929D9">
            <w:pPr>
              <w:tabs>
                <w:tab w:val="left" w:pos="170"/>
              </w:tabs>
              <w:spacing w:after="0" w:line="240" w:lineRule="auto"/>
              <w:ind w:left="57" w:right="57"/>
              <w:rPr>
                <w:rFonts w:ascii="Times New Roman" w:hAnsi="Times New Roman" w:cs="Times New Roman"/>
                <w:sz w:val="24"/>
                <w:szCs w:val="24"/>
              </w:rPr>
            </w:pPr>
            <w:r w:rsidRPr="00CD520B">
              <w:rPr>
                <w:rFonts w:ascii="Times New Roman" w:hAnsi="Times New Roman" w:cs="Times New Roman"/>
                <w:sz w:val="24"/>
                <w:szCs w:val="24"/>
              </w:rPr>
              <w:t>Plānotās sabiedrības līdzdalības un komunikācijas aktivitātes saistībā ar projektu</w:t>
            </w:r>
          </w:p>
        </w:tc>
        <w:tc>
          <w:tcPr>
            <w:tcW w:w="6206" w:type="dxa"/>
          </w:tcPr>
          <w:p w14:paraId="29965D41" w14:textId="7D7D94C9" w:rsidR="009737D9" w:rsidRPr="00E12596" w:rsidRDefault="009E32FB" w:rsidP="00D85B77">
            <w:pPr>
              <w:shd w:val="clear" w:color="auto" w:fill="FFFFFF"/>
              <w:spacing w:after="0" w:line="240" w:lineRule="auto"/>
              <w:ind w:left="79"/>
              <w:jc w:val="both"/>
              <w:rPr>
                <w:rFonts w:ascii="Times New Roman" w:hAnsi="Times New Roman" w:cs="Times New Roman"/>
                <w:sz w:val="24"/>
                <w:szCs w:val="24"/>
              </w:rPr>
            </w:pPr>
            <w:bookmarkStart w:id="0" w:name="p61"/>
            <w:bookmarkEnd w:id="0"/>
            <w:r w:rsidRPr="00E12596">
              <w:rPr>
                <w:rFonts w:ascii="Times New Roman" w:hAnsi="Times New Roman" w:cs="Times New Roman"/>
                <w:sz w:val="24"/>
                <w:szCs w:val="24"/>
              </w:rPr>
              <w:t>Projekts regulē publiskās pārvaldes tiesiskās attiecības un attiecībā pret pr</w:t>
            </w:r>
            <w:r w:rsidR="009737D9" w:rsidRPr="00E12596">
              <w:rPr>
                <w:rFonts w:ascii="Times New Roman" w:hAnsi="Times New Roman" w:cs="Times New Roman"/>
                <w:sz w:val="24"/>
                <w:szCs w:val="24"/>
              </w:rPr>
              <w:t>ivāto sektoru izmaiņas neparedz, t</w:t>
            </w:r>
            <w:r w:rsidR="00E12596" w:rsidRPr="00E12596">
              <w:rPr>
                <w:rFonts w:ascii="Times New Roman" w:hAnsi="Times New Roman" w:cs="Times New Roman"/>
                <w:sz w:val="24"/>
                <w:szCs w:val="24"/>
              </w:rPr>
              <w:t>āpēc</w:t>
            </w:r>
            <w:r w:rsidR="009737D9" w:rsidRPr="00E12596">
              <w:rPr>
                <w:rFonts w:ascii="Times New Roman" w:hAnsi="Times New Roman" w:cs="Times New Roman"/>
                <w:sz w:val="24"/>
                <w:szCs w:val="24"/>
              </w:rPr>
              <w:t xml:space="preserve"> sabiedrības līdzdalība projekta izstrādē nav plānota. Sabiedrība var izteikt savus priekšlikumus MK noteikumu projekta izsludināšanas  laikā V</w:t>
            </w:r>
            <w:r w:rsidR="00D85B77">
              <w:rPr>
                <w:rFonts w:ascii="Times New Roman" w:hAnsi="Times New Roman" w:cs="Times New Roman"/>
                <w:sz w:val="24"/>
                <w:szCs w:val="24"/>
              </w:rPr>
              <w:t>alsts sekretāru sanāksmē</w:t>
            </w:r>
            <w:r w:rsidR="009737D9" w:rsidRPr="00E12596">
              <w:rPr>
                <w:rFonts w:ascii="Times New Roman" w:hAnsi="Times New Roman" w:cs="Times New Roman"/>
                <w:sz w:val="24"/>
                <w:szCs w:val="24"/>
              </w:rPr>
              <w:t>.</w:t>
            </w:r>
          </w:p>
        </w:tc>
      </w:tr>
      <w:tr w:rsidR="00224779" w:rsidRPr="00976BB3" w14:paraId="6A264B5E" w14:textId="77777777" w:rsidTr="002929D9">
        <w:trPr>
          <w:trHeight w:val="339"/>
          <w:jc w:val="center"/>
        </w:trPr>
        <w:tc>
          <w:tcPr>
            <w:tcW w:w="476" w:type="dxa"/>
          </w:tcPr>
          <w:p w14:paraId="56199A7B" w14:textId="77777777" w:rsidR="00224779" w:rsidRPr="00CD520B" w:rsidRDefault="00224779" w:rsidP="00224779">
            <w:pPr>
              <w:spacing w:after="0" w:line="240" w:lineRule="auto"/>
              <w:ind w:left="57" w:right="57"/>
              <w:jc w:val="both"/>
              <w:rPr>
                <w:rFonts w:ascii="Times New Roman" w:hAnsi="Times New Roman" w:cs="Times New Roman"/>
                <w:bCs/>
                <w:sz w:val="24"/>
                <w:szCs w:val="24"/>
              </w:rPr>
            </w:pPr>
            <w:r w:rsidRPr="00CD520B">
              <w:rPr>
                <w:rFonts w:ascii="Times New Roman" w:hAnsi="Times New Roman" w:cs="Times New Roman"/>
                <w:bCs/>
                <w:sz w:val="24"/>
                <w:szCs w:val="24"/>
              </w:rPr>
              <w:t>2.</w:t>
            </w:r>
          </w:p>
        </w:tc>
        <w:tc>
          <w:tcPr>
            <w:tcW w:w="2842" w:type="dxa"/>
          </w:tcPr>
          <w:p w14:paraId="2F483EA5" w14:textId="77777777" w:rsidR="00224779" w:rsidRPr="00CD520B" w:rsidRDefault="00224779" w:rsidP="00224779">
            <w:pPr>
              <w:spacing w:after="0" w:line="240" w:lineRule="auto"/>
              <w:ind w:left="57" w:right="57"/>
              <w:rPr>
                <w:rFonts w:ascii="Times New Roman" w:hAnsi="Times New Roman" w:cs="Times New Roman"/>
                <w:sz w:val="24"/>
                <w:szCs w:val="24"/>
              </w:rPr>
            </w:pPr>
            <w:r w:rsidRPr="00CD520B">
              <w:rPr>
                <w:rFonts w:ascii="Times New Roman" w:hAnsi="Times New Roman" w:cs="Times New Roman"/>
                <w:sz w:val="24"/>
                <w:szCs w:val="24"/>
              </w:rPr>
              <w:t>Sabiedrības līdzdalība projekta izstrādē</w:t>
            </w:r>
          </w:p>
        </w:tc>
        <w:tc>
          <w:tcPr>
            <w:tcW w:w="6206" w:type="dxa"/>
          </w:tcPr>
          <w:p w14:paraId="41DA2E12" w14:textId="5C393D93" w:rsidR="00224779" w:rsidRPr="00976BB3" w:rsidRDefault="00224779" w:rsidP="00224779">
            <w:pPr>
              <w:shd w:val="clear" w:color="auto" w:fill="FFFFFF"/>
              <w:spacing w:after="0" w:line="240" w:lineRule="auto"/>
              <w:ind w:left="79"/>
              <w:jc w:val="both"/>
              <w:rPr>
                <w:rFonts w:ascii="Times New Roman" w:hAnsi="Times New Roman" w:cs="Times New Roman"/>
                <w:color w:val="808080" w:themeColor="background1" w:themeShade="80"/>
                <w:sz w:val="24"/>
                <w:szCs w:val="24"/>
              </w:rPr>
            </w:pPr>
            <w:bookmarkStart w:id="1" w:name="p62"/>
            <w:bookmarkEnd w:id="1"/>
            <w:r w:rsidRPr="00563A31">
              <w:rPr>
                <w:rFonts w:ascii="Times New Roman" w:hAnsi="Times New Roman" w:cs="Times New Roman"/>
                <w:sz w:val="24"/>
                <w:szCs w:val="24"/>
              </w:rPr>
              <w:t>Projekts šo jomu neskar.</w:t>
            </w:r>
          </w:p>
        </w:tc>
      </w:tr>
      <w:tr w:rsidR="00224779" w:rsidRPr="00976BB3" w14:paraId="443E4CE8" w14:textId="77777777" w:rsidTr="002929D9">
        <w:trPr>
          <w:trHeight w:val="476"/>
          <w:jc w:val="center"/>
        </w:trPr>
        <w:tc>
          <w:tcPr>
            <w:tcW w:w="476" w:type="dxa"/>
          </w:tcPr>
          <w:p w14:paraId="5A2650DB" w14:textId="77777777" w:rsidR="00224779" w:rsidRPr="00CD520B" w:rsidRDefault="00224779" w:rsidP="00224779">
            <w:pPr>
              <w:spacing w:after="0" w:line="240" w:lineRule="auto"/>
              <w:ind w:left="57" w:right="57"/>
              <w:jc w:val="both"/>
              <w:rPr>
                <w:rFonts w:ascii="Times New Roman" w:hAnsi="Times New Roman" w:cs="Times New Roman"/>
                <w:bCs/>
                <w:sz w:val="24"/>
                <w:szCs w:val="24"/>
              </w:rPr>
            </w:pPr>
            <w:r w:rsidRPr="00CD520B">
              <w:rPr>
                <w:rFonts w:ascii="Times New Roman" w:hAnsi="Times New Roman" w:cs="Times New Roman"/>
                <w:bCs/>
                <w:sz w:val="24"/>
                <w:szCs w:val="24"/>
              </w:rPr>
              <w:t>3.</w:t>
            </w:r>
          </w:p>
        </w:tc>
        <w:tc>
          <w:tcPr>
            <w:tcW w:w="2842" w:type="dxa"/>
          </w:tcPr>
          <w:p w14:paraId="0AF8B721" w14:textId="77777777" w:rsidR="00224779" w:rsidRPr="00CD520B" w:rsidRDefault="00224779" w:rsidP="00224779">
            <w:pPr>
              <w:spacing w:after="0" w:line="240" w:lineRule="auto"/>
              <w:ind w:left="57" w:right="57"/>
              <w:rPr>
                <w:rFonts w:ascii="Times New Roman" w:hAnsi="Times New Roman" w:cs="Times New Roman"/>
                <w:sz w:val="24"/>
                <w:szCs w:val="24"/>
              </w:rPr>
            </w:pPr>
            <w:r w:rsidRPr="00CD520B">
              <w:rPr>
                <w:rFonts w:ascii="Times New Roman" w:hAnsi="Times New Roman" w:cs="Times New Roman"/>
                <w:sz w:val="24"/>
                <w:szCs w:val="24"/>
              </w:rPr>
              <w:t>Sabiedrības līdzdalības rezultāti</w:t>
            </w:r>
          </w:p>
        </w:tc>
        <w:tc>
          <w:tcPr>
            <w:tcW w:w="6206" w:type="dxa"/>
          </w:tcPr>
          <w:p w14:paraId="61B051C8" w14:textId="125F1C10" w:rsidR="00224779" w:rsidRPr="00224779" w:rsidRDefault="00224779" w:rsidP="00224779">
            <w:pPr>
              <w:shd w:val="clear" w:color="auto" w:fill="FFFFFF"/>
              <w:tabs>
                <w:tab w:val="left" w:pos="878"/>
              </w:tabs>
              <w:spacing w:after="120" w:line="240" w:lineRule="auto"/>
              <w:ind w:left="79"/>
              <w:jc w:val="both"/>
              <w:rPr>
                <w:rFonts w:ascii="Times New Roman" w:hAnsi="Times New Roman" w:cs="Times New Roman"/>
                <w:color w:val="808080" w:themeColor="background1" w:themeShade="80"/>
                <w:sz w:val="24"/>
                <w:szCs w:val="24"/>
              </w:rPr>
            </w:pPr>
            <w:r w:rsidRPr="00563A31">
              <w:rPr>
                <w:rFonts w:ascii="Times New Roman" w:hAnsi="Times New Roman" w:cs="Times New Roman"/>
                <w:sz w:val="24"/>
                <w:szCs w:val="24"/>
              </w:rPr>
              <w:t>Projekts šo jomu neskar.</w:t>
            </w:r>
          </w:p>
        </w:tc>
      </w:tr>
      <w:tr w:rsidR="009E32FB" w:rsidRPr="00976BB3" w14:paraId="1C88D56F" w14:textId="77777777" w:rsidTr="002929D9">
        <w:trPr>
          <w:trHeight w:val="476"/>
          <w:jc w:val="center"/>
        </w:trPr>
        <w:tc>
          <w:tcPr>
            <w:tcW w:w="476" w:type="dxa"/>
          </w:tcPr>
          <w:p w14:paraId="251945A9" w14:textId="77777777" w:rsidR="009E32FB" w:rsidRPr="00CD520B" w:rsidRDefault="009E32FB" w:rsidP="009E32FB">
            <w:pPr>
              <w:spacing w:after="0" w:line="240" w:lineRule="auto"/>
              <w:ind w:left="57" w:right="57"/>
              <w:jc w:val="both"/>
              <w:rPr>
                <w:rFonts w:ascii="Times New Roman" w:hAnsi="Times New Roman" w:cs="Times New Roman"/>
                <w:bCs/>
                <w:sz w:val="24"/>
                <w:szCs w:val="24"/>
              </w:rPr>
            </w:pPr>
            <w:r w:rsidRPr="00CD520B">
              <w:rPr>
                <w:rFonts w:ascii="Times New Roman" w:hAnsi="Times New Roman" w:cs="Times New Roman"/>
                <w:bCs/>
                <w:sz w:val="24"/>
                <w:szCs w:val="24"/>
              </w:rPr>
              <w:t>4.</w:t>
            </w:r>
          </w:p>
        </w:tc>
        <w:tc>
          <w:tcPr>
            <w:tcW w:w="2842" w:type="dxa"/>
          </w:tcPr>
          <w:p w14:paraId="55923504" w14:textId="77777777" w:rsidR="009E32FB" w:rsidRPr="00CD520B" w:rsidRDefault="009E32FB" w:rsidP="009E32FB">
            <w:pPr>
              <w:spacing w:after="0" w:line="240" w:lineRule="auto"/>
              <w:ind w:left="57" w:right="57"/>
              <w:rPr>
                <w:rFonts w:ascii="Times New Roman" w:hAnsi="Times New Roman" w:cs="Times New Roman"/>
                <w:sz w:val="24"/>
                <w:szCs w:val="24"/>
              </w:rPr>
            </w:pPr>
            <w:r w:rsidRPr="00CD520B">
              <w:rPr>
                <w:rFonts w:ascii="Times New Roman" w:hAnsi="Times New Roman" w:cs="Times New Roman"/>
                <w:sz w:val="24"/>
                <w:szCs w:val="24"/>
              </w:rPr>
              <w:t>Cita informācija</w:t>
            </w:r>
          </w:p>
        </w:tc>
        <w:tc>
          <w:tcPr>
            <w:tcW w:w="6206" w:type="dxa"/>
          </w:tcPr>
          <w:p w14:paraId="6508C560" w14:textId="77777777" w:rsidR="009E32FB" w:rsidRPr="00CD520B" w:rsidRDefault="009E32FB" w:rsidP="00224779">
            <w:pPr>
              <w:spacing w:after="0" w:line="240" w:lineRule="auto"/>
              <w:ind w:left="79" w:right="57"/>
              <w:jc w:val="both"/>
              <w:rPr>
                <w:rFonts w:ascii="Times New Roman" w:hAnsi="Times New Roman" w:cs="Times New Roman"/>
                <w:sz w:val="24"/>
                <w:szCs w:val="24"/>
              </w:rPr>
            </w:pPr>
            <w:r w:rsidRPr="00CD520B">
              <w:rPr>
                <w:rFonts w:ascii="Times New Roman" w:hAnsi="Times New Roman" w:cs="Times New Roman"/>
                <w:sz w:val="24"/>
                <w:szCs w:val="24"/>
              </w:rPr>
              <w:t>Nav</w:t>
            </w:r>
          </w:p>
        </w:tc>
      </w:tr>
    </w:tbl>
    <w:p w14:paraId="4870C9D5" w14:textId="77777777" w:rsidR="002929D9" w:rsidRPr="00976BB3" w:rsidRDefault="002929D9" w:rsidP="002929D9">
      <w:pPr>
        <w:spacing w:after="0" w:line="240" w:lineRule="auto"/>
        <w:rPr>
          <w:rFonts w:ascii="Times New Roman" w:hAnsi="Times New Roman" w:cs="Times New Roman"/>
          <w:color w:val="808080" w:themeColor="background1" w:themeShade="80"/>
          <w:sz w:val="24"/>
          <w:szCs w:val="24"/>
        </w:rPr>
      </w:pPr>
    </w:p>
    <w:p w14:paraId="3B197D0F" w14:textId="77777777" w:rsidR="002929D9" w:rsidRPr="00976BB3" w:rsidRDefault="002929D9" w:rsidP="002929D9">
      <w:pPr>
        <w:spacing w:after="0" w:line="240" w:lineRule="auto"/>
        <w:rPr>
          <w:rFonts w:ascii="Times New Roman" w:hAnsi="Times New Roman" w:cs="Times New Roman"/>
          <w:color w:val="808080" w:themeColor="background1" w:themeShade="80"/>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976BB3" w:rsidRPr="00976BB3" w14:paraId="299BB6CA" w14:textId="77777777" w:rsidTr="002929D9">
        <w:trPr>
          <w:trHeight w:val="381"/>
          <w:jc w:val="center"/>
        </w:trPr>
        <w:tc>
          <w:tcPr>
            <w:tcW w:w="9518" w:type="dxa"/>
            <w:gridSpan w:val="3"/>
            <w:vAlign w:val="center"/>
          </w:tcPr>
          <w:p w14:paraId="5BDF891B" w14:textId="77777777" w:rsidR="002929D9" w:rsidRPr="00CD520B" w:rsidRDefault="002929D9" w:rsidP="002929D9">
            <w:pPr>
              <w:pStyle w:val="naisnod"/>
              <w:spacing w:before="0" w:beforeAutospacing="0" w:after="0" w:afterAutospacing="0"/>
              <w:ind w:left="57" w:right="57"/>
              <w:jc w:val="center"/>
            </w:pPr>
            <w:r w:rsidRPr="00CD520B">
              <w:rPr>
                <w:b/>
              </w:rPr>
              <w:t>VII. Tiesību akta projekta izpildes nodrošināšana un tās ietekme uz institūcijām</w:t>
            </w:r>
          </w:p>
        </w:tc>
      </w:tr>
      <w:tr w:rsidR="00976BB3" w:rsidRPr="00976BB3" w14:paraId="239BB400" w14:textId="77777777" w:rsidTr="002929D9">
        <w:trPr>
          <w:trHeight w:val="427"/>
          <w:jc w:val="center"/>
        </w:trPr>
        <w:tc>
          <w:tcPr>
            <w:tcW w:w="437" w:type="dxa"/>
          </w:tcPr>
          <w:p w14:paraId="55C01F06" w14:textId="77777777" w:rsidR="002929D9" w:rsidRPr="00CD520B" w:rsidRDefault="002929D9" w:rsidP="002929D9">
            <w:pPr>
              <w:pStyle w:val="naisnod"/>
              <w:spacing w:before="0" w:beforeAutospacing="0" w:after="0" w:afterAutospacing="0"/>
              <w:ind w:left="57" w:right="57"/>
              <w:jc w:val="both"/>
            </w:pPr>
            <w:r w:rsidRPr="00CD520B">
              <w:t>1.</w:t>
            </w:r>
          </w:p>
        </w:tc>
        <w:tc>
          <w:tcPr>
            <w:tcW w:w="3615" w:type="dxa"/>
          </w:tcPr>
          <w:p w14:paraId="4673197F" w14:textId="77777777" w:rsidR="002929D9" w:rsidRPr="00CD520B" w:rsidRDefault="002929D9" w:rsidP="002929D9">
            <w:pPr>
              <w:pStyle w:val="naisf"/>
              <w:spacing w:before="0" w:beforeAutospacing="0" w:after="0" w:afterAutospacing="0"/>
              <w:ind w:left="57" w:right="57"/>
            </w:pPr>
            <w:r w:rsidRPr="00CD520B">
              <w:t>Projekta izpildē iesaistītās institūcijas</w:t>
            </w:r>
          </w:p>
        </w:tc>
        <w:tc>
          <w:tcPr>
            <w:tcW w:w="5466" w:type="dxa"/>
          </w:tcPr>
          <w:p w14:paraId="48A601B1" w14:textId="01F2527D" w:rsidR="002929D9" w:rsidRPr="00976BB3" w:rsidRDefault="002929D9" w:rsidP="00371C2A">
            <w:pPr>
              <w:shd w:val="clear" w:color="auto" w:fill="FFFFFF"/>
              <w:spacing w:after="0" w:line="240" w:lineRule="auto"/>
              <w:jc w:val="both"/>
              <w:rPr>
                <w:rFonts w:ascii="Times New Roman" w:hAnsi="Times New Roman" w:cs="Times New Roman"/>
                <w:color w:val="808080" w:themeColor="background1" w:themeShade="80"/>
                <w:sz w:val="24"/>
                <w:szCs w:val="24"/>
              </w:rPr>
            </w:pPr>
            <w:bookmarkStart w:id="2" w:name="p66"/>
            <w:bookmarkStart w:id="3" w:name="p67"/>
            <w:bookmarkStart w:id="4" w:name="p68"/>
            <w:bookmarkStart w:id="5" w:name="p69"/>
            <w:bookmarkEnd w:id="2"/>
            <w:bookmarkEnd w:id="3"/>
            <w:bookmarkEnd w:id="4"/>
            <w:bookmarkEnd w:id="5"/>
            <w:r w:rsidRPr="00224779">
              <w:rPr>
                <w:rFonts w:ascii="Times New Roman" w:hAnsi="Times New Roman" w:cs="Times New Roman"/>
                <w:sz w:val="24"/>
                <w:szCs w:val="24"/>
              </w:rPr>
              <w:t>Finanšu ministrija kā revīzijas iestāde</w:t>
            </w:r>
            <w:r w:rsidR="00224779" w:rsidRPr="00224779">
              <w:rPr>
                <w:rFonts w:ascii="Times New Roman" w:hAnsi="Times New Roman" w:cs="Times New Roman"/>
                <w:sz w:val="24"/>
                <w:szCs w:val="24"/>
              </w:rPr>
              <w:t xml:space="preserve"> un vadošā iestāde</w:t>
            </w:r>
            <w:r w:rsidRPr="00224779">
              <w:rPr>
                <w:rFonts w:ascii="Times New Roman" w:hAnsi="Times New Roman" w:cs="Times New Roman"/>
                <w:sz w:val="24"/>
                <w:szCs w:val="24"/>
              </w:rPr>
              <w:t xml:space="preserve">, Ekonomikas ministrija, Izglītības un zinātnes ministrija, Kultūras ministrija, Labklājības ministrija, Satiksmes ministrija, Tieslietu </w:t>
            </w:r>
            <w:r w:rsidRPr="00371C2A">
              <w:rPr>
                <w:rFonts w:ascii="Times New Roman" w:hAnsi="Times New Roman" w:cs="Times New Roman"/>
                <w:sz w:val="24"/>
                <w:szCs w:val="24"/>
              </w:rPr>
              <w:t>ministrija, Veselības ministrija, Vides aizsardzības un reģionālās attīstības ministrija</w:t>
            </w:r>
            <w:r w:rsidR="00371C2A" w:rsidRPr="00371C2A">
              <w:rPr>
                <w:rFonts w:ascii="Times New Roman" w:hAnsi="Times New Roman" w:cs="Times New Roman"/>
                <w:sz w:val="24"/>
                <w:szCs w:val="24"/>
              </w:rPr>
              <w:t>,</w:t>
            </w:r>
            <w:r w:rsidRPr="00371C2A">
              <w:rPr>
                <w:rFonts w:ascii="Times New Roman" w:hAnsi="Times New Roman" w:cs="Times New Roman"/>
                <w:sz w:val="24"/>
                <w:szCs w:val="24"/>
              </w:rPr>
              <w:t xml:space="preserve"> Zemkopības ministrija </w:t>
            </w:r>
            <w:r w:rsidR="00371C2A" w:rsidRPr="00371C2A">
              <w:rPr>
                <w:rFonts w:ascii="Times New Roman" w:hAnsi="Times New Roman" w:cs="Times New Roman"/>
                <w:sz w:val="24"/>
                <w:szCs w:val="24"/>
              </w:rPr>
              <w:t xml:space="preserve">un Valsts kanceleja </w:t>
            </w:r>
            <w:r w:rsidRPr="00371C2A">
              <w:rPr>
                <w:rFonts w:ascii="Times New Roman" w:hAnsi="Times New Roman" w:cs="Times New Roman"/>
                <w:sz w:val="24"/>
                <w:szCs w:val="24"/>
              </w:rPr>
              <w:t>kā atbildīgās iestādes, Centrālā finanšu un līgumu aģentūra</w:t>
            </w:r>
            <w:r w:rsidRPr="00224779">
              <w:rPr>
                <w:rFonts w:ascii="Times New Roman" w:hAnsi="Times New Roman" w:cs="Times New Roman"/>
                <w:sz w:val="24"/>
                <w:szCs w:val="24"/>
              </w:rPr>
              <w:t xml:space="preserve"> kā sadarbības iestāde, Valsts kase kā sertifikācijas iestāde, Iepirkuma uzraudzības birojs</w:t>
            </w:r>
            <w:r w:rsidR="00E12596">
              <w:rPr>
                <w:rFonts w:ascii="Times New Roman" w:hAnsi="Times New Roman" w:cs="Times New Roman"/>
                <w:color w:val="2E74B5" w:themeColor="accent1" w:themeShade="BF"/>
                <w:sz w:val="24"/>
                <w:szCs w:val="24"/>
              </w:rPr>
              <w:t>.</w:t>
            </w:r>
          </w:p>
        </w:tc>
      </w:tr>
      <w:tr w:rsidR="00D85B77" w:rsidRPr="00976BB3" w14:paraId="183DF555" w14:textId="77777777" w:rsidTr="002929D9">
        <w:trPr>
          <w:trHeight w:val="463"/>
          <w:jc w:val="center"/>
        </w:trPr>
        <w:tc>
          <w:tcPr>
            <w:tcW w:w="437" w:type="dxa"/>
          </w:tcPr>
          <w:p w14:paraId="27552F88" w14:textId="77777777" w:rsidR="00D85B77" w:rsidRPr="00CD520B" w:rsidRDefault="00D85B77" w:rsidP="00D85B77">
            <w:pPr>
              <w:pStyle w:val="naisnod"/>
              <w:spacing w:before="0" w:beforeAutospacing="0" w:after="0" w:afterAutospacing="0"/>
              <w:ind w:left="57" w:right="57"/>
              <w:jc w:val="both"/>
            </w:pPr>
            <w:r w:rsidRPr="00CD520B">
              <w:t>2.</w:t>
            </w:r>
          </w:p>
        </w:tc>
        <w:tc>
          <w:tcPr>
            <w:tcW w:w="3615" w:type="dxa"/>
          </w:tcPr>
          <w:p w14:paraId="0A0D2B7B" w14:textId="1FFA901C" w:rsidR="009505C9" w:rsidRDefault="00D85B77" w:rsidP="00D85B77">
            <w:pPr>
              <w:pStyle w:val="naisf"/>
              <w:spacing w:before="0" w:beforeAutospacing="0" w:after="0" w:afterAutospacing="0"/>
              <w:ind w:left="57" w:right="57"/>
            </w:pPr>
            <w:r w:rsidRPr="00CD520B">
              <w:t>Projekta izpildes ietekme uz pār</w:t>
            </w:r>
            <w:r w:rsidRPr="00CD520B">
              <w:softHyphen/>
              <w:t>valdes funkcijām un institucionālo struktūru.</w:t>
            </w:r>
          </w:p>
          <w:p w14:paraId="6A773BF0" w14:textId="7B43681C" w:rsidR="00D85B77" w:rsidRPr="009505C9" w:rsidRDefault="009505C9" w:rsidP="009505C9">
            <w:pPr>
              <w:tabs>
                <w:tab w:val="left" w:pos="999"/>
              </w:tabs>
            </w:pPr>
            <w:r>
              <w:tab/>
            </w:r>
          </w:p>
          <w:p w14:paraId="3649D491" w14:textId="77777777" w:rsidR="00D85B77" w:rsidRPr="00CD520B" w:rsidRDefault="00D85B77" w:rsidP="00D85B77">
            <w:pPr>
              <w:pStyle w:val="naisf"/>
              <w:spacing w:before="0" w:beforeAutospacing="0" w:after="0" w:afterAutospacing="0"/>
              <w:ind w:left="57" w:right="57"/>
            </w:pPr>
            <w:r w:rsidRPr="00CD520B">
              <w:t>Jaunu institūciju izveide, esošu institūciju likvidācija vai reorga</w:t>
            </w:r>
            <w:r w:rsidRPr="00CD520B">
              <w:softHyphen/>
              <w:t>nizācija, to ietekme uz institūcijas cilvēkresursiem.</w:t>
            </w:r>
          </w:p>
        </w:tc>
        <w:tc>
          <w:tcPr>
            <w:tcW w:w="5466" w:type="dxa"/>
          </w:tcPr>
          <w:p w14:paraId="038173A3" w14:textId="26C00302" w:rsidR="00D85B77" w:rsidRPr="00D85B77" w:rsidRDefault="00D85B77" w:rsidP="00D85B77">
            <w:pPr>
              <w:shd w:val="clear" w:color="auto" w:fill="FFFFFF"/>
              <w:spacing w:after="0" w:line="240" w:lineRule="auto"/>
              <w:ind w:right="57"/>
              <w:jc w:val="both"/>
              <w:rPr>
                <w:rFonts w:ascii="Times New Roman" w:hAnsi="Times New Roman" w:cs="Times New Roman"/>
                <w:color w:val="808080" w:themeColor="background1" w:themeShade="80"/>
                <w:sz w:val="24"/>
                <w:szCs w:val="24"/>
              </w:rPr>
            </w:pPr>
            <w:r w:rsidRPr="001A1164">
              <w:rPr>
                <w:rFonts w:ascii="Times New Roman" w:hAnsi="Times New Roman" w:cs="Times New Roman"/>
                <w:sz w:val="24"/>
              </w:rPr>
              <w:t>Jaunu institūciju izveide, esošu institūciju likvidācija vai reorga</w:t>
            </w:r>
            <w:r w:rsidRPr="001A1164">
              <w:rPr>
                <w:rFonts w:ascii="Times New Roman" w:hAnsi="Times New Roman" w:cs="Times New Roman"/>
                <w:sz w:val="24"/>
              </w:rPr>
              <w:softHyphen/>
              <w:t>nizācija nav paredzēta.</w:t>
            </w:r>
          </w:p>
        </w:tc>
      </w:tr>
      <w:tr w:rsidR="00D85B77" w:rsidRPr="00976BB3" w14:paraId="700FCA5B" w14:textId="77777777" w:rsidTr="002929D9">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BF96B70" w14:textId="77777777" w:rsidR="00D85B77" w:rsidRPr="00CD520B" w:rsidRDefault="00D85B77" w:rsidP="00D85B77">
            <w:pPr>
              <w:pStyle w:val="naisnod"/>
              <w:spacing w:before="0" w:beforeAutospacing="0" w:after="0" w:afterAutospacing="0"/>
              <w:ind w:left="57" w:right="57"/>
              <w:jc w:val="both"/>
            </w:pPr>
            <w:r w:rsidRPr="00CD520B">
              <w:t>3.</w:t>
            </w:r>
          </w:p>
        </w:tc>
        <w:tc>
          <w:tcPr>
            <w:tcW w:w="3615" w:type="dxa"/>
            <w:tcBorders>
              <w:top w:val="single" w:sz="4" w:space="0" w:color="auto"/>
              <w:left w:val="single" w:sz="4" w:space="0" w:color="auto"/>
              <w:bottom w:val="single" w:sz="4" w:space="0" w:color="auto"/>
              <w:right w:val="single" w:sz="4" w:space="0" w:color="auto"/>
            </w:tcBorders>
          </w:tcPr>
          <w:p w14:paraId="4A9B6BF2" w14:textId="77777777" w:rsidR="00D85B77" w:rsidRPr="00CD520B" w:rsidRDefault="00D85B77" w:rsidP="00D85B77">
            <w:pPr>
              <w:pStyle w:val="naisf"/>
              <w:spacing w:before="0" w:beforeAutospacing="0" w:after="0" w:afterAutospacing="0"/>
              <w:ind w:left="57" w:right="57"/>
            </w:pPr>
            <w:r w:rsidRPr="00CD520B">
              <w:t>Cita informācija</w:t>
            </w:r>
          </w:p>
        </w:tc>
        <w:tc>
          <w:tcPr>
            <w:tcW w:w="5466" w:type="dxa"/>
            <w:tcBorders>
              <w:top w:val="single" w:sz="4" w:space="0" w:color="auto"/>
              <w:left w:val="single" w:sz="4" w:space="0" w:color="auto"/>
              <w:bottom w:val="single" w:sz="4" w:space="0" w:color="auto"/>
              <w:right w:val="single" w:sz="4" w:space="0" w:color="auto"/>
            </w:tcBorders>
          </w:tcPr>
          <w:p w14:paraId="47890EF6" w14:textId="77777777" w:rsidR="00D85B77" w:rsidRPr="00CD520B" w:rsidRDefault="00D85B77" w:rsidP="00D85B77">
            <w:pPr>
              <w:spacing w:after="0" w:line="240" w:lineRule="auto"/>
              <w:ind w:left="57" w:right="57"/>
              <w:jc w:val="both"/>
              <w:rPr>
                <w:rFonts w:ascii="Times New Roman" w:hAnsi="Times New Roman" w:cs="Times New Roman"/>
                <w:sz w:val="24"/>
                <w:szCs w:val="24"/>
              </w:rPr>
            </w:pPr>
            <w:r w:rsidRPr="00CD520B">
              <w:rPr>
                <w:rFonts w:ascii="Times New Roman" w:hAnsi="Times New Roman" w:cs="Times New Roman"/>
                <w:sz w:val="24"/>
                <w:szCs w:val="24"/>
              </w:rPr>
              <w:t>Nav</w:t>
            </w:r>
          </w:p>
        </w:tc>
      </w:tr>
    </w:tbl>
    <w:p w14:paraId="048646C6" w14:textId="77777777" w:rsidR="00581D08" w:rsidRDefault="00581D08" w:rsidP="00581D08">
      <w:pPr>
        <w:pStyle w:val="naisf"/>
        <w:spacing w:before="0" w:beforeAutospacing="0" w:after="0" w:afterAutospacing="0"/>
        <w:rPr>
          <w:szCs w:val="28"/>
        </w:rPr>
      </w:pPr>
    </w:p>
    <w:p w14:paraId="71D6ABAF" w14:textId="77777777" w:rsidR="002D0F95" w:rsidRDefault="002D0F95" w:rsidP="00581D08">
      <w:pPr>
        <w:pStyle w:val="naisf"/>
        <w:spacing w:before="0" w:beforeAutospacing="0" w:after="0" w:afterAutospacing="0"/>
        <w:rPr>
          <w:szCs w:val="28"/>
        </w:rPr>
      </w:pPr>
    </w:p>
    <w:p w14:paraId="53854239" w14:textId="77777777" w:rsidR="002D0F95" w:rsidRDefault="002D0F95" w:rsidP="00581D08">
      <w:pPr>
        <w:pStyle w:val="naisf"/>
        <w:spacing w:before="0" w:beforeAutospacing="0" w:after="0" w:afterAutospacing="0"/>
        <w:rPr>
          <w:szCs w:val="28"/>
        </w:rPr>
      </w:pPr>
    </w:p>
    <w:p w14:paraId="1CAAA96C" w14:textId="77777777" w:rsidR="00087167" w:rsidRPr="00087167" w:rsidRDefault="00087167" w:rsidP="00581D08">
      <w:pPr>
        <w:pStyle w:val="naisf"/>
        <w:spacing w:before="0" w:beforeAutospacing="0" w:after="0" w:afterAutospacing="0"/>
        <w:rPr>
          <w:szCs w:val="28"/>
        </w:rPr>
      </w:pPr>
    </w:p>
    <w:p w14:paraId="17D77180" w14:textId="77777777" w:rsidR="00581D08" w:rsidRPr="00087167" w:rsidRDefault="00581D08" w:rsidP="00581D08">
      <w:pPr>
        <w:pStyle w:val="DefaultParagraphFont1"/>
        <w:jc w:val="both"/>
        <w:rPr>
          <w:sz w:val="24"/>
          <w:szCs w:val="24"/>
        </w:rPr>
      </w:pPr>
      <w:r w:rsidRPr="00087167">
        <w:rPr>
          <w:sz w:val="24"/>
          <w:szCs w:val="24"/>
        </w:rPr>
        <w:t>Finanšu ministra vietā –</w:t>
      </w:r>
    </w:p>
    <w:p w14:paraId="3F29FF9C" w14:textId="493FE1C8" w:rsidR="00581D08" w:rsidRPr="00087167" w:rsidRDefault="00581D08" w:rsidP="00581D08">
      <w:pPr>
        <w:pStyle w:val="DefaultParagraphFont1"/>
        <w:jc w:val="both"/>
        <w:rPr>
          <w:sz w:val="24"/>
          <w:szCs w:val="24"/>
        </w:rPr>
      </w:pPr>
      <w:proofErr w:type="spellStart"/>
      <w:r w:rsidRPr="00087167">
        <w:rPr>
          <w:sz w:val="24"/>
          <w:szCs w:val="24"/>
        </w:rPr>
        <w:t>iekšlietu</w:t>
      </w:r>
      <w:proofErr w:type="spellEnd"/>
      <w:r w:rsidRPr="00087167">
        <w:rPr>
          <w:sz w:val="24"/>
          <w:szCs w:val="24"/>
        </w:rPr>
        <w:t xml:space="preserve"> ministrs  </w:t>
      </w:r>
      <w:r w:rsidRPr="00087167">
        <w:rPr>
          <w:sz w:val="24"/>
          <w:szCs w:val="24"/>
        </w:rPr>
        <w:tab/>
      </w:r>
      <w:r w:rsidRPr="00087167">
        <w:rPr>
          <w:sz w:val="24"/>
          <w:szCs w:val="24"/>
        </w:rPr>
        <w:tab/>
      </w:r>
      <w:r w:rsidRPr="00087167">
        <w:rPr>
          <w:sz w:val="24"/>
          <w:szCs w:val="24"/>
        </w:rPr>
        <w:tab/>
      </w:r>
      <w:r w:rsidRPr="00087167">
        <w:rPr>
          <w:sz w:val="24"/>
          <w:szCs w:val="24"/>
        </w:rPr>
        <w:tab/>
      </w:r>
      <w:r w:rsidRPr="00087167">
        <w:rPr>
          <w:sz w:val="24"/>
          <w:szCs w:val="24"/>
        </w:rPr>
        <w:tab/>
      </w:r>
      <w:r w:rsidRPr="00087167">
        <w:rPr>
          <w:sz w:val="24"/>
          <w:szCs w:val="24"/>
        </w:rPr>
        <w:tab/>
      </w:r>
      <w:r w:rsidRPr="00087167">
        <w:rPr>
          <w:sz w:val="24"/>
          <w:szCs w:val="24"/>
        </w:rPr>
        <w:tab/>
      </w:r>
      <w:proofErr w:type="spellStart"/>
      <w:r w:rsidRPr="00087167">
        <w:rPr>
          <w:sz w:val="24"/>
          <w:szCs w:val="24"/>
        </w:rPr>
        <w:t>R.Kozlovskis</w:t>
      </w:r>
      <w:proofErr w:type="spellEnd"/>
    </w:p>
    <w:p w14:paraId="35DB3041" w14:textId="77777777" w:rsidR="00581D08" w:rsidRDefault="00581D08" w:rsidP="00581D08">
      <w:pPr>
        <w:pStyle w:val="naisf"/>
        <w:spacing w:before="0" w:beforeAutospacing="0" w:after="0" w:afterAutospacing="0"/>
        <w:rPr>
          <w:szCs w:val="28"/>
        </w:rPr>
      </w:pPr>
    </w:p>
    <w:p w14:paraId="3A4A630B" w14:textId="77777777" w:rsidR="002D0F95" w:rsidRDefault="002D0F95" w:rsidP="00581D08">
      <w:pPr>
        <w:pStyle w:val="naisf"/>
        <w:spacing w:before="0" w:beforeAutospacing="0" w:after="0" w:afterAutospacing="0"/>
        <w:rPr>
          <w:szCs w:val="28"/>
        </w:rPr>
      </w:pPr>
    </w:p>
    <w:p w14:paraId="52C66AC5" w14:textId="77777777" w:rsidR="002D0F95" w:rsidRDefault="002D0F95" w:rsidP="00581D08">
      <w:pPr>
        <w:pStyle w:val="naisf"/>
        <w:spacing w:before="0" w:beforeAutospacing="0" w:after="0" w:afterAutospacing="0"/>
        <w:rPr>
          <w:szCs w:val="28"/>
        </w:rPr>
      </w:pPr>
    </w:p>
    <w:p w14:paraId="20FAF63D" w14:textId="77777777" w:rsidR="002D0F95" w:rsidRDefault="002D0F95" w:rsidP="00581D08">
      <w:pPr>
        <w:pStyle w:val="naisf"/>
        <w:spacing w:before="0" w:beforeAutospacing="0" w:after="0" w:afterAutospacing="0"/>
        <w:rPr>
          <w:szCs w:val="28"/>
        </w:rPr>
      </w:pPr>
    </w:p>
    <w:p w14:paraId="56C54080" w14:textId="77777777" w:rsidR="002D0F95" w:rsidRDefault="002D0F95" w:rsidP="00581D08">
      <w:pPr>
        <w:pStyle w:val="naisf"/>
        <w:spacing w:before="0" w:beforeAutospacing="0" w:after="0" w:afterAutospacing="0"/>
        <w:rPr>
          <w:szCs w:val="28"/>
        </w:rPr>
      </w:pPr>
    </w:p>
    <w:p w14:paraId="68484D22" w14:textId="77777777" w:rsidR="002D0F95" w:rsidRDefault="002D0F95" w:rsidP="00581D08">
      <w:pPr>
        <w:pStyle w:val="naisf"/>
        <w:spacing w:before="0" w:beforeAutospacing="0" w:after="0" w:afterAutospacing="0"/>
        <w:rPr>
          <w:szCs w:val="28"/>
        </w:rPr>
      </w:pPr>
    </w:p>
    <w:p w14:paraId="38C3FB00" w14:textId="77777777" w:rsidR="002D0F95" w:rsidRPr="00CD520B" w:rsidRDefault="002D0F95" w:rsidP="00581D08">
      <w:pPr>
        <w:pStyle w:val="naisf"/>
        <w:spacing w:before="0" w:beforeAutospacing="0" w:after="0" w:afterAutospacing="0"/>
        <w:rPr>
          <w:szCs w:val="28"/>
        </w:rPr>
      </w:pPr>
    </w:p>
    <w:p w14:paraId="0F7647F8" w14:textId="2669034A" w:rsidR="002929D9" w:rsidRPr="00CD520B" w:rsidRDefault="00F97E72" w:rsidP="00581D08">
      <w:pPr>
        <w:pStyle w:val="Header"/>
        <w:rPr>
          <w:rFonts w:ascii="Times New Roman" w:hAnsi="Times New Roman" w:cs="Times New Roman"/>
          <w:sz w:val="20"/>
          <w:szCs w:val="20"/>
        </w:rPr>
      </w:pPr>
      <w:r>
        <w:rPr>
          <w:rFonts w:ascii="Times New Roman" w:hAnsi="Times New Roman" w:cs="Times New Roman"/>
          <w:sz w:val="20"/>
          <w:szCs w:val="20"/>
        </w:rPr>
        <w:t>2</w:t>
      </w:r>
      <w:r w:rsidR="0032539B">
        <w:rPr>
          <w:rFonts w:ascii="Times New Roman" w:hAnsi="Times New Roman" w:cs="Times New Roman"/>
          <w:sz w:val="20"/>
          <w:szCs w:val="20"/>
        </w:rPr>
        <w:t>8</w:t>
      </w:r>
      <w:r w:rsidR="002929D9" w:rsidRPr="00CD520B">
        <w:rPr>
          <w:rFonts w:ascii="Times New Roman" w:hAnsi="Times New Roman" w:cs="Times New Roman"/>
          <w:sz w:val="20"/>
          <w:szCs w:val="20"/>
        </w:rPr>
        <w:t>.</w:t>
      </w:r>
      <w:r w:rsidR="00DB01C0">
        <w:rPr>
          <w:rFonts w:ascii="Times New Roman" w:hAnsi="Times New Roman" w:cs="Times New Roman"/>
          <w:sz w:val="20"/>
          <w:szCs w:val="20"/>
        </w:rPr>
        <w:t>1</w:t>
      </w:r>
      <w:r w:rsidR="002929D9" w:rsidRPr="00CD520B">
        <w:rPr>
          <w:rFonts w:ascii="Times New Roman" w:hAnsi="Times New Roman" w:cs="Times New Roman"/>
          <w:sz w:val="20"/>
          <w:szCs w:val="20"/>
        </w:rPr>
        <w:t>0</w:t>
      </w:r>
      <w:r w:rsidR="0032539B">
        <w:rPr>
          <w:rFonts w:ascii="Times New Roman" w:hAnsi="Times New Roman" w:cs="Times New Roman"/>
          <w:sz w:val="20"/>
          <w:szCs w:val="20"/>
        </w:rPr>
        <w:t>.2014. 1</w:t>
      </w:r>
      <w:r w:rsidR="009943F3">
        <w:rPr>
          <w:rFonts w:ascii="Times New Roman" w:hAnsi="Times New Roman" w:cs="Times New Roman"/>
          <w:sz w:val="20"/>
          <w:szCs w:val="20"/>
        </w:rPr>
        <w:t>6</w:t>
      </w:r>
      <w:r w:rsidR="002929D9" w:rsidRPr="00CD520B">
        <w:rPr>
          <w:rFonts w:ascii="Times New Roman" w:hAnsi="Times New Roman" w:cs="Times New Roman"/>
          <w:sz w:val="20"/>
          <w:szCs w:val="20"/>
        </w:rPr>
        <w:t>:</w:t>
      </w:r>
      <w:r w:rsidR="00DB4E11">
        <w:rPr>
          <w:rFonts w:ascii="Times New Roman" w:hAnsi="Times New Roman" w:cs="Times New Roman"/>
          <w:sz w:val="20"/>
          <w:szCs w:val="20"/>
        </w:rPr>
        <w:t>1</w:t>
      </w:r>
      <w:r w:rsidR="002929D9" w:rsidRPr="00CD520B">
        <w:rPr>
          <w:rFonts w:ascii="Times New Roman" w:hAnsi="Times New Roman" w:cs="Times New Roman"/>
          <w:sz w:val="20"/>
          <w:szCs w:val="20"/>
        </w:rPr>
        <w:t>0</w:t>
      </w:r>
    </w:p>
    <w:p w14:paraId="47B39FE1" w14:textId="238B5132" w:rsidR="002929D9" w:rsidRPr="00E227B7" w:rsidRDefault="009943F3" w:rsidP="00581D08">
      <w:pPr>
        <w:pStyle w:val="Header"/>
        <w:tabs>
          <w:tab w:val="left" w:pos="5610"/>
        </w:tabs>
        <w:rPr>
          <w:rFonts w:ascii="Times New Roman" w:hAnsi="Times New Roman" w:cs="Times New Roman"/>
          <w:sz w:val="20"/>
          <w:szCs w:val="20"/>
        </w:rPr>
      </w:pPr>
      <w:r w:rsidRPr="009943F3">
        <w:rPr>
          <w:rFonts w:ascii="Times New Roman" w:hAnsi="Times New Roman" w:cs="Times New Roman"/>
          <w:sz w:val="20"/>
          <w:szCs w:val="20"/>
        </w:rPr>
        <w:t>1988</w:t>
      </w:r>
    </w:p>
    <w:p w14:paraId="510949B6" w14:textId="77777777" w:rsidR="00CD520B" w:rsidRPr="00CD520B" w:rsidRDefault="00CD520B" w:rsidP="00581D08">
      <w:pPr>
        <w:spacing w:after="0" w:line="240" w:lineRule="auto"/>
        <w:jc w:val="both"/>
        <w:rPr>
          <w:rFonts w:ascii="Times New Roman" w:hAnsi="Times New Roman" w:cs="Times New Roman"/>
          <w:sz w:val="20"/>
          <w:szCs w:val="20"/>
        </w:rPr>
      </w:pPr>
      <w:r w:rsidRPr="00CD520B">
        <w:rPr>
          <w:rFonts w:ascii="Times New Roman" w:hAnsi="Times New Roman" w:cs="Times New Roman"/>
          <w:sz w:val="20"/>
          <w:szCs w:val="20"/>
        </w:rPr>
        <w:t>Inese Brēmane</w:t>
      </w:r>
    </w:p>
    <w:p w14:paraId="6C5DB630" w14:textId="77777777" w:rsidR="00CD520B" w:rsidRPr="00CD520B" w:rsidRDefault="00CD520B" w:rsidP="00581D08">
      <w:pPr>
        <w:spacing w:after="0" w:line="240" w:lineRule="auto"/>
        <w:jc w:val="both"/>
        <w:rPr>
          <w:rFonts w:ascii="Times New Roman" w:hAnsi="Times New Roman" w:cs="Times New Roman"/>
          <w:sz w:val="20"/>
          <w:szCs w:val="20"/>
        </w:rPr>
      </w:pPr>
      <w:r w:rsidRPr="00CD520B">
        <w:rPr>
          <w:rFonts w:ascii="Times New Roman" w:hAnsi="Times New Roman" w:cs="Times New Roman"/>
          <w:sz w:val="20"/>
          <w:szCs w:val="20"/>
        </w:rPr>
        <w:t>Finanšu ministrijas</w:t>
      </w:r>
    </w:p>
    <w:p w14:paraId="62233EEE" w14:textId="77777777" w:rsidR="00CD520B" w:rsidRPr="00CD520B" w:rsidRDefault="00CD520B" w:rsidP="00581D08">
      <w:pPr>
        <w:spacing w:after="0" w:line="240" w:lineRule="auto"/>
        <w:jc w:val="both"/>
        <w:rPr>
          <w:rFonts w:ascii="Times New Roman" w:hAnsi="Times New Roman" w:cs="Times New Roman"/>
          <w:sz w:val="20"/>
          <w:szCs w:val="20"/>
        </w:rPr>
      </w:pPr>
      <w:r w:rsidRPr="00CD520B">
        <w:rPr>
          <w:rFonts w:ascii="Times New Roman" w:hAnsi="Times New Roman" w:cs="Times New Roman"/>
          <w:sz w:val="20"/>
          <w:szCs w:val="20"/>
        </w:rPr>
        <w:t xml:space="preserve">Eiropas Savienības fondu revīzijas departamenta </w:t>
      </w:r>
    </w:p>
    <w:p w14:paraId="7D321516" w14:textId="77777777" w:rsidR="00CD520B" w:rsidRPr="00CD520B" w:rsidRDefault="00CD520B" w:rsidP="00CD520B">
      <w:pPr>
        <w:spacing w:after="0" w:line="240" w:lineRule="auto"/>
        <w:jc w:val="both"/>
        <w:rPr>
          <w:rFonts w:ascii="Times New Roman" w:hAnsi="Times New Roman" w:cs="Times New Roman"/>
          <w:sz w:val="20"/>
          <w:szCs w:val="20"/>
        </w:rPr>
      </w:pPr>
      <w:r w:rsidRPr="00CD520B">
        <w:rPr>
          <w:rFonts w:ascii="Times New Roman" w:hAnsi="Times New Roman" w:cs="Times New Roman"/>
          <w:sz w:val="20"/>
          <w:szCs w:val="20"/>
        </w:rPr>
        <w:t>vecākā eksperte</w:t>
      </w:r>
    </w:p>
    <w:p w14:paraId="055FEB07" w14:textId="77777777" w:rsidR="00CD520B" w:rsidRPr="00CD520B" w:rsidRDefault="00CD520B" w:rsidP="00CD520B">
      <w:pPr>
        <w:spacing w:after="0" w:line="240" w:lineRule="auto"/>
        <w:jc w:val="both"/>
        <w:rPr>
          <w:rFonts w:ascii="Times New Roman" w:hAnsi="Times New Roman" w:cs="Times New Roman"/>
          <w:sz w:val="20"/>
          <w:szCs w:val="20"/>
        </w:rPr>
      </w:pPr>
      <w:r w:rsidRPr="00CD520B">
        <w:rPr>
          <w:rFonts w:ascii="Times New Roman" w:hAnsi="Times New Roman" w:cs="Times New Roman"/>
          <w:sz w:val="20"/>
          <w:szCs w:val="20"/>
        </w:rPr>
        <w:t>Tālr. 67095653, fakss 67095679</w:t>
      </w:r>
    </w:p>
    <w:p w14:paraId="3779AB7B" w14:textId="6E7F9D5D" w:rsidR="002929D9" w:rsidRPr="00224779" w:rsidRDefault="00CD520B" w:rsidP="00224779">
      <w:pPr>
        <w:spacing w:after="0" w:line="240" w:lineRule="auto"/>
        <w:jc w:val="both"/>
        <w:rPr>
          <w:rFonts w:ascii="Times New Roman" w:hAnsi="Times New Roman" w:cs="Times New Roman"/>
          <w:sz w:val="20"/>
          <w:szCs w:val="20"/>
        </w:rPr>
      </w:pPr>
      <w:r w:rsidRPr="00CD520B">
        <w:rPr>
          <w:rFonts w:ascii="Times New Roman" w:hAnsi="Times New Roman" w:cs="Times New Roman"/>
          <w:sz w:val="20"/>
          <w:szCs w:val="20"/>
        </w:rPr>
        <w:t>Inese.Bremane@fm.gov.lv</w:t>
      </w:r>
      <w:bookmarkStart w:id="6" w:name="_GoBack"/>
      <w:bookmarkEnd w:id="6"/>
    </w:p>
    <w:sectPr w:rsidR="002929D9" w:rsidRPr="0022477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A817D" w14:textId="77777777" w:rsidR="0095313F" w:rsidRDefault="0095313F" w:rsidP="002929D9">
      <w:pPr>
        <w:spacing w:after="0" w:line="240" w:lineRule="auto"/>
      </w:pPr>
      <w:r>
        <w:separator/>
      </w:r>
    </w:p>
  </w:endnote>
  <w:endnote w:type="continuationSeparator" w:id="0">
    <w:p w14:paraId="1D88386E" w14:textId="77777777" w:rsidR="0095313F" w:rsidRDefault="0095313F" w:rsidP="0029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055B" w14:textId="7B9E0E2C" w:rsidR="005F32C2" w:rsidRPr="00CD23F6" w:rsidRDefault="005F32C2" w:rsidP="005F32C2">
    <w:pPr>
      <w:tabs>
        <w:tab w:val="left" w:pos="709"/>
      </w:tabs>
      <w:jc w:val="both"/>
      <w:rPr>
        <w:rFonts w:ascii="Times New Roman" w:eastAsia="Times New Roman" w:hAnsi="Times New Roman" w:cs="Times New Roman"/>
        <w:bCs/>
        <w:sz w:val="16"/>
        <w:szCs w:val="16"/>
      </w:rPr>
    </w:pPr>
    <w:r w:rsidRPr="005F32C2">
      <w:rPr>
        <w:rFonts w:ascii="Times New Roman" w:hAnsi="Times New Roman" w:cs="Times New Roman"/>
        <w:bCs/>
        <w:sz w:val="16"/>
        <w:szCs w:val="20"/>
      </w:rPr>
      <w:fldChar w:fldCharType="begin"/>
    </w:r>
    <w:r w:rsidRPr="005F32C2">
      <w:rPr>
        <w:rFonts w:ascii="Times New Roman" w:hAnsi="Times New Roman" w:cs="Times New Roman"/>
        <w:bCs/>
        <w:sz w:val="16"/>
        <w:szCs w:val="20"/>
      </w:rPr>
      <w:instrText xml:space="preserve"> FILENAME   \* MERGEFORMAT </w:instrText>
    </w:r>
    <w:r w:rsidRPr="005F32C2">
      <w:rPr>
        <w:rFonts w:ascii="Times New Roman" w:hAnsi="Times New Roman" w:cs="Times New Roman"/>
        <w:bCs/>
        <w:sz w:val="16"/>
        <w:szCs w:val="20"/>
      </w:rPr>
      <w:fldChar w:fldCharType="separate"/>
    </w:r>
    <w:r w:rsidR="008D4CAA">
      <w:rPr>
        <w:rFonts w:ascii="Times New Roman" w:hAnsi="Times New Roman" w:cs="Times New Roman"/>
        <w:bCs/>
        <w:noProof/>
        <w:sz w:val="16"/>
        <w:szCs w:val="20"/>
      </w:rPr>
      <w:t>FMAnot_28102014_RI_SF_KF</w:t>
    </w:r>
    <w:r w:rsidRPr="005F32C2">
      <w:rPr>
        <w:rFonts w:ascii="Times New Roman" w:hAnsi="Times New Roman" w:cs="Times New Roman"/>
        <w:bCs/>
        <w:sz w:val="16"/>
        <w:szCs w:val="20"/>
      </w:rPr>
      <w:fldChar w:fldCharType="end"/>
    </w:r>
    <w:r w:rsidRPr="005F32C2">
      <w:rPr>
        <w:rFonts w:ascii="Times New Roman" w:hAnsi="Times New Roman" w:cs="Times New Roman"/>
        <w:sz w:val="16"/>
        <w:szCs w:val="20"/>
      </w:rPr>
      <w:t xml:space="preserve">; Ministru </w:t>
    </w:r>
    <w:r w:rsidRPr="00CD23F6">
      <w:rPr>
        <w:rFonts w:ascii="Times New Roman" w:hAnsi="Times New Roman" w:cs="Times New Roman"/>
        <w:sz w:val="16"/>
        <w:szCs w:val="16"/>
      </w:rPr>
      <w:t>kabineta noteikumu projekta „</w:t>
    </w:r>
    <w:r w:rsidR="00CD23F6" w:rsidRPr="00CD23F6">
      <w:rPr>
        <w:rFonts w:ascii="Times New Roman" w:hAnsi="Times New Roman" w:cs="Times New Roman"/>
        <w:sz w:val="16"/>
        <w:szCs w:val="16"/>
      </w:rPr>
      <w:t>Revīzijas iestādes funkciju nodrošināšanas kārtība Eiropas Savienības struktūrfondu un Kohēzijas fonda 2014.-2020.gada plānošanas periodā</w:t>
    </w:r>
    <w:r w:rsidRPr="00CD23F6">
      <w:rPr>
        <w:rFonts w:ascii="Times New Roman" w:hAnsi="Times New Roman" w:cs="Times New Roman"/>
        <w:sz w:val="16"/>
        <w:szCs w:val="16"/>
      </w:rPr>
      <w:t xml:space="preserve">” </w:t>
    </w:r>
    <w:r w:rsidRPr="00CD23F6">
      <w:rPr>
        <w:rFonts w:ascii="Times New Roman" w:hAnsi="Times New Roman" w:cs="Times New Roman"/>
        <w:bCs/>
        <w:sz w:val="16"/>
        <w:szCs w:val="16"/>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6E70E" w14:textId="77777777" w:rsidR="0095313F" w:rsidRDefault="0095313F" w:rsidP="002929D9">
      <w:pPr>
        <w:spacing w:after="0" w:line="240" w:lineRule="auto"/>
      </w:pPr>
      <w:r>
        <w:separator/>
      </w:r>
    </w:p>
  </w:footnote>
  <w:footnote w:type="continuationSeparator" w:id="0">
    <w:p w14:paraId="4813C0DB" w14:textId="77777777" w:rsidR="0095313F" w:rsidRDefault="0095313F" w:rsidP="00292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06A58CC"/>
    <w:multiLevelType w:val="hybridMultilevel"/>
    <w:tmpl w:val="892E2D50"/>
    <w:lvl w:ilvl="0" w:tplc="0426000F">
      <w:start w:val="1"/>
      <w:numFmt w:val="decimal"/>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5">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7">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3076CCE"/>
    <w:multiLevelType w:val="hybridMultilevel"/>
    <w:tmpl w:val="4B183EB6"/>
    <w:lvl w:ilvl="0" w:tplc="13DA175A">
      <w:start w:val="1"/>
      <w:numFmt w:val="decimal"/>
      <w:lvlText w:val="%1."/>
      <w:lvlJc w:val="left"/>
      <w:pPr>
        <w:ind w:left="417" w:hanging="360"/>
      </w:pPr>
      <w:rPr>
        <w:rFonts w:hint="default"/>
      </w:rPr>
    </w:lvl>
    <w:lvl w:ilvl="1" w:tplc="04260019">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2">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687014"/>
    <w:multiLevelType w:val="hybridMultilevel"/>
    <w:tmpl w:val="7BE22A6E"/>
    <w:lvl w:ilvl="0" w:tplc="64BE57CA">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1">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4"/>
  </w:num>
  <w:num w:numId="4">
    <w:abstractNumId w:val="0"/>
  </w:num>
  <w:num w:numId="5">
    <w:abstractNumId w:val="7"/>
  </w:num>
  <w:num w:numId="6">
    <w:abstractNumId w:val="9"/>
  </w:num>
  <w:num w:numId="7">
    <w:abstractNumId w:val="3"/>
  </w:num>
  <w:num w:numId="8">
    <w:abstractNumId w:val="12"/>
  </w:num>
  <w:num w:numId="9">
    <w:abstractNumId w:val="1"/>
  </w:num>
  <w:num w:numId="10">
    <w:abstractNumId w:val="2"/>
  </w:num>
  <w:num w:numId="11">
    <w:abstractNumId w:val="25"/>
  </w:num>
  <w:num w:numId="12">
    <w:abstractNumId w:val="14"/>
  </w:num>
  <w:num w:numId="13">
    <w:abstractNumId w:val="26"/>
  </w:num>
  <w:num w:numId="14">
    <w:abstractNumId w:val="20"/>
  </w:num>
  <w:num w:numId="15">
    <w:abstractNumId w:val="19"/>
  </w:num>
  <w:num w:numId="16">
    <w:abstractNumId w:val="27"/>
  </w:num>
  <w:num w:numId="17">
    <w:abstractNumId w:val="21"/>
  </w:num>
  <w:num w:numId="18">
    <w:abstractNumId w:val="17"/>
  </w:num>
  <w:num w:numId="19">
    <w:abstractNumId w:val="15"/>
  </w:num>
  <w:num w:numId="20">
    <w:abstractNumId w:val="16"/>
  </w:num>
  <w:num w:numId="21">
    <w:abstractNumId w:val="10"/>
  </w:num>
  <w:num w:numId="22">
    <w:abstractNumId w:val="5"/>
  </w:num>
  <w:num w:numId="23">
    <w:abstractNumId w:val="13"/>
  </w:num>
  <w:num w:numId="24">
    <w:abstractNumId w:val="23"/>
  </w:num>
  <w:num w:numId="25">
    <w:abstractNumId w:val="11"/>
  </w:num>
  <w:num w:numId="26">
    <w:abstractNumId w:val="18"/>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D9"/>
    <w:rsid w:val="00025B19"/>
    <w:rsid w:val="00026833"/>
    <w:rsid w:val="00061CB5"/>
    <w:rsid w:val="00081655"/>
    <w:rsid w:val="00087167"/>
    <w:rsid w:val="000A4EEE"/>
    <w:rsid w:val="000D1A00"/>
    <w:rsid w:val="00133FF9"/>
    <w:rsid w:val="0016033F"/>
    <w:rsid w:val="00193BA3"/>
    <w:rsid w:val="001B5ADA"/>
    <w:rsid w:val="001F4E98"/>
    <w:rsid w:val="00203E98"/>
    <w:rsid w:val="00213D1F"/>
    <w:rsid w:val="00224779"/>
    <w:rsid w:val="002536D0"/>
    <w:rsid w:val="00263AB0"/>
    <w:rsid w:val="00274B94"/>
    <w:rsid w:val="002929D9"/>
    <w:rsid w:val="002B1379"/>
    <w:rsid w:val="002C4DEC"/>
    <w:rsid w:val="002C7C3F"/>
    <w:rsid w:val="002D0F95"/>
    <w:rsid w:val="002E03BB"/>
    <w:rsid w:val="00300BD0"/>
    <w:rsid w:val="0032539B"/>
    <w:rsid w:val="00371C2A"/>
    <w:rsid w:val="003721B6"/>
    <w:rsid w:val="00377BA7"/>
    <w:rsid w:val="00396F7C"/>
    <w:rsid w:val="00397A2A"/>
    <w:rsid w:val="003C2F11"/>
    <w:rsid w:val="003F3D7D"/>
    <w:rsid w:val="00423C29"/>
    <w:rsid w:val="00447AE6"/>
    <w:rsid w:val="00467D4C"/>
    <w:rsid w:val="004A27DB"/>
    <w:rsid w:val="004D1152"/>
    <w:rsid w:val="004E4C58"/>
    <w:rsid w:val="00525855"/>
    <w:rsid w:val="00530E10"/>
    <w:rsid w:val="00543D07"/>
    <w:rsid w:val="00563A31"/>
    <w:rsid w:val="005643C2"/>
    <w:rsid w:val="0057226A"/>
    <w:rsid w:val="00581D08"/>
    <w:rsid w:val="005C4D05"/>
    <w:rsid w:val="005E6487"/>
    <w:rsid w:val="005F020B"/>
    <w:rsid w:val="005F32C2"/>
    <w:rsid w:val="00602EF1"/>
    <w:rsid w:val="00647CD0"/>
    <w:rsid w:val="00694E80"/>
    <w:rsid w:val="006A2BBC"/>
    <w:rsid w:val="00726AE3"/>
    <w:rsid w:val="00745CBD"/>
    <w:rsid w:val="00760A92"/>
    <w:rsid w:val="007D7447"/>
    <w:rsid w:val="007E5186"/>
    <w:rsid w:val="008278E2"/>
    <w:rsid w:val="0083115F"/>
    <w:rsid w:val="008637BE"/>
    <w:rsid w:val="00864ABB"/>
    <w:rsid w:val="008A2A4A"/>
    <w:rsid w:val="008D2852"/>
    <w:rsid w:val="008D4CAA"/>
    <w:rsid w:val="009057FB"/>
    <w:rsid w:val="00937887"/>
    <w:rsid w:val="009505C9"/>
    <w:rsid w:val="0095313F"/>
    <w:rsid w:val="00967E9B"/>
    <w:rsid w:val="009737D9"/>
    <w:rsid w:val="00975EA2"/>
    <w:rsid w:val="00976242"/>
    <w:rsid w:val="00976BB3"/>
    <w:rsid w:val="00983E7F"/>
    <w:rsid w:val="009943F3"/>
    <w:rsid w:val="009C30BF"/>
    <w:rsid w:val="009C4EFB"/>
    <w:rsid w:val="009E32FB"/>
    <w:rsid w:val="00A124B4"/>
    <w:rsid w:val="00A257D6"/>
    <w:rsid w:val="00A26378"/>
    <w:rsid w:val="00A454EF"/>
    <w:rsid w:val="00A52DD4"/>
    <w:rsid w:val="00AA74C8"/>
    <w:rsid w:val="00AD5B94"/>
    <w:rsid w:val="00AF7153"/>
    <w:rsid w:val="00B34805"/>
    <w:rsid w:val="00B35671"/>
    <w:rsid w:val="00B36F75"/>
    <w:rsid w:val="00B44704"/>
    <w:rsid w:val="00B5469C"/>
    <w:rsid w:val="00B858FF"/>
    <w:rsid w:val="00BB522D"/>
    <w:rsid w:val="00BC34CE"/>
    <w:rsid w:val="00BC798D"/>
    <w:rsid w:val="00C24B79"/>
    <w:rsid w:val="00C456AC"/>
    <w:rsid w:val="00C60066"/>
    <w:rsid w:val="00C9697A"/>
    <w:rsid w:val="00CD23F6"/>
    <w:rsid w:val="00CD520B"/>
    <w:rsid w:val="00CF2635"/>
    <w:rsid w:val="00D469D6"/>
    <w:rsid w:val="00D83E30"/>
    <w:rsid w:val="00D85B77"/>
    <w:rsid w:val="00DB01C0"/>
    <w:rsid w:val="00DB4E11"/>
    <w:rsid w:val="00DD53B7"/>
    <w:rsid w:val="00E01F31"/>
    <w:rsid w:val="00E12596"/>
    <w:rsid w:val="00E159BA"/>
    <w:rsid w:val="00E2023F"/>
    <w:rsid w:val="00E227B7"/>
    <w:rsid w:val="00E37469"/>
    <w:rsid w:val="00F04CCC"/>
    <w:rsid w:val="00F06A2B"/>
    <w:rsid w:val="00F1554B"/>
    <w:rsid w:val="00F501F0"/>
    <w:rsid w:val="00F51329"/>
    <w:rsid w:val="00F97E72"/>
    <w:rsid w:val="00FB1032"/>
    <w:rsid w:val="00FC02E5"/>
    <w:rsid w:val="00FE739D"/>
    <w:rsid w:val="00FF64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9B7A9E7"/>
  <w15:chartTrackingRefBased/>
  <w15:docId w15:val="{105139D3-6CEF-448D-9B38-B628D52D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D9"/>
    <w:pPr>
      <w:spacing w:after="200" w:line="276" w:lineRule="auto"/>
    </w:pPr>
    <w:rPr>
      <w:rFonts w:eastAsiaTheme="minorEastAsia"/>
      <w:lang w:eastAsia="lv-LV"/>
    </w:rPr>
  </w:style>
  <w:style w:type="paragraph" w:styleId="Heading3">
    <w:name w:val="heading 3"/>
    <w:basedOn w:val="Normal"/>
    <w:link w:val="Heading3Char"/>
    <w:uiPriority w:val="9"/>
    <w:qFormat/>
    <w:rsid w:val="002929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9D9"/>
    <w:rPr>
      <w:rFonts w:ascii="Times New Roman" w:eastAsia="Times New Roman" w:hAnsi="Times New Roman" w:cs="Times New Roman"/>
      <w:b/>
      <w:bCs/>
      <w:sz w:val="27"/>
      <w:szCs w:val="27"/>
      <w:lang w:eastAsia="lv-LV"/>
    </w:rPr>
  </w:style>
  <w:style w:type="paragraph" w:customStyle="1" w:styleId="naisf">
    <w:name w:val="naisf"/>
    <w:basedOn w:val="Normal"/>
    <w:rsid w:val="002929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29D9"/>
    <w:rPr>
      <w:color w:val="0000FF"/>
      <w:u w:val="single"/>
    </w:rPr>
  </w:style>
  <w:style w:type="paragraph" w:customStyle="1" w:styleId="naislab">
    <w:name w:val="naislab"/>
    <w:basedOn w:val="Normal"/>
    <w:rsid w:val="002929D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929D9"/>
    <w:pPr>
      <w:spacing w:line="240" w:lineRule="auto"/>
    </w:pPr>
    <w:rPr>
      <w:sz w:val="20"/>
      <w:szCs w:val="20"/>
    </w:rPr>
  </w:style>
  <w:style w:type="character" w:customStyle="1" w:styleId="CommentTextChar">
    <w:name w:val="Comment Text Char"/>
    <w:basedOn w:val="DefaultParagraphFont"/>
    <w:link w:val="CommentText"/>
    <w:uiPriority w:val="99"/>
    <w:rsid w:val="002929D9"/>
    <w:rPr>
      <w:rFonts w:eastAsiaTheme="minorEastAsia"/>
      <w:sz w:val="20"/>
      <w:szCs w:val="20"/>
      <w:lang w:eastAsia="lv-LV"/>
    </w:rPr>
  </w:style>
  <w:style w:type="character" w:customStyle="1" w:styleId="CommentSubjectChar">
    <w:name w:val="Comment Subject Char"/>
    <w:basedOn w:val="CommentTextChar"/>
    <w:link w:val="CommentSubject"/>
    <w:uiPriority w:val="99"/>
    <w:semiHidden/>
    <w:rsid w:val="002929D9"/>
    <w:rPr>
      <w:rFonts w:eastAsiaTheme="minorEastAsia"/>
      <w:b/>
      <w:bCs/>
      <w:sz w:val="20"/>
      <w:szCs w:val="20"/>
      <w:lang w:eastAsia="lv-LV"/>
    </w:rPr>
  </w:style>
  <w:style w:type="paragraph" w:styleId="CommentSubject">
    <w:name w:val="annotation subject"/>
    <w:basedOn w:val="CommentText"/>
    <w:next w:val="CommentText"/>
    <w:link w:val="CommentSubjectChar"/>
    <w:uiPriority w:val="99"/>
    <w:semiHidden/>
    <w:unhideWhenUsed/>
    <w:rsid w:val="002929D9"/>
    <w:rPr>
      <w:b/>
      <w:bCs/>
    </w:rPr>
  </w:style>
  <w:style w:type="character" w:customStyle="1" w:styleId="BalloonTextChar">
    <w:name w:val="Balloon Text Char"/>
    <w:basedOn w:val="DefaultParagraphFont"/>
    <w:link w:val="BalloonText"/>
    <w:uiPriority w:val="99"/>
    <w:semiHidden/>
    <w:rsid w:val="002929D9"/>
    <w:rPr>
      <w:rFonts w:ascii="Tahoma" w:eastAsiaTheme="minorEastAsia" w:hAnsi="Tahoma" w:cs="Tahoma"/>
      <w:sz w:val="16"/>
      <w:szCs w:val="16"/>
      <w:lang w:eastAsia="lv-LV"/>
    </w:rPr>
  </w:style>
  <w:style w:type="paragraph" w:styleId="BalloonText">
    <w:name w:val="Balloon Text"/>
    <w:basedOn w:val="Normal"/>
    <w:link w:val="BalloonTextChar"/>
    <w:uiPriority w:val="99"/>
    <w:semiHidden/>
    <w:unhideWhenUsed/>
    <w:rsid w:val="002929D9"/>
    <w:pPr>
      <w:spacing w:after="0" w:line="240" w:lineRule="auto"/>
    </w:pPr>
    <w:rPr>
      <w:rFonts w:ascii="Tahoma" w:hAnsi="Tahoma" w:cs="Tahoma"/>
      <w:sz w:val="16"/>
      <w:szCs w:val="16"/>
    </w:rPr>
  </w:style>
  <w:style w:type="paragraph" w:customStyle="1" w:styleId="naisnod">
    <w:name w:val="naisnod"/>
    <w:basedOn w:val="Normal"/>
    <w:rsid w:val="002929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29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29D9"/>
    <w:rPr>
      <w:rFonts w:eastAsiaTheme="minorEastAsia"/>
      <w:lang w:eastAsia="lv-LV"/>
    </w:rPr>
  </w:style>
  <w:style w:type="paragraph" w:styleId="Footer">
    <w:name w:val="footer"/>
    <w:basedOn w:val="Normal"/>
    <w:link w:val="FooterChar"/>
    <w:uiPriority w:val="99"/>
    <w:unhideWhenUsed/>
    <w:rsid w:val="002929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29D9"/>
    <w:rPr>
      <w:rFonts w:eastAsiaTheme="minorEastAsia"/>
      <w:lang w:eastAsia="lv-LV"/>
    </w:rPr>
  </w:style>
  <w:style w:type="paragraph" w:customStyle="1" w:styleId="tvhtml">
    <w:name w:val="tv_html"/>
    <w:basedOn w:val="Normal"/>
    <w:rsid w:val="002929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29D9"/>
    <w:pPr>
      <w:ind w:left="720"/>
      <w:contextualSpacing/>
    </w:pPr>
  </w:style>
  <w:style w:type="paragraph" w:customStyle="1" w:styleId="naiskr">
    <w:name w:val="naiskr"/>
    <w:basedOn w:val="Normal"/>
    <w:rsid w:val="00292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9D9"/>
  </w:style>
  <w:style w:type="paragraph" w:customStyle="1" w:styleId="tv213">
    <w:name w:val="tv213"/>
    <w:basedOn w:val="Normal"/>
    <w:rsid w:val="002929D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929D9"/>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2929D9"/>
    <w:rPr>
      <w:rFonts w:ascii="Times New Roman" w:hAnsi="Times New Roman"/>
      <w:sz w:val="20"/>
      <w:szCs w:val="20"/>
    </w:rPr>
  </w:style>
  <w:style w:type="character" w:styleId="FootnoteReference">
    <w:name w:val="footnote reference"/>
    <w:basedOn w:val="DefaultParagraphFont"/>
    <w:uiPriority w:val="99"/>
    <w:semiHidden/>
    <w:unhideWhenUsed/>
    <w:rsid w:val="002929D9"/>
    <w:rPr>
      <w:vertAlign w:val="superscript"/>
    </w:rPr>
  </w:style>
  <w:style w:type="table" w:styleId="TableGrid">
    <w:name w:val="Table Grid"/>
    <w:basedOn w:val="TableNormal"/>
    <w:uiPriority w:val="59"/>
    <w:rsid w:val="002929D9"/>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292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2929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7226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226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5313F"/>
    <w:rPr>
      <w:sz w:val="16"/>
      <w:szCs w:val="16"/>
    </w:rPr>
  </w:style>
  <w:style w:type="character" w:styleId="Strong">
    <w:name w:val="Strong"/>
    <w:qFormat/>
    <w:rsid w:val="005643C2"/>
    <w:rPr>
      <w:b/>
      <w:bCs/>
    </w:rPr>
  </w:style>
  <w:style w:type="paragraph" w:customStyle="1" w:styleId="Text3">
    <w:name w:val="Text 3"/>
    <w:basedOn w:val="Normal"/>
    <w:rsid w:val="005643C2"/>
    <w:pPr>
      <w:tabs>
        <w:tab w:val="left" w:pos="2302"/>
      </w:tabs>
      <w:spacing w:after="240" w:line="240" w:lineRule="auto"/>
      <w:ind w:left="1202"/>
      <w:jc w:val="both"/>
    </w:pPr>
    <w:rPr>
      <w:rFonts w:ascii="Times New Roman" w:eastAsia="Calibri" w:hAnsi="Times New Roman" w:cs="Times New Roman"/>
      <w:sz w:val="24"/>
      <w:szCs w:val="24"/>
      <w:lang w:val="en-GB" w:eastAsia="en-GB"/>
    </w:rPr>
  </w:style>
  <w:style w:type="paragraph" w:styleId="PlainText">
    <w:name w:val="Plain Text"/>
    <w:basedOn w:val="Normal"/>
    <w:link w:val="PlainTextChar"/>
    <w:uiPriority w:val="99"/>
    <w:unhideWhenUsed/>
    <w:rsid w:val="00B34805"/>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B34805"/>
    <w:rPr>
      <w:rFonts w:ascii="Consolas" w:eastAsia="Calibri" w:hAnsi="Consolas" w:cs="Times New Roman"/>
      <w:sz w:val="21"/>
      <w:szCs w:val="21"/>
    </w:rPr>
  </w:style>
  <w:style w:type="paragraph" w:customStyle="1" w:styleId="Default">
    <w:name w:val="Default"/>
    <w:rsid w:val="00CF263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CF2635"/>
    <w:rPr>
      <w:rFonts w:cstheme="minorBidi"/>
      <w:color w:val="auto"/>
    </w:rPr>
  </w:style>
  <w:style w:type="paragraph" w:customStyle="1" w:styleId="CM3">
    <w:name w:val="CM3"/>
    <w:basedOn w:val="Default"/>
    <w:next w:val="Default"/>
    <w:uiPriority w:val="99"/>
    <w:rsid w:val="00CF2635"/>
    <w:rPr>
      <w:rFonts w:cstheme="minorBidi"/>
      <w:color w:val="auto"/>
    </w:rPr>
  </w:style>
  <w:style w:type="paragraph" w:customStyle="1" w:styleId="DefaultParagraphFont1">
    <w:name w:val="Default Paragraph Font1"/>
    <w:basedOn w:val="Normal"/>
    <w:rsid w:val="00581D08"/>
    <w:pPr>
      <w:spacing w:after="0" w:line="240" w:lineRule="auto"/>
    </w:pPr>
    <w:rPr>
      <w:rFonts w:ascii="CG Times (W1)" w:eastAsia="Times New Roman" w:hAnsi="CG Times (W1)"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7028">
      <w:bodyDiv w:val="1"/>
      <w:marLeft w:val="0"/>
      <w:marRight w:val="0"/>
      <w:marTop w:val="0"/>
      <w:marBottom w:val="0"/>
      <w:divBdr>
        <w:top w:val="none" w:sz="0" w:space="0" w:color="auto"/>
        <w:left w:val="none" w:sz="0" w:space="0" w:color="auto"/>
        <w:bottom w:val="none" w:sz="0" w:space="0" w:color="auto"/>
        <w:right w:val="none" w:sz="0" w:space="0" w:color="auto"/>
      </w:divBdr>
    </w:div>
    <w:div w:id="1015811063">
      <w:bodyDiv w:val="1"/>
      <w:marLeft w:val="0"/>
      <w:marRight w:val="0"/>
      <w:marTop w:val="0"/>
      <w:marBottom w:val="0"/>
      <w:divBdr>
        <w:top w:val="none" w:sz="0" w:space="0" w:color="auto"/>
        <w:left w:val="none" w:sz="0" w:space="0" w:color="auto"/>
        <w:bottom w:val="none" w:sz="0" w:space="0" w:color="auto"/>
        <w:right w:val="none" w:sz="0" w:space="0" w:color="auto"/>
      </w:divBdr>
    </w:div>
    <w:div w:id="20537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F1F3-DDF1-4CAF-B67C-A1C64788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9</Pages>
  <Words>10372</Words>
  <Characters>5913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projekts "Revīzijas iestādes funkciju nodrošināšanas kārtība Eiropas Savienības struktūrfondu un Kohēzijas fonda 2014.-2020.gada plānošanas periodā"</vt:lpstr>
    </vt:vector>
  </TitlesOfParts>
  <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"Revīzijas iestādes funkciju nodrošināšanas kārtība Eiropas Savienības struktūrfondu un Kohēzijas fonda 2014.-2020.gada plānošanas periodā"</dc:title>
  <dc:subject>Anotācija</dc:subject>
  <dc:creator>Brēmane Inese</dc:creator>
  <cp:keywords/>
  <dc:description>Inese.Bremane@fm.gov.lv_x000d_
Tālr. 67095653, fakss 67095679</dc:description>
  <cp:lastModifiedBy>Brēmane Inese</cp:lastModifiedBy>
  <cp:revision>73</cp:revision>
  <cp:lastPrinted>2014-10-28T14:04:00Z</cp:lastPrinted>
  <dcterms:created xsi:type="dcterms:W3CDTF">2014-02-10T10:11:00Z</dcterms:created>
  <dcterms:modified xsi:type="dcterms:W3CDTF">2014-10-28T14:04:00Z</dcterms:modified>
  <cp:category>Anotācija</cp:category>
</cp:coreProperties>
</file>