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C7F" w:rsidRPr="00BC2CFE" w:rsidRDefault="005D3C7F" w:rsidP="005D3C7F">
      <w:pPr>
        <w:jc w:val="center"/>
        <w:rPr>
          <w:szCs w:val="24"/>
        </w:rPr>
      </w:pPr>
      <w:bookmarkStart w:id="0" w:name="_GoBack"/>
      <w:r w:rsidRPr="00BC2CFE">
        <w:rPr>
          <w:b/>
          <w:szCs w:val="24"/>
        </w:rPr>
        <w:t>Ministru kabineta rīkojuma projekta “Grozījum</w:t>
      </w:r>
      <w:r w:rsidR="00236545" w:rsidRPr="00BC2CFE">
        <w:rPr>
          <w:b/>
          <w:szCs w:val="24"/>
        </w:rPr>
        <w:t>s</w:t>
      </w:r>
      <w:r w:rsidRPr="00BC2CFE">
        <w:rPr>
          <w:b/>
          <w:szCs w:val="24"/>
        </w:rPr>
        <w:t xml:space="preserve"> Ministru kabineta 2014. gada 12. marta rīkojumā Nr. 113 “Par likumprojekta “Par</w:t>
      </w:r>
      <w:r w:rsidRPr="00BC2CFE">
        <w:rPr>
          <w:b/>
          <w:iCs/>
          <w:szCs w:val="24"/>
        </w:rPr>
        <w:t xml:space="preserve"> vidēja termiņa budžeta ietvaru 2015., 2016. un 2017. gadam” un </w:t>
      </w:r>
      <w:r w:rsidRPr="00BC2CFE">
        <w:rPr>
          <w:b/>
          <w:bCs/>
          <w:iCs/>
          <w:szCs w:val="24"/>
        </w:rPr>
        <w:t>l</w:t>
      </w:r>
      <w:r w:rsidRPr="00BC2CFE">
        <w:rPr>
          <w:b/>
          <w:bCs/>
          <w:szCs w:val="24"/>
        </w:rPr>
        <w:t xml:space="preserve">ikumprojekta “Par valsts budžetu 2015. gadam” </w:t>
      </w:r>
      <w:r w:rsidRPr="00BC2CFE">
        <w:rPr>
          <w:b/>
          <w:szCs w:val="24"/>
        </w:rPr>
        <w:t xml:space="preserve">sagatavošanas grafiku”” </w:t>
      </w:r>
      <w:r w:rsidRPr="00BC2CFE">
        <w:rPr>
          <w:b/>
          <w:bCs/>
          <w:szCs w:val="24"/>
        </w:rPr>
        <w:t>sākotnējās ietekmes novērtējuma ziņojums (anotācija)</w:t>
      </w:r>
    </w:p>
    <w:bookmarkEnd w:id="0"/>
    <w:p w:rsidR="005D3C7F" w:rsidRPr="00BC2CFE" w:rsidRDefault="005D3C7F" w:rsidP="005D3C7F">
      <w:pPr>
        <w:rPr>
          <w:szCs w:val="24"/>
        </w:rPr>
      </w:pPr>
    </w:p>
    <w:p w:rsidR="005D3C7F" w:rsidRPr="00BC2CFE" w:rsidRDefault="005D3C7F" w:rsidP="005D3C7F">
      <w:pPr>
        <w:rPr>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2693"/>
        <w:gridCol w:w="5811"/>
      </w:tblGrid>
      <w:tr w:rsidR="005D3C7F" w:rsidRPr="00BC2CFE" w:rsidTr="00B131B4">
        <w:trPr>
          <w:tblCellSpacing w:w="0" w:type="dxa"/>
        </w:trPr>
        <w:tc>
          <w:tcPr>
            <w:tcW w:w="8945" w:type="dxa"/>
            <w:gridSpan w:val="3"/>
            <w:tcBorders>
              <w:top w:val="outset" w:sz="6" w:space="0" w:color="auto"/>
              <w:left w:val="outset" w:sz="6" w:space="0" w:color="auto"/>
              <w:bottom w:val="outset" w:sz="6" w:space="0" w:color="auto"/>
              <w:right w:val="outset" w:sz="6" w:space="0" w:color="auto"/>
            </w:tcBorders>
            <w:vAlign w:val="center"/>
            <w:hideMark/>
          </w:tcPr>
          <w:p w:rsidR="005D3C7F" w:rsidRPr="00BC2CFE" w:rsidRDefault="005D3C7F" w:rsidP="005D3C7F">
            <w:pPr>
              <w:spacing w:before="120" w:after="120"/>
              <w:rPr>
                <w:rFonts w:eastAsia="Times New Roman" w:cs="Times New Roman"/>
                <w:szCs w:val="24"/>
                <w:lang w:eastAsia="lv-LV"/>
              </w:rPr>
            </w:pPr>
            <w:r w:rsidRPr="00BC2CFE">
              <w:rPr>
                <w:rFonts w:eastAsia="Times New Roman" w:cs="Times New Roman"/>
                <w:szCs w:val="24"/>
                <w:lang w:eastAsia="lv-LV"/>
              </w:rPr>
              <w:t> </w:t>
            </w:r>
            <w:r w:rsidRPr="00BC2CFE">
              <w:rPr>
                <w:rFonts w:eastAsia="Times New Roman" w:cs="Times New Roman"/>
                <w:b/>
                <w:bCs/>
                <w:szCs w:val="24"/>
                <w:lang w:eastAsia="lv-LV"/>
              </w:rPr>
              <w:t> I. Tiesību akta projekta izstrādes nepieciešamība</w:t>
            </w:r>
          </w:p>
        </w:tc>
      </w:tr>
      <w:tr w:rsidR="005D3C7F" w:rsidRPr="00BC2CFE" w:rsidTr="00B131B4">
        <w:trPr>
          <w:trHeight w:val="408"/>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5D3C7F" w:rsidRPr="00BC2CFE" w:rsidRDefault="005D3C7F" w:rsidP="005D3C7F">
            <w:pPr>
              <w:spacing w:before="120" w:after="120"/>
              <w:rPr>
                <w:rFonts w:eastAsia="Times New Roman" w:cs="Times New Roman"/>
                <w:szCs w:val="24"/>
                <w:lang w:eastAsia="lv-LV"/>
              </w:rPr>
            </w:pPr>
            <w:r w:rsidRPr="00BC2CFE">
              <w:rPr>
                <w:rFonts w:eastAsia="Times New Roman" w:cs="Times New Roman"/>
                <w:szCs w:val="24"/>
                <w:lang w:eastAsia="lv-LV"/>
              </w:rPr>
              <w:t> 1.</w:t>
            </w:r>
          </w:p>
        </w:tc>
        <w:tc>
          <w:tcPr>
            <w:tcW w:w="2693" w:type="dxa"/>
            <w:tcBorders>
              <w:top w:val="outset" w:sz="6" w:space="0" w:color="auto"/>
              <w:left w:val="outset" w:sz="6" w:space="0" w:color="auto"/>
              <w:bottom w:val="outset" w:sz="6" w:space="0" w:color="auto"/>
              <w:right w:val="outset" w:sz="6" w:space="0" w:color="auto"/>
            </w:tcBorders>
            <w:hideMark/>
          </w:tcPr>
          <w:p w:rsidR="005D3C7F" w:rsidRPr="00BC2CFE" w:rsidRDefault="005D3C7F" w:rsidP="005D3C7F">
            <w:pPr>
              <w:spacing w:before="120" w:after="120"/>
              <w:ind w:left="126" w:right="127"/>
              <w:rPr>
                <w:rFonts w:eastAsia="Times New Roman" w:cs="Times New Roman"/>
                <w:szCs w:val="24"/>
                <w:lang w:eastAsia="lv-LV"/>
              </w:rPr>
            </w:pPr>
            <w:r w:rsidRPr="00BC2CFE">
              <w:rPr>
                <w:rFonts w:eastAsia="Times New Roman" w:cs="Times New Roman"/>
                <w:szCs w:val="24"/>
                <w:lang w:eastAsia="lv-LV"/>
              </w:rPr>
              <w:t>Pamatojums</w:t>
            </w:r>
          </w:p>
        </w:tc>
        <w:tc>
          <w:tcPr>
            <w:tcW w:w="5811" w:type="dxa"/>
            <w:tcBorders>
              <w:top w:val="outset" w:sz="6" w:space="0" w:color="auto"/>
              <w:left w:val="outset" w:sz="6" w:space="0" w:color="auto"/>
              <w:bottom w:val="outset" w:sz="6" w:space="0" w:color="auto"/>
              <w:right w:val="outset" w:sz="6" w:space="0" w:color="auto"/>
            </w:tcBorders>
            <w:hideMark/>
          </w:tcPr>
          <w:p w:rsidR="005D3C7F" w:rsidRPr="00BC2CFE" w:rsidRDefault="005D3C7F" w:rsidP="005D3C7F">
            <w:pPr>
              <w:spacing w:before="120" w:after="120"/>
              <w:ind w:left="123" w:right="127"/>
              <w:jc w:val="both"/>
              <w:rPr>
                <w:rFonts w:eastAsia="Times New Roman" w:cs="Times New Roman"/>
                <w:szCs w:val="24"/>
                <w:lang w:eastAsia="lv-LV"/>
              </w:rPr>
            </w:pPr>
            <w:r w:rsidRPr="00BC2CFE">
              <w:rPr>
                <w:rFonts w:eastAsia="Times New Roman" w:cs="Times New Roman"/>
                <w:szCs w:val="24"/>
                <w:lang w:eastAsia="lv-LV"/>
              </w:rPr>
              <w:t xml:space="preserve">Saskaņā ar Likuma par budžetu un finanšu vadību </w:t>
            </w:r>
            <w:r w:rsidRPr="00BC2CFE">
              <w:rPr>
                <w:rFonts w:eastAsia="Times New Roman" w:cs="Times New Roman"/>
                <w:bCs/>
                <w:szCs w:val="24"/>
                <w:lang w:eastAsia="lv-LV"/>
              </w:rPr>
              <w:t xml:space="preserve">21.panta trešajā daļā noteikto </w:t>
            </w:r>
            <w:r w:rsidRPr="00BC2CFE">
              <w:rPr>
                <w:rFonts w:eastAsia="Times New Roman" w:cs="Times New Roman"/>
                <w:szCs w:val="24"/>
                <w:lang w:eastAsia="lv-LV"/>
              </w:rPr>
              <w:t>Saeimas vēlēšanu gadā gadskārtējā valsts budžeta likuma (budžeta likumprojektu paketes) projekts iesniedzams Saeimai ne vēlāk kā četrus mēnešus pēc tam, kad jaunievēlētā Saeima izteikusi Ministru kabinetam savu uzticību.</w:t>
            </w:r>
          </w:p>
          <w:p w:rsidR="008370C3" w:rsidRPr="00BC2CFE" w:rsidRDefault="008370C3" w:rsidP="002D0343">
            <w:pPr>
              <w:spacing w:before="120" w:after="120"/>
              <w:ind w:left="123" w:right="127"/>
              <w:jc w:val="both"/>
              <w:rPr>
                <w:rFonts w:eastAsia="Times New Roman" w:cs="Times New Roman"/>
                <w:szCs w:val="24"/>
                <w:lang w:eastAsia="lv-LV"/>
              </w:rPr>
            </w:pPr>
            <w:r w:rsidRPr="00BC2CFE">
              <w:rPr>
                <w:rFonts w:eastAsia="Times New Roman" w:cs="Times New Roman"/>
                <w:szCs w:val="24"/>
                <w:lang w:eastAsia="lv-LV"/>
              </w:rPr>
              <w:t>Ministru kabineta 2014.gada 14.oktobra sēdes protokollēmum</w:t>
            </w:r>
            <w:r w:rsidR="002D0343">
              <w:rPr>
                <w:rFonts w:eastAsia="Times New Roman" w:cs="Times New Roman"/>
                <w:szCs w:val="24"/>
                <w:lang w:eastAsia="lv-LV"/>
              </w:rPr>
              <w:t>a (prot. Nr.55, 63.§) 10.punkts, kas nosaka, ka</w:t>
            </w:r>
            <w:r w:rsidR="002D0343">
              <w:t xml:space="preserve"> </w:t>
            </w:r>
            <w:r w:rsidR="002D0343" w:rsidRPr="002D0343">
              <w:rPr>
                <w:rFonts w:eastAsia="Times New Roman" w:cs="Times New Roman"/>
                <w:szCs w:val="24"/>
                <w:lang w:eastAsia="lv-LV"/>
              </w:rPr>
              <w:t>Finanšu ministrijai līdz 2014.gada 10.novembrim jāsagatavo un jāsniedz izskatīšanai Ministru kabinetā grozījumus „Par likumprojekta “Par vidēja termiņa budžeta ietvaru 2015., 2016. un 2017.gadam” un likumprojekta „Par valsts budžetu 2015.gadam” sagatavošanas grafiku”</w:t>
            </w:r>
            <w:r w:rsidR="002D0343">
              <w:rPr>
                <w:rFonts w:eastAsia="Times New Roman" w:cs="Times New Roman"/>
                <w:szCs w:val="24"/>
                <w:lang w:eastAsia="lv-LV"/>
              </w:rPr>
              <w:t xml:space="preserve"> (turpmāk -</w:t>
            </w:r>
            <w:r w:rsidR="002D0343" w:rsidRPr="002D0343">
              <w:rPr>
                <w:rFonts w:eastAsia="Times New Roman" w:cs="Times New Roman"/>
                <w:szCs w:val="24"/>
                <w:lang w:eastAsia="lv-LV"/>
              </w:rPr>
              <w:t xml:space="preserve"> rīkojum</w:t>
            </w:r>
            <w:r w:rsidR="002D0343">
              <w:rPr>
                <w:rFonts w:eastAsia="Times New Roman" w:cs="Times New Roman"/>
                <w:szCs w:val="24"/>
                <w:lang w:eastAsia="lv-LV"/>
              </w:rPr>
              <w:t>s</w:t>
            </w:r>
            <w:r w:rsidR="002D0343" w:rsidRPr="002D0343">
              <w:rPr>
                <w:rFonts w:eastAsia="Times New Roman" w:cs="Times New Roman"/>
                <w:szCs w:val="24"/>
                <w:lang w:eastAsia="lv-LV"/>
              </w:rPr>
              <w:t xml:space="preserve"> Nr.113</w:t>
            </w:r>
            <w:r w:rsidR="002D0343">
              <w:rPr>
                <w:rFonts w:eastAsia="Times New Roman" w:cs="Times New Roman"/>
                <w:szCs w:val="24"/>
                <w:lang w:eastAsia="lv-LV"/>
              </w:rPr>
              <w:t>)</w:t>
            </w:r>
            <w:r w:rsidR="002D0343" w:rsidRPr="002D0343">
              <w:rPr>
                <w:rFonts w:eastAsia="Times New Roman" w:cs="Times New Roman"/>
                <w:szCs w:val="24"/>
                <w:lang w:eastAsia="lv-LV"/>
              </w:rPr>
              <w:t>.</w:t>
            </w:r>
            <w:r w:rsidR="002D0343">
              <w:rPr>
                <w:rFonts w:eastAsia="Times New Roman" w:cs="Times New Roman"/>
                <w:szCs w:val="24"/>
                <w:lang w:eastAsia="lv-LV"/>
              </w:rPr>
              <w:t xml:space="preserve"> </w:t>
            </w:r>
          </w:p>
        </w:tc>
      </w:tr>
      <w:tr w:rsidR="005D3C7F" w:rsidRPr="00BC2CFE" w:rsidTr="00B131B4">
        <w:trPr>
          <w:trHeight w:val="472"/>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5D3C7F" w:rsidRPr="00BC2CFE" w:rsidRDefault="005D3C7F" w:rsidP="005D3C7F">
            <w:pPr>
              <w:spacing w:before="120" w:after="120"/>
              <w:rPr>
                <w:rFonts w:eastAsia="Times New Roman" w:cs="Times New Roman"/>
                <w:szCs w:val="24"/>
                <w:lang w:eastAsia="lv-LV"/>
              </w:rPr>
            </w:pPr>
            <w:r w:rsidRPr="00BC2CFE">
              <w:rPr>
                <w:rFonts w:eastAsia="Times New Roman" w:cs="Times New Roman"/>
                <w:szCs w:val="24"/>
                <w:lang w:eastAsia="lv-LV"/>
              </w:rPr>
              <w:t> 2.</w:t>
            </w:r>
          </w:p>
        </w:tc>
        <w:tc>
          <w:tcPr>
            <w:tcW w:w="2693" w:type="dxa"/>
            <w:tcBorders>
              <w:top w:val="outset" w:sz="6" w:space="0" w:color="auto"/>
              <w:left w:val="outset" w:sz="6" w:space="0" w:color="auto"/>
              <w:bottom w:val="outset" w:sz="6" w:space="0" w:color="auto"/>
              <w:right w:val="outset" w:sz="6" w:space="0" w:color="auto"/>
            </w:tcBorders>
            <w:hideMark/>
          </w:tcPr>
          <w:p w:rsidR="005D3C7F" w:rsidRPr="00BC2CFE" w:rsidRDefault="005D3C7F" w:rsidP="005D3C7F">
            <w:pPr>
              <w:spacing w:before="120" w:after="120"/>
              <w:ind w:left="126" w:right="127"/>
              <w:rPr>
                <w:rFonts w:eastAsia="Times New Roman" w:cs="Times New Roman"/>
                <w:szCs w:val="24"/>
                <w:lang w:eastAsia="lv-LV"/>
              </w:rPr>
            </w:pPr>
            <w:r w:rsidRPr="00BC2CFE">
              <w:rPr>
                <w:rFonts w:eastAsia="Times New Roman" w:cs="Times New Roman"/>
                <w:szCs w:val="24"/>
                <w:lang w:eastAsia="lv-LV"/>
              </w:rPr>
              <w:t>Pašreizējā situācija un problēmas, kuru risināšanai tiesību akta projekts izstrādāts, tiesiskā regulējuma mērķis un būtība</w:t>
            </w:r>
          </w:p>
        </w:tc>
        <w:tc>
          <w:tcPr>
            <w:tcW w:w="5811" w:type="dxa"/>
            <w:tcBorders>
              <w:top w:val="outset" w:sz="6" w:space="0" w:color="auto"/>
              <w:left w:val="outset" w:sz="6" w:space="0" w:color="auto"/>
              <w:bottom w:val="outset" w:sz="6" w:space="0" w:color="auto"/>
              <w:right w:val="outset" w:sz="6" w:space="0" w:color="auto"/>
            </w:tcBorders>
            <w:hideMark/>
          </w:tcPr>
          <w:p w:rsidR="005D3C7F" w:rsidRPr="00BC2CFE" w:rsidRDefault="005D3C7F" w:rsidP="005D3C7F">
            <w:pPr>
              <w:spacing w:before="120" w:after="120"/>
              <w:ind w:left="123" w:right="127"/>
              <w:jc w:val="both"/>
              <w:rPr>
                <w:rFonts w:eastAsia="Times New Roman" w:cs="Times New Roman"/>
                <w:szCs w:val="24"/>
                <w:lang w:eastAsia="lv-LV"/>
              </w:rPr>
            </w:pPr>
            <w:r w:rsidRPr="00BC2CFE">
              <w:rPr>
                <w:rFonts w:eastAsia="Times New Roman" w:cs="Times New Roman"/>
                <w:szCs w:val="24"/>
                <w:lang w:eastAsia="lv-LV"/>
              </w:rPr>
              <w:t xml:space="preserve">Spēkā esošajā Ministru kabineta 2014.gada 12.marta rīkojumā Nr.113 </w:t>
            </w:r>
            <w:r w:rsidRPr="00BC2CFE">
              <w:rPr>
                <w:rFonts w:eastAsia="Times New Roman" w:cs="Times New Roman"/>
                <w:bCs/>
                <w:szCs w:val="24"/>
                <w:lang w:eastAsia="lv-LV"/>
              </w:rPr>
              <w:t>„Par likumprojekta “Par v</w:t>
            </w:r>
            <w:r w:rsidRPr="00BC2CFE">
              <w:rPr>
                <w:rFonts w:eastAsia="Times New Roman" w:cs="Times New Roman"/>
                <w:iCs/>
                <w:szCs w:val="24"/>
                <w:lang w:eastAsia="lv-LV"/>
              </w:rPr>
              <w:t>idēja termiņa budžeta ietvaru 2015., 2016. un 2017.gadam</w:t>
            </w:r>
            <w:r w:rsidRPr="00BC2CFE">
              <w:rPr>
                <w:rFonts w:eastAsia="Times New Roman" w:cs="Times New Roman"/>
                <w:bCs/>
                <w:szCs w:val="24"/>
                <w:lang w:eastAsia="lv-LV"/>
              </w:rPr>
              <w:t xml:space="preserve">” </w:t>
            </w:r>
            <w:r w:rsidRPr="00BC2CFE">
              <w:rPr>
                <w:rFonts w:eastAsia="Times New Roman" w:cs="Times New Roman"/>
                <w:iCs/>
                <w:szCs w:val="24"/>
                <w:lang w:eastAsia="lv-LV"/>
              </w:rPr>
              <w:t>un l</w:t>
            </w:r>
            <w:r w:rsidRPr="00BC2CFE">
              <w:rPr>
                <w:rFonts w:eastAsia="Times New Roman" w:cs="Times New Roman"/>
                <w:bCs/>
                <w:szCs w:val="24"/>
                <w:lang w:eastAsia="lv-LV"/>
              </w:rPr>
              <w:t>ikumprojekta „Par valsts budžetu 2015.gadam” sag</w:t>
            </w:r>
            <w:r w:rsidR="008370C3" w:rsidRPr="00BC2CFE">
              <w:rPr>
                <w:rFonts w:eastAsia="Times New Roman" w:cs="Times New Roman"/>
                <w:bCs/>
                <w:szCs w:val="24"/>
                <w:lang w:eastAsia="lv-LV"/>
              </w:rPr>
              <w:t xml:space="preserve">atavošanas grafiku” </w:t>
            </w:r>
            <w:r w:rsidRPr="00BC2CFE">
              <w:rPr>
                <w:rFonts w:eastAsia="Times New Roman" w:cs="Times New Roman"/>
                <w:szCs w:val="24"/>
                <w:lang w:eastAsia="lv-LV"/>
              </w:rPr>
              <w:t xml:space="preserve">noteikti izpildes termiņi likumprojekta </w:t>
            </w:r>
            <w:r w:rsidRPr="00BC2CFE">
              <w:rPr>
                <w:rFonts w:eastAsia="Times New Roman" w:cs="Times New Roman"/>
                <w:bCs/>
                <w:szCs w:val="24"/>
                <w:lang w:eastAsia="lv-LV"/>
              </w:rPr>
              <w:t>„Par v</w:t>
            </w:r>
            <w:r w:rsidRPr="00BC2CFE">
              <w:rPr>
                <w:rFonts w:eastAsia="Times New Roman" w:cs="Times New Roman"/>
                <w:iCs/>
                <w:szCs w:val="24"/>
                <w:lang w:eastAsia="lv-LV"/>
              </w:rPr>
              <w:t>idēja termiņa budžeta ietvaru 2015., 2016. un 2017.gadam</w:t>
            </w:r>
            <w:r w:rsidRPr="00BC2CFE">
              <w:rPr>
                <w:rFonts w:eastAsia="Times New Roman" w:cs="Times New Roman"/>
                <w:bCs/>
                <w:szCs w:val="24"/>
                <w:lang w:eastAsia="lv-LV"/>
              </w:rPr>
              <w:t xml:space="preserve">” </w:t>
            </w:r>
            <w:r w:rsidRPr="00BC2CFE">
              <w:rPr>
                <w:rFonts w:eastAsia="Times New Roman" w:cs="Times New Roman"/>
                <w:iCs/>
                <w:szCs w:val="24"/>
                <w:lang w:eastAsia="lv-LV"/>
              </w:rPr>
              <w:t>un l</w:t>
            </w:r>
            <w:r w:rsidRPr="00BC2CFE">
              <w:rPr>
                <w:rFonts w:eastAsia="Times New Roman" w:cs="Times New Roman"/>
                <w:bCs/>
                <w:szCs w:val="24"/>
                <w:lang w:eastAsia="lv-LV"/>
              </w:rPr>
              <w:t>ikumprojekta „Par valsts budžetu 2015.gadam” sagatavošanas uzsākšanas pasākumiem, kurus iespējams īstenot līdz Saeimas vēlēšanām, galīgā lēmuma pieņemšanu atstājot jaunievēlētās Saeimas un Ministru kabineta kompetencē</w:t>
            </w:r>
            <w:r w:rsidRPr="00BC2CFE">
              <w:rPr>
                <w:rFonts w:eastAsia="Times New Roman" w:cs="Times New Roman"/>
                <w:szCs w:val="24"/>
                <w:lang w:eastAsia="lv-LV"/>
              </w:rPr>
              <w:t>.</w:t>
            </w:r>
          </w:p>
          <w:p w:rsidR="008370C3" w:rsidRPr="00BC2CFE" w:rsidRDefault="008370C3" w:rsidP="005D3C7F">
            <w:pPr>
              <w:spacing w:before="120" w:after="120"/>
              <w:ind w:left="123" w:right="127"/>
              <w:jc w:val="both"/>
              <w:rPr>
                <w:rFonts w:eastAsia="Times New Roman" w:cs="Times New Roman"/>
                <w:szCs w:val="24"/>
                <w:lang w:eastAsia="lv-LV"/>
              </w:rPr>
            </w:pPr>
            <w:r w:rsidRPr="00BC2CFE">
              <w:rPr>
                <w:rFonts w:eastAsia="Times New Roman" w:cs="Times New Roman"/>
                <w:szCs w:val="24"/>
                <w:lang w:eastAsia="lv-LV"/>
              </w:rPr>
              <w:t>2014.gada 14.oktobrī Ministru kabinetā tika izskatīts Finanšu ministrijas sagatavotais informatīvais ziņojums “Par ministriju jaunajām politikas iniciatīvām 2015., 2016. un 2017.gadam” (turpmāk – informatīvai</w:t>
            </w:r>
            <w:r w:rsidR="00BC2CFE">
              <w:rPr>
                <w:rFonts w:eastAsia="Times New Roman" w:cs="Times New Roman"/>
                <w:szCs w:val="24"/>
                <w:lang w:eastAsia="lv-LV"/>
              </w:rPr>
              <w:t>s</w:t>
            </w:r>
            <w:r w:rsidRPr="00BC2CFE">
              <w:rPr>
                <w:rFonts w:eastAsia="Times New Roman" w:cs="Times New Roman"/>
                <w:szCs w:val="24"/>
                <w:lang w:eastAsia="lv-LV"/>
              </w:rPr>
              <w:t xml:space="preserve"> ziņojums). Informatīvajam ziņojumam pievienotajā Ministru kabineta sēdes protokollēmuma (prot. Nr.55, 63§) 10.punktā noteikts, ka Finanšu ministrijai līdz 2014.gada 10.novembrim jāsagatavo un jāsniedz izskatīšanai Ministru kabinetā grozījumus Ministru kabineta 2014.gada 12.marta rīkojumā Nr.113.</w:t>
            </w:r>
          </w:p>
          <w:p w:rsidR="005D3C7F" w:rsidRDefault="00BC2CFE" w:rsidP="00BC2CFE">
            <w:pPr>
              <w:widowControl w:val="0"/>
              <w:autoSpaceDE w:val="0"/>
              <w:autoSpaceDN w:val="0"/>
              <w:adjustRightInd w:val="0"/>
              <w:spacing w:before="120" w:after="120"/>
              <w:ind w:left="123" w:right="127"/>
              <w:jc w:val="both"/>
              <w:rPr>
                <w:rFonts w:eastAsia="Times New Roman" w:cs="Times New Roman"/>
                <w:szCs w:val="24"/>
                <w:lang w:eastAsia="lv-LV"/>
              </w:rPr>
            </w:pPr>
            <w:r w:rsidRPr="00BC2CFE">
              <w:rPr>
                <w:rFonts w:eastAsia="Times New Roman" w:cs="Times New Roman"/>
                <w:szCs w:val="24"/>
                <w:lang w:eastAsia="lv-LV"/>
              </w:rPr>
              <w:t xml:space="preserve">Lai nodrošinātu ministrijām un citām centrālajām valsts </w:t>
            </w:r>
            <w:r w:rsidRPr="00BC2CFE">
              <w:rPr>
                <w:rFonts w:eastAsia="Times New Roman" w:cs="Times New Roman"/>
                <w:szCs w:val="24"/>
                <w:lang w:eastAsia="lv-LV"/>
              </w:rPr>
              <w:lastRenderedPageBreak/>
              <w:t>iestādēm (turpmāk – ministrijas) saimniecisk</w:t>
            </w:r>
            <w:r>
              <w:rPr>
                <w:rFonts w:eastAsia="Times New Roman" w:cs="Times New Roman"/>
                <w:szCs w:val="24"/>
                <w:lang w:eastAsia="lv-LV"/>
              </w:rPr>
              <w:t>ajā gadā</w:t>
            </w:r>
            <w:r w:rsidRPr="00BC2CFE">
              <w:rPr>
                <w:rFonts w:eastAsia="Times New Roman" w:cs="Times New Roman"/>
                <w:szCs w:val="24"/>
                <w:lang w:eastAsia="lv-LV"/>
              </w:rPr>
              <w:t xml:space="preserve"> pieejamā finansējuma apjomu, jo </w:t>
            </w:r>
            <w:r>
              <w:rPr>
                <w:rFonts w:eastAsia="Times New Roman" w:cs="Times New Roman"/>
                <w:szCs w:val="24"/>
                <w:lang w:eastAsia="lv-LV"/>
              </w:rPr>
              <w:t xml:space="preserve">ministrijas </w:t>
            </w:r>
            <w:r w:rsidRPr="00BC2CFE">
              <w:rPr>
                <w:rFonts w:eastAsia="Times New Roman" w:cs="Times New Roman"/>
                <w:szCs w:val="24"/>
                <w:lang w:eastAsia="lv-LV"/>
              </w:rPr>
              <w:t>valsts budžeta līdzekļus var piešķirt vai saņemt tikai ar gadskārtējā valsts budžeta likumā paredzētu apropriāciju likumprojekts „Par valsts budžetu 2015.gadam” jāpieņem savlaicīgi. Ja likumprojekts “Par valsts budžetu 2015.gadam” netiek pieņemts līdz 2015.gada 1.janvārim:</w:t>
            </w:r>
          </w:p>
          <w:p w:rsidR="007C485B" w:rsidRPr="00BC2CFE" w:rsidRDefault="006C4BC0" w:rsidP="00BC2CFE">
            <w:pPr>
              <w:pStyle w:val="ListParagraph"/>
              <w:widowControl w:val="0"/>
              <w:numPr>
                <w:ilvl w:val="0"/>
                <w:numId w:val="4"/>
              </w:numPr>
              <w:autoSpaceDE w:val="0"/>
              <w:autoSpaceDN w:val="0"/>
              <w:adjustRightInd w:val="0"/>
              <w:spacing w:before="120" w:after="120"/>
              <w:ind w:left="0" w:right="127" w:firstLine="360"/>
              <w:jc w:val="both"/>
              <w:rPr>
                <w:rFonts w:eastAsia="Times New Roman" w:cs="Times New Roman"/>
                <w:szCs w:val="24"/>
                <w:lang w:eastAsia="lv-LV"/>
              </w:rPr>
            </w:pPr>
            <w:r w:rsidRPr="00BC2CFE">
              <w:rPr>
                <w:rFonts w:eastAsia="Times New Roman" w:cs="Times New Roman"/>
                <w:bCs/>
                <w:szCs w:val="24"/>
                <w:lang w:eastAsia="lv-LV"/>
              </w:rPr>
              <w:t>Valsts budžeta apropriācijas nepārsniegs divpadsmito daļu no 2014.gada apropriācijas (izņemot iemaksas EK budžetā un izdevumi, kas paredzēti Eiropas Savienības politiku instrumentu un  pārējās ārvalstu finanšu palīdzības apguvei):</w:t>
            </w:r>
          </w:p>
          <w:p w:rsidR="007C485B" w:rsidRPr="00BC2CFE" w:rsidRDefault="006C4BC0" w:rsidP="00BC2CFE">
            <w:pPr>
              <w:widowControl w:val="0"/>
              <w:numPr>
                <w:ilvl w:val="0"/>
                <w:numId w:val="2"/>
              </w:numPr>
              <w:autoSpaceDE w:val="0"/>
              <w:autoSpaceDN w:val="0"/>
              <w:adjustRightInd w:val="0"/>
              <w:spacing w:before="120" w:after="120"/>
              <w:ind w:right="127"/>
              <w:jc w:val="both"/>
              <w:rPr>
                <w:rFonts w:eastAsia="Times New Roman" w:cs="Times New Roman"/>
                <w:szCs w:val="24"/>
                <w:lang w:eastAsia="lv-LV"/>
              </w:rPr>
            </w:pPr>
            <w:r w:rsidRPr="00BC2CFE">
              <w:rPr>
                <w:rFonts w:eastAsia="Times New Roman" w:cs="Times New Roman"/>
                <w:bCs/>
                <w:szCs w:val="24"/>
                <w:lang w:eastAsia="lv-LV"/>
              </w:rPr>
              <w:t>nav iespējams pilnībā finansēt izdevumus, kas nepieciešami Latvijas Prezidentūras Eiropas Savienības Padomē nodrošināšanai;</w:t>
            </w:r>
          </w:p>
          <w:p w:rsidR="007C485B" w:rsidRPr="00BC2CFE" w:rsidRDefault="006C4BC0" w:rsidP="00BC2CFE">
            <w:pPr>
              <w:widowControl w:val="0"/>
              <w:numPr>
                <w:ilvl w:val="0"/>
                <w:numId w:val="2"/>
              </w:numPr>
              <w:autoSpaceDE w:val="0"/>
              <w:autoSpaceDN w:val="0"/>
              <w:adjustRightInd w:val="0"/>
              <w:spacing w:before="120" w:after="120"/>
              <w:ind w:right="127"/>
              <w:jc w:val="both"/>
              <w:rPr>
                <w:rFonts w:eastAsia="Times New Roman" w:cs="Times New Roman"/>
                <w:szCs w:val="24"/>
                <w:lang w:eastAsia="lv-LV"/>
              </w:rPr>
            </w:pPr>
            <w:r w:rsidRPr="00BC2CFE">
              <w:rPr>
                <w:rFonts w:eastAsia="Times New Roman" w:cs="Times New Roman"/>
                <w:bCs/>
                <w:szCs w:val="24"/>
                <w:lang w:eastAsia="lv-LV"/>
              </w:rPr>
              <w:t>nav iespējams finansēt tos izdevumus, kurus nosaka normatīvie akti, kas stājas spēkā ar 2015.gada 1.janvāri.</w:t>
            </w:r>
          </w:p>
          <w:p w:rsidR="00BC2CFE" w:rsidRPr="00BC2CFE" w:rsidRDefault="00BC2CFE" w:rsidP="00BC2CFE">
            <w:pPr>
              <w:pStyle w:val="ListParagraph"/>
              <w:widowControl w:val="0"/>
              <w:numPr>
                <w:ilvl w:val="0"/>
                <w:numId w:val="4"/>
              </w:numPr>
              <w:autoSpaceDE w:val="0"/>
              <w:autoSpaceDN w:val="0"/>
              <w:adjustRightInd w:val="0"/>
              <w:spacing w:before="120" w:after="120"/>
              <w:ind w:left="0" w:right="127" w:firstLine="360"/>
              <w:jc w:val="both"/>
              <w:rPr>
                <w:rFonts w:eastAsia="Times New Roman" w:cs="Times New Roman"/>
                <w:szCs w:val="24"/>
                <w:lang w:eastAsia="lv-LV"/>
              </w:rPr>
            </w:pPr>
            <w:r w:rsidRPr="00BC2CFE">
              <w:rPr>
                <w:rFonts w:eastAsia="Times New Roman" w:cs="Times New Roman"/>
                <w:bCs/>
                <w:szCs w:val="24"/>
                <w:lang w:eastAsia="lv-LV"/>
              </w:rPr>
              <w:t xml:space="preserve">2014.gada valsts budžeta likums būs zaudējis spēku, līdz ar to nebūs regulējuma: </w:t>
            </w:r>
          </w:p>
          <w:p w:rsidR="007C485B" w:rsidRPr="00BC2CFE" w:rsidRDefault="006C4BC0" w:rsidP="00BC2CFE">
            <w:pPr>
              <w:widowControl w:val="0"/>
              <w:numPr>
                <w:ilvl w:val="0"/>
                <w:numId w:val="3"/>
              </w:numPr>
              <w:autoSpaceDE w:val="0"/>
              <w:autoSpaceDN w:val="0"/>
              <w:adjustRightInd w:val="0"/>
              <w:spacing w:before="120" w:after="120"/>
              <w:ind w:right="127"/>
              <w:jc w:val="both"/>
              <w:rPr>
                <w:rFonts w:eastAsia="Times New Roman" w:cs="Times New Roman"/>
                <w:szCs w:val="24"/>
                <w:lang w:eastAsia="lv-LV"/>
              </w:rPr>
            </w:pPr>
            <w:r w:rsidRPr="00BC2CFE">
              <w:rPr>
                <w:rFonts w:eastAsia="Times New Roman" w:cs="Times New Roman"/>
                <w:bCs/>
                <w:szCs w:val="24"/>
                <w:lang w:eastAsia="lv-LV"/>
              </w:rPr>
              <w:t>iedzīvotāju ieņēmumu nodokļa sadalījumam starp valsts budžetu un pašvaldībām;</w:t>
            </w:r>
          </w:p>
          <w:p w:rsidR="007C485B" w:rsidRPr="00BC2CFE" w:rsidRDefault="006C4BC0" w:rsidP="00BC2CFE">
            <w:pPr>
              <w:widowControl w:val="0"/>
              <w:numPr>
                <w:ilvl w:val="0"/>
                <w:numId w:val="3"/>
              </w:numPr>
              <w:autoSpaceDE w:val="0"/>
              <w:autoSpaceDN w:val="0"/>
              <w:adjustRightInd w:val="0"/>
              <w:spacing w:before="120" w:after="120"/>
              <w:ind w:right="127"/>
              <w:jc w:val="both"/>
              <w:rPr>
                <w:rFonts w:eastAsia="Times New Roman" w:cs="Times New Roman"/>
                <w:szCs w:val="24"/>
                <w:lang w:eastAsia="lv-LV"/>
              </w:rPr>
            </w:pPr>
            <w:r w:rsidRPr="00BC2CFE">
              <w:rPr>
                <w:rFonts w:eastAsia="Times New Roman" w:cs="Times New Roman"/>
                <w:bCs/>
                <w:szCs w:val="24"/>
                <w:lang w:eastAsia="lv-LV"/>
              </w:rPr>
              <w:t>nosacījumiem pašvaldībām iemaksu veikšanai  pašvaldību finanšu izlīdzināšanas fondā un dotācijas saņemšanai  no šī fonda;</w:t>
            </w:r>
          </w:p>
          <w:p w:rsidR="007C485B" w:rsidRPr="00BC2CFE" w:rsidRDefault="006C4BC0" w:rsidP="00BC2CFE">
            <w:pPr>
              <w:widowControl w:val="0"/>
              <w:numPr>
                <w:ilvl w:val="0"/>
                <w:numId w:val="3"/>
              </w:numPr>
              <w:autoSpaceDE w:val="0"/>
              <w:autoSpaceDN w:val="0"/>
              <w:adjustRightInd w:val="0"/>
              <w:spacing w:before="120" w:after="120"/>
              <w:ind w:right="127"/>
              <w:jc w:val="both"/>
              <w:rPr>
                <w:rFonts w:eastAsia="Times New Roman" w:cs="Times New Roman"/>
                <w:szCs w:val="24"/>
                <w:lang w:eastAsia="lv-LV"/>
              </w:rPr>
            </w:pPr>
            <w:r w:rsidRPr="00BC2CFE">
              <w:rPr>
                <w:rFonts w:eastAsia="Times New Roman" w:cs="Times New Roman"/>
                <w:bCs/>
                <w:szCs w:val="24"/>
                <w:lang w:eastAsia="lv-LV"/>
              </w:rPr>
              <w:t>ieņēmumu īpatsvariem valsts sociālās apdrošināšanas budžetā;</w:t>
            </w:r>
          </w:p>
          <w:p w:rsidR="007C485B" w:rsidRPr="00BC2CFE" w:rsidRDefault="006C4BC0" w:rsidP="00BC2CFE">
            <w:pPr>
              <w:widowControl w:val="0"/>
              <w:numPr>
                <w:ilvl w:val="0"/>
                <w:numId w:val="3"/>
              </w:numPr>
              <w:autoSpaceDE w:val="0"/>
              <w:autoSpaceDN w:val="0"/>
              <w:adjustRightInd w:val="0"/>
              <w:spacing w:before="120" w:after="120"/>
              <w:ind w:right="127"/>
              <w:jc w:val="both"/>
              <w:rPr>
                <w:rFonts w:eastAsia="Times New Roman" w:cs="Times New Roman"/>
                <w:szCs w:val="24"/>
                <w:lang w:eastAsia="lv-LV"/>
              </w:rPr>
            </w:pPr>
            <w:r w:rsidRPr="00BC2CFE">
              <w:rPr>
                <w:rFonts w:eastAsia="Times New Roman" w:cs="Times New Roman"/>
                <w:bCs/>
                <w:szCs w:val="24"/>
                <w:lang w:eastAsia="lv-LV"/>
              </w:rPr>
              <w:t>Valsts prezidenta atalgojumam un reprezentācijas izdevumiem (ja būs pagaidu budžets, tad juridiski tas būtu jāvērtē kopā ar likuma “Par Valsts prezidenta darbības nodrošināšanu normām”);</w:t>
            </w:r>
          </w:p>
          <w:p w:rsidR="002D0343" w:rsidRPr="002D0343" w:rsidRDefault="006C4BC0" w:rsidP="002D0343">
            <w:pPr>
              <w:widowControl w:val="0"/>
              <w:numPr>
                <w:ilvl w:val="0"/>
                <w:numId w:val="3"/>
              </w:numPr>
              <w:autoSpaceDE w:val="0"/>
              <w:autoSpaceDN w:val="0"/>
              <w:adjustRightInd w:val="0"/>
              <w:spacing w:before="120" w:after="120"/>
              <w:ind w:right="127"/>
              <w:jc w:val="both"/>
              <w:rPr>
                <w:rFonts w:eastAsia="Times New Roman" w:cs="Times New Roman"/>
                <w:szCs w:val="24"/>
                <w:lang w:eastAsia="lv-LV"/>
              </w:rPr>
            </w:pPr>
            <w:r w:rsidRPr="00BC2CFE">
              <w:rPr>
                <w:rFonts w:eastAsia="Times New Roman" w:cs="Times New Roman"/>
                <w:bCs/>
                <w:szCs w:val="24"/>
                <w:lang w:eastAsia="lv-LV"/>
              </w:rPr>
              <w:t>maksai, kas tiek ieturēta no valsts pensijas, pabalsta vai atlīdzības par t</w:t>
            </w:r>
            <w:r w:rsidR="002D0343">
              <w:rPr>
                <w:rFonts w:eastAsia="Times New Roman" w:cs="Times New Roman"/>
                <w:bCs/>
                <w:szCs w:val="24"/>
                <w:lang w:eastAsia="lv-LV"/>
              </w:rPr>
              <w:t>o piegādi saņēmēja dzīves vietā.</w:t>
            </w:r>
          </w:p>
          <w:p w:rsidR="00A807DC" w:rsidRPr="00BC2CFE" w:rsidRDefault="00A807DC" w:rsidP="002D0343">
            <w:pPr>
              <w:widowControl w:val="0"/>
              <w:autoSpaceDE w:val="0"/>
              <w:autoSpaceDN w:val="0"/>
              <w:adjustRightInd w:val="0"/>
              <w:spacing w:before="120" w:after="120"/>
              <w:ind w:right="127"/>
              <w:jc w:val="both"/>
              <w:rPr>
                <w:rFonts w:eastAsia="Times New Roman" w:cs="Times New Roman"/>
                <w:szCs w:val="24"/>
                <w:lang w:eastAsia="lv-LV"/>
              </w:rPr>
            </w:pPr>
            <w:r>
              <w:rPr>
                <w:rFonts w:eastAsia="Times New Roman" w:cs="Times New Roman"/>
                <w:szCs w:val="24"/>
                <w:lang w:eastAsia="lv-LV"/>
              </w:rPr>
              <w:t xml:space="preserve">Ņemot vērā minēto un to, ka 2014.gada 3.oktobrī Latvijā ir notikušas Saeimas vēlēšanas Finanšu ministrija ir sagatavojusi grozījumus Ministru kabineta 2014.gada 12.marta rīkojumā Nr.113. </w:t>
            </w:r>
            <w:r w:rsidR="00F402C9">
              <w:rPr>
                <w:rFonts w:eastAsia="Times New Roman" w:cs="Times New Roman"/>
                <w:szCs w:val="24"/>
                <w:lang w:eastAsia="lv-LV"/>
              </w:rPr>
              <w:t>Sagatavotajā r</w:t>
            </w:r>
            <w:r w:rsidR="00F402C9" w:rsidRPr="00F402C9">
              <w:rPr>
                <w:rFonts w:eastAsia="Times New Roman" w:cs="Times New Roman"/>
                <w:szCs w:val="24"/>
                <w:lang w:eastAsia="lv-LV"/>
              </w:rPr>
              <w:t xml:space="preserve">īkojuma projektā </w:t>
            </w:r>
            <w:r w:rsidR="00F402C9">
              <w:rPr>
                <w:rFonts w:eastAsia="Times New Roman" w:cs="Times New Roman"/>
                <w:szCs w:val="24"/>
                <w:lang w:eastAsia="lv-LV"/>
              </w:rPr>
              <w:t xml:space="preserve">tiek </w:t>
            </w:r>
            <w:r w:rsidR="00F402C9" w:rsidRPr="00F402C9">
              <w:rPr>
                <w:rFonts w:eastAsia="Times New Roman" w:cs="Times New Roman"/>
                <w:szCs w:val="24"/>
                <w:lang w:eastAsia="lv-LV"/>
              </w:rPr>
              <w:t xml:space="preserve">noteikti izpildes termiņi </w:t>
            </w:r>
            <w:r>
              <w:rPr>
                <w:rFonts w:eastAsia="Times New Roman" w:cs="Times New Roman"/>
                <w:szCs w:val="24"/>
                <w:lang w:eastAsia="lv-LV"/>
              </w:rPr>
              <w:t>v</w:t>
            </w:r>
            <w:r w:rsidRPr="00A807DC">
              <w:rPr>
                <w:rFonts w:eastAsia="Times New Roman" w:cs="Times New Roman"/>
                <w:szCs w:val="24"/>
                <w:lang w:eastAsia="lv-LV"/>
              </w:rPr>
              <w:t>idēja termiņa budžeta ietvara likumprojekta, gadskārtējā valsts budžeta likumprojekta un precizētā vispārējās valdības budžeta plāna sagatavošana</w:t>
            </w:r>
            <w:r>
              <w:rPr>
                <w:rFonts w:eastAsia="Times New Roman" w:cs="Times New Roman"/>
                <w:szCs w:val="24"/>
                <w:lang w:eastAsia="lv-LV"/>
              </w:rPr>
              <w:t>i</w:t>
            </w:r>
            <w:r w:rsidRPr="00A807DC">
              <w:rPr>
                <w:rFonts w:eastAsia="Times New Roman" w:cs="Times New Roman"/>
                <w:szCs w:val="24"/>
                <w:lang w:eastAsia="lv-LV"/>
              </w:rPr>
              <w:t xml:space="preserve"> un izskatīšana</w:t>
            </w:r>
            <w:r>
              <w:rPr>
                <w:rFonts w:eastAsia="Times New Roman" w:cs="Times New Roman"/>
                <w:szCs w:val="24"/>
                <w:lang w:eastAsia="lv-LV"/>
              </w:rPr>
              <w:t>i</w:t>
            </w:r>
            <w:r w:rsidRPr="00A807DC">
              <w:rPr>
                <w:rFonts w:eastAsia="Times New Roman" w:cs="Times New Roman"/>
                <w:szCs w:val="24"/>
                <w:lang w:eastAsia="lv-LV"/>
              </w:rPr>
              <w:t xml:space="preserve"> Ministru kabinetā</w:t>
            </w:r>
            <w:r>
              <w:rPr>
                <w:rFonts w:eastAsia="Times New Roman" w:cs="Times New Roman"/>
                <w:szCs w:val="24"/>
                <w:lang w:eastAsia="lv-LV"/>
              </w:rPr>
              <w:t xml:space="preserve">, pieņemot, ka </w:t>
            </w:r>
            <w:r w:rsidRPr="00A807DC">
              <w:rPr>
                <w:rFonts w:eastAsia="Times New Roman" w:cs="Times New Roman"/>
                <w:szCs w:val="24"/>
                <w:lang w:eastAsia="lv-LV"/>
              </w:rPr>
              <w:t xml:space="preserve">jaunais Ministru Kabinets Saeimā </w:t>
            </w:r>
            <w:r>
              <w:rPr>
                <w:rFonts w:eastAsia="Times New Roman" w:cs="Times New Roman"/>
                <w:szCs w:val="24"/>
                <w:lang w:eastAsia="lv-LV"/>
              </w:rPr>
              <w:t xml:space="preserve">tiek </w:t>
            </w:r>
            <w:r w:rsidRPr="00A807DC">
              <w:rPr>
                <w:rFonts w:eastAsia="Times New Roman" w:cs="Times New Roman"/>
                <w:szCs w:val="24"/>
                <w:lang w:eastAsia="lv-LV"/>
              </w:rPr>
              <w:t xml:space="preserve">apstiprināts </w:t>
            </w:r>
            <w:r>
              <w:rPr>
                <w:rFonts w:eastAsia="Times New Roman" w:cs="Times New Roman"/>
                <w:szCs w:val="24"/>
                <w:lang w:eastAsia="lv-LV"/>
              </w:rPr>
              <w:t xml:space="preserve">2014.gada </w:t>
            </w:r>
            <w:r w:rsidRPr="00A807DC">
              <w:rPr>
                <w:rFonts w:eastAsia="Times New Roman" w:cs="Times New Roman"/>
                <w:szCs w:val="24"/>
                <w:lang w:eastAsia="lv-LV"/>
              </w:rPr>
              <w:t>6.novembrī</w:t>
            </w:r>
            <w:r>
              <w:rPr>
                <w:rFonts w:eastAsia="Times New Roman" w:cs="Times New Roman"/>
                <w:szCs w:val="24"/>
                <w:lang w:eastAsia="lv-LV"/>
              </w:rPr>
              <w:t>.</w:t>
            </w:r>
          </w:p>
        </w:tc>
      </w:tr>
      <w:tr w:rsidR="005D3C7F" w:rsidRPr="00BC2CFE" w:rsidTr="00B131B4">
        <w:trPr>
          <w:trHeight w:val="676"/>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5D3C7F" w:rsidRPr="00BC2CFE" w:rsidRDefault="005D3C7F" w:rsidP="005D3C7F">
            <w:pPr>
              <w:spacing w:before="120" w:after="120"/>
              <w:rPr>
                <w:rFonts w:eastAsia="Times New Roman" w:cs="Times New Roman"/>
                <w:szCs w:val="24"/>
                <w:lang w:eastAsia="lv-LV"/>
              </w:rPr>
            </w:pPr>
            <w:r w:rsidRPr="00BC2CFE">
              <w:rPr>
                <w:rFonts w:eastAsia="Times New Roman" w:cs="Times New Roman"/>
                <w:szCs w:val="24"/>
                <w:lang w:eastAsia="lv-LV"/>
              </w:rPr>
              <w:lastRenderedPageBreak/>
              <w:t> 3.</w:t>
            </w:r>
          </w:p>
        </w:tc>
        <w:tc>
          <w:tcPr>
            <w:tcW w:w="2693" w:type="dxa"/>
            <w:tcBorders>
              <w:top w:val="outset" w:sz="6" w:space="0" w:color="auto"/>
              <w:left w:val="outset" w:sz="6" w:space="0" w:color="auto"/>
              <w:bottom w:val="outset" w:sz="6" w:space="0" w:color="auto"/>
              <w:right w:val="outset" w:sz="6" w:space="0" w:color="auto"/>
            </w:tcBorders>
            <w:hideMark/>
          </w:tcPr>
          <w:p w:rsidR="005D3C7F" w:rsidRPr="00BC2CFE" w:rsidRDefault="005D3C7F" w:rsidP="005D3C7F">
            <w:pPr>
              <w:spacing w:before="120" w:after="120"/>
              <w:ind w:left="126"/>
              <w:rPr>
                <w:rFonts w:eastAsia="Times New Roman" w:cs="Times New Roman"/>
                <w:szCs w:val="24"/>
                <w:lang w:eastAsia="lv-LV"/>
              </w:rPr>
            </w:pPr>
            <w:r w:rsidRPr="00BC2CFE">
              <w:rPr>
                <w:rFonts w:eastAsia="Times New Roman" w:cs="Times New Roman"/>
                <w:szCs w:val="24"/>
                <w:lang w:eastAsia="lv-LV"/>
              </w:rPr>
              <w:t>Projekta izstrādē iesaistītās institūcijas</w:t>
            </w:r>
          </w:p>
        </w:tc>
        <w:tc>
          <w:tcPr>
            <w:tcW w:w="5811" w:type="dxa"/>
            <w:tcBorders>
              <w:top w:val="outset" w:sz="6" w:space="0" w:color="auto"/>
              <w:left w:val="outset" w:sz="6" w:space="0" w:color="auto"/>
              <w:bottom w:val="outset" w:sz="6" w:space="0" w:color="auto"/>
              <w:right w:val="outset" w:sz="6" w:space="0" w:color="auto"/>
            </w:tcBorders>
            <w:hideMark/>
          </w:tcPr>
          <w:p w:rsidR="005D3C7F" w:rsidRPr="00BC2CFE" w:rsidRDefault="005D3C7F" w:rsidP="005D3C7F">
            <w:pPr>
              <w:spacing w:before="120" w:after="120"/>
              <w:ind w:left="123" w:right="127"/>
              <w:rPr>
                <w:rFonts w:eastAsia="Times New Roman" w:cs="Times New Roman"/>
                <w:szCs w:val="24"/>
                <w:lang w:eastAsia="lv-LV"/>
              </w:rPr>
            </w:pPr>
            <w:r w:rsidRPr="00BC2CFE">
              <w:rPr>
                <w:rFonts w:eastAsia="Times New Roman" w:cs="Times New Roman"/>
                <w:szCs w:val="24"/>
                <w:lang w:eastAsia="lv-LV"/>
              </w:rPr>
              <w:t xml:space="preserve"> Šo jomu neskar.</w:t>
            </w:r>
          </w:p>
        </w:tc>
      </w:tr>
      <w:tr w:rsidR="005D3C7F" w:rsidRPr="00BC2CFE" w:rsidTr="00B131B4">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5D3C7F" w:rsidRPr="00BC2CFE" w:rsidRDefault="005D3C7F" w:rsidP="005D3C7F">
            <w:pPr>
              <w:spacing w:before="120" w:after="120"/>
              <w:rPr>
                <w:rFonts w:eastAsia="Times New Roman" w:cs="Times New Roman"/>
                <w:szCs w:val="24"/>
                <w:lang w:eastAsia="lv-LV"/>
              </w:rPr>
            </w:pPr>
            <w:r w:rsidRPr="00BC2CFE">
              <w:rPr>
                <w:rFonts w:eastAsia="Times New Roman" w:cs="Times New Roman"/>
                <w:szCs w:val="24"/>
                <w:lang w:eastAsia="lv-LV"/>
              </w:rPr>
              <w:t> 4.</w:t>
            </w:r>
          </w:p>
        </w:tc>
        <w:tc>
          <w:tcPr>
            <w:tcW w:w="2693" w:type="dxa"/>
            <w:tcBorders>
              <w:top w:val="outset" w:sz="6" w:space="0" w:color="auto"/>
              <w:left w:val="outset" w:sz="6" w:space="0" w:color="auto"/>
              <w:bottom w:val="outset" w:sz="6" w:space="0" w:color="auto"/>
              <w:right w:val="outset" w:sz="6" w:space="0" w:color="auto"/>
            </w:tcBorders>
            <w:hideMark/>
          </w:tcPr>
          <w:p w:rsidR="005D3C7F" w:rsidRPr="00BC2CFE" w:rsidRDefault="005D3C7F" w:rsidP="005D3C7F">
            <w:pPr>
              <w:spacing w:before="120" w:after="120"/>
              <w:ind w:left="126"/>
              <w:rPr>
                <w:rFonts w:eastAsia="Times New Roman" w:cs="Times New Roman"/>
                <w:szCs w:val="24"/>
                <w:lang w:eastAsia="lv-LV"/>
              </w:rPr>
            </w:pPr>
            <w:r w:rsidRPr="00BC2CFE">
              <w:rPr>
                <w:rFonts w:eastAsia="Times New Roman" w:cs="Times New Roman"/>
                <w:szCs w:val="24"/>
                <w:lang w:eastAsia="lv-LV"/>
              </w:rPr>
              <w:t> Cita informācija</w:t>
            </w:r>
          </w:p>
        </w:tc>
        <w:tc>
          <w:tcPr>
            <w:tcW w:w="5811" w:type="dxa"/>
            <w:tcBorders>
              <w:top w:val="outset" w:sz="6" w:space="0" w:color="auto"/>
              <w:left w:val="outset" w:sz="6" w:space="0" w:color="auto"/>
              <w:bottom w:val="outset" w:sz="6" w:space="0" w:color="auto"/>
              <w:right w:val="outset" w:sz="6" w:space="0" w:color="auto"/>
            </w:tcBorders>
            <w:hideMark/>
          </w:tcPr>
          <w:p w:rsidR="005D3C7F" w:rsidRPr="00BC2CFE" w:rsidRDefault="005D3C7F" w:rsidP="005D3C7F">
            <w:pPr>
              <w:spacing w:before="120" w:after="120"/>
              <w:ind w:left="123" w:right="127"/>
              <w:rPr>
                <w:rFonts w:eastAsia="Times New Roman" w:cs="Times New Roman"/>
                <w:szCs w:val="24"/>
                <w:lang w:eastAsia="lv-LV"/>
              </w:rPr>
            </w:pPr>
            <w:r w:rsidRPr="00BC2CFE">
              <w:rPr>
                <w:rFonts w:eastAsia="Times New Roman" w:cs="Times New Roman"/>
                <w:szCs w:val="24"/>
                <w:lang w:eastAsia="lv-LV"/>
              </w:rPr>
              <w:t> Nav.</w:t>
            </w:r>
          </w:p>
        </w:tc>
      </w:tr>
    </w:tbl>
    <w:p w:rsidR="00237A1C" w:rsidRDefault="00237A1C" w:rsidP="005D3C7F">
      <w:pPr>
        <w:rPr>
          <w:szCs w:val="24"/>
        </w:rPr>
      </w:pPr>
    </w:p>
    <w:p w:rsidR="00A807DC" w:rsidRDefault="00A807DC" w:rsidP="005D3C7F">
      <w:pPr>
        <w:rPr>
          <w:i/>
          <w:szCs w:val="24"/>
        </w:rPr>
      </w:pPr>
      <w:r w:rsidRPr="00A807DC">
        <w:rPr>
          <w:i/>
          <w:szCs w:val="24"/>
        </w:rPr>
        <w:t>Anotācijas II, III, IV, V, VI un VII sadaļa – projekts šīs jomas neskar.</w:t>
      </w:r>
    </w:p>
    <w:p w:rsidR="00A807DC" w:rsidRPr="00A807DC" w:rsidRDefault="00A807DC" w:rsidP="00A807DC">
      <w:pPr>
        <w:rPr>
          <w:szCs w:val="24"/>
        </w:rPr>
      </w:pPr>
    </w:p>
    <w:p w:rsidR="00A807DC" w:rsidRPr="00A807DC" w:rsidRDefault="00A807DC" w:rsidP="00A807DC">
      <w:pPr>
        <w:rPr>
          <w:szCs w:val="24"/>
        </w:rPr>
      </w:pPr>
    </w:p>
    <w:p w:rsidR="00A807DC" w:rsidRDefault="00A807DC" w:rsidP="00A807DC">
      <w:pPr>
        <w:rPr>
          <w:szCs w:val="24"/>
        </w:rPr>
      </w:pPr>
    </w:p>
    <w:p w:rsidR="00A807DC" w:rsidRPr="00037B0F" w:rsidRDefault="00A807DC" w:rsidP="00A807DC">
      <w:pPr>
        <w:rPr>
          <w:rFonts w:cs="Times New Roman"/>
        </w:rPr>
      </w:pPr>
      <w:r w:rsidRPr="00037B0F">
        <w:rPr>
          <w:rFonts w:cs="Times New Roman"/>
        </w:rPr>
        <w:t xml:space="preserve">Finanšu ministra vietā – </w:t>
      </w:r>
    </w:p>
    <w:p w:rsidR="00A807DC" w:rsidRPr="00037B0F" w:rsidRDefault="00A807DC" w:rsidP="00A807DC">
      <w:pPr>
        <w:rPr>
          <w:rFonts w:cs="Times New Roman"/>
        </w:rPr>
      </w:pPr>
      <w:proofErr w:type="spellStart"/>
      <w:r>
        <w:rPr>
          <w:rFonts w:cs="Times New Roman"/>
        </w:rPr>
        <w:t>iekšlietu</w:t>
      </w:r>
      <w:proofErr w:type="spellEnd"/>
      <w:r>
        <w:rPr>
          <w:rFonts w:cs="Times New Roman"/>
        </w:rPr>
        <w:t xml:space="preserve"> ministrs</w:t>
      </w:r>
      <w:r w:rsidRPr="00037B0F">
        <w:rPr>
          <w:rFonts w:cs="Times New Roman"/>
        </w:rPr>
        <w:tab/>
      </w:r>
      <w:r w:rsidRPr="00037B0F">
        <w:rPr>
          <w:rFonts w:cs="Times New Roman"/>
        </w:rPr>
        <w:tab/>
      </w:r>
      <w:r w:rsidRPr="00037B0F">
        <w:rPr>
          <w:rFonts w:cs="Times New Roman"/>
        </w:rPr>
        <w:tab/>
      </w:r>
      <w:r w:rsidRPr="00037B0F">
        <w:rPr>
          <w:rFonts w:cs="Times New Roman"/>
        </w:rPr>
        <w:tab/>
      </w:r>
      <w:r w:rsidRPr="00037B0F">
        <w:rPr>
          <w:rFonts w:cs="Times New Roman"/>
        </w:rPr>
        <w:tab/>
      </w:r>
      <w:r w:rsidRPr="00037B0F">
        <w:rPr>
          <w:rFonts w:cs="Times New Roman"/>
        </w:rPr>
        <w:tab/>
      </w:r>
      <w:r w:rsidRPr="00037B0F">
        <w:rPr>
          <w:rFonts w:cs="Times New Roman"/>
        </w:rPr>
        <w:tab/>
      </w:r>
      <w:r>
        <w:rPr>
          <w:rFonts w:cs="Times New Roman"/>
        </w:rPr>
        <w:t xml:space="preserve">      </w:t>
      </w:r>
      <w:proofErr w:type="spellStart"/>
      <w:r>
        <w:rPr>
          <w:rFonts w:cs="Times New Roman"/>
        </w:rPr>
        <w:t>R.Kozlovskis</w:t>
      </w:r>
      <w:proofErr w:type="spellEnd"/>
    </w:p>
    <w:p w:rsidR="00A807DC" w:rsidRPr="00037B0F" w:rsidRDefault="00A807DC" w:rsidP="00A807DC">
      <w:pPr>
        <w:rPr>
          <w:rFonts w:cs="Times New Roman"/>
        </w:rPr>
      </w:pPr>
    </w:p>
    <w:p w:rsidR="00A807DC" w:rsidRDefault="00A807DC" w:rsidP="00A807DC">
      <w:pPr>
        <w:rPr>
          <w:rFonts w:cs="Times New Roman"/>
        </w:rPr>
      </w:pPr>
    </w:p>
    <w:p w:rsidR="00A807DC" w:rsidRDefault="00A807DC" w:rsidP="00A807DC">
      <w:pPr>
        <w:rPr>
          <w:rFonts w:cs="Times New Roman"/>
        </w:rPr>
      </w:pPr>
    </w:p>
    <w:p w:rsidR="00A807DC" w:rsidRDefault="00A807DC" w:rsidP="00A807DC">
      <w:pPr>
        <w:rPr>
          <w:rFonts w:cs="Times New Roman"/>
        </w:rPr>
      </w:pPr>
    </w:p>
    <w:p w:rsidR="00A807DC" w:rsidRDefault="00A807DC" w:rsidP="00A807DC">
      <w:pPr>
        <w:rPr>
          <w:rFonts w:cs="Times New Roman"/>
        </w:rPr>
      </w:pPr>
    </w:p>
    <w:p w:rsidR="00A807DC" w:rsidRDefault="00A807DC" w:rsidP="00A807DC">
      <w:pPr>
        <w:rPr>
          <w:rFonts w:cs="Times New Roman"/>
        </w:rPr>
      </w:pPr>
    </w:p>
    <w:p w:rsidR="00A807DC" w:rsidRDefault="00A807DC" w:rsidP="00A807DC">
      <w:pPr>
        <w:rPr>
          <w:rFonts w:cs="Times New Roman"/>
        </w:rPr>
      </w:pPr>
    </w:p>
    <w:p w:rsidR="00A807DC" w:rsidRDefault="00A807DC" w:rsidP="00A807DC">
      <w:pPr>
        <w:rPr>
          <w:rFonts w:cs="Times New Roman"/>
        </w:rPr>
      </w:pPr>
    </w:p>
    <w:p w:rsidR="00A807DC" w:rsidRDefault="00A807DC" w:rsidP="00A807DC">
      <w:pPr>
        <w:rPr>
          <w:rFonts w:cs="Times New Roman"/>
        </w:rPr>
      </w:pPr>
    </w:p>
    <w:p w:rsidR="00A807DC" w:rsidRDefault="00A807DC" w:rsidP="00A807DC">
      <w:pPr>
        <w:rPr>
          <w:rFonts w:cs="Times New Roman"/>
        </w:rPr>
      </w:pPr>
    </w:p>
    <w:p w:rsidR="00A807DC" w:rsidRDefault="00A807DC" w:rsidP="00A807DC">
      <w:pPr>
        <w:rPr>
          <w:rFonts w:cs="Times New Roman"/>
        </w:rPr>
      </w:pPr>
    </w:p>
    <w:p w:rsidR="00A807DC" w:rsidRDefault="00A807DC" w:rsidP="00A807DC">
      <w:pPr>
        <w:rPr>
          <w:rFonts w:cs="Times New Roman"/>
        </w:rPr>
      </w:pPr>
    </w:p>
    <w:p w:rsidR="00A807DC" w:rsidRDefault="00A807DC" w:rsidP="00A807DC">
      <w:pPr>
        <w:rPr>
          <w:rFonts w:cs="Times New Roman"/>
        </w:rPr>
      </w:pPr>
    </w:p>
    <w:p w:rsidR="00A807DC" w:rsidRDefault="00A807DC" w:rsidP="00A807DC">
      <w:pPr>
        <w:rPr>
          <w:rFonts w:cs="Times New Roman"/>
        </w:rPr>
      </w:pPr>
    </w:p>
    <w:p w:rsidR="00A807DC" w:rsidRDefault="00A807DC" w:rsidP="00A807DC">
      <w:pPr>
        <w:rPr>
          <w:rFonts w:cs="Times New Roman"/>
        </w:rPr>
      </w:pPr>
    </w:p>
    <w:p w:rsidR="00A807DC" w:rsidRDefault="00A807DC" w:rsidP="00A807DC">
      <w:pPr>
        <w:rPr>
          <w:rFonts w:cs="Times New Roman"/>
        </w:rPr>
      </w:pPr>
    </w:p>
    <w:p w:rsidR="00A807DC" w:rsidRDefault="00A807DC" w:rsidP="00A807DC">
      <w:pPr>
        <w:rPr>
          <w:rFonts w:cs="Times New Roman"/>
        </w:rPr>
      </w:pPr>
    </w:p>
    <w:p w:rsidR="00A807DC" w:rsidRDefault="00A807DC" w:rsidP="00A807DC">
      <w:pPr>
        <w:rPr>
          <w:rFonts w:cs="Times New Roman"/>
        </w:rPr>
      </w:pPr>
    </w:p>
    <w:p w:rsidR="00A807DC" w:rsidRDefault="00A807DC" w:rsidP="00A807DC">
      <w:pPr>
        <w:rPr>
          <w:rFonts w:cs="Times New Roman"/>
        </w:rPr>
      </w:pPr>
    </w:p>
    <w:p w:rsidR="00A807DC" w:rsidRDefault="00A807DC" w:rsidP="00A807DC">
      <w:pPr>
        <w:rPr>
          <w:rFonts w:cs="Times New Roman"/>
        </w:rPr>
      </w:pPr>
    </w:p>
    <w:p w:rsidR="00A807DC" w:rsidRDefault="00A807DC" w:rsidP="00A807DC">
      <w:pPr>
        <w:rPr>
          <w:rFonts w:cs="Times New Roman"/>
        </w:rPr>
      </w:pPr>
    </w:p>
    <w:p w:rsidR="00A807DC" w:rsidRDefault="00A807DC" w:rsidP="00A807DC">
      <w:pPr>
        <w:rPr>
          <w:rFonts w:cs="Times New Roman"/>
        </w:rPr>
      </w:pPr>
    </w:p>
    <w:p w:rsidR="00A807DC" w:rsidRPr="00037B0F" w:rsidRDefault="00A807DC" w:rsidP="00A807DC">
      <w:pPr>
        <w:rPr>
          <w:rFonts w:cs="Times New Roman"/>
        </w:rPr>
      </w:pPr>
    </w:p>
    <w:p w:rsidR="00A807DC" w:rsidRPr="00037B0F" w:rsidRDefault="00A807DC" w:rsidP="00A807DC">
      <w:pPr>
        <w:rPr>
          <w:rFonts w:cs="Times New Roman"/>
          <w:sz w:val="20"/>
          <w:szCs w:val="20"/>
        </w:rPr>
      </w:pPr>
      <w:r>
        <w:rPr>
          <w:rFonts w:cs="Times New Roman"/>
          <w:sz w:val="20"/>
          <w:szCs w:val="20"/>
        </w:rPr>
        <w:t>2</w:t>
      </w:r>
      <w:r w:rsidR="00765A33">
        <w:rPr>
          <w:rFonts w:cs="Times New Roman"/>
          <w:sz w:val="20"/>
          <w:szCs w:val="20"/>
        </w:rPr>
        <w:t>9</w:t>
      </w:r>
      <w:r w:rsidRPr="00037B0F">
        <w:rPr>
          <w:rFonts w:cs="Times New Roman"/>
          <w:sz w:val="20"/>
          <w:szCs w:val="20"/>
        </w:rPr>
        <w:t xml:space="preserve">.10.2014. </w:t>
      </w:r>
    </w:p>
    <w:p w:rsidR="00A807DC" w:rsidRDefault="00A807DC" w:rsidP="00A807DC">
      <w:pPr>
        <w:rPr>
          <w:rFonts w:cs="Times New Roman"/>
          <w:sz w:val="20"/>
          <w:szCs w:val="20"/>
        </w:rPr>
      </w:pPr>
      <w:r>
        <w:rPr>
          <w:rFonts w:cs="Times New Roman"/>
          <w:sz w:val="20"/>
          <w:szCs w:val="20"/>
        </w:rPr>
        <w:fldChar w:fldCharType="begin"/>
      </w:r>
      <w:r>
        <w:rPr>
          <w:rFonts w:cs="Times New Roman"/>
          <w:sz w:val="20"/>
          <w:szCs w:val="20"/>
        </w:rPr>
        <w:instrText xml:space="preserve"> NUMWORDS  \* Arabic  \* MERGEFORMAT </w:instrText>
      </w:r>
      <w:r>
        <w:rPr>
          <w:rFonts w:cs="Times New Roman"/>
          <w:sz w:val="20"/>
          <w:szCs w:val="20"/>
        </w:rPr>
        <w:fldChar w:fldCharType="separate"/>
      </w:r>
      <w:r w:rsidR="00C04849">
        <w:rPr>
          <w:rFonts w:cs="Times New Roman"/>
          <w:noProof/>
          <w:sz w:val="20"/>
          <w:szCs w:val="20"/>
        </w:rPr>
        <w:t>574</w:t>
      </w:r>
      <w:r>
        <w:rPr>
          <w:rFonts w:cs="Times New Roman"/>
          <w:sz w:val="20"/>
          <w:szCs w:val="20"/>
        </w:rPr>
        <w:fldChar w:fldCharType="end"/>
      </w:r>
    </w:p>
    <w:p w:rsidR="00A807DC" w:rsidRPr="00037B0F" w:rsidRDefault="00A807DC" w:rsidP="00A807DC">
      <w:pPr>
        <w:rPr>
          <w:rFonts w:cs="Times New Roman"/>
          <w:sz w:val="20"/>
          <w:szCs w:val="20"/>
        </w:rPr>
      </w:pPr>
      <w:proofErr w:type="spellStart"/>
      <w:r w:rsidRPr="00037B0F">
        <w:rPr>
          <w:rFonts w:cs="Times New Roman"/>
          <w:sz w:val="20"/>
          <w:szCs w:val="20"/>
        </w:rPr>
        <w:t>K.Stafecka</w:t>
      </w:r>
      <w:proofErr w:type="spellEnd"/>
    </w:p>
    <w:p w:rsidR="00A807DC" w:rsidRPr="00037B0F" w:rsidRDefault="00A807DC" w:rsidP="00A807DC">
      <w:pPr>
        <w:rPr>
          <w:rFonts w:cs="Times New Roman"/>
          <w:sz w:val="20"/>
          <w:szCs w:val="20"/>
        </w:rPr>
      </w:pPr>
      <w:r w:rsidRPr="00037B0F">
        <w:rPr>
          <w:rFonts w:cs="Times New Roman"/>
          <w:sz w:val="20"/>
          <w:szCs w:val="20"/>
        </w:rPr>
        <w:t>Budžeta departamenta Valsts budžeta</w:t>
      </w:r>
    </w:p>
    <w:p w:rsidR="00A807DC" w:rsidRPr="00037B0F" w:rsidRDefault="00A807DC" w:rsidP="00A807DC">
      <w:pPr>
        <w:rPr>
          <w:rFonts w:cs="Times New Roman"/>
          <w:sz w:val="20"/>
          <w:szCs w:val="20"/>
        </w:rPr>
      </w:pPr>
      <w:r w:rsidRPr="00037B0F">
        <w:rPr>
          <w:rFonts w:cs="Times New Roman"/>
          <w:sz w:val="20"/>
          <w:szCs w:val="20"/>
        </w:rPr>
        <w:t>politika un kopsavilkuma nodaļas vadītāja vietniece</w:t>
      </w:r>
    </w:p>
    <w:p w:rsidR="00A807DC" w:rsidRPr="00037B0F" w:rsidRDefault="00A807DC" w:rsidP="00A807DC">
      <w:pPr>
        <w:rPr>
          <w:rFonts w:cs="Times New Roman"/>
          <w:sz w:val="20"/>
          <w:szCs w:val="20"/>
        </w:rPr>
      </w:pPr>
      <w:r w:rsidRPr="00037B0F">
        <w:rPr>
          <w:rFonts w:cs="Times New Roman"/>
          <w:sz w:val="20"/>
          <w:szCs w:val="20"/>
        </w:rPr>
        <w:t>T. 67095438</w:t>
      </w:r>
    </w:p>
    <w:p w:rsidR="00A807DC" w:rsidRPr="00037B0F" w:rsidRDefault="00A51135" w:rsidP="00A807DC">
      <w:pPr>
        <w:rPr>
          <w:rFonts w:cs="Times New Roman"/>
          <w:sz w:val="20"/>
          <w:szCs w:val="20"/>
        </w:rPr>
      </w:pPr>
      <w:hyperlink r:id="rId7" w:history="1">
        <w:r w:rsidR="00A807DC" w:rsidRPr="00037B0F">
          <w:rPr>
            <w:rStyle w:val="Hyperlink"/>
            <w:rFonts w:cs="Times New Roman"/>
            <w:sz w:val="20"/>
            <w:szCs w:val="20"/>
          </w:rPr>
          <w:t>Klinta.Stafecka@fm.gov.lv</w:t>
        </w:r>
      </w:hyperlink>
    </w:p>
    <w:p w:rsidR="00A807DC" w:rsidRPr="00A807DC" w:rsidRDefault="00A807DC" w:rsidP="00A807DC">
      <w:pPr>
        <w:rPr>
          <w:szCs w:val="24"/>
        </w:rPr>
      </w:pPr>
    </w:p>
    <w:sectPr w:rsidR="00A807DC" w:rsidRPr="00A807DC" w:rsidSect="00BC2CFE">
      <w:headerReference w:type="default" r:id="rId8"/>
      <w:footerReference w:type="even" r:id="rId9"/>
      <w:footerReference w:type="default" r:id="rId10"/>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135" w:rsidRDefault="00A51135" w:rsidP="00236545">
      <w:r>
        <w:separator/>
      </w:r>
    </w:p>
  </w:endnote>
  <w:endnote w:type="continuationSeparator" w:id="0">
    <w:p w:rsidR="00A51135" w:rsidRDefault="00A51135" w:rsidP="0023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545" w:rsidRPr="00236545" w:rsidRDefault="00236545" w:rsidP="00236545">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545" w:rsidRPr="00236545" w:rsidRDefault="00236545" w:rsidP="00236545">
    <w:pPr>
      <w:pStyle w:val="Footer"/>
      <w:jc w:val="both"/>
      <w:rPr>
        <w:sz w:val="20"/>
        <w:szCs w:val="20"/>
      </w:rPr>
    </w:pPr>
    <w:r w:rsidRPr="00236545">
      <w:rPr>
        <w:sz w:val="20"/>
        <w:szCs w:val="20"/>
      </w:rPr>
      <w:t>FMAnot_2</w:t>
    </w:r>
    <w:r w:rsidR="00765A33">
      <w:rPr>
        <w:sz w:val="20"/>
        <w:szCs w:val="20"/>
      </w:rPr>
      <w:t>9</w:t>
    </w:r>
    <w:r w:rsidRPr="00236545">
      <w:rPr>
        <w:sz w:val="20"/>
        <w:szCs w:val="20"/>
      </w:rPr>
      <w:t>1014; Ministru kabineta rīkojuma projekta “Grozījum</w:t>
    </w:r>
    <w:r>
      <w:rPr>
        <w:sz w:val="20"/>
        <w:szCs w:val="20"/>
      </w:rPr>
      <w:t>s</w:t>
    </w:r>
    <w:r w:rsidRPr="00236545">
      <w:rPr>
        <w:sz w:val="20"/>
        <w:szCs w:val="20"/>
      </w:rPr>
      <w:t xml:space="preserve"> Ministru kabineta 2014. gada 12. marta rīkojumā Nr. 113 “Par likumprojekta “Par vidēja termiņa budžeta ietvaru 2015., 2016. un 2017. gadam” un likumprojekta “Par valsts budžetu 2015. gadam” sagatavošanas grafiku”” sākotnējās ietekmes novērtējuma ziņojums (anotācija)</w:t>
    </w:r>
  </w:p>
  <w:p w:rsidR="00236545" w:rsidRDefault="00236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135" w:rsidRDefault="00A51135" w:rsidP="00236545">
      <w:r>
        <w:separator/>
      </w:r>
    </w:p>
  </w:footnote>
  <w:footnote w:type="continuationSeparator" w:id="0">
    <w:p w:rsidR="00A51135" w:rsidRDefault="00A51135" w:rsidP="00236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545" w:rsidRPr="00236545" w:rsidRDefault="00236545" w:rsidP="00236545">
    <w:pPr>
      <w:pStyle w:val="Header"/>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37A3C"/>
    <w:multiLevelType w:val="hybridMultilevel"/>
    <w:tmpl w:val="5CCA4066"/>
    <w:lvl w:ilvl="0" w:tplc="E8B2811E">
      <w:start w:val="1"/>
      <w:numFmt w:val="bullet"/>
      <w:lvlText w:val=""/>
      <w:lvlJc w:val="left"/>
      <w:pPr>
        <w:tabs>
          <w:tab w:val="num" w:pos="720"/>
        </w:tabs>
        <w:ind w:left="720" w:hanging="360"/>
      </w:pPr>
      <w:rPr>
        <w:rFonts w:ascii="Wingdings" w:hAnsi="Wingdings" w:hint="default"/>
      </w:rPr>
    </w:lvl>
    <w:lvl w:ilvl="1" w:tplc="EC60E706" w:tentative="1">
      <w:start w:val="1"/>
      <w:numFmt w:val="bullet"/>
      <w:lvlText w:val=""/>
      <w:lvlJc w:val="left"/>
      <w:pPr>
        <w:tabs>
          <w:tab w:val="num" w:pos="1440"/>
        </w:tabs>
        <w:ind w:left="1440" w:hanging="360"/>
      </w:pPr>
      <w:rPr>
        <w:rFonts w:ascii="Wingdings" w:hAnsi="Wingdings" w:hint="default"/>
      </w:rPr>
    </w:lvl>
    <w:lvl w:ilvl="2" w:tplc="68388CB0" w:tentative="1">
      <w:start w:val="1"/>
      <w:numFmt w:val="bullet"/>
      <w:lvlText w:val=""/>
      <w:lvlJc w:val="left"/>
      <w:pPr>
        <w:tabs>
          <w:tab w:val="num" w:pos="2160"/>
        </w:tabs>
        <w:ind w:left="2160" w:hanging="360"/>
      </w:pPr>
      <w:rPr>
        <w:rFonts w:ascii="Wingdings" w:hAnsi="Wingdings" w:hint="default"/>
      </w:rPr>
    </w:lvl>
    <w:lvl w:ilvl="3" w:tplc="E61AF9BA" w:tentative="1">
      <w:start w:val="1"/>
      <w:numFmt w:val="bullet"/>
      <w:lvlText w:val=""/>
      <w:lvlJc w:val="left"/>
      <w:pPr>
        <w:tabs>
          <w:tab w:val="num" w:pos="2880"/>
        </w:tabs>
        <w:ind w:left="2880" w:hanging="360"/>
      </w:pPr>
      <w:rPr>
        <w:rFonts w:ascii="Wingdings" w:hAnsi="Wingdings" w:hint="default"/>
      </w:rPr>
    </w:lvl>
    <w:lvl w:ilvl="4" w:tplc="01684010" w:tentative="1">
      <w:start w:val="1"/>
      <w:numFmt w:val="bullet"/>
      <w:lvlText w:val=""/>
      <w:lvlJc w:val="left"/>
      <w:pPr>
        <w:tabs>
          <w:tab w:val="num" w:pos="3600"/>
        </w:tabs>
        <w:ind w:left="3600" w:hanging="360"/>
      </w:pPr>
      <w:rPr>
        <w:rFonts w:ascii="Wingdings" w:hAnsi="Wingdings" w:hint="default"/>
      </w:rPr>
    </w:lvl>
    <w:lvl w:ilvl="5" w:tplc="354633C8" w:tentative="1">
      <w:start w:val="1"/>
      <w:numFmt w:val="bullet"/>
      <w:lvlText w:val=""/>
      <w:lvlJc w:val="left"/>
      <w:pPr>
        <w:tabs>
          <w:tab w:val="num" w:pos="4320"/>
        </w:tabs>
        <w:ind w:left="4320" w:hanging="360"/>
      </w:pPr>
      <w:rPr>
        <w:rFonts w:ascii="Wingdings" w:hAnsi="Wingdings" w:hint="default"/>
      </w:rPr>
    </w:lvl>
    <w:lvl w:ilvl="6" w:tplc="0FF0B298" w:tentative="1">
      <w:start w:val="1"/>
      <w:numFmt w:val="bullet"/>
      <w:lvlText w:val=""/>
      <w:lvlJc w:val="left"/>
      <w:pPr>
        <w:tabs>
          <w:tab w:val="num" w:pos="5040"/>
        </w:tabs>
        <w:ind w:left="5040" w:hanging="360"/>
      </w:pPr>
      <w:rPr>
        <w:rFonts w:ascii="Wingdings" w:hAnsi="Wingdings" w:hint="default"/>
      </w:rPr>
    </w:lvl>
    <w:lvl w:ilvl="7" w:tplc="DEE8E6CA" w:tentative="1">
      <w:start w:val="1"/>
      <w:numFmt w:val="bullet"/>
      <w:lvlText w:val=""/>
      <w:lvlJc w:val="left"/>
      <w:pPr>
        <w:tabs>
          <w:tab w:val="num" w:pos="5760"/>
        </w:tabs>
        <w:ind w:left="5760" w:hanging="360"/>
      </w:pPr>
      <w:rPr>
        <w:rFonts w:ascii="Wingdings" w:hAnsi="Wingdings" w:hint="default"/>
      </w:rPr>
    </w:lvl>
    <w:lvl w:ilvl="8" w:tplc="7D4C3964" w:tentative="1">
      <w:start w:val="1"/>
      <w:numFmt w:val="bullet"/>
      <w:lvlText w:val=""/>
      <w:lvlJc w:val="left"/>
      <w:pPr>
        <w:tabs>
          <w:tab w:val="num" w:pos="6480"/>
        </w:tabs>
        <w:ind w:left="6480" w:hanging="360"/>
      </w:pPr>
      <w:rPr>
        <w:rFonts w:ascii="Wingdings" w:hAnsi="Wingdings" w:hint="default"/>
      </w:rPr>
    </w:lvl>
  </w:abstractNum>
  <w:abstractNum w:abstractNumId="1">
    <w:nsid w:val="1A653FEF"/>
    <w:multiLevelType w:val="hybridMultilevel"/>
    <w:tmpl w:val="FDDC8646"/>
    <w:lvl w:ilvl="0" w:tplc="9E326CBE">
      <w:start w:val="1"/>
      <w:numFmt w:val="bullet"/>
      <w:lvlText w:val=""/>
      <w:lvlJc w:val="left"/>
      <w:pPr>
        <w:tabs>
          <w:tab w:val="num" w:pos="720"/>
        </w:tabs>
        <w:ind w:left="720" w:hanging="360"/>
      </w:pPr>
      <w:rPr>
        <w:rFonts w:ascii="Wingdings" w:hAnsi="Wingdings" w:hint="default"/>
      </w:rPr>
    </w:lvl>
    <w:lvl w:ilvl="1" w:tplc="307695D4" w:tentative="1">
      <w:start w:val="1"/>
      <w:numFmt w:val="bullet"/>
      <w:lvlText w:val=""/>
      <w:lvlJc w:val="left"/>
      <w:pPr>
        <w:tabs>
          <w:tab w:val="num" w:pos="1440"/>
        </w:tabs>
        <w:ind w:left="1440" w:hanging="360"/>
      </w:pPr>
      <w:rPr>
        <w:rFonts w:ascii="Wingdings" w:hAnsi="Wingdings" w:hint="default"/>
      </w:rPr>
    </w:lvl>
    <w:lvl w:ilvl="2" w:tplc="77D0F9A2" w:tentative="1">
      <w:start w:val="1"/>
      <w:numFmt w:val="bullet"/>
      <w:lvlText w:val=""/>
      <w:lvlJc w:val="left"/>
      <w:pPr>
        <w:tabs>
          <w:tab w:val="num" w:pos="2160"/>
        </w:tabs>
        <w:ind w:left="2160" w:hanging="360"/>
      </w:pPr>
      <w:rPr>
        <w:rFonts w:ascii="Wingdings" w:hAnsi="Wingdings" w:hint="default"/>
      </w:rPr>
    </w:lvl>
    <w:lvl w:ilvl="3" w:tplc="662071F0" w:tentative="1">
      <w:start w:val="1"/>
      <w:numFmt w:val="bullet"/>
      <w:lvlText w:val=""/>
      <w:lvlJc w:val="left"/>
      <w:pPr>
        <w:tabs>
          <w:tab w:val="num" w:pos="2880"/>
        </w:tabs>
        <w:ind w:left="2880" w:hanging="360"/>
      </w:pPr>
      <w:rPr>
        <w:rFonts w:ascii="Wingdings" w:hAnsi="Wingdings" w:hint="default"/>
      </w:rPr>
    </w:lvl>
    <w:lvl w:ilvl="4" w:tplc="6894923C" w:tentative="1">
      <w:start w:val="1"/>
      <w:numFmt w:val="bullet"/>
      <w:lvlText w:val=""/>
      <w:lvlJc w:val="left"/>
      <w:pPr>
        <w:tabs>
          <w:tab w:val="num" w:pos="3600"/>
        </w:tabs>
        <w:ind w:left="3600" w:hanging="360"/>
      </w:pPr>
      <w:rPr>
        <w:rFonts w:ascii="Wingdings" w:hAnsi="Wingdings" w:hint="default"/>
      </w:rPr>
    </w:lvl>
    <w:lvl w:ilvl="5" w:tplc="70BE98D8" w:tentative="1">
      <w:start w:val="1"/>
      <w:numFmt w:val="bullet"/>
      <w:lvlText w:val=""/>
      <w:lvlJc w:val="left"/>
      <w:pPr>
        <w:tabs>
          <w:tab w:val="num" w:pos="4320"/>
        </w:tabs>
        <w:ind w:left="4320" w:hanging="360"/>
      </w:pPr>
      <w:rPr>
        <w:rFonts w:ascii="Wingdings" w:hAnsi="Wingdings" w:hint="default"/>
      </w:rPr>
    </w:lvl>
    <w:lvl w:ilvl="6" w:tplc="25B4D686" w:tentative="1">
      <w:start w:val="1"/>
      <w:numFmt w:val="bullet"/>
      <w:lvlText w:val=""/>
      <w:lvlJc w:val="left"/>
      <w:pPr>
        <w:tabs>
          <w:tab w:val="num" w:pos="5040"/>
        </w:tabs>
        <w:ind w:left="5040" w:hanging="360"/>
      </w:pPr>
      <w:rPr>
        <w:rFonts w:ascii="Wingdings" w:hAnsi="Wingdings" w:hint="default"/>
      </w:rPr>
    </w:lvl>
    <w:lvl w:ilvl="7" w:tplc="4D32DA8A" w:tentative="1">
      <w:start w:val="1"/>
      <w:numFmt w:val="bullet"/>
      <w:lvlText w:val=""/>
      <w:lvlJc w:val="left"/>
      <w:pPr>
        <w:tabs>
          <w:tab w:val="num" w:pos="5760"/>
        </w:tabs>
        <w:ind w:left="5760" w:hanging="360"/>
      </w:pPr>
      <w:rPr>
        <w:rFonts w:ascii="Wingdings" w:hAnsi="Wingdings" w:hint="default"/>
      </w:rPr>
    </w:lvl>
    <w:lvl w:ilvl="8" w:tplc="70AC1AB6" w:tentative="1">
      <w:start w:val="1"/>
      <w:numFmt w:val="bullet"/>
      <w:lvlText w:val=""/>
      <w:lvlJc w:val="left"/>
      <w:pPr>
        <w:tabs>
          <w:tab w:val="num" w:pos="6480"/>
        </w:tabs>
        <w:ind w:left="6480" w:hanging="360"/>
      </w:pPr>
      <w:rPr>
        <w:rFonts w:ascii="Wingdings" w:hAnsi="Wingdings" w:hint="default"/>
      </w:rPr>
    </w:lvl>
  </w:abstractNum>
  <w:abstractNum w:abstractNumId="2">
    <w:nsid w:val="423D54C7"/>
    <w:multiLevelType w:val="hybridMultilevel"/>
    <w:tmpl w:val="2C400B40"/>
    <w:lvl w:ilvl="0" w:tplc="1BA29D2E">
      <w:start w:val="1"/>
      <w:numFmt w:val="decimal"/>
      <w:lvlText w:val="%1."/>
      <w:lvlJc w:val="left"/>
      <w:pPr>
        <w:tabs>
          <w:tab w:val="num" w:pos="720"/>
        </w:tabs>
        <w:ind w:left="720" w:hanging="360"/>
      </w:pPr>
    </w:lvl>
    <w:lvl w:ilvl="1" w:tplc="714E15AC" w:tentative="1">
      <w:start w:val="1"/>
      <w:numFmt w:val="decimal"/>
      <w:lvlText w:val="%2."/>
      <w:lvlJc w:val="left"/>
      <w:pPr>
        <w:tabs>
          <w:tab w:val="num" w:pos="1440"/>
        </w:tabs>
        <w:ind w:left="1440" w:hanging="360"/>
      </w:pPr>
    </w:lvl>
    <w:lvl w:ilvl="2" w:tplc="EFAE658A" w:tentative="1">
      <w:start w:val="1"/>
      <w:numFmt w:val="decimal"/>
      <w:lvlText w:val="%3."/>
      <w:lvlJc w:val="left"/>
      <w:pPr>
        <w:tabs>
          <w:tab w:val="num" w:pos="2160"/>
        </w:tabs>
        <w:ind w:left="2160" w:hanging="360"/>
      </w:pPr>
    </w:lvl>
    <w:lvl w:ilvl="3" w:tplc="FB64EC5A" w:tentative="1">
      <w:start w:val="1"/>
      <w:numFmt w:val="decimal"/>
      <w:lvlText w:val="%4."/>
      <w:lvlJc w:val="left"/>
      <w:pPr>
        <w:tabs>
          <w:tab w:val="num" w:pos="2880"/>
        </w:tabs>
        <w:ind w:left="2880" w:hanging="360"/>
      </w:pPr>
    </w:lvl>
    <w:lvl w:ilvl="4" w:tplc="C4F0CCCA" w:tentative="1">
      <w:start w:val="1"/>
      <w:numFmt w:val="decimal"/>
      <w:lvlText w:val="%5."/>
      <w:lvlJc w:val="left"/>
      <w:pPr>
        <w:tabs>
          <w:tab w:val="num" w:pos="3600"/>
        </w:tabs>
        <w:ind w:left="3600" w:hanging="360"/>
      </w:pPr>
    </w:lvl>
    <w:lvl w:ilvl="5" w:tplc="DA42B8A2" w:tentative="1">
      <w:start w:val="1"/>
      <w:numFmt w:val="decimal"/>
      <w:lvlText w:val="%6."/>
      <w:lvlJc w:val="left"/>
      <w:pPr>
        <w:tabs>
          <w:tab w:val="num" w:pos="4320"/>
        </w:tabs>
        <w:ind w:left="4320" w:hanging="360"/>
      </w:pPr>
    </w:lvl>
    <w:lvl w:ilvl="6" w:tplc="D86C5FCE" w:tentative="1">
      <w:start w:val="1"/>
      <w:numFmt w:val="decimal"/>
      <w:lvlText w:val="%7."/>
      <w:lvlJc w:val="left"/>
      <w:pPr>
        <w:tabs>
          <w:tab w:val="num" w:pos="5040"/>
        </w:tabs>
        <w:ind w:left="5040" w:hanging="360"/>
      </w:pPr>
    </w:lvl>
    <w:lvl w:ilvl="7" w:tplc="DB563642" w:tentative="1">
      <w:start w:val="1"/>
      <w:numFmt w:val="decimal"/>
      <w:lvlText w:val="%8."/>
      <w:lvlJc w:val="left"/>
      <w:pPr>
        <w:tabs>
          <w:tab w:val="num" w:pos="5760"/>
        </w:tabs>
        <w:ind w:left="5760" w:hanging="360"/>
      </w:pPr>
    </w:lvl>
    <w:lvl w:ilvl="8" w:tplc="CBEEF2F0" w:tentative="1">
      <w:start w:val="1"/>
      <w:numFmt w:val="decimal"/>
      <w:lvlText w:val="%9."/>
      <w:lvlJc w:val="left"/>
      <w:pPr>
        <w:tabs>
          <w:tab w:val="num" w:pos="6480"/>
        </w:tabs>
        <w:ind w:left="6480" w:hanging="360"/>
      </w:pPr>
    </w:lvl>
  </w:abstractNum>
  <w:abstractNum w:abstractNumId="3">
    <w:nsid w:val="46626157"/>
    <w:multiLevelType w:val="hybridMultilevel"/>
    <w:tmpl w:val="CF0816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7F"/>
    <w:rsid w:val="00236545"/>
    <w:rsid w:val="00237A1C"/>
    <w:rsid w:val="00275F92"/>
    <w:rsid w:val="002B77C4"/>
    <w:rsid w:val="002D0343"/>
    <w:rsid w:val="005D3C7F"/>
    <w:rsid w:val="00604AED"/>
    <w:rsid w:val="006C4BC0"/>
    <w:rsid w:val="00717F3A"/>
    <w:rsid w:val="00765A33"/>
    <w:rsid w:val="007C485B"/>
    <w:rsid w:val="008370C3"/>
    <w:rsid w:val="00A51135"/>
    <w:rsid w:val="00A807DC"/>
    <w:rsid w:val="00BC2CFE"/>
    <w:rsid w:val="00C04849"/>
    <w:rsid w:val="00D55DAA"/>
    <w:rsid w:val="00E7295F"/>
    <w:rsid w:val="00F402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F149CC-DD0E-43F3-B926-7E65029F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545"/>
    <w:pPr>
      <w:tabs>
        <w:tab w:val="center" w:pos="4153"/>
        <w:tab w:val="right" w:pos="8306"/>
      </w:tabs>
    </w:pPr>
  </w:style>
  <w:style w:type="character" w:customStyle="1" w:styleId="HeaderChar">
    <w:name w:val="Header Char"/>
    <w:basedOn w:val="DefaultParagraphFont"/>
    <w:link w:val="Header"/>
    <w:uiPriority w:val="99"/>
    <w:rsid w:val="00236545"/>
  </w:style>
  <w:style w:type="paragraph" w:styleId="Footer">
    <w:name w:val="footer"/>
    <w:basedOn w:val="Normal"/>
    <w:link w:val="FooterChar"/>
    <w:uiPriority w:val="99"/>
    <w:unhideWhenUsed/>
    <w:rsid w:val="00236545"/>
    <w:pPr>
      <w:tabs>
        <w:tab w:val="center" w:pos="4153"/>
        <w:tab w:val="right" w:pos="8306"/>
      </w:tabs>
    </w:pPr>
  </w:style>
  <w:style w:type="character" w:customStyle="1" w:styleId="FooterChar">
    <w:name w:val="Footer Char"/>
    <w:basedOn w:val="DefaultParagraphFont"/>
    <w:link w:val="Footer"/>
    <w:uiPriority w:val="99"/>
    <w:rsid w:val="00236545"/>
  </w:style>
  <w:style w:type="paragraph" w:styleId="BalloonText">
    <w:name w:val="Balloon Text"/>
    <w:basedOn w:val="Normal"/>
    <w:link w:val="BalloonTextChar"/>
    <w:uiPriority w:val="99"/>
    <w:semiHidden/>
    <w:unhideWhenUsed/>
    <w:rsid w:val="008370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0C3"/>
    <w:rPr>
      <w:rFonts w:ascii="Segoe UI" w:hAnsi="Segoe UI" w:cs="Segoe UI"/>
      <w:sz w:val="18"/>
      <w:szCs w:val="18"/>
    </w:rPr>
  </w:style>
  <w:style w:type="paragraph" w:styleId="ListParagraph">
    <w:name w:val="List Paragraph"/>
    <w:basedOn w:val="Normal"/>
    <w:uiPriority w:val="34"/>
    <w:qFormat/>
    <w:rsid w:val="00BC2CFE"/>
    <w:pPr>
      <w:ind w:left="720"/>
      <w:contextualSpacing/>
    </w:pPr>
  </w:style>
  <w:style w:type="character" w:styleId="Hyperlink">
    <w:name w:val="Hyperlink"/>
    <w:basedOn w:val="DefaultParagraphFont"/>
    <w:uiPriority w:val="99"/>
    <w:unhideWhenUsed/>
    <w:rsid w:val="00A807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92346">
      <w:bodyDiv w:val="1"/>
      <w:marLeft w:val="0"/>
      <w:marRight w:val="0"/>
      <w:marTop w:val="0"/>
      <w:marBottom w:val="0"/>
      <w:divBdr>
        <w:top w:val="none" w:sz="0" w:space="0" w:color="auto"/>
        <w:left w:val="none" w:sz="0" w:space="0" w:color="auto"/>
        <w:bottom w:val="none" w:sz="0" w:space="0" w:color="auto"/>
        <w:right w:val="none" w:sz="0" w:space="0" w:color="auto"/>
      </w:divBdr>
      <w:divsChild>
        <w:div w:id="1968389985">
          <w:marLeft w:val="547"/>
          <w:marRight w:val="0"/>
          <w:marTop w:val="82"/>
          <w:marBottom w:val="0"/>
          <w:divBdr>
            <w:top w:val="none" w:sz="0" w:space="0" w:color="auto"/>
            <w:left w:val="none" w:sz="0" w:space="0" w:color="auto"/>
            <w:bottom w:val="none" w:sz="0" w:space="0" w:color="auto"/>
            <w:right w:val="none" w:sz="0" w:space="0" w:color="auto"/>
          </w:divBdr>
        </w:div>
        <w:div w:id="1849560745">
          <w:marLeft w:val="547"/>
          <w:marRight w:val="0"/>
          <w:marTop w:val="82"/>
          <w:marBottom w:val="0"/>
          <w:divBdr>
            <w:top w:val="none" w:sz="0" w:space="0" w:color="auto"/>
            <w:left w:val="none" w:sz="0" w:space="0" w:color="auto"/>
            <w:bottom w:val="none" w:sz="0" w:space="0" w:color="auto"/>
            <w:right w:val="none" w:sz="0" w:space="0" w:color="auto"/>
          </w:divBdr>
        </w:div>
        <w:div w:id="1142886101">
          <w:marLeft w:val="547"/>
          <w:marRight w:val="0"/>
          <w:marTop w:val="82"/>
          <w:marBottom w:val="0"/>
          <w:divBdr>
            <w:top w:val="none" w:sz="0" w:space="0" w:color="auto"/>
            <w:left w:val="none" w:sz="0" w:space="0" w:color="auto"/>
            <w:bottom w:val="none" w:sz="0" w:space="0" w:color="auto"/>
            <w:right w:val="none" w:sz="0" w:space="0" w:color="auto"/>
          </w:divBdr>
        </w:div>
        <w:div w:id="1759670265">
          <w:marLeft w:val="547"/>
          <w:marRight w:val="0"/>
          <w:marTop w:val="82"/>
          <w:marBottom w:val="0"/>
          <w:divBdr>
            <w:top w:val="none" w:sz="0" w:space="0" w:color="auto"/>
            <w:left w:val="none" w:sz="0" w:space="0" w:color="auto"/>
            <w:bottom w:val="none" w:sz="0" w:space="0" w:color="auto"/>
            <w:right w:val="none" w:sz="0" w:space="0" w:color="auto"/>
          </w:divBdr>
        </w:div>
        <w:div w:id="1811896473">
          <w:marLeft w:val="547"/>
          <w:marRight w:val="0"/>
          <w:marTop w:val="82"/>
          <w:marBottom w:val="0"/>
          <w:divBdr>
            <w:top w:val="none" w:sz="0" w:space="0" w:color="auto"/>
            <w:left w:val="none" w:sz="0" w:space="0" w:color="auto"/>
            <w:bottom w:val="none" w:sz="0" w:space="0" w:color="auto"/>
            <w:right w:val="none" w:sz="0" w:space="0" w:color="auto"/>
          </w:divBdr>
        </w:div>
        <w:div w:id="1103257422">
          <w:marLeft w:val="547"/>
          <w:marRight w:val="0"/>
          <w:marTop w:val="82"/>
          <w:marBottom w:val="0"/>
          <w:divBdr>
            <w:top w:val="none" w:sz="0" w:space="0" w:color="auto"/>
            <w:left w:val="none" w:sz="0" w:space="0" w:color="auto"/>
            <w:bottom w:val="none" w:sz="0" w:space="0" w:color="auto"/>
            <w:right w:val="none" w:sz="0" w:space="0" w:color="auto"/>
          </w:divBdr>
        </w:div>
        <w:div w:id="1875462018">
          <w:marLeft w:val="547"/>
          <w:marRight w:val="0"/>
          <w:marTop w:val="82"/>
          <w:marBottom w:val="0"/>
          <w:divBdr>
            <w:top w:val="none" w:sz="0" w:space="0" w:color="auto"/>
            <w:left w:val="none" w:sz="0" w:space="0" w:color="auto"/>
            <w:bottom w:val="none" w:sz="0" w:space="0" w:color="auto"/>
            <w:right w:val="none" w:sz="0" w:space="0" w:color="auto"/>
          </w:divBdr>
        </w:div>
        <w:div w:id="1674214223">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linta.Stafecka@f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3075</Words>
  <Characters>1753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2014. gada 12. marta rīkojumā Nr. 113 “Par likumprojekta “Par vidēja termiņa budžeta ietvaru 2015., 2016. un 2017. gadam” un likumprojekta “Par valsts budžetu 2015. gadam” sagatavošanas grafiku”” sākotnējās ietekmes novērtējuma ziņojums (anotācija)</dc:title>
  <dc:subject>Anotācija</dc:subject>
  <dc:creator>Klinta Stafecka</dc:creator>
  <cp:keywords/>
  <dc:description>T. 67095438
Klinta.Stafecka@fm.gov.lv</dc:description>
  <cp:lastModifiedBy>Liene Strēlniece</cp:lastModifiedBy>
  <cp:revision>10</cp:revision>
  <cp:lastPrinted>2014-10-29T08:11:00Z</cp:lastPrinted>
  <dcterms:created xsi:type="dcterms:W3CDTF">2014-10-27T12:44:00Z</dcterms:created>
  <dcterms:modified xsi:type="dcterms:W3CDTF">2014-10-30T10:58:00Z</dcterms:modified>
</cp:coreProperties>
</file>